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8357044" w:displacedByCustomXml="next"/>
    <w:bookmarkStart w:id="1" w:name="_Hlk211595414" w:displacedByCustomXml="next"/>
    <w:sdt>
      <w:sdtPr>
        <w:rPr>
          <w:rFonts w:eastAsiaTheme="minorHAnsi" w:cs="Times New Roman"/>
          <w:b w:val="0"/>
          <w:spacing w:val="0"/>
          <w:kern w:val="2"/>
          <w:sz w:val="24"/>
          <w:szCs w:val="24"/>
        </w:rPr>
        <w:id w:val="1038003689"/>
        <w:docPartObj>
          <w:docPartGallery w:val="Cover Pages"/>
          <w:docPartUnique/>
        </w:docPartObj>
      </w:sdtPr>
      <w:sdtContent>
        <w:bookmarkEnd w:id="1" w:displacedByCustomXml="prev"/>
        <w:bookmarkEnd w:id="0" w:displacedByCustomXml="prev"/>
        <w:p w14:paraId="4CAD2847" w14:textId="65D07033" w:rsidR="00C93C3F" w:rsidRPr="00AF686C" w:rsidRDefault="00C93C3F" w:rsidP="00AF686C">
          <w:pPr>
            <w:pStyle w:val="Title"/>
            <w:jc w:val="center"/>
          </w:pPr>
          <w:r w:rsidRPr="00AF686C">
            <w:t>Governing Modern Slavery: Global and Corporate Commitments Versus Worker Realities</w:t>
          </w:r>
        </w:p>
        <w:p w14:paraId="46F10F7F" w14:textId="77777777" w:rsidR="00144866" w:rsidRPr="0053182F" w:rsidRDefault="00144866" w:rsidP="00062978">
          <w:pPr>
            <w:pStyle w:val="Title"/>
            <w:jc w:val="center"/>
            <w:rPr>
              <w:rFonts w:cs="Times New Roman"/>
            </w:rPr>
          </w:pPr>
        </w:p>
        <w:p w14:paraId="28EC5534" w14:textId="77777777" w:rsidR="00144866" w:rsidRPr="0053182F" w:rsidRDefault="00144866" w:rsidP="00144866">
          <w:pPr>
            <w:spacing w:after="0"/>
          </w:pPr>
        </w:p>
        <w:p w14:paraId="0D8D6C1C" w14:textId="77777777" w:rsidR="00144866" w:rsidRPr="0053182F" w:rsidRDefault="00144866" w:rsidP="00144866">
          <w:pPr>
            <w:spacing w:after="0"/>
            <w:jc w:val="center"/>
            <w:rPr>
              <w:sz w:val="28"/>
              <w:szCs w:val="28"/>
            </w:rPr>
          </w:pPr>
          <w:r w:rsidRPr="0053182F">
            <w:rPr>
              <w:sz w:val="28"/>
              <w:szCs w:val="28"/>
            </w:rPr>
            <w:t>By</w:t>
          </w:r>
        </w:p>
        <w:p w14:paraId="057914D7" w14:textId="77777777" w:rsidR="00144866" w:rsidRPr="0053182F" w:rsidRDefault="00144866" w:rsidP="00144866">
          <w:pPr>
            <w:spacing w:after="0"/>
            <w:jc w:val="center"/>
            <w:rPr>
              <w:sz w:val="28"/>
              <w:szCs w:val="28"/>
            </w:rPr>
          </w:pPr>
        </w:p>
        <w:p w14:paraId="11212518" w14:textId="77777777" w:rsidR="00144866" w:rsidRPr="0053182F" w:rsidRDefault="00144866" w:rsidP="00144866">
          <w:pPr>
            <w:spacing w:after="0"/>
            <w:jc w:val="center"/>
            <w:rPr>
              <w:b/>
              <w:bCs/>
              <w:sz w:val="32"/>
              <w:szCs w:val="32"/>
            </w:rPr>
          </w:pPr>
          <w:r w:rsidRPr="0053182F">
            <w:rPr>
              <w:b/>
              <w:bCs/>
              <w:sz w:val="32"/>
              <w:szCs w:val="32"/>
            </w:rPr>
            <w:t>Nadeesha Prabhashani Perera Muthuthantrige alias Polwaththage</w:t>
          </w:r>
        </w:p>
        <w:p w14:paraId="3F98CAE8" w14:textId="77777777" w:rsidR="00144866" w:rsidRPr="0053182F" w:rsidRDefault="00144866" w:rsidP="00144866">
          <w:pPr>
            <w:spacing w:after="0"/>
            <w:jc w:val="center"/>
            <w:rPr>
              <w:b/>
              <w:bCs/>
              <w:sz w:val="32"/>
              <w:szCs w:val="32"/>
            </w:rPr>
          </w:pPr>
        </w:p>
        <w:p w14:paraId="63AD012B" w14:textId="77777777" w:rsidR="00144866" w:rsidRPr="0053182F" w:rsidRDefault="00144866" w:rsidP="00144866">
          <w:pPr>
            <w:spacing w:after="0"/>
            <w:jc w:val="center"/>
            <w:rPr>
              <w:b/>
              <w:bCs/>
              <w:sz w:val="32"/>
              <w:szCs w:val="32"/>
            </w:rPr>
          </w:pPr>
        </w:p>
        <w:p w14:paraId="7F12B51F" w14:textId="77777777" w:rsidR="00144866" w:rsidRPr="0053182F" w:rsidRDefault="00144866" w:rsidP="00144866">
          <w:pPr>
            <w:spacing w:after="0"/>
            <w:jc w:val="center"/>
            <w:rPr>
              <w:sz w:val="28"/>
              <w:szCs w:val="28"/>
            </w:rPr>
          </w:pPr>
        </w:p>
        <w:p w14:paraId="0BBB52B0" w14:textId="77777777" w:rsidR="00144866" w:rsidRPr="0053182F" w:rsidRDefault="00144866" w:rsidP="00144866">
          <w:pPr>
            <w:spacing w:after="0"/>
            <w:jc w:val="center"/>
            <w:rPr>
              <w:sz w:val="28"/>
              <w:szCs w:val="28"/>
            </w:rPr>
          </w:pPr>
        </w:p>
        <w:p w14:paraId="2C5FD71F" w14:textId="77777777" w:rsidR="00144866" w:rsidRPr="0053182F" w:rsidRDefault="00144866" w:rsidP="00144866">
          <w:pPr>
            <w:spacing w:after="0"/>
            <w:jc w:val="center"/>
            <w:rPr>
              <w:sz w:val="28"/>
              <w:szCs w:val="28"/>
            </w:rPr>
          </w:pPr>
        </w:p>
        <w:p w14:paraId="73CC880A" w14:textId="77777777" w:rsidR="00144866" w:rsidRPr="0053182F" w:rsidRDefault="00144866" w:rsidP="00144866">
          <w:pPr>
            <w:spacing w:after="0"/>
            <w:jc w:val="center"/>
            <w:rPr>
              <w:sz w:val="28"/>
              <w:szCs w:val="28"/>
            </w:rPr>
          </w:pPr>
        </w:p>
        <w:p w14:paraId="088BE84A" w14:textId="77777777" w:rsidR="00144866" w:rsidRPr="0053182F" w:rsidRDefault="00144866" w:rsidP="00144866">
          <w:pPr>
            <w:spacing w:after="0"/>
            <w:jc w:val="center"/>
            <w:rPr>
              <w:sz w:val="28"/>
              <w:szCs w:val="28"/>
            </w:rPr>
          </w:pPr>
        </w:p>
        <w:p w14:paraId="7A5B0DB6" w14:textId="77777777" w:rsidR="00144866" w:rsidRPr="0053182F" w:rsidRDefault="00144866" w:rsidP="00144866">
          <w:pPr>
            <w:spacing w:after="0"/>
            <w:jc w:val="center"/>
            <w:rPr>
              <w:sz w:val="28"/>
              <w:szCs w:val="28"/>
            </w:rPr>
          </w:pPr>
        </w:p>
        <w:p w14:paraId="1229ED1D" w14:textId="77777777" w:rsidR="00144866" w:rsidRPr="0053182F" w:rsidRDefault="00144866" w:rsidP="00144866">
          <w:pPr>
            <w:spacing w:after="0"/>
            <w:jc w:val="center"/>
            <w:rPr>
              <w:sz w:val="28"/>
              <w:szCs w:val="28"/>
            </w:rPr>
          </w:pPr>
          <w:r w:rsidRPr="0053182F">
            <w:rPr>
              <w:sz w:val="28"/>
              <w:szCs w:val="28"/>
            </w:rPr>
            <w:t xml:space="preserve">A thesis submitted in fulfilment of the requirements </w:t>
          </w:r>
        </w:p>
        <w:p w14:paraId="6D7A3DE2" w14:textId="77777777" w:rsidR="00144866" w:rsidRPr="0053182F" w:rsidRDefault="00144866" w:rsidP="00144866">
          <w:pPr>
            <w:spacing w:after="0"/>
            <w:jc w:val="center"/>
            <w:rPr>
              <w:sz w:val="28"/>
              <w:szCs w:val="28"/>
            </w:rPr>
          </w:pPr>
          <w:r w:rsidRPr="0053182F">
            <w:rPr>
              <w:sz w:val="28"/>
              <w:szCs w:val="28"/>
            </w:rPr>
            <w:t>for the degree of Doctor of Philosophy</w:t>
          </w:r>
        </w:p>
        <w:p w14:paraId="05A50AD4" w14:textId="77777777" w:rsidR="00144866" w:rsidRPr="0053182F" w:rsidRDefault="00144866" w:rsidP="00144866">
          <w:pPr>
            <w:spacing w:after="0"/>
            <w:jc w:val="center"/>
            <w:rPr>
              <w:sz w:val="28"/>
              <w:szCs w:val="28"/>
            </w:rPr>
          </w:pPr>
        </w:p>
        <w:p w14:paraId="279D2715" w14:textId="77777777" w:rsidR="00144866" w:rsidRPr="0053182F" w:rsidRDefault="00144866" w:rsidP="00144866">
          <w:pPr>
            <w:spacing w:after="0"/>
            <w:jc w:val="center"/>
            <w:rPr>
              <w:sz w:val="28"/>
              <w:szCs w:val="28"/>
            </w:rPr>
          </w:pPr>
        </w:p>
        <w:p w14:paraId="52F10FB8" w14:textId="77777777" w:rsidR="00144866" w:rsidRPr="0053182F" w:rsidRDefault="00144866" w:rsidP="00144866">
          <w:pPr>
            <w:spacing w:after="0"/>
            <w:jc w:val="center"/>
            <w:rPr>
              <w:sz w:val="28"/>
              <w:szCs w:val="28"/>
            </w:rPr>
          </w:pPr>
        </w:p>
        <w:p w14:paraId="04F4DD70" w14:textId="77777777" w:rsidR="00144866" w:rsidRPr="0053182F" w:rsidRDefault="00144866" w:rsidP="00144866">
          <w:pPr>
            <w:spacing w:after="0"/>
          </w:pPr>
        </w:p>
        <w:p w14:paraId="40DFD220" w14:textId="77777777" w:rsidR="00144866" w:rsidRPr="0053182F" w:rsidRDefault="00144866" w:rsidP="00144866">
          <w:pPr>
            <w:spacing w:after="0"/>
            <w:jc w:val="center"/>
            <w:rPr>
              <w:rStyle w:val="Strong"/>
            </w:rPr>
          </w:pPr>
          <w:r w:rsidRPr="0053182F">
            <w:rPr>
              <w:rStyle w:val="Strong"/>
            </w:rPr>
            <w:t xml:space="preserve">Keele Business School </w:t>
          </w:r>
        </w:p>
        <w:p w14:paraId="658CF78E" w14:textId="77777777" w:rsidR="00144866" w:rsidRPr="0053182F" w:rsidRDefault="00144866" w:rsidP="00144866">
          <w:pPr>
            <w:spacing w:after="0"/>
            <w:jc w:val="center"/>
            <w:rPr>
              <w:rStyle w:val="Strong"/>
            </w:rPr>
          </w:pPr>
          <w:r w:rsidRPr="0053182F">
            <w:rPr>
              <w:rStyle w:val="Strong"/>
            </w:rPr>
            <w:t>Keele University</w:t>
          </w:r>
        </w:p>
        <w:p w14:paraId="6C01EBEF" w14:textId="77777777" w:rsidR="00144866" w:rsidRPr="0053182F" w:rsidRDefault="00144866" w:rsidP="00144866">
          <w:pPr>
            <w:spacing w:after="0"/>
            <w:jc w:val="center"/>
            <w:rPr>
              <w:rStyle w:val="Strong"/>
            </w:rPr>
          </w:pPr>
          <w:r w:rsidRPr="0053182F">
            <w:rPr>
              <w:rStyle w:val="Strong"/>
            </w:rPr>
            <w:t>2026</w:t>
          </w:r>
        </w:p>
        <w:p w14:paraId="20C51880" w14:textId="77777777" w:rsidR="00144866" w:rsidRPr="0053182F" w:rsidRDefault="00144866" w:rsidP="00144866">
          <w:pPr>
            <w:rPr>
              <w:rFonts w:eastAsiaTheme="majorEastAsia"/>
              <w:b/>
              <w:color w:val="auto"/>
              <w:sz w:val="40"/>
              <w:szCs w:val="40"/>
            </w:rPr>
          </w:pPr>
          <w:r w:rsidRPr="0053182F">
            <w:br w:type="page"/>
          </w:r>
        </w:p>
      </w:sdtContent>
    </w:sdt>
    <w:p w14:paraId="4449B6E6" w14:textId="77777777" w:rsidR="00144866" w:rsidRPr="0053182F" w:rsidRDefault="00144866" w:rsidP="00062978">
      <w:pPr>
        <w:pStyle w:val="Heading1"/>
        <w:rPr>
          <w:rFonts w:cs="Times New Roman"/>
        </w:rPr>
      </w:pPr>
      <w:bookmarkStart w:id="2" w:name="_Toc218357046"/>
      <w:r w:rsidRPr="0053182F">
        <w:rPr>
          <w:rStyle w:val="Strong"/>
          <w:rFonts w:cs="Times New Roman"/>
          <w:b/>
          <w:bCs w:val="0"/>
        </w:rPr>
        <w:lastRenderedPageBreak/>
        <w:t>Declaration</w:t>
      </w:r>
      <w:bookmarkEnd w:id="2"/>
    </w:p>
    <w:p w14:paraId="5AFA6B92" w14:textId="77777777" w:rsidR="00144866" w:rsidRPr="0053182F" w:rsidRDefault="00144866" w:rsidP="00144866">
      <w:pPr>
        <w:pStyle w:val="NormalWeb"/>
        <w:spacing w:before="0" w:beforeAutospacing="0" w:after="0" w:afterAutospacing="0" w:line="480" w:lineRule="auto"/>
        <w:jc w:val="both"/>
        <w:rPr>
          <w:color w:val="auto"/>
        </w:rPr>
      </w:pPr>
      <w:r w:rsidRPr="0053182F">
        <w:rPr>
          <w:color w:val="auto"/>
        </w:rPr>
        <w:t>I hereby declare that the work presented in this thesis is the result of my own original research and has been carried out under the supervision of Dr Akarum Helfaya and Dr Geyi Xu. Except where explicit reference is made to the work of others, this thesis contains no material that has been previously submitted, in whole or in part, for any other academic degree or professional qualification at this or any other institution.</w:t>
      </w:r>
    </w:p>
    <w:p w14:paraId="53FDADF5" w14:textId="77777777" w:rsidR="00144866" w:rsidRPr="0053182F" w:rsidRDefault="00144866" w:rsidP="00144866">
      <w:pPr>
        <w:pStyle w:val="NormalWeb"/>
        <w:spacing w:before="0" w:beforeAutospacing="0" w:after="0" w:afterAutospacing="0" w:line="480" w:lineRule="auto"/>
        <w:jc w:val="both"/>
        <w:rPr>
          <w:color w:val="auto"/>
        </w:rPr>
      </w:pPr>
      <w:r w:rsidRPr="0053182F">
        <w:rPr>
          <w:color w:val="auto"/>
        </w:rPr>
        <w:t>All sources of information used have been duly acknowledged, and all quotations and references have been cited correctly in accordance with academic conventions.</w:t>
      </w:r>
    </w:p>
    <w:p w14:paraId="46077BC0" w14:textId="77777777" w:rsidR="00144866" w:rsidRPr="0053182F" w:rsidRDefault="00144866" w:rsidP="00144866">
      <w:pPr>
        <w:pStyle w:val="NormalWeb"/>
        <w:spacing w:before="0" w:beforeAutospacing="0" w:after="0" w:afterAutospacing="0" w:line="480" w:lineRule="auto"/>
        <w:jc w:val="both"/>
        <w:rPr>
          <w:color w:val="auto"/>
        </w:rPr>
      </w:pPr>
      <w:r w:rsidRPr="0053182F">
        <w:rPr>
          <w:color w:val="auto"/>
        </w:rPr>
        <w:t>This thesis represents an independent and original contribution to knowledge in the field of modern slavery governance, guided by the theoretical lens of Neo-Institutional Theory (NIT) and supported by empirical evidence from both global and local contexts.</w:t>
      </w:r>
    </w:p>
    <w:p w14:paraId="2823563C" w14:textId="77777777" w:rsidR="00144866" w:rsidRPr="0053182F" w:rsidRDefault="00144866" w:rsidP="00144866">
      <w:pPr>
        <w:pStyle w:val="NormalWeb"/>
        <w:spacing w:before="0" w:beforeAutospacing="0" w:after="0" w:afterAutospacing="0" w:line="480" w:lineRule="auto"/>
        <w:jc w:val="both"/>
        <w:rPr>
          <w:color w:val="auto"/>
        </w:rPr>
      </w:pPr>
    </w:p>
    <w:p w14:paraId="6EAFFB55" w14:textId="77777777" w:rsidR="00144866" w:rsidRPr="0053182F" w:rsidRDefault="00144866" w:rsidP="00144866">
      <w:pPr>
        <w:pStyle w:val="NormalWeb"/>
        <w:spacing w:before="0" w:beforeAutospacing="0" w:after="0" w:afterAutospacing="0" w:line="480" w:lineRule="auto"/>
        <w:jc w:val="both"/>
        <w:rPr>
          <w:color w:val="auto"/>
        </w:rPr>
      </w:pPr>
    </w:p>
    <w:p w14:paraId="7049ED47" w14:textId="77777777" w:rsidR="00144866" w:rsidRPr="0053182F" w:rsidRDefault="00144866" w:rsidP="00144866">
      <w:pPr>
        <w:pStyle w:val="NormalWeb"/>
        <w:spacing w:before="0" w:beforeAutospacing="0" w:after="0" w:afterAutospacing="0" w:line="480" w:lineRule="auto"/>
        <w:rPr>
          <w:color w:val="auto"/>
        </w:rPr>
      </w:pPr>
      <w:r w:rsidRPr="0053182F">
        <w:rPr>
          <w:i/>
          <w:iCs/>
          <w:color w:val="auto"/>
        </w:rPr>
        <w:t>……………………</w:t>
      </w:r>
      <w:r w:rsidRPr="0053182F">
        <w:rPr>
          <w:color w:val="auto"/>
        </w:rPr>
        <w:br/>
        <w:t>Nadeesha Prabhashani Perera Muthuthantrige alias Polwaththage</w:t>
      </w:r>
      <w:r w:rsidRPr="0053182F">
        <w:rPr>
          <w:color w:val="auto"/>
        </w:rPr>
        <w:br/>
        <w:t>February 2026</w:t>
      </w:r>
    </w:p>
    <w:p w14:paraId="5F20B14E" w14:textId="77777777" w:rsidR="00144866" w:rsidRPr="0053182F" w:rsidRDefault="00144866" w:rsidP="00144866">
      <w:pPr>
        <w:spacing w:after="0" w:line="480" w:lineRule="auto"/>
        <w:rPr>
          <w:color w:val="auto"/>
        </w:rPr>
      </w:pPr>
    </w:p>
    <w:p w14:paraId="043EE890" w14:textId="77777777" w:rsidR="00144866" w:rsidRPr="0053182F" w:rsidRDefault="00144866" w:rsidP="00144866">
      <w:pPr>
        <w:spacing w:after="0" w:line="480" w:lineRule="auto"/>
        <w:rPr>
          <w:color w:val="auto"/>
        </w:rPr>
      </w:pPr>
    </w:p>
    <w:p w14:paraId="7C6C8D03" w14:textId="77777777" w:rsidR="00144866" w:rsidRPr="0053182F" w:rsidRDefault="00144866" w:rsidP="00144866">
      <w:pPr>
        <w:spacing w:after="0" w:line="480" w:lineRule="auto"/>
        <w:rPr>
          <w:color w:val="auto"/>
        </w:rPr>
      </w:pPr>
    </w:p>
    <w:p w14:paraId="6B6AAED6" w14:textId="77777777" w:rsidR="00144866" w:rsidRPr="0053182F" w:rsidRDefault="00144866" w:rsidP="00144866">
      <w:pPr>
        <w:spacing w:after="0" w:line="480" w:lineRule="auto"/>
        <w:rPr>
          <w:color w:val="auto"/>
        </w:rPr>
      </w:pPr>
    </w:p>
    <w:p w14:paraId="76C24698" w14:textId="77777777" w:rsidR="00144866" w:rsidRPr="0053182F" w:rsidRDefault="00144866" w:rsidP="00144866">
      <w:pPr>
        <w:spacing w:after="0" w:line="480" w:lineRule="auto"/>
        <w:rPr>
          <w:color w:val="auto"/>
        </w:rPr>
      </w:pPr>
    </w:p>
    <w:p w14:paraId="161B22FE" w14:textId="77777777" w:rsidR="00144866" w:rsidRPr="0053182F" w:rsidRDefault="00144866" w:rsidP="00144866">
      <w:pPr>
        <w:spacing w:after="0" w:line="480" w:lineRule="auto"/>
        <w:rPr>
          <w:color w:val="auto"/>
        </w:rPr>
      </w:pPr>
    </w:p>
    <w:p w14:paraId="2A1A21CC" w14:textId="77777777" w:rsidR="00144866" w:rsidRPr="0053182F" w:rsidRDefault="00144866" w:rsidP="00144866">
      <w:pPr>
        <w:spacing w:after="0" w:line="480" w:lineRule="auto"/>
        <w:rPr>
          <w:color w:val="auto"/>
        </w:rPr>
      </w:pPr>
    </w:p>
    <w:p w14:paraId="478F5970" w14:textId="77777777" w:rsidR="00144866" w:rsidRPr="0053182F" w:rsidRDefault="00144866" w:rsidP="00144866">
      <w:pPr>
        <w:spacing w:after="0" w:line="480" w:lineRule="auto"/>
        <w:rPr>
          <w:color w:val="auto"/>
        </w:rPr>
      </w:pPr>
    </w:p>
    <w:p w14:paraId="6166FEB8" w14:textId="77777777" w:rsidR="00144866" w:rsidRPr="0053182F" w:rsidRDefault="00144866" w:rsidP="00144866">
      <w:pPr>
        <w:spacing w:after="0" w:line="480" w:lineRule="auto"/>
        <w:rPr>
          <w:color w:val="auto"/>
        </w:rPr>
      </w:pPr>
    </w:p>
    <w:p w14:paraId="4746BB4D" w14:textId="77777777" w:rsidR="00144866" w:rsidRPr="0053182F" w:rsidRDefault="00144866" w:rsidP="00144866">
      <w:pPr>
        <w:pStyle w:val="Heading1"/>
        <w:rPr>
          <w:rFonts w:cs="Times New Roman"/>
        </w:rPr>
      </w:pPr>
      <w:bookmarkStart w:id="3" w:name="_Toc218357047"/>
      <w:r w:rsidRPr="0053182F">
        <w:rPr>
          <w:rStyle w:val="Strong"/>
          <w:rFonts w:cs="Times New Roman"/>
          <w:b/>
          <w:bCs w:val="0"/>
        </w:rPr>
        <w:lastRenderedPageBreak/>
        <w:t>Acknowledgements</w:t>
      </w:r>
      <w:bookmarkEnd w:id="3"/>
    </w:p>
    <w:p w14:paraId="7F8C465F" w14:textId="77777777" w:rsidR="00144866" w:rsidRPr="0053182F" w:rsidRDefault="00144866" w:rsidP="00144866">
      <w:pPr>
        <w:pStyle w:val="NormalWeb"/>
        <w:spacing w:before="0" w:beforeAutospacing="0" w:after="0" w:afterAutospacing="0" w:line="480" w:lineRule="auto"/>
        <w:jc w:val="both"/>
        <w:rPr>
          <w:color w:val="auto"/>
        </w:rPr>
      </w:pPr>
      <w:r w:rsidRPr="0053182F">
        <w:rPr>
          <w:color w:val="auto"/>
        </w:rPr>
        <w:t>This doctoral journey has been both intellectually demanding and personally transformative. The completion of this thesis would not have been possible without the generosity, guidance, and encouragement of many individuals and institutions. I wish to express my deepest appreciation to all who have supported me throughout this endeavour.</w:t>
      </w:r>
    </w:p>
    <w:p w14:paraId="43749CB4"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First and foremost, I would like to express my heartfelt gratitude to my principal supervisor, </w:t>
      </w:r>
      <w:r w:rsidRPr="0053182F">
        <w:rPr>
          <w:rStyle w:val="Strong"/>
          <w:rFonts w:eastAsiaTheme="majorEastAsia"/>
          <w:b w:val="0"/>
          <w:bCs w:val="0"/>
          <w:color w:val="auto"/>
        </w:rPr>
        <w:t>Dr Akarum Helfaya</w:t>
      </w:r>
      <w:r w:rsidRPr="0053182F">
        <w:rPr>
          <w:color w:val="auto"/>
        </w:rPr>
        <w:t xml:space="preserve">, for his exceptional guidance, critical insight, and unwavering encouragement. His intellectual rigour, patience, and thoughtful mentorship have profoundly shaped my academic growth and strengthened the quality of this research. I am also deeply grateful to my second supervisor, </w:t>
      </w:r>
      <w:r w:rsidRPr="0053182F">
        <w:rPr>
          <w:rStyle w:val="Strong"/>
          <w:rFonts w:eastAsiaTheme="majorEastAsia"/>
          <w:b w:val="0"/>
          <w:bCs w:val="0"/>
          <w:color w:val="auto"/>
        </w:rPr>
        <w:t>Dr Geyi Xu</w:t>
      </w:r>
      <w:r w:rsidRPr="0053182F">
        <w:rPr>
          <w:color w:val="auto"/>
        </w:rPr>
        <w:t>, whose invaluable feedback, constructive advice, and continuous support greatly enriched both the theoretical and empirical dimensions of this study.</w:t>
      </w:r>
    </w:p>
    <w:p w14:paraId="6BAC7855"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My sincere thanks go to all </w:t>
      </w:r>
      <w:r w:rsidRPr="0053182F">
        <w:rPr>
          <w:rStyle w:val="Strong"/>
          <w:rFonts w:eastAsiaTheme="majorEastAsia"/>
          <w:b w:val="0"/>
          <w:bCs w:val="0"/>
          <w:color w:val="auto"/>
        </w:rPr>
        <w:t>participants and contributors</w:t>
      </w:r>
      <w:r w:rsidRPr="0053182F">
        <w:rPr>
          <w:color w:val="auto"/>
        </w:rPr>
        <w:t xml:space="preserve">, including corporate representatives, managers, and workers who generously shared their experiences and insights. Your openness and honesty have brought depth and authenticity to this research. I am also especially thankful to those who supported the </w:t>
      </w:r>
      <w:r w:rsidRPr="0053182F">
        <w:rPr>
          <w:rStyle w:val="Strong"/>
          <w:rFonts w:eastAsiaTheme="majorEastAsia"/>
          <w:b w:val="0"/>
          <w:bCs w:val="0"/>
          <w:color w:val="auto"/>
        </w:rPr>
        <w:t>data collection process</w:t>
      </w:r>
      <w:r w:rsidRPr="0053182F">
        <w:rPr>
          <w:color w:val="auto"/>
        </w:rPr>
        <w:t xml:space="preserve"> for their time, cooperation, and trust. Without your participation, this study would not have been possible.</w:t>
      </w:r>
    </w:p>
    <w:p w14:paraId="52915801" w14:textId="77777777" w:rsidR="00144866" w:rsidRPr="0053182F" w:rsidRDefault="00144866" w:rsidP="00144866">
      <w:pPr>
        <w:pStyle w:val="NormalWeb"/>
        <w:spacing w:before="0" w:beforeAutospacing="0" w:after="0" w:afterAutospacing="0" w:line="480" w:lineRule="auto"/>
        <w:jc w:val="both"/>
        <w:rPr>
          <w:color w:val="auto"/>
        </w:rPr>
      </w:pPr>
      <w:r w:rsidRPr="0053182F">
        <w:rPr>
          <w:color w:val="auto"/>
        </w:rPr>
        <w:t xml:space="preserve">I gratefully acknowledge the </w:t>
      </w:r>
      <w:r w:rsidRPr="0053182F">
        <w:rPr>
          <w:rStyle w:val="Strong"/>
          <w:rFonts w:eastAsiaTheme="majorEastAsia"/>
          <w:b w:val="0"/>
          <w:bCs w:val="0"/>
          <w:color w:val="auto"/>
        </w:rPr>
        <w:t>academic institutions and organisations</w:t>
      </w:r>
      <w:r w:rsidRPr="0053182F">
        <w:rPr>
          <w:color w:val="auto"/>
        </w:rPr>
        <w:t xml:space="preserve"> that facilitated this research, providing essential resources, administrative support, and scholarly networks that enabled the successful completion of this project.</w:t>
      </w:r>
    </w:p>
    <w:p w14:paraId="2CE9F369"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To my </w:t>
      </w:r>
      <w:r w:rsidRPr="0053182F">
        <w:rPr>
          <w:rStyle w:val="Strong"/>
          <w:rFonts w:eastAsiaTheme="majorEastAsia"/>
          <w:color w:val="auto"/>
        </w:rPr>
        <w:t>f</w:t>
      </w:r>
      <w:r w:rsidRPr="0053182F">
        <w:rPr>
          <w:rStyle w:val="Strong"/>
          <w:rFonts w:eastAsiaTheme="majorEastAsia"/>
          <w:b w:val="0"/>
          <w:bCs w:val="0"/>
          <w:color w:val="auto"/>
        </w:rPr>
        <w:t>amily</w:t>
      </w:r>
      <w:r w:rsidRPr="0053182F">
        <w:rPr>
          <w:color w:val="auto"/>
        </w:rPr>
        <w:t xml:space="preserve">, I owe my deepest gratitude. My husband, </w:t>
      </w:r>
      <w:r w:rsidRPr="0053182F">
        <w:rPr>
          <w:rStyle w:val="Strong"/>
          <w:rFonts w:eastAsiaTheme="majorEastAsia"/>
          <w:b w:val="0"/>
          <w:bCs w:val="0"/>
          <w:color w:val="auto"/>
        </w:rPr>
        <w:t>Mr Dhammika Heenatigala</w:t>
      </w:r>
      <w:r w:rsidRPr="0053182F">
        <w:rPr>
          <w:color w:val="auto"/>
        </w:rPr>
        <w:t xml:space="preserve">, has been my constant pillar of strength—his love, patience, and unwavering belief in me have sustained me throughout this long journey. To my three wonderful children, </w:t>
      </w:r>
      <w:r w:rsidRPr="0053182F">
        <w:rPr>
          <w:rStyle w:val="Strong"/>
          <w:rFonts w:eastAsiaTheme="majorEastAsia"/>
          <w:b w:val="0"/>
          <w:bCs w:val="0"/>
          <w:color w:val="auto"/>
        </w:rPr>
        <w:t>Dihain</w:t>
      </w:r>
      <w:r w:rsidRPr="0053182F">
        <w:rPr>
          <w:b/>
          <w:bCs/>
          <w:color w:val="auto"/>
        </w:rPr>
        <w:t xml:space="preserve">, </w:t>
      </w:r>
      <w:r w:rsidRPr="0053182F">
        <w:rPr>
          <w:rStyle w:val="Strong"/>
          <w:rFonts w:eastAsiaTheme="majorEastAsia"/>
          <w:b w:val="0"/>
          <w:bCs w:val="0"/>
          <w:color w:val="auto"/>
        </w:rPr>
        <w:t>Sawain</w:t>
      </w:r>
      <w:r w:rsidRPr="0053182F">
        <w:rPr>
          <w:b/>
          <w:bCs/>
          <w:color w:val="auto"/>
        </w:rPr>
        <w:t>,</w:t>
      </w:r>
      <w:r w:rsidRPr="0053182F">
        <w:rPr>
          <w:color w:val="auto"/>
        </w:rPr>
        <w:t xml:space="preserve"> and </w:t>
      </w:r>
      <w:r w:rsidRPr="0053182F">
        <w:rPr>
          <w:rStyle w:val="Strong"/>
          <w:rFonts w:eastAsiaTheme="majorEastAsia"/>
          <w:b w:val="0"/>
          <w:bCs w:val="0"/>
          <w:color w:val="auto"/>
        </w:rPr>
        <w:t>Amelia—thank</w:t>
      </w:r>
      <w:r w:rsidRPr="0053182F">
        <w:rPr>
          <w:color w:val="auto"/>
        </w:rPr>
        <w:t xml:space="preserve"> you for your understanding, patience, and encouragement. Your smiles </w:t>
      </w:r>
      <w:r w:rsidRPr="0053182F">
        <w:rPr>
          <w:color w:val="auto"/>
        </w:rPr>
        <w:lastRenderedPageBreak/>
        <w:t>and laughter reminded me every day of what truly matters and gave me the strength to persevere through the most challenging times.</w:t>
      </w:r>
    </w:p>
    <w:p w14:paraId="262BBCD7"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To my </w:t>
      </w:r>
      <w:r w:rsidRPr="0053182F">
        <w:rPr>
          <w:rStyle w:val="Strong"/>
          <w:rFonts w:eastAsiaTheme="majorEastAsia"/>
          <w:b w:val="0"/>
          <w:bCs w:val="0"/>
          <w:color w:val="auto"/>
        </w:rPr>
        <w:t>parents</w:t>
      </w:r>
      <w:r w:rsidRPr="0053182F">
        <w:rPr>
          <w:b/>
          <w:bCs/>
          <w:color w:val="auto"/>
        </w:rPr>
        <w:t xml:space="preserve">, </w:t>
      </w:r>
      <w:r w:rsidRPr="0053182F">
        <w:rPr>
          <w:rStyle w:val="Strong"/>
          <w:rFonts w:eastAsiaTheme="majorEastAsia"/>
          <w:b w:val="0"/>
          <w:bCs w:val="0"/>
          <w:color w:val="auto"/>
        </w:rPr>
        <w:t>Mr Gunadasa Muthuthantrige</w:t>
      </w:r>
      <w:r w:rsidRPr="0053182F">
        <w:rPr>
          <w:color w:val="auto"/>
        </w:rPr>
        <w:t xml:space="preserve"> and </w:t>
      </w:r>
      <w:r w:rsidRPr="0053182F">
        <w:rPr>
          <w:rStyle w:val="Strong"/>
          <w:rFonts w:eastAsiaTheme="majorEastAsia"/>
          <w:b w:val="0"/>
          <w:bCs w:val="0"/>
          <w:color w:val="auto"/>
        </w:rPr>
        <w:t>Mrs Nanadawathie Polwaththa Gamage</w:t>
      </w:r>
      <w:r w:rsidRPr="0053182F">
        <w:rPr>
          <w:color w:val="auto"/>
        </w:rPr>
        <w:t xml:space="preserve">, and my </w:t>
      </w:r>
      <w:r w:rsidRPr="0053182F">
        <w:rPr>
          <w:rStyle w:val="Strong"/>
          <w:rFonts w:eastAsiaTheme="majorEastAsia"/>
          <w:b w:val="0"/>
          <w:bCs w:val="0"/>
          <w:color w:val="auto"/>
        </w:rPr>
        <w:t>brother, Mr Nuwan Manjula</w:t>
      </w:r>
      <w:r w:rsidRPr="0053182F">
        <w:rPr>
          <w:color w:val="auto"/>
        </w:rPr>
        <w:t xml:space="preserve">, in </w:t>
      </w:r>
      <w:r w:rsidRPr="0053182F">
        <w:rPr>
          <w:rStyle w:val="Strong"/>
          <w:rFonts w:eastAsiaTheme="majorEastAsia"/>
          <w:b w:val="0"/>
          <w:bCs w:val="0"/>
          <w:color w:val="auto"/>
        </w:rPr>
        <w:t>Sri Lanka</w:t>
      </w:r>
      <w:r w:rsidRPr="0053182F">
        <w:rPr>
          <w:color w:val="auto"/>
        </w:rPr>
        <w:t>—your unconditional love, support, and sacrifices have been the foundation of all my achievements. Though far away, your encouragement and faith in me have been a constant source of motivation and comfort.</w:t>
      </w:r>
    </w:p>
    <w:p w14:paraId="76F858B2"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Finally, I extend my heartfelt thanks to all those who, in ways both big and small, offered words of encouragement, shared advice, or helped me navigate the complexities of this research. This thesis is dedicated to my family and to all who continue to strive for ethical, fair, and humane global supply chains.</w:t>
      </w:r>
    </w:p>
    <w:p w14:paraId="306FA7A4" w14:textId="77777777" w:rsidR="00144866" w:rsidRPr="0053182F" w:rsidRDefault="00144866" w:rsidP="00144866">
      <w:pPr>
        <w:pStyle w:val="NormalWeb"/>
        <w:spacing w:before="0" w:beforeAutospacing="0" w:after="0" w:afterAutospacing="0" w:line="480" w:lineRule="auto"/>
        <w:rPr>
          <w:color w:val="auto"/>
        </w:rPr>
      </w:pPr>
    </w:p>
    <w:p w14:paraId="467F0589" w14:textId="77777777" w:rsidR="00144866" w:rsidRPr="0053182F" w:rsidRDefault="00144866" w:rsidP="00144866">
      <w:pPr>
        <w:pStyle w:val="NormalWeb"/>
        <w:spacing w:before="0" w:beforeAutospacing="0" w:after="0" w:afterAutospacing="0" w:line="480" w:lineRule="auto"/>
        <w:rPr>
          <w:color w:val="auto"/>
        </w:rPr>
      </w:pPr>
    </w:p>
    <w:p w14:paraId="12043323" w14:textId="77777777" w:rsidR="00144866" w:rsidRPr="0053182F" w:rsidRDefault="00144866" w:rsidP="00144866">
      <w:pPr>
        <w:pStyle w:val="NormalWeb"/>
        <w:spacing w:before="0" w:beforeAutospacing="0" w:after="0" w:afterAutospacing="0" w:line="480" w:lineRule="auto"/>
        <w:jc w:val="both"/>
        <w:rPr>
          <w:color w:val="auto"/>
        </w:rPr>
      </w:pPr>
    </w:p>
    <w:p w14:paraId="462A7B70" w14:textId="77777777" w:rsidR="00144866" w:rsidRPr="0053182F" w:rsidRDefault="00144866" w:rsidP="00144866">
      <w:pPr>
        <w:pStyle w:val="NormalWeb"/>
        <w:spacing w:before="0" w:beforeAutospacing="0" w:after="0" w:afterAutospacing="0" w:line="480" w:lineRule="auto"/>
        <w:rPr>
          <w:color w:val="auto"/>
        </w:rPr>
      </w:pPr>
    </w:p>
    <w:p w14:paraId="66CE5A97" w14:textId="77777777" w:rsidR="00144866" w:rsidRPr="0053182F" w:rsidRDefault="00144866" w:rsidP="00144866">
      <w:pPr>
        <w:pStyle w:val="NormalWeb"/>
        <w:spacing w:before="0" w:beforeAutospacing="0" w:after="0" w:afterAutospacing="0" w:line="480" w:lineRule="auto"/>
        <w:rPr>
          <w:color w:val="auto"/>
        </w:rPr>
      </w:pPr>
    </w:p>
    <w:p w14:paraId="15764A12" w14:textId="77777777" w:rsidR="00144866" w:rsidRPr="0053182F" w:rsidRDefault="00144866" w:rsidP="00144866">
      <w:pPr>
        <w:pStyle w:val="NormalWeb"/>
        <w:spacing w:before="0" w:beforeAutospacing="0" w:after="0" w:afterAutospacing="0" w:line="480" w:lineRule="auto"/>
        <w:rPr>
          <w:color w:val="auto"/>
        </w:rPr>
      </w:pPr>
    </w:p>
    <w:p w14:paraId="760447A3" w14:textId="77777777" w:rsidR="00144866" w:rsidRPr="0053182F" w:rsidRDefault="00144866" w:rsidP="00144866">
      <w:pPr>
        <w:pStyle w:val="NormalWeb"/>
        <w:spacing w:before="0" w:beforeAutospacing="0" w:after="0" w:afterAutospacing="0" w:line="480" w:lineRule="auto"/>
        <w:rPr>
          <w:color w:val="auto"/>
        </w:rPr>
      </w:pPr>
    </w:p>
    <w:p w14:paraId="1D3D33C6" w14:textId="77777777" w:rsidR="00144866" w:rsidRPr="0053182F" w:rsidRDefault="00144866" w:rsidP="00144866">
      <w:pPr>
        <w:pStyle w:val="NormalWeb"/>
        <w:spacing w:before="0" w:beforeAutospacing="0" w:after="0" w:afterAutospacing="0" w:line="480" w:lineRule="auto"/>
        <w:rPr>
          <w:color w:val="auto"/>
        </w:rPr>
      </w:pPr>
    </w:p>
    <w:p w14:paraId="4FF7FAA3" w14:textId="77777777" w:rsidR="00144866" w:rsidRPr="0053182F" w:rsidRDefault="00144866" w:rsidP="00144866">
      <w:pPr>
        <w:pStyle w:val="NormalWeb"/>
        <w:spacing w:before="0" w:beforeAutospacing="0" w:after="0" w:afterAutospacing="0" w:line="480" w:lineRule="auto"/>
        <w:rPr>
          <w:color w:val="auto"/>
        </w:rPr>
      </w:pPr>
    </w:p>
    <w:p w14:paraId="77571288" w14:textId="77777777" w:rsidR="00144866" w:rsidRPr="0053182F" w:rsidRDefault="00144866" w:rsidP="00144866">
      <w:pPr>
        <w:pStyle w:val="NormalWeb"/>
        <w:spacing w:before="0" w:beforeAutospacing="0" w:after="0" w:afterAutospacing="0" w:line="480" w:lineRule="auto"/>
        <w:rPr>
          <w:color w:val="auto"/>
        </w:rPr>
      </w:pPr>
    </w:p>
    <w:p w14:paraId="626EEB02" w14:textId="77777777" w:rsidR="00144866" w:rsidRPr="0053182F" w:rsidRDefault="00144866" w:rsidP="00144866">
      <w:pPr>
        <w:pStyle w:val="NormalWeb"/>
        <w:spacing w:before="0" w:beforeAutospacing="0" w:after="0" w:afterAutospacing="0" w:line="480" w:lineRule="auto"/>
        <w:rPr>
          <w:color w:val="auto"/>
        </w:rPr>
      </w:pPr>
    </w:p>
    <w:p w14:paraId="543A9274" w14:textId="77777777" w:rsidR="00144866" w:rsidRPr="0053182F" w:rsidRDefault="00144866" w:rsidP="00144866">
      <w:pPr>
        <w:pStyle w:val="NormalWeb"/>
        <w:spacing w:before="0" w:beforeAutospacing="0" w:after="0" w:afterAutospacing="0" w:line="480" w:lineRule="auto"/>
        <w:rPr>
          <w:color w:val="auto"/>
        </w:rPr>
      </w:pPr>
    </w:p>
    <w:p w14:paraId="6611471A" w14:textId="77777777" w:rsidR="00144866" w:rsidRPr="0053182F" w:rsidRDefault="00144866" w:rsidP="00144866">
      <w:pPr>
        <w:pStyle w:val="NormalWeb"/>
        <w:spacing w:before="0" w:beforeAutospacing="0" w:after="0" w:afterAutospacing="0" w:line="480" w:lineRule="auto"/>
        <w:rPr>
          <w:color w:val="auto"/>
        </w:rPr>
      </w:pPr>
    </w:p>
    <w:p w14:paraId="3FE19DEA" w14:textId="77777777" w:rsidR="00144866" w:rsidRPr="0053182F" w:rsidRDefault="00144866" w:rsidP="00144866">
      <w:pPr>
        <w:pStyle w:val="NormalWeb"/>
        <w:spacing w:before="0" w:beforeAutospacing="0" w:after="0" w:afterAutospacing="0" w:line="480" w:lineRule="auto"/>
        <w:rPr>
          <w:color w:val="auto"/>
        </w:rPr>
      </w:pPr>
    </w:p>
    <w:p w14:paraId="4D74024F" w14:textId="77777777" w:rsidR="00144866" w:rsidRPr="0053182F" w:rsidRDefault="00144866" w:rsidP="00144866">
      <w:pPr>
        <w:pStyle w:val="NormalWeb"/>
        <w:spacing w:before="0" w:beforeAutospacing="0" w:after="0" w:afterAutospacing="0" w:line="480" w:lineRule="auto"/>
        <w:rPr>
          <w:color w:val="auto"/>
        </w:rPr>
      </w:pPr>
    </w:p>
    <w:p w14:paraId="7689648A" w14:textId="77777777" w:rsidR="00144866" w:rsidRPr="0053182F" w:rsidRDefault="00144866" w:rsidP="00144866">
      <w:pPr>
        <w:pStyle w:val="NormalWeb"/>
        <w:spacing w:before="0" w:beforeAutospacing="0" w:after="0" w:afterAutospacing="0" w:line="480" w:lineRule="auto"/>
        <w:rPr>
          <w:color w:val="auto"/>
        </w:rPr>
      </w:pPr>
    </w:p>
    <w:p w14:paraId="0FE30C27" w14:textId="77777777" w:rsidR="00144866" w:rsidRPr="0053182F" w:rsidRDefault="00144866" w:rsidP="00144866">
      <w:pPr>
        <w:pStyle w:val="Heading1"/>
        <w:rPr>
          <w:rFonts w:cs="Times New Roman"/>
        </w:rPr>
      </w:pPr>
      <w:bookmarkStart w:id="4" w:name="_Toc218357048"/>
      <w:r w:rsidRPr="0053182F">
        <w:rPr>
          <w:rStyle w:val="Strong"/>
          <w:rFonts w:cs="Times New Roman"/>
          <w:b/>
          <w:bCs w:val="0"/>
        </w:rPr>
        <w:t>Abstract</w:t>
      </w:r>
      <w:bookmarkEnd w:id="4"/>
    </w:p>
    <w:p w14:paraId="1455FE20" w14:textId="77777777" w:rsidR="00144866" w:rsidRPr="0053182F" w:rsidRDefault="00144866" w:rsidP="00144866">
      <w:pPr>
        <w:pStyle w:val="NormalWeb"/>
        <w:spacing w:before="0" w:beforeAutospacing="0" w:after="0" w:afterAutospacing="0" w:line="480" w:lineRule="auto"/>
        <w:rPr>
          <w:color w:val="auto"/>
        </w:rPr>
      </w:pPr>
    </w:p>
    <w:p w14:paraId="4202CFD1" w14:textId="77777777" w:rsidR="00144866" w:rsidRPr="0053182F" w:rsidRDefault="00144866" w:rsidP="00144866">
      <w:pPr>
        <w:pStyle w:val="NormalWeb"/>
        <w:spacing w:before="0" w:beforeAutospacing="0" w:after="0" w:afterAutospacing="0" w:line="480" w:lineRule="auto"/>
        <w:rPr>
          <w:color w:val="auto"/>
        </w:rPr>
      </w:pPr>
    </w:p>
    <w:p w14:paraId="00EB55A1" w14:textId="77777777" w:rsidR="00144866" w:rsidRPr="0053182F" w:rsidRDefault="00144866" w:rsidP="00144866">
      <w:pPr>
        <w:pStyle w:val="NormalWeb"/>
        <w:spacing w:before="0" w:beforeAutospacing="0" w:after="0" w:afterAutospacing="0" w:line="480" w:lineRule="auto"/>
        <w:rPr>
          <w:color w:val="auto"/>
        </w:rPr>
      </w:pPr>
    </w:p>
    <w:p w14:paraId="5F40A6A7" w14:textId="77777777" w:rsidR="00144866" w:rsidRPr="0053182F" w:rsidRDefault="00144866" w:rsidP="00144866">
      <w:pPr>
        <w:pStyle w:val="NormalWeb"/>
        <w:spacing w:before="0" w:beforeAutospacing="0" w:after="0" w:afterAutospacing="0" w:line="480" w:lineRule="auto"/>
        <w:rPr>
          <w:color w:val="auto"/>
        </w:rPr>
      </w:pPr>
    </w:p>
    <w:p w14:paraId="4E46321B" w14:textId="77777777" w:rsidR="00144866" w:rsidRPr="0053182F" w:rsidRDefault="00144866" w:rsidP="00144866">
      <w:pPr>
        <w:pStyle w:val="NormalWeb"/>
        <w:spacing w:before="0" w:beforeAutospacing="0" w:after="0" w:afterAutospacing="0" w:line="480" w:lineRule="auto"/>
        <w:rPr>
          <w:color w:val="auto"/>
        </w:rPr>
      </w:pPr>
    </w:p>
    <w:p w14:paraId="75FD0827" w14:textId="77777777" w:rsidR="00144866" w:rsidRPr="0053182F" w:rsidRDefault="00144866" w:rsidP="00144866">
      <w:pPr>
        <w:pStyle w:val="NormalWeb"/>
        <w:spacing w:before="0" w:beforeAutospacing="0" w:after="0" w:afterAutospacing="0" w:line="480" w:lineRule="auto"/>
        <w:rPr>
          <w:color w:val="auto"/>
        </w:rPr>
      </w:pPr>
    </w:p>
    <w:p w14:paraId="072EB1EA" w14:textId="77777777" w:rsidR="00144866" w:rsidRPr="0053182F" w:rsidRDefault="00144866" w:rsidP="00144866">
      <w:pPr>
        <w:pStyle w:val="NormalWeb"/>
        <w:spacing w:before="0" w:beforeAutospacing="0" w:after="0" w:afterAutospacing="0" w:line="480" w:lineRule="auto"/>
        <w:rPr>
          <w:color w:val="auto"/>
        </w:rPr>
      </w:pPr>
    </w:p>
    <w:p w14:paraId="256C074C" w14:textId="77777777" w:rsidR="00144866" w:rsidRPr="0053182F" w:rsidRDefault="00144866" w:rsidP="00144866">
      <w:pPr>
        <w:pStyle w:val="NormalWeb"/>
        <w:spacing w:before="0" w:beforeAutospacing="0" w:after="0" w:afterAutospacing="0" w:line="480" w:lineRule="auto"/>
        <w:rPr>
          <w:color w:val="auto"/>
        </w:rPr>
      </w:pPr>
    </w:p>
    <w:p w14:paraId="3C60A54F" w14:textId="77777777" w:rsidR="00144866" w:rsidRPr="0053182F" w:rsidRDefault="00144866" w:rsidP="00144866">
      <w:pPr>
        <w:pStyle w:val="NormalWeb"/>
        <w:spacing w:before="0" w:beforeAutospacing="0" w:after="0" w:afterAutospacing="0" w:line="480" w:lineRule="auto"/>
        <w:rPr>
          <w:color w:val="auto"/>
        </w:rPr>
      </w:pPr>
    </w:p>
    <w:p w14:paraId="62B2921A" w14:textId="77777777" w:rsidR="00144866" w:rsidRPr="0053182F" w:rsidRDefault="00144866" w:rsidP="00144866">
      <w:pPr>
        <w:pStyle w:val="NormalWeb"/>
        <w:spacing w:before="0" w:beforeAutospacing="0" w:after="0" w:afterAutospacing="0" w:line="480" w:lineRule="auto"/>
        <w:rPr>
          <w:color w:val="auto"/>
        </w:rPr>
      </w:pPr>
    </w:p>
    <w:p w14:paraId="779BD771" w14:textId="77777777" w:rsidR="00144866" w:rsidRPr="0053182F" w:rsidRDefault="00144866" w:rsidP="00144866">
      <w:pPr>
        <w:pStyle w:val="NormalWeb"/>
        <w:spacing w:before="0" w:beforeAutospacing="0" w:after="0" w:afterAutospacing="0" w:line="480" w:lineRule="auto"/>
        <w:rPr>
          <w:color w:val="auto"/>
        </w:rPr>
      </w:pPr>
    </w:p>
    <w:p w14:paraId="30A50EC0" w14:textId="77777777" w:rsidR="00144866" w:rsidRPr="0053182F" w:rsidRDefault="00144866" w:rsidP="00144866">
      <w:pPr>
        <w:pStyle w:val="NormalWeb"/>
        <w:spacing w:before="0" w:beforeAutospacing="0" w:after="0" w:afterAutospacing="0" w:line="480" w:lineRule="auto"/>
        <w:rPr>
          <w:color w:val="auto"/>
        </w:rPr>
      </w:pPr>
    </w:p>
    <w:p w14:paraId="4733A99A" w14:textId="77777777" w:rsidR="00144866" w:rsidRPr="0053182F" w:rsidRDefault="00144866" w:rsidP="00144866">
      <w:pPr>
        <w:pStyle w:val="NormalWeb"/>
        <w:spacing w:before="0" w:beforeAutospacing="0" w:after="0" w:afterAutospacing="0" w:line="480" w:lineRule="auto"/>
        <w:rPr>
          <w:color w:val="auto"/>
        </w:rPr>
      </w:pPr>
    </w:p>
    <w:p w14:paraId="23FE4839" w14:textId="77777777" w:rsidR="00144866" w:rsidRPr="0053182F" w:rsidRDefault="00144866" w:rsidP="00144866">
      <w:pPr>
        <w:pStyle w:val="NormalWeb"/>
        <w:spacing w:before="0" w:beforeAutospacing="0" w:after="0" w:afterAutospacing="0" w:line="480" w:lineRule="auto"/>
        <w:rPr>
          <w:color w:val="auto"/>
        </w:rPr>
      </w:pPr>
    </w:p>
    <w:p w14:paraId="6D256CED" w14:textId="77777777" w:rsidR="00144866" w:rsidRPr="0053182F" w:rsidRDefault="00144866" w:rsidP="00144866">
      <w:pPr>
        <w:pStyle w:val="NormalWeb"/>
        <w:spacing w:before="0" w:beforeAutospacing="0" w:after="0" w:afterAutospacing="0" w:line="480" w:lineRule="auto"/>
        <w:rPr>
          <w:color w:val="auto"/>
        </w:rPr>
      </w:pPr>
    </w:p>
    <w:p w14:paraId="4FD09F1B" w14:textId="77777777" w:rsidR="00144866" w:rsidRPr="0053182F" w:rsidRDefault="00144866" w:rsidP="00144866">
      <w:pPr>
        <w:pStyle w:val="NormalWeb"/>
        <w:spacing w:before="0" w:beforeAutospacing="0" w:after="0" w:afterAutospacing="0" w:line="480" w:lineRule="auto"/>
        <w:rPr>
          <w:color w:val="auto"/>
        </w:rPr>
      </w:pPr>
    </w:p>
    <w:p w14:paraId="1174B4F0" w14:textId="77777777" w:rsidR="00144866" w:rsidRPr="0053182F" w:rsidRDefault="00144866" w:rsidP="00144866">
      <w:pPr>
        <w:pStyle w:val="NormalWeb"/>
        <w:spacing w:before="0" w:beforeAutospacing="0" w:after="0" w:afterAutospacing="0" w:line="480" w:lineRule="auto"/>
        <w:rPr>
          <w:color w:val="auto"/>
        </w:rPr>
      </w:pPr>
    </w:p>
    <w:p w14:paraId="454E24C4" w14:textId="77777777" w:rsidR="00144866" w:rsidRPr="0053182F" w:rsidRDefault="00144866" w:rsidP="00144866">
      <w:pPr>
        <w:pStyle w:val="NormalWeb"/>
        <w:spacing w:before="0" w:beforeAutospacing="0" w:after="0" w:afterAutospacing="0" w:line="480" w:lineRule="auto"/>
        <w:rPr>
          <w:color w:val="auto"/>
        </w:rPr>
      </w:pPr>
    </w:p>
    <w:p w14:paraId="61E55B47" w14:textId="77777777" w:rsidR="00144866" w:rsidRPr="0053182F" w:rsidRDefault="00144866" w:rsidP="00144866">
      <w:pPr>
        <w:pStyle w:val="NormalWeb"/>
        <w:spacing w:before="0" w:beforeAutospacing="0" w:after="0" w:afterAutospacing="0" w:line="480" w:lineRule="auto"/>
        <w:rPr>
          <w:color w:val="auto"/>
        </w:rPr>
      </w:pPr>
    </w:p>
    <w:p w14:paraId="36EB9819" w14:textId="77777777" w:rsidR="00144866" w:rsidRPr="0053182F" w:rsidRDefault="00144866" w:rsidP="00144866">
      <w:pPr>
        <w:pStyle w:val="NormalWeb"/>
        <w:spacing w:before="0" w:beforeAutospacing="0" w:after="0" w:afterAutospacing="0" w:line="480" w:lineRule="auto"/>
        <w:rPr>
          <w:color w:val="auto"/>
        </w:rPr>
      </w:pPr>
    </w:p>
    <w:p w14:paraId="52F3DA84" w14:textId="77777777" w:rsidR="00F53768" w:rsidRPr="0053182F" w:rsidRDefault="00F53768" w:rsidP="00144866">
      <w:pPr>
        <w:pStyle w:val="NormalWeb"/>
        <w:spacing w:before="0" w:beforeAutospacing="0" w:after="0" w:afterAutospacing="0" w:line="480" w:lineRule="auto"/>
        <w:rPr>
          <w:color w:val="auto"/>
        </w:rPr>
      </w:pPr>
    </w:p>
    <w:p w14:paraId="0736C0BE" w14:textId="77777777" w:rsidR="00144866" w:rsidRPr="0053182F" w:rsidRDefault="00144866" w:rsidP="00144866">
      <w:pPr>
        <w:pStyle w:val="Heading1"/>
        <w:rPr>
          <w:rStyle w:val="Strong"/>
          <w:rFonts w:cs="Times New Roman"/>
          <w:b/>
          <w:bCs w:val="0"/>
        </w:rPr>
      </w:pPr>
      <w:bookmarkStart w:id="5" w:name="_Toc218357049"/>
      <w:r w:rsidRPr="0053182F">
        <w:rPr>
          <w:rStyle w:val="Strong"/>
          <w:rFonts w:cs="Times New Roman"/>
          <w:b/>
          <w:bCs w:val="0"/>
        </w:rPr>
        <w:lastRenderedPageBreak/>
        <w:t>List of Contents</w:t>
      </w:r>
      <w:bookmarkEnd w:id="5"/>
    </w:p>
    <w:sdt>
      <w:sdtPr>
        <w:rPr>
          <w:rFonts w:ascii="Times New Roman" w:eastAsiaTheme="minorHAnsi" w:hAnsi="Times New Roman"/>
          <w:b/>
          <w:color w:val="000000"/>
          <w:kern w:val="2"/>
          <w:sz w:val="24"/>
          <w:szCs w:val="24"/>
          <w:lang w:val="en-GB"/>
          <w14:ligatures w14:val="standardContextual"/>
        </w:rPr>
        <w:id w:val="-819959286"/>
        <w:docPartObj>
          <w:docPartGallery w:val="Table of Contents"/>
          <w:docPartUnique/>
        </w:docPartObj>
      </w:sdtPr>
      <w:sdtEndPr>
        <w:rPr>
          <w:b w:val="0"/>
        </w:rPr>
      </w:sdtEndPr>
      <w:sdtContent>
        <w:p w14:paraId="5BCAD0F5" w14:textId="29889C1E" w:rsidR="00CC3CA8" w:rsidRPr="0053182F" w:rsidRDefault="00144866">
          <w:pPr>
            <w:pStyle w:val="TOC1"/>
            <w:tabs>
              <w:tab w:val="right" w:leader="dot" w:pos="9016"/>
            </w:tabs>
            <w:rPr>
              <w:rFonts w:ascii="Times New Roman" w:hAnsi="Times New Roman"/>
              <w:noProof/>
              <w:kern w:val="2"/>
              <w:sz w:val="24"/>
              <w:szCs w:val="24"/>
              <w:lang w:val="en-GB" w:eastAsia="en-GB"/>
              <w14:ligatures w14:val="standardContextual"/>
            </w:rPr>
          </w:pPr>
          <w:r w:rsidRPr="0053182F">
            <w:rPr>
              <w:rFonts w:ascii="Times New Roman" w:hAnsi="Times New Roman"/>
              <w:lang w:eastAsia="en-GB"/>
            </w:rPr>
            <w:fldChar w:fldCharType="begin"/>
          </w:r>
          <w:r w:rsidRPr="0053182F">
            <w:rPr>
              <w:rFonts w:ascii="Times New Roman" w:hAnsi="Times New Roman"/>
            </w:rPr>
            <w:instrText xml:space="preserve"> TOC \o "1-3" \h \z \u </w:instrText>
          </w:r>
          <w:r w:rsidRPr="0053182F">
            <w:rPr>
              <w:rFonts w:ascii="Times New Roman" w:hAnsi="Times New Roman"/>
              <w:lang w:eastAsia="en-GB"/>
            </w:rPr>
            <w:fldChar w:fldCharType="separate"/>
          </w:r>
          <w:hyperlink w:anchor="_Toc218357044" w:history="1">
            <w:r w:rsidR="00CC3CA8" w:rsidRPr="0053182F">
              <w:rPr>
                <w:rStyle w:val="Hyperlink"/>
                <w:rFonts w:ascii="Times New Roman" w:hAnsi="Times New Roman"/>
                <w:noProof/>
              </w:rPr>
              <w:t>Governing Modern Slavery: Corporate Commitments and Worker Realities</w:t>
            </w:r>
            <w:r w:rsidR="00CC3CA8" w:rsidRPr="0053182F">
              <w:rPr>
                <w:rFonts w:ascii="Times New Roman" w:hAnsi="Times New Roman"/>
                <w:noProof/>
                <w:webHidden/>
              </w:rPr>
              <w:tab/>
            </w:r>
            <w:r w:rsidR="00CC3CA8" w:rsidRPr="0053182F">
              <w:rPr>
                <w:rFonts w:ascii="Times New Roman" w:hAnsi="Times New Roman"/>
                <w:noProof/>
                <w:webHidden/>
              </w:rPr>
              <w:fldChar w:fldCharType="begin"/>
            </w:r>
            <w:r w:rsidR="00CC3CA8" w:rsidRPr="0053182F">
              <w:rPr>
                <w:rFonts w:ascii="Times New Roman" w:hAnsi="Times New Roman"/>
                <w:noProof/>
                <w:webHidden/>
              </w:rPr>
              <w:instrText xml:space="preserve"> PAGEREF _Toc218357044 \h </w:instrText>
            </w:r>
            <w:r w:rsidR="00CC3CA8" w:rsidRPr="0053182F">
              <w:rPr>
                <w:rFonts w:ascii="Times New Roman" w:hAnsi="Times New Roman"/>
                <w:noProof/>
                <w:webHidden/>
              </w:rPr>
            </w:r>
            <w:r w:rsidR="00CC3CA8" w:rsidRPr="0053182F">
              <w:rPr>
                <w:rFonts w:ascii="Times New Roman" w:hAnsi="Times New Roman"/>
                <w:noProof/>
                <w:webHidden/>
              </w:rPr>
              <w:fldChar w:fldCharType="separate"/>
            </w:r>
            <w:r w:rsidR="00CC3CA8" w:rsidRPr="0053182F">
              <w:rPr>
                <w:rFonts w:ascii="Times New Roman" w:hAnsi="Times New Roman"/>
                <w:noProof/>
                <w:webHidden/>
              </w:rPr>
              <w:t>0</w:t>
            </w:r>
            <w:r w:rsidR="00CC3CA8" w:rsidRPr="0053182F">
              <w:rPr>
                <w:rFonts w:ascii="Times New Roman" w:hAnsi="Times New Roman"/>
                <w:noProof/>
                <w:webHidden/>
              </w:rPr>
              <w:fldChar w:fldCharType="end"/>
            </w:r>
          </w:hyperlink>
        </w:p>
        <w:p w14:paraId="0EBF2724" w14:textId="5E705E48"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45" w:history="1">
            <w:r w:rsidRPr="0053182F">
              <w:rPr>
                <w:rStyle w:val="Hyperlink"/>
                <w:rFonts w:ascii="Times New Roman" w:hAnsi="Times New Roman"/>
                <w:noProof/>
              </w:rPr>
              <w:t>Across Global and Local Contexts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_Toc218357045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0</w:t>
            </w:r>
            <w:r w:rsidRPr="0053182F">
              <w:rPr>
                <w:rFonts w:ascii="Times New Roman" w:hAnsi="Times New Roman"/>
                <w:noProof/>
                <w:webHidden/>
              </w:rPr>
              <w:fldChar w:fldCharType="end"/>
            </w:r>
          </w:hyperlink>
        </w:p>
        <w:p w14:paraId="564D4547" w14:textId="323391F7"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46" w:history="1">
            <w:r w:rsidRPr="0053182F">
              <w:rPr>
                <w:rStyle w:val="Hyperlink"/>
                <w:rFonts w:ascii="Times New Roman" w:hAnsi="Times New Roman"/>
                <w:noProof/>
              </w:rPr>
              <w:t>Declaration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_Toc218357046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w:t>
            </w:r>
            <w:r w:rsidRPr="0053182F">
              <w:rPr>
                <w:rFonts w:ascii="Times New Roman" w:hAnsi="Times New Roman"/>
                <w:noProof/>
                <w:webHidden/>
              </w:rPr>
              <w:fldChar w:fldCharType="end"/>
            </w:r>
          </w:hyperlink>
        </w:p>
        <w:p w14:paraId="6D678D48" w14:textId="0DC31E49"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47" w:history="1">
            <w:r w:rsidRPr="0053182F">
              <w:rPr>
                <w:rStyle w:val="Hyperlink"/>
                <w:rFonts w:ascii="Times New Roman" w:hAnsi="Times New Roman"/>
                <w:noProof/>
              </w:rPr>
              <w:t>Acknowledgements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_Toc218357047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w:t>
            </w:r>
            <w:r w:rsidRPr="0053182F">
              <w:rPr>
                <w:rFonts w:ascii="Times New Roman" w:hAnsi="Times New Roman"/>
                <w:noProof/>
                <w:webHidden/>
              </w:rPr>
              <w:fldChar w:fldCharType="end"/>
            </w:r>
          </w:hyperlink>
        </w:p>
        <w:p w14:paraId="38A3F0DA" w14:textId="31F7D173"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48" w:history="1">
            <w:r w:rsidRPr="0053182F">
              <w:rPr>
                <w:rStyle w:val="Hyperlink"/>
                <w:rFonts w:ascii="Times New Roman" w:hAnsi="Times New Roman"/>
                <w:noProof/>
              </w:rPr>
              <w:t>Abstract</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_Toc218357048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4</w:t>
            </w:r>
            <w:r w:rsidRPr="0053182F">
              <w:rPr>
                <w:rFonts w:ascii="Times New Roman" w:hAnsi="Times New Roman"/>
                <w:noProof/>
                <w:webHidden/>
              </w:rPr>
              <w:fldChar w:fldCharType="end"/>
            </w:r>
          </w:hyperlink>
        </w:p>
        <w:p w14:paraId="045BB20B" w14:textId="08C31F19"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49" w:history="1">
            <w:r w:rsidRPr="0053182F">
              <w:rPr>
                <w:rStyle w:val="Hyperlink"/>
                <w:rFonts w:ascii="Times New Roman" w:hAnsi="Times New Roman"/>
                <w:noProof/>
              </w:rPr>
              <w:t>List of Contents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_Toc218357049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5</w:t>
            </w:r>
            <w:r w:rsidRPr="0053182F">
              <w:rPr>
                <w:rFonts w:ascii="Times New Roman" w:hAnsi="Times New Roman"/>
                <w:noProof/>
                <w:webHidden/>
              </w:rPr>
              <w:fldChar w:fldCharType="end"/>
            </w:r>
          </w:hyperlink>
        </w:p>
        <w:p w14:paraId="4CC9F11D" w14:textId="6EA59D12"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50" w:history="1">
            <w:r w:rsidRPr="0053182F">
              <w:rPr>
                <w:rStyle w:val="Hyperlink"/>
                <w:rFonts w:ascii="Times New Roman" w:eastAsia="Times New Roman" w:hAnsi="Times New Roman"/>
                <w:bCs/>
                <w:noProof/>
                <w:lang w:eastAsia="en-GB"/>
              </w:rPr>
              <w:t>LIST OF TABLES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_Toc218357050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9</w:t>
            </w:r>
            <w:r w:rsidRPr="0053182F">
              <w:rPr>
                <w:rFonts w:ascii="Times New Roman" w:hAnsi="Times New Roman"/>
                <w:noProof/>
                <w:webHidden/>
              </w:rPr>
              <w:fldChar w:fldCharType="end"/>
            </w:r>
          </w:hyperlink>
        </w:p>
        <w:p w14:paraId="7A33CA4F" w14:textId="0A0C92DD"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51" w:history="1">
            <w:r w:rsidRPr="0053182F">
              <w:rPr>
                <w:rStyle w:val="Hyperlink"/>
                <w:rFonts w:ascii="Times New Roman" w:hAnsi="Times New Roman"/>
                <w:noProof/>
              </w:rPr>
              <w:t>List of Tables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_Toc218357051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11</w:t>
            </w:r>
            <w:r w:rsidRPr="0053182F">
              <w:rPr>
                <w:rFonts w:ascii="Times New Roman" w:hAnsi="Times New Roman"/>
                <w:noProof/>
                <w:webHidden/>
              </w:rPr>
              <w:fldChar w:fldCharType="end"/>
            </w:r>
          </w:hyperlink>
        </w:p>
        <w:p w14:paraId="2FE544AB" w14:textId="618BF8DD"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52" w:history="1">
            <w:r w:rsidRPr="0053182F">
              <w:rPr>
                <w:rStyle w:val="Hyperlink"/>
                <w:rFonts w:ascii="Times New Roman" w:hAnsi="Times New Roman"/>
                <w:noProof/>
              </w:rPr>
              <w:t>Appendices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_Toc218357052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16</w:t>
            </w:r>
            <w:r w:rsidRPr="0053182F">
              <w:rPr>
                <w:rFonts w:ascii="Times New Roman" w:hAnsi="Times New Roman"/>
                <w:noProof/>
                <w:webHidden/>
              </w:rPr>
              <w:fldChar w:fldCharType="end"/>
            </w:r>
          </w:hyperlink>
        </w:p>
        <w:p w14:paraId="0988134A" w14:textId="452A6F6C"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53" w:history="1">
            <w:r w:rsidRPr="0053182F">
              <w:rPr>
                <w:rStyle w:val="Hyperlink"/>
                <w:rFonts w:ascii="Times New Roman" w:hAnsi="Times New Roman"/>
                <w:noProof/>
              </w:rPr>
              <w:t>List of Abbreviations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_Toc218357053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17</w:t>
            </w:r>
            <w:r w:rsidRPr="0053182F">
              <w:rPr>
                <w:rFonts w:ascii="Times New Roman" w:hAnsi="Times New Roman"/>
                <w:noProof/>
                <w:webHidden/>
              </w:rPr>
              <w:fldChar w:fldCharType="end"/>
            </w:r>
          </w:hyperlink>
        </w:p>
        <w:p w14:paraId="4458B614" w14:textId="3835EB11"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54" w:history="1">
            <w:r w:rsidRPr="0053182F">
              <w:rPr>
                <w:rStyle w:val="Hyperlink"/>
                <w:rFonts w:ascii="Times New Roman" w:hAnsi="Times New Roman"/>
                <w:noProof/>
              </w:rPr>
              <w:t>Chapter 1</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_Toc218357054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20</w:t>
            </w:r>
            <w:r w:rsidRPr="0053182F">
              <w:rPr>
                <w:rFonts w:ascii="Times New Roman" w:hAnsi="Times New Roman"/>
                <w:noProof/>
                <w:webHidden/>
              </w:rPr>
              <w:fldChar w:fldCharType="end"/>
            </w:r>
          </w:hyperlink>
        </w:p>
        <w:p w14:paraId="1A4DFFF3" w14:textId="7B53C204"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55" w:history="1">
            <w:r w:rsidRPr="0053182F">
              <w:rPr>
                <w:rStyle w:val="Hyperlink"/>
                <w:rFonts w:ascii="Times New Roman" w:hAnsi="Times New Roman"/>
                <w:noProof/>
              </w:rPr>
              <w:t>1.1 Preamble</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_Toc218357055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20</w:t>
            </w:r>
            <w:r w:rsidRPr="0053182F">
              <w:rPr>
                <w:rFonts w:ascii="Times New Roman" w:hAnsi="Times New Roman"/>
                <w:noProof/>
                <w:webHidden/>
              </w:rPr>
              <w:fldChar w:fldCharType="end"/>
            </w:r>
          </w:hyperlink>
        </w:p>
        <w:p w14:paraId="3D60C938" w14:textId="59B36944"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56" w:history="1">
            <w:r w:rsidRPr="0053182F">
              <w:rPr>
                <w:rStyle w:val="Hyperlink"/>
                <w:rFonts w:ascii="Times New Roman" w:hAnsi="Times New Roman"/>
                <w:noProof/>
              </w:rPr>
              <w:t>1.2 Background of the Research Problem</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_Toc218357056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24</w:t>
            </w:r>
            <w:r w:rsidRPr="0053182F">
              <w:rPr>
                <w:rFonts w:ascii="Times New Roman" w:hAnsi="Times New Roman"/>
                <w:noProof/>
                <w:webHidden/>
              </w:rPr>
              <w:fldChar w:fldCharType="end"/>
            </w:r>
          </w:hyperlink>
        </w:p>
        <w:p w14:paraId="45144F2C" w14:textId="1A69B620" w:rsidR="00CC3CA8" w:rsidRPr="0053182F" w:rsidRDefault="00CC3CA8">
          <w:pPr>
            <w:pStyle w:val="TOC3"/>
            <w:tabs>
              <w:tab w:val="right" w:leader="dot" w:pos="9016"/>
            </w:tabs>
            <w:rPr>
              <w:noProof/>
              <w:color w:val="auto"/>
              <w:kern w:val="2"/>
              <w:lang w:eastAsia="en-GB"/>
              <w14:ligatures w14:val="standardContextual"/>
            </w:rPr>
          </w:pPr>
          <w:hyperlink w:anchor="_Toc218357057" w:history="1">
            <w:r w:rsidRPr="0053182F">
              <w:rPr>
                <w:rStyle w:val="Hyperlink"/>
                <w:noProof/>
              </w:rPr>
              <w:t>1.2.1 Global Governance Context: The Structural Persistence of Modern slavery</w:t>
            </w:r>
            <w:r w:rsidRPr="0053182F">
              <w:rPr>
                <w:noProof/>
                <w:webHidden/>
              </w:rPr>
              <w:tab/>
            </w:r>
            <w:r w:rsidRPr="0053182F">
              <w:rPr>
                <w:noProof/>
                <w:webHidden/>
              </w:rPr>
              <w:fldChar w:fldCharType="begin"/>
            </w:r>
            <w:r w:rsidRPr="0053182F">
              <w:rPr>
                <w:noProof/>
                <w:webHidden/>
              </w:rPr>
              <w:instrText xml:space="preserve"> PAGEREF _Toc218357057 \h </w:instrText>
            </w:r>
            <w:r w:rsidRPr="0053182F">
              <w:rPr>
                <w:noProof/>
                <w:webHidden/>
              </w:rPr>
            </w:r>
            <w:r w:rsidRPr="0053182F">
              <w:rPr>
                <w:noProof/>
                <w:webHidden/>
              </w:rPr>
              <w:fldChar w:fldCharType="separate"/>
            </w:r>
            <w:r w:rsidRPr="0053182F">
              <w:rPr>
                <w:noProof/>
                <w:webHidden/>
              </w:rPr>
              <w:t>25</w:t>
            </w:r>
            <w:r w:rsidRPr="0053182F">
              <w:rPr>
                <w:noProof/>
                <w:webHidden/>
              </w:rPr>
              <w:fldChar w:fldCharType="end"/>
            </w:r>
          </w:hyperlink>
        </w:p>
        <w:p w14:paraId="372E1F0E" w14:textId="1AEEA844" w:rsidR="00CC3CA8" w:rsidRPr="0053182F" w:rsidRDefault="00CC3CA8">
          <w:pPr>
            <w:pStyle w:val="TOC3"/>
            <w:tabs>
              <w:tab w:val="right" w:leader="dot" w:pos="9016"/>
            </w:tabs>
            <w:rPr>
              <w:noProof/>
              <w:color w:val="auto"/>
              <w:kern w:val="2"/>
              <w:lang w:eastAsia="en-GB"/>
              <w14:ligatures w14:val="standardContextual"/>
            </w:rPr>
          </w:pPr>
          <w:hyperlink w:anchor="_Toc218357058" w:history="1">
            <w:r w:rsidRPr="0053182F">
              <w:rPr>
                <w:rStyle w:val="Hyperlink"/>
                <w:noProof/>
              </w:rPr>
              <w:t>1.2.2 Corporate Governance Context: The Legitimacy Paradox in Corporate Modern Slavery</w:t>
            </w:r>
            <w:r w:rsidRPr="0053182F">
              <w:rPr>
                <w:noProof/>
                <w:webHidden/>
              </w:rPr>
              <w:tab/>
            </w:r>
            <w:r w:rsidRPr="0053182F">
              <w:rPr>
                <w:noProof/>
                <w:webHidden/>
              </w:rPr>
              <w:fldChar w:fldCharType="begin"/>
            </w:r>
            <w:r w:rsidRPr="0053182F">
              <w:rPr>
                <w:noProof/>
                <w:webHidden/>
              </w:rPr>
              <w:instrText xml:space="preserve"> PAGEREF _Toc218357058 \h </w:instrText>
            </w:r>
            <w:r w:rsidRPr="0053182F">
              <w:rPr>
                <w:noProof/>
                <w:webHidden/>
              </w:rPr>
            </w:r>
            <w:r w:rsidRPr="0053182F">
              <w:rPr>
                <w:noProof/>
                <w:webHidden/>
              </w:rPr>
              <w:fldChar w:fldCharType="separate"/>
            </w:r>
            <w:r w:rsidRPr="0053182F">
              <w:rPr>
                <w:noProof/>
                <w:webHidden/>
              </w:rPr>
              <w:t>26</w:t>
            </w:r>
            <w:r w:rsidRPr="0053182F">
              <w:rPr>
                <w:noProof/>
                <w:webHidden/>
              </w:rPr>
              <w:fldChar w:fldCharType="end"/>
            </w:r>
          </w:hyperlink>
        </w:p>
        <w:p w14:paraId="7F6A2E47" w14:textId="0BFEE056" w:rsidR="00CC3CA8" w:rsidRPr="0053182F" w:rsidRDefault="00CC3CA8">
          <w:pPr>
            <w:pStyle w:val="TOC3"/>
            <w:tabs>
              <w:tab w:val="right" w:leader="dot" w:pos="9016"/>
            </w:tabs>
            <w:rPr>
              <w:noProof/>
              <w:color w:val="auto"/>
              <w:kern w:val="2"/>
              <w:lang w:eastAsia="en-GB"/>
              <w14:ligatures w14:val="standardContextual"/>
            </w:rPr>
          </w:pPr>
          <w:hyperlink w:anchor="_Toc218357059" w:history="1">
            <w:r w:rsidRPr="0053182F">
              <w:rPr>
                <w:rStyle w:val="Hyperlink"/>
                <w:noProof/>
              </w:rPr>
              <w:t>1.2.3 Local Labour Context: The Lived Realities of Labour Exploitation</w:t>
            </w:r>
            <w:r w:rsidRPr="0053182F">
              <w:rPr>
                <w:noProof/>
                <w:webHidden/>
              </w:rPr>
              <w:tab/>
            </w:r>
            <w:r w:rsidRPr="0053182F">
              <w:rPr>
                <w:noProof/>
                <w:webHidden/>
              </w:rPr>
              <w:fldChar w:fldCharType="begin"/>
            </w:r>
            <w:r w:rsidRPr="0053182F">
              <w:rPr>
                <w:noProof/>
                <w:webHidden/>
              </w:rPr>
              <w:instrText xml:space="preserve"> PAGEREF _Toc218357059 \h </w:instrText>
            </w:r>
            <w:r w:rsidRPr="0053182F">
              <w:rPr>
                <w:noProof/>
                <w:webHidden/>
              </w:rPr>
            </w:r>
            <w:r w:rsidRPr="0053182F">
              <w:rPr>
                <w:noProof/>
                <w:webHidden/>
              </w:rPr>
              <w:fldChar w:fldCharType="separate"/>
            </w:r>
            <w:r w:rsidRPr="0053182F">
              <w:rPr>
                <w:noProof/>
                <w:webHidden/>
              </w:rPr>
              <w:t>27</w:t>
            </w:r>
            <w:r w:rsidRPr="0053182F">
              <w:rPr>
                <w:noProof/>
                <w:webHidden/>
              </w:rPr>
              <w:fldChar w:fldCharType="end"/>
            </w:r>
          </w:hyperlink>
        </w:p>
        <w:p w14:paraId="277E63F6" w14:textId="789A06F7" w:rsidR="00CC3CA8" w:rsidRPr="0053182F" w:rsidRDefault="00CC3CA8">
          <w:pPr>
            <w:pStyle w:val="TOC3"/>
            <w:tabs>
              <w:tab w:val="right" w:leader="dot" w:pos="9016"/>
            </w:tabs>
            <w:rPr>
              <w:noProof/>
              <w:color w:val="auto"/>
              <w:kern w:val="2"/>
              <w:lang w:eastAsia="en-GB"/>
              <w14:ligatures w14:val="standardContextual"/>
            </w:rPr>
          </w:pPr>
          <w:hyperlink w:anchor="_Toc218357060" w:history="1">
            <w:r w:rsidRPr="0053182F">
              <w:rPr>
                <w:rStyle w:val="Hyperlink"/>
                <w:noProof/>
              </w:rPr>
              <w:t>1.2.4 The Institutional Paradox: From Governance to Legitimacy</w:t>
            </w:r>
            <w:r w:rsidRPr="0053182F">
              <w:rPr>
                <w:noProof/>
                <w:webHidden/>
              </w:rPr>
              <w:tab/>
            </w:r>
            <w:r w:rsidRPr="0053182F">
              <w:rPr>
                <w:noProof/>
                <w:webHidden/>
              </w:rPr>
              <w:fldChar w:fldCharType="begin"/>
            </w:r>
            <w:r w:rsidRPr="0053182F">
              <w:rPr>
                <w:noProof/>
                <w:webHidden/>
              </w:rPr>
              <w:instrText xml:space="preserve"> PAGEREF _Toc218357060 \h </w:instrText>
            </w:r>
            <w:r w:rsidRPr="0053182F">
              <w:rPr>
                <w:noProof/>
                <w:webHidden/>
              </w:rPr>
            </w:r>
            <w:r w:rsidRPr="0053182F">
              <w:rPr>
                <w:noProof/>
                <w:webHidden/>
              </w:rPr>
              <w:fldChar w:fldCharType="separate"/>
            </w:r>
            <w:r w:rsidRPr="0053182F">
              <w:rPr>
                <w:noProof/>
                <w:webHidden/>
              </w:rPr>
              <w:t>28</w:t>
            </w:r>
            <w:r w:rsidRPr="0053182F">
              <w:rPr>
                <w:noProof/>
                <w:webHidden/>
              </w:rPr>
              <w:fldChar w:fldCharType="end"/>
            </w:r>
          </w:hyperlink>
        </w:p>
        <w:p w14:paraId="36CDAC1C" w14:textId="4AC88888"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61" w:history="1">
            <w:r w:rsidRPr="0053182F">
              <w:rPr>
                <w:rStyle w:val="Hyperlink"/>
                <w:rFonts w:ascii="Times New Roman" w:hAnsi="Times New Roman"/>
                <w:noProof/>
              </w:rPr>
              <w:t>1.3 Research Questions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_Toc218357061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28</w:t>
            </w:r>
            <w:r w:rsidRPr="0053182F">
              <w:rPr>
                <w:rFonts w:ascii="Times New Roman" w:hAnsi="Times New Roman"/>
                <w:noProof/>
                <w:webHidden/>
              </w:rPr>
              <w:fldChar w:fldCharType="end"/>
            </w:r>
          </w:hyperlink>
        </w:p>
        <w:p w14:paraId="0B507C8D" w14:textId="2351FC34"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62" w:history="1">
            <w:r w:rsidRPr="0053182F">
              <w:rPr>
                <w:rStyle w:val="Hyperlink"/>
                <w:rFonts w:ascii="Times New Roman" w:hAnsi="Times New Roman"/>
                <w:noProof/>
              </w:rPr>
              <w:t>1.4 Research Aim and Objectives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_Toc218357062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31</w:t>
            </w:r>
            <w:r w:rsidRPr="0053182F">
              <w:rPr>
                <w:rFonts w:ascii="Times New Roman" w:hAnsi="Times New Roman"/>
                <w:noProof/>
                <w:webHidden/>
              </w:rPr>
              <w:fldChar w:fldCharType="end"/>
            </w:r>
          </w:hyperlink>
        </w:p>
        <w:p w14:paraId="29C6E08D" w14:textId="4623C1DC" w:rsidR="00CC3CA8" w:rsidRPr="0053182F" w:rsidRDefault="00CC3CA8">
          <w:pPr>
            <w:pStyle w:val="TOC3"/>
            <w:tabs>
              <w:tab w:val="right" w:leader="dot" w:pos="9016"/>
            </w:tabs>
            <w:rPr>
              <w:noProof/>
              <w:color w:val="auto"/>
              <w:kern w:val="2"/>
              <w:lang w:eastAsia="en-GB"/>
              <w14:ligatures w14:val="standardContextual"/>
            </w:rPr>
          </w:pPr>
          <w:hyperlink w:anchor="_Toc218357063" w:history="1">
            <w:r w:rsidRPr="0053182F">
              <w:rPr>
                <w:rStyle w:val="Hyperlink"/>
                <w:noProof/>
              </w:rPr>
              <w:t>1.4.1 Research Aim</w:t>
            </w:r>
            <w:r w:rsidRPr="0053182F">
              <w:rPr>
                <w:noProof/>
                <w:webHidden/>
              </w:rPr>
              <w:tab/>
            </w:r>
            <w:r w:rsidRPr="0053182F">
              <w:rPr>
                <w:noProof/>
                <w:webHidden/>
              </w:rPr>
              <w:fldChar w:fldCharType="begin"/>
            </w:r>
            <w:r w:rsidRPr="0053182F">
              <w:rPr>
                <w:noProof/>
                <w:webHidden/>
              </w:rPr>
              <w:instrText xml:space="preserve"> PAGEREF _Toc218357063 \h </w:instrText>
            </w:r>
            <w:r w:rsidRPr="0053182F">
              <w:rPr>
                <w:noProof/>
                <w:webHidden/>
              </w:rPr>
            </w:r>
            <w:r w:rsidRPr="0053182F">
              <w:rPr>
                <w:noProof/>
                <w:webHidden/>
              </w:rPr>
              <w:fldChar w:fldCharType="separate"/>
            </w:r>
            <w:r w:rsidRPr="0053182F">
              <w:rPr>
                <w:noProof/>
                <w:webHidden/>
              </w:rPr>
              <w:t>31</w:t>
            </w:r>
            <w:r w:rsidRPr="0053182F">
              <w:rPr>
                <w:noProof/>
                <w:webHidden/>
              </w:rPr>
              <w:fldChar w:fldCharType="end"/>
            </w:r>
          </w:hyperlink>
        </w:p>
        <w:p w14:paraId="4DA144F5" w14:textId="3D36AE17" w:rsidR="00CC3CA8" w:rsidRPr="0053182F" w:rsidRDefault="00CC3CA8">
          <w:pPr>
            <w:pStyle w:val="TOC3"/>
            <w:tabs>
              <w:tab w:val="right" w:leader="dot" w:pos="9016"/>
            </w:tabs>
            <w:rPr>
              <w:noProof/>
              <w:color w:val="auto"/>
              <w:kern w:val="2"/>
              <w:lang w:eastAsia="en-GB"/>
              <w14:ligatures w14:val="standardContextual"/>
            </w:rPr>
          </w:pPr>
          <w:hyperlink w:anchor="_Toc218357064" w:history="1">
            <w:r w:rsidRPr="0053182F">
              <w:rPr>
                <w:rStyle w:val="Hyperlink"/>
                <w:noProof/>
              </w:rPr>
              <w:t>1.4.2 Research Objectives</w:t>
            </w:r>
            <w:r w:rsidRPr="0053182F">
              <w:rPr>
                <w:noProof/>
                <w:webHidden/>
              </w:rPr>
              <w:tab/>
            </w:r>
            <w:r w:rsidRPr="0053182F">
              <w:rPr>
                <w:noProof/>
                <w:webHidden/>
              </w:rPr>
              <w:fldChar w:fldCharType="begin"/>
            </w:r>
            <w:r w:rsidRPr="0053182F">
              <w:rPr>
                <w:noProof/>
                <w:webHidden/>
              </w:rPr>
              <w:instrText xml:space="preserve"> PAGEREF _Toc218357064 \h </w:instrText>
            </w:r>
            <w:r w:rsidRPr="0053182F">
              <w:rPr>
                <w:noProof/>
                <w:webHidden/>
              </w:rPr>
            </w:r>
            <w:r w:rsidRPr="0053182F">
              <w:rPr>
                <w:noProof/>
                <w:webHidden/>
              </w:rPr>
              <w:fldChar w:fldCharType="separate"/>
            </w:r>
            <w:r w:rsidRPr="0053182F">
              <w:rPr>
                <w:noProof/>
                <w:webHidden/>
              </w:rPr>
              <w:t>31</w:t>
            </w:r>
            <w:r w:rsidRPr="0053182F">
              <w:rPr>
                <w:noProof/>
                <w:webHidden/>
              </w:rPr>
              <w:fldChar w:fldCharType="end"/>
            </w:r>
          </w:hyperlink>
        </w:p>
        <w:p w14:paraId="3EDF4CA3" w14:textId="1D36581F" w:rsidR="00CC3CA8" w:rsidRPr="0053182F" w:rsidRDefault="00CC3CA8">
          <w:pPr>
            <w:pStyle w:val="TOC3"/>
            <w:tabs>
              <w:tab w:val="right" w:leader="dot" w:pos="9016"/>
            </w:tabs>
            <w:rPr>
              <w:noProof/>
              <w:color w:val="auto"/>
              <w:kern w:val="2"/>
              <w:lang w:eastAsia="en-GB"/>
              <w14:ligatures w14:val="standardContextual"/>
            </w:rPr>
          </w:pPr>
          <w:hyperlink w:anchor="_Toc218357065" w:history="1">
            <w:r w:rsidRPr="0053182F">
              <w:rPr>
                <w:rStyle w:val="Hyperlink"/>
                <w:noProof/>
              </w:rPr>
              <w:t>1.4.3 Theoretical Linkage</w:t>
            </w:r>
            <w:r w:rsidRPr="0053182F">
              <w:rPr>
                <w:noProof/>
                <w:webHidden/>
              </w:rPr>
              <w:tab/>
            </w:r>
            <w:r w:rsidRPr="0053182F">
              <w:rPr>
                <w:noProof/>
                <w:webHidden/>
              </w:rPr>
              <w:fldChar w:fldCharType="begin"/>
            </w:r>
            <w:r w:rsidRPr="0053182F">
              <w:rPr>
                <w:noProof/>
                <w:webHidden/>
              </w:rPr>
              <w:instrText xml:space="preserve"> PAGEREF _Toc218357065 \h </w:instrText>
            </w:r>
            <w:r w:rsidRPr="0053182F">
              <w:rPr>
                <w:noProof/>
                <w:webHidden/>
              </w:rPr>
            </w:r>
            <w:r w:rsidRPr="0053182F">
              <w:rPr>
                <w:noProof/>
                <w:webHidden/>
              </w:rPr>
              <w:fldChar w:fldCharType="separate"/>
            </w:r>
            <w:r w:rsidRPr="0053182F">
              <w:rPr>
                <w:noProof/>
                <w:webHidden/>
              </w:rPr>
              <w:t>32</w:t>
            </w:r>
            <w:r w:rsidRPr="0053182F">
              <w:rPr>
                <w:noProof/>
                <w:webHidden/>
              </w:rPr>
              <w:fldChar w:fldCharType="end"/>
            </w:r>
          </w:hyperlink>
        </w:p>
        <w:p w14:paraId="178BD6B2" w14:textId="3BBBA23A"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66" w:history="1">
            <w:r w:rsidRPr="0053182F">
              <w:rPr>
                <w:rStyle w:val="Hyperlink"/>
                <w:rFonts w:ascii="Times New Roman" w:hAnsi="Times New Roman"/>
                <w:noProof/>
              </w:rPr>
              <w:t>1.5 Research Significance</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_Toc218357066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33</w:t>
            </w:r>
            <w:r w:rsidRPr="0053182F">
              <w:rPr>
                <w:rFonts w:ascii="Times New Roman" w:hAnsi="Times New Roman"/>
                <w:noProof/>
                <w:webHidden/>
              </w:rPr>
              <w:fldChar w:fldCharType="end"/>
            </w:r>
          </w:hyperlink>
        </w:p>
        <w:p w14:paraId="6AB81718" w14:textId="6F2053AD" w:rsidR="00CC3CA8" w:rsidRPr="0053182F" w:rsidRDefault="00CC3CA8">
          <w:pPr>
            <w:pStyle w:val="TOC3"/>
            <w:tabs>
              <w:tab w:val="right" w:leader="dot" w:pos="9016"/>
            </w:tabs>
            <w:rPr>
              <w:noProof/>
              <w:color w:val="auto"/>
              <w:kern w:val="2"/>
              <w:lang w:eastAsia="en-GB"/>
              <w14:ligatures w14:val="standardContextual"/>
            </w:rPr>
          </w:pPr>
          <w:hyperlink w:anchor="_Toc218357067" w:history="1">
            <w:r w:rsidRPr="0053182F">
              <w:rPr>
                <w:rStyle w:val="Hyperlink"/>
                <w:noProof/>
              </w:rPr>
              <w:t>1.5.1 Academic Contribution</w:t>
            </w:r>
            <w:r w:rsidRPr="0053182F">
              <w:rPr>
                <w:noProof/>
                <w:webHidden/>
              </w:rPr>
              <w:tab/>
            </w:r>
            <w:r w:rsidRPr="0053182F">
              <w:rPr>
                <w:noProof/>
                <w:webHidden/>
              </w:rPr>
              <w:fldChar w:fldCharType="begin"/>
            </w:r>
            <w:r w:rsidRPr="0053182F">
              <w:rPr>
                <w:noProof/>
                <w:webHidden/>
              </w:rPr>
              <w:instrText xml:space="preserve"> PAGEREF _Toc218357067 \h </w:instrText>
            </w:r>
            <w:r w:rsidRPr="0053182F">
              <w:rPr>
                <w:noProof/>
                <w:webHidden/>
              </w:rPr>
            </w:r>
            <w:r w:rsidRPr="0053182F">
              <w:rPr>
                <w:noProof/>
                <w:webHidden/>
              </w:rPr>
              <w:fldChar w:fldCharType="separate"/>
            </w:r>
            <w:r w:rsidRPr="0053182F">
              <w:rPr>
                <w:noProof/>
                <w:webHidden/>
              </w:rPr>
              <w:t>33</w:t>
            </w:r>
            <w:r w:rsidRPr="0053182F">
              <w:rPr>
                <w:noProof/>
                <w:webHidden/>
              </w:rPr>
              <w:fldChar w:fldCharType="end"/>
            </w:r>
          </w:hyperlink>
        </w:p>
        <w:p w14:paraId="335AE8E8" w14:textId="48C716F4" w:rsidR="00CC3CA8" w:rsidRPr="0053182F" w:rsidRDefault="00CC3CA8">
          <w:pPr>
            <w:pStyle w:val="TOC3"/>
            <w:tabs>
              <w:tab w:val="right" w:leader="dot" w:pos="9016"/>
            </w:tabs>
            <w:rPr>
              <w:noProof/>
              <w:color w:val="auto"/>
              <w:kern w:val="2"/>
              <w:lang w:eastAsia="en-GB"/>
              <w14:ligatures w14:val="standardContextual"/>
            </w:rPr>
          </w:pPr>
          <w:hyperlink w:anchor="_Toc218357068" w:history="1">
            <w:r w:rsidRPr="0053182F">
              <w:rPr>
                <w:rStyle w:val="Hyperlink"/>
                <w:noProof/>
              </w:rPr>
              <w:t>1.5.2 Implications of the study</w:t>
            </w:r>
            <w:r w:rsidRPr="0053182F">
              <w:rPr>
                <w:noProof/>
                <w:webHidden/>
              </w:rPr>
              <w:tab/>
            </w:r>
            <w:r w:rsidRPr="0053182F">
              <w:rPr>
                <w:noProof/>
                <w:webHidden/>
              </w:rPr>
              <w:fldChar w:fldCharType="begin"/>
            </w:r>
            <w:r w:rsidRPr="0053182F">
              <w:rPr>
                <w:noProof/>
                <w:webHidden/>
              </w:rPr>
              <w:instrText xml:space="preserve"> PAGEREF _Toc218357068 \h </w:instrText>
            </w:r>
            <w:r w:rsidRPr="0053182F">
              <w:rPr>
                <w:noProof/>
                <w:webHidden/>
              </w:rPr>
            </w:r>
            <w:r w:rsidRPr="0053182F">
              <w:rPr>
                <w:noProof/>
                <w:webHidden/>
              </w:rPr>
              <w:fldChar w:fldCharType="separate"/>
            </w:r>
            <w:r w:rsidRPr="0053182F">
              <w:rPr>
                <w:noProof/>
                <w:webHidden/>
              </w:rPr>
              <w:t>35</w:t>
            </w:r>
            <w:r w:rsidRPr="0053182F">
              <w:rPr>
                <w:noProof/>
                <w:webHidden/>
              </w:rPr>
              <w:fldChar w:fldCharType="end"/>
            </w:r>
          </w:hyperlink>
        </w:p>
        <w:p w14:paraId="41A5E96B" w14:textId="5C851B09" w:rsidR="00CC3CA8" w:rsidRPr="0053182F" w:rsidRDefault="00CC3CA8">
          <w:pPr>
            <w:pStyle w:val="TOC3"/>
            <w:tabs>
              <w:tab w:val="right" w:leader="dot" w:pos="9016"/>
            </w:tabs>
            <w:rPr>
              <w:noProof/>
              <w:color w:val="auto"/>
              <w:kern w:val="2"/>
              <w:lang w:eastAsia="en-GB"/>
              <w14:ligatures w14:val="standardContextual"/>
            </w:rPr>
          </w:pPr>
          <w:hyperlink w:anchor="_Toc218357069" w:history="1">
            <w:r w:rsidRPr="0053182F">
              <w:rPr>
                <w:rStyle w:val="Hyperlink"/>
                <w:noProof/>
              </w:rPr>
              <w:t>1.5.3 Humanitarian and Ethical Value</w:t>
            </w:r>
            <w:r w:rsidRPr="0053182F">
              <w:rPr>
                <w:noProof/>
                <w:webHidden/>
              </w:rPr>
              <w:tab/>
            </w:r>
            <w:r w:rsidRPr="0053182F">
              <w:rPr>
                <w:noProof/>
                <w:webHidden/>
              </w:rPr>
              <w:fldChar w:fldCharType="begin"/>
            </w:r>
            <w:r w:rsidRPr="0053182F">
              <w:rPr>
                <w:noProof/>
                <w:webHidden/>
              </w:rPr>
              <w:instrText xml:space="preserve"> PAGEREF _Toc218357069 \h </w:instrText>
            </w:r>
            <w:r w:rsidRPr="0053182F">
              <w:rPr>
                <w:noProof/>
                <w:webHidden/>
              </w:rPr>
            </w:r>
            <w:r w:rsidRPr="0053182F">
              <w:rPr>
                <w:noProof/>
                <w:webHidden/>
              </w:rPr>
              <w:fldChar w:fldCharType="separate"/>
            </w:r>
            <w:r w:rsidRPr="0053182F">
              <w:rPr>
                <w:noProof/>
                <w:webHidden/>
              </w:rPr>
              <w:t>36</w:t>
            </w:r>
            <w:r w:rsidRPr="0053182F">
              <w:rPr>
                <w:noProof/>
                <w:webHidden/>
              </w:rPr>
              <w:fldChar w:fldCharType="end"/>
            </w:r>
          </w:hyperlink>
        </w:p>
        <w:p w14:paraId="14F87F3F" w14:textId="18CCA2E4"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70" w:history="1">
            <w:r w:rsidRPr="0053182F">
              <w:rPr>
                <w:rStyle w:val="Hyperlink"/>
                <w:rFonts w:ascii="Times New Roman" w:hAnsi="Times New Roman"/>
                <w:noProof/>
              </w:rPr>
              <w:t>1.6 Thesis Structure</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_Toc218357070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37</w:t>
            </w:r>
            <w:r w:rsidRPr="0053182F">
              <w:rPr>
                <w:rFonts w:ascii="Times New Roman" w:hAnsi="Times New Roman"/>
                <w:noProof/>
                <w:webHidden/>
              </w:rPr>
              <w:fldChar w:fldCharType="end"/>
            </w:r>
          </w:hyperlink>
        </w:p>
        <w:p w14:paraId="1C365168" w14:textId="5B60CE1C"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71" w:history="1">
            <w:r w:rsidRPr="0053182F">
              <w:rPr>
                <w:rStyle w:val="Hyperlink"/>
                <w:rFonts w:ascii="Times New Roman" w:eastAsia="Times New Roman" w:hAnsi="Times New Roman"/>
                <w:noProof/>
              </w:rPr>
              <w:t xml:space="preserve">Chapter </w:t>
            </w:r>
            <w:r w:rsidRPr="0053182F">
              <w:rPr>
                <w:rStyle w:val="Hyperlink"/>
                <w:rFonts w:ascii="Times New Roman" w:hAnsi="Times New Roman"/>
                <w:noProof/>
              </w:rPr>
              <w:t>2: Background of Modern Slavery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_Toc218357071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40</w:t>
            </w:r>
            <w:r w:rsidRPr="0053182F">
              <w:rPr>
                <w:rFonts w:ascii="Times New Roman" w:hAnsi="Times New Roman"/>
                <w:noProof/>
                <w:webHidden/>
              </w:rPr>
              <w:fldChar w:fldCharType="end"/>
            </w:r>
          </w:hyperlink>
        </w:p>
        <w:p w14:paraId="6ADDBB20" w14:textId="61BF5785"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72" w:history="1">
            <w:r w:rsidRPr="0053182F">
              <w:rPr>
                <w:rStyle w:val="Hyperlink"/>
                <w:rFonts w:ascii="Times New Roman" w:hAnsi="Times New Roman"/>
                <w:noProof/>
                <w:lang w:eastAsia="en-GB"/>
              </w:rPr>
              <w:t>2.1 Introduction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_Toc218357072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40</w:t>
            </w:r>
            <w:r w:rsidRPr="0053182F">
              <w:rPr>
                <w:rFonts w:ascii="Times New Roman" w:hAnsi="Times New Roman"/>
                <w:noProof/>
                <w:webHidden/>
              </w:rPr>
              <w:fldChar w:fldCharType="end"/>
            </w:r>
          </w:hyperlink>
        </w:p>
        <w:p w14:paraId="5760AB3E" w14:textId="3EF98904"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73" w:history="1">
            <w:r w:rsidRPr="0053182F">
              <w:rPr>
                <w:rStyle w:val="Hyperlink"/>
                <w:rFonts w:ascii="Times New Roman" w:hAnsi="Times New Roman"/>
                <w:noProof/>
              </w:rPr>
              <w:t>2.2 Historical Evolution of Slavery and the Emergence of Modern Slavery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_Toc218357073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41</w:t>
            </w:r>
            <w:r w:rsidRPr="0053182F">
              <w:rPr>
                <w:rFonts w:ascii="Times New Roman" w:hAnsi="Times New Roman"/>
                <w:noProof/>
                <w:webHidden/>
              </w:rPr>
              <w:fldChar w:fldCharType="end"/>
            </w:r>
          </w:hyperlink>
        </w:p>
        <w:p w14:paraId="329643AA" w14:textId="4E33088B"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74" w:history="1">
            <w:r w:rsidRPr="0053182F">
              <w:rPr>
                <w:rStyle w:val="Hyperlink"/>
                <w:rFonts w:ascii="Times New Roman" w:hAnsi="Times New Roman"/>
                <w:noProof/>
              </w:rPr>
              <w:t>2.3 Understanding Modern Slavery in the Global Context</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_Toc218357074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43</w:t>
            </w:r>
            <w:r w:rsidRPr="0053182F">
              <w:rPr>
                <w:rFonts w:ascii="Times New Roman" w:hAnsi="Times New Roman"/>
                <w:noProof/>
                <w:webHidden/>
              </w:rPr>
              <w:fldChar w:fldCharType="end"/>
            </w:r>
          </w:hyperlink>
        </w:p>
        <w:p w14:paraId="49AE97F0" w14:textId="00AA785A" w:rsidR="00CC3CA8" w:rsidRPr="0053182F" w:rsidRDefault="00CC3CA8">
          <w:pPr>
            <w:pStyle w:val="TOC3"/>
            <w:tabs>
              <w:tab w:val="right" w:leader="dot" w:pos="9016"/>
            </w:tabs>
            <w:rPr>
              <w:noProof/>
              <w:color w:val="auto"/>
              <w:kern w:val="2"/>
              <w:lang w:eastAsia="en-GB"/>
              <w14:ligatures w14:val="standardContextual"/>
            </w:rPr>
          </w:pPr>
          <w:hyperlink w:anchor="_Toc218357075" w:history="1">
            <w:r w:rsidRPr="0053182F">
              <w:rPr>
                <w:rStyle w:val="Hyperlink"/>
                <w:noProof/>
              </w:rPr>
              <w:t>2.3.1 Global Prevalence and Severity</w:t>
            </w:r>
            <w:r w:rsidRPr="0053182F">
              <w:rPr>
                <w:noProof/>
                <w:webHidden/>
              </w:rPr>
              <w:tab/>
            </w:r>
            <w:r w:rsidRPr="0053182F">
              <w:rPr>
                <w:noProof/>
                <w:webHidden/>
              </w:rPr>
              <w:fldChar w:fldCharType="begin"/>
            </w:r>
            <w:r w:rsidRPr="0053182F">
              <w:rPr>
                <w:noProof/>
                <w:webHidden/>
              </w:rPr>
              <w:instrText xml:space="preserve"> PAGEREF _Toc218357075 \h </w:instrText>
            </w:r>
            <w:r w:rsidRPr="0053182F">
              <w:rPr>
                <w:noProof/>
                <w:webHidden/>
              </w:rPr>
            </w:r>
            <w:r w:rsidRPr="0053182F">
              <w:rPr>
                <w:noProof/>
                <w:webHidden/>
              </w:rPr>
              <w:fldChar w:fldCharType="separate"/>
            </w:r>
            <w:r w:rsidRPr="0053182F">
              <w:rPr>
                <w:noProof/>
                <w:webHidden/>
              </w:rPr>
              <w:t>43</w:t>
            </w:r>
            <w:r w:rsidRPr="0053182F">
              <w:rPr>
                <w:noProof/>
                <w:webHidden/>
              </w:rPr>
              <w:fldChar w:fldCharType="end"/>
            </w:r>
          </w:hyperlink>
        </w:p>
        <w:p w14:paraId="4A07C175" w14:textId="3C4732C4" w:rsidR="00CC3CA8" w:rsidRPr="0053182F" w:rsidRDefault="00CC3CA8">
          <w:pPr>
            <w:pStyle w:val="TOC3"/>
            <w:tabs>
              <w:tab w:val="right" w:leader="dot" w:pos="9016"/>
            </w:tabs>
            <w:rPr>
              <w:noProof/>
              <w:color w:val="auto"/>
              <w:kern w:val="2"/>
              <w:lang w:eastAsia="en-GB"/>
              <w14:ligatures w14:val="standardContextual"/>
            </w:rPr>
          </w:pPr>
          <w:hyperlink w:anchor="_Toc218357076" w:history="1">
            <w:r w:rsidRPr="0053182F">
              <w:rPr>
                <w:rStyle w:val="Hyperlink"/>
                <w:noProof/>
              </w:rPr>
              <w:t>2.3.2 Conceptualisation of Modern Slavery</w:t>
            </w:r>
            <w:r w:rsidRPr="0053182F">
              <w:rPr>
                <w:noProof/>
                <w:webHidden/>
              </w:rPr>
              <w:tab/>
            </w:r>
            <w:r w:rsidRPr="0053182F">
              <w:rPr>
                <w:noProof/>
                <w:webHidden/>
              </w:rPr>
              <w:fldChar w:fldCharType="begin"/>
            </w:r>
            <w:r w:rsidRPr="0053182F">
              <w:rPr>
                <w:noProof/>
                <w:webHidden/>
              </w:rPr>
              <w:instrText xml:space="preserve"> PAGEREF _Toc218357076 \h </w:instrText>
            </w:r>
            <w:r w:rsidRPr="0053182F">
              <w:rPr>
                <w:noProof/>
                <w:webHidden/>
              </w:rPr>
            </w:r>
            <w:r w:rsidRPr="0053182F">
              <w:rPr>
                <w:noProof/>
                <w:webHidden/>
              </w:rPr>
              <w:fldChar w:fldCharType="separate"/>
            </w:r>
            <w:r w:rsidRPr="0053182F">
              <w:rPr>
                <w:noProof/>
                <w:webHidden/>
              </w:rPr>
              <w:t>46</w:t>
            </w:r>
            <w:r w:rsidRPr="0053182F">
              <w:rPr>
                <w:noProof/>
                <w:webHidden/>
              </w:rPr>
              <w:fldChar w:fldCharType="end"/>
            </w:r>
          </w:hyperlink>
        </w:p>
        <w:p w14:paraId="2695753B" w14:textId="6E738CBC" w:rsidR="00CC3CA8" w:rsidRPr="0053182F" w:rsidRDefault="00CC3CA8">
          <w:pPr>
            <w:pStyle w:val="TOC3"/>
            <w:tabs>
              <w:tab w:val="right" w:leader="dot" w:pos="9016"/>
            </w:tabs>
            <w:rPr>
              <w:noProof/>
              <w:color w:val="auto"/>
              <w:kern w:val="2"/>
              <w:lang w:eastAsia="en-GB"/>
              <w14:ligatures w14:val="standardContextual"/>
            </w:rPr>
          </w:pPr>
          <w:hyperlink w:anchor="_Toc218357077" w:history="1">
            <w:r w:rsidRPr="0053182F">
              <w:rPr>
                <w:rStyle w:val="Hyperlink"/>
                <w:noProof/>
              </w:rPr>
              <w:t>2.3.3 Definitional Complexity</w:t>
            </w:r>
            <w:r w:rsidRPr="0053182F">
              <w:rPr>
                <w:noProof/>
                <w:webHidden/>
              </w:rPr>
              <w:tab/>
            </w:r>
            <w:r w:rsidRPr="0053182F">
              <w:rPr>
                <w:noProof/>
                <w:webHidden/>
              </w:rPr>
              <w:fldChar w:fldCharType="begin"/>
            </w:r>
            <w:r w:rsidRPr="0053182F">
              <w:rPr>
                <w:noProof/>
                <w:webHidden/>
              </w:rPr>
              <w:instrText xml:space="preserve"> PAGEREF _Toc218357077 \h </w:instrText>
            </w:r>
            <w:r w:rsidRPr="0053182F">
              <w:rPr>
                <w:noProof/>
                <w:webHidden/>
              </w:rPr>
            </w:r>
            <w:r w:rsidRPr="0053182F">
              <w:rPr>
                <w:noProof/>
                <w:webHidden/>
              </w:rPr>
              <w:fldChar w:fldCharType="separate"/>
            </w:r>
            <w:r w:rsidRPr="0053182F">
              <w:rPr>
                <w:noProof/>
                <w:webHidden/>
              </w:rPr>
              <w:t>47</w:t>
            </w:r>
            <w:r w:rsidRPr="0053182F">
              <w:rPr>
                <w:noProof/>
                <w:webHidden/>
              </w:rPr>
              <w:fldChar w:fldCharType="end"/>
            </w:r>
          </w:hyperlink>
        </w:p>
        <w:p w14:paraId="4EBF1619" w14:textId="0F2AF9D7"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78" w:history="1">
            <w:r w:rsidRPr="0053182F">
              <w:rPr>
                <w:rStyle w:val="Hyperlink"/>
                <w:rFonts w:ascii="Times New Roman" w:hAnsi="Times New Roman"/>
                <w:noProof/>
              </w:rPr>
              <w:t>2.4 The Corporate Dimension of Modern Slavery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_Toc218357078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51</w:t>
            </w:r>
            <w:r w:rsidRPr="0053182F">
              <w:rPr>
                <w:rFonts w:ascii="Times New Roman" w:hAnsi="Times New Roman"/>
                <w:noProof/>
                <w:webHidden/>
              </w:rPr>
              <w:fldChar w:fldCharType="end"/>
            </w:r>
          </w:hyperlink>
        </w:p>
        <w:p w14:paraId="13BFA9BB" w14:textId="0DA4346B" w:rsidR="00CC3CA8" w:rsidRPr="0053182F" w:rsidRDefault="00CC3CA8">
          <w:pPr>
            <w:pStyle w:val="TOC3"/>
            <w:tabs>
              <w:tab w:val="right" w:leader="dot" w:pos="9016"/>
            </w:tabs>
            <w:rPr>
              <w:noProof/>
              <w:color w:val="auto"/>
              <w:kern w:val="2"/>
              <w:lang w:eastAsia="en-GB"/>
              <w14:ligatures w14:val="standardContextual"/>
            </w:rPr>
          </w:pPr>
          <w:hyperlink w:anchor="_Toc218357079" w:history="1">
            <w:r w:rsidRPr="0053182F">
              <w:rPr>
                <w:rStyle w:val="Hyperlink"/>
                <w:noProof/>
              </w:rPr>
              <w:t>2.4.1 Corporate Modern slavery: Conceptual Foundations</w:t>
            </w:r>
            <w:r w:rsidRPr="0053182F">
              <w:rPr>
                <w:noProof/>
                <w:webHidden/>
              </w:rPr>
              <w:tab/>
            </w:r>
            <w:r w:rsidRPr="0053182F">
              <w:rPr>
                <w:noProof/>
                <w:webHidden/>
              </w:rPr>
              <w:fldChar w:fldCharType="begin"/>
            </w:r>
            <w:r w:rsidRPr="0053182F">
              <w:rPr>
                <w:noProof/>
                <w:webHidden/>
              </w:rPr>
              <w:instrText xml:space="preserve"> PAGEREF _Toc218357079 \h </w:instrText>
            </w:r>
            <w:r w:rsidRPr="0053182F">
              <w:rPr>
                <w:noProof/>
                <w:webHidden/>
              </w:rPr>
            </w:r>
            <w:r w:rsidRPr="0053182F">
              <w:rPr>
                <w:noProof/>
                <w:webHidden/>
              </w:rPr>
              <w:fldChar w:fldCharType="separate"/>
            </w:r>
            <w:r w:rsidRPr="0053182F">
              <w:rPr>
                <w:noProof/>
                <w:webHidden/>
              </w:rPr>
              <w:t>51</w:t>
            </w:r>
            <w:r w:rsidRPr="0053182F">
              <w:rPr>
                <w:noProof/>
                <w:webHidden/>
              </w:rPr>
              <w:fldChar w:fldCharType="end"/>
            </w:r>
          </w:hyperlink>
        </w:p>
        <w:p w14:paraId="3ADF2CF2" w14:textId="7580FF77" w:rsidR="00CC3CA8" w:rsidRPr="0053182F" w:rsidRDefault="00CC3CA8">
          <w:pPr>
            <w:pStyle w:val="TOC3"/>
            <w:tabs>
              <w:tab w:val="right" w:leader="dot" w:pos="9016"/>
            </w:tabs>
            <w:rPr>
              <w:noProof/>
              <w:color w:val="auto"/>
              <w:kern w:val="2"/>
              <w:lang w:eastAsia="en-GB"/>
              <w14:ligatures w14:val="standardContextual"/>
            </w:rPr>
          </w:pPr>
          <w:hyperlink w:anchor="_Toc218357080" w:history="1">
            <w:r w:rsidRPr="0053182F">
              <w:rPr>
                <w:rStyle w:val="Hyperlink"/>
                <w:noProof/>
              </w:rPr>
              <w:t>2.4.2 Corporate modern slavery – Background</w:t>
            </w:r>
            <w:r w:rsidRPr="0053182F">
              <w:rPr>
                <w:noProof/>
                <w:webHidden/>
              </w:rPr>
              <w:tab/>
            </w:r>
            <w:r w:rsidRPr="0053182F">
              <w:rPr>
                <w:noProof/>
                <w:webHidden/>
              </w:rPr>
              <w:fldChar w:fldCharType="begin"/>
            </w:r>
            <w:r w:rsidRPr="0053182F">
              <w:rPr>
                <w:noProof/>
                <w:webHidden/>
              </w:rPr>
              <w:instrText xml:space="preserve"> PAGEREF _Toc218357080 \h </w:instrText>
            </w:r>
            <w:r w:rsidRPr="0053182F">
              <w:rPr>
                <w:noProof/>
                <w:webHidden/>
              </w:rPr>
            </w:r>
            <w:r w:rsidRPr="0053182F">
              <w:rPr>
                <w:noProof/>
                <w:webHidden/>
              </w:rPr>
              <w:fldChar w:fldCharType="separate"/>
            </w:r>
            <w:r w:rsidRPr="0053182F">
              <w:rPr>
                <w:noProof/>
                <w:webHidden/>
              </w:rPr>
              <w:t>51</w:t>
            </w:r>
            <w:r w:rsidRPr="0053182F">
              <w:rPr>
                <w:noProof/>
                <w:webHidden/>
              </w:rPr>
              <w:fldChar w:fldCharType="end"/>
            </w:r>
          </w:hyperlink>
        </w:p>
        <w:p w14:paraId="1ECC1ABB" w14:textId="47E492CC" w:rsidR="00CC3CA8" w:rsidRPr="0053182F" w:rsidRDefault="00CC3CA8">
          <w:pPr>
            <w:pStyle w:val="TOC3"/>
            <w:tabs>
              <w:tab w:val="right" w:leader="dot" w:pos="9016"/>
            </w:tabs>
            <w:rPr>
              <w:noProof/>
              <w:color w:val="auto"/>
              <w:kern w:val="2"/>
              <w:lang w:eastAsia="en-GB"/>
              <w14:ligatures w14:val="standardContextual"/>
            </w:rPr>
          </w:pPr>
          <w:hyperlink w:anchor="_Toc218357081" w:history="1">
            <w:r w:rsidRPr="0053182F">
              <w:rPr>
                <w:rStyle w:val="Hyperlink"/>
                <w:noProof/>
              </w:rPr>
              <w:t>2.4.3 Drivers of Corporate Modern Slavery</w:t>
            </w:r>
            <w:r w:rsidRPr="0053182F">
              <w:rPr>
                <w:noProof/>
                <w:webHidden/>
              </w:rPr>
              <w:tab/>
            </w:r>
            <w:r w:rsidRPr="0053182F">
              <w:rPr>
                <w:noProof/>
                <w:webHidden/>
              </w:rPr>
              <w:fldChar w:fldCharType="begin"/>
            </w:r>
            <w:r w:rsidRPr="0053182F">
              <w:rPr>
                <w:noProof/>
                <w:webHidden/>
              </w:rPr>
              <w:instrText xml:space="preserve"> PAGEREF _Toc218357081 \h </w:instrText>
            </w:r>
            <w:r w:rsidRPr="0053182F">
              <w:rPr>
                <w:noProof/>
                <w:webHidden/>
              </w:rPr>
            </w:r>
            <w:r w:rsidRPr="0053182F">
              <w:rPr>
                <w:noProof/>
                <w:webHidden/>
              </w:rPr>
              <w:fldChar w:fldCharType="separate"/>
            </w:r>
            <w:r w:rsidRPr="0053182F">
              <w:rPr>
                <w:noProof/>
                <w:webHidden/>
              </w:rPr>
              <w:t>64</w:t>
            </w:r>
            <w:r w:rsidRPr="0053182F">
              <w:rPr>
                <w:noProof/>
                <w:webHidden/>
              </w:rPr>
              <w:fldChar w:fldCharType="end"/>
            </w:r>
          </w:hyperlink>
        </w:p>
        <w:p w14:paraId="172A311B" w14:textId="0AB54CFD" w:rsidR="00CC3CA8" w:rsidRPr="0053182F" w:rsidRDefault="00CC3CA8">
          <w:pPr>
            <w:pStyle w:val="TOC3"/>
            <w:tabs>
              <w:tab w:val="right" w:leader="dot" w:pos="9016"/>
            </w:tabs>
            <w:rPr>
              <w:noProof/>
              <w:color w:val="auto"/>
              <w:kern w:val="2"/>
              <w:lang w:eastAsia="en-GB"/>
              <w14:ligatures w14:val="standardContextual"/>
            </w:rPr>
          </w:pPr>
          <w:hyperlink w:anchor="_Toc218357082" w:history="1">
            <w:r w:rsidRPr="0053182F">
              <w:rPr>
                <w:rStyle w:val="Hyperlink"/>
                <w:noProof/>
              </w:rPr>
              <w:t>2.4.4 Corporate Modern slavery and Institutional Dynamics</w:t>
            </w:r>
            <w:r w:rsidRPr="0053182F">
              <w:rPr>
                <w:noProof/>
                <w:webHidden/>
              </w:rPr>
              <w:tab/>
            </w:r>
            <w:r w:rsidRPr="0053182F">
              <w:rPr>
                <w:noProof/>
                <w:webHidden/>
              </w:rPr>
              <w:fldChar w:fldCharType="begin"/>
            </w:r>
            <w:r w:rsidRPr="0053182F">
              <w:rPr>
                <w:noProof/>
                <w:webHidden/>
              </w:rPr>
              <w:instrText xml:space="preserve"> PAGEREF _Toc218357082 \h </w:instrText>
            </w:r>
            <w:r w:rsidRPr="0053182F">
              <w:rPr>
                <w:noProof/>
                <w:webHidden/>
              </w:rPr>
            </w:r>
            <w:r w:rsidRPr="0053182F">
              <w:rPr>
                <w:noProof/>
                <w:webHidden/>
              </w:rPr>
              <w:fldChar w:fldCharType="separate"/>
            </w:r>
            <w:r w:rsidRPr="0053182F">
              <w:rPr>
                <w:noProof/>
                <w:webHidden/>
              </w:rPr>
              <w:t>67</w:t>
            </w:r>
            <w:r w:rsidRPr="0053182F">
              <w:rPr>
                <w:noProof/>
                <w:webHidden/>
              </w:rPr>
              <w:fldChar w:fldCharType="end"/>
            </w:r>
          </w:hyperlink>
        </w:p>
        <w:p w14:paraId="48AAA2FD" w14:textId="77078833" w:rsidR="00CC3CA8" w:rsidRPr="0053182F" w:rsidRDefault="00CC3CA8">
          <w:pPr>
            <w:pStyle w:val="TOC3"/>
            <w:tabs>
              <w:tab w:val="right" w:leader="dot" w:pos="9016"/>
            </w:tabs>
            <w:rPr>
              <w:noProof/>
              <w:color w:val="auto"/>
              <w:kern w:val="2"/>
              <w:lang w:eastAsia="en-GB"/>
              <w14:ligatures w14:val="standardContextual"/>
            </w:rPr>
          </w:pPr>
          <w:hyperlink w:anchor="_Toc218357083" w:history="1">
            <w:r w:rsidRPr="0053182F">
              <w:rPr>
                <w:rStyle w:val="Hyperlink"/>
                <w:noProof/>
              </w:rPr>
              <w:t>2.4.5 Abolition Movements and Global Economic Transition</w:t>
            </w:r>
            <w:r w:rsidRPr="0053182F">
              <w:rPr>
                <w:noProof/>
                <w:webHidden/>
              </w:rPr>
              <w:tab/>
            </w:r>
            <w:r w:rsidRPr="0053182F">
              <w:rPr>
                <w:noProof/>
                <w:webHidden/>
              </w:rPr>
              <w:fldChar w:fldCharType="begin"/>
            </w:r>
            <w:r w:rsidRPr="0053182F">
              <w:rPr>
                <w:noProof/>
                <w:webHidden/>
              </w:rPr>
              <w:instrText xml:space="preserve"> PAGEREF _Toc218357083 \h </w:instrText>
            </w:r>
            <w:r w:rsidRPr="0053182F">
              <w:rPr>
                <w:noProof/>
                <w:webHidden/>
              </w:rPr>
            </w:r>
            <w:r w:rsidRPr="0053182F">
              <w:rPr>
                <w:noProof/>
                <w:webHidden/>
              </w:rPr>
              <w:fldChar w:fldCharType="separate"/>
            </w:r>
            <w:r w:rsidRPr="0053182F">
              <w:rPr>
                <w:noProof/>
                <w:webHidden/>
              </w:rPr>
              <w:t>70</w:t>
            </w:r>
            <w:r w:rsidRPr="0053182F">
              <w:rPr>
                <w:noProof/>
                <w:webHidden/>
              </w:rPr>
              <w:fldChar w:fldCharType="end"/>
            </w:r>
          </w:hyperlink>
        </w:p>
        <w:p w14:paraId="553B9701" w14:textId="7E6932A4" w:rsidR="00CC3CA8" w:rsidRPr="0053182F" w:rsidRDefault="00CC3CA8">
          <w:pPr>
            <w:pStyle w:val="TOC3"/>
            <w:tabs>
              <w:tab w:val="right" w:leader="dot" w:pos="9016"/>
            </w:tabs>
            <w:rPr>
              <w:noProof/>
              <w:color w:val="auto"/>
              <w:kern w:val="2"/>
              <w:lang w:eastAsia="en-GB"/>
              <w14:ligatures w14:val="standardContextual"/>
            </w:rPr>
          </w:pPr>
          <w:hyperlink w:anchor="_Toc218357084" w:history="1">
            <w:r w:rsidRPr="0053182F">
              <w:rPr>
                <w:rStyle w:val="Hyperlink"/>
                <w:noProof/>
              </w:rPr>
              <w:t>2.4.6 Globalisation, Neoliberalism, and the Reconfiguration of Unfree Labour</w:t>
            </w:r>
            <w:r w:rsidRPr="0053182F">
              <w:rPr>
                <w:noProof/>
                <w:webHidden/>
              </w:rPr>
              <w:tab/>
            </w:r>
            <w:r w:rsidRPr="0053182F">
              <w:rPr>
                <w:noProof/>
                <w:webHidden/>
              </w:rPr>
              <w:fldChar w:fldCharType="begin"/>
            </w:r>
            <w:r w:rsidRPr="0053182F">
              <w:rPr>
                <w:noProof/>
                <w:webHidden/>
              </w:rPr>
              <w:instrText xml:space="preserve"> PAGEREF _Toc218357084 \h </w:instrText>
            </w:r>
            <w:r w:rsidRPr="0053182F">
              <w:rPr>
                <w:noProof/>
                <w:webHidden/>
              </w:rPr>
            </w:r>
            <w:r w:rsidRPr="0053182F">
              <w:rPr>
                <w:noProof/>
                <w:webHidden/>
              </w:rPr>
              <w:fldChar w:fldCharType="separate"/>
            </w:r>
            <w:r w:rsidRPr="0053182F">
              <w:rPr>
                <w:noProof/>
                <w:webHidden/>
              </w:rPr>
              <w:t>70</w:t>
            </w:r>
            <w:r w:rsidRPr="0053182F">
              <w:rPr>
                <w:noProof/>
                <w:webHidden/>
              </w:rPr>
              <w:fldChar w:fldCharType="end"/>
            </w:r>
          </w:hyperlink>
        </w:p>
        <w:p w14:paraId="6A1CEC0F" w14:textId="45F15EB6"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85" w:history="1">
            <w:r w:rsidRPr="0053182F">
              <w:rPr>
                <w:rStyle w:val="Hyperlink"/>
                <w:rFonts w:ascii="Times New Roman" w:hAnsi="Times New Roman"/>
                <w:noProof/>
              </w:rPr>
              <w:t>2.5 Institutional and Legislative Responses to modern slavery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_Toc218357085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72</w:t>
            </w:r>
            <w:r w:rsidRPr="0053182F">
              <w:rPr>
                <w:rFonts w:ascii="Times New Roman" w:hAnsi="Times New Roman"/>
                <w:noProof/>
                <w:webHidden/>
              </w:rPr>
              <w:fldChar w:fldCharType="end"/>
            </w:r>
          </w:hyperlink>
        </w:p>
        <w:p w14:paraId="7298EE76" w14:textId="2C2DBAD7" w:rsidR="00CC3CA8" w:rsidRPr="0053182F" w:rsidRDefault="00CC3CA8">
          <w:pPr>
            <w:pStyle w:val="TOC3"/>
            <w:tabs>
              <w:tab w:val="right" w:leader="dot" w:pos="9016"/>
            </w:tabs>
            <w:rPr>
              <w:noProof/>
              <w:color w:val="auto"/>
              <w:kern w:val="2"/>
              <w:lang w:eastAsia="en-GB"/>
              <w14:ligatures w14:val="standardContextual"/>
            </w:rPr>
          </w:pPr>
          <w:hyperlink w:anchor="_Toc218357086" w:history="1">
            <w:r w:rsidRPr="0053182F">
              <w:rPr>
                <w:rStyle w:val="Hyperlink"/>
                <w:noProof/>
              </w:rPr>
              <w:t>2.5.1 Evolution of Business and Human Rights Frameworks</w:t>
            </w:r>
            <w:r w:rsidRPr="0053182F">
              <w:rPr>
                <w:noProof/>
                <w:webHidden/>
              </w:rPr>
              <w:tab/>
            </w:r>
            <w:r w:rsidRPr="0053182F">
              <w:rPr>
                <w:noProof/>
                <w:webHidden/>
              </w:rPr>
              <w:fldChar w:fldCharType="begin"/>
            </w:r>
            <w:r w:rsidRPr="0053182F">
              <w:rPr>
                <w:noProof/>
                <w:webHidden/>
              </w:rPr>
              <w:instrText xml:space="preserve"> PAGEREF _Toc218357086 \h </w:instrText>
            </w:r>
            <w:r w:rsidRPr="0053182F">
              <w:rPr>
                <w:noProof/>
                <w:webHidden/>
              </w:rPr>
            </w:r>
            <w:r w:rsidRPr="0053182F">
              <w:rPr>
                <w:noProof/>
                <w:webHidden/>
              </w:rPr>
              <w:fldChar w:fldCharType="separate"/>
            </w:r>
            <w:r w:rsidRPr="0053182F">
              <w:rPr>
                <w:noProof/>
                <w:webHidden/>
              </w:rPr>
              <w:t>72</w:t>
            </w:r>
            <w:r w:rsidRPr="0053182F">
              <w:rPr>
                <w:noProof/>
                <w:webHidden/>
              </w:rPr>
              <w:fldChar w:fldCharType="end"/>
            </w:r>
          </w:hyperlink>
        </w:p>
        <w:p w14:paraId="70011E19" w14:textId="630D2F8F" w:rsidR="00CC3CA8" w:rsidRPr="0053182F" w:rsidRDefault="00CC3CA8">
          <w:pPr>
            <w:pStyle w:val="TOC3"/>
            <w:tabs>
              <w:tab w:val="right" w:leader="dot" w:pos="9016"/>
            </w:tabs>
            <w:rPr>
              <w:noProof/>
              <w:color w:val="auto"/>
              <w:kern w:val="2"/>
              <w:lang w:eastAsia="en-GB"/>
              <w14:ligatures w14:val="standardContextual"/>
            </w:rPr>
          </w:pPr>
          <w:hyperlink w:anchor="_Toc218357087" w:history="1">
            <w:r w:rsidRPr="0053182F">
              <w:rPr>
                <w:rStyle w:val="Hyperlink"/>
                <w:noProof/>
              </w:rPr>
              <w:t>2.5.2 From Voluntary CSR to Mandatory Human Rights Due Diligence</w:t>
            </w:r>
            <w:r w:rsidRPr="0053182F">
              <w:rPr>
                <w:noProof/>
                <w:webHidden/>
              </w:rPr>
              <w:tab/>
            </w:r>
            <w:r w:rsidRPr="0053182F">
              <w:rPr>
                <w:noProof/>
                <w:webHidden/>
              </w:rPr>
              <w:fldChar w:fldCharType="begin"/>
            </w:r>
            <w:r w:rsidRPr="0053182F">
              <w:rPr>
                <w:noProof/>
                <w:webHidden/>
              </w:rPr>
              <w:instrText xml:space="preserve"> PAGEREF _Toc218357087 \h </w:instrText>
            </w:r>
            <w:r w:rsidRPr="0053182F">
              <w:rPr>
                <w:noProof/>
                <w:webHidden/>
              </w:rPr>
            </w:r>
            <w:r w:rsidRPr="0053182F">
              <w:rPr>
                <w:noProof/>
                <w:webHidden/>
              </w:rPr>
              <w:fldChar w:fldCharType="separate"/>
            </w:r>
            <w:r w:rsidRPr="0053182F">
              <w:rPr>
                <w:noProof/>
                <w:webHidden/>
              </w:rPr>
              <w:t>74</w:t>
            </w:r>
            <w:r w:rsidRPr="0053182F">
              <w:rPr>
                <w:noProof/>
                <w:webHidden/>
              </w:rPr>
              <w:fldChar w:fldCharType="end"/>
            </w:r>
          </w:hyperlink>
        </w:p>
        <w:p w14:paraId="75ECA163" w14:textId="21DC2A89" w:rsidR="00CC3CA8" w:rsidRPr="0053182F" w:rsidRDefault="00CC3CA8">
          <w:pPr>
            <w:pStyle w:val="TOC3"/>
            <w:tabs>
              <w:tab w:val="right" w:leader="dot" w:pos="9016"/>
            </w:tabs>
            <w:rPr>
              <w:noProof/>
              <w:color w:val="auto"/>
              <w:kern w:val="2"/>
              <w:lang w:eastAsia="en-GB"/>
              <w14:ligatures w14:val="standardContextual"/>
            </w:rPr>
          </w:pPr>
          <w:hyperlink w:anchor="_Toc218357088" w:history="1">
            <w:r w:rsidRPr="0053182F">
              <w:rPr>
                <w:rStyle w:val="Hyperlink"/>
                <w:noProof/>
              </w:rPr>
              <w:t>2.5.3 Modern Anti-Modern Slavery Legislation</w:t>
            </w:r>
            <w:r w:rsidRPr="0053182F">
              <w:rPr>
                <w:noProof/>
                <w:webHidden/>
              </w:rPr>
              <w:tab/>
            </w:r>
            <w:r w:rsidRPr="0053182F">
              <w:rPr>
                <w:noProof/>
                <w:webHidden/>
              </w:rPr>
              <w:fldChar w:fldCharType="begin"/>
            </w:r>
            <w:r w:rsidRPr="0053182F">
              <w:rPr>
                <w:noProof/>
                <w:webHidden/>
              </w:rPr>
              <w:instrText xml:space="preserve"> PAGEREF _Toc218357088 \h </w:instrText>
            </w:r>
            <w:r w:rsidRPr="0053182F">
              <w:rPr>
                <w:noProof/>
                <w:webHidden/>
              </w:rPr>
            </w:r>
            <w:r w:rsidRPr="0053182F">
              <w:rPr>
                <w:noProof/>
                <w:webHidden/>
              </w:rPr>
              <w:fldChar w:fldCharType="separate"/>
            </w:r>
            <w:r w:rsidRPr="0053182F">
              <w:rPr>
                <w:noProof/>
                <w:webHidden/>
              </w:rPr>
              <w:t>74</w:t>
            </w:r>
            <w:r w:rsidRPr="0053182F">
              <w:rPr>
                <w:noProof/>
                <w:webHidden/>
              </w:rPr>
              <w:fldChar w:fldCharType="end"/>
            </w:r>
          </w:hyperlink>
        </w:p>
        <w:p w14:paraId="11F839FF" w14:textId="5F72C166" w:rsidR="00CC3CA8" w:rsidRPr="0053182F" w:rsidRDefault="00CC3CA8">
          <w:pPr>
            <w:pStyle w:val="TOC3"/>
            <w:tabs>
              <w:tab w:val="right" w:leader="dot" w:pos="9016"/>
            </w:tabs>
            <w:rPr>
              <w:noProof/>
              <w:color w:val="auto"/>
              <w:kern w:val="2"/>
              <w:lang w:eastAsia="en-GB"/>
              <w14:ligatures w14:val="standardContextual"/>
            </w:rPr>
          </w:pPr>
          <w:hyperlink w:anchor="_Toc218357089" w:history="1">
            <w:r w:rsidRPr="0053182F">
              <w:rPr>
                <w:rStyle w:val="Hyperlink"/>
                <w:noProof/>
              </w:rPr>
              <w:t>2.5.4 Towards a Dual Reality Governance Framework</w:t>
            </w:r>
            <w:r w:rsidRPr="0053182F">
              <w:rPr>
                <w:noProof/>
                <w:webHidden/>
              </w:rPr>
              <w:tab/>
            </w:r>
            <w:r w:rsidRPr="0053182F">
              <w:rPr>
                <w:noProof/>
                <w:webHidden/>
              </w:rPr>
              <w:fldChar w:fldCharType="begin"/>
            </w:r>
            <w:r w:rsidRPr="0053182F">
              <w:rPr>
                <w:noProof/>
                <w:webHidden/>
              </w:rPr>
              <w:instrText xml:space="preserve"> PAGEREF _Toc218357089 \h </w:instrText>
            </w:r>
            <w:r w:rsidRPr="0053182F">
              <w:rPr>
                <w:noProof/>
                <w:webHidden/>
              </w:rPr>
            </w:r>
            <w:r w:rsidRPr="0053182F">
              <w:rPr>
                <w:noProof/>
                <w:webHidden/>
              </w:rPr>
              <w:fldChar w:fldCharType="separate"/>
            </w:r>
            <w:r w:rsidRPr="0053182F">
              <w:rPr>
                <w:noProof/>
                <w:webHidden/>
              </w:rPr>
              <w:t>80</w:t>
            </w:r>
            <w:r w:rsidRPr="0053182F">
              <w:rPr>
                <w:noProof/>
                <w:webHidden/>
              </w:rPr>
              <w:fldChar w:fldCharType="end"/>
            </w:r>
          </w:hyperlink>
        </w:p>
        <w:p w14:paraId="7AD595D1" w14:textId="49DC07EF"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90" w:history="1">
            <w:r w:rsidRPr="0053182F">
              <w:rPr>
                <w:rStyle w:val="Hyperlink"/>
                <w:rFonts w:ascii="Times New Roman" w:hAnsi="Times New Roman"/>
                <w:noProof/>
              </w:rPr>
              <w:t>2.6 Summery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_Toc218357090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80</w:t>
            </w:r>
            <w:r w:rsidRPr="0053182F">
              <w:rPr>
                <w:rFonts w:ascii="Times New Roman" w:hAnsi="Times New Roman"/>
                <w:noProof/>
                <w:webHidden/>
              </w:rPr>
              <w:fldChar w:fldCharType="end"/>
            </w:r>
          </w:hyperlink>
        </w:p>
        <w:p w14:paraId="6EE17D3E" w14:textId="5B4D5FD4"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091" w:history="1">
            <w:r w:rsidRPr="0053182F">
              <w:rPr>
                <w:rStyle w:val="Hyperlink"/>
                <w:rFonts w:ascii="Times New Roman" w:hAnsi="Times New Roman"/>
                <w:noProof/>
              </w:rPr>
              <w:t>Chapter 3 Literature review</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_Toc218357091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82</w:t>
            </w:r>
            <w:r w:rsidRPr="0053182F">
              <w:rPr>
                <w:rFonts w:ascii="Times New Roman" w:hAnsi="Times New Roman"/>
                <w:noProof/>
                <w:webHidden/>
              </w:rPr>
              <w:fldChar w:fldCharType="end"/>
            </w:r>
          </w:hyperlink>
        </w:p>
        <w:p w14:paraId="5B8E995A" w14:textId="4A4F1981"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92" w:history="1">
            <w:r w:rsidRPr="0053182F">
              <w:rPr>
                <w:rStyle w:val="Hyperlink"/>
                <w:rFonts w:ascii="Times New Roman" w:hAnsi="Times New Roman"/>
                <w:noProof/>
              </w:rPr>
              <w:t>3.1. Introduction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_Toc218357092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82</w:t>
            </w:r>
            <w:r w:rsidRPr="0053182F">
              <w:rPr>
                <w:rFonts w:ascii="Times New Roman" w:hAnsi="Times New Roman"/>
                <w:noProof/>
                <w:webHidden/>
              </w:rPr>
              <w:fldChar w:fldCharType="end"/>
            </w:r>
          </w:hyperlink>
        </w:p>
        <w:p w14:paraId="089DE5D8" w14:textId="238C476C"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93" w:history="1">
            <w:r w:rsidRPr="0053182F">
              <w:rPr>
                <w:rStyle w:val="Hyperlink"/>
                <w:rFonts w:ascii="Times New Roman" w:hAnsi="Times New Roman"/>
                <w:noProof/>
              </w:rPr>
              <w:t>3.2 Modern Slavery and the Role of the UN Sustainable Development Goals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_Toc218357093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83</w:t>
            </w:r>
            <w:r w:rsidRPr="0053182F">
              <w:rPr>
                <w:rFonts w:ascii="Times New Roman" w:hAnsi="Times New Roman"/>
                <w:noProof/>
                <w:webHidden/>
              </w:rPr>
              <w:fldChar w:fldCharType="end"/>
            </w:r>
          </w:hyperlink>
        </w:p>
        <w:p w14:paraId="2C874246" w14:textId="35B1B7E3"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94" w:history="1">
            <w:r w:rsidRPr="0053182F">
              <w:rPr>
                <w:rStyle w:val="Hyperlink"/>
                <w:rFonts w:ascii="Times New Roman" w:hAnsi="Times New Roman"/>
                <w:noProof/>
              </w:rPr>
              <w:t>3.3 Impact of Country Governance Factors on the Elimination of Corporate Modern Slavery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_Toc218357094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86</w:t>
            </w:r>
            <w:r w:rsidRPr="0053182F">
              <w:rPr>
                <w:rFonts w:ascii="Times New Roman" w:hAnsi="Times New Roman"/>
                <w:noProof/>
                <w:webHidden/>
              </w:rPr>
              <w:fldChar w:fldCharType="end"/>
            </w:r>
          </w:hyperlink>
        </w:p>
        <w:p w14:paraId="5C0630C0" w14:textId="541EA95F"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95" w:history="1">
            <w:r w:rsidRPr="0053182F">
              <w:rPr>
                <w:rStyle w:val="Hyperlink"/>
                <w:rFonts w:ascii="Times New Roman" w:hAnsi="Times New Roman"/>
                <w:noProof/>
              </w:rPr>
              <w:t>3.4 Government Response to Fighting Corporate Modern Slavery (Macro-level)</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_Toc218357095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92</w:t>
            </w:r>
            <w:r w:rsidRPr="0053182F">
              <w:rPr>
                <w:rFonts w:ascii="Times New Roman" w:hAnsi="Times New Roman"/>
                <w:noProof/>
                <w:webHidden/>
              </w:rPr>
              <w:fldChar w:fldCharType="end"/>
            </w:r>
          </w:hyperlink>
        </w:p>
        <w:p w14:paraId="74890DDD" w14:textId="40716D55"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96" w:history="1">
            <w:r w:rsidRPr="0053182F">
              <w:rPr>
                <w:rStyle w:val="Hyperlink"/>
                <w:rFonts w:ascii="Times New Roman" w:hAnsi="Times New Roman"/>
                <w:noProof/>
              </w:rPr>
              <w:t>3.5 Impact of the Sustainability Governance Initiative on Fighting Corporate Modern Slavery Practices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_Toc218357096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97</w:t>
            </w:r>
            <w:r w:rsidRPr="0053182F">
              <w:rPr>
                <w:rFonts w:ascii="Times New Roman" w:hAnsi="Times New Roman"/>
                <w:noProof/>
                <w:webHidden/>
              </w:rPr>
              <w:fldChar w:fldCharType="end"/>
            </w:r>
          </w:hyperlink>
        </w:p>
        <w:p w14:paraId="48E5C880" w14:textId="6756CD80"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097" w:history="1">
            <w:r w:rsidRPr="0053182F">
              <w:rPr>
                <w:rStyle w:val="Hyperlink"/>
                <w:rFonts w:ascii="Times New Roman" w:hAnsi="Times New Roman"/>
                <w:noProof/>
              </w:rPr>
              <w:t>3.5 Eliminating CMS Practices: Accounting and Legal Perspective.</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_Toc218357097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103</w:t>
            </w:r>
            <w:r w:rsidRPr="0053182F">
              <w:rPr>
                <w:rFonts w:ascii="Times New Roman" w:hAnsi="Times New Roman"/>
                <w:noProof/>
                <w:webHidden/>
              </w:rPr>
              <w:fldChar w:fldCharType="end"/>
            </w:r>
          </w:hyperlink>
        </w:p>
        <w:p w14:paraId="3249C206" w14:textId="63DCA7B9" w:rsidR="00CC3CA8" w:rsidRPr="0053182F" w:rsidRDefault="00CC3CA8">
          <w:pPr>
            <w:pStyle w:val="TOC3"/>
            <w:tabs>
              <w:tab w:val="right" w:leader="dot" w:pos="9016"/>
            </w:tabs>
            <w:rPr>
              <w:noProof/>
              <w:color w:val="auto"/>
              <w:kern w:val="2"/>
              <w:lang w:eastAsia="en-GB"/>
              <w14:ligatures w14:val="standardContextual"/>
            </w:rPr>
          </w:pPr>
          <w:hyperlink w:anchor="_Toc218357098" w:history="1">
            <w:r w:rsidRPr="0053182F">
              <w:rPr>
                <w:rStyle w:val="Hyperlink"/>
                <w:rFonts w:eastAsia="Times New Roman"/>
                <w:noProof/>
              </w:rPr>
              <w:t>3.5.1</w:t>
            </w:r>
            <w:r w:rsidRPr="0053182F">
              <w:rPr>
                <w:rStyle w:val="Hyperlink"/>
                <w:noProof/>
              </w:rPr>
              <w:t xml:space="preserve"> Why is Corporate Modern Slavery a Pressing Issue for Business?</w:t>
            </w:r>
            <w:r w:rsidRPr="0053182F">
              <w:rPr>
                <w:noProof/>
                <w:webHidden/>
              </w:rPr>
              <w:tab/>
            </w:r>
            <w:r w:rsidRPr="0053182F">
              <w:rPr>
                <w:noProof/>
                <w:webHidden/>
              </w:rPr>
              <w:fldChar w:fldCharType="begin"/>
            </w:r>
            <w:r w:rsidRPr="0053182F">
              <w:rPr>
                <w:noProof/>
                <w:webHidden/>
              </w:rPr>
              <w:instrText xml:space="preserve"> PAGEREF _Toc218357098 \h </w:instrText>
            </w:r>
            <w:r w:rsidRPr="0053182F">
              <w:rPr>
                <w:noProof/>
                <w:webHidden/>
              </w:rPr>
            </w:r>
            <w:r w:rsidRPr="0053182F">
              <w:rPr>
                <w:noProof/>
                <w:webHidden/>
              </w:rPr>
              <w:fldChar w:fldCharType="separate"/>
            </w:r>
            <w:r w:rsidRPr="0053182F">
              <w:rPr>
                <w:noProof/>
                <w:webHidden/>
              </w:rPr>
              <w:t>106</w:t>
            </w:r>
            <w:r w:rsidRPr="0053182F">
              <w:rPr>
                <w:noProof/>
                <w:webHidden/>
              </w:rPr>
              <w:fldChar w:fldCharType="end"/>
            </w:r>
          </w:hyperlink>
        </w:p>
        <w:p w14:paraId="52A52CC1" w14:textId="6886D440" w:rsidR="00CC3CA8" w:rsidRPr="0053182F" w:rsidRDefault="00CC3CA8">
          <w:pPr>
            <w:pStyle w:val="TOC3"/>
            <w:tabs>
              <w:tab w:val="right" w:leader="dot" w:pos="9016"/>
            </w:tabs>
            <w:rPr>
              <w:noProof/>
              <w:color w:val="auto"/>
              <w:kern w:val="2"/>
              <w:lang w:eastAsia="en-GB"/>
              <w14:ligatures w14:val="standardContextual"/>
            </w:rPr>
          </w:pPr>
          <w:hyperlink w:anchor="_Toc218357099" w:history="1">
            <w:r w:rsidRPr="0053182F">
              <w:rPr>
                <w:rStyle w:val="Hyperlink"/>
                <w:noProof/>
              </w:rPr>
              <w:t>3.5.2 Why is Business MS a material topic for an organisation?</w:t>
            </w:r>
            <w:r w:rsidRPr="0053182F">
              <w:rPr>
                <w:noProof/>
                <w:webHidden/>
              </w:rPr>
              <w:tab/>
            </w:r>
            <w:r w:rsidRPr="0053182F">
              <w:rPr>
                <w:noProof/>
                <w:webHidden/>
              </w:rPr>
              <w:fldChar w:fldCharType="begin"/>
            </w:r>
            <w:r w:rsidRPr="0053182F">
              <w:rPr>
                <w:noProof/>
                <w:webHidden/>
              </w:rPr>
              <w:instrText xml:space="preserve"> PAGEREF _Toc218357099 \h </w:instrText>
            </w:r>
            <w:r w:rsidRPr="0053182F">
              <w:rPr>
                <w:noProof/>
                <w:webHidden/>
              </w:rPr>
            </w:r>
            <w:r w:rsidRPr="0053182F">
              <w:rPr>
                <w:noProof/>
                <w:webHidden/>
              </w:rPr>
              <w:fldChar w:fldCharType="separate"/>
            </w:r>
            <w:r w:rsidRPr="0053182F">
              <w:rPr>
                <w:noProof/>
                <w:webHidden/>
              </w:rPr>
              <w:t>107</w:t>
            </w:r>
            <w:r w:rsidRPr="0053182F">
              <w:rPr>
                <w:noProof/>
                <w:webHidden/>
              </w:rPr>
              <w:fldChar w:fldCharType="end"/>
            </w:r>
          </w:hyperlink>
        </w:p>
        <w:p w14:paraId="25B2DA61" w14:textId="14710A93" w:rsidR="00CC3CA8" w:rsidRPr="0053182F" w:rsidRDefault="00CC3CA8">
          <w:pPr>
            <w:pStyle w:val="TOC3"/>
            <w:tabs>
              <w:tab w:val="right" w:leader="dot" w:pos="9016"/>
            </w:tabs>
            <w:rPr>
              <w:noProof/>
              <w:color w:val="auto"/>
              <w:kern w:val="2"/>
              <w:lang w:eastAsia="en-GB"/>
              <w14:ligatures w14:val="standardContextual"/>
            </w:rPr>
          </w:pPr>
          <w:hyperlink w:anchor="_Toc218357100" w:history="1">
            <w:r w:rsidRPr="0053182F">
              <w:rPr>
                <w:rStyle w:val="Hyperlink"/>
                <w:noProof/>
              </w:rPr>
              <w:t>3.5.3 Reporting on Business Modern Slavery Practices</w:t>
            </w:r>
            <w:r w:rsidRPr="0053182F">
              <w:rPr>
                <w:noProof/>
                <w:webHidden/>
              </w:rPr>
              <w:tab/>
            </w:r>
            <w:r w:rsidRPr="0053182F">
              <w:rPr>
                <w:noProof/>
                <w:webHidden/>
              </w:rPr>
              <w:fldChar w:fldCharType="begin"/>
            </w:r>
            <w:r w:rsidRPr="0053182F">
              <w:rPr>
                <w:noProof/>
                <w:webHidden/>
              </w:rPr>
              <w:instrText xml:space="preserve"> PAGEREF _Toc218357100 \h </w:instrText>
            </w:r>
            <w:r w:rsidRPr="0053182F">
              <w:rPr>
                <w:noProof/>
                <w:webHidden/>
              </w:rPr>
            </w:r>
            <w:r w:rsidRPr="0053182F">
              <w:rPr>
                <w:noProof/>
                <w:webHidden/>
              </w:rPr>
              <w:fldChar w:fldCharType="separate"/>
            </w:r>
            <w:r w:rsidRPr="0053182F">
              <w:rPr>
                <w:noProof/>
                <w:webHidden/>
              </w:rPr>
              <w:t>110</w:t>
            </w:r>
            <w:r w:rsidRPr="0053182F">
              <w:rPr>
                <w:noProof/>
                <w:webHidden/>
              </w:rPr>
              <w:fldChar w:fldCharType="end"/>
            </w:r>
          </w:hyperlink>
        </w:p>
        <w:p w14:paraId="59709527" w14:textId="180918B4" w:rsidR="00CC3CA8" w:rsidRPr="0053182F" w:rsidRDefault="00CC3CA8">
          <w:pPr>
            <w:pStyle w:val="TOC3"/>
            <w:tabs>
              <w:tab w:val="right" w:leader="dot" w:pos="9016"/>
            </w:tabs>
            <w:rPr>
              <w:noProof/>
              <w:color w:val="auto"/>
              <w:kern w:val="2"/>
              <w:lang w:eastAsia="en-GB"/>
              <w14:ligatures w14:val="standardContextual"/>
            </w:rPr>
          </w:pPr>
          <w:hyperlink w:anchor="_Toc218357101" w:history="1">
            <w:r w:rsidRPr="0053182F">
              <w:rPr>
                <w:rStyle w:val="Hyperlink"/>
                <w:noProof/>
              </w:rPr>
              <w:t>3.5.4 Accounting disclosure standards for fighting Corporate Modern Slavery</w:t>
            </w:r>
            <w:r w:rsidRPr="0053182F">
              <w:rPr>
                <w:noProof/>
                <w:webHidden/>
              </w:rPr>
              <w:tab/>
            </w:r>
            <w:r w:rsidRPr="0053182F">
              <w:rPr>
                <w:noProof/>
                <w:webHidden/>
              </w:rPr>
              <w:fldChar w:fldCharType="begin"/>
            </w:r>
            <w:r w:rsidRPr="0053182F">
              <w:rPr>
                <w:noProof/>
                <w:webHidden/>
              </w:rPr>
              <w:instrText xml:space="preserve"> PAGEREF _Toc218357101 \h </w:instrText>
            </w:r>
            <w:r w:rsidRPr="0053182F">
              <w:rPr>
                <w:noProof/>
                <w:webHidden/>
              </w:rPr>
            </w:r>
            <w:r w:rsidRPr="0053182F">
              <w:rPr>
                <w:noProof/>
                <w:webHidden/>
              </w:rPr>
              <w:fldChar w:fldCharType="separate"/>
            </w:r>
            <w:r w:rsidRPr="0053182F">
              <w:rPr>
                <w:noProof/>
                <w:webHidden/>
              </w:rPr>
              <w:t>114</w:t>
            </w:r>
            <w:r w:rsidRPr="0053182F">
              <w:rPr>
                <w:noProof/>
                <w:webHidden/>
              </w:rPr>
              <w:fldChar w:fldCharType="end"/>
            </w:r>
          </w:hyperlink>
        </w:p>
        <w:p w14:paraId="4F16D1CF" w14:textId="5ACA6102" w:rsidR="00CC3CA8" w:rsidRPr="0053182F" w:rsidRDefault="00CC3CA8">
          <w:pPr>
            <w:pStyle w:val="TOC3"/>
            <w:tabs>
              <w:tab w:val="right" w:leader="dot" w:pos="9016"/>
            </w:tabs>
            <w:rPr>
              <w:noProof/>
              <w:color w:val="auto"/>
              <w:kern w:val="2"/>
              <w:lang w:eastAsia="en-GB"/>
              <w14:ligatures w14:val="standardContextual"/>
            </w:rPr>
          </w:pPr>
          <w:hyperlink w:anchor="_Toc218357102" w:history="1">
            <w:r w:rsidRPr="0053182F">
              <w:rPr>
                <w:rStyle w:val="Hyperlink"/>
                <w:noProof/>
              </w:rPr>
              <w:t>3.5.5 Sustainability Assurance as a New Initiative to Combat corporate Modern slavery</w:t>
            </w:r>
            <w:r w:rsidRPr="0053182F">
              <w:rPr>
                <w:noProof/>
                <w:webHidden/>
              </w:rPr>
              <w:tab/>
            </w:r>
            <w:r w:rsidRPr="0053182F">
              <w:rPr>
                <w:noProof/>
                <w:webHidden/>
              </w:rPr>
              <w:fldChar w:fldCharType="begin"/>
            </w:r>
            <w:r w:rsidRPr="0053182F">
              <w:rPr>
                <w:noProof/>
                <w:webHidden/>
              </w:rPr>
              <w:instrText xml:space="preserve"> PAGEREF _Toc218357102 \h </w:instrText>
            </w:r>
            <w:r w:rsidRPr="0053182F">
              <w:rPr>
                <w:noProof/>
                <w:webHidden/>
              </w:rPr>
            </w:r>
            <w:r w:rsidRPr="0053182F">
              <w:rPr>
                <w:noProof/>
                <w:webHidden/>
              </w:rPr>
              <w:fldChar w:fldCharType="separate"/>
            </w:r>
            <w:r w:rsidRPr="0053182F">
              <w:rPr>
                <w:noProof/>
                <w:webHidden/>
              </w:rPr>
              <w:t>115</w:t>
            </w:r>
            <w:r w:rsidRPr="0053182F">
              <w:rPr>
                <w:noProof/>
                <w:webHidden/>
              </w:rPr>
              <w:fldChar w:fldCharType="end"/>
            </w:r>
          </w:hyperlink>
        </w:p>
        <w:p w14:paraId="397BC778" w14:textId="75863288" w:rsidR="00CC3CA8" w:rsidRPr="0053182F" w:rsidRDefault="00CC3CA8">
          <w:pPr>
            <w:pStyle w:val="TOC3"/>
            <w:tabs>
              <w:tab w:val="right" w:leader="dot" w:pos="9016"/>
            </w:tabs>
            <w:rPr>
              <w:noProof/>
              <w:color w:val="auto"/>
              <w:kern w:val="2"/>
              <w:lang w:eastAsia="en-GB"/>
              <w14:ligatures w14:val="standardContextual"/>
            </w:rPr>
          </w:pPr>
          <w:hyperlink w:anchor="_Toc218357103" w:history="1">
            <w:r w:rsidRPr="0053182F">
              <w:rPr>
                <w:rStyle w:val="Hyperlink"/>
                <w:noProof/>
              </w:rPr>
              <w:t>3.5.6 Accounting Role in the Elimination of Corporate Modern Slavery</w:t>
            </w:r>
            <w:r w:rsidRPr="0053182F">
              <w:rPr>
                <w:noProof/>
                <w:webHidden/>
              </w:rPr>
              <w:tab/>
            </w:r>
            <w:r w:rsidRPr="0053182F">
              <w:rPr>
                <w:noProof/>
                <w:webHidden/>
              </w:rPr>
              <w:fldChar w:fldCharType="begin"/>
            </w:r>
            <w:r w:rsidRPr="0053182F">
              <w:rPr>
                <w:noProof/>
                <w:webHidden/>
              </w:rPr>
              <w:instrText xml:space="preserve"> PAGEREF _Toc218357103 \h </w:instrText>
            </w:r>
            <w:r w:rsidRPr="0053182F">
              <w:rPr>
                <w:noProof/>
                <w:webHidden/>
              </w:rPr>
            </w:r>
            <w:r w:rsidRPr="0053182F">
              <w:rPr>
                <w:noProof/>
                <w:webHidden/>
              </w:rPr>
              <w:fldChar w:fldCharType="separate"/>
            </w:r>
            <w:r w:rsidRPr="0053182F">
              <w:rPr>
                <w:noProof/>
                <w:webHidden/>
              </w:rPr>
              <w:t>118</w:t>
            </w:r>
            <w:r w:rsidRPr="0053182F">
              <w:rPr>
                <w:noProof/>
                <w:webHidden/>
              </w:rPr>
              <w:fldChar w:fldCharType="end"/>
            </w:r>
          </w:hyperlink>
        </w:p>
        <w:p w14:paraId="5CA01531" w14:textId="12142FDF"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04" w:history="1">
            <w:r w:rsidRPr="0053182F">
              <w:rPr>
                <w:rStyle w:val="Hyperlink"/>
                <w:rFonts w:ascii="Times New Roman" w:hAnsi="Times New Roman"/>
                <w:noProof/>
              </w:rPr>
              <w:t>3.6 The Positive Response from Corporations to the Elimination of Corporate Modern Slavery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_Toc218357104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120</w:t>
            </w:r>
            <w:r w:rsidRPr="0053182F">
              <w:rPr>
                <w:rFonts w:ascii="Times New Roman" w:hAnsi="Times New Roman"/>
                <w:noProof/>
                <w:webHidden/>
              </w:rPr>
              <w:fldChar w:fldCharType="end"/>
            </w:r>
          </w:hyperlink>
        </w:p>
        <w:p w14:paraId="0459E766" w14:textId="7C3101F8"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05" w:history="1">
            <w:r w:rsidRPr="0053182F">
              <w:rPr>
                <w:rStyle w:val="Hyperlink"/>
                <w:rFonts w:ascii="Times New Roman" w:hAnsi="Times New Roman"/>
                <w:noProof/>
              </w:rPr>
              <w:t>3.7 Corporate Modern Slavery Practices in the Apparel and Textile Industrial Context</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_Toc218357105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121</w:t>
            </w:r>
            <w:r w:rsidRPr="0053182F">
              <w:rPr>
                <w:rFonts w:ascii="Times New Roman" w:hAnsi="Times New Roman"/>
                <w:noProof/>
                <w:webHidden/>
              </w:rPr>
              <w:fldChar w:fldCharType="end"/>
            </w:r>
          </w:hyperlink>
        </w:p>
        <w:p w14:paraId="080EEB6E" w14:textId="5B20BEAC"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06" w:history="1">
            <w:r w:rsidRPr="0053182F">
              <w:rPr>
                <w:rStyle w:val="Hyperlink"/>
                <w:rFonts w:ascii="Times New Roman" w:hAnsi="Times New Roman"/>
                <w:noProof/>
              </w:rPr>
              <w:t>3.8 Background of Sri Lankan context</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_Toc218357106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123</w:t>
            </w:r>
            <w:r w:rsidRPr="0053182F">
              <w:rPr>
                <w:rFonts w:ascii="Times New Roman" w:hAnsi="Times New Roman"/>
                <w:noProof/>
                <w:webHidden/>
              </w:rPr>
              <w:fldChar w:fldCharType="end"/>
            </w:r>
          </w:hyperlink>
        </w:p>
        <w:p w14:paraId="3F6A975A" w14:textId="3035804E" w:rsidR="00CC3CA8" w:rsidRPr="0053182F" w:rsidRDefault="00CC3CA8">
          <w:pPr>
            <w:pStyle w:val="TOC3"/>
            <w:tabs>
              <w:tab w:val="right" w:leader="dot" w:pos="9016"/>
            </w:tabs>
            <w:rPr>
              <w:noProof/>
              <w:color w:val="auto"/>
              <w:kern w:val="2"/>
              <w:lang w:eastAsia="en-GB"/>
              <w14:ligatures w14:val="standardContextual"/>
            </w:rPr>
          </w:pPr>
          <w:hyperlink w:anchor="_Toc218357107" w:history="1">
            <w:r w:rsidRPr="0053182F">
              <w:rPr>
                <w:rStyle w:val="Hyperlink"/>
                <w:noProof/>
              </w:rPr>
              <w:t>3.8.1 Green Manufacturing of Garments</w:t>
            </w:r>
            <w:r w:rsidRPr="0053182F">
              <w:rPr>
                <w:noProof/>
                <w:webHidden/>
              </w:rPr>
              <w:tab/>
            </w:r>
            <w:r w:rsidRPr="0053182F">
              <w:rPr>
                <w:noProof/>
                <w:webHidden/>
              </w:rPr>
              <w:fldChar w:fldCharType="begin"/>
            </w:r>
            <w:r w:rsidRPr="0053182F">
              <w:rPr>
                <w:noProof/>
                <w:webHidden/>
              </w:rPr>
              <w:instrText xml:space="preserve"> PAGEREF _Toc218357107 \h </w:instrText>
            </w:r>
            <w:r w:rsidRPr="0053182F">
              <w:rPr>
                <w:noProof/>
                <w:webHidden/>
              </w:rPr>
            </w:r>
            <w:r w:rsidRPr="0053182F">
              <w:rPr>
                <w:noProof/>
                <w:webHidden/>
              </w:rPr>
              <w:fldChar w:fldCharType="separate"/>
            </w:r>
            <w:r w:rsidRPr="0053182F">
              <w:rPr>
                <w:noProof/>
                <w:webHidden/>
              </w:rPr>
              <w:t>127</w:t>
            </w:r>
            <w:r w:rsidRPr="0053182F">
              <w:rPr>
                <w:noProof/>
                <w:webHidden/>
              </w:rPr>
              <w:fldChar w:fldCharType="end"/>
            </w:r>
          </w:hyperlink>
        </w:p>
        <w:p w14:paraId="773D40F7" w14:textId="718AEB8D" w:rsidR="00CC3CA8" w:rsidRPr="0053182F" w:rsidRDefault="00CC3CA8">
          <w:pPr>
            <w:pStyle w:val="TOC3"/>
            <w:tabs>
              <w:tab w:val="right" w:leader="dot" w:pos="9016"/>
            </w:tabs>
            <w:rPr>
              <w:noProof/>
              <w:color w:val="auto"/>
              <w:kern w:val="2"/>
              <w:lang w:eastAsia="en-GB"/>
              <w14:ligatures w14:val="standardContextual"/>
            </w:rPr>
          </w:pPr>
          <w:hyperlink w:anchor="_Toc218357108" w:history="1">
            <w:r w:rsidRPr="0053182F">
              <w:rPr>
                <w:rStyle w:val="Hyperlink"/>
                <w:noProof/>
              </w:rPr>
              <w:t>3.8.2 Introduction of labour law and industrial relations in Sri Lanka</w:t>
            </w:r>
            <w:r w:rsidRPr="0053182F">
              <w:rPr>
                <w:noProof/>
                <w:webHidden/>
              </w:rPr>
              <w:tab/>
            </w:r>
            <w:r w:rsidRPr="0053182F">
              <w:rPr>
                <w:noProof/>
                <w:webHidden/>
              </w:rPr>
              <w:fldChar w:fldCharType="begin"/>
            </w:r>
            <w:r w:rsidRPr="0053182F">
              <w:rPr>
                <w:noProof/>
                <w:webHidden/>
              </w:rPr>
              <w:instrText xml:space="preserve"> PAGEREF _Toc218357108 \h </w:instrText>
            </w:r>
            <w:r w:rsidRPr="0053182F">
              <w:rPr>
                <w:noProof/>
                <w:webHidden/>
              </w:rPr>
            </w:r>
            <w:r w:rsidRPr="0053182F">
              <w:rPr>
                <w:noProof/>
                <w:webHidden/>
              </w:rPr>
              <w:fldChar w:fldCharType="separate"/>
            </w:r>
            <w:r w:rsidRPr="0053182F">
              <w:rPr>
                <w:noProof/>
                <w:webHidden/>
              </w:rPr>
              <w:t>128</w:t>
            </w:r>
            <w:r w:rsidRPr="0053182F">
              <w:rPr>
                <w:noProof/>
                <w:webHidden/>
              </w:rPr>
              <w:fldChar w:fldCharType="end"/>
            </w:r>
          </w:hyperlink>
        </w:p>
        <w:p w14:paraId="03F24BCE" w14:textId="0FC740B2"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09" w:history="1">
            <w:r w:rsidRPr="0053182F">
              <w:rPr>
                <w:rStyle w:val="Hyperlink"/>
                <w:rFonts w:ascii="Times New Roman" w:hAnsi="Times New Roman"/>
                <w:noProof/>
              </w:rPr>
              <w:t>3.9 Summary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_Toc218357109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130</w:t>
            </w:r>
            <w:r w:rsidRPr="0053182F">
              <w:rPr>
                <w:rFonts w:ascii="Times New Roman" w:hAnsi="Times New Roman"/>
                <w:noProof/>
                <w:webHidden/>
              </w:rPr>
              <w:fldChar w:fldCharType="end"/>
            </w:r>
          </w:hyperlink>
        </w:p>
        <w:p w14:paraId="0152CBEC" w14:textId="0F9EC7C0"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10" w:history="1">
            <w:r w:rsidRPr="0053182F">
              <w:rPr>
                <w:rStyle w:val="Hyperlink"/>
                <w:rFonts w:ascii="Times New Roman" w:hAnsi="Times New Roman"/>
                <w:noProof/>
              </w:rPr>
              <w:t>Chapter 4: Theoretical Framework</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_Toc218357110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131</w:t>
            </w:r>
            <w:r w:rsidRPr="0053182F">
              <w:rPr>
                <w:rFonts w:ascii="Times New Roman" w:hAnsi="Times New Roman"/>
                <w:noProof/>
                <w:webHidden/>
              </w:rPr>
              <w:fldChar w:fldCharType="end"/>
            </w:r>
          </w:hyperlink>
        </w:p>
        <w:p w14:paraId="6065C50B" w14:textId="19B9D3D4"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11" w:history="1">
            <w:r w:rsidRPr="0053182F">
              <w:rPr>
                <w:rStyle w:val="Hyperlink"/>
                <w:rFonts w:ascii="Times New Roman" w:eastAsia="Times New Roman" w:hAnsi="Times New Roman"/>
                <w:noProof/>
              </w:rPr>
              <w:t>4.1 Introduction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_Toc218357111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131</w:t>
            </w:r>
            <w:r w:rsidRPr="0053182F">
              <w:rPr>
                <w:rFonts w:ascii="Times New Roman" w:hAnsi="Times New Roman"/>
                <w:noProof/>
                <w:webHidden/>
              </w:rPr>
              <w:fldChar w:fldCharType="end"/>
            </w:r>
          </w:hyperlink>
        </w:p>
        <w:p w14:paraId="3B452C8F" w14:textId="64ADF77A"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12" w:history="1">
            <w:r w:rsidRPr="0053182F">
              <w:rPr>
                <w:rStyle w:val="Hyperlink"/>
                <w:rFonts w:ascii="Times New Roman" w:hAnsi="Times New Roman"/>
                <w:noProof/>
              </w:rPr>
              <w:t>4.2 Origins and Development of Neo-Institutional Theory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_Toc218357112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133</w:t>
            </w:r>
            <w:r w:rsidRPr="0053182F">
              <w:rPr>
                <w:rFonts w:ascii="Times New Roman" w:hAnsi="Times New Roman"/>
                <w:noProof/>
                <w:webHidden/>
              </w:rPr>
              <w:fldChar w:fldCharType="end"/>
            </w:r>
          </w:hyperlink>
        </w:p>
        <w:p w14:paraId="67CB4F06" w14:textId="5E3FC770"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13" w:history="1">
            <w:r w:rsidRPr="0053182F">
              <w:rPr>
                <w:rStyle w:val="Hyperlink"/>
                <w:rFonts w:ascii="Times New Roman" w:hAnsi="Times New Roman"/>
                <w:noProof/>
              </w:rPr>
              <w:t>4.3 Coercive, Normative, and Mimetic Pressures in the Governance of CMS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_Toc218357113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135</w:t>
            </w:r>
            <w:r w:rsidRPr="0053182F">
              <w:rPr>
                <w:rFonts w:ascii="Times New Roman" w:hAnsi="Times New Roman"/>
                <w:noProof/>
                <w:webHidden/>
              </w:rPr>
              <w:fldChar w:fldCharType="end"/>
            </w:r>
          </w:hyperlink>
        </w:p>
        <w:p w14:paraId="7DA39AA7" w14:textId="6C0B98DD" w:rsidR="00CC3CA8" w:rsidRPr="0053182F" w:rsidRDefault="00CC3CA8">
          <w:pPr>
            <w:pStyle w:val="TOC3"/>
            <w:tabs>
              <w:tab w:val="right" w:leader="dot" w:pos="9016"/>
            </w:tabs>
            <w:rPr>
              <w:noProof/>
              <w:color w:val="auto"/>
              <w:kern w:val="2"/>
              <w:lang w:eastAsia="en-GB"/>
              <w14:ligatures w14:val="standardContextual"/>
            </w:rPr>
          </w:pPr>
          <w:hyperlink w:anchor="_Toc218357114" w:history="1">
            <w:r w:rsidRPr="0053182F">
              <w:rPr>
                <w:rStyle w:val="Hyperlink"/>
                <w:noProof/>
              </w:rPr>
              <w:t>4.3.1 Macro-Level: National and Transnational Governance Pressures</w:t>
            </w:r>
            <w:r w:rsidRPr="0053182F">
              <w:rPr>
                <w:noProof/>
                <w:webHidden/>
              </w:rPr>
              <w:tab/>
            </w:r>
            <w:r w:rsidRPr="0053182F">
              <w:rPr>
                <w:noProof/>
                <w:webHidden/>
              </w:rPr>
              <w:fldChar w:fldCharType="begin"/>
            </w:r>
            <w:r w:rsidRPr="0053182F">
              <w:rPr>
                <w:noProof/>
                <w:webHidden/>
              </w:rPr>
              <w:instrText xml:space="preserve"> PAGEREF _Toc218357114 \h </w:instrText>
            </w:r>
            <w:r w:rsidRPr="0053182F">
              <w:rPr>
                <w:noProof/>
                <w:webHidden/>
              </w:rPr>
            </w:r>
            <w:r w:rsidRPr="0053182F">
              <w:rPr>
                <w:noProof/>
                <w:webHidden/>
              </w:rPr>
              <w:fldChar w:fldCharType="separate"/>
            </w:r>
            <w:r w:rsidRPr="0053182F">
              <w:rPr>
                <w:noProof/>
                <w:webHidden/>
              </w:rPr>
              <w:t>136</w:t>
            </w:r>
            <w:r w:rsidRPr="0053182F">
              <w:rPr>
                <w:noProof/>
                <w:webHidden/>
              </w:rPr>
              <w:fldChar w:fldCharType="end"/>
            </w:r>
          </w:hyperlink>
        </w:p>
        <w:p w14:paraId="0870F414" w14:textId="1D4286C8" w:rsidR="00CC3CA8" w:rsidRPr="0053182F" w:rsidRDefault="00CC3CA8">
          <w:pPr>
            <w:pStyle w:val="TOC3"/>
            <w:tabs>
              <w:tab w:val="right" w:leader="dot" w:pos="9016"/>
            </w:tabs>
            <w:rPr>
              <w:noProof/>
              <w:color w:val="auto"/>
              <w:kern w:val="2"/>
              <w:lang w:eastAsia="en-GB"/>
              <w14:ligatures w14:val="standardContextual"/>
            </w:rPr>
          </w:pPr>
          <w:hyperlink w:anchor="_Toc218357115" w:history="1">
            <w:r w:rsidRPr="0053182F">
              <w:rPr>
                <w:rStyle w:val="Hyperlink"/>
                <w:noProof/>
              </w:rPr>
              <w:t>4.3.2 Meso-Level: Firm-Level Governance and SGIs</w:t>
            </w:r>
            <w:r w:rsidRPr="0053182F">
              <w:rPr>
                <w:noProof/>
                <w:webHidden/>
              </w:rPr>
              <w:tab/>
            </w:r>
            <w:r w:rsidRPr="0053182F">
              <w:rPr>
                <w:noProof/>
                <w:webHidden/>
              </w:rPr>
              <w:fldChar w:fldCharType="begin"/>
            </w:r>
            <w:r w:rsidRPr="0053182F">
              <w:rPr>
                <w:noProof/>
                <w:webHidden/>
              </w:rPr>
              <w:instrText xml:space="preserve"> PAGEREF _Toc218357115 \h </w:instrText>
            </w:r>
            <w:r w:rsidRPr="0053182F">
              <w:rPr>
                <w:noProof/>
                <w:webHidden/>
              </w:rPr>
            </w:r>
            <w:r w:rsidRPr="0053182F">
              <w:rPr>
                <w:noProof/>
                <w:webHidden/>
              </w:rPr>
              <w:fldChar w:fldCharType="separate"/>
            </w:r>
            <w:r w:rsidRPr="0053182F">
              <w:rPr>
                <w:noProof/>
                <w:webHidden/>
              </w:rPr>
              <w:t>136</w:t>
            </w:r>
            <w:r w:rsidRPr="0053182F">
              <w:rPr>
                <w:noProof/>
                <w:webHidden/>
              </w:rPr>
              <w:fldChar w:fldCharType="end"/>
            </w:r>
          </w:hyperlink>
        </w:p>
        <w:p w14:paraId="70505D08" w14:textId="6099ACA2" w:rsidR="00CC3CA8" w:rsidRPr="0053182F" w:rsidRDefault="00CC3CA8">
          <w:pPr>
            <w:pStyle w:val="TOC3"/>
            <w:tabs>
              <w:tab w:val="right" w:leader="dot" w:pos="9016"/>
            </w:tabs>
            <w:rPr>
              <w:noProof/>
              <w:color w:val="auto"/>
              <w:kern w:val="2"/>
              <w:lang w:eastAsia="en-GB"/>
              <w14:ligatures w14:val="standardContextual"/>
            </w:rPr>
          </w:pPr>
          <w:hyperlink w:anchor="_Toc218357116" w:history="1">
            <w:r w:rsidRPr="0053182F">
              <w:rPr>
                <w:rStyle w:val="Hyperlink"/>
                <w:noProof/>
              </w:rPr>
              <w:t>4.3.3 Micro-Level: Workers’ Lived Realities</w:t>
            </w:r>
            <w:r w:rsidRPr="0053182F">
              <w:rPr>
                <w:noProof/>
                <w:webHidden/>
              </w:rPr>
              <w:tab/>
            </w:r>
            <w:r w:rsidRPr="0053182F">
              <w:rPr>
                <w:noProof/>
                <w:webHidden/>
              </w:rPr>
              <w:fldChar w:fldCharType="begin"/>
            </w:r>
            <w:r w:rsidRPr="0053182F">
              <w:rPr>
                <w:noProof/>
                <w:webHidden/>
              </w:rPr>
              <w:instrText xml:space="preserve"> PAGEREF _Toc218357116 \h </w:instrText>
            </w:r>
            <w:r w:rsidRPr="0053182F">
              <w:rPr>
                <w:noProof/>
                <w:webHidden/>
              </w:rPr>
            </w:r>
            <w:r w:rsidRPr="0053182F">
              <w:rPr>
                <w:noProof/>
                <w:webHidden/>
              </w:rPr>
              <w:fldChar w:fldCharType="separate"/>
            </w:r>
            <w:r w:rsidRPr="0053182F">
              <w:rPr>
                <w:noProof/>
                <w:webHidden/>
              </w:rPr>
              <w:t>137</w:t>
            </w:r>
            <w:r w:rsidRPr="0053182F">
              <w:rPr>
                <w:noProof/>
                <w:webHidden/>
              </w:rPr>
              <w:fldChar w:fldCharType="end"/>
            </w:r>
          </w:hyperlink>
        </w:p>
        <w:p w14:paraId="560DFDD5" w14:textId="1C35D665"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17" w:history="1">
            <w:r w:rsidRPr="0053182F">
              <w:rPr>
                <w:rStyle w:val="Hyperlink"/>
                <w:rFonts w:ascii="Times New Roman" w:hAnsi="Times New Roman"/>
                <w:noProof/>
              </w:rPr>
              <w:t>4.4 Philosophical Underpinnings: The Burrell and Morgan Framework</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_Toc218357117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138</w:t>
            </w:r>
            <w:r w:rsidRPr="0053182F">
              <w:rPr>
                <w:rFonts w:ascii="Times New Roman" w:hAnsi="Times New Roman"/>
                <w:noProof/>
                <w:webHidden/>
              </w:rPr>
              <w:fldChar w:fldCharType="end"/>
            </w:r>
          </w:hyperlink>
        </w:p>
        <w:p w14:paraId="71CFAD04" w14:textId="294A8F5A" w:rsidR="00CC3CA8" w:rsidRPr="0053182F" w:rsidRDefault="00CC3CA8">
          <w:pPr>
            <w:pStyle w:val="TOC3"/>
            <w:tabs>
              <w:tab w:val="right" w:leader="dot" w:pos="9016"/>
            </w:tabs>
            <w:rPr>
              <w:noProof/>
              <w:color w:val="auto"/>
              <w:kern w:val="2"/>
              <w:lang w:eastAsia="en-GB"/>
              <w14:ligatures w14:val="standardContextual"/>
            </w:rPr>
          </w:pPr>
          <w:hyperlink w:anchor="_Toc218357118" w:history="1">
            <w:r w:rsidRPr="0053182F">
              <w:rPr>
                <w:rStyle w:val="Hyperlink"/>
                <w:noProof/>
              </w:rPr>
              <w:t>4.4.1 Introduction to the Framework</w:t>
            </w:r>
            <w:r w:rsidRPr="0053182F">
              <w:rPr>
                <w:noProof/>
                <w:webHidden/>
              </w:rPr>
              <w:tab/>
            </w:r>
            <w:r w:rsidRPr="0053182F">
              <w:rPr>
                <w:noProof/>
                <w:webHidden/>
              </w:rPr>
              <w:fldChar w:fldCharType="begin"/>
            </w:r>
            <w:r w:rsidRPr="0053182F">
              <w:rPr>
                <w:noProof/>
                <w:webHidden/>
              </w:rPr>
              <w:instrText xml:space="preserve"> PAGEREF _Toc218357118 \h </w:instrText>
            </w:r>
            <w:r w:rsidRPr="0053182F">
              <w:rPr>
                <w:noProof/>
                <w:webHidden/>
              </w:rPr>
            </w:r>
            <w:r w:rsidRPr="0053182F">
              <w:rPr>
                <w:noProof/>
                <w:webHidden/>
              </w:rPr>
              <w:fldChar w:fldCharType="separate"/>
            </w:r>
            <w:r w:rsidRPr="0053182F">
              <w:rPr>
                <w:noProof/>
                <w:webHidden/>
              </w:rPr>
              <w:t>138</w:t>
            </w:r>
            <w:r w:rsidRPr="0053182F">
              <w:rPr>
                <w:noProof/>
                <w:webHidden/>
              </w:rPr>
              <w:fldChar w:fldCharType="end"/>
            </w:r>
          </w:hyperlink>
        </w:p>
        <w:p w14:paraId="472D6E16" w14:textId="032F6E7B" w:rsidR="00CC3CA8" w:rsidRPr="0053182F" w:rsidRDefault="00CC3CA8">
          <w:pPr>
            <w:pStyle w:val="TOC3"/>
            <w:tabs>
              <w:tab w:val="right" w:leader="dot" w:pos="9016"/>
            </w:tabs>
            <w:rPr>
              <w:noProof/>
              <w:color w:val="auto"/>
              <w:kern w:val="2"/>
              <w:lang w:eastAsia="en-GB"/>
              <w14:ligatures w14:val="standardContextual"/>
            </w:rPr>
          </w:pPr>
          <w:hyperlink w:anchor="_Toc218357119" w:history="1">
            <w:r w:rsidRPr="0053182F">
              <w:rPr>
                <w:rStyle w:val="Hyperlink"/>
                <w:noProof/>
              </w:rPr>
              <w:t>4.4.2 Positioning the Four Paradigms</w:t>
            </w:r>
            <w:r w:rsidRPr="0053182F">
              <w:rPr>
                <w:noProof/>
                <w:webHidden/>
              </w:rPr>
              <w:tab/>
            </w:r>
            <w:r w:rsidRPr="0053182F">
              <w:rPr>
                <w:noProof/>
                <w:webHidden/>
              </w:rPr>
              <w:fldChar w:fldCharType="begin"/>
            </w:r>
            <w:r w:rsidRPr="0053182F">
              <w:rPr>
                <w:noProof/>
                <w:webHidden/>
              </w:rPr>
              <w:instrText xml:space="preserve"> PAGEREF _Toc218357119 \h </w:instrText>
            </w:r>
            <w:r w:rsidRPr="0053182F">
              <w:rPr>
                <w:noProof/>
                <w:webHidden/>
              </w:rPr>
            </w:r>
            <w:r w:rsidRPr="0053182F">
              <w:rPr>
                <w:noProof/>
                <w:webHidden/>
              </w:rPr>
              <w:fldChar w:fldCharType="separate"/>
            </w:r>
            <w:r w:rsidRPr="0053182F">
              <w:rPr>
                <w:noProof/>
                <w:webHidden/>
              </w:rPr>
              <w:t>140</w:t>
            </w:r>
            <w:r w:rsidRPr="0053182F">
              <w:rPr>
                <w:noProof/>
                <w:webHidden/>
              </w:rPr>
              <w:fldChar w:fldCharType="end"/>
            </w:r>
          </w:hyperlink>
        </w:p>
        <w:p w14:paraId="34E510BE" w14:textId="2CA7DA23"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20" w:history="1">
            <w:r w:rsidRPr="0053182F">
              <w:rPr>
                <w:rStyle w:val="Hyperlink"/>
                <w:rFonts w:ascii="Times New Roman" w:eastAsia="Times New Roman" w:hAnsi="Times New Roman"/>
                <w:noProof/>
              </w:rPr>
              <w:t>4.5 The Pragmatic Worldview</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_Toc218357120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143</w:t>
            </w:r>
            <w:r w:rsidRPr="0053182F">
              <w:rPr>
                <w:rFonts w:ascii="Times New Roman" w:hAnsi="Times New Roman"/>
                <w:noProof/>
                <w:webHidden/>
              </w:rPr>
              <w:fldChar w:fldCharType="end"/>
            </w:r>
          </w:hyperlink>
        </w:p>
        <w:p w14:paraId="52C01F31" w14:textId="3FCAB4BC"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21" w:history="1">
            <w:r w:rsidRPr="0053182F">
              <w:rPr>
                <w:rStyle w:val="Hyperlink"/>
                <w:rFonts w:ascii="Times New Roman" w:hAnsi="Times New Roman"/>
                <w:noProof/>
              </w:rPr>
              <w:t>4.6 Justifying the Study’s Pragmatic Paradigm</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_Toc218357121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144</w:t>
            </w:r>
            <w:r w:rsidRPr="0053182F">
              <w:rPr>
                <w:rFonts w:ascii="Times New Roman" w:hAnsi="Times New Roman"/>
                <w:noProof/>
                <w:webHidden/>
              </w:rPr>
              <w:fldChar w:fldCharType="end"/>
            </w:r>
          </w:hyperlink>
        </w:p>
        <w:p w14:paraId="2F79704C" w14:textId="19C5E86E" w:rsidR="00CC3CA8" w:rsidRPr="0053182F" w:rsidRDefault="00CC3CA8">
          <w:pPr>
            <w:pStyle w:val="TOC3"/>
            <w:tabs>
              <w:tab w:val="right" w:leader="dot" w:pos="9016"/>
            </w:tabs>
            <w:rPr>
              <w:noProof/>
              <w:color w:val="auto"/>
              <w:kern w:val="2"/>
              <w:lang w:eastAsia="en-GB"/>
              <w14:ligatures w14:val="standardContextual"/>
            </w:rPr>
          </w:pPr>
          <w:hyperlink w:anchor="_Toc218357122" w:history="1">
            <w:r w:rsidRPr="0053182F">
              <w:rPr>
                <w:rStyle w:val="Hyperlink"/>
                <w:noProof/>
              </w:rPr>
              <w:t>4.6.1 Moving Beyond the Paradigms</w:t>
            </w:r>
            <w:r w:rsidRPr="0053182F">
              <w:rPr>
                <w:noProof/>
                <w:webHidden/>
              </w:rPr>
              <w:tab/>
            </w:r>
            <w:r w:rsidRPr="0053182F">
              <w:rPr>
                <w:noProof/>
                <w:webHidden/>
              </w:rPr>
              <w:fldChar w:fldCharType="begin"/>
            </w:r>
            <w:r w:rsidRPr="0053182F">
              <w:rPr>
                <w:noProof/>
                <w:webHidden/>
              </w:rPr>
              <w:instrText xml:space="preserve"> PAGEREF _Toc218357122 \h </w:instrText>
            </w:r>
            <w:r w:rsidRPr="0053182F">
              <w:rPr>
                <w:noProof/>
                <w:webHidden/>
              </w:rPr>
            </w:r>
            <w:r w:rsidRPr="0053182F">
              <w:rPr>
                <w:noProof/>
                <w:webHidden/>
              </w:rPr>
              <w:fldChar w:fldCharType="separate"/>
            </w:r>
            <w:r w:rsidRPr="0053182F">
              <w:rPr>
                <w:noProof/>
                <w:webHidden/>
              </w:rPr>
              <w:t>144</w:t>
            </w:r>
            <w:r w:rsidRPr="0053182F">
              <w:rPr>
                <w:noProof/>
                <w:webHidden/>
              </w:rPr>
              <w:fldChar w:fldCharType="end"/>
            </w:r>
          </w:hyperlink>
        </w:p>
        <w:p w14:paraId="60D5D0C0" w14:textId="3E7BC5E6" w:rsidR="00CC3CA8" w:rsidRPr="0053182F" w:rsidRDefault="00CC3CA8">
          <w:pPr>
            <w:pStyle w:val="TOC3"/>
            <w:tabs>
              <w:tab w:val="right" w:leader="dot" w:pos="9016"/>
            </w:tabs>
            <w:rPr>
              <w:noProof/>
              <w:color w:val="auto"/>
              <w:kern w:val="2"/>
              <w:lang w:eastAsia="en-GB"/>
              <w14:ligatures w14:val="standardContextual"/>
            </w:rPr>
          </w:pPr>
          <w:hyperlink w:anchor="_Toc218357123" w:history="1">
            <w:r w:rsidRPr="0053182F">
              <w:rPr>
                <w:rStyle w:val="Hyperlink"/>
                <w:noProof/>
              </w:rPr>
              <w:t>4.6.2 A Dualistic Approach to CMS</w:t>
            </w:r>
            <w:r w:rsidRPr="0053182F">
              <w:rPr>
                <w:noProof/>
                <w:webHidden/>
              </w:rPr>
              <w:tab/>
            </w:r>
            <w:r w:rsidRPr="0053182F">
              <w:rPr>
                <w:noProof/>
                <w:webHidden/>
              </w:rPr>
              <w:fldChar w:fldCharType="begin"/>
            </w:r>
            <w:r w:rsidRPr="0053182F">
              <w:rPr>
                <w:noProof/>
                <w:webHidden/>
              </w:rPr>
              <w:instrText xml:space="preserve"> PAGEREF _Toc218357123 \h </w:instrText>
            </w:r>
            <w:r w:rsidRPr="0053182F">
              <w:rPr>
                <w:noProof/>
                <w:webHidden/>
              </w:rPr>
            </w:r>
            <w:r w:rsidRPr="0053182F">
              <w:rPr>
                <w:noProof/>
                <w:webHidden/>
              </w:rPr>
              <w:fldChar w:fldCharType="separate"/>
            </w:r>
            <w:r w:rsidRPr="0053182F">
              <w:rPr>
                <w:noProof/>
                <w:webHidden/>
              </w:rPr>
              <w:t>147</w:t>
            </w:r>
            <w:r w:rsidRPr="0053182F">
              <w:rPr>
                <w:noProof/>
                <w:webHidden/>
              </w:rPr>
              <w:fldChar w:fldCharType="end"/>
            </w:r>
          </w:hyperlink>
        </w:p>
        <w:p w14:paraId="05B637FC" w14:textId="69700B33" w:rsidR="00CC3CA8" w:rsidRPr="0053182F" w:rsidRDefault="00CC3CA8">
          <w:pPr>
            <w:pStyle w:val="TOC3"/>
            <w:tabs>
              <w:tab w:val="right" w:leader="dot" w:pos="9016"/>
            </w:tabs>
            <w:rPr>
              <w:noProof/>
              <w:color w:val="auto"/>
              <w:kern w:val="2"/>
              <w:lang w:eastAsia="en-GB"/>
              <w14:ligatures w14:val="standardContextual"/>
            </w:rPr>
          </w:pPr>
          <w:hyperlink w:anchor="_Toc218357124" w:history="1">
            <w:r w:rsidRPr="0053182F">
              <w:rPr>
                <w:rStyle w:val="Hyperlink"/>
                <w:noProof/>
              </w:rPr>
              <w:t>4.6.3 Synthesis through Pragmatism</w:t>
            </w:r>
            <w:r w:rsidRPr="0053182F">
              <w:rPr>
                <w:noProof/>
                <w:webHidden/>
              </w:rPr>
              <w:tab/>
            </w:r>
            <w:r w:rsidRPr="0053182F">
              <w:rPr>
                <w:noProof/>
                <w:webHidden/>
              </w:rPr>
              <w:fldChar w:fldCharType="begin"/>
            </w:r>
            <w:r w:rsidRPr="0053182F">
              <w:rPr>
                <w:noProof/>
                <w:webHidden/>
              </w:rPr>
              <w:instrText xml:space="preserve"> PAGEREF _Toc218357124 \h </w:instrText>
            </w:r>
            <w:r w:rsidRPr="0053182F">
              <w:rPr>
                <w:noProof/>
                <w:webHidden/>
              </w:rPr>
            </w:r>
            <w:r w:rsidRPr="0053182F">
              <w:rPr>
                <w:noProof/>
                <w:webHidden/>
              </w:rPr>
              <w:fldChar w:fldCharType="separate"/>
            </w:r>
            <w:r w:rsidRPr="0053182F">
              <w:rPr>
                <w:noProof/>
                <w:webHidden/>
              </w:rPr>
              <w:t>149</w:t>
            </w:r>
            <w:r w:rsidRPr="0053182F">
              <w:rPr>
                <w:noProof/>
                <w:webHidden/>
              </w:rPr>
              <w:fldChar w:fldCharType="end"/>
            </w:r>
          </w:hyperlink>
        </w:p>
        <w:p w14:paraId="3A8E770B" w14:textId="37C4B25B"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25" w:history="1">
            <w:r w:rsidRPr="0053182F">
              <w:rPr>
                <w:rStyle w:val="Hyperlink"/>
                <w:rFonts w:ascii="Times New Roman" w:hAnsi="Times New Roman"/>
                <w:noProof/>
              </w:rPr>
              <w:t>4.7 Integrated Conceptual Framework</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_Toc218357125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150</w:t>
            </w:r>
            <w:r w:rsidRPr="0053182F">
              <w:rPr>
                <w:rFonts w:ascii="Times New Roman" w:hAnsi="Times New Roman"/>
                <w:noProof/>
                <w:webHidden/>
              </w:rPr>
              <w:fldChar w:fldCharType="end"/>
            </w:r>
          </w:hyperlink>
        </w:p>
        <w:p w14:paraId="0679B931" w14:textId="31A87060"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26" w:history="1">
            <w:r w:rsidRPr="0053182F">
              <w:rPr>
                <w:rStyle w:val="Hyperlink"/>
                <w:rFonts w:ascii="Times New Roman" w:hAnsi="Times New Roman"/>
                <w:noProof/>
              </w:rPr>
              <w:t>4.8 Summary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_Toc218357126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154</w:t>
            </w:r>
            <w:r w:rsidRPr="0053182F">
              <w:rPr>
                <w:rFonts w:ascii="Times New Roman" w:hAnsi="Times New Roman"/>
                <w:noProof/>
                <w:webHidden/>
              </w:rPr>
              <w:fldChar w:fldCharType="end"/>
            </w:r>
          </w:hyperlink>
        </w:p>
        <w:p w14:paraId="06C23843" w14:textId="62D748D6"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27" w:history="1">
            <w:r w:rsidRPr="0053182F">
              <w:rPr>
                <w:rStyle w:val="Hyperlink"/>
                <w:rFonts w:ascii="Times New Roman" w:hAnsi="Times New Roman"/>
                <w:noProof/>
              </w:rPr>
              <w:t>Chapter 5: Quantitative Approach</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_Toc218357127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156</w:t>
            </w:r>
            <w:r w:rsidRPr="0053182F">
              <w:rPr>
                <w:rFonts w:ascii="Times New Roman" w:hAnsi="Times New Roman"/>
                <w:noProof/>
                <w:webHidden/>
              </w:rPr>
              <w:fldChar w:fldCharType="end"/>
            </w:r>
          </w:hyperlink>
        </w:p>
        <w:p w14:paraId="63F5234D" w14:textId="6CEFB9F9"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28" w:history="1">
            <w:r w:rsidRPr="0053182F">
              <w:rPr>
                <w:rStyle w:val="Hyperlink"/>
                <w:rFonts w:ascii="Times New Roman" w:hAnsi="Times New Roman"/>
                <w:noProof/>
              </w:rPr>
              <w:t>5.1 Introduction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_Toc218357128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156</w:t>
            </w:r>
            <w:r w:rsidRPr="0053182F">
              <w:rPr>
                <w:rFonts w:ascii="Times New Roman" w:hAnsi="Times New Roman"/>
                <w:noProof/>
                <w:webHidden/>
              </w:rPr>
              <w:fldChar w:fldCharType="end"/>
            </w:r>
          </w:hyperlink>
        </w:p>
        <w:p w14:paraId="4E582D52" w14:textId="7DCD0524"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29" w:history="1">
            <w:r w:rsidRPr="0053182F">
              <w:rPr>
                <w:rStyle w:val="Hyperlink"/>
                <w:rFonts w:ascii="Times New Roman" w:hAnsi="Times New Roman"/>
                <w:noProof/>
              </w:rPr>
              <w:t>Hypothesis Development: Part I Macro</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_Toc218357129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158</w:t>
            </w:r>
            <w:r w:rsidRPr="0053182F">
              <w:rPr>
                <w:rFonts w:ascii="Times New Roman" w:hAnsi="Times New Roman"/>
                <w:noProof/>
                <w:webHidden/>
              </w:rPr>
              <w:fldChar w:fldCharType="end"/>
            </w:r>
          </w:hyperlink>
        </w:p>
        <w:p w14:paraId="27CF6F4B" w14:textId="074EF26D"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30" w:history="1">
            <w:r w:rsidRPr="0053182F">
              <w:rPr>
                <w:rStyle w:val="Hyperlink"/>
                <w:rFonts w:ascii="Times New Roman" w:hAnsi="Times New Roman"/>
                <w:noProof/>
              </w:rPr>
              <w:t>5.2 Institutional Environment Quality and Modern Slavery Risk</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158</w:t>
            </w:r>
            <w:r w:rsidRPr="0053182F">
              <w:rPr>
                <w:rFonts w:ascii="Times New Roman" w:hAnsi="Times New Roman"/>
                <w:noProof/>
                <w:webHidden/>
              </w:rPr>
              <w:fldChar w:fldCharType="end"/>
            </w:r>
          </w:hyperlink>
        </w:p>
        <w:p w14:paraId="5BED552E" w14:textId="559B2877"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31" w:history="1">
            <w:r w:rsidRPr="0053182F">
              <w:rPr>
                <w:rStyle w:val="Hyperlink"/>
                <w:rFonts w:ascii="Times New Roman" w:hAnsi="Times New Roman"/>
                <w:noProof/>
              </w:rPr>
              <w:t>5.3. Sustainable Development Performance and Modern slavery risk</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167</w:t>
            </w:r>
            <w:r w:rsidRPr="0053182F">
              <w:rPr>
                <w:rFonts w:ascii="Times New Roman" w:hAnsi="Times New Roman"/>
                <w:noProof/>
                <w:webHidden/>
              </w:rPr>
              <w:fldChar w:fldCharType="end"/>
            </w:r>
          </w:hyperlink>
        </w:p>
        <w:p w14:paraId="3AE9A3BF" w14:textId="1E8F3EF4"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32" w:history="1">
            <w:r w:rsidRPr="0053182F">
              <w:rPr>
                <w:rStyle w:val="Hyperlink"/>
                <w:rFonts w:ascii="Times New Roman" w:hAnsi="Times New Roman"/>
                <w:noProof/>
              </w:rPr>
              <w:t>5.4 Inequality-adjusted Human Development and Modern Slavery Risk</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172</w:t>
            </w:r>
            <w:r w:rsidRPr="0053182F">
              <w:rPr>
                <w:rFonts w:ascii="Times New Roman" w:hAnsi="Times New Roman"/>
                <w:noProof/>
                <w:webHidden/>
              </w:rPr>
              <w:fldChar w:fldCharType="end"/>
            </w:r>
          </w:hyperlink>
        </w:p>
        <w:p w14:paraId="303BAEA7" w14:textId="51BEFF5B"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33" w:history="1">
            <w:r w:rsidRPr="0053182F">
              <w:rPr>
                <w:rStyle w:val="Hyperlink"/>
                <w:rFonts w:ascii="Times New Roman" w:hAnsi="Times New Roman"/>
                <w:noProof/>
              </w:rPr>
              <w:t>Hypothesis development: Part II -Meso-Level</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_Toc218357133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176</w:t>
            </w:r>
            <w:r w:rsidRPr="0053182F">
              <w:rPr>
                <w:rFonts w:ascii="Times New Roman" w:hAnsi="Times New Roman"/>
                <w:noProof/>
                <w:webHidden/>
              </w:rPr>
              <w:fldChar w:fldCharType="end"/>
            </w:r>
          </w:hyperlink>
        </w:p>
        <w:p w14:paraId="7CA81574" w14:textId="570A6E39"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34" w:history="1">
            <w:r w:rsidRPr="0053182F">
              <w:rPr>
                <w:rStyle w:val="Hyperlink"/>
                <w:rFonts w:ascii="Times New Roman" w:hAnsi="Times New Roman"/>
                <w:noProof/>
                <w:lang w:eastAsia="en-GB"/>
              </w:rPr>
              <w:t>5.5 CSR Strategy Integration and Anti-Corporate Modern Slavery Practices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178</w:t>
            </w:r>
            <w:r w:rsidRPr="0053182F">
              <w:rPr>
                <w:rFonts w:ascii="Times New Roman" w:hAnsi="Times New Roman"/>
                <w:noProof/>
                <w:webHidden/>
              </w:rPr>
              <w:fldChar w:fldCharType="end"/>
            </w:r>
          </w:hyperlink>
        </w:p>
        <w:p w14:paraId="574C0CB5" w14:textId="3B873A22"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35" w:history="1">
            <w:r w:rsidRPr="0053182F">
              <w:rPr>
                <w:rStyle w:val="Hyperlink"/>
                <w:rFonts w:ascii="Times New Roman" w:hAnsi="Times New Roman"/>
                <w:noProof/>
                <w:lang w:eastAsia="en-GB"/>
              </w:rPr>
              <w:t>5.6 Board Gender Diversity and Anti-Corporate Modern Slavery Practices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179</w:t>
            </w:r>
            <w:r w:rsidRPr="0053182F">
              <w:rPr>
                <w:rFonts w:ascii="Times New Roman" w:hAnsi="Times New Roman"/>
                <w:noProof/>
                <w:webHidden/>
              </w:rPr>
              <w:fldChar w:fldCharType="end"/>
            </w:r>
          </w:hyperlink>
        </w:p>
        <w:p w14:paraId="1B90687A" w14:textId="7572073A"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36" w:history="1">
            <w:r w:rsidRPr="0053182F">
              <w:rPr>
                <w:rStyle w:val="Hyperlink"/>
                <w:rFonts w:ascii="Times New Roman" w:hAnsi="Times New Roman"/>
                <w:noProof/>
                <w:lang w:eastAsia="en-GB"/>
              </w:rPr>
              <w:t>5.7 CSR Committees and Anti-Corporate Modern Slavery Practices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181</w:t>
            </w:r>
            <w:r w:rsidRPr="0053182F">
              <w:rPr>
                <w:rFonts w:ascii="Times New Roman" w:hAnsi="Times New Roman"/>
                <w:noProof/>
                <w:webHidden/>
              </w:rPr>
              <w:fldChar w:fldCharType="end"/>
            </w:r>
          </w:hyperlink>
        </w:p>
        <w:p w14:paraId="0E04D94E" w14:textId="46227B82"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37" w:history="1">
            <w:r w:rsidRPr="0053182F">
              <w:rPr>
                <w:rStyle w:val="Hyperlink"/>
                <w:rFonts w:ascii="Times New Roman" w:hAnsi="Times New Roman"/>
                <w:noProof/>
                <w:lang w:eastAsia="en-GB"/>
              </w:rPr>
              <w:t>5.8 External CSR Assurance and Anti-Corporate Modern Slavery Practices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_Toc218357137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182</w:t>
            </w:r>
            <w:r w:rsidRPr="0053182F">
              <w:rPr>
                <w:rFonts w:ascii="Times New Roman" w:hAnsi="Times New Roman"/>
                <w:noProof/>
                <w:webHidden/>
              </w:rPr>
              <w:fldChar w:fldCharType="end"/>
            </w:r>
          </w:hyperlink>
        </w:p>
        <w:p w14:paraId="6B1135AA" w14:textId="0D73302B"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38" w:history="1">
            <w:r w:rsidRPr="0053182F">
              <w:rPr>
                <w:rStyle w:val="Hyperlink"/>
                <w:rFonts w:ascii="Times New Roman" w:hAnsi="Times New Roman"/>
                <w:noProof/>
                <w:lang w:eastAsia="en-GB"/>
              </w:rPr>
              <w:t>5.9 Corporate Social Performance  and Anti-Corporate Modern Slavery  Practices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_Toc218357138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184</w:t>
            </w:r>
            <w:r w:rsidRPr="0053182F">
              <w:rPr>
                <w:rFonts w:ascii="Times New Roman" w:hAnsi="Times New Roman"/>
                <w:noProof/>
                <w:webHidden/>
              </w:rPr>
              <w:fldChar w:fldCharType="end"/>
            </w:r>
          </w:hyperlink>
        </w:p>
        <w:p w14:paraId="0E449AAB" w14:textId="35CAAA92"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39" w:history="1">
            <w:r w:rsidRPr="0053182F">
              <w:rPr>
                <w:rStyle w:val="Hyperlink"/>
                <w:rFonts w:ascii="Times New Roman" w:hAnsi="Times New Roman"/>
                <w:noProof/>
                <w:lang w:eastAsia="en-GB"/>
              </w:rPr>
              <w:t>5.10 CSR Awards and Recognition and Anti-Corporate Modern Slavery Practices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_Toc218357139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185</w:t>
            </w:r>
            <w:r w:rsidRPr="0053182F">
              <w:rPr>
                <w:rFonts w:ascii="Times New Roman" w:hAnsi="Times New Roman"/>
                <w:noProof/>
                <w:webHidden/>
              </w:rPr>
              <w:fldChar w:fldCharType="end"/>
            </w:r>
          </w:hyperlink>
        </w:p>
        <w:p w14:paraId="78EE58C6" w14:textId="4CD09A87"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40" w:history="1">
            <w:r w:rsidRPr="0053182F">
              <w:rPr>
                <w:rStyle w:val="Hyperlink"/>
                <w:rFonts w:ascii="Times New Roman" w:eastAsia="Times New Roman" w:hAnsi="Times New Roman"/>
                <w:noProof/>
                <w:lang w:eastAsia="en-GB"/>
              </w:rPr>
              <w:t xml:space="preserve">5.11: CSR reporting </w:t>
            </w:r>
            <w:r w:rsidRPr="0053182F">
              <w:rPr>
                <w:rStyle w:val="Hyperlink"/>
                <w:rFonts w:ascii="Times New Roman" w:hAnsi="Times New Roman"/>
                <w:noProof/>
                <w:lang w:eastAsia="en-GB"/>
              </w:rPr>
              <w:t>and Anti-Corporate Modern Slavery Practices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_Toc218357140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187</w:t>
            </w:r>
            <w:r w:rsidRPr="0053182F">
              <w:rPr>
                <w:rFonts w:ascii="Times New Roman" w:hAnsi="Times New Roman"/>
                <w:noProof/>
                <w:webHidden/>
              </w:rPr>
              <w:fldChar w:fldCharType="end"/>
            </w:r>
          </w:hyperlink>
        </w:p>
        <w:p w14:paraId="6AD0AF25" w14:textId="159A89CE" w:rsidR="00CC3CA8" w:rsidRPr="0053182F" w:rsidRDefault="00CC3CA8">
          <w:pPr>
            <w:pStyle w:val="TOC2"/>
            <w:tabs>
              <w:tab w:val="left" w:pos="880"/>
              <w:tab w:val="right" w:leader="dot" w:pos="9016"/>
            </w:tabs>
            <w:rPr>
              <w:rFonts w:ascii="Times New Roman" w:hAnsi="Times New Roman"/>
              <w:noProof/>
              <w:kern w:val="2"/>
              <w:sz w:val="24"/>
              <w:szCs w:val="24"/>
              <w:lang w:val="en-GB" w:eastAsia="en-GB"/>
              <w14:ligatures w14:val="standardContextual"/>
            </w:rPr>
          </w:pPr>
          <w:hyperlink w:anchor="_Toc218357141" w:history="1">
            <w:r w:rsidRPr="0053182F">
              <w:rPr>
                <w:rStyle w:val="Hyperlink"/>
                <w:rFonts w:ascii="Times New Roman" w:hAnsi="Times New Roman"/>
                <w:noProof/>
              </w:rPr>
              <w:t>5.12</w:t>
            </w:r>
            <w:r w:rsidRPr="0053182F">
              <w:rPr>
                <w:rFonts w:ascii="Times New Roman" w:hAnsi="Times New Roman"/>
                <w:noProof/>
                <w:kern w:val="2"/>
                <w:sz w:val="24"/>
                <w:szCs w:val="24"/>
                <w:lang w:val="en-GB" w:eastAsia="en-GB"/>
                <w14:ligatures w14:val="standardContextual"/>
              </w:rPr>
              <w:tab/>
            </w:r>
            <w:r w:rsidRPr="0053182F">
              <w:rPr>
                <w:rStyle w:val="Hyperlink"/>
                <w:rFonts w:ascii="Times New Roman" w:hAnsi="Times New Roman"/>
                <w:noProof/>
              </w:rPr>
              <w:t>Summary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_Toc218357141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189</w:t>
            </w:r>
            <w:r w:rsidRPr="0053182F">
              <w:rPr>
                <w:rFonts w:ascii="Times New Roman" w:hAnsi="Times New Roman"/>
                <w:noProof/>
                <w:webHidden/>
              </w:rPr>
              <w:fldChar w:fldCharType="end"/>
            </w:r>
          </w:hyperlink>
        </w:p>
        <w:p w14:paraId="62DC0B29" w14:textId="35F6AB07"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42" w:history="1">
            <w:r w:rsidRPr="0053182F">
              <w:rPr>
                <w:rStyle w:val="Hyperlink"/>
                <w:rFonts w:ascii="Times New Roman" w:hAnsi="Times New Roman"/>
                <w:noProof/>
              </w:rPr>
              <w:t>Chapter 6: Research design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_Toc218357142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191</w:t>
            </w:r>
            <w:r w:rsidRPr="0053182F">
              <w:rPr>
                <w:rFonts w:ascii="Times New Roman" w:hAnsi="Times New Roman"/>
                <w:noProof/>
                <w:webHidden/>
              </w:rPr>
              <w:fldChar w:fldCharType="end"/>
            </w:r>
          </w:hyperlink>
        </w:p>
        <w:p w14:paraId="2EA51350" w14:textId="0F934E23"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43" w:history="1">
            <w:r w:rsidRPr="0053182F">
              <w:rPr>
                <w:rStyle w:val="Hyperlink"/>
                <w:rFonts w:ascii="Times New Roman" w:hAnsi="Times New Roman"/>
                <w:noProof/>
              </w:rPr>
              <w:t>6.1 Introduction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_Toc218357143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191</w:t>
            </w:r>
            <w:r w:rsidRPr="0053182F">
              <w:rPr>
                <w:rFonts w:ascii="Times New Roman" w:hAnsi="Times New Roman"/>
                <w:noProof/>
                <w:webHidden/>
              </w:rPr>
              <w:fldChar w:fldCharType="end"/>
            </w:r>
          </w:hyperlink>
        </w:p>
        <w:p w14:paraId="0DE2C1BA" w14:textId="4AEDED01"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44" w:history="1">
            <w:r w:rsidRPr="0053182F">
              <w:rPr>
                <w:rStyle w:val="Hyperlink"/>
                <w:rFonts w:ascii="Times New Roman" w:hAnsi="Times New Roman"/>
                <w:noProof/>
              </w:rPr>
              <w:t>6.2 Research Philosophy and Paradigm</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_Toc218357144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192</w:t>
            </w:r>
            <w:r w:rsidRPr="0053182F">
              <w:rPr>
                <w:rFonts w:ascii="Times New Roman" w:hAnsi="Times New Roman"/>
                <w:noProof/>
                <w:webHidden/>
              </w:rPr>
              <w:fldChar w:fldCharType="end"/>
            </w:r>
          </w:hyperlink>
        </w:p>
        <w:p w14:paraId="4F2EB1FE" w14:textId="2AD545BD" w:rsidR="00CC3CA8" w:rsidRPr="0053182F" w:rsidRDefault="00CC3CA8">
          <w:pPr>
            <w:pStyle w:val="TOC3"/>
            <w:tabs>
              <w:tab w:val="right" w:leader="dot" w:pos="9016"/>
            </w:tabs>
            <w:rPr>
              <w:noProof/>
              <w:color w:val="auto"/>
              <w:kern w:val="2"/>
              <w:lang w:eastAsia="en-GB"/>
              <w14:ligatures w14:val="standardContextual"/>
            </w:rPr>
          </w:pPr>
          <w:hyperlink w:anchor="_Toc218357145" w:history="1">
            <w:r w:rsidRPr="0053182F">
              <w:rPr>
                <w:rStyle w:val="Hyperlink"/>
                <w:rFonts w:eastAsia="Palatino Linotype"/>
                <w:noProof/>
              </w:rPr>
              <w:t>6.2.1 Ontological Position: Critical Realism</w:t>
            </w:r>
            <w:r w:rsidRPr="0053182F">
              <w:rPr>
                <w:noProof/>
                <w:webHidden/>
              </w:rPr>
              <w:tab/>
            </w:r>
            <w:r w:rsidRPr="0053182F">
              <w:rPr>
                <w:noProof/>
                <w:webHidden/>
              </w:rPr>
              <w:fldChar w:fldCharType="begin"/>
            </w:r>
            <w:r w:rsidRPr="0053182F">
              <w:rPr>
                <w:noProof/>
                <w:webHidden/>
              </w:rPr>
              <w:instrText xml:space="preserve"> PAGEREF _Toc218357145 \h </w:instrText>
            </w:r>
            <w:r w:rsidRPr="0053182F">
              <w:rPr>
                <w:noProof/>
                <w:webHidden/>
              </w:rPr>
            </w:r>
            <w:r w:rsidRPr="0053182F">
              <w:rPr>
                <w:noProof/>
                <w:webHidden/>
              </w:rPr>
              <w:fldChar w:fldCharType="separate"/>
            </w:r>
            <w:r w:rsidRPr="0053182F">
              <w:rPr>
                <w:noProof/>
                <w:webHidden/>
              </w:rPr>
              <w:t>193</w:t>
            </w:r>
            <w:r w:rsidRPr="0053182F">
              <w:rPr>
                <w:noProof/>
                <w:webHidden/>
              </w:rPr>
              <w:fldChar w:fldCharType="end"/>
            </w:r>
          </w:hyperlink>
        </w:p>
        <w:p w14:paraId="4D6F4AAB" w14:textId="248B79FC" w:rsidR="00CC3CA8" w:rsidRPr="0053182F" w:rsidRDefault="00CC3CA8">
          <w:pPr>
            <w:pStyle w:val="TOC3"/>
            <w:tabs>
              <w:tab w:val="right" w:leader="dot" w:pos="9016"/>
            </w:tabs>
            <w:rPr>
              <w:noProof/>
              <w:color w:val="auto"/>
              <w:kern w:val="2"/>
              <w:lang w:eastAsia="en-GB"/>
              <w14:ligatures w14:val="standardContextual"/>
            </w:rPr>
          </w:pPr>
          <w:hyperlink w:anchor="_Toc218357146" w:history="1">
            <w:r w:rsidRPr="0053182F">
              <w:rPr>
                <w:rStyle w:val="Hyperlink"/>
                <w:noProof/>
              </w:rPr>
              <w:t>6.2.2 Epistemological Position: Pragmatism</w:t>
            </w:r>
            <w:r w:rsidRPr="0053182F">
              <w:rPr>
                <w:noProof/>
                <w:webHidden/>
              </w:rPr>
              <w:tab/>
            </w:r>
            <w:r w:rsidRPr="0053182F">
              <w:rPr>
                <w:noProof/>
                <w:webHidden/>
              </w:rPr>
              <w:fldChar w:fldCharType="begin"/>
            </w:r>
            <w:r w:rsidRPr="0053182F">
              <w:rPr>
                <w:noProof/>
                <w:webHidden/>
              </w:rPr>
              <w:instrText xml:space="preserve"> PAGEREF _Toc218357146 \h </w:instrText>
            </w:r>
            <w:r w:rsidRPr="0053182F">
              <w:rPr>
                <w:noProof/>
                <w:webHidden/>
              </w:rPr>
            </w:r>
            <w:r w:rsidRPr="0053182F">
              <w:rPr>
                <w:noProof/>
                <w:webHidden/>
              </w:rPr>
              <w:fldChar w:fldCharType="separate"/>
            </w:r>
            <w:r w:rsidRPr="0053182F">
              <w:rPr>
                <w:noProof/>
                <w:webHidden/>
              </w:rPr>
              <w:t>193</w:t>
            </w:r>
            <w:r w:rsidRPr="0053182F">
              <w:rPr>
                <w:noProof/>
                <w:webHidden/>
              </w:rPr>
              <w:fldChar w:fldCharType="end"/>
            </w:r>
          </w:hyperlink>
        </w:p>
        <w:p w14:paraId="41906374" w14:textId="705EB4BD" w:rsidR="00CC3CA8" w:rsidRPr="0053182F" w:rsidRDefault="00CC3CA8">
          <w:pPr>
            <w:pStyle w:val="TOC3"/>
            <w:tabs>
              <w:tab w:val="right" w:leader="dot" w:pos="9016"/>
            </w:tabs>
            <w:rPr>
              <w:noProof/>
              <w:color w:val="auto"/>
              <w:kern w:val="2"/>
              <w:lang w:eastAsia="en-GB"/>
              <w14:ligatures w14:val="standardContextual"/>
            </w:rPr>
          </w:pPr>
          <w:hyperlink w:anchor="_Toc218357147" w:history="1">
            <w:r w:rsidRPr="0053182F">
              <w:rPr>
                <w:rStyle w:val="Hyperlink"/>
                <w:noProof/>
              </w:rPr>
              <w:t>6.2.3 Philosophical Coherence and Alignment with Mixed-Methods Logic</w:t>
            </w:r>
            <w:r w:rsidRPr="0053182F">
              <w:rPr>
                <w:noProof/>
                <w:webHidden/>
              </w:rPr>
              <w:tab/>
            </w:r>
            <w:r w:rsidRPr="0053182F">
              <w:rPr>
                <w:noProof/>
                <w:webHidden/>
              </w:rPr>
              <w:fldChar w:fldCharType="begin"/>
            </w:r>
            <w:r w:rsidRPr="0053182F">
              <w:rPr>
                <w:noProof/>
                <w:webHidden/>
              </w:rPr>
              <w:instrText xml:space="preserve"> PAGEREF _Toc218357147 \h </w:instrText>
            </w:r>
            <w:r w:rsidRPr="0053182F">
              <w:rPr>
                <w:noProof/>
                <w:webHidden/>
              </w:rPr>
            </w:r>
            <w:r w:rsidRPr="0053182F">
              <w:rPr>
                <w:noProof/>
                <w:webHidden/>
              </w:rPr>
              <w:fldChar w:fldCharType="separate"/>
            </w:r>
            <w:r w:rsidRPr="0053182F">
              <w:rPr>
                <w:noProof/>
                <w:webHidden/>
              </w:rPr>
              <w:t>194</w:t>
            </w:r>
            <w:r w:rsidRPr="0053182F">
              <w:rPr>
                <w:noProof/>
                <w:webHidden/>
              </w:rPr>
              <w:fldChar w:fldCharType="end"/>
            </w:r>
          </w:hyperlink>
        </w:p>
        <w:p w14:paraId="5B44311B" w14:textId="0A1DEABF"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48" w:history="1">
            <w:r w:rsidRPr="0053182F">
              <w:rPr>
                <w:rStyle w:val="Hyperlink"/>
                <w:rFonts w:ascii="Times New Roman" w:hAnsi="Times New Roman"/>
                <w:noProof/>
              </w:rPr>
              <w:t>6.3 Different types of mixed methods design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_Toc218357148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195</w:t>
            </w:r>
            <w:r w:rsidRPr="0053182F">
              <w:rPr>
                <w:rFonts w:ascii="Times New Roman" w:hAnsi="Times New Roman"/>
                <w:noProof/>
                <w:webHidden/>
              </w:rPr>
              <w:fldChar w:fldCharType="end"/>
            </w:r>
          </w:hyperlink>
        </w:p>
        <w:p w14:paraId="621CBC16" w14:textId="38B832AA"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49" w:history="1">
            <w:r w:rsidRPr="0053182F">
              <w:rPr>
                <w:rStyle w:val="Hyperlink"/>
                <w:rFonts w:ascii="Times New Roman" w:hAnsi="Times New Roman"/>
                <w:noProof/>
              </w:rPr>
              <w:t>6.4 Pros and Cons of Mixed Method</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_Toc218357149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196</w:t>
            </w:r>
            <w:r w:rsidRPr="0053182F">
              <w:rPr>
                <w:rFonts w:ascii="Times New Roman" w:hAnsi="Times New Roman"/>
                <w:noProof/>
                <w:webHidden/>
              </w:rPr>
              <w:fldChar w:fldCharType="end"/>
            </w:r>
          </w:hyperlink>
        </w:p>
        <w:p w14:paraId="03688BAF" w14:textId="7B6CADF1"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50" w:history="1">
            <w:r w:rsidRPr="0053182F">
              <w:rPr>
                <w:rStyle w:val="Hyperlink"/>
                <w:rFonts w:ascii="Times New Roman" w:hAnsi="Times New Roman"/>
                <w:noProof/>
              </w:rPr>
              <w:t>6.5 Rationale for Multi-phase approach</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_Toc218357150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197</w:t>
            </w:r>
            <w:r w:rsidRPr="0053182F">
              <w:rPr>
                <w:rFonts w:ascii="Times New Roman" w:hAnsi="Times New Roman"/>
                <w:noProof/>
                <w:webHidden/>
              </w:rPr>
              <w:fldChar w:fldCharType="end"/>
            </w:r>
          </w:hyperlink>
        </w:p>
        <w:p w14:paraId="5CC37D6F" w14:textId="7BB86EBD"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51" w:history="1">
            <w:r w:rsidRPr="0053182F">
              <w:rPr>
                <w:rStyle w:val="Hyperlink"/>
                <w:rFonts w:ascii="Times New Roman" w:hAnsi="Times New Roman"/>
                <w:noProof/>
              </w:rPr>
              <w:t>6.6 Integration Strategy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_Toc218357151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199</w:t>
            </w:r>
            <w:r w:rsidRPr="0053182F">
              <w:rPr>
                <w:rFonts w:ascii="Times New Roman" w:hAnsi="Times New Roman"/>
                <w:noProof/>
                <w:webHidden/>
              </w:rPr>
              <w:fldChar w:fldCharType="end"/>
            </w:r>
          </w:hyperlink>
        </w:p>
        <w:p w14:paraId="52AFE264" w14:textId="798981A7"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52" w:history="1">
            <w:r w:rsidRPr="0053182F">
              <w:rPr>
                <w:rStyle w:val="Hyperlink"/>
                <w:rFonts w:ascii="Times New Roman" w:hAnsi="Times New Roman"/>
                <w:noProof/>
              </w:rPr>
              <w:t>6.7 Mixed-Method Research Design: Explanatory Sequential Design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_Toc218357152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200</w:t>
            </w:r>
            <w:r w:rsidRPr="0053182F">
              <w:rPr>
                <w:rFonts w:ascii="Times New Roman" w:hAnsi="Times New Roman"/>
                <w:noProof/>
                <w:webHidden/>
              </w:rPr>
              <w:fldChar w:fldCharType="end"/>
            </w:r>
          </w:hyperlink>
        </w:p>
        <w:p w14:paraId="408CF2B7" w14:textId="4D5AB0A7" w:rsidR="00CC3CA8" w:rsidRPr="0053182F" w:rsidRDefault="00CC3CA8">
          <w:pPr>
            <w:pStyle w:val="TOC3"/>
            <w:tabs>
              <w:tab w:val="right" w:leader="dot" w:pos="9016"/>
            </w:tabs>
            <w:rPr>
              <w:noProof/>
              <w:color w:val="auto"/>
              <w:kern w:val="2"/>
              <w:lang w:eastAsia="en-GB"/>
              <w14:ligatures w14:val="standardContextual"/>
            </w:rPr>
          </w:pPr>
          <w:hyperlink w:anchor="_Toc218357153" w:history="1">
            <w:r w:rsidRPr="0053182F">
              <w:rPr>
                <w:rStyle w:val="Hyperlink"/>
                <w:noProof/>
              </w:rPr>
              <w:t>6.7.1. Triangulation</w:t>
            </w:r>
            <w:r w:rsidRPr="0053182F">
              <w:rPr>
                <w:noProof/>
                <w:webHidden/>
              </w:rPr>
              <w:tab/>
            </w:r>
            <w:r w:rsidRPr="0053182F">
              <w:rPr>
                <w:noProof/>
                <w:webHidden/>
              </w:rPr>
              <w:fldChar w:fldCharType="begin"/>
            </w:r>
            <w:r w:rsidRPr="0053182F">
              <w:rPr>
                <w:noProof/>
                <w:webHidden/>
              </w:rPr>
              <w:instrText xml:space="preserve"> PAGEREF _Toc218357153 \h </w:instrText>
            </w:r>
            <w:r w:rsidRPr="0053182F">
              <w:rPr>
                <w:noProof/>
                <w:webHidden/>
              </w:rPr>
            </w:r>
            <w:r w:rsidRPr="0053182F">
              <w:rPr>
                <w:noProof/>
                <w:webHidden/>
              </w:rPr>
              <w:fldChar w:fldCharType="separate"/>
            </w:r>
            <w:r w:rsidRPr="0053182F">
              <w:rPr>
                <w:noProof/>
                <w:webHidden/>
              </w:rPr>
              <w:t>202</w:t>
            </w:r>
            <w:r w:rsidRPr="0053182F">
              <w:rPr>
                <w:noProof/>
                <w:webHidden/>
              </w:rPr>
              <w:fldChar w:fldCharType="end"/>
            </w:r>
          </w:hyperlink>
        </w:p>
        <w:p w14:paraId="7A482EE5" w14:textId="1AADD5B7" w:rsidR="00CC3CA8" w:rsidRPr="0053182F" w:rsidRDefault="00CC3CA8">
          <w:pPr>
            <w:pStyle w:val="TOC3"/>
            <w:tabs>
              <w:tab w:val="right" w:leader="dot" w:pos="9016"/>
            </w:tabs>
            <w:rPr>
              <w:noProof/>
              <w:color w:val="auto"/>
              <w:kern w:val="2"/>
              <w:lang w:eastAsia="en-GB"/>
              <w14:ligatures w14:val="standardContextual"/>
            </w:rPr>
          </w:pPr>
          <w:hyperlink w:anchor="_Toc218357154" w:history="1">
            <w:r w:rsidRPr="0053182F">
              <w:rPr>
                <w:rStyle w:val="Hyperlink"/>
                <w:noProof/>
              </w:rPr>
              <w:t>6.7.2 Primary Research Question and analytical alignment</w:t>
            </w:r>
            <w:r w:rsidRPr="0053182F">
              <w:rPr>
                <w:noProof/>
                <w:webHidden/>
              </w:rPr>
              <w:tab/>
            </w:r>
            <w:r w:rsidRPr="0053182F">
              <w:rPr>
                <w:noProof/>
                <w:webHidden/>
              </w:rPr>
              <w:fldChar w:fldCharType="begin"/>
            </w:r>
            <w:r w:rsidRPr="0053182F">
              <w:rPr>
                <w:noProof/>
                <w:webHidden/>
              </w:rPr>
              <w:instrText xml:space="preserve"> PAGEREF _Toc218357154 \h </w:instrText>
            </w:r>
            <w:r w:rsidRPr="0053182F">
              <w:rPr>
                <w:noProof/>
                <w:webHidden/>
              </w:rPr>
            </w:r>
            <w:r w:rsidRPr="0053182F">
              <w:rPr>
                <w:noProof/>
                <w:webHidden/>
              </w:rPr>
              <w:fldChar w:fldCharType="separate"/>
            </w:r>
            <w:r w:rsidRPr="0053182F">
              <w:rPr>
                <w:noProof/>
                <w:webHidden/>
              </w:rPr>
              <w:t>204</w:t>
            </w:r>
            <w:r w:rsidRPr="0053182F">
              <w:rPr>
                <w:noProof/>
                <w:webHidden/>
              </w:rPr>
              <w:fldChar w:fldCharType="end"/>
            </w:r>
          </w:hyperlink>
        </w:p>
        <w:p w14:paraId="3E3BEDEB" w14:textId="23A2CB94"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55" w:history="1">
            <w:r w:rsidRPr="0053182F">
              <w:rPr>
                <w:rStyle w:val="Hyperlink"/>
                <w:rFonts w:ascii="Times New Roman" w:hAnsi="Times New Roman"/>
                <w:noProof/>
              </w:rPr>
              <w:t>6.8 Quantitative Approach</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_Toc218357155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205</w:t>
            </w:r>
            <w:r w:rsidRPr="0053182F">
              <w:rPr>
                <w:rFonts w:ascii="Times New Roman" w:hAnsi="Times New Roman"/>
                <w:noProof/>
                <w:webHidden/>
              </w:rPr>
              <w:fldChar w:fldCharType="end"/>
            </w:r>
          </w:hyperlink>
        </w:p>
        <w:p w14:paraId="1C232B69" w14:textId="488CA602"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56" w:history="1">
            <w:r w:rsidRPr="0053182F">
              <w:rPr>
                <w:rStyle w:val="Hyperlink"/>
                <w:rFonts w:ascii="Times New Roman" w:hAnsi="Times New Roman"/>
                <w:noProof/>
              </w:rPr>
              <w:t>6.9. Qualitative Approach</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_Toc218357156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208</w:t>
            </w:r>
            <w:r w:rsidRPr="0053182F">
              <w:rPr>
                <w:rFonts w:ascii="Times New Roman" w:hAnsi="Times New Roman"/>
                <w:noProof/>
                <w:webHidden/>
              </w:rPr>
              <w:fldChar w:fldCharType="end"/>
            </w:r>
          </w:hyperlink>
        </w:p>
        <w:p w14:paraId="0C452939" w14:textId="096A11C6" w:rsidR="00CC3CA8" w:rsidRPr="0053182F" w:rsidRDefault="00CC3CA8">
          <w:pPr>
            <w:pStyle w:val="TOC3"/>
            <w:tabs>
              <w:tab w:val="right" w:leader="dot" w:pos="9016"/>
            </w:tabs>
            <w:rPr>
              <w:noProof/>
              <w:color w:val="auto"/>
              <w:kern w:val="2"/>
              <w:lang w:eastAsia="en-GB"/>
              <w14:ligatures w14:val="standardContextual"/>
            </w:rPr>
          </w:pPr>
          <w:hyperlink w:anchor="_Toc218357157" w:history="1">
            <w:r w:rsidRPr="0053182F">
              <w:rPr>
                <w:rStyle w:val="Hyperlink"/>
                <w:noProof/>
              </w:rPr>
              <w:t>6.9.1 Meso-Level Extension</w:t>
            </w:r>
            <w:r w:rsidRPr="0053182F">
              <w:rPr>
                <w:noProof/>
                <w:webHidden/>
              </w:rPr>
              <w:tab/>
            </w:r>
            <w:r w:rsidRPr="0053182F">
              <w:rPr>
                <w:noProof/>
                <w:webHidden/>
              </w:rPr>
              <w:fldChar w:fldCharType="begin"/>
            </w:r>
            <w:r w:rsidRPr="0053182F">
              <w:rPr>
                <w:noProof/>
                <w:webHidden/>
              </w:rPr>
              <w:instrText xml:space="preserve"> PAGEREF _Toc218357157 \h </w:instrText>
            </w:r>
            <w:r w:rsidRPr="0053182F">
              <w:rPr>
                <w:noProof/>
                <w:webHidden/>
              </w:rPr>
            </w:r>
            <w:r w:rsidRPr="0053182F">
              <w:rPr>
                <w:noProof/>
                <w:webHidden/>
              </w:rPr>
              <w:fldChar w:fldCharType="separate"/>
            </w:r>
            <w:r w:rsidRPr="0053182F">
              <w:rPr>
                <w:noProof/>
                <w:webHidden/>
              </w:rPr>
              <w:t>208</w:t>
            </w:r>
            <w:r w:rsidRPr="0053182F">
              <w:rPr>
                <w:noProof/>
                <w:webHidden/>
              </w:rPr>
              <w:fldChar w:fldCharType="end"/>
            </w:r>
          </w:hyperlink>
        </w:p>
        <w:p w14:paraId="544B2D86" w14:textId="26695834" w:rsidR="00CC3CA8" w:rsidRPr="0053182F" w:rsidRDefault="00CC3CA8">
          <w:pPr>
            <w:pStyle w:val="TOC3"/>
            <w:tabs>
              <w:tab w:val="right" w:leader="dot" w:pos="9016"/>
            </w:tabs>
            <w:rPr>
              <w:noProof/>
              <w:color w:val="auto"/>
              <w:kern w:val="2"/>
              <w:lang w:eastAsia="en-GB"/>
              <w14:ligatures w14:val="standardContextual"/>
            </w:rPr>
          </w:pPr>
          <w:hyperlink w:anchor="_Toc218357158" w:history="1">
            <w:r w:rsidRPr="0053182F">
              <w:rPr>
                <w:rStyle w:val="Hyperlink"/>
                <w:noProof/>
              </w:rPr>
              <w:t>6.9.2 Micro-Level</w:t>
            </w:r>
            <w:r w:rsidRPr="0053182F">
              <w:rPr>
                <w:noProof/>
                <w:webHidden/>
              </w:rPr>
              <w:tab/>
            </w:r>
            <w:r w:rsidRPr="0053182F">
              <w:rPr>
                <w:noProof/>
                <w:webHidden/>
              </w:rPr>
              <w:fldChar w:fldCharType="begin"/>
            </w:r>
            <w:r w:rsidRPr="0053182F">
              <w:rPr>
                <w:noProof/>
                <w:webHidden/>
              </w:rPr>
              <w:instrText xml:space="preserve"> PAGEREF _Toc218357158 \h </w:instrText>
            </w:r>
            <w:r w:rsidRPr="0053182F">
              <w:rPr>
                <w:noProof/>
                <w:webHidden/>
              </w:rPr>
            </w:r>
            <w:r w:rsidRPr="0053182F">
              <w:rPr>
                <w:noProof/>
                <w:webHidden/>
              </w:rPr>
              <w:fldChar w:fldCharType="separate"/>
            </w:r>
            <w:r w:rsidRPr="0053182F">
              <w:rPr>
                <w:noProof/>
                <w:webHidden/>
              </w:rPr>
              <w:t>210</w:t>
            </w:r>
            <w:r w:rsidRPr="0053182F">
              <w:rPr>
                <w:noProof/>
                <w:webHidden/>
              </w:rPr>
              <w:fldChar w:fldCharType="end"/>
            </w:r>
          </w:hyperlink>
        </w:p>
        <w:p w14:paraId="631E41E6" w14:textId="16A07B46"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59" w:history="1">
            <w:r w:rsidRPr="0053182F">
              <w:rPr>
                <w:rStyle w:val="Hyperlink"/>
                <w:rFonts w:ascii="Times New Roman" w:eastAsia="Palatino Linotype" w:hAnsi="Times New Roman"/>
                <w:noProof/>
              </w:rPr>
              <w:t>6.10 Summary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_Toc218357159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216</w:t>
            </w:r>
            <w:r w:rsidRPr="0053182F">
              <w:rPr>
                <w:rFonts w:ascii="Times New Roman" w:hAnsi="Times New Roman"/>
                <w:noProof/>
                <w:webHidden/>
              </w:rPr>
              <w:fldChar w:fldCharType="end"/>
            </w:r>
          </w:hyperlink>
        </w:p>
        <w:p w14:paraId="1AD2F4B1" w14:textId="6B430E25"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60" w:history="1">
            <w:r w:rsidRPr="0053182F">
              <w:rPr>
                <w:rStyle w:val="Hyperlink"/>
                <w:rFonts w:ascii="Times New Roman" w:hAnsi="Times New Roman"/>
                <w:noProof/>
              </w:rPr>
              <w:t>Chapter 7 Research Methodology</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_Toc218357160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218</w:t>
            </w:r>
            <w:r w:rsidRPr="0053182F">
              <w:rPr>
                <w:rFonts w:ascii="Times New Roman" w:hAnsi="Times New Roman"/>
                <w:noProof/>
                <w:webHidden/>
              </w:rPr>
              <w:fldChar w:fldCharType="end"/>
            </w:r>
          </w:hyperlink>
        </w:p>
        <w:p w14:paraId="2A01DF80" w14:textId="593B8E3F"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61" w:history="1">
            <w:r w:rsidRPr="0053182F">
              <w:rPr>
                <w:rStyle w:val="Hyperlink"/>
                <w:rFonts w:ascii="Times New Roman" w:eastAsia="Times New Roman" w:hAnsi="Times New Roman"/>
                <w:bCs/>
                <w:noProof/>
              </w:rPr>
              <w:t>Phase 1:  Macro-Level Quantitative Analysis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_Toc218357161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218</w:t>
            </w:r>
            <w:r w:rsidRPr="0053182F">
              <w:rPr>
                <w:rFonts w:ascii="Times New Roman" w:hAnsi="Times New Roman"/>
                <w:noProof/>
                <w:webHidden/>
              </w:rPr>
              <w:fldChar w:fldCharType="end"/>
            </w:r>
          </w:hyperlink>
        </w:p>
        <w:p w14:paraId="24E809FE" w14:textId="3C4320D1"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62" w:history="1">
            <w:r w:rsidRPr="0053182F">
              <w:rPr>
                <w:rStyle w:val="Hyperlink"/>
                <w:rFonts w:ascii="Times New Roman" w:hAnsi="Times New Roman"/>
                <w:noProof/>
              </w:rPr>
              <w:t>7.1 Overview</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_Toc218357162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218</w:t>
            </w:r>
            <w:r w:rsidRPr="0053182F">
              <w:rPr>
                <w:rFonts w:ascii="Times New Roman" w:hAnsi="Times New Roman"/>
                <w:noProof/>
                <w:webHidden/>
              </w:rPr>
              <w:fldChar w:fldCharType="end"/>
            </w:r>
          </w:hyperlink>
        </w:p>
        <w:p w14:paraId="74D41C9A" w14:textId="49E8B8FC"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63" w:history="1">
            <w:r w:rsidRPr="0053182F">
              <w:rPr>
                <w:rStyle w:val="Hyperlink"/>
                <w:rFonts w:ascii="Times New Roman" w:hAnsi="Times New Roman"/>
                <w:noProof/>
              </w:rPr>
              <w:t>7.2 Sample and data</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_Toc218357163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218</w:t>
            </w:r>
            <w:r w:rsidRPr="0053182F">
              <w:rPr>
                <w:rFonts w:ascii="Times New Roman" w:hAnsi="Times New Roman"/>
                <w:noProof/>
                <w:webHidden/>
              </w:rPr>
              <w:fldChar w:fldCharType="end"/>
            </w:r>
          </w:hyperlink>
        </w:p>
        <w:p w14:paraId="085A3D27" w14:textId="1F3AAA31"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64" w:history="1">
            <w:r w:rsidRPr="0053182F">
              <w:rPr>
                <w:rStyle w:val="Hyperlink"/>
                <w:rFonts w:ascii="Times New Roman" w:hAnsi="Times New Roman"/>
                <w:noProof/>
              </w:rPr>
              <w:t>7.3 Definition of Variables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_Toc218357164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220</w:t>
            </w:r>
            <w:r w:rsidRPr="0053182F">
              <w:rPr>
                <w:rFonts w:ascii="Times New Roman" w:hAnsi="Times New Roman"/>
                <w:noProof/>
                <w:webHidden/>
              </w:rPr>
              <w:fldChar w:fldCharType="end"/>
            </w:r>
          </w:hyperlink>
        </w:p>
        <w:p w14:paraId="08E8C8BA" w14:textId="172B29BE"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65" w:history="1">
            <w:r w:rsidRPr="0053182F">
              <w:rPr>
                <w:rStyle w:val="Hyperlink"/>
                <w:rFonts w:ascii="Times New Roman" w:eastAsia="Times New Roman" w:hAnsi="Times New Roman"/>
                <w:noProof/>
              </w:rPr>
              <w:t>7.4 Dependent variable: Modern slavery risk</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_Toc218357165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222</w:t>
            </w:r>
            <w:r w:rsidRPr="0053182F">
              <w:rPr>
                <w:rFonts w:ascii="Times New Roman" w:hAnsi="Times New Roman"/>
                <w:noProof/>
                <w:webHidden/>
              </w:rPr>
              <w:fldChar w:fldCharType="end"/>
            </w:r>
          </w:hyperlink>
        </w:p>
        <w:p w14:paraId="65694CF4" w14:textId="39947AE2" w:rsidR="00CC3CA8" w:rsidRPr="0053182F" w:rsidRDefault="00CC3CA8">
          <w:pPr>
            <w:pStyle w:val="TOC3"/>
            <w:tabs>
              <w:tab w:val="right" w:leader="dot" w:pos="9016"/>
            </w:tabs>
            <w:rPr>
              <w:noProof/>
              <w:color w:val="auto"/>
              <w:kern w:val="2"/>
              <w:lang w:eastAsia="en-GB"/>
              <w14:ligatures w14:val="standardContextual"/>
            </w:rPr>
          </w:pPr>
          <w:hyperlink w:anchor="_Toc218357166" w:history="1">
            <w:r w:rsidRPr="0053182F">
              <w:rPr>
                <w:rStyle w:val="Hyperlink"/>
                <w:noProof/>
              </w:rPr>
              <w:t>7.4.1 Prevalence of Modern Slavery (PREV)</w:t>
            </w:r>
            <w:r w:rsidRPr="0053182F">
              <w:rPr>
                <w:noProof/>
                <w:webHidden/>
              </w:rPr>
              <w:tab/>
            </w:r>
            <w:r w:rsidRPr="0053182F">
              <w:rPr>
                <w:noProof/>
                <w:webHidden/>
              </w:rPr>
              <w:fldChar w:fldCharType="begin"/>
            </w:r>
            <w:r w:rsidRPr="0053182F">
              <w:rPr>
                <w:noProof/>
                <w:webHidden/>
              </w:rPr>
              <w:instrText xml:space="preserve"> PAGEREF _Toc218357166 \h </w:instrText>
            </w:r>
            <w:r w:rsidRPr="0053182F">
              <w:rPr>
                <w:noProof/>
                <w:webHidden/>
              </w:rPr>
            </w:r>
            <w:r w:rsidRPr="0053182F">
              <w:rPr>
                <w:noProof/>
                <w:webHidden/>
              </w:rPr>
              <w:fldChar w:fldCharType="separate"/>
            </w:r>
            <w:r w:rsidRPr="0053182F">
              <w:rPr>
                <w:noProof/>
                <w:webHidden/>
              </w:rPr>
              <w:t>222</w:t>
            </w:r>
            <w:r w:rsidRPr="0053182F">
              <w:rPr>
                <w:noProof/>
                <w:webHidden/>
              </w:rPr>
              <w:fldChar w:fldCharType="end"/>
            </w:r>
          </w:hyperlink>
        </w:p>
        <w:p w14:paraId="13BA0E20" w14:textId="40615D9B" w:rsidR="00CC3CA8" w:rsidRPr="0053182F" w:rsidRDefault="00CC3CA8">
          <w:pPr>
            <w:pStyle w:val="TOC3"/>
            <w:tabs>
              <w:tab w:val="right" w:leader="dot" w:pos="9016"/>
            </w:tabs>
            <w:rPr>
              <w:noProof/>
              <w:color w:val="auto"/>
              <w:kern w:val="2"/>
              <w:lang w:eastAsia="en-GB"/>
              <w14:ligatures w14:val="standardContextual"/>
            </w:rPr>
          </w:pPr>
          <w:hyperlink w:anchor="_Toc218357167" w:history="1">
            <w:r w:rsidRPr="0053182F">
              <w:rPr>
                <w:rStyle w:val="Hyperlink"/>
                <w:noProof/>
              </w:rPr>
              <w:t>7.4.2 Vulnerability to Modern Slavery (VALN)</w:t>
            </w:r>
            <w:r w:rsidRPr="0053182F">
              <w:rPr>
                <w:noProof/>
                <w:webHidden/>
              </w:rPr>
              <w:tab/>
            </w:r>
            <w:r w:rsidRPr="0053182F">
              <w:rPr>
                <w:noProof/>
                <w:webHidden/>
              </w:rPr>
              <w:fldChar w:fldCharType="begin"/>
            </w:r>
            <w:r w:rsidRPr="0053182F">
              <w:rPr>
                <w:noProof/>
                <w:webHidden/>
              </w:rPr>
              <w:instrText xml:space="preserve"> PAGEREF _Toc218357167 \h </w:instrText>
            </w:r>
            <w:r w:rsidRPr="0053182F">
              <w:rPr>
                <w:noProof/>
                <w:webHidden/>
              </w:rPr>
            </w:r>
            <w:r w:rsidRPr="0053182F">
              <w:rPr>
                <w:noProof/>
                <w:webHidden/>
              </w:rPr>
              <w:fldChar w:fldCharType="separate"/>
            </w:r>
            <w:r w:rsidRPr="0053182F">
              <w:rPr>
                <w:noProof/>
                <w:webHidden/>
              </w:rPr>
              <w:t>223</w:t>
            </w:r>
            <w:r w:rsidRPr="0053182F">
              <w:rPr>
                <w:noProof/>
                <w:webHidden/>
              </w:rPr>
              <w:fldChar w:fldCharType="end"/>
            </w:r>
          </w:hyperlink>
        </w:p>
        <w:p w14:paraId="63BCA12A" w14:textId="2557746D" w:rsidR="00CC3CA8" w:rsidRPr="0053182F" w:rsidRDefault="00CC3CA8">
          <w:pPr>
            <w:pStyle w:val="TOC3"/>
            <w:tabs>
              <w:tab w:val="right" w:leader="dot" w:pos="9016"/>
            </w:tabs>
            <w:rPr>
              <w:noProof/>
              <w:color w:val="auto"/>
              <w:kern w:val="2"/>
              <w:lang w:eastAsia="en-GB"/>
              <w14:ligatures w14:val="standardContextual"/>
            </w:rPr>
          </w:pPr>
          <w:hyperlink w:anchor="_Toc218357168" w:history="1">
            <w:r w:rsidRPr="0053182F">
              <w:rPr>
                <w:rStyle w:val="Hyperlink"/>
                <w:noProof/>
              </w:rPr>
              <w:t>7.4.3 Modern slavery risk mitigation (MSRM)</w:t>
            </w:r>
            <w:r w:rsidRPr="0053182F">
              <w:rPr>
                <w:noProof/>
                <w:webHidden/>
              </w:rPr>
              <w:tab/>
            </w:r>
            <w:r w:rsidRPr="0053182F">
              <w:rPr>
                <w:noProof/>
                <w:webHidden/>
              </w:rPr>
              <w:fldChar w:fldCharType="begin"/>
            </w:r>
            <w:r w:rsidRPr="0053182F">
              <w:rPr>
                <w:noProof/>
                <w:webHidden/>
              </w:rPr>
              <w:instrText xml:space="preserve"> PAGEREF _Toc218357168 \h </w:instrText>
            </w:r>
            <w:r w:rsidRPr="0053182F">
              <w:rPr>
                <w:noProof/>
                <w:webHidden/>
              </w:rPr>
            </w:r>
            <w:r w:rsidRPr="0053182F">
              <w:rPr>
                <w:noProof/>
                <w:webHidden/>
              </w:rPr>
              <w:fldChar w:fldCharType="separate"/>
            </w:r>
            <w:r w:rsidRPr="0053182F">
              <w:rPr>
                <w:noProof/>
                <w:webHidden/>
              </w:rPr>
              <w:t>223</w:t>
            </w:r>
            <w:r w:rsidRPr="0053182F">
              <w:rPr>
                <w:noProof/>
                <w:webHidden/>
              </w:rPr>
              <w:fldChar w:fldCharType="end"/>
            </w:r>
          </w:hyperlink>
        </w:p>
        <w:p w14:paraId="567FA34B" w14:textId="324B830F" w:rsidR="00CC3CA8" w:rsidRPr="0053182F" w:rsidRDefault="00CC3CA8">
          <w:pPr>
            <w:pStyle w:val="TOC3"/>
            <w:tabs>
              <w:tab w:val="right" w:leader="dot" w:pos="9016"/>
            </w:tabs>
            <w:rPr>
              <w:noProof/>
              <w:color w:val="auto"/>
              <w:kern w:val="2"/>
              <w:lang w:eastAsia="en-GB"/>
              <w14:ligatures w14:val="standardContextual"/>
            </w:rPr>
          </w:pPr>
          <w:hyperlink w:anchor="_Toc218357169" w:history="1">
            <w:r w:rsidRPr="0053182F">
              <w:rPr>
                <w:rStyle w:val="Hyperlink"/>
                <w:noProof/>
              </w:rPr>
              <w:t>7.4.4 Temporal Patterns in Modern Slavery: Prevalence, Vulnerability, and Government Response (2016–2022)</w:t>
            </w:r>
            <w:r w:rsidRPr="0053182F">
              <w:rPr>
                <w:noProof/>
                <w:webHidden/>
              </w:rPr>
              <w:tab/>
            </w:r>
            <w:r w:rsidRPr="0053182F">
              <w:rPr>
                <w:noProof/>
                <w:webHidden/>
              </w:rPr>
              <w:fldChar w:fldCharType="begin"/>
            </w:r>
            <w:r w:rsidRPr="0053182F">
              <w:rPr>
                <w:noProof/>
                <w:webHidden/>
              </w:rPr>
              <w:instrText xml:space="preserve"> PAGEREF _Toc218357169 \h </w:instrText>
            </w:r>
            <w:r w:rsidRPr="0053182F">
              <w:rPr>
                <w:noProof/>
                <w:webHidden/>
              </w:rPr>
            </w:r>
            <w:r w:rsidRPr="0053182F">
              <w:rPr>
                <w:noProof/>
                <w:webHidden/>
              </w:rPr>
              <w:fldChar w:fldCharType="separate"/>
            </w:r>
            <w:r w:rsidRPr="0053182F">
              <w:rPr>
                <w:noProof/>
                <w:webHidden/>
              </w:rPr>
              <w:t>223</w:t>
            </w:r>
            <w:r w:rsidRPr="0053182F">
              <w:rPr>
                <w:noProof/>
                <w:webHidden/>
              </w:rPr>
              <w:fldChar w:fldCharType="end"/>
            </w:r>
          </w:hyperlink>
        </w:p>
        <w:p w14:paraId="79A868AE" w14:textId="24C135C9"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70" w:history="1">
            <w:r w:rsidRPr="0053182F">
              <w:rPr>
                <w:rStyle w:val="Hyperlink"/>
                <w:rFonts w:ascii="Times New Roman" w:hAnsi="Times New Roman"/>
                <w:noProof/>
              </w:rPr>
              <w:t>7.5 Independent variables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_Toc218357170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226</w:t>
            </w:r>
            <w:r w:rsidRPr="0053182F">
              <w:rPr>
                <w:rFonts w:ascii="Times New Roman" w:hAnsi="Times New Roman"/>
                <w:noProof/>
                <w:webHidden/>
              </w:rPr>
              <w:fldChar w:fldCharType="end"/>
            </w:r>
          </w:hyperlink>
        </w:p>
        <w:p w14:paraId="4CC4E5C1" w14:textId="6134AF38" w:rsidR="00CC3CA8" w:rsidRPr="0053182F" w:rsidRDefault="00CC3CA8">
          <w:pPr>
            <w:pStyle w:val="TOC3"/>
            <w:tabs>
              <w:tab w:val="right" w:leader="dot" w:pos="9016"/>
            </w:tabs>
            <w:rPr>
              <w:noProof/>
              <w:color w:val="auto"/>
              <w:kern w:val="2"/>
              <w:lang w:eastAsia="en-GB"/>
              <w14:ligatures w14:val="standardContextual"/>
            </w:rPr>
          </w:pPr>
          <w:hyperlink w:anchor="_Toc218357171" w:history="1">
            <w:r w:rsidRPr="0053182F">
              <w:rPr>
                <w:rStyle w:val="Hyperlink"/>
                <w:noProof/>
              </w:rPr>
              <w:t>7.5.1 Institutional Environment Quality (IEQ)</w:t>
            </w:r>
            <w:r w:rsidRPr="0053182F">
              <w:rPr>
                <w:noProof/>
                <w:webHidden/>
              </w:rPr>
              <w:tab/>
            </w:r>
            <w:r w:rsidRPr="0053182F">
              <w:rPr>
                <w:noProof/>
                <w:webHidden/>
              </w:rPr>
              <w:fldChar w:fldCharType="begin"/>
            </w:r>
            <w:r w:rsidRPr="0053182F">
              <w:rPr>
                <w:noProof/>
                <w:webHidden/>
              </w:rPr>
              <w:instrText xml:space="preserve"> PAGEREF _Toc218357171 \h </w:instrText>
            </w:r>
            <w:r w:rsidRPr="0053182F">
              <w:rPr>
                <w:noProof/>
                <w:webHidden/>
              </w:rPr>
            </w:r>
            <w:r w:rsidRPr="0053182F">
              <w:rPr>
                <w:noProof/>
                <w:webHidden/>
              </w:rPr>
              <w:fldChar w:fldCharType="separate"/>
            </w:r>
            <w:r w:rsidRPr="0053182F">
              <w:rPr>
                <w:noProof/>
                <w:webHidden/>
              </w:rPr>
              <w:t>226</w:t>
            </w:r>
            <w:r w:rsidRPr="0053182F">
              <w:rPr>
                <w:noProof/>
                <w:webHidden/>
              </w:rPr>
              <w:fldChar w:fldCharType="end"/>
            </w:r>
          </w:hyperlink>
        </w:p>
        <w:p w14:paraId="38AEF169" w14:textId="63BD70A8" w:rsidR="00CC3CA8" w:rsidRPr="0053182F" w:rsidRDefault="00CC3CA8">
          <w:pPr>
            <w:pStyle w:val="TOC3"/>
            <w:tabs>
              <w:tab w:val="right" w:leader="dot" w:pos="9016"/>
            </w:tabs>
            <w:rPr>
              <w:noProof/>
              <w:color w:val="auto"/>
              <w:kern w:val="2"/>
              <w:lang w:eastAsia="en-GB"/>
              <w14:ligatures w14:val="standardContextual"/>
            </w:rPr>
          </w:pPr>
          <w:hyperlink w:anchor="_Toc218357172" w:history="1">
            <w:r w:rsidRPr="0053182F">
              <w:rPr>
                <w:rStyle w:val="Hyperlink"/>
                <w:noProof/>
              </w:rPr>
              <w:t>7.5.2 Sustainable Development Governance Index (SDGI)</w:t>
            </w:r>
            <w:r w:rsidRPr="0053182F">
              <w:rPr>
                <w:noProof/>
                <w:webHidden/>
              </w:rPr>
              <w:tab/>
            </w:r>
            <w:r w:rsidRPr="0053182F">
              <w:rPr>
                <w:noProof/>
                <w:webHidden/>
              </w:rPr>
              <w:fldChar w:fldCharType="begin"/>
            </w:r>
            <w:r w:rsidRPr="0053182F">
              <w:rPr>
                <w:noProof/>
                <w:webHidden/>
              </w:rPr>
              <w:instrText xml:space="preserve"> PAGEREF _Toc218357172 \h </w:instrText>
            </w:r>
            <w:r w:rsidRPr="0053182F">
              <w:rPr>
                <w:noProof/>
                <w:webHidden/>
              </w:rPr>
            </w:r>
            <w:r w:rsidRPr="0053182F">
              <w:rPr>
                <w:noProof/>
                <w:webHidden/>
              </w:rPr>
              <w:fldChar w:fldCharType="separate"/>
            </w:r>
            <w:r w:rsidRPr="0053182F">
              <w:rPr>
                <w:noProof/>
                <w:webHidden/>
              </w:rPr>
              <w:t>230</w:t>
            </w:r>
            <w:r w:rsidRPr="0053182F">
              <w:rPr>
                <w:noProof/>
                <w:webHidden/>
              </w:rPr>
              <w:fldChar w:fldCharType="end"/>
            </w:r>
          </w:hyperlink>
        </w:p>
        <w:p w14:paraId="2A7009E2" w14:textId="5929D0DB" w:rsidR="00CC3CA8" w:rsidRPr="0053182F" w:rsidRDefault="00CC3CA8">
          <w:pPr>
            <w:pStyle w:val="TOC3"/>
            <w:tabs>
              <w:tab w:val="right" w:leader="dot" w:pos="9016"/>
            </w:tabs>
            <w:rPr>
              <w:noProof/>
              <w:color w:val="auto"/>
              <w:kern w:val="2"/>
              <w:lang w:eastAsia="en-GB"/>
              <w14:ligatures w14:val="standardContextual"/>
            </w:rPr>
          </w:pPr>
          <w:hyperlink w:anchor="_Toc218357173" w:history="1">
            <w:r w:rsidRPr="0053182F">
              <w:rPr>
                <w:rStyle w:val="Hyperlink"/>
                <w:noProof/>
              </w:rPr>
              <w:t>7.5.3 Inequality-adjusted Human Development Index (IHDI)</w:t>
            </w:r>
            <w:r w:rsidRPr="0053182F">
              <w:rPr>
                <w:noProof/>
                <w:webHidden/>
              </w:rPr>
              <w:tab/>
            </w:r>
            <w:r w:rsidRPr="0053182F">
              <w:rPr>
                <w:noProof/>
                <w:webHidden/>
              </w:rPr>
              <w:fldChar w:fldCharType="begin"/>
            </w:r>
            <w:r w:rsidRPr="0053182F">
              <w:rPr>
                <w:noProof/>
                <w:webHidden/>
              </w:rPr>
              <w:instrText xml:space="preserve"> PAGEREF _Toc218357173 \h </w:instrText>
            </w:r>
            <w:r w:rsidRPr="0053182F">
              <w:rPr>
                <w:noProof/>
                <w:webHidden/>
              </w:rPr>
            </w:r>
            <w:r w:rsidRPr="0053182F">
              <w:rPr>
                <w:noProof/>
                <w:webHidden/>
              </w:rPr>
              <w:fldChar w:fldCharType="separate"/>
            </w:r>
            <w:r w:rsidRPr="0053182F">
              <w:rPr>
                <w:noProof/>
                <w:webHidden/>
              </w:rPr>
              <w:t>231</w:t>
            </w:r>
            <w:r w:rsidRPr="0053182F">
              <w:rPr>
                <w:noProof/>
                <w:webHidden/>
              </w:rPr>
              <w:fldChar w:fldCharType="end"/>
            </w:r>
          </w:hyperlink>
        </w:p>
        <w:p w14:paraId="2737FA8B" w14:textId="517C951B"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74" w:history="1">
            <w:r w:rsidRPr="0053182F">
              <w:rPr>
                <w:rStyle w:val="Hyperlink"/>
                <w:rFonts w:ascii="Times New Roman" w:hAnsi="Times New Roman"/>
                <w:noProof/>
              </w:rPr>
              <w:t>7.6 Control variable</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_Toc218357174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231</w:t>
            </w:r>
            <w:r w:rsidRPr="0053182F">
              <w:rPr>
                <w:rFonts w:ascii="Times New Roman" w:hAnsi="Times New Roman"/>
                <w:noProof/>
                <w:webHidden/>
              </w:rPr>
              <w:fldChar w:fldCharType="end"/>
            </w:r>
          </w:hyperlink>
        </w:p>
        <w:p w14:paraId="29937F5D" w14:textId="14A282C0"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75" w:history="1">
            <w:r w:rsidRPr="0053182F">
              <w:rPr>
                <w:rStyle w:val="Hyperlink"/>
                <w:rFonts w:ascii="Times New Roman" w:hAnsi="Times New Roman"/>
                <w:noProof/>
              </w:rPr>
              <w:t>7.7 Model Specification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_Toc218357175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233</w:t>
            </w:r>
            <w:r w:rsidRPr="0053182F">
              <w:rPr>
                <w:rFonts w:ascii="Times New Roman" w:hAnsi="Times New Roman"/>
                <w:noProof/>
                <w:webHidden/>
              </w:rPr>
              <w:fldChar w:fldCharType="end"/>
            </w:r>
          </w:hyperlink>
        </w:p>
        <w:p w14:paraId="1A89D699" w14:textId="50C4DAAB"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76" w:history="1">
            <w:r w:rsidRPr="0053182F">
              <w:rPr>
                <w:rStyle w:val="Hyperlink"/>
                <w:rFonts w:ascii="Times New Roman" w:eastAsia="Times New Roman" w:hAnsi="Times New Roman"/>
                <w:bCs/>
                <w:noProof/>
              </w:rPr>
              <w:t>Phase 2:  Meso-Level Quantitative Analysis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_Toc218357176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234</w:t>
            </w:r>
            <w:r w:rsidRPr="0053182F">
              <w:rPr>
                <w:rFonts w:ascii="Times New Roman" w:hAnsi="Times New Roman"/>
                <w:noProof/>
                <w:webHidden/>
              </w:rPr>
              <w:fldChar w:fldCharType="end"/>
            </w:r>
          </w:hyperlink>
        </w:p>
        <w:p w14:paraId="34FA6DD2" w14:textId="12FC158B"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77" w:history="1">
            <w:r w:rsidRPr="0053182F">
              <w:rPr>
                <w:rStyle w:val="Hyperlink"/>
                <w:rFonts w:ascii="Times New Roman" w:hAnsi="Times New Roman"/>
                <w:noProof/>
                <w:lang w:eastAsia="en-GB"/>
              </w:rPr>
              <w:t>7.8. Data and sample</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_Toc218357177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234</w:t>
            </w:r>
            <w:r w:rsidRPr="0053182F">
              <w:rPr>
                <w:rFonts w:ascii="Times New Roman" w:hAnsi="Times New Roman"/>
                <w:noProof/>
                <w:webHidden/>
              </w:rPr>
              <w:fldChar w:fldCharType="end"/>
            </w:r>
          </w:hyperlink>
        </w:p>
        <w:p w14:paraId="0653DAA6" w14:textId="20199BA6"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78" w:history="1">
            <w:r w:rsidRPr="0053182F">
              <w:rPr>
                <w:rStyle w:val="Hyperlink"/>
                <w:rFonts w:ascii="Times New Roman" w:hAnsi="Times New Roman"/>
                <w:noProof/>
              </w:rPr>
              <w:t>7.9 Definitions of variables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_Toc218357178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239</w:t>
            </w:r>
            <w:r w:rsidRPr="0053182F">
              <w:rPr>
                <w:rFonts w:ascii="Times New Roman" w:hAnsi="Times New Roman"/>
                <w:noProof/>
                <w:webHidden/>
              </w:rPr>
              <w:fldChar w:fldCharType="end"/>
            </w:r>
          </w:hyperlink>
        </w:p>
        <w:p w14:paraId="59F7BF1C" w14:textId="4BF366EA"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79" w:history="1">
            <w:r w:rsidRPr="0053182F">
              <w:rPr>
                <w:rStyle w:val="Hyperlink"/>
                <w:rFonts w:ascii="Times New Roman" w:hAnsi="Times New Roman"/>
                <w:noProof/>
                <w:lang w:eastAsia="en-GB"/>
              </w:rPr>
              <w:t>7.11. Dependent Variable:</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_Toc218357179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241</w:t>
            </w:r>
            <w:r w:rsidRPr="0053182F">
              <w:rPr>
                <w:rFonts w:ascii="Times New Roman" w:hAnsi="Times New Roman"/>
                <w:noProof/>
                <w:webHidden/>
              </w:rPr>
              <w:fldChar w:fldCharType="end"/>
            </w:r>
          </w:hyperlink>
        </w:p>
        <w:p w14:paraId="106B86D7" w14:textId="0783A574"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80" w:history="1">
            <w:r w:rsidRPr="0053182F">
              <w:rPr>
                <w:rStyle w:val="Hyperlink"/>
                <w:rFonts w:ascii="Times New Roman" w:hAnsi="Times New Roman"/>
                <w:noProof/>
                <w:lang w:eastAsia="en-GB"/>
              </w:rPr>
              <w:t>7.12 Independent Variables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_Toc218357180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244</w:t>
            </w:r>
            <w:r w:rsidRPr="0053182F">
              <w:rPr>
                <w:rFonts w:ascii="Times New Roman" w:hAnsi="Times New Roman"/>
                <w:noProof/>
                <w:webHidden/>
              </w:rPr>
              <w:fldChar w:fldCharType="end"/>
            </w:r>
          </w:hyperlink>
        </w:p>
        <w:p w14:paraId="0820AEA4" w14:textId="210F8E09"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81" w:history="1">
            <w:r w:rsidRPr="0053182F">
              <w:rPr>
                <w:rStyle w:val="Hyperlink"/>
                <w:rFonts w:ascii="Times New Roman" w:hAnsi="Times New Roman"/>
                <w:noProof/>
              </w:rPr>
              <w:t>7.13 Control Variables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_Toc218357181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245</w:t>
            </w:r>
            <w:r w:rsidRPr="0053182F">
              <w:rPr>
                <w:rFonts w:ascii="Times New Roman" w:hAnsi="Times New Roman"/>
                <w:noProof/>
                <w:webHidden/>
              </w:rPr>
              <w:fldChar w:fldCharType="end"/>
            </w:r>
          </w:hyperlink>
        </w:p>
        <w:p w14:paraId="68D87675" w14:textId="6948FD59"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82" w:history="1">
            <w:r w:rsidRPr="0053182F">
              <w:rPr>
                <w:rStyle w:val="Hyperlink"/>
                <w:rFonts w:ascii="Times New Roman" w:hAnsi="Times New Roman"/>
                <w:noProof/>
              </w:rPr>
              <w:t>7.14 Model Specification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_Toc218357182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245</w:t>
            </w:r>
            <w:r w:rsidRPr="0053182F">
              <w:rPr>
                <w:rFonts w:ascii="Times New Roman" w:hAnsi="Times New Roman"/>
                <w:noProof/>
                <w:webHidden/>
              </w:rPr>
              <w:fldChar w:fldCharType="end"/>
            </w:r>
          </w:hyperlink>
        </w:p>
        <w:p w14:paraId="53455F23" w14:textId="2A43D6D3"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83" w:history="1">
            <w:r w:rsidRPr="0053182F">
              <w:rPr>
                <w:rStyle w:val="Hyperlink"/>
                <w:rFonts w:ascii="Times New Roman" w:eastAsia="Times New Roman" w:hAnsi="Times New Roman"/>
                <w:bCs/>
                <w:noProof/>
              </w:rPr>
              <w:t>Phase 3:  Meso-Level Extension-Disclosure Analysis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_Toc218357183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246</w:t>
            </w:r>
            <w:r w:rsidRPr="0053182F">
              <w:rPr>
                <w:rFonts w:ascii="Times New Roman" w:hAnsi="Times New Roman"/>
                <w:noProof/>
                <w:webHidden/>
              </w:rPr>
              <w:fldChar w:fldCharType="end"/>
            </w:r>
          </w:hyperlink>
        </w:p>
        <w:p w14:paraId="275FAC7D" w14:textId="01C897EA"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84" w:history="1">
            <w:r w:rsidRPr="0053182F">
              <w:rPr>
                <w:rStyle w:val="Hyperlink"/>
                <w:rFonts w:ascii="Times New Roman" w:eastAsia="Times New Roman" w:hAnsi="Times New Roman"/>
                <w:noProof/>
                <w:lang w:eastAsia="en-GB"/>
              </w:rPr>
              <w:t>7.15 Case Selection and Justification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_Toc218357184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247</w:t>
            </w:r>
            <w:r w:rsidRPr="0053182F">
              <w:rPr>
                <w:rFonts w:ascii="Times New Roman" w:hAnsi="Times New Roman"/>
                <w:noProof/>
                <w:webHidden/>
              </w:rPr>
              <w:fldChar w:fldCharType="end"/>
            </w:r>
          </w:hyperlink>
        </w:p>
        <w:p w14:paraId="1C690B08" w14:textId="3B9C11ED"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85" w:history="1">
            <w:r w:rsidRPr="0053182F">
              <w:rPr>
                <w:rStyle w:val="Hyperlink"/>
                <w:rFonts w:ascii="Times New Roman" w:hAnsi="Times New Roman"/>
                <w:noProof/>
              </w:rPr>
              <w:t>7.16 Data Sources for Disclosure Analysis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_Toc218357185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250</w:t>
            </w:r>
            <w:r w:rsidRPr="0053182F">
              <w:rPr>
                <w:rFonts w:ascii="Times New Roman" w:hAnsi="Times New Roman"/>
                <w:noProof/>
                <w:webHidden/>
              </w:rPr>
              <w:fldChar w:fldCharType="end"/>
            </w:r>
          </w:hyperlink>
        </w:p>
        <w:p w14:paraId="04D900A9" w14:textId="5DA0FA9D" w:rsidR="00CC3CA8" w:rsidRPr="0053182F" w:rsidRDefault="00CC3CA8">
          <w:pPr>
            <w:pStyle w:val="TOC3"/>
            <w:tabs>
              <w:tab w:val="right" w:leader="dot" w:pos="9016"/>
            </w:tabs>
            <w:rPr>
              <w:noProof/>
              <w:color w:val="auto"/>
              <w:kern w:val="2"/>
              <w:lang w:eastAsia="en-GB"/>
              <w14:ligatures w14:val="standardContextual"/>
            </w:rPr>
          </w:pPr>
          <w:hyperlink w:anchor="_Toc218357186" w:history="1">
            <w:r w:rsidRPr="0053182F">
              <w:rPr>
                <w:rStyle w:val="Hyperlink"/>
                <w:noProof/>
              </w:rPr>
              <w:t>7.16.1 Documents Included</w:t>
            </w:r>
            <w:r w:rsidRPr="0053182F">
              <w:rPr>
                <w:noProof/>
                <w:webHidden/>
              </w:rPr>
              <w:tab/>
            </w:r>
            <w:r w:rsidRPr="0053182F">
              <w:rPr>
                <w:noProof/>
                <w:webHidden/>
              </w:rPr>
              <w:fldChar w:fldCharType="begin"/>
            </w:r>
            <w:r w:rsidRPr="0053182F">
              <w:rPr>
                <w:noProof/>
                <w:webHidden/>
              </w:rPr>
              <w:instrText xml:space="preserve"> PAGEREF _Toc218357186 \h </w:instrText>
            </w:r>
            <w:r w:rsidRPr="0053182F">
              <w:rPr>
                <w:noProof/>
                <w:webHidden/>
              </w:rPr>
            </w:r>
            <w:r w:rsidRPr="0053182F">
              <w:rPr>
                <w:noProof/>
                <w:webHidden/>
              </w:rPr>
              <w:fldChar w:fldCharType="separate"/>
            </w:r>
            <w:r w:rsidRPr="0053182F">
              <w:rPr>
                <w:noProof/>
                <w:webHidden/>
              </w:rPr>
              <w:t>250</w:t>
            </w:r>
            <w:r w:rsidRPr="0053182F">
              <w:rPr>
                <w:noProof/>
                <w:webHidden/>
              </w:rPr>
              <w:fldChar w:fldCharType="end"/>
            </w:r>
          </w:hyperlink>
        </w:p>
        <w:p w14:paraId="13FB0334" w14:textId="43B1DDF9" w:rsidR="00CC3CA8" w:rsidRPr="0053182F" w:rsidRDefault="00CC3CA8">
          <w:pPr>
            <w:pStyle w:val="TOC3"/>
            <w:tabs>
              <w:tab w:val="right" w:leader="dot" w:pos="9016"/>
            </w:tabs>
            <w:rPr>
              <w:noProof/>
              <w:color w:val="auto"/>
              <w:kern w:val="2"/>
              <w:lang w:eastAsia="en-GB"/>
              <w14:ligatures w14:val="standardContextual"/>
            </w:rPr>
          </w:pPr>
          <w:hyperlink w:anchor="_Toc218357187" w:history="1">
            <w:r w:rsidRPr="0053182F">
              <w:rPr>
                <w:rStyle w:val="Hyperlink"/>
                <w:noProof/>
              </w:rPr>
              <w:t>7.16.2 Inclusion and Exclusion Criteria</w:t>
            </w:r>
            <w:r w:rsidRPr="0053182F">
              <w:rPr>
                <w:noProof/>
                <w:webHidden/>
              </w:rPr>
              <w:tab/>
            </w:r>
            <w:r w:rsidRPr="0053182F">
              <w:rPr>
                <w:noProof/>
                <w:webHidden/>
              </w:rPr>
              <w:fldChar w:fldCharType="begin"/>
            </w:r>
            <w:r w:rsidRPr="0053182F">
              <w:rPr>
                <w:noProof/>
                <w:webHidden/>
              </w:rPr>
              <w:instrText xml:space="preserve"> PAGEREF _Toc218357187 \h </w:instrText>
            </w:r>
            <w:r w:rsidRPr="0053182F">
              <w:rPr>
                <w:noProof/>
                <w:webHidden/>
              </w:rPr>
            </w:r>
            <w:r w:rsidRPr="0053182F">
              <w:rPr>
                <w:noProof/>
                <w:webHidden/>
              </w:rPr>
              <w:fldChar w:fldCharType="separate"/>
            </w:r>
            <w:r w:rsidRPr="0053182F">
              <w:rPr>
                <w:noProof/>
                <w:webHidden/>
              </w:rPr>
              <w:t>250</w:t>
            </w:r>
            <w:r w:rsidRPr="0053182F">
              <w:rPr>
                <w:noProof/>
                <w:webHidden/>
              </w:rPr>
              <w:fldChar w:fldCharType="end"/>
            </w:r>
          </w:hyperlink>
        </w:p>
        <w:p w14:paraId="1FB69106" w14:textId="47B643C8"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88" w:history="1">
            <w:r w:rsidRPr="0053182F">
              <w:rPr>
                <w:rStyle w:val="Hyperlink"/>
                <w:rFonts w:ascii="Times New Roman" w:hAnsi="Times New Roman"/>
                <w:noProof/>
              </w:rPr>
              <w:t>7.17 Analytical Framework for Disclosure Analysis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_Toc218357188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252</w:t>
            </w:r>
            <w:r w:rsidRPr="0053182F">
              <w:rPr>
                <w:rFonts w:ascii="Times New Roman" w:hAnsi="Times New Roman"/>
                <w:noProof/>
                <w:webHidden/>
              </w:rPr>
              <w:fldChar w:fldCharType="end"/>
            </w:r>
          </w:hyperlink>
        </w:p>
        <w:p w14:paraId="39E65052" w14:textId="30ADB053" w:rsidR="00CC3CA8" w:rsidRPr="0053182F" w:rsidRDefault="00CC3CA8">
          <w:pPr>
            <w:pStyle w:val="TOC3"/>
            <w:tabs>
              <w:tab w:val="right" w:leader="dot" w:pos="9016"/>
            </w:tabs>
            <w:rPr>
              <w:noProof/>
              <w:color w:val="auto"/>
              <w:kern w:val="2"/>
              <w:lang w:eastAsia="en-GB"/>
              <w14:ligatures w14:val="standardContextual"/>
            </w:rPr>
          </w:pPr>
          <w:hyperlink w:anchor="_Toc218357189" w:history="1">
            <w:r w:rsidRPr="0053182F">
              <w:rPr>
                <w:rStyle w:val="Hyperlink"/>
                <w:noProof/>
              </w:rPr>
              <w:t>7.17.1 Analytical Approach: Thematic Analysis</w:t>
            </w:r>
            <w:r w:rsidRPr="0053182F">
              <w:rPr>
                <w:noProof/>
                <w:webHidden/>
              </w:rPr>
              <w:tab/>
            </w:r>
            <w:r w:rsidRPr="0053182F">
              <w:rPr>
                <w:noProof/>
                <w:webHidden/>
              </w:rPr>
              <w:fldChar w:fldCharType="begin"/>
            </w:r>
            <w:r w:rsidRPr="0053182F">
              <w:rPr>
                <w:noProof/>
                <w:webHidden/>
              </w:rPr>
              <w:instrText xml:space="preserve"> PAGEREF _Toc218357189 \h </w:instrText>
            </w:r>
            <w:r w:rsidRPr="0053182F">
              <w:rPr>
                <w:noProof/>
                <w:webHidden/>
              </w:rPr>
            </w:r>
            <w:r w:rsidRPr="0053182F">
              <w:rPr>
                <w:noProof/>
                <w:webHidden/>
              </w:rPr>
              <w:fldChar w:fldCharType="separate"/>
            </w:r>
            <w:r w:rsidRPr="0053182F">
              <w:rPr>
                <w:noProof/>
                <w:webHidden/>
              </w:rPr>
              <w:t>252</w:t>
            </w:r>
            <w:r w:rsidRPr="0053182F">
              <w:rPr>
                <w:noProof/>
                <w:webHidden/>
              </w:rPr>
              <w:fldChar w:fldCharType="end"/>
            </w:r>
          </w:hyperlink>
        </w:p>
        <w:p w14:paraId="53A43C05" w14:textId="774859CA" w:rsidR="00CC3CA8" w:rsidRPr="0053182F" w:rsidRDefault="00CC3CA8">
          <w:pPr>
            <w:pStyle w:val="TOC3"/>
            <w:tabs>
              <w:tab w:val="right" w:leader="dot" w:pos="9016"/>
            </w:tabs>
            <w:rPr>
              <w:noProof/>
              <w:color w:val="auto"/>
              <w:kern w:val="2"/>
              <w:lang w:eastAsia="en-GB"/>
              <w14:ligatures w14:val="standardContextual"/>
            </w:rPr>
          </w:pPr>
          <w:hyperlink w:anchor="_Toc218357190" w:history="1">
            <w:r w:rsidRPr="0053182F">
              <w:rPr>
                <w:rStyle w:val="Hyperlink"/>
                <w:noProof/>
              </w:rPr>
              <w:t>7.17.2 Coding Framework</w:t>
            </w:r>
            <w:r w:rsidRPr="0053182F">
              <w:rPr>
                <w:noProof/>
                <w:webHidden/>
              </w:rPr>
              <w:tab/>
            </w:r>
            <w:r w:rsidRPr="0053182F">
              <w:rPr>
                <w:noProof/>
                <w:webHidden/>
              </w:rPr>
              <w:fldChar w:fldCharType="begin"/>
            </w:r>
            <w:r w:rsidRPr="0053182F">
              <w:rPr>
                <w:noProof/>
                <w:webHidden/>
              </w:rPr>
              <w:instrText xml:space="preserve"> PAGEREF _Toc218357190 \h </w:instrText>
            </w:r>
            <w:r w:rsidRPr="0053182F">
              <w:rPr>
                <w:noProof/>
                <w:webHidden/>
              </w:rPr>
            </w:r>
            <w:r w:rsidRPr="0053182F">
              <w:rPr>
                <w:noProof/>
                <w:webHidden/>
              </w:rPr>
              <w:fldChar w:fldCharType="separate"/>
            </w:r>
            <w:r w:rsidRPr="0053182F">
              <w:rPr>
                <w:noProof/>
                <w:webHidden/>
              </w:rPr>
              <w:t>253</w:t>
            </w:r>
            <w:r w:rsidRPr="0053182F">
              <w:rPr>
                <w:noProof/>
                <w:webHidden/>
              </w:rPr>
              <w:fldChar w:fldCharType="end"/>
            </w:r>
          </w:hyperlink>
        </w:p>
        <w:p w14:paraId="5E9F6AAD" w14:textId="5AE1E92C" w:rsidR="00CC3CA8" w:rsidRPr="0053182F" w:rsidRDefault="00CC3CA8">
          <w:pPr>
            <w:pStyle w:val="TOC1"/>
            <w:tabs>
              <w:tab w:val="right" w:leader="dot" w:pos="9016"/>
            </w:tabs>
            <w:rPr>
              <w:rFonts w:ascii="Times New Roman" w:hAnsi="Times New Roman"/>
              <w:noProof/>
              <w:kern w:val="2"/>
              <w:sz w:val="24"/>
              <w:szCs w:val="24"/>
              <w:lang w:val="en-GB" w:eastAsia="en-GB"/>
              <w14:ligatures w14:val="standardContextual"/>
            </w:rPr>
          </w:pPr>
          <w:hyperlink w:anchor="_Toc218357191" w:history="1">
            <w:r w:rsidRPr="0053182F">
              <w:rPr>
                <w:rStyle w:val="Hyperlink"/>
                <w:rFonts w:ascii="Times New Roman" w:hAnsi="Times New Roman"/>
                <w:noProof/>
              </w:rPr>
              <w:t>Part 4: Micro-Level Qualitative Analysis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_Toc218357191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255</w:t>
            </w:r>
            <w:r w:rsidRPr="0053182F">
              <w:rPr>
                <w:rFonts w:ascii="Times New Roman" w:hAnsi="Times New Roman"/>
                <w:noProof/>
                <w:webHidden/>
              </w:rPr>
              <w:fldChar w:fldCharType="end"/>
            </w:r>
          </w:hyperlink>
        </w:p>
        <w:p w14:paraId="24CC470A" w14:textId="5432D71A"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92" w:history="1">
            <w:r w:rsidRPr="0053182F">
              <w:rPr>
                <w:rStyle w:val="Hyperlink"/>
                <w:rFonts w:ascii="Times New Roman" w:hAnsi="Times New Roman"/>
                <w:noProof/>
              </w:rPr>
              <w:t>7.18 Micro-Level Research Setting and Rationale</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_Toc218357192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255</w:t>
            </w:r>
            <w:r w:rsidRPr="0053182F">
              <w:rPr>
                <w:rFonts w:ascii="Times New Roman" w:hAnsi="Times New Roman"/>
                <w:noProof/>
                <w:webHidden/>
              </w:rPr>
              <w:fldChar w:fldCharType="end"/>
            </w:r>
          </w:hyperlink>
        </w:p>
        <w:p w14:paraId="4BCE1C74" w14:textId="7ADC4C4D" w:rsidR="00CC3CA8" w:rsidRPr="0053182F" w:rsidRDefault="00CC3CA8">
          <w:pPr>
            <w:pStyle w:val="TOC3"/>
            <w:tabs>
              <w:tab w:val="right" w:leader="dot" w:pos="9016"/>
            </w:tabs>
            <w:rPr>
              <w:noProof/>
              <w:color w:val="auto"/>
              <w:kern w:val="2"/>
              <w:lang w:eastAsia="en-GB"/>
              <w14:ligatures w14:val="standardContextual"/>
            </w:rPr>
          </w:pPr>
          <w:hyperlink w:anchor="_Toc218357193" w:history="1">
            <w:r w:rsidRPr="0053182F">
              <w:rPr>
                <w:rStyle w:val="Hyperlink"/>
                <w:noProof/>
              </w:rPr>
              <w:t>7.18.1 Why Sri Lanka’s Apparel and Textile Industry?</w:t>
            </w:r>
            <w:r w:rsidRPr="0053182F">
              <w:rPr>
                <w:noProof/>
                <w:webHidden/>
              </w:rPr>
              <w:tab/>
            </w:r>
            <w:r w:rsidRPr="0053182F">
              <w:rPr>
                <w:noProof/>
                <w:webHidden/>
              </w:rPr>
              <w:fldChar w:fldCharType="begin"/>
            </w:r>
            <w:r w:rsidRPr="0053182F">
              <w:rPr>
                <w:noProof/>
                <w:webHidden/>
              </w:rPr>
              <w:instrText xml:space="preserve"> PAGEREF _Toc218357193 \h </w:instrText>
            </w:r>
            <w:r w:rsidRPr="0053182F">
              <w:rPr>
                <w:noProof/>
                <w:webHidden/>
              </w:rPr>
            </w:r>
            <w:r w:rsidRPr="0053182F">
              <w:rPr>
                <w:noProof/>
                <w:webHidden/>
              </w:rPr>
              <w:fldChar w:fldCharType="separate"/>
            </w:r>
            <w:r w:rsidRPr="0053182F">
              <w:rPr>
                <w:noProof/>
                <w:webHidden/>
              </w:rPr>
              <w:t>255</w:t>
            </w:r>
            <w:r w:rsidRPr="0053182F">
              <w:rPr>
                <w:noProof/>
                <w:webHidden/>
              </w:rPr>
              <w:fldChar w:fldCharType="end"/>
            </w:r>
          </w:hyperlink>
        </w:p>
        <w:p w14:paraId="3D267578" w14:textId="634EA38B" w:rsidR="00CC3CA8" w:rsidRPr="0053182F" w:rsidRDefault="00CC3CA8">
          <w:pPr>
            <w:pStyle w:val="TOC3"/>
            <w:tabs>
              <w:tab w:val="right" w:leader="dot" w:pos="9016"/>
            </w:tabs>
            <w:rPr>
              <w:noProof/>
              <w:color w:val="auto"/>
              <w:kern w:val="2"/>
              <w:lang w:eastAsia="en-GB"/>
              <w14:ligatures w14:val="standardContextual"/>
            </w:rPr>
          </w:pPr>
          <w:hyperlink w:anchor="_Toc218357194" w:history="1">
            <w:r w:rsidRPr="0053182F">
              <w:rPr>
                <w:rStyle w:val="Hyperlink"/>
                <w:noProof/>
              </w:rPr>
              <w:t>7.18.2 Sampling and Data Collection (Interviews and Fieldwork)</w:t>
            </w:r>
            <w:r w:rsidRPr="0053182F">
              <w:rPr>
                <w:noProof/>
                <w:webHidden/>
              </w:rPr>
              <w:tab/>
            </w:r>
            <w:r w:rsidRPr="0053182F">
              <w:rPr>
                <w:noProof/>
                <w:webHidden/>
              </w:rPr>
              <w:fldChar w:fldCharType="begin"/>
            </w:r>
            <w:r w:rsidRPr="0053182F">
              <w:rPr>
                <w:noProof/>
                <w:webHidden/>
              </w:rPr>
              <w:instrText xml:space="preserve"> PAGEREF _Toc218357194 \h </w:instrText>
            </w:r>
            <w:r w:rsidRPr="0053182F">
              <w:rPr>
                <w:noProof/>
                <w:webHidden/>
              </w:rPr>
            </w:r>
            <w:r w:rsidRPr="0053182F">
              <w:rPr>
                <w:noProof/>
                <w:webHidden/>
              </w:rPr>
              <w:fldChar w:fldCharType="separate"/>
            </w:r>
            <w:r w:rsidRPr="0053182F">
              <w:rPr>
                <w:noProof/>
                <w:webHidden/>
              </w:rPr>
              <w:t>257</w:t>
            </w:r>
            <w:r w:rsidRPr="0053182F">
              <w:rPr>
                <w:noProof/>
                <w:webHidden/>
              </w:rPr>
              <w:fldChar w:fldCharType="end"/>
            </w:r>
          </w:hyperlink>
        </w:p>
        <w:p w14:paraId="07754295" w14:textId="1C894B89"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95" w:history="1">
            <w:r w:rsidRPr="0053182F">
              <w:rPr>
                <w:rStyle w:val="Hyperlink"/>
                <w:rFonts w:ascii="Times New Roman" w:hAnsi="Times New Roman"/>
                <w:noProof/>
              </w:rPr>
              <w:t>7.19 Data Analysis Procedures (Micro-Level Interviews)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_Toc218357195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259</w:t>
            </w:r>
            <w:r w:rsidRPr="0053182F">
              <w:rPr>
                <w:rFonts w:ascii="Times New Roman" w:hAnsi="Times New Roman"/>
                <w:noProof/>
                <w:webHidden/>
              </w:rPr>
              <w:fldChar w:fldCharType="end"/>
            </w:r>
          </w:hyperlink>
        </w:p>
        <w:p w14:paraId="3887F445" w14:textId="1E82CFA6"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196" w:history="1">
            <w:r w:rsidRPr="0053182F">
              <w:rPr>
                <w:rStyle w:val="Hyperlink"/>
                <w:rFonts w:ascii="Times New Roman" w:hAnsi="Times New Roman"/>
                <w:noProof/>
              </w:rPr>
              <w:t>7.20 Qualitative Questionnaire</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_Toc218357196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260</w:t>
            </w:r>
            <w:r w:rsidRPr="0053182F">
              <w:rPr>
                <w:rFonts w:ascii="Times New Roman" w:hAnsi="Times New Roman"/>
                <w:noProof/>
                <w:webHidden/>
              </w:rPr>
              <w:fldChar w:fldCharType="end"/>
            </w:r>
          </w:hyperlink>
        </w:p>
        <w:p w14:paraId="52B2C000" w14:textId="03A0BE8A" w:rsidR="00CC3CA8" w:rsidRPr="0053182F" w:rsidRDefault="00CC3CA8">
          <w:pPr>
            <w:pStyle w:val="TOC3"/>
            <w:tabs>
              <w:tab w:val="right" w:leader="dot" w:pos="9016"/>
            </w:tabs>
            <w:rPr>
              <w:noProof/>
              <w:color w:val="auto"/>
              <w:kern w:val="2"/>
              <w:lang w:eastAsia="en-GB"/>
              <w14:ligatures w14:val="standardContextual"/>
            </w:rPr>
          </w:pPr>
          <w:hyperlink w:anchor="_Toc218357197" w:history="1">
            <w:r w:rsidRPr="0053182F">
              <w:rPr>
                <w:rStyle w:val="Hyperlink"/>
                <w:noProof/>
              </w:rPr>
              <w:t>7.20.1 Purpose of the Qualitative Questionnaire</w:t>
            </w:r>
            <w:r w:rsidRPr="0053182F">
              <w:rPr>
                <w:noProof/>
                <w:webHidden/>
              </w:rPr>
              <w:tab/>
            </w:r>
            <w:r w:rsidRPr="0053182F">
              <w:rPr>
                <w:noProof/>
                <w:webHidden/>
              </w:rPr>
              <w:fldChar w:fldCharType="begin"/>
            </w:r>
            <w:r w:rsidRPr="0053182F">
              <w:rPr>
                <w:noProof/>
                <w:webHidden/>
              </w:rPr>
              <w:instrText xml:space="preserve"> PAGEREF _Toc218357197 \h </w:instrText>
            </w:r>
            <w:r w:rsidRPr="0053182F">
              <w:rPr>
                <w:noProof/>
                <w:webHidden/>
              </w:rPr>
            </w:r>
            <w:r w:rsidRPr="0053182F">
              <w:rPr>
                <w:noProof/>
                <w:webHidden/>
              </w:rPr>
              <w:fldChar w:fldCharType="separate"/>
            </w:r>
            <w:r w:rsidRPr="0053182F">
              <w:rPr>
                <w:noProof/>
                <w:webHidden/>
              </w:rPr>
              <w:t>260</w:t>
            </w:r>
            <w:r w:rsidRPr="0053182F">
              <w:rPr>
                <w:noProof/>
                <w:webHidden/>
              </w:rPr>
              <w:fldChar w:fldCharType="end"/>
            </w:r>
          </w:hyperlink>
        </w:p>
        <w:p w14:paraId="2E7C9E09" w14:textId="32FA53C6" w:rsidR="00CC3CA8" w:rsidRPr="0053182F" w:rsidRDefault="00CC3CA8">
          <w:pPr>
            <w:pStyle w:val="TOC3"/>
            <w:tabs>
              <w:tab w:val="right" w:leader="dot" w:pos="9016"/>
            </w:tabs>
            <w:rPr>
              <w:noProof/>
              <w:color w:val="auto"/>
              <w:kern w:val="2"/>
              <w:lang w:eastAsia="en-GB"/>
              <w14:ligatures w14:val="standardContextual"/>
            </w:rPr>
          </w:pPr>
          <w:hyperlink w:anchor="_Toc218357198" w:history="1">
            <w:r w:rsidRPr="0053182F">
              <w:rPr>
                <w:rStyle w:val="Hyperlink"/>
                <w:noProof/>
              </w:rPr>
              <w:t>7.20.2 Questionnaire Design and Development</w:t>
            </w:r>
            <w:r w:rsidRPr="0053182F">
              <w:rPr>
                <w:noProof/>
                <w:webHidden/>
              </w:rPr>
              <w:tab/>
            </w:r>
            <w:r w:rsidRPr="0053182F">
              <w:rPr>
                <w:noProof/>
                <w:webHidden/>
              </w:rPr>
              <w:fldChar w:fldCharType="begin"/>
            </w:r>
            <w:r w:rsidRPr="0053182F">
              <w:rPr>
                <w:noProof/>
                <w:webHidden/>
              </w:rPr>
              <w:instrText xml:space="preserve"> PAGEREF _Toc218357198 \h </w:instrText>
            </w:r>
            <w:r w:rsidRPr="0053182F">
              <w:rPr>
                <w:noProof/>
                <w:webHidden/>
              </w:rPr>
            </w:r>
            <w:r w:rsidRPr="0053182F">
              <w:rPr>
                <w:noProof/>
                <w:webHidden/>
              </w:rPr>
              <w:fldChar w:fldCharType="separate"/>
            </w:r>
            <w:r w:rsidRPr="0053182F">
              <w:rPr>
                <w:noProof/>
                <w:webHidden/>
              </w:rPr>
              <w:t>261</w:t>
            </w:r>
            <w:r w:rsidRPr="0053182F">
              <w:rPr>
                <w:noProof/>
                <w:webHidden/>
              </w:rPr>
              <w:fldChar w:fldCharType="end"/>
            </w:r>
          </w:hyperlink>
        </w:p>
        <w:p w14:paraId="7DC79788" w14:textId="0C6650A8" w:rsidR="00CC3CA8" w:rsidRPr="0053182F" w:rsidRDefault="00CC3CA8">
          <w:pPr>
            <w:pStyle w:val="TOC3"/>
            <w:tabs>
              <w:tab w:val="right" w:leader="dot" w:pos="9016"/>
            </w:tabs>
            <w:rPr>
              <w:noProof/>
              <w:color w:val="auto"/>
              <w:kern w:val="2"/>
              <w:lang w:eastAsia="en-GB"/>
              <w14:ligatures w14:val="standardContextual"/>
            </w:rPr>
          </w:pPr>
          <w:hyperlink w:anchor="_Toc218357199" w:history="1">
            <w:r w:rsidRPr="0053182F">
              <w:rPr>
                <w:rStyle w:val="Hyperlink"/>
                <w:noProof/>
              </w:rPr>
              <w:t>7.20.3 Sampling and Data Collection (Questionnaire and Fieldwork)</w:t>
            </w:r>
            <w:r w:rsidRPr="0053182F">
              <w:rPr>
                <w:noProof/>
                <w:webHidden/>
              </w:rPr>
              <w:tab/>
            </w:r>
            <w:r w:rsidRPr="0053182F">
              <w:rPr>
                <w:noProof/>
                <w:webHidden/>
              </w:rPr>
              <w:fldChar w:fldCharType="begin"/>
            </w:r>
            <w:r w:rsidRPr="0053182F">
              <w:rPr>
                <w:noProof/>
                <w:webHidden/>
              </w:rPr>
              <w:instrText xml:space="preserve"> PAGEREF _Toc218357199 \h </w:instrText>
            </w:r>
            <w:r w:rsidRPr="0053182F">
              <w:rPr>
                <w:noProof/>
                <w:webHidden/>
              </w:rPr>
            </w:r>
            <w:r w:rsidRPr="0053182F">
              <w:rPr>
                <w:noProof/>
                <w:webHidden/>
              </w:rPr>
              <w:fldChar w:fldCharType="separate"/>
            </w:r>
            <w:r w:rsidRPr="0053182F">
              <w:rPr>
                <w:noProof/>
                <w:webHidden/>
              </w:rPr>
              <w:t>262</w:t>
            </w:r>
            <w:r w:rsidRPr="0053182F">
              <w:rPr>
                <w:noProof/>
                <w:webHidden/>
              </w:rPr>
              <w:fldChar w:fldCharType="end"/>
            </w:r>
          </w:hyperlink>
        </w:p>
        <w:p w14:paraId="6D0D3B8F" w14:textId="0B9BC782" w:rsidR="00CC3CA8" w:rsidRPr="0053182F" w:rsidRDefault="00CC3CA8">
          <w:pPr>
            <w:pStyle w:val="TOC3"/>
            <w:tabs>
              <w:tab w:val="right" w:leader="dot" w:pos="9016"/>
            </w:tabs>
            <w:rPr>
              <w:noProof/>
              <w:color w:val="auto"/>
              <w:kern w:val="2"/>
              <w:lang w:eastAsia="en-GB"/>
              <w14:ligatures w14:val="standardContextual"/>
            </w:rPr>
          </w:pPr>
          <w:hyperlink w:anchor="_Toc218357200" w:history="1">
            <w:r w:rsidRPr="0053182F">
              <w:rPr>
                <w:rStyle w:val="Hyperlink"/>
                <w:noProof/>
              </w:rPr>
              <w:t>7.20.4 Questionnaire Administration and Field Procedures</w:t>
            </w:r>
            <w:r w:rsidRPr="0053182F">
              <w:rPr>
                <w:noProof/>
                <w:webHidden/>
              </w:rPr>
              <w:tab/>
            </w:r>
            <w:r w:rsidRPr="0053182F">
              <w:rPr>
                <w:noProof/>
                <w:webHidden/>
              </w:rPr>
              <w:fldChar w:fldCharType="begin"/>
            </w:r>
            <w:r w:rsidRPr="0053182F">
              <w:rPr>
                <w:noProof/>
                <w:webHidden/>
              </w:rPr>
              <w:instrText xml:space="preserve"> PAGEREF _Toc218357200 \h </w:instrText>
            </w:r>
            <w:r w:rsidRPr="0053182F">
              <w:rPr>
                <w:noProof/>
                <w:webHidden/>
              </w:rPr>
            </w:r>
            <w:r w:rsidRPr="0053182F">
              <w:rPr>
                <w:noProof/>
                <w:webHidden/>
              </w:rPr>
              <w:fldChar w:fldCharType="separate"/>
            </w:r>
            <w:r w:rsidRPr="0053182F">
              <w:rPr>
                <w:noProof/>
                <w:webHidden/>
              </w:rPr>
              <w:t>263</w:t>
            </w:r>
            <w:r w:rsidRPr="0053182F">
              <w:rPr>
                <w:noProof/>
                <w:webHidden/>
              </w:rPr>
              <w:fldChar w:fldCharType="end"/>
            </w:r>
          </w:hyperlink>
        </w:p>
        <w:p w14:paraId="2FB2C03B" w14:textId="53BBCD83"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201" w:history="1">
            <w:r w:rsidRPr="0053182F">
              <w:rPr>
                <w:rStyle w:val="Hyperlink"/>
                <w:rFonts w:ascii="Times New Roman" w:hAnsi="Times New Roman"/>
                <w:noProof/>
              </w:rPr>
              <w:t>7.21 Ethical Considerations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_Toc218357201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264</w:t>
            </w:r>
            <w:r w:rsidRPr="0053182F">
              <w:rPr>
                <w:rFonts w:ascii="Times New Roman" w:hAnsi="Times New Roman"/>
                <w:noProof/>
                <w:webHidden/>
              </w:rPr>
              <w:fldChar w:fldCharType="end"/>
            </w:r>
          </w:hyperlink>
        </w:p>
        <w:p w14:paraId="778564D5" w14:textId="20EA66C6"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202" w:history="1">
            <w:r w:rsidRPr="0053182F">
              <w:rPr>
                <w:rStyle w:val="Hyperlink"/>
                <w:rFonts w:ascii="Times New Roman" w:hAnsi="Times New Roman"/>
                <w:noProof/>
              </w:rPr>
              <w:t>7.22 Cross-phase integration</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_Toc218357202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266</w:t>
            </w:r>
            <w:r w:rsidRPr="0053182F">
              <w:rPr>
                <w:rFonts w:ascii="Times New Roman" w:hAnsi="Times New Roman"/>
                <w:noProof/>
                <w:webHidden/>
              </w:rPr>
              <w:fldChar w:fldCharType="end"/>
            </w:r>
          </w:hyperlink>
        </w:p>
        <w:p w14:paraId="537A3192" w14:textId="42BF42C8"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203" w:history="1">
            <w:r w:rsidRPr="0053182F">
              <w:rPr>
                <w:rStyle w:val="Hyperlink"/>
                <w:rFonts w:ascii="Times New Roman" w:hAnsi="Times New Roman"/>
                <w:noProof/>
              </w:rPr>
              <w:t>7.23 Validity, Reliability, and Trustworthiness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_Toc218357203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267</w:t>
            </w:r>
            <w:r w:rsidRPr="0053182F">
              <w:rPr>
                <w:rFonts w:ascii="Times New Roman" w:hAnsi="Times New Roman"/>
                <w:noProof/>
                <w:webHidden/>
              </w:rPr>
              <w:fldChar w:fldCharType="end"/>
            </w:r>
          </w:hyperlink>
        </w:p>
        <w:p w14:paraId="11CC80FD" w14:textId="2E4BFAFC" w:rsidR="00CC3CA8" w:rsidRPr="0053182F" w:rsidRDefault="00CC3CA8">
          <w:pPr>
            <w:pStyle w:val="TOC2"/>
            <w:tabs>
              <w:tab w:val="right" w:leader="dot" w:pos="9016"/>
            </w:tabs>
            <w:rPr>
              <w:rFonts w:ascii="Times New Roman" w:hAnsi="Times New Roman"/>
              <w:noProof/>
              <w:kern w:val="2"/>
              <w:sz w:val="24"/>
              <w:szCs w:val="24"/>
              <w:lang w:val="en-GB" w:eastAsia="en-GB"/>
              <w14:ligatures w14:val="standardContextual"/>
            </w:rPr>
          </w:pPr>
          <w:hyperlink w:anchor="_Toc218357204" w:history="1">
            <w:r w:rsidRPr="0053182F">
              <w:rPr>
                <w:rStyle w:val="Hyperlink"/>
                <w:rFonts w:ascii="Times New Roman" w:hAnsi="Times New Roman"/>
                <w:noProof/>
              </w:rPr>
              <w:t>7.24 Methodological Limitations</w:t>
            </w:r>
            <w:r w:rsidRPr="0053182F">
              <w:rPr>
                <w:rFonts w:ascii="Times New Roman" w:hAnsi="Times New Roman"/>
                <w:noProof/>
                <w:webHidden/>
              </w:rPr>
              <w:tab/>
            </w:r>
            <w:r w:rsidRPr="0053182F">
              <w:rPr>
                <w:rFonts w:ascii="Times New Roman" w:hAnsi="Times New Roman"/>
                <w:noProof/>
                <w:webHidden/>
              </w:rPr>
              <w:fldChar w:fldCharType="begin"/>
            </w:r>
            <w:r w:rsidRPr="0053182F">
              <w:rPr>
                <w:rFonts w:ascii="Times New Roman" w:hAnsi="Times New Roman"/>
                <w:noProof/>
                <w:webHidden/>
              </w:rPr>
              <w:instrText xml:space="preserve"> PAGEREF _Toc218357204 \h </w:instrText>
            </w:r>
            <w:r w:rsidRPr="0053182F">
              <w:rPr>
                <w:rFonts w:ascii="Times New Roman" w:hAnsi="Times New Roman"/>
                <w:noProof/>
                <w:webHidden/>
              </w:rPr>
            </w:r>
            <w:r w:rsidRPr="0053182F">
              <w:rPr>
                <w:rFonts w:ascii="Times New Roman" w:hAnsi="Times New Roman"/>
                <w:noProof/>
                <w:webHidden/>
              </w:rPr>
              <w:fldChar w:fldCharType="separate"/>
            </w:r>
            <w:r w:rsidRPr="0053182F">
              <w:rPr>
                <w:rFonts w:ascii="Times New Roman" w:hAnsi="Times New Roman"/>
                <w:noProof/>
                <w:webHidden/>
              </w:rPr>
              <w:t>269</w:t>
            </w:r>
            <w:r w:rsidRPr="0053182F">
              <w:rPr>
                <w:rFonts w:ascii="Times New Roman" w:hAnsi="Times New Roman"/>
                <w:noProof/>
                <w:webHidden/>
              </w:rPr>
              <w:fldChar w:fldCharType="end"/>
            </w:r>
          </w:hyperlink>
        </w:p>
        <w:p w14:paraId="4BD94A8E" w14:textId="6D7D204E" w:rsidR="00144866" w:rsidRPr="0053182F" w:rsidRDefault="00144866" w:rsidP="00144866">
          <w:pPr>
            <w:rPr>
              <w:color w:val="auto"/>
            </w:rPr>
          </w:pPr>
          <w:r w:rsidRPr="0053182F">
            <w:rPr>
              <w:b/>
              <w:bCs/>
              <w:noProof/>
              <w:color w:val="auto"/>
            </w:rPr>
            <w:fldChar w:fldCharType="end"/>
          </w:r>
        </w:p>
      </w:sdtContent>
    </w:sdt>
    <w:p w14:paraId="75FF2FC5" w14:textId="77777777" w:rsidR="00A32E2C" w:rsidRPr="0053182F" w:rsidRDefault="00A32E2C" w:rsidP="00144866">
      <w:pPr>
        <w:pStyle w:val="Heading1"/>
        <w:rPr>
          <w:rFonts w:eastAsia="Times New Roman" w:cs="Times New Roman"/>
          <w:bCs/>
          <w:kern w:val="0"/>
          <w:szCs w:val="36"/>
          <w:lang w:eastAsia="en-GB"/>
          <w14:ligatures w14:val="none"/>
        </w:rPr>
      </w:pPr>
      <w:bookmarkStart w:id="6" w:name="_Toc218357050"/>
    </w:p>
    <w:p w14:paraId="00762342" w14:textId="77777777" w:rsidR="00A32E2C" w:rsidRPr="0053182F" w:rsidRDefault="00A32E2C" w:rsidP="00144866">
      <w:pPr>
        <w:pStyle w:val="Heading1"/>
        <w:rPr>
          <w:rFonts w:eastAsia="Times New Roman" w:cs="Times New Roman"/>
          <w:bCs/>
          <w:kern w:val="0"/>
          <w:szCs w:val="36"/>
          <w:lang w:eastAsia="en-GB"/>
          <w14:ligatures w14:val="none"/>
        </w:rPr>
      </w:pPr>
    </w:p>
    <w:p w14:paraId="7CF1F33D" w14:textId="316B67B4" w:rsidR="009E46A0" w:rsidRPr="0053182F" w:rsidRDefault="00FD70D8" w:rsidP="00144866">
      <w:pPr>
        <w:pStyle w:val="Heading1"/>
        <w:rPr>
          <w:rFonts w:cs="Times New Roman"/>
        </w:rPr>
      </w:pPr>
      <w:r w:rsidRPr="0053182F">
        <w:rPr>
          <w:rFonts w:eastAsia="Times New Roman" w:cs="Times New Roman"/>
          <w:bCs/>
          <w:kern w:val="0"/>
          <w:szCs w:val="36"/>
          <w:lang w:eastAsia="en-GB"/>
          <w14:ligatures w14:val="none"/>
        </w:rPr>
        <w:t>LIST OF TABLES</w:t>
      </w:r>
      <w:bookmarkEnd w:id="6"/>
    </w:p>
    <w:tbl>
      <w:tblPr>
        <w:tblW w:w="9277" w:type="dxa"/>
        <w:tblBorders>
          <w:bottom w:val="single" w:sz="4" w:space="0" w:color="auto"/>
        </w:tblBorders>
        <w:tblCellMar>
          <w:top w:w="15" w:type="dxa"/>
          <w:bottom w:w="15" w:type="dxa"/>
        </w:tblCellMar>
        <w:tblLook w:val="04A0" w:firstRow="1" w:lastRow="0" w:firstColumn="1" w:lastColumn="0" w:noHBand="0" w:noVBand="1"/>
      </w:tblPr>
      <w:tblGrid>
        <w:gridCol w:w="999"/>
        <w:gridCol w:w="1269"/>
        <w:gridCol w:w="6237"/>
        <w:gridCol w:w="772"/>
      </w:tblGrid>
      <w:tr w:rsidR="007D2699" w:rsidRPr="0053182F" w14:paraId="5455E242" w14:textId="77777777" w:rsidTr="007D2699">
        <w:trPr>
          <w:trHeight w:val="322"/>
        </w:trPr>
        <w:tc>
          <w:tcPr>
            <w:tcW w:w="999" w:type="dxa"/>
            <w:tcBorders>
              <w:top w:val="single" w:sz="4" w:space="0" w:color="auto"/>
              <w:bottom w:val="single" w:sz="4" w:space="0" w:color="auto"/>
            </w:tcBorders>
            <w:noWrap/>
            <w:vAlign w:val="bottom"/>
            <w:hideMark/>
          </w:tcPr>
          <w:p w14:paraId="551AED93" w14:textId="77777777" w:rsidR="009E46A0" w:rsidRPr="0053182F" w:rsidRDefault="009E46A0" w:rsidP="00374F1E">
            <w:pPr>
              <w:spacing w:after="0" w:line="240" w:lineRule="auto"/>
              <w:jc w:val="center"/>
              <w:rPr>
                <w:rFonts w:eastAsia="Times New Roman"/>
                <w:b/>
                <w:bCs/>
                <w:kern w:val="0"/>
                <w:sz w:val="22"/>
                <w:szCs w:val="22"/>
                <w:lang w:eastAsia="en-GB"/>
                <w14:ligatures w14:val="none"/>
              </w:rPr>
            </w:pPr>
            <w:r w:rsidRPr="0053182F">
              <w:rPr>
                <w:rFonts w:eastAsia="Times New Roman"/>
                <w:b/>
                <w:bCs/>
                <w:kern w:val="0"/>
                <w:sz w:val="22"/>
                <w:szCs w:val="22"/>
                <w:lang w:eastAsia="en-GB"/>
                <w14:ligatures w14:val="none"/>
              </w:rPr>
              <w:t>Chapter</w:t>
            </w:r>
          </w:p>
        </w:tc>
        <w:tc>
          <w:tcPr>
            <w:tcW w:w="1269" w:type="dxa"/>
            <w:tcBorders>
              <w:top w:val="single" w:sz="4" w:space="0" w:color="auto"/>
              <w:bottom w:val="single" w:sz="4" w:space="0" w:color="auto"/>
            </w:tcBorders>
            <w:noWrap/>
            <w:vAlign w:val="bottom"/>
            <w:hideMark/>
          </w:tcPr>
          <w:p w14:paraId="0518FB85" w14:textId="77777777" w:rsidR="009E46A0" w:rsidRPr="0053182F" w:rsidRDefault="009E46A0" w:rsidP="00374F1E">
            <w:pPr>
              <w:spacing w:after="0" w:line="240" w:lineRule="auto"/>
              <w:jc w:val="center"/>
              <w:rPr>
                <w:rFonts w:eastAsia="Times New Roman"/>
                <w:b/>
                <w:bCs/>
                <w:kern w:val="0"/>
                <w:sz w:val="22"/>
                <w:szCs w:val="22"/>
                <w:lang w:eastAsia="en-GB"/>
                <w14:ligatures w14:val="none"/>
              </w:rPr>
            </w:pPr>
            <w:r w:rsidRPr="0053182F">
              <w:rPr>
                <w:rFonts w:eastAsia="Times New Roman"/>
                <w:b/>
                <w:bCs/>
                <w:kern w:val="0"/>
                <w:sz w:val="22"/>
                <w:szCs w:val="22"/>
                <w:lang w:eastAsia="en-GB"/>
                <w14:ligatures w14:val="none"/>
              </w:rPr>
              <w:t>Table No.</w:t>
            </w:r>
          </w:p>
        </w:tc>
        <w:tc>
          <w:tcPr>
            <w:tcW w:w="6237" w:type="dxa"/>
            <w:tcBorders>
              <w:top w:val="single" w:sz="4" w:space="0" w:color="auto"/>
              <w:bottom w:val="single" w:sz="4" w:space="0" w:color="auto"/>
            </w:tcBorders>
            <w:noWrap/>
            <w:vAlign w:val="bottom"/>
            <w:hideMark/>
          </w:tcPr>
          <w:p w14:paraId="2A75CC00" w14:textId="77777777" w:rsidR="009E46A0" w:rsidRPr="0053182F" w:rsidRDefault="009E46A0" w:rsidP="009E46A0">
            <w:pPr>
              <w:spacing w:after="0" w:line="240" w:lineRule="auto"/>
              <w:rPr>
                <w:rFonts w:eastAsia="Times New Roman"/>
                <w:b/>
                <w:bCs/>
                <w:kern w:val="0"/>
                <w:sz w:val="22"/>
                <w:szCs w:val="22"/>
                <w:lang w:eastAsia="en-GB"/>
                <w14:ligatures w14:val="none"/>
              </w:rPr>
            </w:pPr>
            <w:r w:rsidRPr="0053182F">
              <w:rPr>
                <w:rFonts w:eastAsia="Times New Roman"/>
                <w:b/>
                <w:bCs/>
                <w:kern w:val="0"/>
                <w:sz w:val="22"/>
                <w:szCs w:val="22"/>
                <w:lang w:eastAsia="en-GB"/>
                <w14:ligatures w14:val="none"/>
              </w:rPr>
              <w:t>Title</w:t>
            </w:r>
          </w:p>
        </w:tc>
        <w:tc>
          <w:tcPr>
            <w:tcW w:w="772" w:type="dxa"/>
            <w:tcBorders>
              <w:top w:val="single" w:sz="4" w:space="0" w:color="auto"/>
              <w:bottom w:val="single" w:sz="4" w:space="0" w:color="auto"/>
            </w:tcBorders>
            <w:noWrap/>
            <w:vAlign w:val="bottom"/>
            <w:hideMark/>
          </w:tcPr>
          <w:p w14:paraId="041FD5B3" w14:textId="77777777" w:rsidR="009E46A0" w:rsidRPr="0053182F" w:rsidRDefault="009E46A0" w:rsidP="009E46A0">
            <w:pPr>
              <w:spacing w:after="0" w:line="240" w:lineRule="auto"/>
              <w:rPr>
                <w:rFonts w:eastAsia="Times New Roman"/>
                <w:b/>
                <w:bCs/>
                <w:kern w:val="0"/>
                <w:sz w:val="22"/>
                <w:szCs w:val="22"/>
                <w:lang w:eastAsia="en-GB"/>
                <w14:ligatures w14:val="none"/>
              </w:rPr>
            </w:pPr>
            <w:r w:rsidRPr="0053182F">
              <w:rPr>
                <w:rFonts w:eastAsia="Times New Roman"/>
                <w:b/>
                <w:bCs/>
                <w:kern w:val="0"/>
                <w:sz w:val="22"/>
                <w:szCs w:val="22"/>
                <w:lang w:eastAsia="en-GB"/>
                <w14:ligatures w14:val="none"/>
              </w:rPr>
              <w:t>Page</w:t>
            </w:r>
          </w:p>
        </w:tc>
      </w:tr>
      <w:tr w:rsidR="007D2699" w:rsidRPr="0053182F" w14:paraId="43E421DF" w14:textId="77777777" w:rsidTr="007D2699">
        <w:trPr>
          <w:trHeight w:val="322"/>
        </w:trPr>
        <w:tc>
          <w:tcPr>
            <w:tcW w:w="999" w:type="dxa"/>
            <w:tcBorders>
              <w:top w:val="single" w:sz="4" w:space="0" w:color="auto"/>
            </w:tcBorders>
            <w:noWrap/>
            <w:vAlign w:val="bottom"/>
            <w:hideMark/>
          </w:tcPr>
          <w:p w14:paraId="7DD5DA96"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1</w:t>
            </w:r>
          </w:p>
        </w:tc>
        <w:tc>
          <w:tcPr>
            <w:tcW w:w="1269" w:type="dxa"/>
            <w:tcBorders>
              <w:top w:val="single" w:sz="4" w:space="0" w:color="auto"/>
            </w:tcBorders>
            <w:noWrap/>
            <w:vAlign w:val="bottom"/>
            <w:hideMark/>
          </w:tcPr>
          <w:p w14:paraId="102F99D1"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1.1</w:t>
            </w:r>
          </w:p>
        </w:tc>
        <w:tc>
          <w:tcPr>
            <w:tcW w:w="6237" w:type="dxa"/>
            <w:tcBorders>
              <w:top w:val="single" w:sz="4" w:space="0" w:color="auto"/>
            </w:tcBorders>
            <w:noWrap/>
            <w:vAlign w:val="bottom"/>
            <w:hideMark/>
          </w:tcPr>
          <w:p w14:paraId="0D2C9B01"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Summary Map: Research Logic Alignment</w:t>
            </w:r>
          </w:p>
        </w:tc>
        <w:tc>
          <w:tcPr>
            <w:tcW w:w="772" w:type="dxa"/>
            <w:tcBorders>
              <w:top w:val="single" w:sz="4" w:space="0" w:color="auto"/>
            </w:tcBorders>
            <w:noWrap/>
            <w:vAlign w:val="bottom"/>
            <w:hideMark/>
          </w:tcPr>
          <w:p w14:paraId="0343320F"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31C0367E" w14:textId="77777777" w:rsidTr="007D2699">
        <w:trPr>
          <w:trHeight w:val="322"/>
        </w:trPr>
        <w:tc>
          <w:tcPr>
            <w:tcW w:w="999" w:type="dxa"/>
            <w:noWrap/>
            <w:vAlign w:val="bottom"/>
            <w:hideMark/>
          </w:tcPr>
          <w:p w14:paraId="21F4393D"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31449FBE"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2.1</w:t>
            </w:r>
          </w:p>
        </w:tc>
        <w:tc>
          <w:tcPr>
            <w:tcW w:w="6237" w:type="dxa"/>
            <w:noWrap/>
            <w:vAlign w:val="bottom"/>
            <w:hideMark/>
          </w:tcPr>
          <w:p w14:paraId="30B119E9"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Key Definitions of Modern Slavery in Scholarly and Policy Literature</w:t>
            </w:r>
          </w:p>
        </w:tc>
        <w:tc>
          <w:tcPr>
            <w:tcW w:w="772" w:type="dxa"/>
            <w:noWrap/>
            <w:vAlign w:val="bottom"/>
            <w:hideMark/>
          </w:tcPr>
          <w:p w14:paraId="153BC9FA"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2704A562" w14:textId="77777777" w:rsidTr="007D2699">
        <w:trPr>
          <w:trHeight w:val="322"/>
        </w:trPr>
        <w:tc>
          <w:tcPr>
            <w:tcW w:w="999" w:type="dxa"/>
            <w:noWrap/>
            <w:vAlign w:val="bottom"/>
            <w:hideMark/>
          </w:tcPr>
          <w:p w14:paraId="35F73BDE"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68C0810C"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2.2</w:t>
            </w:r>
          </w:p>
        </w:tc>
        <w:tc>
          <w:tcPr>
            <w:tcW w:w="6237" w:type="dxa"/>
            <w:noWrap/>
            <w:vAlign w:val="bottom"/>
            <w:hideMark/>
          </w:tcPr>
          <w:p w14:paraId="3C239B8D"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Summary of Anti-Modern Slavery Legislation Development</w:t>
            </w:r>
          </w:p>
        </w:tc>
        <w:tc>
          <w:tcPr>
            <w:tcW w:w="772" w:type="dxa"/>
            <w:noWrap/>
            <w:vAlign w:val="bottom"/>
            <w:hideMark/>
          </w:tcPr>
          <w:p w14:paraId="3D13432B"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4DBD3599" w14:textId="77777777" w:rsidTr="007D2699">
        <w:trPr>
          <w:trHeight w:val="322"/>
        </w:trPr>
        <w:tc>
          <w:tcPr>
            <w:tcW w:w="999" w:type="dxa"/>
            <w:noWrap/>
            <w:vAlign w:val="bottom"/>
            <w:hideMark/>
          </w:tcPr>
          <w:p w14:paraId="7849757E"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3</w:t>
            </w:r>
          </w:p>
        </w:tc>
        <w:tc>
          <w:tcPr>
            <w:tcW w:w="1269" w:type="dxa"/>
            <w:noWrap/>
            <w:vAlign w:val="bottom"/>
            <w:hideMark/>
          </w:tcPr>
          <w:p w14:paraId="352D5B42"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w:t>
            </w:r>
          </w:p>
        </w:tc>
        <w:tc>
          <w:tcPr>
            <w:tcW w:w="6237" w:type="dxa"/>
            <w:noWrap/>
            <w:vAlign w:val="bottom"/>
            <w:hideMark/>
          </w:tcPr>
          <w:p w14:paraId="2812CFD1"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No tables</w:t>
            </w:r>
          </w:p>
        </w:tc>
        <w:tc>
          <w:tcPr>
            <w:tcW w:w="772" w:type="dxa"/>
            <w:noWrap/>
            <w:vAlign w:val="bottom"/>
            <w:hideMark/>
          </w:tcPr>
          <w:p w14:paraId="74BB3A6C"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w:t>
            </w:r>
          </w:p>
        </w:tc>
      </w:tr>
      <w:tr w:rsidR="007D2699" w:rsidRPr="0053182F" w14:paraId="134355D9" w14:textId="77777777" w:rsidTr="007D2699">
        <w:trPr>
          <w:trHeight w:val="322"/>
        </w:trPr>
        <w:tc>
          <w:tcPr>
            <w:tcW w:w="999" w:type="dxa"/>
            <w:noWrap/>
            <w:vAlign w:val="bottom"/>
            <w:hideMark/>
          </w:tcPr>
          <w:p w14:paraId="6EBE0BDD"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4</w:t>
            </w:r>
          </w:p>
        </w:tc>
        <w:tc>
          <w:tcPr>
            <w:tcW w:w="1269" w:type="dxa"/>
            <w:noWrap/>
            <w:vAlign w:val="bottom"/>
            <w:hideMark/>
          </w:tcPr>
          <w:p w14:paraId="0BDA22F6"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w:t>
            </w:r>
          </w:p>
        </w:tc>
        <w:tc>
          <w:tcPr>
            <w:tcW w:w="6237" w:type="dxa"/>
            <w:noWrap/>
            <w:vAlign w:val="bottom"/>
            <w:hideMark/>
          </w:tcPr>
          <w:p w14:paraId="4A7BECA4"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No tables</w:t>
            </w:r>
          </w:p>
        </w:tc>
        <w:tc>
          <w:tcPr>
            <w:tcW w:w="772" w:type="dxa"/>
            <w:noWrap/>
            <w:vAlign w:val="bottom"/>
            <w:hideMark/>
          </w:tcPr>
          <w:p w14:paraId="0F322F0A"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w:t>
            </w:r>
          </w:p>
        </w:tc>
      </w:tr>
      <w:tr w:rsidR="007D2699" w:rsidRPr="0053182F" w14:paraId="41110F05" w14:textId="77777777" w:rsidTr="007D2699">
        <w:trPr>
          <w:trHeight w:val="322"/>
        </w:trPr>
        <w:tc>
          <w:tcPr>
            <w:tcW w:w="999" w:type="dxa"/>
            <w:noWrap/>
            <w:vAlign w:val="bottom"/>
            <w:hideMark/>
          </w:tcPr>
          <w:p w14:paraId="194116B0"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5</w:t>
            </w:r>
          </w:p>
        </w:tc>
        <w:tc>
          <w:tcPr>
            <w:tcW w:w="1269" w:type="dxa"/>
            <w:noWrap/>
            <w:vAlign w:val="bottom"/>
            <w:hideMark/>
          </w:tcPr>
          <w:p w14:paraId="711021E5"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5.1</w:t>
            </w:r>
          </w:p>
        </w:tc>
        <w:tc>
          <w:tcPr>
            <w:tcW w:w="6237" w:type="dxa"/>
            <w:noWrap/>
            <w:vAlign w:val="bottom"/>
            <w:hideMark/>
          </w:tcPr>
          <w:p w14:paraId="12F144BB"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Definitions of the Components of the Worldwide Governance Indicators (WGI)</w:t>
            </w:r>
          </w:p>
        </w:tc>
        <w:tc>
          <w:tcPr>
            <w:tcW w:w="772" w:type="dxa"/>
            <w:noWrap/>
            <w:vAlign w:val="bottom"/>
            <w:hideMark/>
          </w:tcPr>
          <w:p w14:paraId="4CE67B32"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61B023EB" w14:textId="77777777" w:rsidTr="007D2699">
        <w:trPr>
          <w:trHeight w:val="322"/>
        </w:trPr>
        <w:tc>
          <w:tcPr>
            <w:tcW w:w="999" w:type="dxa"/>
            <w:noWrap/>
            <w:vAlign w:val="bottom"/>
            <w:hideMark/>
          </w:tcPr>
          <w:p w14:paraId="467A1532"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5</w:t>
            </w:r>
          </w:p>
        </w:tc>
        <w:tc>
          <w:tcPr>
            <w:tcW w:w="1269" w:type="dxa"/>
            <w:noWrap/>
            <w:vAlign w:val="bottom"/>
            <w:hideMark/>
          </w:tcPr>
          <w:p w14:paraId="548C0BF6"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5.2</w:t>
            </w:r>
          </w:p>
        </w:tc>
        <w:tc>
          <w:tcPr>
            <w:tcW w:w="6237" w:type="dxa"/>
            <w:noWrap/>
            <w:vAlign w:val="bottom"/>
            <w:hideMark/>
          </w:tcPr>
          <w:p w14:paraId="1BB3AC51"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Summary of the Hypotheses</w:t>
            </w:r>
          </w:p>
        </w:tc>
        <w:tc>
          <w:tcPr>
            <w:tcW w:w="772" w:type="dxa"/>
            <w:noWrap/>
            <w:vAlign w:val="bottom"/>
            <w:hideMark/>
          </w:tcPr>
          <w:p w14:paraId="56E671FF"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785910B8" w14:textId="77777777" w:rsidTr="007D2699">
        <w:trPr>
          <w:trHeight w:val="322"/>
        </w:trPr>
        <w:tc>
          <w:tcPr>
            <w:tcW w:w="999" w:type="dxa"/>
            <w:noWrap/>
            <w:vAlign w:val="bottom"/>
            <w:hideMark/>
          </w:tcPr>
          <w:p w14:paraId="3D5ED7DF"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6</w:t>
            </w:r>
          </w:p>
        </w:tc>
        <w:tc>
          <w:tcPr>
            <w:tcW w:w="1269" w:type="dxa"/>
            <w:noWrap/>
            <w:vAlign w:val="bottom"/>
            <w:hideMark/>
          </w:tcPr>
          <w:p w14:paraId="7A8C5642"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6.1</w:t>
            </w:r>
          </w:p>
        </w:tc>
        <w:tc>
          <w:tcPr>
            <w:tcW w:w="6237" w:type="dxa"/>
            <w:noWrap/>
            <w:vAlign w:val="bottom"/>
            <w:hideMark/>
          </w:tcPr>
          <w:p w14:paraId="74D6106B"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Advantages and Disadvantages of Mixed Methods Research</w:t>
            </w:r>
          </w:p>
        </w:tc>
        <w:tc>
          <w:tcPr>
            <w:tcW w:w="772" w:type="dxa"/>
            <w:noWrap/>
            <w:vAlign w:val="bottom"/>
            <w:hideMark/>
          </w:tcPr>
          <w:p w14:paraId="5340CF2F"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40B27A06" w14:textId="77777777" w:rsidTr="007D2699">
        <w:trPr>
          <w:trHeight w:val="322"/>
        </w:trPr>
        <w:tc>
          <w:tcPr>
            <w:tcW w:w="999" w:type="dxa"/>
            <w:noWrap/>
            <w:vAlign w:val="bottom"/>
            <w:hideMark/>
          </w:tcPr>
          <w:p w14:paraId="0BE34A19"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6</w:t>
            </w:r>
          </w:p>
        </w:tc>
        <w:tc>
          <w:tcPr>
            <w:tcW w:w="1269" w:type="dxa"/>
            <w:noWrap/>
            <w:vAlign w:val="bottom"/>
            <w:hideMark/>
          </w:tcPr>
          <w:p w14:paraId="299E6040"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6.2</w:t>
            </w:r>
          </w:p>
        </w:tc>
        <w:tc>
          <w:tcPr>
            <w:tcW w:w="6237" w:type="dxa"/>
            <w:noWrap/>
            <w:vAlign w:val="bottom"/>
            <w:hideMark/>
          </w:tcPr>
          <w:p w14:paraId="3BDF2F72"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Sub-Questions and Analytical Alignment</w:t>
            </w:r>
          </w:p>
        </w:tc>
        <w:tc>
          <w:tcPr>
            <w:tcW w:w="772" w:type="dxa"/>
            <w:noWrap/>
            <w:vAlign w:val="bottom"/>
            <w:hideMark/>
          </w:tcPr>
          <w:p w14:paraId="7C2C0B17"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4149A2D2" w14:textId="77777777" w:rsidTr="007D2699">
        <w:trPr>
          <w:trHeight w:val="322"/>
        </w:trPr>
        <w:tc>
          <w:tcPr>
            <w:tcW w:w="999" w:type="dxa"/>
            <w:noWrap/>
            <w:vAlign w:val="bottom"/>
            <w:hideMark/>
          </w:tcPr>
          <w:p w14:paraId="1A001E03"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6</w:t>
            </w:r>
          </w:p>
        </w:tc>
        <w:tc>
          <w:tcPr>
            <w:tcW w:w="1269" w:type="dxa"/>
            <w:noWrap/>
            <w:vAlign w:val="bottom"/>
            <w:hideMark/>
          </w:tcPr>
          <w:p w14:paraId="118C06CD"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6.3</w:t>
            </w:r>
          </w:p>
        </w:tc>
        <w:tc>
          <w:tcPr>
            <w:tcW w:w="6237" w:type="dxa"/>
            <w:noWrap/>
            <w:vAlign w:val="bottom"/>
            <w:hideMark/>
          </w:tcPr>
          <w:p w14:paraId="43ED924E"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Advantages and Disadvantages of the Quantitative Research Approach</w:t>
            </w:r>
          </w:p>
        </w:tc>
        <w:tc>
          <w:tcPr>
            <w:tcW w:w="772" w:type="dxa"/>
            <w:noWrap/>
            <w:vAlign w:val="bottom"/>
            <w:hideMark/>
          </w:tcPr>
          <w:p w14:paraId="0C129E25"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3B30E52F" w14:textId="77777777" w:rsidTr="007D2699">
        <w:trPr>
          <w:trHeight w:val="322"/>
        </w:trPr>
        <w:tc>
          <w:tcPr>
            <w:tcW w:w="999" w:type="dxa"/>
            <w:noWrap/>
            <w:vAlign w:val="bottom"/>
            <w:hideMark/>
          </w:tcPr>
          <w:p w14:paraId="40F820AA"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6</w:t>
            </w:r>
          </w:p>
        </w:tc>
        <w:tc>
          <w:tcPr>
            <w:tcW w:w="1269" w:type="dxa"/>
            <w:noWrap/>
            <w:vAlign w:val="bottom"/>
            <w:hideMark/>
          </w:tcPr>
          <w:p w14:paraId="0A09F373"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6.4</w:t>
            </w:r>
          </w:p>
        </w:tc>
        <w:tc>
          <w:tcPr>
            <w:tcW w:w="6237" w:type="dxa"/>
            <w:noWrap/>
            <w:vAlign w:val="bottom"/>
            <w:hideMark/>
          </w:tcPr>
          <w:p w14:paraId="3ACD4683"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Strengths and Limitations of the Disclosure Analysis (Meso-Level Extension)</w:t>
            </w:r>
          </w:p>
        </w:tc>
        <w:tc>
          <w:tcPr>
            <w:tcW w:w="772" w:type="dxa"/>
            <w:noWrap/>
            <w:vAlign w:val="bottom"/>
            <w:hideMark/>
          </w:tcPr>
          <w:p w14:paraId="7016F138"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378EF2CA" w14:textId="77777777" w:rsidTr="007D2699">
        <w:trPr>
          <w:trHeight w:val="322"/>
        </w:trPr>
        <w:tc>
          <w:tcPr>
            <w:tcW w:w="999" w:type="dxa"/>
            <w:noWrap/>
            <w:vAlign w:val="bottom"/>
            <w:hideMark/>
          </w:tcPr>
          <w:p w14:paraId="5DD50F05"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6</w:t>
            </w:r>
          </w:p>
        </w:tc>
        <w:tc>
          <w:tcPr>
            <w:tcW w:w="1269" w:type="dxa"/>
            <w:noWrap/>
            <w:vAlign w:val="bottom"/>
            <w:hideMark/>
          </w:tcPr>
          <w:p w14:paraId="51AE0F94"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6.5</w:t>
            </w:r>
          </w:p>
        </w:tc>
        <w:tc>
          <w:tcPr>
            <w:tcW w:w="6237" w:type="dxa"/>
            <w:noWrap/>
            <w:vAlign w:val="bottom"/>
            <w:hideMark/>
          </w:tcPr>
          <w:p w14:paraId="1D9875A9"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Rationale for Selecting Sri Lanka’s Textile and Apparel Industry as the Research Context</w:t>
            </w:r>
          </w:p>
        </w:tc>
        <w:tc>
          <w:tcPr>
            <w:tcW w:w="772" w:type="dxa"/>
            <w:noWrap/>
            <w:vAlign w:val="bottom"/>
            <w:hideMark/>
          </w:tcPr>
          <w:p w14:paraId="7CE6A683"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25D0CBDD" w14:textId="77777777" w:rsidTr="007D2699">
        <w:trPr>
          <w:trHeight w:val="322"/>
        </w:trPr>
        <w:tc>
          <w:tcPr>
            <w:tcW w:w="999" w:type="dxa"/>
            <w:noWrap/>
            <w:vAlign w:val="bottom"/>
            <w:hideMark/>
          </w:tcPr>
          <w:p w14:paraId="02050B53"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6</w:t>
            </w:r>
          </w:p>
        </w:tc>
        <w:tc>
          <w:tcPr>
            <w:tcW w:w="1269" w:type="dxa"/>
            <w:noWrap/>
            <w:vAlign w:val="bottom"/>
            <w:hideMark/>
          </w:tcPr>
          <w:p w14:paraId="16901DC3"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6.6</w:t>
            </w:r>
          </w:p>
        </w:tc>
        <w:tc>
          <w:tcPr>
            <w:tcW w:w="6237" w:type="dxa"/>
            <w:noWrap/>
            <w:vAlign w:val="bottom"/>
            <w:hideMark/>
          </w:tcPr>
          <w:p w14:paraId="31D27492"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Strengths and Limitations of Interviews and Questionnaires (Micro-Level)</w:t>
            </w:r>
          </w:p>
        </w:tc>
        <w:tc>
          <w:tcPr>
            <w:tcW w:w="772" w:type="dxa"/>
            <w:noWrap/>
            <w:vAlign w:val="bottom"/>
            <w:hideMark/>
          </w:tcPr>
          <w:p w14:paraId="71CECE64"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3C6F28FA" w14:textId="77777777" w:rsidTr="007D2699">
        <w:trPr>
          <w:trHeight w:val="322"/>
        </w:trPr>
        <w:tc>
          <w:tcPr>
            <w:tcW w:w="999" w:type="dxa"/>
            <w:noWrap/>
            <w:vAlign w:val="bottom"/>
            <w:hideMark/>
          </w:tcPr>
          <w:p w14:paraId="5629A8BD"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173B3121"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7.1</w:t>
            </w:r>
          </w:p>
        </w:tc>
        <w:tc>
          <w:tcPr>
            <w:tcW w:w="6237" w:type="dxa"/>
            <w:noWrap/>
            <w:vAlign w:val="bottom"/>
            <w:hideMark/>
          </w:tcPr>
          <w:p w14:paraId="54D889FE"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Sample Details</w:t>
            </w:r>
          </w:p>
        </w:tc>
        <w:tc>
          <w:tcPr>
            <w:tcW w:w="772" w:type="dxa"/>
            <w:noWrap/>
            <w:vAlign w:val="bottom"/>
            <w:hideMark/>
          </w:tcPr>
          <w:p w14:paraId="1232A84C"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76BE6405" w14:textId="77777777" w:rsidTr="007D2699">
        <w:trPr>
          <w:trHeight w:val="322"/>
        </w:trPr>
        <w:tc>
          <w:tcPr>
            <w:tcW w:w="999" w:type="dxa"/>
            <w:noWrap/>
            <w:vAlign w:val="bottom"/>
            <w:hideMark/>
          </w:tcPr>
          <w:p w14:paraId="0F83CF99"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4EBFCCB7"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7.2</w:t>
            </w:r>
          </w:p>
        </w:tc>
        <w:tc>
          <w:tcPr>
            <w:tcW w:w="6237" w:type="dxa"/>
            <w:noWrap/>
            <w:vAlign w:val="bottom"/>
            <w:hideMark/>
          </w:tcPr>
          <w:p w14:paraId="2F1D61CC"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Variable Definitions</w:t>
            </w:r>
          </w:p>
        </w:tc>
        <w:tc>
          <w:tcPr>
            <w:tcW w:w="772" w:type="dxa"/>
            <w:noWrap/>
            <w:vAlign w:val="bottom"/>
            <w:hideMark/>
          </w:tcPr>
          <w:p w14:paraId="153D965E"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0B46EE17" w14:textId="77777777" w:rsidTr="007D2699">
        <w:trPr>
          <w:trHeight w:val="322"/>
        </w:trPr>
        <w:tc>
          <w:tcPr>
            <w:tcW w:w="999" w:type="dxa"/>
            <w:noWrap/>
            <w:vAlign w:val="bottom"/>
            <w:hideMark/>
          </w:tcPr>
          <w:p w14:paraId="011005C9"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5EBAAE22"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7.3</w:t>
            </w:r>
          </w:p>
        </w:tc>
        <w:tc>
          <w:tcPr>
            <w:tcW w:w="6237" w:type="dxa"/>
            <w:noWrap/>
            <w:vAlign w:val="bottom"/>
            <w:hideMark/>
          </w:tcPr>
          <w:p w14:paraId="3AB73E72"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Correlation Matrix of the Six Dimensions of Institutional Environmental Quality (IEQ)</w:t>
            </w:r>
          </w:p>
        </w:tc>
        <w:tc>
          <w:tcPr>
            <w:tcW w:w="772" w:type="dxa"/>
            <w:noWrap/>
            <w:vAlign w:val="bottom"/>
            <w:hideMark/>
          </w:tcPr>
          <w:p w14:paraId="22E37687"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46740E4B" w14:textId="77777777" w:rsidTr="007D2699">
        <w:trPr>
          <w:trHeight w:val="322"/>
        </w:trPr>
        <w:tc>
          <w:tcPr>
            <w:tcW w:w="999" w:type="dxa"/>
            <w:noWrap/>
            <w:vAlign w:val="bottom"/>
            <w:hideMark/>
          </w:tcPr>
          <w:p w14:paraId="3B28A20D"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20DDA152"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7.4</w:t>
            </w:r>
          </w:p>
        </w:tc>
        <w:tc>
          <w:tcPr>
            <w:tcW w:w="6237" w:type="dxa"/>
            <w:noWrap/>
            <w:vAlign w:val="bottom"/>
            <w:hideMark/>
          </w:tcPr>
          <w:p w14:paraId="71827D09"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PCA Eigenvectors and Diagnostics of the IEQ Dimensions</w:t>
            </w:r>
          </w:p>
        </w:tc>
        <w:tc>
          <w:tcPr>
            <w:tcW w:w="772" w:type="dxa"/>
            <w:noWrap/>
            <w:vAlign w:val="bottom"/>
            <w:hideMark/>
          </w:tcPr>
          <w:p w14:paraId="3603AF97"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0352BBD0" w14:textId="77777777" w:rsidTr="007D2699">
        <w:trPr>
          <w:trHeight w:val="322"/>
        </w:trPr>
        <w:tc>
          <w:tcPr>
            <w:tcW w:w="999" w:type="dxa"/>
            <w:noWrap/>
            <w:vAlign w:val="bottom"/>
            <w:hideMark/>
          </w:tcPr>
          <w:p w14:paraId="6D55364D"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791106C1"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7.5</w:t>
            </w:r>
          </w:p>
        </w:tc>
        <w:tc>
          <w:tcPr>
            <w:tcW w:w="6237" w:type="dxa"/>
            <w:noWrap/>
            <w:vAlign w:val="bottom"/>
            <w:hideMark/>
          </w:tcPr>
          <w:p w14:paraId="1D3D11C7"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Sample and Country Composition</w:t>
            </w:r>
          </w:p>
        </w:tc>
        <w:tc>
          <w:tcPr>
            <w:tcW w:w="772" w:type="dxa"/>
            <w:noWrap/>
            <w:vAlign w:val="bottom"/>
            <w:hideMark/>
          </w:tcPr>
          <w:p w14:paraId="4ADFB5EA"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091D1069" w14:textId="77777777" w:rsidTr="007D2699">
        <w:trPr>
          <w:trHeight w:val="322"/>
        </w:trPr>
        <w:tc>
          <w:tcPr>
            <w:tcW w:w="999" w:type="dxa"/>
            <w:noWrap/>
            <w:vAlign w:val="bottom"/>
            <w:hideMark/>
          </w:tcPr>
          <w:p w14:paraId="17FBB9F6"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2F19C9F8"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7.6</w:t>
            </w:r>
          </w:p>
        </w:tc>
        <w:tc>
          <w:tcPr>
            <w:tcW w:w="6237" w:type="dxa"/>
            <w:noWrap/>
            <w:vAlign w:val="bottom"/>
            <w:hideMark/>
          </w:tcPr>
          <w:p w14:paraId="0B65F109"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Industry Classification Based on CMS Risk and Labour–Capital Intensity</w:t>
            </w:r>
          </w:p>
        </w:tc>
        <w:tc>
          <w:tcPr>
            <w:tcW w:w="772" w:type="dxa"/>
            <w:noWrap/>
            <w:vAlign w:val="bottom"/>
            <w:hideMark/>
          </w:tcPr>
          <w:p w14:paraId="60DC93C0"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7C082F8A" w14:textId="77777777" w:rsidTr="007D2699">
        <w:trPr>
          <w:trHeight w:val="322"/>
        </w:trPr>
        <w:tc>
          <w:tcPr>
            <w:tcW w:w="999" w:type="dxa"/>
            <w:noWrap/>
            <w:vAlign w:val="bottom"/>
            <w:hideMark/>
          </w:tcPr>
          <w:p w14:paraId="3B0B2F96"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372D641C"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7.7</w:t>
            </w:r>
          </w:p>
        </w:tc>
        <w:tc>
          <w:tcPr>
            <w:tcW w:w="6237" w:type="dxa"/>
            <w:noWrap/>
            <w:vAlign w:val="bottom"/>
            <w:hideMark/>
          </w:tcPr>
          <w:p w14:paraId="63665F1C"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Definitions of the Components of ACMS</w:t>
            </w:r>
          </w:p>
        </w:tc>
        <w:tc>
          <w:tcPr>
            <w:tcW w:w="772" w:type="dxa"/>
            <w:noWrap/>
            <w:vAlign w:val="bottom"/>
            <w:hideMark/>
          </w:tcPr>
          <w:p w14:paraId="695BA650"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10C09F52" w14:textId="77777777" w:rsidTr="007D2699">
        <w:trPr>
          <w:trHeight w:val="322"/>
        </w:trPr>
        <w:tc>
          <w:tcPr>
            <w:tcW w:w="999" w:type="dxa"/>
            <w:noWrap/>
            <w:vAlign w:val="bottom"/>
            <w:hideMark/>
          </w:tcPr>
          <w:p w14:paraId="6114B139"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71DFCDB7"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7.8</w:t>
            </w:r>
          </w:p>
        </w:tc>
        <w:tc>
          <w:tcPr>
            <w:tcW w:w="6237" w:type="dxa"/>
            <w:noWrap/>
            <w:vAlign w:val="bottom"/>
            <w:hideMark/>
          </w:tcPr>
          <w:p w14:paraId="31E3E8E8"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Justification for Sample Selection for Meso-Level Disclosure Analysis</w:t>
            </w:r>
          </w:p>
        </w:tc>
        <w:tc>
          <w:tcPr>
            <w:tcW w:w="772" w:type="dxa"/>
            <w:noWrap/>
            <w:vAlign w:val="bottom"/>
            <w:hideMark/>
          </w:tcPr>
          <w:p w14:paraId="0F6AD6D7"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35CE91C4" w14:textId="77777777" w:rsidTr="007D2699">
        <w:trPr>
          <w:trHeight w:val="322"/>
        </w:trPr>
        <w:tc>
          <w:tcPr>
            <w:tcW w:w="999" w:type="dxa"/>
            <w:noWrap/>
            <w:vAlign w:val="bottom"/>
            <w:hideMark/>
          </w:tcPr>
          <w:p w14:paraId="48ACBC85"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25C908D8"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7.9</w:t>
            </w:r>
          </w:p>
        </w:tc>
        <w:tc>
          <w:tcPr>
            <w:tcW w:w="6237" w:type="dxa"/>
            <w:noWrap/>
            <w:vAlign w:val="bottom"/>
            <w:hideMark/>
          </w:tcPr>
          <w:p w14:paraId="2C6507BC"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Rationale for Selecting Sri Lanka’s Apparel and Textile Industry as the Study Context</w:t>
            </w:r>
          </w:p>
        </w:tc>
        <w:tc>
          <w:tcPr>
            <w:tcW w:w="772" w:type="dxa"/>
            <w:noWrap/>
            <w:vAlign w:val="bottom"/>
            <w:hideMark/>
          </w:tcPr>
          <w:p w14:paraId="3AE672CA"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559EA62F" w14:textId="77777777" w:rsidTr="007D2699">
        <w:trPr>
          <w:trHeight w:val="322"/>
        </w:trPr>
        <w:tc>
          <w:tcPr>
            <w:tcW w:w="999" w:type="dxa"/>
            <w:noWrap/>
            <w:vAlign w:val="bottom"/>
            <w:hideMark/>
          </w:tcPr>
          <w:p w14:paraId="50BAD2A3"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2A2F872A"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7.10</w:t>
            </w:r>
          </w:p>
        </w:tc>
        <w:tc>
          <w:tcPr>
            <w:tcW w:w="6237" w:type="dxa"/>
            <w:noWrap/>
            <w:vAlign w:val="bottom"/>
            <w:hideMark/>
          </w:tcPr>
          <w:p w14:paraId="7C6128D3"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Thematic Analysis Process</w:t>
            </w:r>
          </w:p>
        </w:tc>
        <w:tc>
          <w:tcPr>
            <w:tcW w:w="772" w:type="dxa"/>
            <w:noWrap/>
            <w:vAlign w:val="bottom"/>
            <w:hideMark/>
          </w:tcPr>
          <w:p w14:paraId="36682D4D"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7D2699" w:rsidRPr="0053182F" w14:paraId="70B693D2" w14:textId="77777777" w:rsidTr="007D2699">
        <w:trPr>
          <w:trHeight w:val="322"/>
        </w:trPr>
        <w:tc>
          <w:tcPr>
            <w:tcW w:w="999" w:type="dxa"/>
            <w:noWrap/>
            <w:vAlign w:val="bottom"/>
            <w:hideMark/>
          </w:tcPr>
          <w:p w14:paraId="425A304A"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18FB7135" w14:textId="77777777" w:rsidR="009E46A0" w:rsidRPr="0053182F" w:rsidRDefault="009E46A0" w:rsidP="00374F1E">
            <w:pPr>
              <w:spacing w:after="0" w:line="240" w:lineRule="auto"/>
              <w:jc w:val="center"/>
              <w:rPr>
                <w:rFonts w:eastAsia="Times New Roman"/>
                <w:kern w:val="0"/>
                <w:sz w:val="22"/>
                <w:szCs w:val="22"/>
                <w:lang w:eastAsia="en-GB"/>
                <w14:ligatures w14:val="none"/>
              </w:rPr>
            </w:pPr>
            <w:r w:rsidRPr="0053182F">
              <w:rPr>
                <w:rFonts w:eastAsia="Times New Roman"/>
                <w:kern w:val="0"/>
                <w:sz w:val="22"/>
                <w:szCs w:val="22"/>
                <w:lang w:eastAsia="en-GB"/>
                <w14:ligatures w14:val="none"/>
              </w:rPr>
              <w:t>Table 7.11</w:t>
            </w:r>
          </w:p>
        </w:tc>
        <w:tc>
          <w:tcPr>
            <w:tcW w:w="6237" w:type="dxa"/>
            <w:noWrap/>
            <w:vAlign w:val="bottom"/>
            <w:hideMark/>
          </w:tcPr>
          <w:p w14:paraId="0132CE6E"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Methodological Limitations</w:t>
            </w:r>
          </w:p>
        </w:tc>
        <w:tc>
          <w:tcPr>
            <w:tcW w:w="772" w:type="dxa"/>
            <w:noWrap/>
            <w:vAlign w:val="bottom"/>
            <w:hideMark/>
          </w:tcPr>
          <w:p w14:paraId="15261314" w14:textId="77777777" w:rsidR="009E46A0" w:rsidRPr="0053182F" w:rsidRDefault="009E46A0" w:rsidP="009E46A0">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bl>
    <w:p w14:paraId="695B4A74" w14:textId="77777777" w:rsidR="00215F4D" w:rsidRPr="0053182F" w:rsidRDefault="00215F4D" w:rsidP="00215F4D"/>
    <w:p w14:paraId="4A246AFB" w14:textId="77777777" w:rsidR="00215F4D" w:rsidRPr="0053182F" w:rsidRDefault="00215F4D" w:rsidP="00215F4D"/>
    <w:p w14:paraId="27427FBC" w14:textId="77777777" w:rsidR="00215F4D" w:rsidRPr="0053182F" w:rsidRDefault="00215F4D" w:rsidP="00215F4D"/>
    <w:p w14:paraId="2E73532C" w14:textId="77777777" w:rsidR="008019D1" w:rsidRPr="0053182F" w:rsidRDefault="008019D1" w:rsidP="00215F4D">
      <w:pPr>
        <w:spacing w:after="0" w:line="240" w:lineRule="auto"/>
        <w:rPr>
          <w:rFonts w:eastAsia="Times New Roman"/>
          <w:b/>
          <w:bCs/>
          <w:kern w:val="0"/>
          <w:sz w:val="36"/>
          <w:szCs w:val="36"/>
          <w:lang w:eastAsia="en-GB"/>
          <w14:ligatures w14:val="none"/>
        </w:rPr>
      </w:pPr>
    </w:p>
    <w:p w14:paraId="5BDE9EF4" w14:textId="77777777" w:rsidR="008019D1" w:rsidRPr="0053182F" w:rsidRDefault="008019D1" w:rsidP="00215F4D">
      <w:pPr>
        <w:spacing w:after="0" w:line="240" w:lineRule="auto"/>
        <w:rPr>
          <w:rFonts w:eastAsia="Times New Roman"/>
          <w:b/>
          <w:bCs/>
          <w:kern w:val="0"/>
          <w:sz w:val="36"/>
          <w:szCs w:val="36"/>
          <w:lang w:eastAsia="en-GB"/>
          <w14:ligatures w14:val="none"/>
        </w:rPr>
      </w:pPr>
    </w:p>
    <w:p w14:paraId="78573DEE" w14:textId="194A8BB7" w:rsidR="00215F4D" w:rsidRPr="0053182F" w:rsidRDefault="00215F4D" w:rsidP="00215F4D">
      <w:pPr>
        <w:spacing w:after="0" w:line="240" w:lineRule="auto"/>
        <w:rPr>
          <w:rFonts w:eastAsia="Times New Roman"/>
          <w:b/>
          <w:bCs/>
          <w:kern w:val="0"/>
          <w:sz w:val="36"/>
          <w:szCs w:val="36"/>
          <w:lang w:eastAsia="en-GB"/>
          <w14:ligatures w14:val="none"/>
        </w:rPr>
      </w:pPr>
      <w:r w:rsidRPr="0053182F">
        <w:rPr>
          <w:rFonts w:eastAsia="Times New Roman"/>
          <w:b/>
          <w:bCs/>
          <w:kern w:val="0"/>
          <w:sz w:val="36"/>
          <w:szCs w:val="36"/>
          <w:lang w:eastAsia="en-GB"/>
          <w14:ligatures w14:val="none"/>
        </w:rPr>
        <w:t>LIST OF FIGURES</w:t>
      </w:r>
    </w:p>
    <w:tbl>
      <w:tblPr>
        <w:tblW w:w="8795" w:type="dxa"/>
        <w:tblBorders>
          <w:bottom w:val="single" w:sz="4" w:space="0" w:color="auto"/>
        </w:tblBorders>
        <w:tblCellMar>
          <w:top w:w="15" w:type="dxa"/>
          <w:bottom w:w="15" w:type="dxa"/>
        </w:tblCellMar>
        <w:tblLook w:val="04A0" w:firstRow="1" w:lastRow="0" w:firstColumn="1" w:lastColumn="0" w:noHBand="0" w:noVBand="1"/>
      </w:tblPr>
      <w:tblGrid>
        <w:gridCol w:w="999"/>
        <w:gridCol w:w="1269"/>
        <w:gridCol w:w="5793"/>
        <w:gridCol w:w="669"/>
        <w:gridCol w:w="65"/>
      </w:tblGrid>
      <w:tr w:rsidR="00557991" w:rsidRPr="0053182F" w14:paraId="06AA5DE5" w14:textId="77777777" w:rsidTr="007D2699">
        <w:trPr>
          <w:gridAfter w:val="1"/>
          <w:wAfter w:w="65" w:type="dxa"/>
          <w:trHeight w:val="318"/>
        </w:trPr>
        <w:tc>
          <w:tcPr>
            <w:tcW w:w="999" w:type="dxa"/>
            <w:tcBorders>
              <w:top w:val="single" w:sz="4" w:space="0" w:color="auto"/>
              <w:bottom w:val="single" w:sz="4" w:space="0" w:color="auto"/>
            </w:tcBorders>
            <w:noWrap/>
            <w:vAlign w:val="bottom"/>
            <w:hideMark/>
          </w:tcPr>
          <w:p w14:paraId="19A0CFEC" w14:textId="77777777" w:rsidR="004D5785" w:rsidRPr="0053182F" w:rsidRDefault="004D5785" w:rsidP="004D5785">
            <w:pPr>
              <w:spacing w:after="0" w:line="240" w:lineRule="auto"/>
              <w:rPr>
                <w:rFonts w:eastAsia="Times New Roman"/>
                <w:b/>
                <w:bCs/>
                <w:kern w:val="0"/>
                <w:sz w:val="22"/>
                <w:szCs w:val="22"/>
                <w:lang w:eastAsia="en-GB"/>
                <w14:ligatures w14:val="none"/>
              </w:rPr>
            </w:pPr>
            <w:r w:rsidRPr="0053182F">
              <w:rPr>
                <w:rFonts w:eastAsia="Times New Roman"/>
                <w:b/>
                <w:bCs/>
                <w:kern w:val="0"/>
                <w:sz w:val="22"/>
                <w:szCs w:val="22"/>
                <w:lang w:eastAsia="en-GB"/>
                <w14:ligatures w14:val="none"/>
              </w:rPr>
              <w:t>Chapter</w:t>
            </w:r>
          </w:p>
        </w:tc>
        <w:tc>
          <w:tcPr>
            <w:tcW w:w="1269" w:type="dxa"/>
            <w:tcBorders>
              <w:top w:val="single" w:sz="4" w:space="0" w:color="auto"/>
              <w:bottom w:val="single" w:sz="4" w:space="0" w:color="auto"/>
            </w:tcBorders>
            <w:noWrap/>
            <w:vAlign w:val="bottom"/>
            <w:hideMark/>
          </w:tcPr>
          <w:p w14:paraId="49555AD7" w14:textId="77777777" w:rsidR="004D5785" w:rsidRPr="0053182F" w:rsidRDefault="004D5785" w:rsidP="004D5785">
            <w:pPr>
              <w:spacing w:after="0" w:line="240" w:lineRule="auto"/>
              <w:rPr>
                <w:rFonts w:eastAsia="Times New Roman"/>
                <w:b/>
                <w:bCs/>
                <w:kern w:val="0"/>
                <w:sz w:val="22"/>
                <w:szCs w:val="22"/>
                <w:lang w:eastAsia="en-GB"/>
                <w14:ligatures w14:val="none"/>
              </w:rPr>
            </w:pPr>
            <w:r w:rsidRPr="0053182F">
              <w:rPr>
                <w:rFonts w:eastAsia="Times New Roman"/>
                <w:b/>
                <w:bCs/>
                <w:kern w:val="0"/>
                <w:sz w:val="22"/>
                <w:szCs w:val="22"/>
                <w:lang w:eastAsia="en-GB"/>
                <w14:ligatures w14:val="none"/>
              </w:rPr>
              <w:t>Figure No.</w:t>
            </w:r>
          </w:p>
        </w:tc>
        <w:tc>
          <w:tcPr>
            <w:tcW w:w="5793" w:type="dxa"/>
            <w:tcBorders>
              <w:top w:val="single" w:sz="4" w:space="0" w:color="auto"/>
              <w:bottom w:val="single" w:sz="4" w:space="0" w:color="auto"/>
            </w:tcBorders>
            <w:noWrap/>
            <w:vAlign w:val="bottom"/>
            <w:hideMark/>
          </w:tcPr>
          <w:p w14:paraId="6A8AB63B" w14:textId="77777777" w:rsidR="004D5785" w:rsidRPr="0053182F" w:rsidRDefault="004D5785" w:rsidP="004D5785">
            <w:pPr>
              <w:spacing w:after="0" w:line="240" w:lineRule="auto"/>
              <w:rPr>
                <w:rFonts w:eastAsia="Times New Roman"/>
                <w:b/>
                <w:bCs/>
                <w:kern w:val="0"/>
                <w:sz w:val="22"/>
                <w:szCs w:val="22"/>
                <w:lang w:eastAsia="en-GB"/>
                <w14:ligatures w14:val="none"/>
              </w:rPr>
            </w:pPr>
            <w:r w:rsidRPr="0053182F">
              <w:rPr>
                <w:rFonts w:eastAsia="Times New Roman"/>
                <w:b/>
                <w:bCs/>
                <w:kern w:val="0"/>
                <w:sz w:val="22"/>
                <w:szCs w:val="22"/>
                <w:lang w:eastAsia="en-GB"/>
                <w14:ligatures w14:val="none"/>
              </w:rPr>
              <w:t>Title</w:t>
            </w:r>
          </w:p>
        </w:tc>
        <w:tc>
          <w:tcPr>
            <w:tcW w:w="669" w:type="dxa"/>
            <w:tcBorders>
              <w:top w:val="single" w:sz="4" w:space="0" w:color="auto"/>
              <w:bottom w:val="single" w:sz="4" w:space="0" w:color="auto"/>
            </w:tcBorders>
            <w:noWrap/>
            <w:vAlign w:val="bottom"/>
            <w:hideMark/>
          </w:tcPr>
          <w:p w14:paraId="667DE440" w14:textId="77777777" w:rsidR="004D5785" w:rsidRPr="0053182F" w:rsidRDefault="004D5785" w:rsidP="004D5785">
            <w:pPr>
              <w:spacing w:after="0" w:line="240" w:lineRule="auto"/>
              <w:rPr>
                <w:rFonts w:eastAsia="Times New Roman"/>
                <w:b/>
                <w:bCs/>
                <w:kern w:val="0"/>
                <w:sz w:val="22"/>
                <w:szCs w:val="22"/>
                <w:lang w:eastAsia="en-GB"/>
                <w14:ligatures w14:val="none"/>
              </w:rPr>
            </w:pPr>
            <w:r w:rsidRPr="0053182F">
              <w:rPr>
                <w:rFonts w:eastAsia="Times New Roman"/>
                <w:b/>
                <w:bCs/>
                <w:kern w:val="0"/>
                <w:sz w:val="22"/>
                <w:szCs w:val="22"/>
                <w:lang w:eastAsia="en-GB"/>
                <w14:ligatures w14:val="none"/>
              </w:rPr>
              <w:t>Page</w:t>
            </w:r>
          </w:p>
        </w:tc>
      </w:tr>
      <w:tr w:rsidR="00AF6FD0" w:rsidRPr="0053182F" w14:paraId="7C955153" w14:textId="77777777" w:rsidTr="007D2699">
        <w:trPr>
          <w:trHeight w:val="318"/>
        </w:trPr>
        <w:tc>
          <w:tcPr>
            <w:tcW w:w="999" w:type="dxa"/>
            <w:tcBorders>
              <w:top w:val="single" w:sz="4" w:space="0" w:color="auto"/>
            </w:tcBorders>
            <w:noWrap/>
            <w:vAlign w:val="bottom"/>
            <w:hideMark/>
          </w:tcPr>
          <w:p w14:paraId="50E0CA38"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1</w:t>
            </w:r>
          </w:p>
        </w:tc>
        <w:tc>
          <w:tcPr>
            <w:tcW w:w="1269" w:type="dxa"/>
            <w:tcBorders>
              <w:top w:val="single" w:sz="4" w:space="0" w:color="auto"/>
            </w:tcBorders>
            <w:noWrap/>
            <w:vAlign w:val="bottom"/>
            <w:hideMark/>
          </w:tcPr>
          <w:p w14:paraId="5ABAB0B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w:t>
            </w:r>
          </w:p>
        </w:tc>
        <w:tc>
          <w:tcPr>
            <w:tcW w:w="5793" w:type="dxa"/>
            <w:tcBorders>
              <w:top w:val="single" w:sz="4" w:space="0" w:color="auto"/>
            </w:tcBorders>
            <w:noWrap/>
            <w:vAlign w:val="bottom"/>
            <w:hideMark/>
          </w:tcPr>
          <w:p w14:paraId="471B402A"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No figures</w:t>
            </w:r>
          </w:p>
        </w:tc>
        <w:tc>
          <w:tcPr>
            <w:tcW w:w="734" w:type="dxa"/>
            <w:gridSpan w:val="2"/>
            <w:tcBorders>
              <w:top w:val="single" w:sz="4" w:space="0" w:color="auto"/>
            </w:tcBorders>
            <w:noWrap/>
            <w:vAlign w:val="bottom"/>
            <w:hideMark/>
          </w:tcPr>
          <w:p w14:paraId="7B796E9C"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w:t>
            </w:r>
          </w:p>
        </w:tc>
      </w:tr>
      <w:tr w:rsidR="00AF6FD0" w:rsidRPr="0053182F" w14:paraId="6807B2DF" w14:textId="77777777" w:rsidTr="007D2699">
        <w:trPr>
          <w:trHeight w:val="318"/>
        </w:trPr>
        <w:tc>
          <w:tcPr>
            <w:tcW w:w="999" w:type="dxa"/>
            <w:noWrap/>
            <w:vAlign w:val="bottom"/>
            <w:hideMark/>
          </w:tcPr>
          <w:p w14:paraId="075DEAB2"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390166C9"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2.1</w:t>
            </w:r>
          </w:p>
        </w:tc>
        <w:tc>
          <w:tcPr>
            <w:tcW w:w="5793" w:type="dxa"/>
            <w:noWrap/>
            <w:vAlign w:val="bottom"/>
            <w:hideMark/>
          </w:tcPr>
          <w:p w14:paraId="05D108BC"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Prevalence of Modern Slavery</w:t>
            </w:r>
          </w:p>
        </w:tc>
        <w:tc>
          <w:tcPr>
            <w:tcW w:w="734" w:type="dxa"/>
            <w:gridSpan w:val="2"/>
            <w:noWrap/>
            <w:vAlign w:val="bottom"/>
            <w:hideMark/>
          </w:tcPr>
          <w:p w14:paraId="3F48D45C"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53BB8488" w14:textId="77777777" w:rsidTr="007D2699">
        <w:trPr>
          <w:trHeight w:val="318"/>
        </w:trPr>
        <w:tc>
          <w:tcPr>
            <w:tcW w:w="999" w:type="dxa"/>
            <w:noWrap/>
            <w:vAlign w:val="bottom"/>
            <w:hideMark/>
          </w:tcPr>
          <w:p w14:paraId="0A6612F8"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08F27489"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2.2</w:t>
            </w:r>
          </w:p>
        </w:tc>
        <w:tc>
          <w:tcPr>
            <w:tcW w:w="5793" w:type="dxa"/>
            <w:noWrap/>
            <w:vAlign w:val="bottom"/>
            <w:hideMark/>
          </w:tcPr>
          <w:p w14:paraId="586D6756"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Elements of Modern Slavery</w:t>
            </w:r>
          </w:p>
        </w:tc>
        <w:tc>
          <w:tcPr>
            <w:tcW w:w="734" w:type="dxa"/>
            <w:gridSpan w:val="2"/>
            <w:noWrap/>
            <w:vAlign w:val="bottom"/>
            <w:hideMark/>
          </w:tcPr>
          <w:p w14:paraId="78223797"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430B39A3" w14:textId="77777777" w:rsidTr="007D2699">
        <w:trPr>
          <w:trHeight w:val="318"/>
        </w:trPr>
        <w:tc>
          <w:tcPr>
            <w:tcW w:w="999" w:type="dxa"/>
            <w:noWrap/>
            <w:vAlign w:val="bottom"/>
            <w:hideMark/>
          </w:tcPr>
          <w:p w14:paraId="5BD825CE"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0E2F25DB"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2.3</w:t>
            </w:r>
          </w:p>
        </w:tc>
        <w:tc>
          <w:tcPr>
            <w:tcW w:w="5793" w:type="dxa"/>
            <w:noWrap/>
            <w:vAlign w:val="bottom"/>
            <w:hideMark/>
          </w:tcPr>
          <w:p w14:paraId="41CC0A1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Forced Labour Classification</w:t>
            </w:r>
          </w:p>
        </w:tc>
        <w:tc>
          <w:tcPr>
            <w:tcW w:w="734" w:type="dxa"/>
            <w:gridSpan w:val="2"/>
            <w:noWrap/>
            <w:vAlign w:val="bottom"/>
            <w:hideMark/>
          </w:tcPr>
          <w:p w14:paraId="4BACE648"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3A86EA47" w14:textId="77777777" w:rsidTr="007D2699">
        <w:trPr>
          <w:trHeight w:val="318"/>
        </w:trPr>
        <w:tc>
          <w:tcPr>
            <w:tcW w:w="999" w:type="dxa"/>
            <w:noWrap/>
            <w:vAlign w:val="bottom"/>
            <w:hideMark/>
          </w:tcPr>
          <w:p w14:paraId="20AF081F"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75D741EF"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2.4</w:t>
            </w:r>
          </w:p>
        </w:tc>
        <w:tc>
          <w:tcPr>
            <w:tcW w:w="5793" w:type="dxa"/>
            <w:noWrap/>
            <w:vAlign w:val="bottom"/>
            <w:hideMark/>
          </w:tcPr>
          <w:p w14:paraId="5E096243"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State-Imposed Forced Labour</w:t>
            </w:r>
          </w:p>
        </w:tc>
        <w:tc>
          <w:tcPr>
            <w:tcW w:w="734" w:type="dxa"/>
            <w:gridSpan w:val="2"/>
            <w:noWrap/>
            <w:vAlign w:val="bottom"/>
            <w:hideMark/>
          </w:tcPr>
          <w:p w14:paraId="290B88AC"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09B6D05E" w14:textId="77777777" w:rsidTr="007D2699">
        <w:trPr>
          <w:trHeight w:val="318"/>
        </w:trPr>
        <w:tc>
          <w:tcPr>
            <w:tcW w:w="999" w:type="dxa"/>
            <w:noWrap/>
            <w:vAlign w:val="bottom"/>
            <w:hideMark/>
          </w:tcPr>
          <w:p w14:paraId="64D67DAF"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13A07EE4"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2.5</w:t>
            </w:r>
          </w:p>
        </w:tc>
        <w:tc>
          <w:tcPr>
            <w:tcW w:w="5793" w:type="dxa"/>
            <w:noWrap/>
            <w:vAlign w:val="bottom"/>
            <w:hideMark/>
          </w:tcPr>
          <w:p w14:paraId="0F309BEA"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Global Progress Against Child Labour</w:t>
            </w:r>
          </w:p>
        </w:tc>
        <w:tc>
          <w:tcPr>
            <w:tcW w:w="734" w:type="dxa"/>
            <w:gridSpan w:val="2"/>
            <w:noWrap/>
            <w:vAlign w:val="bottom"/>
            <w:hideMark/>
          </w:tcPr>
          <w:p w14:paraId="56DA247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69C6127D" w14:textId="77777777" w:rsidTr="007D2699">
        <w:trPr>
          <w:trHeight w:val="318"/>
        </w:trPr>
        <w:tc>
          <w:tcPr>
            <w:tcW w:w="999" w:type="dxa"/>
            <w:noWrap/>
            <w:vAlign w:val="bottom"/>
            <w:hideMark/>
          </w:tcPr>
          <w:p w14:paraId="45644A6A"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33879B0D"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2.6</w:t>
            </w:r>
          </w:p>
        </w:tc>
        <w:tc>
          <w:tcPr>
            <w:tcW w:w="5793" w:type="dxa"/>
            <w:noWrap/>
            <w:vAlign w:val="bottom"/>
            <w:hideMark/>
          </w:tcPr>
          <w:p w14:paraId="745413B1"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Regional Patterns of Child Labour</w:t>
            </w:r>
          </w:p>
        </w:tc>
        <w:tc>
          <w:tcPr>
            <w:tcW w:w="734" w:type="dxa"/>
            <w:gridSpan w:val="2"/>
            <w:noWrap/>
            <w:vAlign w:val="bottom"/>
            <w:hideMark/>
          </w:tcPr>
          <w:p w14:paraId="58846290"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1E96A03E" w14:textId="77777777" w:rsidTr="007D2699">
        <w:trPr>
          <w:trHeight w:val="318"/>
        </w:trPr>
        <w:tc>
          <w:tcPr>
            <w:tcW w:w="999" w:type="dxa"/>
            <w:noWrap/>
            <w:vAlign w:val="bottom"/>
            <w:hideMark/>
          </w:tcPr>
          <w:p w14:paraId="6EC03FFE"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6063D368"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2.7</w:t>
            </w:r>
          </w:p>
        </w:tc>
        <w:tc>
          <w:tcPr>
            <w:tcW w:w="5793" w:type="dxa"/>
            <w:noWrap/>
            <w:vAlign w:val="bottom"/>
            <w:hideMark/>
          </w:tcPr>
          <w:p w14:paraId="70B2186A"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Evolution from Classical Slavery to Modern Slavery in Global Supply Chains</w:t>
            </w:r>
          </w:p>
        </w:tc>
        <w:tc>
          <w:tcPr>
            <w:tcW w:w="734" w:type="dxa"/>
            <w:gridSpan w:val="2"/>
            <w:noWrap/>
            <w:vAlign w:val="bottom"/>
            <w:hideMark/>
          </w:tcPr>
          <w:p w14:paraId="7B5FA054"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74ECACC8" w14:textId="77777777" w:rsidTr="007D2699">
        <w:trPr>
          <w:trHeight w:val="318"/>
        </w:trPr>
        <w:tc>
          <w:tcPr>
            <w:tcW w:w="999" w:type="dxa"/>
            <w:noWrap/>
            <w:vAlign w:val="bottom"/>
            <w:hideMark/>
          </w:tcPr>
          <w:p w14:paraId="138E2964"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4FD6A403"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2.8</w:t>
            </w:r>
          </w:p>
        </w:tc>
        <w:tc>
          <w:tcPr>
            <w:tcW w:w="5793" w:type="dxa"/>
            <w:noWrap/>
            <w:vAlign w:val="bottom"/>
            <w:hideMark/>
          </w:tcPr>
          <w:p w14:paraId="785EFA40"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Timeline of Modern Slavery Regulatory Development</w:t>
            </w:r>
          </w:p>
        </w:tc>
        <w:tc>
          <w:tcPr>
            <w:tcW w:w="734" w:type="dxa"/>
            <w:gridSpan w:val="2"/>
            <w:noWrap/>
            <w:vAlign w:val="bottom"/>
            <w:hideMark/>
          </w:tcPr>
          <w:p w14:paraId="6EB3706B"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3AC18A83" w14:textId="77777777" w:rsidTr="007D2699">
        <w:trPr>
          <w:trHeight w:val="318"/>
        </w:trPr>
        <w:tc>
          <w:tcPr>
            <w:tcW w:w="999" w:type="dxa"/>
            <w:noWrap/>
            <w:vAlign w:val="bottom"/>
            <w:hideMark/>
          </w:tcPr>
          <w:p w14:paraId="36AD74DC"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2</w:t>
            </w:r>
          </w:p>
        </w:tc>
        <w:tc>
          <w:tcPr>
            <w:tcW w:w="1269" w:type="dxa"/>
            <w:noWrap/>
            <w:vAlign w:val="bottom"/>
            <w:hideMark/>
          </w:tcPr>
          <w:p w14:paraId="3768EDAB"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2.9</w:t>
            </w:r>
          </w:p>
        </w:tc>
        <w:tc>
          <w:tcPr>
            <w:tcW w:w="5793" w:type="dxa"/>
            <w:noWrap/>
            <w:vAlign w:val="bottom"/>
            <w:hideMark/>
          </w:tcPr>
          <w:p w14:paraId="4F72997A"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Continuum of Exploitation in Global Supply Chains</w:t>
            </w:r>
          </w:p>
        </w:tc>
        <w:tc>
          <w:tcPr>
            <w:tcW w:w="734" w:type="dxa"/>
            <w:gridSpan w:val="2"/>
            <w:noWrap/>
            <w:vAlign w:val="bottom"/>
            <w:hideMark/>
          </w:tcPr>
          <w:p w14:paraId="7A76CDC9"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1D03E9E6" w14:textId="77777777" w:rsidTr="007D2699">
        <w:trPr>
          <w:trHeight w:val="318"/>
        </w:trPr>
        <w:tc>
          <w:tcPr>
            <w:tcW w:w="999" w:type="dxa"/>
            <w:noWrap/>
            <w:vAlign w:val="bottom"/>
            <w:hideMark/>
          </w:tcPr>
          <w:p w14:paraId="2DEB8C0C"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3</w:t>
            </w:r>
          </w:p>
        </w:tc>
        <w:tc>
          <w:tcPr>
            <w:tcW w:w="1269" w:type="dxa"/>
            <w:noWrap/>
            <w:vAlign w:val="bottom"/>
            <w:hideMark/>
          </w:tcPr>
          <w:p w14:paraId="406874A3"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3.1</w:t>
            </w:r>
          </w:p>
        </w:tc>
        <w:tc>
          <w:tcPr>
            <w:tcW w:w="5793" w:type="dxa"/>
            <w:noWrap/>
            <w:vAlign w:val="bottom"/>
            <w:hideMark/>
          </w:tcPr>
          <w:p w14:paraId="024F679C"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Matrix of the Two Dimensions of Materiality</w:t>
            </w:r>
          </w:p>
        </w:tc>
        <w:tc>
          <w:tcPr>
            <w:tcW w:w="734" w:type="dxa"/>
            <w:gridSpan w:val="2"/>
            <w:noWrap/>
            <w:vAlign w:val="bottom"/>
            <w:hideMark/>
          </w:tcPr>
          <w:p w14:paraId="3B468FB5"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478E9260" w14:textId="77777777" w:rsidTr="007D2699">
        <w:trPr>
          <w:trHeight w:val="318"/>
        </w:trPr>
        <w:tc>
          <w:tcPr>
            <w:tcW w:w="999" w:type="dxa"/>
            <w:noWrap/>
            <w:vAlign w:val="bottom"/>
            <w:hideMark/>
          </w:tcPr>
          <w:p w14:paraId="3A30F08D"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3</w:t>
            </w:r>
          </w:p>
        </w:tc>
        <w:tc>
          <w:tcPr>
            <w:tcW w:w="1269" w:type="dxa"/>
            <w:noWrap/>
            <w:vAlign w:val="bottom"/>
            <w:hideMark/>
          </w:tcPr>
          <w:p w14:paraId="02891C74"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3.2</w:t>
            </w:r>
          </w:p>
        </w:tc>
        <w:tc>
          <w:tcPr>
            <w:tcW w:w="5793" w:type="dxa"/>
            <w:noWrap/>
            <w:vAlign w:val="bottom"/>
            <w:hideMark/>
          </w:tcPr>
          <w:p w14:paraId="61154FB4"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Export Performance Over the Last Ten Years</w:t>
            </w:r>
          </w:p>
        </w:tc>
        <w:tc>
          <w:tcPr>
            <w:tcW w:w="734" w:type="dxa"/>
            <w:gridSpan w:val="2"/>
            <w:noWrap/>
            <w:vAlign w:val="bottom"/>
            <w:hideMark/>
          </w:tcPr>
          <w:p w14:paraId="099F83C3"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6F138B2F" w14:textId="77777777" w:rsidTr="007D2699">
        <w:trPr>
          <w:trHeight w:val="318"/>
        </w:trPr>
        <w:tc>
          <w:tcPr>
            <w:tcW w:w="999" w:type="dxa"/>
            <w:noWrap/>
            <w:vAlign w:val="bottom"/>
            <w:hideMark/>
          </w:tcPr>
          <w:p w14:paraId="4392521A"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3</w:t>
            </w:r>
          </w:p>
        </w:tc>
        <w:tc>
          <w:tcPr>
            <w:tcW w:w="1269" w:type="dxa"/>
            <w:noWrap/>
            <w:vAlign w:val="bottom"/>
            <w:hideMark/>
          </w:tcPr>
          <w:p w14:paraId="5F64987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3.3</w:t>
            </w:r>
          </w:p>
        </w:tc>
        <w:tc>
          <w:tcPr>
            <w:tcW w:w="5793" w:type="dxa"/>
            <w:noWrap/>
            <w:vAlign w:val="bottom"/>
            <w:hideMark/>
          </w:tcPr>
          <w:p w14:paraId="313B0CF0"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Sri Lanka’s Major Apparel Export Markets</w:t>
            </w:r>
          </w:p>
        </w:tc>
        <w:tc>
          <w:tcPr>
            <w:tcW w:w="734" w:type="dxa"/>
            <w:gridSpan w:val="2"/>
            <w:noWrap/>
            <w:vAlign w:val="bottom"/>
            <w:hideMark/>
          </w:tcPr>
          <w:p w14:paraId="416C33FF"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29BE8CB3" w14:textId="77777777" w:rsidTr="007D2699">
        <w:trPr>
          <w:trHeight w:val="318"/>
        </w:trPr>
        <w:tc>
          <w:tcPr>
            <w:tcW w:w="999" w:type="dxa"/>
            <w:noWrap/>
            <w:vAlign w:val="bottom"/>
            <w:hideMark/>
          </w:tcPr>
          <w:p w14:paraId="5BCF8A33"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4</w:t>
            </w:r>
          </w:p>
        </w:tc>
        <w:tc>
          <w:tcPr>
            <w:tcW w:w="1269" w:type="dxa"/>
            <w:noWrap/>
            <w:vAlign w:val="bottom"/>
            <w:hideMark/>
          </w:tcPr>
          <w:p w14:paraId="43F5B7B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4.1</w:t>
            </w:r>
          </w:p>
        </w:tc>
        <w:tc>
          <w:tcPr>
            <w:tcW w:w="5793" w:type="dxa"/>
            <w:noWrap/>
            <w:vAlign w:val="bottom"/>
            <w:hideMark/>
          </w:tcPr>
          <w:p w14:paraId="4496DF78"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Four Paradigms for the Analysis of Social Theory</w:t>
            </w:r>
          </w:p>
        </w:tc>
        <w:tc>
          <w:tcPr>
            <w:tcW w:w="734" w:type="dxa"/>
            <w:gridSpan w:val="2"/>
            <w:noWrap/>
            <w:vAlign w:val="bottom"/>
            <w:hideMark/>
          </w:tcPr>
          <w:p w14:paraId="6B07EA90"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3EBA0077" w14:textId="77777777" w:rsidTr="007D2699">
        <w:trPr>
          <w:trHeight w:val="318"/>
        </w:trPr>
        <w:tc>
          <w:tcPr>
            <w:tcW w:w="999" w:type="dxa"/>
            <w:noWrap/>
            <w:vAlign w:val="bottom"/>
            <w:hideMark/>
          </w:tcPr>
          <w:p w14:paraId="0E288892"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4</w:t>
            </w:r>
          </w:p>
        </w:tc>
        <w:tc>
          <w:tcPr>
            <w:tcW w:w="1269" w:type="dxa"/>
            <w:noWrap/>
            <w:vAlign w:val="bottom"/>
            <w:hideMark/>
          </w:tcPr>
          <w:p w14:paraId="440BFED6"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4.2</w:t>
            </w:r>
          </w:p>
        </w:tc>
        <w:tc>
          <w:tcPr>
            <w:tcW w:w="5793" w:type="dxa"/>
            <w:noWrap/>
            <w:vAlign w:val="bottom"/>
            <w:hideMark/>
          </w:tcPr>
          <w:p w14:paraId="1B3C419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Neo-Institutional Theoretical Framework</w:t>
            </w:r>
          </w:p>
        </w:tc>
        <w:tc>
          <w:tcPr>
            <w:tcW w:w="734" w:type="dxa"/>
            <w:gridSpan w:val="2"/>
            <w:noWrap/>
            <w:vAlign w:val="bottom"/>
            <w:hideMark/>
          </w:tcPr>
          <w:p w14:paraId="71AE171F"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1821DAA8" w14:textId="77777777" w:rsidTr="007D2699">
        <w:trPr>
          <w:trHeight w:val="318"/>
        </w:trPr>
        <w:tc>
          <w:tcPr>
            <w:tcW w:w="999" w:type="dxa"/>
            <w:noWrap/>
            <w:vAlign w:val="bottom"/>
            <w:hideMark/>
          </w:tcPr>
          <w:p w14:paraId="00B0A6FB"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4</w:t>
            </w:r>
          </w:p>
        </w:tc>
        <w:tc>
          <w:tcPr>
            <w:tcW w:w="1269" w:type="dxa"/>
            <w:noWrap/>
            <w:vAlign w:val="bottom"/>
            <w:hideMark/>
          </w:tcPr>
          <w:p w14:paraId="1402A52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4.3</w:t>
            </w:r>
          </w:p>
        </w:tc>
        <w:tc>
          <w:tcPr>
            <w:tcW w:w="5793" w:type="dxa"/>
            <w:noWrap/>
            <w:vAlign w:val="bottom"/>
            <w:hideMark/>
          </w:tcPr>
          <w:p w14:paraId="44879FD1"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Integrated Conceptual Framework</w:t>
            </w:r>
          </w:p>
        </w:tc>
        <w:tc>
          <w:tcPr>
            <w:tcW w:w="734" w:type="dxa"/>
            <w:gridSpan w:val="2"/>
            <w:noWrap/>
            <w:vAlign w:val="bottom"/>
            <w:hideMark/>
          </w:tcPr>
          <w:p w14:paraId="220AEC8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0A603D" w:rsidRPr="0053182F" w14:paraId="302EF966" w14:textId="77777777" w:rsidTr="007D2699">
        <w:trPr>
          <w:trHeight w:val="318"/>
        </w:trPr>
        <w:tc>
          <w:tcPr>
            <w:tcW w:w="999" w:type="dxa"/>
            <w:noWrap/>
            <w:vAlign w:val="bottom"/>
          </w:tcPr>
          <w:p w14:paraId="401DAD03" w14:textId="340FEDD3" w:rsidR="000A603D" w:rsidRPr="0053182F" w:rsidRDefault="000A603D"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5</w:t>
            </w:r>
          </w:p>
        </w:tc>
        <w:tc>
          <w:tcPr>
            <w:tcW w:w="1269" w:type="dxa"/>
            <w:noWrap/>
            <w:vAlign w:val="bottom"/>
          </w:tcPr>
          <w:p w14:paraId="4D83143F" w14:textId="4911344B" w:rsidR="000A603D" w:rsidRPr="0053182F" w:rsidRDefault="000A603D"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5.1</w:t>
            </w:r>
          </w:p>
        </w:tc>
        <w:tc>
          <w:tcPr>
            <w:tcW w:w="5793" w:type="dxa"/>
            <w:noWrap/>
            <w:vAlign w:val="bottom"/>
          </w:tcPr>
          <w:p w14:paraId="38AC8BA8" w14:textId="7EB8D7F7" w:rsidR="000A603D" w:rsidRPr="0053182F" w:rsidRDefault="004934EF" w:rsidP="004D5785">
            <w:pPr>
              <w:spacing w:after="0" w:line="240" w:lineRule="auto"/>
              <w:rPr>
                <w:rFonts w:eastAsia="Times New Roman"/>
                <w:kern w:val="0"/>
                <w:sz w:val="22"/>
                <w:szCs w:val="22"/>
                <w:lang w:eastAsia="en-GB"/>
                <w14:ligatures w14:val="none"/>
              </w:rPr>
            </w:pPr>
            <w:r w:rsidRPr="0053182F">
              <w:rPr>
                <w:color w:val="auto"/>
              </w:rPr>
              <w:t>Relationship between IEQ and Modern slavery</w:t>
            </w:r>
          </w:p>
        </w:tc>
        <w:tc>
          <w:tcPr>
            <w:tcW w:w="734" w:type="dxa"/>
            <w:gridSpan w:val="2"/>
            <w:noWrap/>
            <w:vAlign w:val="bottom"/>
          </w:tcPr>
          <w:p w14:paraId="4E766C8B" w14:textId="77777777" w:rsidR="000A603D" w:rsidRPr="0053182F" w:rsidRDefault="000A603D" w:rsidP="004D5785">
            <w:pPr>
              <w:spacing w:after="0" w:line="240" w:lineRule="auto"/>
              <w:rPr>
                <w:rFonts w:eastAsia="Times New Roman"/>
                <w:kern w:val="0"/>
                <w:sz w:val="22"/>
                <w:szCs w:val="22"/>
                <w:lang w:eastAsia="en-GB"/>
                <w14:ligatures w14:val="none"/>
              </w:rPr>
            </w:pPr>
          </w:p>
        </w:tc>
      </w:tr>
      <w:tr w:rsidR="00AF6FD0" w:rsidRPr="0053182F" w14:paraId="49A05360" w14:textId="77777777" w:rsidTr="007D2699">
        <w:trPr>
          <w:trHeight w:val="318"/>
        </w:trPr>
        <w:tc>
          <w:tcPr>
            <w:tcW w:w="999" w:type="dxa"/>
            <w:noWrap/>
            <w:vAlign w:val="bottom"/>
            <w:hideMark/>
          </w:tcPr>
          <w:p w14:paraId="65CE150D"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5</w:t>
            </w:r>
          </w:p>
        </w:tc>
        <w:tc>
          <w:tcPr>
            <w:tcW w:w="1269" w:type="dxa"/>
            <w:noWrap/>
            <w:vAlign w:val="bottom"/>
            <w:hideMark/>
          </w:tcPr>
          <w:p w14:paraId="2E0A9281" w14:textId="158CABE6"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5.</w:t>
            </w:r>
            <w:r w:rsidR="004934EF" w:rsidRPr="0053182F">
              <w:rPr>
                <w:rFonts w:eastAsia="Times New Roman"/>
                <w:kern w:val="0"/>
                <w:sz w:val="22"/>
                <w:szCs w:val="22"/>
                <w:lang w:eastAsia="en-GB"/>
                <w14:ligatures w14:val="none"/>
              </w:rPr>
              <w:t>2</w:t>
            </w:r>
          </w:p>
        </w:tc>
        <w:tc>
          <w:tcPr>
            <w:tcW w:w="5793" w:type="dxa"/>
            <w:noWrap/>
            <w:vAlign w:val="bottom"/>
            <w:hideMark/>
          </w:tcPr>
          <w:p w14:paraId="66A31F3A"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Research Schema</w:t>
            </w:r>
          </w:p>
        </w:tc>
        <w:tc>
          <w:tcPr>
            <w:tcW w:w="734" w:type="dxa"/>
            <w:gridSpan w:val="2"/>
            <w:noWrap/>
            <w:vAlign w:val="bottom"/>
            <w:hideMark/>
          </w:tcPr>
          <w:p w14:paraId="1AF1CF09"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2101B652" w14:textId="77777777" w:rsidTr="007D2699">
        <w:trPr>
          <w:trHeight w:val="318"/>
        </w:trPr>
        <w:tc>
          <w:tcPr>
            <w:tcW w:w="999" w:type="dxa"/>
            <w:noWrap/>
            <w:vAlign w:val="bottom"/>
            <w:hideMark/>
          </w:tcPr>
          <w:p w14:paraId="26AB722D"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6</w:t>
            </w:r>
          </w:p>
        </w:tc>
        <w:tc>
          <w:tcPr>
            <w:tcW w:w="1269" w:type="dxa"/>
            <w:noWrap/>
            <w:vAlign w:val="bottom"/>
            <w:hideMark/>
          </w:tcPr>
          <w:p w14:paraId="1A47FC32"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6.1</w:t>
            </w:r>
          </w:p>
        </w:tc>
        <w:tc>
          <w:tcPr>
            <w:tcW w:w="5793" w:type="dxa"/>
            <w:noWrap/>
            <w:vAlign w:val="bottom"/>
            <w:hideMark/>
          </w:tcPr>
          <w:p w14:paraId="56A2C774"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Four Basic Mixed Methods Designs</w:t>
            </w:r>
          </w:p>
        </w:tc>
        <w:tc>
          <w:tcPr>
            <w:tcW w:w="734" w:type="dxa"/>
            <w:gridSpan w:val="2"/>
            <w:noWrap/>
            <w:vAlign w:val="bottom"/>
            <w:hideMark/>
          </w:tcPr>
          <w:p w14:paraId="3DCA9D4F"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2CD4D4C9" w14:textId="77777777" w:rsidTr="007D2699">
        <w:trPr>
          <w:trHeight w:val="318"/>
        </w:trPr>
        <w:tc>
          <w:tcPr>
            <w:tcW w:w="999" w:type="dxa"/>
            <w:noWrap/>
            <w:vAlign w:val="bottom"/>
            <w:hideMark/>
          </w:tcPr>
          <w:p w14:paraId="59BC1A5D"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6</w:t>
            </w:r>
          </w:p>
        </w:tc>
        <w:tc>
          <w:tcPr>
            <w:tcW w:w="1269" w:type="dxa"/>
            <w:noWrap/>
            <w:vAlign w:val="bottom"/>
            <w:hideMark/>
          </w:tcPr>
          <w:p w14:paraId="204C52E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6.2</w:t>
            </w:r>
          </w:p>
        </w:tc>
        <w:tc>
          <w:tcPr>
            <w:tcW w:w="5793" w:type="dxa"/>
            <w:noWrap/>
            <w:vAlign w:val="bottom"/>
            <w:hideMark/>
          </w:tcPr>
          <w:p w14:paraId="2B163294"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Three-Phase Explanatory Sequential Design (with Meso-Level Extension)</w:t>
            </w:r>
          </w:p>
        </w:tc>
        <w:tc>
          <w:tcPr>
            <w:tcW w:w="734" w:type="dxa"/>
            <w:gridSpan w:val="2"/>
            <w:noWrap/>
            <w:vAlign w:val="bottom"/>
            <w:hideMark/>
          </w:tcPr>
          <w:p w14:paraId="0D9F2180"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320CD911" w14:textId="77777777" w:rsidTr="007D2699">
        <w:trPr>
          <w:trHeight w:val="318"/>
        </w:trPr>
        <w:tc>
          <w:tcPr>
            <w:tcW w:w="999" w:type="dxa"/>
            <w:noWrap/>
            <w:vAlign w:val="bottom"/>
            <w:hideMark/>
          </w:tcPr>
          <w:p w14:paraId="7BF40014"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6</w:t>
            </w:r>
          </w:p>
        </w:tc>
        <w:tc>
          <w:tcPr>
            <w:tcW w:w="1269" w:type="dxa"/>
            <w:noWrap/>
            <w:vAlign w:val="bottom"/>
            <w:hideMark/>
          </w:tcPr>
          <w:p w14:paraId="5AB3F008"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6.3</w:t>
            </w:r>
          </w:p>
        </w:tc>
        <w:tc>
          <w:tcPr>
            <w:tcW w:w="5793" w:type="dxa"/>
            <w:noWrap/>
            <w:vAlign w:val="bottom"/>
            <w:hideMark/>
          </w:tcPr>
          <w:p w14:paraId="440C4AFB"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Research Schema II: Qualitative Approach</w:t>
            </w:r>
          </w:p>
        </w:tc>
        <w:tc>
          <w:tcPr>
            <w:tcW w:w="734" w:type="dxa"/>
            <w:gridSpan w:val="2"/>
            <w:noWrap/>
            <w:vAlign w:val="bottom"/>
            <w:hideMark/>
          </w:tcPr>
          <w:p w14:paraId="26A5647D"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61D27176" w14:textId="77777777" w:rsidTr="007D2699">
        <w:trPr>
          <w:trHeight w:val="318"/>
        </w:trPr>
        <w:tc>
          <w:tcPr>
            <w:tcW w:w="999" w:type="dxa"/>
            <w:noWrap/>
            <w:vAlign w:val="bottom"/>
            <w:hideMark/>
          </w:tcPr>
          <w:p w14:paraId="31F029DB"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658297BD"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7.1</w:t>
            </w:r>
          </w:p>
        </w:tc>
        <w:tc>
          <w:tcPr>
            <w:tcW w:w="5793" w:type="dxa"/>
            <w:noWrap/>
            <w:vAlign w:val="bottom"/>
            <w:hideMark/>
          </w:tcPr>
          <w:p w14:paraId="5E041E0D"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Global Modern Slavery at a Glance</w:t>
            </w:r>
          </w:p>
        </w:tc>
        <w:tc>
          <w:tcPr>
            <w:tcW w:w="734" w:type="dxa"/>
            <w:gridSpan w:val="2"/>
            <w:noWrap/>
            <w:vAlign w:val="bottom"/>
            <w:hideMark/>
          </w:tcPr>
          <w:p w14:paraId="5F01C43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50067CA1" w14:textId="77777777" w:rsidTr="007D2699">
        <w:trPr>
          <w:trHeight w:val="318"/>
        </w:trPr>
        <w:tc>
          <w:tcPr>
            <w:tcW w:w="999" w:type="dxa"/>
            <w:noWrap/>
            <w:vAlign w:val="bottom"/>
            <w:hideMark/>
          </w:tcPr>
          <w:p w14:paraId="6157AE22"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7BC02843"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7.2</w:t>
            </w:r>
          </w:p>
        </w:tc>
        <w:tc>
          <w:tcPr>
            <w:tcW w:w="5793" w:type="dxa"/>
            <w:noWrap/>
            <w:vAlign w:val="bottom"/>
            <w:hideMark/>
          </w:tcPr>
          <w:p w14:paraId="15D59159"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Distribution of Modern Slavery Vulnerability Scores (VALN) by Year</w:t>
            </w:r>
          </w:p>
        </w:tc>
        <w:tc>
          <w:tcPr>
            <w:tcW w:w="734" w:type="dxa"/>
            <w:gridSpan w:val="2"/>
            <w:noWrap/>
            <w:vAlign w:val="bottom"/>
            <w:hideMark/>
          </w:tcPr>
          <w:p w14:paraId="3D35B250"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5F480931" w14:textId="77777777" w:rsidTr="007D2699">
        <w:trPr>
          <w:trHeight w:val="318"/>
        </w:trPr>
        <w:tc>
          <w:tcPr>
            <w:tcW w:w="999" w:type="dxa"/>
            <w:noWrap/>
            <w:vAlign w:val="bottom"/>
            <w:hideMark/>
          </w:tcPr>
          <w:p w14:paraId="23E816F7"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19C5B97B"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7.3</w:t>
            </w:r>
          </w:p>
        </w:tc>
        <w:tc>
          <w:tcPr>
            <w:tcW w:w="5793" w:type="dxa"/>
            <w:noWrap/>
            <w:vAlign w:val="bottom"/>
            <w:hideMark/>
          </w:tcPr>
          <w:p w14:paraId="51695C8E"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Modern Slavery Risk Mitigation (MSRM) by Year</w:t>
            </w:r>
          </w:p>
        </w:tc>
        <w:tc>
          <w:tcPr>
            <w:tcW w:w="734" w:type="dxa"/>
            <w:gridSpan w:val="2"/>
            <w:noWrap/>
            <w:vAlign w:val="bottom"/>
            <w:hideMark/>
          </w:tcPr>
          <w:p w14:paraId="52108841"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4B629D3B" w14:textId="77777777" w:rsidTr="007D2699">
        <w:trPr>
          <w:trHeight w:val="318"/>
        </w:trPr>
        <w:tc>
          <w:tcPr>
            <w:tcW w:w="999" w:type="dxa"/>
            <w:noWrap/>
            <w:vAlign w:val="bottom"/>
            <w:hideMark/>
          </w:tcPr>
          <w:p w14:paraId="699585FF"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noWrap/>
            <w:vAlign w:val="bottom"/>
            <w:hideMark/>
          </w:tcPr>
          <w:p w14:paraId="284288BD"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7.4</w:t>
            </w:r>
          </w:p>
        </w:tc>
        <w:tc>
          <w:tcPr>
            <w:tcW w:w="5793" w:type="dxa"/>
            <w:noWrap/>
            <w:vAlign w:val="bottom"/>
            <w:hideMark/>
          </w:tcPr>
          <w:p w14:paraId="1B84933A"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Scree Plot of Eigenvalues After PCA of the Six WGIs</w:t>
            </w:r>
          </w:p>
        </w:tc>
        <w:tc>
          <w:tcPr>
            <w:tcW w:w="734" w:type="dxa"/>
            <w:gridSpan w:val="2"/>
            <w:noWrap/>
            <w:vAlign w:val="bottom"/>
            <w:hideMark/>
          </w:tcPr>
          <w:p w14:paraId="4810E65F"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r w:rsidR="00AF6FD0" w:rsidRPr="0053182F" w14:paraId="49996036" w14:textId="77777777" w:rsidTr="007D2699">
        <w:trPr>
          <w:trHeight w:val="318"/>
        </w:trPr>
        <w:tc>
          <w:tcPr>
            <w:tcW w:w="999" w:type="dxa"/>
            <w:tcBorders>
              <w:bottom w:val="single" w:sz="4" w:space="0" w:color="auto"/>
            </w:tcBorders>
            <w:noWrap/>
            <w:vAlign w:val="bottom"/>
            <w:hideMark/>
          </w:tcPr>
          <w:p w14:paraId="2136CEA8" w14:textId="77777777" w:rsidR="004D5785" w:rsidRPr="0053182F" w:rsidRDefault="004D5785" w:rsidP="004D5785">
            <w:pPr>
              <w:spacing w:after="0" w:line="240" w:lineRule="auto"/>
              <w:jc w:val="right"/>
              <w:rPr>
                <w:rFonts w:eastAsia="Times New Roman"/>
                <w:kern w:val="0"/>
                <w:sz w:val="22"/>
                <w:szCs w:val="22"/>
                <w:lang w:eastAsia="en-GB"/>
                <w14:ligatures w14:val="none"/>
              </w:rPr>
            </w:pPr>
            <w:r w:rsidRPr="0053182F">
              <w:rPr>
                <w:rFonts w:eastAsia="Times New Roman"/>
                <w:kern w:val="0"/>
                <w:sz w:val="22"/>
                <w:szCs w:val="22"/>
                <w:lang w:eastAsia="en-GB"/>
                <w14:ligatures w14:val="none"/>
              </w:rPr>
              <w:t>7</w:t>
            </w:r>
          </w:p>
        </w:tc>
        <w:tc>
          <w:tcPr>
            <w:tcW w:w="1269" w:type="dxa"/>
            <w:tcBorders>
              <w:bottom w:val="single" w:sz="4" w:space="0" w:color="auto"/>
            </w:tcBorders>
            <w:noWrap/>
            <w:vAlign w:val="bottom"/>
            <w:hideMark/>
          </w:tcPr>
          <w:p w14:paraId="4EA2BDED"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Figure 7.5</w:t>
            </w:r>
          </w:p>
        </w:tc>
        <w:tc>
          <w:tcPr>
            <w:tcW w:w="5793" w:type="dxa"/>
            <w:tcBorders>
              <w:bottom w:val="single" w:sz="4" w:space="0" w:color="auto"/>
            </w:tcBorders>
            <w:noWrap/>
            <w:vAlign w:val="bottom"/>
            <w:hideMark/>
          </w:tcPr>
          <w:p w14:paraId="545CFE18"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Distribution of Institutional Environmental Quality (IEQ)</w:t>
            </w:r>
          </w:p>
        </w:tc>
        <w:tc>
          <w:tcPr>
            <w:tcW w:w="734" w:type="dxa"/>
            <w:gridSpan w:val="2"/>
            <w:tcBorders>
              <w:bottom w:val="single" w:sz="4" w:space="0" w:color="auto"/>
            </w:tcBorders>
            <w:noWrap/>
            <w:vAlign w:val="bottom"/>
            <w:hideMark/>
          </w:tcPr>
          <w:p w14:paraId="0E8CC620" w14:textId="77777777" w:rsidR="004D5785" w:rsidRPr="0053182F" w:rsidRDefault="004D5785" w:rsidP="004D5785">
            <w:pPr>
              <w:spacing w:after="0" w:line="240" w:lineRule="auto"/>
              <w:rPr>
                <w:rFonts w:eastAsia="Times New Roman"/>
                <w:kern w:val="0"/>
                <w:sz w:val="22"/>
                <w:szCs w:val="22"/>
                <w:lang w:eastAsia="en-GB"/>
                <w14:ligatures w14:val="none"/>
              </w:rPr>
            </w:pPr>
            <w:r w:rsidRPr="0053182F">
              <w:rPr>
                <w:rFonts w:eastAsia="Times New Roman"/>
                <w:kern w:val="0"/>
                <w:sz w:val="22"/>
                <w:szCs w:val="22"/>
                <w:lang w:eastAsia="en-GB"/>
                <w14:ligatures w14:val="none"/>
              </w:rPr>
              <w:t>___</w:t>
            </w:r>
          </w:p>
        </w:tc>
      </w:tr>
    </w:tbl>
    <w:p w14:paraId="6A0DF5A3" w14:textId="3123397E" w:rsidR="00144866" w:rsidRPr="0053182F" w:rsidRDefault="00144866" w:rsidP="00D779AD">
      <w:pPr>
        <w:pStyle w:val="Heading1"/>
        <w:spacing w:before="0" w:after="0"/>
        <w:rPr>
          <w:rFonts w:cs="Times New Roman"/>
        </w:rPr>
      </w:pPr>
      <w:bookmarkStart w:id="7" w:name="_Toc218357051"/>
      <w:r w:rsidRPr="0053182F">
        <w:rPr>
          <w:rFonts w:cs="Times New Roman"/>
        </w:rPr>
        <w:t>List of Tables</w:t>
      </w:r>
      <w:bookmarkEnd w:id="7"/>
    </w:p>
    <w:p w14:paraId="0758EB54" w14:textId="2242C27E" w:rsidR="0090495E" w:rsidRPr="0053182F" w:rsidRDefault="0090495E" w:rsidP="00D779AD">
      <w:pPr>
        <w:spacing w:after="0"/>
      </w:pPr>
      <w:r w:rsidRPr="0053182F">
        <w:t>Chapter 1</w:t>
      </w:r>
    </w:p>
    <w:p w14:paraId="65FA978A" w14:textId="77777777" w:rsidR="00366B87" w:rsidRPr="0053182F" w:rsidRDefault="00366B87" w:rsidP="00D779AD">
      <w:pPr>
        <w:pStyle w:val="Caption"/>
        <w:spacing w:after="0"/>
        <w:jc w:val="left"/>
        <w:rPr>
          <w:i/>
        </w:rPr>
      </w:pPr>
      <w:r w:rsidRPr="0053182F">
        <w:rPr>
          <w:b/>
          <w:bCs/>
        </w:rPr>
        <w:t>Table 1.1</w:t>
      </w:r>
      <w:r w:rsidRPr="0053182F">
        <w:t xml:space="preserve"> Summary Map: Research Logic Alignment</w:t>
      </w:r>
    </w:p>
    <w:p w14:paraId="6528B6D3" w14:textId="77777777" w:rsidR="00366B87" w:rsidRPr="0053182F" w:rsidRDefault="00366B87" w:rsidP="00D779AD">
      <w:pPr>
        <w:spacing w:after="0"/>
      </w:pPr>
    </w:p>
    <w:p w14:paraId="18202493" w14:textId="608C600A" w:rsidR="0090495E" w:rsidRPr="0053182F" w:rsidRDefault="0090495E" w:rsidP="00D779AD">
      <w:pPr>
        <w:spacing w:after="0"/>
      </w:pPr>
      <w:r w:rsidRPr="0053182F">
        <w:t>Chapter 2</w:t>
      </w:r>
    </w:p>
    <w:p w14:paraId="614C9A31" w14:textId="3C8D6115" w:rsidR="00C9605B" w:rsidRPr="0053182F" w:rsidRDefault="00C9605B" w:rsidP="00D779AD">
      <w:pPr>
        <w:pStyle w:val="Caption"/>
        <w:spacing w:after="0"/>
        <w:jc w:val="left"/>
      </w:pPr>
      <w:r w:rsidRPr="0053182F">
        <w:rPr>
          <w:b/>
          <w:bCs/>
        </w:rPr>
        <w:t xml:space="preserve">Table </w:t>
      </w:r>
      <w:r w:rsidR="00ED37BE" w:rsidRPr="0053182F">
        <w:rPr>
          <w:b/>
          <w:bCs/>
        </w:rPr>
        <w:t>2.1</w:t>
      </w:r>
      <w:r w:rsidRPr="0053182F">
        <w:rPr>
          <w:b/>
          <w:bCs/>
        </w:rPr>
        <w:t>:</w:t>
      </w:r>
      <w:r w:rsidRPr="0053182F">
        <w:t xml:space="preserve"> Key Definitions of Modern Slavery in Scholarly and Policy Literature </w:t>
      </w:r>
    </w:p>
    <w:p w14:paraId="2AF8A794" w14:textId="77777777" w:rsidR="001B7F3B" w:rsidRPr="0053182F" w:rsidRDefault="001B7F3B" w:rsidP="00D779AD">
      <w:pPr>
        <w:pStyle w:val="Caption"/>
        <w:keepNext/>
        <w:spacing w:after="0"/>
        <w:jc w:val="left"/>
      </w:pPr>
      <w:r w:rsidRPr="0053182F">
        <w:rPr>
          <w:b/>
          <w:bCs/>
        </w:rPr>
        <w:t>Table 2.2:</w:t>
      </w:r>
      <w:r w:rsidRPr="0053182F">
        <w:t xml:space="preserve"> Summary of Anti-Modern Slavery Legislation Development</w:t>
      </w:r>
    </w:p>
    <w:p w14:paraId="7B313CDB" w14:textId="77777777" w:rsidR="001B7F3B" w:rsidRPr="0053182F" w:rsidRDefault="001B7F3B" w:rsidP="00D779AD">
      <w:pPr>
        <w:spacing w:after="0"/>
      </w:pPr>
    </w:p>
    <w:p w14:paraId="6A1C78A1" w14:textId="77777777" w:rsidR="00C9605B" w:rsidRPr="0053182F" w:rsidRDefault="00C9605B" w:rsidP="00D779AD">
      <w:pPr>
        <w:spacing w:after="0"/>
      </w:pPr>
    </w:p>
    <w:p w14:paraId="5E4079F6" w14:textId="41396FEF" w:rsidR="0090495E" w:rsidRPr="0053182F" w:rsidRDefault="0090495E" w:rsidP="00D779AD">
      <w:pPr>
        <w:spacing w:after="0"/>
      </w:pPr>
      <w:r w:rsidRPr="0053182F">
        <w:t>Chapter 3</w:t>
      </w:r>
    </w:p>
    <w:p w14:paraId="6D8151D4" w14:textId="77777777" w:rsidR="00922B66" w:rsidRPr="0053182F" w:rsidRDefault="00922B66" w:rsidP="00D779AD">
      <w:pPr>
        <w:spacing w:after="0"/>
      </w:pPr>
    </w:p>
    <w:p w14:paraId="0A8F8ECE" w14:textId="72B277E9" w:rsidR="0090495E" w:rsidRPr="0053182F" w:rsidRDefault="0090495E" w:rsidP="00D779AD">
      <w:pPr>
        <w:spacing w:after="0"/>
      </w:pPr>
      <w:r w:rsidRPr="0053182F">
        <w:t>Chapter</w:t>
      </w:r>
      <w:r w:rsidR="00366B87" w:rsidRPr="0053182F">
        <w:t xml:space="preserve"> 4</w:t>
      </w:r>
    </w:p>
    <w:p w14:paraId="165088AE" w14:textId="2EA2864E" w:rsidR="0090495E" w:rsidRPr="0053182F" w:rsidRDefault="0090495E" w:rsidP="00D779AD">
      <w:pPr>
        <w:spacing w:after="0"/>
      </w:pPr>
      <w:r w:rsidRPr="0053182F">
        <w:t>Chapter</w:t>
      </w:r>
      <w:r w:rsidR="00366B87" w:rsidRPr="0053182F">
        <w:t xml:space="preserve"> 5</w:t>
      </w:r>
    </w:p>
    <w:p w14:paraId="5EE3CEF0" w14:textId="77777777" w:rsidR="003C760B" w:rsidRPr="0053182F" w:rsidRDefault="003C760B" w:rsidP="00D779AD">
      <w:pPr>
        <w:pStyle w:val="NormalWeb"/>
        <w:spacing w:before="0" w:beforeAutospacing="0" w:after="0" w:afterAutospacing="0" w:line="480" w:lineRule="auto"/>
        <w:rPr>
          <w:color w:val="auto"/>
        </w:rPr>
      </w:pPr>
      <w:r w:rsidRPr="0053182F">
        <w:rPr>
          <w:b/>
          <w:bCs/>
          <w:color w:val="auto"/>
        </w:rPr>
        <w:t xml:space="preserve">Table 5.1: </w:t>
      </w:r>
      <w:r w:rsidRPr="0053182F">
        <w:rPr>
          <w:color w:val="auto"/>
        </w:rPr>
        <w:t>Details the definitions of the components of WGI</w:t>
      </w:r>
    </w:p>
    <w:p w14:paraId="0E89A194" w14:textId="77777777" w:rsidR="00AC3676" w:rsidRPr="0053182F" w:rsidRDefault="00AC3676" w:rsidP="00D779AD">
      <w:pPr>
        <w:pStyle w:val="paragraph"/>
        <w:spacing w:before="0" w:beforeAutospacing="0" w:after="0" w:afterAutospacing="0" w:line="480" w:lineRule="auto"/>
        <w:textAlignment w:val="baseline"/>
      </w:pPr>
      <w:r w:rsidRPr="0053182F">
        <w:rPr>
          <w:rStyle w:val="normaltextrun"/>
          <w:rFonts w:eastAsiaTheme="majorEastAsia"/>
          <w:b/>
          <w:bCs/>
        </w:rPr>
        <w:t>Table 5.2:</w:t>
      </w:r>
      <w:r w:rsidRPr="0053182F">
        <w:rPr>
          <w:rStyle w:val="normaltextrun"/>
          <w:rFonts w:eastAsiaTheme="majorEastAsia"/>
        </w:rPr>
        <w:t xml:space="preserve"> Summary of the hypothesis</w:t>
      </w:r>
      <w:r w:rsidRPr="0053182F">
        <w:rPr>
          <w:rStyle w:val="eop"/>
          <w:rFonts w:eastAsiaTheme="majorEastAsia"/>
        </w:rPr>
        <w:t> </w:t>
      </w:r>
    </w:p>
    <w:p w14:paraId="6DFB88B2" w14:textId="2AEC1491" w:rsidR="0090495E" w:rsidRPr="0053182F" w:rsidRDefault="0090495E" w:rsidP="00D779AD">
      <w:pPr>
        <w:spacing w:after="0"/>
      </w:pPr>
      <w:r w:rsidRPr="0053182F">
        <w:t>Chapter</w:t>
      </w:r>
      <w:r w:rsidR="00366B87" w:rsidRPr="0053182F">
        <w:t xml:space="preserve"> 6</w:t>
      </w:r>
    </w:p>
    <w:p w14:paraId="05E481B5" w14:textId="77777777" w:rsidR="00E64A0F" w:rsidRPr="0053182F" w:rsidRDefault="00E64A0F" w:rsidP="00D779AD">
      <w:pPr>
        <w:spacing w:after="0" w:line="240" w:lineRule="auto"/>
      </w:pPr>
      <w:r w:rsidRPr="0053182F">
        <w:rPr>
          <w:b/>
          <w:bCs/>
        </w:rPr>
        <w:t>Table 6.1:</w:t>
      </w:r>
      <w:r w:rsidRPr="0053182F">
        <w:t xml:space="preserve"> Advantages and Disadvantages of Mixed Methods Research</w:t>
      </w:r>
    </w:p>
    <w:p w14:paraId="652AA38A" w14:textId="77777777" w:rsidR="00816ECC" w:rsidRPr="0053182F" w:rsidRDefault="00816ECC" w:rsidP="00D779AD">
      <w:pPr>
        <w:spacing w:after="0" w:line="480" w:lineRule="auto"/>
      </w:pPr>
      <w:r w:rsidRPr="0053182F">
        <w:rPr>
          <w:b/>
          <w:bCs/>
        </w:rPr>
        <w:t>Table 6.2:</w:t>
      </w:r>
      <w:r w:rsidRPr="0053182F">
        <w:t xml:space="preserve"> Sub-Questions and Analytical Alignment</w:t>
      </w:r>
    </w:p>
    <w:p w14:paraId="6F77F094" w14:textId="77777777" w:rsidR="00700E0A" w:rsidRPr="0053182F" w:rsidRDefault="00700E0A" w:rsidP="00D779AD">
      <w:pPr>
        <w:tabs>
          <w:tab w:val="left" w:pos="5620"/>
        </w:tabs>
        <w:spacing w:after="0"/>
      </w:pPr>
      <w:r w:rsidRPr="0053182F">
        <w:rPr>
          <w:b/>
          <w:bCs/>
        </w:rPr>
        <w:t>Table 6.3</w:t>
      </w:r>
      <w:r w:rsidRPr="0053182F">
        <w:t>: Advantages and Disadvantages of the Quantitative Research Approach</w:t>
      </w:r>
      <w:r w:rsidRPr="0053182F">
        <w:tab/>
      </w:r>
    </w:p>
    <w:p w14:paraId="2A78363B" w14:textId="77777777" w:rsidR="0055541A" w:rsidRPr="0053182F" w:rsidRDefault="0055541A" w:rsidP="00D779AD">
      <w:pPr>
        <w:spacing w:after="0"/>
        <w:rPr>
          <w:rFonts w:eastAsia="Times New Roman"/>
        </w:rPr>
      </w:pPr>
      <w:r w:rsidRPr="0053182F">
        <w:rPr>
          <w:b/>
          <w:bCs/>
        </w:rPr>
        <w:t>Table 6.4</w:t>
      </w:r>
      <w:r w:rsidRPr="0053182F">
        <w:t xml:space="preserve">: </w:t>
      </w:r>
      <w:r w:rsidRPr="0053182F">
        <w:rPr>
          <w:rFonts w:eastAsia="Times New Roman"/>
        </w:rPr>
        <w:t>Strengths and Limitations of the Disclosure Analysis (Meso-Level Extension)</w:t>
      </w:r>
    </w:p>
    <w:p w14:paraId="434A7ECF" w14:textId="77777777" w:rsidR="00D117D3" w:rsidRPr="0053182F" w:rsidRDefault="00D117D3" w:rsidP="00D779AD">
      <w:pPr>
        <w:spacing w:after="0" w:line="240" w:lineRule="auto"/>
        <w:rPr>
          <w:rFonts w:eastAsia="Times New Roman"/>
          <w:color w:val="000000" w:themeColor="text1"/>
        </w:rPr>
      </w:pPr>
      <w:r w:rsidRPr="0053182F">
        <w:rPr>
          <w:rFonts w:eastAsia="Times New Roman"/>
          <w:b/>
          <w:bCs/>
          <w:color w:val="000000" w:themeColor="text1"/>
        </w:rPr>
        <w:t xml:space="preserve">Table 6.5: </w:t>
      </w:r>
      <w:r w:rsidRPr="0053182F">
        <w:rPr>
          <w:rFonts w:eastAsia="Times New Roman"/>
          <w:color w:val="000000" w:themeColor="text1"/>
        </w:rPr>
        <w:t>Rationale for Selecting Sri Lanka’s Textile and Apparel Industry as the Research Context</w:t>
      </w:r>
    </w:p>
    <w:p w14:paraId="5603FDE1" w14:textId="77777777" w:rsidR="00702C6B" w:rsidRPr="0053182F" w:rsidRDefault="00702C6B" w:rsidP="00D779AD">
      <w:pPr>
        <w:spacing w:after="0" w:line="480" w:lineRule="auto"/>
        <w:rPr>
          <w:rFonts w:eastAsia="Times New Roman"/>
          <w:b/>
          <w:bCs/>
          <w:color w:val="000000" w:themeColor="text1"/>
        </w:rPr>
      </w:pPr>
      <w:r w:rsidRPr="0053182F">
        <w:rPr>
          <w:b/>
          <w:bCs/>
        </w:rPr>
        <w:t>Table 6.6:</w:t>
      </w:r>
      <w:r w:rsidRPr="0053182F">
        <w:t xml:space="preserve"> Strengths and Limitations of Interviews and Questionnaires - Micro-Level </w:t>
      </w:r>
    </w:p>
    <w:p w14:paraId="39F6F000" w14:textId="7F6118CF" w:rsidR="0090495E" w:rsidRPr="0053182F" w:rsidRDefault="0090495E" w:rsidP="0090495E">
      <w:r w:rsidRPr="0053182F">
        <w:t>Chapter</w:t>
      </w:r>
      <w:r w:rsidR="00366B87" w:rsidRPr="0053182F">
        <w:t xml:space="preserve"> 7</w:t>
      </w:r>
    </w:p>
    <w:p w14:paraId="749CE29D" w14:textId="77777777" w:rsidR="00DC1658" w:rsidRPr="0053182F" w:rsidRDefault="00DC1658" w:rsidP="00D779AD">
      <w:pPr>
        <w:pStyle w:val="Caption"/>
        <w:jc w:val="left"/>
      </w:pPr>
      <w:r w:rsidRPr="0053182F">
        <w:rPr>
          <w:b/>
          <w:bCs/>
        </w:rPr>
        <w:t>Table 7.1:</w:t>
      </w:r>
      <w:r w:rsidRPr="0053182F">
        <w:t xml:space="preserve"> Table Sample details </w:t>
      </w:r>
    </w:p>
    <w:p w14:paraId="3A69AEBF" w14:textId="77777777" w:rsidR="00EA6D1A" w:rsidRPr="0053182F" w:rsidRDefault="00EA6D1A" w:rsidP="00D779AD">
      <w:pPr>
        <w:pStyle w:val="Caption"/>
        <w:jc w:val="left"/>
      </w:pPr>
      <w:r w:rsidRPr="0053182F">
        <w:rPr>
          <w:b/>
          <w:bCs/>
        </w:rPr>
        <w:t>Table 7.2:</w:t>
      </w:r>
      <w:r w:rsidRPr="0053182F">
        <w:t xml:space="preserve"> Variable definitions</w:t>
      </w:r>
    </w:p>
    <w:p w14:paraId="7528103C" w14:textId="77777777" w:rsidR="00C00B21" w:rsidRPr="0053182F" w:rsidRDefault="00C00B21" w:rsidP="00D779AD">
      <w:pPr>
        <w:pStyle w:val="Caption"/>
        <w:jc w:val="left"/>
      </w:pPr>
      <w:r w:rsidRPr="0053182F">
        <w:rPr>
          <w:b/>
          <w:bCs/>
        </w:rPr>
        <w:t>Table 7:3:</w:t>
      </w:r>
      <w:r w:rsidRPr="0053182F">
        <w:t xml:space="preserve"> Correlation Matrix of the IEQ’s six dimensions</w:t>
      </w:r>
    </w:p>
    <w:p w14:paraId="52C09902" w14:textId="77777777" w:rsidR="00B35308" w:rsidRPr="0053182F" w:rsidRDefault="00B35308" w:rsidP="00D779AD">
      <w:pPr>
        <w:pStyle w:val="Caption"/>
        <w:jc w:val="left"/>
      </w:pPr>
      <w:r w:rsidRPr="0053182F">
        <w:rPr>
          <w:b/>
          <w:bCs/>
        </w:rPr>
        <w:t>Table 7:4:</w:t>
      </w:r>
      <w:r w:rsidRPr="0053182F">
        <w:t xml:space="preserve"> PCA (eigenvectors) and diagnostics of the IEQ’s dimensions</w:t>
      </w:r>
    </w:p>
    <w:p w14:paraId="09555030" w14:textId="77777777" w:rsidR="00DF6DFB" w:rsidRPr="0053182F" w:rsidRDefault="00DF6DFB" w:rsidP="00D779AD">
      <w:pPr>
        <w:pStyle w:val="Caption"/>
        <w:jc w:val="left"/>
        <w:rPr>
          <w:lang w:eastAsia="en-GB"/>
        </w:rPr>
      </w:pPr>
      <w:r w:rsidRPr="0053182F">
        <w:rPr>
          <w:b/>
          <w:bCs/>
        </w:rPr>
        <w:t>Table 7:5:</w:t>
      </w:r>
      <w:r w:rsidRPr="0053182F">
        <w:rPr>
          <w:lang w:eastAsia="en-GB"/>
        </w:rPr>
        <w:t xml:space="preserve"> Sample and Country Composition</w:t>
      </w:r>
    </w:p>
    <w:p w14:paraId="4D3E2CB0" w14:textId="661A9E61" w:rsidR="009E2110" w:rsidRPr="0053182F" w:rsidRDefault="00EB1E3E" w:rsidP="00D779AD">
      <w:r w:rsidRPr="0053182F">
        <w:rPr>
          <w:rFonts w:eastAsia="Times New Roman"/>
          <w:b/>
          <w:bCs/>
          <w:lang w:eastAsia="en-GB"/>
        </w:rPr>
        <w:t xml:space="preserve">Table 7.6: </w:t>
      </w:r>
      <w:r w:rsidRPr="0053182F">
        <w:rPr>
          <w:rFonts w:eastAsia="Times New Roman"/>
          <w:lang w:eastAsia="en-GB"/>
        </w:rPr>
        <w:t xml:space="preserve"> Industry classification based on the CMS risk and Labour and capital Insensitivity</w:t>
      </w:r>
    </w:p>
    <w:p w14:paraId="34BCB5BA" w14:textId="469460B5" w:rsidR="0056146C" w:rsidRPr="0053182F" w:rsidRDefault="0056146C" w:rsidP="00D779AD">
      <w:pPr>
        <w:rPr>
          <w:rStyle w:val="Strong"/>
          <w:rFonts w:eastAsia="Times New Roman"/>
          <w:b w:val="0"/>
          <w:bCs w:val="0"/>
        </w:rPr>
      </w:pPr>
      <w:r w:rsidRPr="0053182F">
        <w:rPr>
          <w:rStyle w:val="Strong"/>
          <w:rFonts w:eastAsia="Times New Roman"/>
        </w:rPr>
        <w:t xml:space="preserve">Table 7.7: </w:t>
      </w:r>
      <w:r w:rsidRPr="0053182F">
        <w:rPr>
          <w:rStyle w:val="Strong"/>
          <w:rFonts w:eastAsia="Times New Roman"/>
          <w:b w:val="0"/>
          <w:bCs w:val="0"/>
        </w:rPr>
        <w:t xml:space="preserve">Definition of components of ACMS </w:t>
      </w:r>
    </w:p>
    <w:p w14:paraId="234B16D7" w14:textId="77777777" w:rsidR="00841160" w:rsidRPr="0053182F" w:rsidRDefault="00841160" w:rsidP="00D779AD">
      <w:pPr>
        <w:spacing w:after="0" w:line="480" w:lineRule="auto"/>
        <w:rPr>
          <w:rFonts w:eastAsia="Times New Roman"/>
          <w:color w:val="auto"/>
          <w:kern w:val="0"/>
          <w:lang w:eastAsia="en-GB"/>
          <w14:ligatures w14:val="none"/>
        </w:rPr>
      </w:pPr>
      <w:r w:rsidRPr="0053182F">
        <w:rPr>
          <w:b/>
          <w:bCs/>
        </w:rPr>
        <w:t>Table 7.8:</w:t>
      </w:r>
      <w:r w:rsidRPr="0053182F">
        <w:t xml:space="preserve"> Justification for sample selection for Meso-Level Disclosure Analysis</w:t>
      </w:r>
    </w:p>
    <w:p w14:paraId="2DE2F05C" w14:textId="77777777" w:rsidR="00AA369C" w:rsidRPr="0053182F" w:rsidRDefault="00AA369C" w:rsidP="00D779AD">
      <w:pPr>
        <w:spacing w:line="480" w:lineRule="auto"/>
        <w:rPr>
          <w:color w:val="auto"/>
        </w:rPr>
      </w:pPr>
      <w:r w:rsidRPr="0053182F">
        <w:rPr>
          <w:b/>
          <w:bCs/>
        </w:rPr>
        <w:t>Table 7.9</w:t>
      </w:r>
      <w:r w:rsidRPr="0053182F">
        <w:t>: Rationale for Selecting Sri Lanka’s A&amp;TI as the Study Context</w:t>
      </w:r>
    </w:p>
    <w:p w14:paraId="62B3A8AD" w14:textId="77777777" w:rsidR="003A4FE9" w:rsidRPr="0053182F" w:rsidRDefault="003A4FE9" w:rsidP="003A4FE9">
      <w:pPr>
        <w:rPr>
          <w:color w:val="auto"/>
          <w:kern w:val="0"/>
          <w14:ligatures w14:val="none"/>
        </w:rPr>
      </w:pPr>
      <w:r w:rsidRPr="0053182F">
        <w:rPr>
          <w:b/>
          <w:bCs/>
        </w:rPr>
        <w:t>Table 7.10:</w:t>
      </w:r>
      <w:r w:rsidRPr="0053182F">
        <w:t xml:space="preserve"> Thematic Analysis Process</w:t>
      </w:r>
    </w:p>
    <w:p w14:paraId="6A641C1C" w14:textId="77777777" w:rsidR="005F505B" w:rsidRPr="0053182F" w:rsidRDefault="005F505B" w:rsidP="005F505B">
      <w:r w:rsidRPr="0053182F">
        <w:rPr>
          <w:b/>
          <w:bCs/>
        </w:rPr>
        <w:t>Table 7.11:</w:t>
      </w:r>
      <w:r w:rsidRPr="0053182F">
        <w:t xml:space="preserve"> Methodological limitations</w:t>
      </w:r>
    </w:p>
    <w:p w14:paraId="266F9F9D" w14:textId="77777777" w:rsidR="00841160" w:rsidRPr="0053182F" w:rsidRDefault="00841160" w:rsidP="0090495E"/>
    <w:p w14:paraId="1250FAC5" w14:textId="1D4D2CCF" w:rsidR="0090495E" w:rsidRPr="0053182F" w:rsidRDefault="0090495E" w:rsidP="0090495E">
      <w:r w:rsidRPr="0053182F">
        <w:t>Chapter</w:t>
      </w:r>
      <w:r w:rsidR="00366B87" w:rsidRPr="0053182F">
        <w:t xml:space="preserve"> 8</w:t>
      </w:r>
    </w:p>
    <w:p w14:paraId="67F9FA56" w14:textId="01FBD897" w:rsidR="00366B87" w:rsidRPr="0053182F" w:rsidRDefault="00366B87" w:rsidP="0090495E">
      <w:r w:rsidRPr="0053182F">
        <w:t>Chapter 9</w:t>
      </w:r>
    </w:p>
    <w:p w14:paraId="5A28AFBA" w14:textId="036745B1" w:rsidR="00366B87" w:rsidRPr="0053182F" w:rsidRDefault="00366B87" w:rsidP="0090495E">
      <w:r w:rsidRPr="0053182F">
        <w:t>Chapter 10</w:t>
      </w:r>
    </w:p>
    <w:p w14:paraId="3031429B" w14:textId="0BEADE8C" w:rsidR="00366B87" w:rsidRPr="0053182F" w:rsidRDefault="00366B87" w:rsidP="0090495E">
      <w:r w:rsidRPr="0053182F">
        <w:t>Chapter 11</w:t>
      </w:r>
    </w:p>
    <w:p w14:paraId="20733B8E" w14:textId="04348983" w:rsidR="00366B87" w:rsidRPr="0053182F" w:rsidRDefault="00366B87">
      <w:r w:rsidRPr="0053182F">
        <w:t>List of Figures</w:t>
      </w:r>
    </w:p>
    <w:p w14:paraId="16947840" w14:textId="77777777" w:rsidR="00366B87" w:rsidRPr="0053182F" w:rsidRDefault="00366B87"/>
    <w:p w14:paraId="58D5F169" w14:textId="77777777" w:rsidR="00366B87" w:rsidRPr="0053182F" w:rsidRDefault="00366B87" w:rsidP="00D779AD">
      <w:r w:rsidRPr="0053182F">
        <w:t>Chapter 1</w:t>
      </w:r>
    </w:p>
    <w:p w14:paraId="229B31E5" w14:textId="77777777" w:rsidR="00366B87" w:rsidRPr="0053182F" w:rsidRDefault="00366B87" w:rsidP="00D779AD">
      <w:r w:rsidRPr="0053182F">
        <w:t>Chapter 2</w:t>
      </w:r>
    </w:p>
    <w:p w14:paraId="6D2E54F7" w14:textId="285599FB" w:rsidR="00753690" w:rsidRPr="0053182F" w:rsidRDefault="00753690" w:rsidP="00D779AD">
      <w:pPr>
        <w:pStyle w:val="Caption"/>
        <w:jc w:val="left"/>
      </w:pPr>
      <w:r w:rsidRPr="0053182F">
        <w:rPr>
          <w:b/>
          <w:bCs/>
        </w:rPr>
        <w:t>Figure 2</w:t>
      </w:r>
      <w:r w:rsidR="00EB1AD6" w:rsidRPr="0053182F">
        <w:rPr>
          <w:b/>
          <w:bCs/>
        </w:rPr>
        <w:t>.</w:t>
      </w:r>
      <w:r w:rsidRPr="0053182F">
        <w:rPr>
          <w:b/>
          <w:bCs/>
        </w:rPr>
        <w:t>1</w:t>
      </w:r>
      <w:r w:rsidRPr="0053182F">
        <w:rPr>
          <w:b/>
          <w:bCs/>
          <w:color w:val="auto"/>
        </w:rPr>
        <w:t>:</w:t>
      </w:r>
      <w:r w:rsidRPr="0053182F">
        <w:rPr>
          <w:color w:val="auto"/>
        </w:rPr>
        <w:t xml:space="preserve"> </w:t>
      </w:r>
      <w:r w:rsidRPr="0053182F">
        <w:t>Prevalence of Modern Slavery</w:t>
      </w:r>
    </w:p>
    <w:p w14:paraId="5D2D14D2" w14:textId="77777777" w:rsidR="00753690" w:rsidRPr="0053182F" w:rsidRDefault="00753690" w:rsidP="00D779AD">
      <w:pPr>
        <w:pStyle w:val="Caption"/>
        <w:jc w:val="left"/>
      </w:pPr>
      <w:r w:rsidRPr="0053182F">
        <w:rPr>
          <w:b/>
          <w:bCs/>
        </w:rPr>
        <w:t>Figure 2.2:</w:t>
      </w:r>
      <w:r w:rsidRPr="0053182F">
        <w:t xml:space="preserve">  Element of modern slavery </w:t>
      </w:r>
    </w:p>
    <w:p w14:paraId="7896FD7A" w14:textId="761DB52B" w:rsidR="00DF258E" w:rsidRPr="0053182F" w:rsidRDefault="00DF258E" w:rsidP="00D779AD">
      <w:pPr>
        <w:pStyle w:val="Caption"/>
        <w:jc w:val="left"/>
      </w:pPr>
      <w:r w:rsidRPr="0053182F">
        <w:t>Figure 2</w:t>
      </w:r>
      <w:r w:rsidR="00EB1AD6" w:rsidRPr="0053182F">
        <w:t>.</w:t>
      </w:r>
      <w:r w:rsidRPr="0053182F">
        <w:t>3: Forced labour classification</w:t>
      </w:r>
    </w:p>
    <w:p w14:paraId="1A2476EC" w14:textId="77777777" w:rsidR="00D9756A" w:rsidRPr="0053182F" w:rsidRDefault="00D9756A" w:rsidP="00D779AD">
      <w:pPr>
        <w:pStyle w:val="Caption"/>
        <w:jc w:val="left"/>
        <w:rPr>
          <w:rFonts w:eastAsia="Times New Roman"/>
          <w:color w:val="auto"/>
        </w:rPr>
      </w:pPr>
      <w:r w:rsidRPr="0053182F">
        <w:rPr>
          <w:b/>
          <w:bCs/>
        </w:rPr>
        <w:t>Figure 2.4:</w:t>
      </w:r>
      <w:r w:rsidRPr="0053182F">
        <w:t xml:space="preserve"> </w:t>
      </w:r>
      <w:r w:rsidRPr="0053182F">
        <w:rPr>
          <w:rFonts w:eastAsia="Times New Roman"/>
          <w:color w:val="auto"/>
        </w:rPr>
        <w:t xml:space="preserve">State-imposed forced labour  </w:t>
      </w:r>
    </w:p>
    <w:p w14:paraId="1C4D744F" w14:textId="74A25821" w:rsidR="00455FA6" w:rsidRPr="0053182F" w:rsidRDefault="00455FA6" w:rsidP="00D779AD">
      <w:pPr>
        <w:pStyle w:val="Caption"/>
        <w:jc w:val="left"/>
        <w:rPr>
          <w:rFonts w:eastAsia="Times New Roman"/>
          <w:color w:val="auto"/>
        </w:rPr>
      </w:pPr>
    </w:p>
    <w:p w14:paraId="093A537B" w14:textId="77777777" w:rsidR="00084BDB" w:rsidRPr="0053182F" w:rsidRDefault="00084BDB" w:rsidP="00D779AD">
      <w:pPr>
        <w:pStyle w:val="Caption"/>
        <w:jc w:val="left"/>
        <w:rPr>
          <w:rFonts w:eastAsia="Times New Roman"/>
          <w:color w:val="auto"/>
        </w:rPr>
      </w:pPr>
      <w:r w:rsidRPr="0053182F">
        <w:rPr>
          <w:b/>
          <w:bCs/>
        </w:rPr>
        <w:t>Figure 2.5:</w:t>
      </w:r>
      <w:r w:rsidRPr="0053182F">
        <w:t xml:space="preserve"> </w:t>
      </w:r>
      <w:r w:rsidRPr="0053182F">
        <w:rPr>
          <w:rFonts w:eastAsia="Times New Roman"/>
          <w:color w:val="auto"/>
        </w:rPr>
        <w:t xml:space="preserve">Global progress against child labour </w:t>
      </w:r>
    </w:p>
    <w:p w14:paraId="0D631309" w14:textId="77777777" w:rsidR="002B1EE4" w:rsidRPr="0053182F" w:rsidRDefault="002B1EE4" w:rsidP="00D779AD">
      <w:pPr>
        <w:spacing w:after="0" w:line="240" w:lineRule="auto"/>
        <w:rPr>
          <w:rFonts w:eastAsia="Times New Roman"/>
        </w:rPr>
      </w:pPr>
      <w:r w:rsidRPr="0053182F">
        <w:rPr>
          <w:rFonts w:eastAsia="Times New Roman"/>
          <w:b/>
          <w:bCs/>
        </w:rPr>
        <w:t>Figure 2.6:</w:t>
      </w:r>
      <w:r w:rsidRPr="0053182F">
        <w:rPr>
          <w:rFonts w:eastAsia="Times New Roman"/>
        </w:rPr>
        <w:t xml:space="preserve"> Regional patterns of child labour</w:t>
      </w:r>
    </w:p>
    <w:p w14:paraId="79112796" w14:textId="77777777" w:rsidR="00201885" w:rsidRPr="0053182F" w:rsidRDefault="00201885" w:rsidP="00D779AD">
      <w:pPr>
        <w:pStyle w:val="Caption"/>
        <w:jc w:val="left"/>
        <w:rPr>
          <w:rStyle w:val="Emphasis"/>
          <w:i w:val="0"/>
          <w:color w:val="auto"/>
        </w:rPr>
      </w:pPr>
      <w:r w:rsidRPr="0053182F">
        <w:rPr>
          <w:b/>
          <w:bCs/>
        </w:rPr>
        <w:t>Figure 2:7:</w:t>
      </w:r>
      <w:r w:rsidRPr="0053182F">
        <w:t xml:space="preserve"> Illustration of the </w:t>
      </w:r>
      <w:r w:rsidRPr="0053182F">
        <w:rPr>
          <w:rStyle w:val="Emphasis"/>
          <w:i w:val="0"/>
          <w:color w:val="auto"/>
        </w:rPr>
        <w:t>Evolution from Classical Slavery, Industrial Labour, and MS in Global Supply Chains</w:t>
      </w:r>
    </w:p>
    <w:p w14:paraId="698C0D0C" w14:textId="77777777" w:rsidR="001B7F3B" w:rsidRPr="0053182F" w:rsidRDefault="001B7F3B" w:rsidP="00D779AD">
      <w:pPr>
        <w:pStyle w:val="Caption"/>
        <w:jc w:val="left"/>
      </w:pPr>
      <w:r w:rsidRPr="0053182F">
        <w:rPr>
          <w:b/>
          <w:bCs/>
        </w:rPr>
        <w:t>Figure 2:8:</w:t>
      </w:r>
      <w:r w:rsidRPr="0053182F">
        <w:t xml:space="preserve"> Timeline of the Modern Slavery Regulation Development</w:t>
      </w:r>
    </w:p>
    <w:p w14:paraId="4D93D257" w14:textId="77777777" w:rsidR="00084BDB" w:rsidRPr="0053182F" w:rsidRDefault="00084BDB" w:rsidP="00D779AD">
      <w:pPr>
        <w:rPr>
          <w:color w:val="auto"/>
          <w:lang w:eastAsia="en-GB"/>
        </w:rPr>
      </w:pPr>
      <w:r w:rsidRPr="0053182F">
        <w:rPr>
          <w:b/>
          <w:bCs/>
        </w:rPr>
        <w:t>Figure 2:7:</w:t>
      </w:r>
      <w:r w:rsidRPr="0053182F">
        <w:t xml:space="preserve"> </w:t>
      </w:r>
      <w:r w:rsidRPr="0053182F">
        <w:rPr>
          <w:color w:val="auto"/>
          <w:lang w:eastAsia="en-GB"/>
        </w:rPr>
        <w:t>The Continuum of Exploitation in Global Supply Chains</w:t>
      </w:r>
    </w:p>
    <w:p w14:paraId="2A8937CC" w14:textId="77777777" w:rsidR="00753690" w:rsidRPr="0053182F" w:rsidRDefault="00753690" w:rsidP="00D779AD"/>
    <w:p w14:paraId="36D5F57C" w14:textId="77777777" w:rsidR="00366B87" w:rsidRPr="0053182F" w:rsidRDefault="00366B87" w:rsidP="00D779AD">
      <w:r w:rsidRPr="0053182F">
        <w:t>Chapter 3</w:t>
      </w:r>
    </w:p>
    <w:p w14:paraId="4F88BE31" w14:textId="77777777" w:rsidR="007F5409" w:rsidRPr="0053182F" w:rsidRDefault="007F5409" w:rsidP="00D779AD">
      <w:pPr>
        <w:spacing w:after="0" w:line="240" w:lineRule="auto"/>
      </w:pPr>
      <w:r w:rsidRPr="0053182F">
        <w:rPr>
          <w:rFonts w:eastAsia="Palatino Linotype"/>
          <w:b/>
          <w:bCs/>
        </w:rPr>
        <w:t>Figure 3.</w:t>
      </w:r>
      <w:r w:rsidRPr="0053182F">
        <w:rPr>
          <w:b/>
          <w:bCs/>
        </w:rPr>
        <w:t xml:space="preserve">1: </w:t>
      </w:r>
      <w:r w:rsidRPr="0053182F">
        <w:t>A matrix with the two dimensions of materiality</w:t>
      </w:r>
    </w:p>
    <w:p w14:paraId="3389BE87" w14:textId="77777777" w:rsidR="00D26523" w:rsidRPr="0053182F" w:rsidRDefault="00D26523" w:rsidP="00D779AD">
      <w:pPr>
        <w:spacing w:after="0" w:line="480" w:lineRule="auto"/>
      </w:pPr>
      <w:r w:rsidRPr="0053182F">
        <w:rPr>
          <w:b/>
          <w:bCs/>
        </w:rPr>
        <w:t>Figure 3.2</w:t>
      </w:r>
      <w:r w:rsidRPr="0053182F">
        <w:t xml:space="preserve"> Export performance of the last 10 years </w:t>
      </w:r>
    </w:p>
    <w:p w14:paraId="16B976B0" w14:textId="640B0605" w:rsidR="001538B7" w:rsidRPr="0053182F" w:rsidRDefault="001538B7" w:rsidP="00D779AD">
      <w:pPr>
        <w:spacing w:after="0" w:line="480" w:lineRule="auto"/>
      </w:pPr>
      <w:r w:rsidRPr="0053182F">
        <w:rPr>
          <w:b/>
          <w:bCs/>
        </w:rPr>
        <w:t>Figure 3.3</w:t>
      </w:r>
      <w:r w:rsidRPr="0053182F">
        <w:t>: Sri Lankan major apparel markets</w:t>
      </w:r>
    </w:p>
    <w:p w14:paraId="493760FA" w14:textId="77777777" w:rsidR="00366B87" w:rsidRPr="0053182F" w:rsidRDefault="00366B87" w:rsidP="00D779AD">
      <w:r w:rsidRPr="0053182F">
        <w:t>Chapter 4</w:t>
      </w:r>
    </w:p>
    <w:p w14:paraId="68E9D256" w14:textId="77777777" w:rsidR="006F06FF" w:rsidRPr="0053182F" w:rsidRDefault="006F06FF" w:rsidP="00D779AD">
      <w:pPr>
        <w:pStyle w:val="paragraph"/>
        <w:spacing w:before="0" w:beforeAutospacing="0" w:after="0" w:afterAutospacing="0" w:line="480" w:lineRule="auto"/>
        <w:textAlignment w:val="baseline"/>
        <w:rPr>
          <w:rStyle w:val="normaltextrun"/>
        </w:rPr>
      </w:pPr>
      <w:r w:rsidRPr="0053182F">
        <w:rPr>
          <w:rStyle w:val="normaltextrun"/>
          <w:b/>
          <w:bCs/>
        </w:rPr>
        <w:t>Figure 4.1:</w:t>
      </w:r>
      <w:r w:rsidRPr="0053182F">
        <w:rPr>
          <w:rStyle w:val="normaltextrun"/>
        </w:rPr>
        <w:t xml:space="preserve"> Four Paradigms for the Analysis of Social Theory</w:t>
      </w:r>
    </w:p>
    <w:p w14:paraId="5D3FF501" w14:textId="77777777" w:rsidR="002528C8" w:rsidRPr="0053182F" w:rsidRDefault="002528C8" w:rsidP="00D779AD">
      <w:pPr>
        <w:pStyle w:val="ds-markdown-paragraph"/>
        <w:shd w:val="clear" w:color="auto" w:fill="FFFFFF"/>
        <w:spacing w:before="0" w:beforeAutospacing="0" w:after="0" w:afterAutospacing="0" w:line="480" w:lineRule="auto"/>
        <w:rPr>
          <w:color w:val="0F1115"/>
        </w:rPr>
      </w:pPr>
      <w:r w:rsidRPr="0053182F">
        <w:rPr>
          <w:b/>
          <w:bCs/>
          <w:color w:val="0F1115"/>
        </w:rPr>
        <w:t>Figure 4.2:</w:t>
      </w:r>
      <w:r w:rsidRPr="0053182F">
        <w:rPr>
          <w:color w:val="0F1115"/>
        </w:rPr>
        <w:t xml:space="preserve"> Neo-institutional theoretical framework</w:t>
      </w:r>
    </w:p>
    <w:p w14:paraId="03D030C8" w14:textId="77777777" w:rsidR="00B73787" w:rsidRPr="0053182F" w:rsidRDefault="00B73787" w:rsidP="00D779AD">
      <w:pPr>
        <w:pStyle w:val="ds-markdown-paragraph"/>
        <w:shd w:val="clear" w:color="auto" w:fill="FFFFFF"/>
        <w:spacing w:before="0" w:beforeAutospacing="0" w:after="0" w:afterAutospacing="0" w:line="480" w:lineRule="auto"/>
        <w:rPr>
          <w:rStyle w:val="Strong"/>
          <w:rFonts w:eastAsiaTheme="majorEastAsia"/>
          <w:b w:val="0"/>
          <w:color w:val="0F1115"/>
        </w:rPr>
      </w:pPr>
      <w:r w:rsidRPr="0053182F">
        <w:rPr>
          <w:b/>
          <w:bCs/>
          <w:color w:val="0F1115"/>
        </w:rPr>
        <w:t>Figure 4.3:</w:t>
      </w:r>
      <w:r w:rsidRPr="0053182F">
        <w:rPr>
          <w:color w:val="0F1115"/>
        </w:rPr>
        <w:t xml:space="preserve"> </w:t>
      </w:r>
      <w:r w:rsidRPr="0053182F">
        <w:rPr>
          <w:rStyle w:val="Strong"/>
          <w:rFonts w:eastAsiaTheme="majorEastAsia"/>
          <w:b w:val="0"/>
          <w:color w:val="0F1115"/>
        </w:rPr>
        <w:t>Integrated Conceptual Framework</w:t>
      </w:r>
    </w:p>
    <w:p w14:paraId="6C9022DF" w14:textId="77777777" w:rsidR="00366B87" w:rsidRPr="0053182F" w:rsidRDefault="00366B87" w:rsidP="00D779AD">
      <w:r w:rsidRPr="0053182F">
        <w:t>Chapter 5</w:t>
      </w:r>
    </w:p>
    <w:p w14:paraId="59BB6569" w14:textId="77777777" w:rsidR="006B57D3" w:rsidRPr="0053182F" w:rsidRDefault="006B57D3" w:rsidP="00D779AD">
      <w:pPr>
        <w:spacing w:after="0" w:line="480" w:lineRule="auto"/>
      </w:pPr>
      <w:r w:rsidRPr="0053182F">
        <w:rPr>
          <w:b/>
          <w:bCs/>
        </w:rPr>
        <w:t xml:space="preserve">Figure 5.1 </w:t>
      </w:r>
      <w:r w:rsidRPr="0053182F">
        <w:t>Research Schema</w:t>
      </w:r>
    </w:p>
    <w:p w14:paraId="7096ACDC" w14:textId="77777777" w:rsidR="00366B87" w:rsidRPr="0053182F" w:rsidRDefault="00366B87" w:rsidP="00D779AD">
      <w:r w:rsidRPr="0053182F">
        <w:t>Chapter 6</w:t>
      </w:r>
    </w:p>
    <w:p w14:paraId="7A7D78A8" w14:textId="77777777" w:rsidR="00E04A08" w:rsidRPr="0053182F" w:rsidRDefault="00E04A08" w:rsidP="00D779AD">
      <w:pPr>
        <w:spacing w:line="360" w:lineRule="auto"/>
        <w:rPr>
          <w:rFonts w:eastAsia="Palatino Linotype"/>
        </w:rPr>
      </w:pPr>
      <w:r w:rsidRPr="0053182F">
        <w:rPr>
          <w:rFonts w:eastAsia="Palatino Linotype"/>
          <w:b/>
          <w:bCs/>
        </w:rPr>
        <w:t>Figure 6.1</w:t>
      </w:r>
      <w:r w:rsidRPr="0053182F">
        <w:rPr>
          <w:rFonts w:eastAsia="Palatino Linotype"/>
        </w:rPr>
        <w:t xml:space="preserve"> Four basic Mixed Methods Design</w:t>
      </w:r>
    </w:p>
    <w:p w14:paraId="469A2D7A" w14:textId="77777777" w:rsidR="00817E2C" w:rsidRPr="0053182F" w:rsidRDefault="00817E2C" w:rsidP="00D779AD">
      <w:r w:rsidRPr="0053182F">
        <w:rPr>
          <w:rStyle w:val="Strong"/>
          <w:color w:val="auto"/>
        </w:rPr>
        <w:t xml:space="preserve">Figure 6.2: </w:t>
      </w:r>
      <w:r w:rsidRPr="0053182F">
        <w:rPr>
          <w:rStyle w:val="Strong"/>
          <w:b w:val="0"/>
          <w:bCs w:val="0"/>
          <w:color w:val="auto"/>
        </w:rPr>
        <w:t xml:space="preserve">Three-Phase </w:t>
      </w:r>
      <w:r w:rsidRPr="0053182F">
        <w:rPr>
          <w:rFonts w:eastAsia="Palatino Linotype"/>
        </w:rPr>
        <w:t xml:space="preserve">Explanatory sequential design </w:t>
      </w:r>
      <w:r w:rsidRPr="0053182F">
        <w:rPr>
          <w:rStyle w:val="Strong"/>
          <w:b w:val="0"/>
          <w:bCs w:val="0"/>
          <w:color w:val="auto"/>
        </w:rPr>
        <w:t>(with Meso-Level Extension)</w:t>
      </w:r>
    </w:p>
    <w:p w14:paraId="1C5F38A1" w14:textId="77777777" w:rsidR="00503046" w:rsidRPr="0053182F" w:rsidRDefault="00503046" w:rsidP="00D779AD">
      <w:pPr>
        <w:spacing w:after="0" w:line="480" w:lineRule="auto"/>
      </w:pPr>
      <w:r w:rsidRPr="0053182F">
        <w:rPr>
          <w:b/>
          <w:bCs/>
        </w:rPr>
        <w:t>Figure 6.3:</w:t>
      </w:r>
      <w:r w:rsidRPr="0053182F">
        <w:t xml:space="preserve"> Research Schema II: Qualitative approach</w:t>
      </w:r>
    </w:p>
    <w:p w14:paraId="5F726AD5" w14:textId="77777777" w:rsidR="00366B87" w:rsidRPr="0053182F" w:rsidRDefault="00366B87" w:rsidP="00D779AD">
      <w:r w:rsidRPr="0053182F">
        <w:t>Chapter 7</w:t>
      </w:r>
    </w:p>
    <w:p w14:paraId="17F28D04" w14:textId="77777777" w:rsidR="00666700" w:rsidRPr="0053182F" w:rsidRDefault="00666700" w:rsidP="00D779AD">
      <w:pPr>
        <w:pStyle w:val="Caption"/>
        <w:jc w:val="left"/>
      </w:pPr>
      <w:r w:rsidRPr="0053182F">
        <w:rPr>
          <w:b/>
          <w:bCs/>
        </w:rPr>
        <w:t>Figure 7.1:</w:t>
      </w:r>
      <w:r w:rsidRPr="0053182F">
        <w:t xml:space="preserve"> Global Modern Slavery at a glance</w:t>
      </w:r>
    </w:p>
    <w:p w14:paraId="25FEB3AE" w14:textId="77777777" w:rsidR="008F44B5" w:rsidRPr="0053182F" w:rsidRDefault="008F44B5" w:rsidP="00D779AD">
      <w:pPr>
        <w:pStyle w:val="Caption"/>
        <w:jc w:val="left"/>
      </w:pPr>
      <w:r w:rsidRPr="0053182F">
        <w:rPr>
          <w:b/>
          <w:bCs/>
        </w:rPr>
        <w:t>Figure 7.3:</w:t>
      </w:r>
      <w:r w:rsidRPr="0053182F">
        <w:t xml:space="preserve"> Distribution of Modern Slavery Vulnerability Scores (VALN) by Year</w:t>
      </w:r>
    </w:p>
    <w:p w14:paraId="17CF5459" w14:textId="77777777" w:rsidR="00DF493E" w:rsidRPr="0053182F" w:rsidRDefault="00DF493E" w:rsidP="00D779AD">
      <w:pPr>
        <w:pStyle w:val="Caption"/>
        <w:jc w:val="left"/>
      </w:pPr>
      <w:r w:rsidRPr="0053182F">
        <w:rPr>
          <w:b/>
          <w:bCs/>
        </w:rPr>
        <w:t>Figure 7.4:</w:t>
      </w:r>
      <w:r w:rsidRPr="0053182F">
        <w:t xml:space="preserve"> Modern slavery risk mitigation (MSRM) by Year</w:t>
      </w:r>
    </w:p>
    <w:p w14:paraId="0F0B5D3B" w14:textId="77777777" w:rsidR="00AC0229" w:rsidRPr="0053182F" w:rsidRDefault="00AC0229" w:rsidP="00D779AD">
      <w:pPr>
        <w:pStyle w:val="Caption"/>
        <w:jc w:val="left"/>
      </w:pPr>
      <w:r w:rsidRPr="0053182F">
        <w:rPr>
          <w:b/>
          <w:bCs/>
        </w:rPr>
        <w:t>Figure 7.5:</w:t>
      </w:r>
      <w:r w:rsidRPr="0053182F">
        <w:t xml:space="preserve"> Scree plot of eigenvalues after PCA of the six WGIs</w:t>
      </w:r>
    </w:p>
    <w:p w14:paraId="1B2FFF07" w14:textId="77777777" w:rsidR="00BF0DFB" w:rsidRPr="0053182F" w:rsidRDefault="00BF0DFB" w:rsidP="00D779AD">
      <w:r w:rsidRPr="0053182F">
        <w:rPr>
          <w:b/>
          <w:bCs/>
        </w:rPr>
        <w:t>Figure 7.6:</w:t>
      </w:r>
      <w:r w:rsidRPr="0053182F">
        <w:t xml:space="preserve"> IEQ Distribution </w:t>
      </w:r>
    </w:p>
    <w:p w14:paraId="4BEE81B3" w14:textId="77777777" w:rsidR="00666700" w:rsidRPr="0053182F" w:rsidRDefault="00666700" w:rsidP="00D779AD"/>
    <w:p w14:paraId="43795169" w14:textId="77777777" w:rsidR="00366B87" w:rsidRPr="0053182F" w:rsidRDefault="00366B87" w:rsidP="00D779AD">
      <w:r w:rsidRPr="0053182F">
        <w:t>Chapter 8</w:t>
      </w:r>
    </w:p>
    <w:p w14:paraId="2034EF6E" w14:textId="77777777" w:rsidR="00366B87" w:rsidRPr="0053182F" w:rsidRDefault="00366B87" w:rsidP="00D779AD">
      <w:r w:rsidRPr="0053182F">
        <w:t>Chapter 9</w:t>
      </w:r>
    </w:p>
    <w:p w14:paraId="29D210F9" w14:textId="77777777" w:rsidR="00366B87" w:rsidRPr="0053182F" w:rsidRDefault="00366B87" w:rsidP="00D779AD">
      <w:r w:rsidRPr="0053182F">
        <w:t>Chapter 10</w:t>
      </w:r>
    </w:p>
    <w:p w14:paraId="7AE1FB44" w14:textId="77777777" w:rsidR="00366B87" w:rsidRPr="0053182F" w:rsidRDefault="00366B87" w:rsidP="00D779AD">
      <w:r w:rsidRPr="0053182F">
        <w:t>Chapter 11</w:t>
      </w:r>
    </w:p>
    <w:p w14:paraId="5C5014BD" w14:textId="7FC07D51" w:rsidR="0090495E" w:rsidRPr="0053182F" w:rsidRDefault="0090495E" w:rsidP="00D779AD">
      <w:r w:rsidRPr="0053182F">
        <w:br w:type="page"/>
      </w:r>
    </w:p>
    <w:p w14:paraId="62AFCB66" w14:textId="77777777" w:rsidR="0090495E" w:rsidRPr="0053182F" w:rsidRDefault="0090495E" w:rsidP="0090495E"/>
    <w:p w14:paraId="23CC6994" w14:textId="77777777" w:rsidR="0090495E" w:rsidRPr="0053182F" w:rsidRDefault="0090495E">
      <w:r w:rsidRPr="0053182F">
        <w:br w:type="page"/>
      </w:r>
    </w:p>
    <w:p w14:paraId="6361CD10" w14:textId="77777777" w:rsidR="00144866" w:rsidRPr="0053182F" w:rsidRDefault="00144866" w:rsidP="00144866">
      <w:pPr>
        <w:pStyle w:val="Heading1"/>
        <w:rPr>
          <w:rFonts w:cs="Times New Roman"/>
        </w:rPr>
      </w:pPr>
      <w:bookmarkStart w:id="8" w:name="_Toc218357052"/>
      <w:r w:rsidRPr="0053182F">
        <w:rPr>
          <w:rFonts w:cs="Times New Roman"/>
        </w:rPr>
        <w:t>Appendices</w:t>
      </w:r>
      <w:bookmarkEnd w:id="8"/>
    </w:p>
    <w:p w14:paraId="3A04B7D4" w14:textId="77777777" w:rsidR="00144866" w:rsidRPr="0053182F" w:rsidRDefault="00144866" w:rsidP="00144866">
      <w:pPr>
        <w:spacing w:after="0" w:line="480" w:lineRule="auto"/>
        <w:rPr>
          <w:rFonts w:eastAsia="Times New Roman"/>
          <w:color w:val="auto"/>
          <w:kern w:val="0"/>
          <w:lang w:eastAsia="en-GB"/>
        </w:rPr>
      </w:pPr>
      <w:r w:rsidRPr="0053182F">
        <w:rPr>
          <w:b/>
          <w:bCs/>
          <w:color w:val="auto"/>
        </w:rPr>
        <w:t>Table 1:</w:t>
      </w:r>
      <w:r w:rsidRPr="0053182F">
        <w:rPr>
          <w:color w:val="auto"/>
        </w:rPr>
        <w:t xml:space="preserve"> </w:t>
      </w:r>
      <w:r w:rsidRPr="0053182F">
        <w:rPr>
          <w:rFonts w:eastAsia="Times New Roman"/>
          <w:color w:val="auto"/>
          <w:kern w:val="0"/>
          <w:lang w:eastAsia="en-GB"/>
        </w:rPr>
        <w:t>Summary of Documented CMS Cases</w:t>
      </w:r>
    </w:p>
    <w:p w14:paraId="620D11C3" w14:textId="77777777" w:rsidR="00144866" w:rsidRPr="0053182F" w:rsidRDefault="00144866" w:rsidP="00144866">
      <w:pPr>
        <w:spacing w:after="0" w:line="480" w:lineRule="auto"/>
        <w:rPr>
          <w:color w:val="auto"/>
        </w:rPr>
      </w:pPr>
      <w:r w:rsidRPr="0053182F">
        <w:rPr>
          <w:b/>
          <w:bCs/>
          <w:color w:val="auto"/>
        </w:rPr>
        <w:t>Table 2</w:t>
      </w:r>
      <w:r w:rsidRPr="0053182F">
        <w:rPr>
          <w:color w:val="auto"/>
        </w:rPr>
        <w:t xml:space="preserve">: Key Definitions of Modern Slavery in Scholarly and Policy Literature </w:t>
      </w:r>
    </w:p>
    <w:p w14:paraId="2A6F4633" w14:textId="77777777" w:rsidR="00144866" w:rsidRPr="0053182F" w:rsidRDefault="00144866" w:rsidP="00144866">
      <w:pPr>
        <w:tabs>
          <w:tab w:val="left" w:pos="1816"/>
        </w:tabs>
        <w:spacing w:after="0" w:line="480" w:lineRule="auto"/>
        <w:rPr>
          <w:color w:val="auto"/>
        </w:rPr>
      </w:pPr>
      <w:r w:rsidRPr="0053182F">
        <w:rPr>
          <w:b/>
          <w:bCs/>
          <w:color w:val="auto"/>
        </w:rPr>
        <w:t xml:space="preserve">Table 3: </w:t>
      </w:r>
      <w:r w:rsidRPr="0053182F">
        <w:rPr>
          <w:color w:val="auto"/>
        </w:rPr>
        <w:t>Summary of Anti-Modern Slavery Legislation Development</w:t>
      </w:r>
    </w:p>
    <w:p w14:paraId="09E4DCA3" w14:textId="77777777" w:rsidR="00144866" w:rsidRPr="0053182F" w:rsidRDefault="00144866" w:rsidP="00144866">
      <w:pPr>
        <w:tabs>
          <w:tab w:val="left" w:pos="1816"/>
        </w:tabs>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Table 4:</w:t>
      </w:r>
      <w:r w:rsidRPr="0053182F">
        <w:rPr>
          <w:rFonts w:eastAsia="Times New Roman"/>
          <w:color w:val="auto"/>
          <w:kern w:val="0"/>
          <w:lang w:eastAsia="en-GB"/>
          <w14:ligatures w14:val="none"/>
        </w:rPr>
        <w:t xml:space="preserve"> Key Drivers of Corporate Modern Slavery Transparency</w:t>
      </w:r>
    </w:p>
    <w:p w14:paraId="2BF0FEFB" w14:textId="77777777" w:rsidR="00144866" w:rsidRPr="0053182F" w:rsidRDefault="00144866" w:rsidP="00144866">
      <w:pPr>
        <w:spacing w:after="0" w:line="480" w:lineRule="auto"/>
        <w:rPr>
          <w:rFonts w:eastAsia="Palatino Linotype"/>
          <w:b/>
          <w:bCs/>
          <w:color w:val="auto"/>
        </w:rPr>
      </w:pPr>
      <w:r w:rsidRPr="0053182F">
        <w:rPr>
          <w:rFonts w:eastAsia="Palatino Linotype"/>
          <w:b/>
          <w:bCs/>
          <w:color w:val="auto"/>
        </w:rPr>
        <w:t xml:space="preserve">Table 5: </w:t>
      </w:r>
      <w:r w:rsidRPr="0053182F">
        <w:rPr>
          <w:rFonts w:eastAsia="Palatino Linotype"/>
          <w:color w:val="auto"/>
        </w:rPr>
        <w:t>Accounting &amp; Disclosure Standards/Regulations Relevant to Corporate Modern Slavery</w:t>
      </w:r>
    </w:p>
    <w:p w14:paraId="5772ABA3" w14:textId="77777777" w:rsidR="00144866" w:rsidRPr="0053182F" w:rsidRDefault="00144866" w:rsidP="00144866">
      <w:pPr>
        <w:spacing w:after="0" w:line="480" w:lineRule="auto"/>
        <w:rPr>
          <w:rFonts w:eastAsia="Palatino Linotype"/>
          <w:color w:val="auto"/>
        </w:rPr>
      </w:pPr>
      <w:r w:rsidRPr="0053182F">
        <w:rPr>
          <w:rFonts w:eastAsia="Palatino Linotype"/>
          <w:b/>
          <w:bCs/>
          <w:color w:val="auto"/>
        </w:rPr>
        <w:t>Table 6:</w:t>
      </w:r>
      <w:r w:rsidRPr="0053182F">
        <w:rPr>
          <w:rFonts w:eastAsia="Palatino Linotype"/>
          <w:color w:val="auto"/>
        </w:rPr>
        <w:t xml:space="preserve"> Summary of the research gap</w:t>
      </w:r>
    </w:p>
    <w:p w14:paraId="652F7EDA" w14:textId="77777777" w:rsidR="00144866" w:rsidRPr="0053182F" w:rsidRDefault="00144866" w:rsidP="00144866">
      <w:pPr>
        <w:spacing w:after="0" w:line="480" w:lineRule="auto"/>
        <w:rPr>
          <w:color w:val="auto"/>
        </w:rPr>
      </w:pPr>
      <w:r w:rsidRPr="0053182F">
        <w:rPr>
          <w:b/>
          <w:bCs/>
          <w:color w:val="auto"/>
        </w:rPr>
        <w:t>Table 7:</w:t>
      </w:r>
      <w:r w:rsidRPr="0053182F">
        <w:rPr>
          <w:color w:val="auto"/>
        </w:rPr>
        <w:t xml:space="preserve"> Advantages and Disadvantages of Mixed Methods Research</w:t>
      </w:r>
    </w:p>
    <w:p w14:paraId="6A226DF3" w14:textId="77777777" w:rsidR="00144866" w:rsidRPr="0053182F" w:rsidRDefault="00144866" w:rsidP="00144866">
      <w:pPr>
        <w:tabs>
          <w:tab w:val="left" w:pos="5620"/>
        </w:tabs>
        <w:spacing w:after="0" w:line="480" w:lineRule="auto"/>
        <w:rPr>
          <w:color w:val="auto"/>
        </w:rPr>
      </w:pPr>
      <w:r w:rsidRPr="0053182F">
        <w:rPr>
          <w:b/>
          <w:bCs/>
          <w:color w:val="auto"/>
        </w:rPr>
        <w:t>Table 8</w:t>
      </w:r>
      <w:r w:rsidRPr="0053182F">
        <w:rPr>
          <w:color w:val="auto"/>
        </w:rPr>
        <w:t>: Advantages and Disadvantages of the Quantitative Research Approach</w:t>
      </w:r>
      <w:r w:rsidRPr="0053182F">
        <w:rPr>
          <w:color w:val="auto"/>
        </w:rPr>
        <w:tab/>
      </w:r>
    </w:p>
    <w:p w14:paraId="45E0EDAD" w14:textId="77777777" w:rsidR="00144866" w:rsidRPr="0053182F" w:rsidRDefault="00144866" w:rsidP="00144866">
      <w:pPr>
        <w:spacing w:after="0" w:line="480" w:lineRule="auto"/>
        <w:jc w:val="both"/>
        <w:textAlignment w:val="baseline"/>
        <w:rPr>
          <w:rFonts w:eastAsia="Times New Roman"/>
          <w:color w:val="auto"/>
          <w:kern w:val="0"/>
          <w:sz w:val="18"/>
          <w:szCs w:val="18"/>
          <w:lang w:eastAsia="en-GB"/>
          <w14:ligatures w14:val="none"/>
        </w:rPr>
      </w:pPr>
      <w:r w:rsidRPr="0053182F">
        <w:rPr>
          <w:rFonts w:eastAsia="Times New Roman"/>
          <w:b/>
          <w:bCs/>
          <w:color w:val="auto"/>
          <w:kern w:val="0"/>
          <w:lang w:eastAsia="en-GB"/>
          <w14:ligatures w14:val="none"/>
        </w:rPr>
        <w:t xml:space="preserve">Table 9: </w:t>
      </w:r>
      <w:r w:rsidRPr="0053182F">
        <w:rPr>
          <w:rFonts w:eastAsia="Times New Roman"/>
          <w:color w:val="auto"/>
          <w:kern w:val="0"/>
          <w:lang w:eastAsia="en-GB"/>
          <w14:ligatures w14:val="none"/>
        </w:rPr>
        <w:t>Sample and country composition </w:t>
      </w:r>
    </w:p>
    <w:p w14:paraId="610ADCFD" w14:textId="77777777" w:rsidR="00144866" w:rsidRPr="0053182F" w:rsidRDefault="00144866" w:rsidP="00144866">
      <w:pPr>
        <w:spacing w:after="0" w:line="480" w:lineRule="auto"/>
        <w:rPr>
          <w:rFonts w:eastAsia="Palatino Linotype"/>
          <w:color w:val="auto"/>
        </w:rPr>
      </w:pPr>
    </w:p>
    <w:p w14:paraId="78CCB943" w14:textId="77777777" w:rsidR="00144866" w:rsidRPr="0053182F" w:rsidRDefault="00144866" w:rsidP="00144866">
      <w:pPr>
        <w:pStyle w:val="NormalWeb"/>
        <w:spacing w:before="0" w:beforeAutospacing="0" w:after="0" w:afterAutospacing="0" w:line="480" w:lineRule="auto"/>
        <w:rPr>
          <w:color w:val="auto"/>
        </w:rPr>
      </w:pPr>
    </w:p>
    <w:p w14:paraId="60EC39FF" w14:textId="77777777" w:rsidR="00144866" w:rsidRPr="0053182F" w:rsidRDefault="00144866" w:rsidP="00144866">
      <w:pPr>
        <w:pStyle w:val="NormalWeb"/>
        <w:spacing w:before="0" w:beforeAutospacing="0" w:after="0" w:afterAutospacing="0" w:line="480" w:lineRule="auto"/>
        <w:rPr>
          <w:color w:val="auto"/>
        </w:rPr>
      </w:pPr>
    </w:p>
    <w:p w14:paraId="6179D2D0" w14:textId="77777777" w:rsidR="00144866" w:rsidRPr="0053182F" w:rsidRDefault="00144866" w:rsidP="00144866">
      <w:pPr>
        <w:pStyle w:val="NormalWeb"/>
        <w:spacing w:before="0" w:beforeAutospacing="0" w:after="0" w:afterAutospacing="0" w:line="480" w:lineRule="auto"/>
        <w:rPr>
          <w:color w:val="auto"/>
        </w:rPr>
      </w:pPr>
    </w:p>
    <w:p w14:paraId="199953FA" w14:textId="77777777" w:rsidR="00144866" w:rsidRPr="0053182F" w:rsidRDefault="00144866" w:rsidP="00144866">
      <w:pPr>
        <w:pStyle w:val="NormalWeb"/>
        <w:spacing w:before="0" w:beforeAutospacing="0" w:after="0" w:afterAutospacing="0" w:line="480" w:lineRule="auto"/>
        <w:rPr>
          <w:color w:val="auto"/>
        </w:rPr>
      </w:pPr>
    </w:p>
    <w:p w14:paraId="2A374C34" w14:textId="77777777" w:rsidR="00144866" w:rsidRPr="0053182F" w:rsidRDefault="00144866" w:rsidP="00144866">
      <w:pPr>
        <w:pStyle w:val="NormalWeb"/>
        <w:spacing w:before="0" w:beforeAutospacing="0" w:after="0" w:afterAutospacing="0" w:line="480" w:lineRule="auto"/>
        <w:rPr>
          <w:color w:val="auto"/>
        </w:rPr>
      </w:pPr>
    </w:p>
    <w:p w14:paraId="26732B14" w14:textId="77777777" w:rsidR="00144866" w:rsidRPr="0053182F" w:rsidRDefault="00144866" w:rsidP="00144866">
      <w:pPr>
        <w:pStyle w:val="NormalWeb"/>
        <w:spacing w:before="0" w:beforeAutospacing="0" w:after="0" w:afterAutospacing="0" w:line="480" w:lineRule="auto"/>
        <w:rPr>
          <w:color w:val="auto"/>
        </w:rPr>
      </w:pPr>
    </w:p>
    <w:p w14:paraId="2B485CFB" w14:textId="77777777" w:rsidR="00144866" w:rsidRPr="0053182F" w:rsidRDefault="00144866" w:rsidP="00144866">
      <w:pPr>
        <w:pStyle w:val="NormalWeb"/>
        <w:spacing w:before="0" w:beforeAutospacing="0" w:after="0" w:afterAutospacing="0" w:line="480" w:lineRule="auto"/>
        <w:rPr>
          <w:color w:val="auto"/>
        </w:rPr>
      </w:pPr>
    </w:p>
    <w:p w14:paraId="1223E44D" w14:textId="77777777" w:rsidR="00144866" w:rsidRPr="0053182F" w:rsidRDefault="00144866" w:rsidP="00144866">
      <w:pPr>
        <w:pStyle w:val="NormalWeb"/>
        <w:spacing w:before="0" w:beforeAutospacing="0" w:after="0" w:afterAutospacing="0" w:line="480" w:lineRule="auto"/>
        <w:rPr>
          <w:color w:val="auto"/>
        </w:rPr>
      </w:pPr>
    </w:p>
    <w:p w14:paraId="05FA0CA8" w14:textId="77777777" w:rsidR="00144866" w:rsidRPr="0053182F" w:rsidRDefault="00144866" w:rsidP="00144866">
      <w:pPr>
        <w:pStyle w:val="NormalWeb"/>
        <w:spacing w:before="0" w:beforeAutospacing="0" w:after="0" w:afterAutospacing="0" w:line="480" w:lineRule="auto"/>
        <w:rPr>
          <w:color w:val="auto"/>
        </w:rPr>
      </w:pPr>
    </w:p>
    <w:p w14:paraId="64C442B9" w14:textId="77777777" w:rsidR="00144866" w:rsidRPr="0053182F" w:rsidRDefault="00144866" w:rsidP="00144866">
      <w:pPr>
        <w:pStyle w:val="NormalWeb"/>
        <w:spacing w:before="0" w:beforeAutospacing="0" w:after="0" w:afterAutospacing="0" w:line="480" w:lineRule="auto"/>
        <w:rPr>
          <w:color w:val="auto"/>
        </w:rPr>
      </w:pPr>
    </w:p>
    <w:p w14:paraId="5840AE2A" w14:textId="77777777" w:rsidR="00144866" w:rsidRPr="0053182F" w:rsidRDefault="00144866" w:rsidP="00144866">
      <w:pPr>
        <w:pStyle w:val="NormalWeb"/>
        <w:spacing w:before="0" w:beforeAutospacing="0" w:after="0" w:afterAutospacing="0" w:line="480" w:lineRule="auto"/>
        <w:rPr>
          <w:color w:val="auto"/>
        </w:rPr>
      </w:pPr>
    </w:p>
    <w:p w14:paraId="44665DDF" w14:textId="77777777" w:rsidR="00144866" w:rsidRPr="0053182F" w:rsidRDefault="00144866" w:rsidP="00144866">
      <w:pPr>
        <w:pStyle w:val="NormalWeb"/>
        <w:spacing w:before="0" w:beforeAutospacing="0" w:after="0" w:afterAutospacing="0" w:line="480" w:lineRule="auto"/>
        <w:rPr>
          <w:color w:val="auto"/>
        </w:rPr>
      </w:pPr>
    </w:p>
    <w:p w14:paraId="262BFAF9" w14:textId="77777777" w:rsidR="00144866" w:rsidRPr="0053182F" w:rsidRDefault="00144866" w:rsidP="00144866">
      <w:pPr>
        <w:pStyle w:val="NormalWeb"/>
        <w:spacing w:before="0" w:beforeAutospacing="0" w:after="0" w:afterAutospacing="0" w:line="480" w:lineRule="auto"/>
        <w:rPr>
          <w:color w:val="auto"/>
        </w:rPr>
      </w:pPr>
    </w:p>
    <w:p w14:paraId="0047D676" w14:textId="77777777" w:rsidR="00144866" w:rsidRPr="0053182F" w:rsidRDefault="00144866" w:rsidP="00144866">
      <w:pPr>
        <w:pStyle w:val="Heading1"/>
        <w:rPr>
          <w:rFonts w:cs="Times New Roman"/>
        </w:rPr>
      </w:pPr>
      <w:bookmarkStart w:id="9" w:name="_Toc218357053"/>
      <w:r w:rsidRPr="0053182F">
        <w:rPr>
          <w:rFonts w:cs="Times New Roman"/>
        </w:rPr>
        <w:t>List of Abbreviations</w:t>
      </w:r>
      <w:bookmarkEnd w:id="9"/>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20"/>
        <w:gridCol w:w="7206"/>
      </w:tblGrid>
      <w:tr w:rsidR="00144866" w:rsidRPr="0053182F" w14:paraId="15CA6114" w14:textId="77777777" w:rsidTr="00D20468">
        <w:trPr>
          <w:tblHeader/>
          <w:tblCellSpacing w:w="15" w:type="dxa"/>
        </w:trPr>
        <w:tc>
          <w:tcPr>
            <w:tcW w:w="0" w:type="auto"/>
            <w:tcBorders>
              <w:top w:val="single" w:sz="4" w:space="0" w:color="auto"/>
              <w:bottom w:val="single" w:sz="4" w:space="0" w:color="auto"/>
            </w:tcBorders>
            <w:vAlign w:val="center"/>
            <w:hideMark/>
          </w:tcPr>
          <w:p w14:paraId="5EFB2297" w14:textId="77777777" w:rsidR="00144866" w:rsidRPr="0053182F" w:rsidRDefault="00144866" w:rsidP="00D20468">
            <w:pPr>
              <w:spacing w:after="0" w:line="48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Abbreviation</w:t>
            </w:r>
          </w:p>
        </w:tc>
        <w:tc>
          <w:tcPr>
            <w:tcW w:w="0" w:type="auto"/>
            <w:tcBorders>
              <w:top w:val="single" w:sz="4" w:space="0" w:color="auto"/>
              <w:bottom w:val="single" w:sz="4" w:space="0" w:color="auto"/>
            </w:tcBorders>
            <w:vAlign w:val="center"/>
            <w:hideMark/>
          </w:tcPr>
          <w:p w14:paraId="636ADDC3" w14:textId="77777777" w:rsidR="00144866" w:rsidRPr="0053182F" w:rsidRDefault="00144866" w:rsidP="00D20468">
            <w:pPr>
              <w:spacing w:after="0" w:line="48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Full Term</w:t>
            </w:r>
          </w:p>
        </w:tc>
      </w:tr>
      <w:tr w:rsidR="00144866" w:rsidRPr="0053182F" w14:paraId="00A1849A" w14:textId="77777777" w:rsidTr="00D20468">
        <w:trPr>
          <w:tblCellSpacing w:w="15" w:type="dxa"/>
        </w:trPr>
        <w:tc>
          <w:tcPr>
            <w:tcW w:w="0" w:type="auto"/>
            <w:vAlign w:val="center"/>
            <w:hideMark/>
          </w:tcPr>
          <w:p w14:paraId="0FFAEA93"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ACMS</w:t>
            </w:r>
          </w:p>
        </w:tc>
        <w:tc>
          <w:tcPr>
            <w:tcW w:w="0" w:type="auto"/>
            <w:vAlign w:val="center"/>
            <w:hideMark/>
          </w:tcPr>
          <w:p w14:paraId="2805C69F"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Anti-Corporate MS </w:t>
            </w:r>
          </w:p>
        </w:tc>
      </w:tr>
      <w:tr w:rsidR="00144866" w:rsidRPr="0053182F" w14:paraId="1E4F72D3" w14:textId="77777777" w:rsidTr="00D20468">
        <w:trPr>
          <w:tblCellSpacing w:w="15" w:type="dxa"/>
        </w:trPr>
        <w:tc>
          <w:tcPr>
            <w:tcW w:w="0" w:type="auto"/>
            <w:vAlign w:val="center"/>
            <w:hideMark/>
          </w:tcPr>
          <w:p w14:paraId="4F68BC52"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AMS</w:t>
            </w:r>
          </w:p>
        </w:tc>
        <w:tc>
          <w:tcPr>
            <w:tcW w:w="0" w:type="auto"/>
            <w:vAlign w:val="center"/>
            <w:hideMark/>
          </w:tcPr>
          <w:p w14:paraId="000D6E5C"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Anti-MS </w:t>
            </w:r>
          </w:p>
        </w:tc>
      </w:tr>
      <w:tr w:rsidR="00144866" w:rsidRPr="0053182F" w14:paraId="79CF0259" w14:textId="77777777" w:rsidTr="00D20468">
        <w:trPr>
          <w:tblCellSpacing w:w="15" w:type="dxa"/>
        </w:trPr>
        <w:tc>
          <w:tcPr>
            <w:tcW w:w="0" w:type="auto"/>
            <w:vAlign w:val="center"/>
            <w:hideMark/>
          </w:tcPr>
          <w:p w14:paraId="68F4D35B"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A&amp;TI</w:t>
            </w:r>
          </w:p>
        </w:tc>
        <w:tc>
          <w:tcPr>
            <w:tcW w:w="0" w:type="auto"/>
            <w:vAlign w:val="center"/>
            <w:hideMark/>
          </w:tcPr>
          <w:p w14:paraId="135D3536"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Apparel and Textile Industry</w:t>
            </w:r>
          </w:p>
        </w:tc>
      </w:tr>
      <w:tr w:rsidR="00144866" w:rsidRPr="0053182F" w14:paraId="63B27DB5" w14:textId="77777777" w:rsidTr="00D20468">
        <w:trPr>
          <w:tblCellSpacing w:w="15" w:type="dxa"/>
        </w:trPr>
        <w:tc>
          <w:tcPr>
            <w:tcW w:w="0" w:type="auto"/>
            <w:vAlign w:val="center"/>
            <w:hideMark/>
          </w:tcPr>
          <w:p w14:paraId="159A1735"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BGD</w:t>
            </w:r>
          </w:p>
        </w:tc>
        <w:tc>
          <w:tcPr>
            <w:tcW w:w="0" w:type="auto"/>
            <w:vAlign w:val="center"/>
            <w:hideMark/>
          </w:tcPr>
          <w:p w14:paraId="5378FDEE"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Board Gender Diversification</w:t>
            </w:r>
          </w:p>
        </w:tc>
      </w:tr>
      <w:tr w:rsidR="00144866" w:rsidRPr="0053182F" w14:paraId="32CD2283" w14:textId="77777777" w:rsidTr="00D20468">
        <w:trPr>
          <w:tblCellSpacing w:w="15" w:type="dxa"/>
        </w:trPr>
        <w:tc>
          <w:tcPr>
            <w:tcW w:w="0" w:type="auto"/>
            <w:vAlign w:val="center"/>
            <w:hideMark/>
          </w:tcPr>
          <w:p w14:paraId="518D7852"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BHR</w:t>
            </w:r>
          </w:p>
        </w:tc>
        <w:tc>
          <w:tcPr>
            <w:tcW w:w="0" w:type="auto"/>
            <w:vAlign w:val="center"/>
            <w:hideMark/>
          </w:tcPr>
          <w:p w14:paraId="3B4DCD63"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Business and Human Rights</w:t>
            </w:r>
          </w:p>
        </w:tc>
      </w:tr>
      <w:tr w:rsidR="00144866" w:rsidRPr="0053182F" w14:paraId="50CFA698" w14:textId="77777777" w:rsidTr="00D20468">
        <w:trPr>
          <w:tblCellSpacing w:w="15" w:type="dxa"/>
        </w:trPr>
        <w:tc>
          <w:tcPr>
            <w:tcW w:w="0" w:type="auto"/>
            <w:vAlign w:val="center"/>
            <w:hideMark/>
          </w:tcPr>
          <w:p w14:paraId="02B1C360"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CMS</w:t>
            </w:r>
          </w:p>
        </w:tc>
        <w:tc>
          <w:tcPr>
            <w:tcW w:w="0" w:type="auto"/>
            <w:vAlign w:val="center"/>
            <w:hideMark/>
          </w:tcPr>
          <w:p w14:paraId="78A0EDCC"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Corporate MS </w:t>
            </w:r>
          </w:p>
        </w:tc>
      </w:tr>
      <w:tr w:rsidR="00144866" w:rsidRPr="0053182F" w14:paraId="77F1BDB6" w14:textId="77777777" w:rsidTr="00D20468">
        <w:trPr>
          <w:tblCellSpacing w:w="15" w:type="dxa"/>
        </w:trPr>
        <w:tc>
          <w:tcPr>
            <w:tcW w:w="0" w:type="auto"/>
            <w:vAlign w:val="center"/>
            <w:hideMark/>
          </w:tcPr>
          <w:p w14:paraId="4936ECF6"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CSRA</w:t>
            </w:r>
          </w:p>
        </w:tc>
        <w:tc>
          <w:tcPr>
            <w:tcW w:w="0" w:type="auto"/>
            <w:vAlign w:val="center"/>
            <w:hideMark/>
          </w:tcPr>
          <w:p w14:paraId="5B2D67BE"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Social Responsibility Assurance</w:t>
            </w:r>
          </w:p>
        </w:tc>
      </w:tr>
      <w:tr w:rsidR="00144866" w:rsidRPr="0053182F" w14:paraId="5CC8F882" w14:textId="77777777" w:rsidTr="00D20468">
        <w:trPr>
          <w:tblCellSpacing w:w="15" w:type="dxa"/>
        </w:trPr>
        <w:tc>
          <w:tcPr>
            <w:tcW w:w="0" w:type="auto"/>
            <w:vAlign w:val="center"/>
            <w:hideMark/>
          </w:tcPr>
          <w:p w14:paraId="1007D938"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CSRAW</w:t>
            </w:r>
          </w:p>
        </w:tc>
        <w:tc>
          <w:tcPr>
            <w:tcW w:w="0" w:type="auto"/>
            <w:vAlign w:val="center"/>
            <w:hideMark/>
          </w:tcPr>
          <w:p w14:paraId="1824F49D"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Social Responsibility Awards and Recognition</w:t>
            </w:r>
          </w:p>
        </w:tc>
      </w:tr>
      <w:tr w:rsidR="00144866" w:rsidRPr="0053182F" w14:paraId="1659A286" w14:textId="77777777" w:rsidTr="00D20468">
        <w:trPr>
          <w:tblCellSpacing w:w="15" w:type="dxa"/>
        </w:trPr>
        <w:tc>
          <w:tcPr>
            <w:tcW w:w="0" w:type="auto"/>
            <w:vAlign w:val="center"/>
            <w:hideMark/>
          </w:tcPr>
          <w:p w14:paraId="24F28C63"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CSRC</w:t>
            </w:r>
          </w:p>
        </w:tc>
        <w:tc>
          <w:tcPr>
            <w:tcW w:w="0" w:type="auto"/>
            <w:vAlign w:val="center"/>
            <w:hideMark/>
          </w:tcPr>
          <w:p w14:paraId="080080CB"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Social Responsibility Committee</w:t>
            </w:r>
          </w:p>
        </w:tc>
      </w:tr>
      <w:tr w:rsidR="00144866" w:rsidRPr="0053182F" w14:paraId="436AA8A3" w14:textId="77777777" w:rsidTr="00D20468">
        <w:trPr>
          <w:tblCellSpacing w:w="15" w:type="dxa"/>
        </w:trPr>
        <w:tc>
          <w:tcPr>
            <w:tcW w:w="0" w:type="auto"/>
            <w:vAlign w:val="center"/>
            <w:hideMark/>
          </w:tcPr>
          <w:p w14:paraId="07BC99B1"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CSR</w:t>
            </w:r>
          </w:p>
        </w:tc>
        <w:tc>
          <w:tcPr>
            <w:tcW w:w="0" w:type="auto"/>
            <w:vAlign w:val="center"/>
            <w:hideMark/>
          </w:tcPr>
          <w:p w14:paraId="6960D8D1"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Social Responsibility</w:t>
            </w:r>
          </w:p>
        </w:tc>
      </w:tr>
      <w:tr w:rsidR="00144866" w:rsidRPr="0053182F" w14:paraId="781FEBC1" w14:textId="77777777" w:rsidTr="00D20468">
        <w:trPr>
          <w:tblCellSpacing w:w="15" w:type="dxa"/>
        </w:trPr>
        <w:tc>
          <w:tcPr>
            <w:tcW w:w="0" w:type="auto"/>
            <w:vAlign w:val="center"/>
            <w:hideMark/>
          </w:tcPr>
          <w:p w14:paraId="6DD43F77"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CSRST</w:t>
            </w:r>
          </w:p>
        </w:tc>
        <w:tc>
          <w:tcPr>
            <w:tcW w:w="0" w:type="auto"/>
            <w:vAlign w:val="center"/>
            <w:hideMark/>
          </w:tcPr>
          <w:p w14:paraId="0293B8A9"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Social Responsibility Strategies</w:t>
            </w:r>
          </w:p>
        </w:tc>
      </w:tr>
      <w:tr w:rsidR="00144866" w:rsidRPr="0053182F" w14:paraId="75730912" w14:textId="77777777" w:rsidTr="00D20468">
        <w:trPr>
          <w:tblCellSpacing w:w="15" w:type="dxa"/>
        </w:trPr>
        <w:tc>
          <w:tcPr>
            <w:tcW w:w="0" w:type="auto"/>
            <w:vAlign w:val="center"/>
            <w:hideMark/>
          </w:tcPr>
          <w:p w14:paraId="7BA44C70"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CSDDD</w:t>
            </w:r>
          </w:p>
        </w:tc>
        <w:tc>
          <w:tcPr>
            <w:tcW w:w="0" w:type="auto"/>
            <w:vAlign w:val="center"/>
            <w:hideMark/>
          </w:tcPr>
          <w:p w14:paraId="6915693C"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Sustainability Due Diligence Directive</w:t>
            </w:r>
          </w:p>
        </w:tc>
      </w:tr>
      <w:tr w:rsidR="00144866" w:rsidRPr="0053182F" w14:paraId="78A08471" w14:textId="77777777" w:rsidTr="00D20468">
        <w:trPr>
          <w:tblCellSpacing w:w="15" w:type="dxa"/>
        </w:trPr>
        <w:tc>
          <w:tcPr>
            <w:tcW w:w="0" w:type="auto"/>
            <w:vAlign w:val="center"/>
            <w:hideMark/>
          </w:tcPr>
          <w:p w14:paraId="592FF56B"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CSRD</w:t>
            </w:r>
          </w:p>
        </w:tc>
        <w:tc>
          <w:tcPr>
            <w:tcW w:w="0" w:type="auto"/>
            <w:vAlign w:val="center"/>
            <w:hideMark/>
          </w:tcPr>
          <w:p w14:paraId="1FE6E9B5"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Sustainability Reporting Directive</w:t>
            </w:r>
          </w:p>
        </w:tc>
      </w:tr>
      <w:tr w:rsidR="00144866" w:rsidRPr="0053182F" w14:paraId="05789DAE" w14:textId="77777777" w:rsidTr="00D20468">
        <w:trPr>
          <w:tblCellSpacing w:w="15" w:type="dxa"/>
        </w:trPr>
        <w:tc>
          <w:tcPr>
            <w:tcW w:w="0" w:type="auto"/>
            <w:vAlign w:val="center"/>
            <w:hideMark/>
          </w:tcPr>
          <w:p w14:paraId="4105CC07"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CSP</w:t>
            </w:r>
          </w:p>
        </w:tc>
        <w:tc>
          <w:tcPr>
            <w:tcW w:w="0" w:type="auto"/>
            <w:vAlign w:val="center"/>
            <w:hideMark/>
          </w:tcPr>
          <w:p w14:paraId="1670EE74"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Social Performance</w:t>
            </w:r>
          </w:p>
        </w:tc>
      </w:tr>
      <w:tr w:rsidR="00144866" w:rsidRPr="0053182F" w14:paraId="34ACE6B4" w14:textId="77777777" w:rsidTr="00D20468">
        <w:trPr>
          <w:tblCellSpacing w:w="15" w:type="dxa"/>
        </w:trPr>
        <w:tc>
          <w:tcPr>
            <w:tcW w:w="0" w:type="auto"/>
            <w:vAlign w:val="center"/>
            <w:hideMark/>
          </w:tcPr>
          <w:p w14:paraId="7F45BEE6"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EC</w:t>
            </w:r>
          </w:p>
        </w:tc>
        <w:tc>
          <w:tcPr>
            <w:tcW w:w="0" w:type="auto"/>
            <w:vAlign w:val="center"/>
            <w:hideMark/>
          </w:tcPr>
          <w:p w14:paraId="31B98194"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European Commission</w:t>
            </w:r>
          </w:p>
        </w:tc>
      </w:tr>
      <w:tr w:rsidR="00144866" w:rsidRPr="0053182F" w14:paraId="7C40904D" w14:textId="77777777" w:rsidTr="00D20468">
        <w:trPr>
          <w:tblCellSpacing w:w="15" w:type="dxa"/>
        </w:trPr>
        <w:tc>
          <w:tcPr>
            <w:tcW w:w="0" w:type="auto"/>
            <w:vAlign w:val="center"/>
            <w:hideMark/>
          </w:tcPr>
          <w:p w14:paraId="681B5C5B"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EFRAG</w:t>
            </w:r>
          </w:p>
        </w:tc>
        <w:tc>
          <w:tcPr>
            <w:tcW w:w="0" w:type="auto"/>
            <w:vAlign w:val="center"/>
            <w:hideMark/>
          </w:tcPr>
          <w:p w14:paraId="7CB30E82"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European Financial Reporting Advisory Group</w:t>
            </w:r>
          </w:p>
        </w:tc>
      </w:tr>
      <w:tr w:rsidR="00144866" w:rsidRPr="0053182F" w14:paraId="09422F95" w14:textId="77777777" w:rsidTr="00D20468">
        <w:trPr>
          <w:tblCellSpacing w:w="15" w:type="dxa"/>
        </w:trPr>
        <w:tc>
          <w:tcPr>
            <w:tcW w:w="0" w:type="auto"/>
            <w:vAlign w:val="center"/>
            <w:hideMark/>
          </w:tcPr>
          <w:p w14:paraId="53ECDC92"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EFRAG SRB</w:t>
            </w:r>
          </w:p>
        </w:tc>
        <w:tc>
          <w:tcPr>
            <w:tcW w:w="0" w:type="auto"/>
            <w:vAlign w:val="center"/>
            <w:hideMark/>
          </w:tcPr>
          <w:p w14:paraId="40D6BDF5"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European Financial Reporting Advisory Group Sustainability Reporting Board</w:t>
            </w:r>
          </w:p>
        </w:tc>
      </w:tr>
      <w:tr w:rsidR="00144866" w:rsidRPr="0053182F" w14:paraId="2F982E7E" w14:textId="77777777" w:rsidTr="00D20468">
        <w:trPr>
          <w:tblCellSpacing w:w="15" w:type="dxa"/>
        </w:trPr>
        <w:tc>
          <w:tcPr>
            <w:tcW w:w="0" w:type="auto"/>
            <w:vAlign w:val="center"/>
            <w:hideMark/>
          </w:tcPr>
          <w:p w14:paraId="4B2816DC"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EFRAG SR TEG</w:t>
            </w:r>
          </w:p>
        </w:tc>
        <w:tc>
          <w:tcPr>
            <w:tcW w:w="0" w:type="auto"/>
            <w:vAlign w:val="center"/>
            <w:hideMark/>
          </w:tcPr>
          <w:p w14:paraId="5C01C472"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European Financial Reporting Advisory Group Sustainability Reporting</w:t>
            </w:r>
          </w:p>
          <w:p w14:paraId="4ADA310A"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 Technical Expert Group</w:t>
            </w:r>
          </w:p>
        </w:tc>
      </w:tr>
      <w:tr w:rsidR="00144866" w:rsidRPr="0053182F" w14:paraId="64D509A8" w14:textId="77777777" w:rsidTr="00D20468">
        <w:trPr>
          <w:tblCellSpacing w:w="15" w:type="dxa"/>
        </w:trPr>
        <w:tc>
          <w:tcPr>
            <w:tcW w:w="0" w:type="auto"/>
            <w:vAlign w:val="center"/>
            <w:hideMark/>
          </w:tcPr>
          <w:p w14:paraId="7C3C53CA"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ESRS</w:t>
            </w:r>
          </w:p>
        </w:tc>
        <w:tc>
          <w:tcPr>
            <w:tcW w:w="0" w:type="auto"/>
            <w:vAlign w:val="center"/>
            <w:hideMark/>
          </w:tcPr>
          <w:p w14:paraId="3167592E"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European Single Reporting Standards</w:t>
            </w:r>
          </w:p>
        </w:tc>
      </w:tr>
      <w:tr w:rsidR="00144866" w:rsidRPr="0053182F" w14:paraId="4B7A6A97" w14:textId="77777777" w:rsidTr="00D20468">
        <w:trPr>
          <w:tblCellSpacing w:w="15" w:type="dxa"/>
        </w:trPr>
        <w:tc>
          <w:tcPr>
            <w:tcW w:w="0" w:type="auto"/>
            <w:vAlign w:val="center"/>
            <w:hideMark/>
          </w:tcPr>
          <w:p w14:paraId="5BE06AF7"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EU</w:t>
            </w:r>
          </w:p>
        </w:tc>
        <w:tc>
          <w:tcPr>
            <w:tcW w:w="0" w:type="auto"/>
            <w:vAlign w:val="center"/>
            <w:hideMark/>
          </w:tcPr>
          <w:p w14:paraId="4B746603"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European Union</w:t>
            </w:r>
          </w:p>
        </w:tc>
      </w:tr>
      <w:tr w:rsidR="00144866" w:rsidRPr="0053182F" w14:paraId="32126CA1" w14:textId="77777777" w:rsidTr="00D20468">
        <w:trPr>
          <w:tblCellSpacing w:w="15" w:type="dxa"/>
        </w:trPr>
        <w:tc>
          <w:tcPr>
            <w:tcW w:w="0" w:type="auto"/>
            <w:vAlign w:val="center"/>
            <w:hideMark/>
          </w:tcPr>
          <w:p w14:paraId="3257F31B"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G500</w:t>
            </w:r>
          </w:p>
        </w:tc>
        <w:tc>
          <w:tcPr>
            <w:tcW w:w="0" w:type="auto"/>
            <w:vAlign w:val="center"/>
            <w:hideMark/>
          </w:tcPr>
          <w:p w14:paraId="73161AE3"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Global 500</w:t>
            </w:r>
          </w:p>
        </w:tc>
      </w:tr>
      <w:tr w:rsidR="00144866" w:rsidRPr="0053182F" w14:paraId="448493A9" w14:textId="77777777" w:rsidTr="00D20468">
        <w:trPr>
          <w:tblCellSpacing w:w="15" w:type="dxa"/>
        </w:trPr>
        <w:tc>
          <w:tcPr>
            <w:tcW w:w="0" w:type="auto"/>
            <w:vAlign w:val="center"/>
            <w:hideMark/>
          </w:tcPr>
          <w:p w14:paraId="07DE2134"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GSI</w:t>
            </w:r>
          </w:p>
        </w:tc>
        <w:tc>
          <w:tcPr>
            <w:tcW w:w="0" w:type="auto"/>
            <w:vAlign w:val="center"/>
            <w:hideMark/>
          </w:tcPr>
          <w:p w14:paraId="6FAC6AA8"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Global Slavery Index</w:t>
            </w:r>
          </w:p>
        </w:tc>
      </w:tr>
      <w:tr w:rsidR="00144866" w:rsidRPr="0053182F" w14:paraId="44B2A70B" w14:textId="77777777" w:rsidTr="00D20468">
        <w:trPr>
          <w:tblCellSpacing w:w="15" w:type="dxa"/>
        </w:trPr>
        <w:tc>
          <w:tcPr>
            <w:tcW w:w="0" w:type="auto"/>
            <w:vAlign w:val="center"/>
          </w:tcPr>
          <w:p w14:paraId="2D219223" w14:textId="77777777" w:rsidR="00144866" w:rsidRPr="0053182F" w:rsidRDefault="00144866" w:rsidP="00D20468">
            <w:pPr>
              <w:spacing w:after="0" w:line="480" w:lineRule="auto"/>
              <w:rPr>
                <w:rFonts w:eastAsia="Times New Roman"/>
                <w:b/>
                <w:bCs/>
                <w:color w:val="auto"/>
                <w:kern w:val="0"/>
                <w:lang w:eastAsia="en-GB"/>
                <w14:ligatures w14:val="none"/>
              </w:rPr>
            </w:pPr>
            <w:r w:rsidRPr="0053182F">
              <w:rPr>
                <w:rFonts w:eastAsia="Times New Roman"/>
                <w:b/>
                <w:bCs/>
                <w:color w:val="auto"/>
                <w:kern w:val="0"/>
                <w:lang w:eastAsia="en-GB"/>
                <w14:ligatures w14:val="none"/>
              </w:rPr>
              <w:t>GVCS</w:t>
            </w:r>
          </w:p>
        </w:tc>
        <w:tc>
          <w:tcPr>
            <w:tcW w:w="0" w:type="auto"/>
            <w:vAlign w:val="center"/>
          </w:tcPr>
          <w:p w14:paraId="7BF01716" w14:textId="77777777" w:rsidR="00144866" w:rsidRPr="0053182F" w:rsidRDefault="00144866" w:rsidP="00D20468">
            <w:pPr>
              <w:spacing w:after="0" w:line="480" w:lineRule="auto"/>
              <w:rPr>
                <w:rFonts w:eastAsia="Times New Roman"/>
                <w:b/>
                <w:bCs/>
                <w:color w:val="auto"/>
                <w:kern w:val="0"/>
                <w:lang w:eastAsia="en-GB"/>
                <w14:ligatures w14:val="none"/>
              </w:rPr>
            </w:pPr>
            <w:r w:rsidRPr="0053182F">
              <w:rPr>
                <w:rStyle w:val="Strong"/>
                <w:b w:val="0"/>
                <w:bCs w:val="0"/>
                <w:color w:val="auto"/>
              </w:rPr>
              <w:t xml:space="preserve">global value chains </w:t>
            </w:r>
          </w:p>
        </w:tc>
      </w:tr>
      <w:tr w:rsidR="00144866" w:rsidRPr="0053182F" w14:paraId="4E2D5910" w14:textId="77777777" w:rsidTr="00D20468">
        <w:trPr>
          <w:tblCellSpacing w:w="15" w:type="dxa"/>
        </w:trPr>
        <w:tc>
          <w:tcPr>
            <w:tcW w:w="0" w:type="auto"/>
            <w:vAlign w:val="center"/>
            <w:hideMark/>
          </w:tcPr>
          <w:p w14:paraId="14BF3B2C"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IASB</w:t>
            </w:r>
          </w:p>
        </w:tc>
        <w:tc>
          <w:tcPr>
            <w:tcW w:w="0" w:type="auto"/>
            <w:vAlign w:val="center"/>
            <w:hideMark/>
          </w:tcPr>
          <w:p w14:paraId="074DC93A"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International Accounting Standards Board</w:t>
            </w:r>
          </w:p>
        </w:tc>
      </w:tr>
      <w:tr w:rsidR="00144866" w:rsidRPr="0053182F" w14:paraId="1054BEBB" w14:textId="77777777" w:rsidTr="00D20468">
        <w:trPr>
          <w:tblCellSpacing w:w="15" w:type="dxa"/>
        </w:trPr>
        <w:tc>
          <w:tcPr>
            <w:tcW w:w="0" w:type="auto"/>
            <w:vAlign w:val="center"/>
            <w:hideMark/>
          </w:tcPr>
          <w:p w14:paraId="3CBE8DFC"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IEQ</w:t>
            </w:r>
          </w:p>
        </w:tc>
        <w:tc>
          <w:tcPr>
            <w:tcW w:w="0" w:type="auto"/>
            <w:vAlign w:val="center"/>
            <w:hideMark/>
          </w:tcPr>
          <w:p w14:paraId="7559C7D9"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Institutional Environment Quality</w:t>
            </w:r>
          </w:p>
        </w:tc>
      </w:tr>
      <w:tr w:rsidR="00144866" w:rsidRPr="0053182F" w14:paraId="53EAF4F0" w14:textId="77777777" w:rsidTr="00D20468">
        <w:trPr>
          <w:tblCellSpacing w:w="15" w:type="dxa"/>
        </w:trPr>
        <w:tc>
          <w:tcPr>
            <w:tcW w:w="0" w:type="auto"/>
            <w:vAlign w:val="center"/>
            <w:hideMark/>
          </w:tcPr>
          <w:p w14:paraId="1E25B8D1"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IHD</w:t>
            </w:r>
          </w:p>
        </w:tc>
        <w:tc>
          <w:tcPr>
            <w:tcW w:w="0" w:type="auto"/>
            <w:vAlign w:val="center"/>
            <w:hideMark/>
          </w:tcPr>
          <w:p w14:paraId="282FFC33"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Inequality-Adjusted Human Development</w:t>
            </w:r>
          </w:p>
        </w:tc>
      </w:tr>
      <w:tr w:rsidR="00144866" w:rsidRPr="0053182F" w14:paraId="5E164585" w14:textId="77777777" w:rsidTr="00D20468">
        <w:trPr>
          <w:tblCellSpacing w:w="15" w:type="dxa"/>
        </w:trPr>
        <w:tc>
          <w:tcPr>
            <w:tcW w:w="0" w:type="auto"/>
            <w:vAlign w:val="center"/>
            <w:hideMark/>
          </w:tcPr>
          <w:p w14:paraId="77C36ECE"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IHDI</w:t>
            </w:r>
          </w:p>
        </w:tc>
        <w:tc>
          <w:tcPr>
            <w:tcW w:w="0" w:type="auto"/>
            <w:vAlign w:val="center"/>
            <w:hideMark/>
          </w:tcPr>
          <w:p w14:paraId="1F7EC9F4"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Inequality-Adjusted Human Development Index</w:t>
            </w:r>
          </w:p>
        </w:tc>
      </w:tr>
      <w:tr w:rsidR="00144866" w:rsidRPr="0053182F" w14:paraId="23270F75" w14:textId="77777777" w:rsidTr="00D20468">
        <w:trPr>
          <w:tblCellSpacing w:w="15" w:type="dxa"/>
        </w:trPr>
        <w:tc>
          <w:tcPr>
            <w:tcW w:w="0" w:type="auto"/>
            <w:vAlign w:val="center"/>
            <w:hideMark/>
          </w:tcPr>
          <w:p w14:paraId="1775DBC8"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ILO</w:t>
            </w:r>
          </w:p>
        </w:tc>
        <w:tc>
          <w:tcPr>
            <w:tcW w:w="0" w:type="auto"/>
            <w:vAlign w:val="center"/>
            <w:hideMark/>
          </w:tcPr>
          <w:p w14:paraId="1F7D40AE"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International Labour Organization</w:t>
            </w:r>
          </w:p>
        </w:tc>
      </w:tr>
      <w:tr w:rsidR="00144866" w:rsidRPr="0053182F" w14:paraId="481A84C3" w14:textId="77777777" w:rsidTr="00D20468">
        <w:trPr>
          <w:tblCellSpacing w:w="15" w:type="dxa"/>
        </w:trPr>
        <w:tc>
          <w:tcPr>
            <w:tcW w:w="0" w:type="auto"/>
            <w:vAlign w:val="center"/>
            <w:hideMark/>
          </w:tcPr>
          <w:p w14:paraId="2C88B07B"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ISSB</w:t>
            </w:r>
          </w:p>
        </w:tc>
        <w:tc>
          <w:tcPr>
            <w:tcW w:w="0" w:type="auto"/>
            <w:vAlign w:val="center"/>
            <w:hideMark/>
          </w:tcPr>
          <w:p w14:paraId="12E72246"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International Sustainability Standards Board</w:t>
            </w:r>
          </w:p>
        </w:tc>
      </w:tr>
      <w:tr w:rsidR="00144866" w:rsidRPr="0053182F" w14:paraId="49FD8181" w14:textId="77777777" w:rsidTr="00D20468">
        <w:trPr>
          <w:tblCellSpacing w:w="15" w:type="dxa"/>
        </w:trPr>
        <w:tc>
          <w:tcPr>
            <w:tcW w:w="0" w:type="auto"/>
            <w:vAlign w:val="center"/>
            <w:hideMark/>
          </w:tcPr>
          <w:p w14:paraId="3C64028F"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MNCs</w:t>
            </w:r>
          </w:p>
        </w:tc>
        <w:tc>
          <w:tcPr>
            <w:tcW w:w="0" w:type="auto"/>
            <w:vAlign w:val="center"/>
            <w:hideMark/>
          </w:tcPr>
          <w:p w14:paraId="63C2F9FE"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Multinational Corporations</w:t>
            </w:r>
          </w:p>
        </w:tc>
      </w:tr>
      <w:tr w:rsidR="00144866" w:rsidRPr="0053182F" w14:paraId="65298C3C" w14:textId="77777777" w:rsidTr="00D20468">
        <w:trPr>
          <w:tblCellSpacing w:w="15" w:type="dxa"/>
        </w:trPr>
        <w:tc>
          <w:tcPr>
            <w:tcW w:w="0" w:type="auto"/>
            <w:vAlign w:val="center"/>
            <w:hideMark/>
          </w:tcPr>
          <w:p w14:paraId="1D5E11D9"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MS</w:t>
            </w:r>
          </w:p>
        </w:tc>
        <w:tc>
          <w:tcPr>
            <w:tcW w:w="0" w:type="auto"/>
            <w:vAlign w:val="center"/>
            <w:hideMark/>
          </w:tcPr>
          <w:p w14:paraId="3CDF7F75"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MS </w:t>
            </w:r>
          </w:p>
        </w:tc>
      </w:tr>
      <w:tr w:rsidR="00144866" w:rsidRPr="0053182F" w14:paraId="771E68F8" w14:textId="77777777" w:rsidTr="00D20468">
        <w:trPr>
          <w:tblCellSpacing w:w="15" w:type="dxa"/>
        </w:trPr>
        <w:tc>
          <w:tcPr>
            <w:tcW w:w="0" w:type="auto"/>
            <w:vAlign w:val="center"/>
            <w:hideMark/>
          </w:tcPr>
          <w:p w14:paraId="05F5C6BF"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MSA</w:t>
            </w:r>
          </w:p>
        </w:tc>
        <w:tc>
          <w:tcPr>
            <w:tcW w:w="0" w:type="auto"/>
            <w:vAlign w:val="center"/>
            <w:hideMark/>
          </w:tcPr>
          <w:p w14:paraId="40D644E9"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MS Act</w:t>
            </w:r>
          </w:p>
        </w:tc>
      </w:tr>
      <w:tr w:rsidR="00144866" w:rsidRPr="0053182F" w14:paraId="6B687BEB" w14:textId="77777777" w:rsidTr="00D20468">
        <w:trPr>
          <w:tblCellSpacing w:w="15" w:type="dxa"/>
        </w:trPr>
        <w:tc>
          <w:tcPr>
            <w:tcW w:w="0" w:type="auto"/>
            <w:vAlign w:val="center"/>
            <w:hideMark/>
          </w:tcPr>
          <w:p w14:paraId="64ADF97D"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MSS</w:t>
            </w:r>
          </w:p>
        </w:tc>
        <w:tc>
          <w:tcPr>
            <w:tcW w:w="0" w:type="auto"/>
            <w:vAlign w:val="center"/>
            <w:hideMark/>
          </w:tcPr>
          <w:p w14:paraId="014912F2"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Modern Slavery Statement</w:t>
            </w:r>
          </w:p>
        </w:tc>
      </w:tr>
      <w:tr w:rsidR="00144866" w:rsidRPr="0053182F" w14:paraId="7AB48FB4" w14:textId="77777777" w:rsidTr="00D20468">
        <w:trPr>
          <w:tblCellSpacing w:w="15" w:type="dxa"/>
        </w:trPr>
        <w:tc>
          <w:tcPr>
            <w:tcW w:w="0" w:type="auto"/>
            <w:vAlign w:val="center"/>
            <w:hideMark/>
          </w:tcPr>
          <w:p w14:paraId="2266D472"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NIT</w:t>
            </w:r>
          </w:p>
        </w:tc>
        <w:tc>
          <w:tcPr>
            <w:tcW w:w="0" w:type="auto"/>
            <w:vAlign w:val="center"/>
            <w:hideMark/>
          </w:tcPr>
          <w:p w14:paraId="5DF0D1FC"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Neo-Institutional Theory</w:t>
            </w:r>
          </w:p>
        </w:tc>
      </w:tr>
      <w:tr w:rsidR="00144866" w:rsidRPr="0053182F" w14:paraId="659765E0" w14:textId="77777777" w:rsidTr="00D20468">
        <w:trPr>
          <w:tblCellSpacing w:w="15" w:type="dxa"/>
        </w:trPr>
        <w:tc>
          <w:tcPr>
            <w:tcW w:w="0" w:type="auto"/>
            <w:vAlign w:val="center"/>
            <w:hideMark/>
          </w:tcPr>
          <w:p w14:paraId="7BF9E074"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SGIs</w:t>
            </w:r>
          </w:p>
        </w:tc>
        <w:tc>
          <w:tcPr>
            <w:tcW w:w="0" w:type="auto"/>
            <w:vAlign w:val="center"/>
            <w:hideMark/>
          </w:tcPr>
          <w:p w14:paraId="3C24A9EB"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Sustainability Governance Initiatives</w:t>
            </w:r>
          </w:p>
        </w:tc>
      </w:tr>
      <w:tr w:rsidR="00144866" w:rsidRPr="0053182F" w14:paraId="4E026E87" w14:textId="77777777" w:rsidTr="00D20468">
        <w:trPr>
          <w:tblCellSpacing w:w="15" w:type="dxa"/>
        </w:trPr>
        <w:tc>
          <w:tcPr>
            <w:tcW w:w="0" w:type="auto"/>
            <w:vAlign w:val="center"/>
            <w:hideMark/>
          </w:tcPr>
          <w:p w14:paraId="7C2C237B"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SASB</w:t>
            </w:r>
          </w:p>
        </w:tc>
        <w:tc>
          <w:tcPr>
            <w:tcW w:w="0" w:type="auto"/>
            <w:vAlign w:val="center"/>
            <w:hideMark/>
          </w:tcPr>
          <w:p w14:paraId="445A0F1C"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Sustainability Accounting Standards Board</w:t>
            </w:r>
          </w:p>
        </w:tc>
      </w:tr>
      <w:tr w:rsidR="00144866" w:rsidRPr="0053182F" w14:paraId="4D58220D" w14:textId="77777777" w:rsidTr="00D20468">
        <w:trPr>
          <w:tblCellSpacing w:w="15" w:type="dxa"/>
        </w:trPr>
        <w:tc>
          <w:tcPr>
            <w:tcW w:w="0" w:type="auto"/>
            <w:vAlign w:val="center"/>
            <w:hideMark/>
          </w:tcPr>
          <w:p w14:paraId="4E570436"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UDHR</w:t>
            </w:r>
          </w:p>
        </w:tc>
        <w:tc>
          <w:tcPr>
            <w:tcW w:w="0" w:type="auto"/>
            <w:vAlign w:val="center"/>
            <w:hideMark/>
          </w:tcPr>
          <w:p w14:paraId="7B497D48"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Universal Declaration of Human Rights</w:t>
            </w:r>
          </w:p>
        </w:tc>
      </w:tr>
      <w:tr w:rsidR="00144866" w:rsidRPr="0053182F" w14:paraId="6BFDBD8E" w14:textId="77777777" w:rsidTr="00D20468">
        <w:trPr>
          <w:tblCellSpacing w:w="15" w:type="dxa"/>
        </w:trPr>
        <w:tc>
          <w:tcPr>
            <w:tcW w:w="0" w:type="auto"/>
            <w:vAlign w:val="center"/>
            <w:hideMark/>
          </w:tcPr>
          <w:p w14:paraId="491F1FF8"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UN</w:t>
            </w:r>
          </w:p>
        </w:tc>
        <w:tc>
          <w:tcPr>
            <w:tcW w:w="0" w:type="auto"/>
            <w:vAlign w:val="center"/>
            <w:hideMark/>
          </w:tcPr>
          <w:p w14:paraId="4A1A3F5D"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United Nations</w:t>
            </w:r>
          </w:p>
        </w:tc>
      </w:tr>
      <w:tr w:rsidR="00144866" w:rsidRPr="0053182F" w14:paraId="523D688D" w14:textId="77777777" w:rsidTr="00D20468">
        <w:trPr>
          <w:tblCellSpacing w:w="15" w:type="dxa"/>
        </w:trPr>
        <w:tc>
          <w:tcPr>
            <w:tcW w:w="0" w:type="auto"/>
            <w:vAlign w:val="center"/>
            <w:hideMark/>
          </w:tcPr>
          <w:p w14:paraId="005DEA93"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UNGP</w:t>
            </w:r>
          </w:p>
        </w:tc>
        <w:tc>
          <w:tcPr>
            <w:tcW w:w="0" w:type="auto"/>
            <w:vAlign w:val="center"/>
            <w:hideMark/>
          </w:tcPr>
          <w:p w14:paraId="2DFCB1CA"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United Nations Guiding Principles</w:t>
            </w:r>
          </w:p>
        </w:tc>
      </w:tr>
      <w:tr w:rsidR="00144866" w:rsidRPr="0053182F" w14:paraId="601BF1C9" w14:textId="77777777" w:rsidTr="00D20468">
        <w:trPr>
          <w:tblCellSpacing w:w="15" w:type="dxa"/>
        </w:trPr>
        <w:tc>
          <w:tcPr>
            <w:tcW w:w="0" w:type="auto"/>
            <w:vAlign w:val="center"/>
            <w:hideMark/>
          </w:tcPr>
          <w:p w14:paraId="18E0CD1B"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UNHRC</w:t>
            </w:r>
          </w:p>
        </w:tc>
        <w:tc>
          <w:tcPr>
            <w:tcW w:w="0" w:type="auto"/>
            <w:vAlign w:val="center"/>
            <w:hideMark/>
          </w:tcPr>
          <w:p w14:paraId="03293D29"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United Nations Human Rights Council</w:t>
            </w:r>
          </w:p>
        </w:tc>
      </w:tr>
      <w:tr w:rsidR="00144866" w:rsidRPr="0053182F" w14:paraId="0289C895" w14:textId="77777777" w:rsidTr="00D20468">
        <w:trPr>
          <w:tblCellSpacing w:w="15" w:type="dxa"/>
        </w:trPr>
        <w:tc>
          <w:tcPr>
            <w:tcW w:w="0" w:type="auto"/>
            <w:vAlign w:val="center"/>
            <w:hideMark/>
          </w:tcPr>
          <w:p w14:paraId="2B178616"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UN-SDG</w:t>
            </w:r>
          </w:p>
        </w:tc>
        <w:tc>
          <w:tcPr>
            <w:tcW w:w="0" w:type="auto"/>
            <w:vAlign w:val="center"/>
            <w:hideMark/>
          </w:tcPr>
          <w:p w14:paraId="407FD136"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United Nations Sustainable Development Goal</w:t>
            </w:r>
          </w:p>
        </w:tc>
      </w:tr>
      <w:tr w:rsidR="00144866" w:rsidRPr="0053182F" w14:paraId="6E79A067" w14:textId="77777777" w:rsidTr="00D20468">
        <w:trPr>
          <w:tblCellSpacing w:w="15" w:type="dxa"/>
        </w:trPr>
        <w:tc>
          <w:tcPr>
            <w:tcW w:w="0" w:type="auto"/>
            <w:tcBorders>
              <w:bottom w:val="single" w:sz="4" w:space="0" w:color="auto"/>
            </w:tcBorders>
            <w:vAlign w:val="center"/>
            <w:hideMark/>
          </w:tcPr>
          <w:p w14:paraId="7AE0A5F0" w14:textId="77777777" w:rsidR="00144866" w:rsidRPr="0053182F" w:rsidRDefault="00144866" w:rsidP="00D20468">
            <w:pPr>
              <w:spacing w:after="0" w:line="480" w:lineRule="auto"/>
              <w:rPr>
                <w:rFonts w:eastAsia="Times New Roman"/>
                <w:b/>
                <w:bCs/>
                <w:color w:val="auto"/>
                <w:kern w:val="0"/>
                <w:lang w:eastAsia="en-GB"/>
                <w14:ligatures w14:val="none"/>
              </w:rPr>
            </w:pPr>
            <w:r w:rsidRPr="0053182F">
              <w:rPr>
                <w:rFonts w:eastAsia="Times New Roman"/>
                <w:b/>
                <w:bCs/>
                <w:color w:val="auto"/>
                <w:kern w:val="0"/>
                <w:lang w:eastAsia="en-GB"/>
                <w14:ligatures w14:val="none"/>
              </w:rPr>
              <w:t>WGI</w:t>
            </w:r>
          </w:p>
          <w:p w14:paraId="174ACFAB" w14:textId="77777777" w:rsidR="00144866" w:rsidRPr="0053182F" w:rsidRDefault="00144866" w:rsidP="00D20468">
            <w:pPr>
              <w:spacing w:after="0" w:line="480" w:lineRule="auto"/>
              <w:rPr>
                <w:rFonts w:eastAsia="Times New Roman"/>
                <w:b/>
                <w:bCs/>
                <w:color w:val="auto"/>
                <w:kern w:val="0"/>
                <w:lang w:eastAsia="en-GB"/>
                <w14:ligatures w14:val="none"/>
              </w:rPr>
            </w:pPr>
            <w:r w:rsidRPr="0053182F">
              <w:rPr>
                <w:rFonts w:eastAsia="Times New Roman"/>
                <w:b/>
                <w:bCs/>
                <w:color w:val="auto"/>
                <w:kern w:val="0"/>
                <w:lang w:eastAsia="en-GB"/>
                <w14:ligatures w14:val="none"/>
              </w:rPr>
              <w:t>ILO</w:t>
            </w:r>
          </w:p>
          <w:p w14:paraId="2C0D97AF" w14:textId="77777777" w:rsidR="00144866" w:rsidRPr="0053182F" w:rsidRDefault="00144866" w:rsidP="00D20468">
            <w:pPr>
              <w:spacing w:after="0" w:line="480" w:lineRule="auto"/>
            </w:pPr>
            <w:r w:rsidRPr="0053182F">
              <w:t>(IQRs)</w:t>
            </w:r>
          </w:p>
          <w:p w14:paraId="6C1415D5" w14:textId="77777777" w:rsidR="00144866" w:rsidRPr="0053182F" w:rsidRDefault="00144866" w:rsidP="00D20468">
            <w:pPr>
              <w:spacing w:after="0" w:line="480" w:lineRule="auto"/>
              <w:rPr>
                <w:lang w:eastAsia="en-GB"/>
              </w:rPr>
            </w:pPr>
            <w:r w:rsidRPr="0053182F">
              <w:rPr>
                <w:lang w:eastAsia="en-GB"/>
              </w:rPr>
              <w:t>BHRRC</w:t>
            </w:r>
          </w:p>
          <w:p w14:paraId="60363C11" w14:textId="77777777" w:rsidR="00417238" w:rsidRDefault="00417238" w:rsidP="00D20468">
            <w:pPr>
              <w:spacing w:after="0" w:line="480" w:lineRule="auto"/>
              <w:rPr>
                <w:rStyle w:val="normaltextrun"/>
                <w:rFonts w:eastAsiaTheme="minorEastAsia"/>
              </w:rPr>
            </w:pPr>
            <w:r w:rsidRPr="0053182F">
              <w:rPr>
                <w:rStyle w:val="normaltextrun"/>
                <w:rFonts w:eastAsiaTheme="minorEastAsia"/>
              </w:rPr>
              <w:t xml:space="preserve">(CSIR) </w:t>
            </w:r>
          </w:p>
          <w:p w14:paraId="2A5895A8" w14:textId="77777777" w:rsidR="00F4419D" w:rsidRDefault="00F4419D" w:rsidP="00D20468">
            <w:pPr>
              <w:spacing w:after="0" w:line="480" w:lineRule="auto"/>
              <w:rPr>
                <w:rStyle w:val="normaltextrun"/>
                <w:rFonts w:eastAsiaTheme="minorEastAsia"/>
              </w:rPr>
            </w:pPr>
            <w:r>
              <w:rPr>
                <w:rStyle w:val="normaltextrun"/>
                <w:rFonts w:eastAsiaTheme="minorEastAsia"/>
              </w:rPr>
              <w:t>GDP</w:t>
            </w:r>
          </w:p>
          <w:p w14:paraId="2080CFC5" w14:textId="43F5B5E4" w:rsidR="00F4419D" w:rsidRPr="0053182F" w:rsidRDefault="00F4419D" w:rsidP="00D20468">
            <w:pPr>
              <w:spacing w:after="0" w:line="480" w:lineRule="auto"/>
              <w:rPr>
                <w:rFonts w:eastAsia="Times New Roman"/>
                <w:color w:val="auto"/>
                <w:kern w:val="0"/>
                <w:lang w:eastAsia="en-GB"/>
                <w14:ligatures w14:val="none"/>
              </w:rPr>
            </w:pPr>
            <w:r>
              <w:rPr>
                <w:rFonts w:eastAsia="Times New Roman"/>
                <w:color w:val="auto"/>
                <w:kern w:val="0"/>
                <w:lang w:eastAsia="en-GB"/>
                <w14:ligatures w14:val="none"/>
              </w:rPr>
              <w:t>FDI</w:t>
            </w:r>
          </w:p>
        </w:tc>
        <w:tc>
          <w:tcPr>
            <w:tcW w:w="0" w:type="auto"/>
            <w:tcBorders>
              <w:bottom w:val="single" w:sz="4" w:space="0" w:color="auto"/>
            </w:tcBorders>
            <w:vAlign w:val="center"/>
            <w:hideMark/>
          </w:tcPr>
          <w:p w14:paraId="08AF7F14"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World Governance Indicators</w:t>
            </w:r>
          </w:p>
          <w:p w14:paraId="4FAAD2D2" w14:textId="77777777" w:rsidR="00144866" w:rsidRPr="0053182F" w:rsidRDefault="00144866" w:rsidP="00D20468">
            <w:pPr>
              <w:spacing w:after="0" w:line="480" w:lineRule="auto"/>
              <w:rPr>
                <w:rFonts w:eastAsia="Times New Roman"/>
                <w:color w:val="auto"/>
                <w:kern w:val="0"/>
                <w:lang w:eastAsia="en-GB"/>
                <w14:ligatures w14:val="none"/>
              </w:rPr>
            </w:pPr>
            <w:r w:rsidRPr="0053182F">
              <w:rPr>
                <w:rFonts w:eastAsia="Times New Roman"/>
                <w:color w:val="auto"/>
                <w:kern w:val="0"/>
                <w:lang w:eastAsia="en-GB"/>
                <w14:ligatures w14:val="none"/>
              </w:rPr>
              <w:t>International Labour Organisation</w:t>
            </w:r>
          </w:p>
          <w:p w14:paraId="676690BD" w14:textId="77777777" w:rsidR="00144866" w:rsidRPr="0053182F" w:rsidRDefault="00144866" w:rsidP="00D20468">
            <w:pPr>
              <w:spacing w:after="0" w:line="480" w:lineRule="auto"/>
            </w:pPr>
            <w:r w:rsidRPr="0053182F">
              <w:t>identical interquartile ranges (IQRs)</w:t>
            </w:r>
          </w:p>
          <w:p w14:paraId="4F971EBC" w14:textId="77777777" w:rsidR="00144866" w:rsidRPr="0053182F" w:rsidRDefault="00144866" w:rsidP="00D20468">
            <w:pPr>
              <w:spacing w:after="0" w:line="480" w:lineRule="auto"/>
              <w:rPr>
                <w:rFonts w:eastAsia="Times New Roman"/>
              </w:rPr>
            </w:pPr>
            <w:r w:rsidRPr="0053182F">
              <w:rPr>
                <w:rFonts w:eastAsia="Times New Roman"/>
                <w:highlight w:val="yellow"/>
              </w:rPr>
              <w:t xml:space="preserve">Business and </w:t>
            </w:r>
            <w:r w:rsidR="00417238" w:rsidRPr="0053182F">
              <w:rPr>
                <w:rFonts w:eastAsia="Times New Roman"/>
                <w:highlight w:val="yellow"/>
              </w:rPr>
              <w:t>Human Rights Resource C</w:t>
            </w:r>
            <w:r w:rsidRPr="0053182F">
              <w:rPr>
                <w:rFonts w:eastAsia="Times New Roman"/>
                <w:highlight w:val="yellow"/>
              </w:rPr>
              <w:t>entre</w:t>
            </w:r>
          </w:p>
          <w:p w14:paraId="4434A691" w14:textId="77777777" w:rsidR="00417238" w:rsidRDefault="00417238" w:rsidP="00D20468">
            <w:pPr>
              <w:spacing w:after="0" w:line="480" w:lineRule="auto"/>
              <w:rPr>
                <w:rStyle w:val="normaltextrun"/>
                <w:rFonts w:eastAsiaTheme="minorEastAsia"/>
              </w:rPr>
            </w:pPr>
            <w:r w:rsidRPr="0053182F">
              <w:rPr>
                <w:rStyle w:val="normaltextrun"/>
                <w:rFonts w:eastAsiaTheme="minorEastAsia"/>
              </w:rPr>
              <w:t xml:space="preserve">Corporate social irresponsibility (CSIR) </w:t>
            </w:r>
          </w:p>
          <w:p w14:paraId="5B3A0910" w14:textId="77777777" w:rsidR="00F4419D" w:rsidRDefault="00F4419D" w:rsidP="00D20468">
            <w:pPr>
              <w:spacing w:after="0" w:line="480" w:lineRule="auto"/>
            </w:pPr>
            <w:r>
              <w:t xml:space="preserve">gross demoestic production </w:t>
            </w:r>
          </w:p>
          <w:p w14:paraId="64CB8351" w14:textId="48C2B755" w:rsidR="00F4419D" w:rsidRPr="0053182F" w:rsidRDefault="00F4419D" w:rsidP="00D20468">
            <w:pPr>
              <w:spacing w:after="0" w:line="480" w:lineRule="auto"/>
              <w:rPr>
                <w:rFonts w:eastAsia="Times New Roman"/>
                <w:b/>
                <w:bCs/>
                <w:color w:val="auto"/>
                <w:kern w:val="0"/>
                <w:lang w:eastAsia="en-GB"/>
                <w14:ligatures w14:val="none"/>
              </w:rPr>
            </w:pPr>
            <w:r>
              <w:t>Foreign direct investment</w:t>
            </w:r>
          </w:p>
        </w:tc>
      </w:tr>
    </w:tbl>
    <w:p w14:paraId="4B0B716C" w14:textId="77777777" w:rsidR="00144866" w:rsidRPr="0053182F" w:rsidRDefault="00144866" w:rsidP="00144866">
      <w:pPr>
        <w:spacing w:line="480" w:lineRule="auto"/>
        <w:rPr>
          <w:color w:val="auto"/>
        </w:rPr>
      </w:pPr>
    </w:p>
    <w:p w14:paraId="110B2C8E" w14:textId="77777777" w:rsidR="00144866" w:rsidRPr="0053182F" w:rsidRDefault="00144866" w:rsidP="00144866">
      <w:pPr>
        <w:rPr>
          <w:color w:val="auto"/>
        </w:rPr>
      </w:pPr>
    </w:p>
    <w:p w14:paraId="74B901C6" w14:textId="77777777" w:rsidR="00144866" w:rsidRPr="0053182F" w:rsidRDefault="00144866" w:rsidP="00144866">
      <w:pPr>
        <w:pStyle w:val="Heading1"/>
        <w:rPr>
          <w:rFonts w:cs="Times New Roman"/>
        </w:rPr>
      </w:pPr>
      <w:r w:rsidRPr="0053182F">
        <w:rPr>
          <w:rFonts w:cs="Times New Roman"/>
        </w:rPr>
        <w:br w:type="page"/>
      </w:r>
    </w:p>
    <w:p w14:paraId="7885FFFD" w14:textId="77777777" w:rsidR="00144866" w:rsidRPr="0053182F" w:rsidRDefault="00144866" w:rsidP="00144866">
      <w:pPr>
        <w:pStyle w:val="Heading1"/>
        <w:rPr>
          <w:rFonts w:cs="Times New Roman"/>
        </w:rPr>
      </w:pPr>
      <w:bookmarkStart w:id="10" w:name="_Toc218357054"/>
      <w:r w:rsidRPr="0053182F">
        <w:rPr>
          <w:rFonts w:cs="Times New Roman"/>
        </w:rPr>
        <w:t>Chapter 1</w:t>
      </w:r>
      <w:bookmarkEnd w:id="10"/>
    </w:p>
    <w:p w14:paraId="47BA7EE0" w14:textId="77777777" w:rsidR="00144866" w:rsidRPr="0053182F" w:rsidRDefault="00144866" w:rsidP="00144866">
      <w:pPr>
        <w:pStyle w:val="Heading2"/>
      </w:pPr>
      <w:bookmarkStart w:id="11" w:name="_Toc218357055"/>
      <w:r w:rsidRPr="0053182F">
        <w:t>1.1 Preamble</w:t>
      </w:r>
      <w:bookmarkEnd w:id="11"/>
    </w:p>
    <w:p w14:paraId="58A23BDA" w14:textId="4C3B935A" w:rsidR="00144866" w:rsidRPr="0053182F" w:rsidRDefault="00144866" w:rsidP="00144866">
      <w:pPr>
        <w:spacing w:after="0" w:line="480" w:lineRule="auto"/>
        <w:jc w:val="both"/>
        <w:rPr>
          <w:color w:val="auto"/>
        </w:rPr>
      </w:pPr>
      <w:r w:rsidRPr="0053182F">
        <w:rPr>
          <w:color w:val="auto"/>
        </w:rPr>
        <w:t xml:space="preserve">Modern Slavery (MS) remains one of the most severe and enduring human rights violations of the twenty-first century  </w:t>
      </w:r>
      <w:sdt>
        <w:sdtPr>
          <w:tag w:val="MENDELEY_CITATION_v3_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"/>
          <w:id w:val="-415788873"/>
          <w:placeholder>
            <w:docPart w:val="C17212FE2D704549862DED682A3B8976"/>
          </w:placeholder>
        </w:sdtPr>
        <w:sdtContent>
          <w:r w:rsidR="00CC1788" w:rsidRPr="0053182F">
            <w:t>(Walk Free and Minderoo, 2018; Meehan and Bruce D. Pinnington, 2021; Muthuthantrige et al., 2026)</w:t>
          </w:r>
        </w:sdtContent>
      </w:sdt>
      <w:r w:rsidRPr="0053182F">
        <w:rPr>
          <w:color w:val="auto"/>
        </w:rPr>
        <w:t xml:space="preserve">. Despite the proliferation of international conventions, national legislations, and corporate pledges to eradicate it, millions of individuals continue to be subjected to forced labour, debt bondage, and exploitative working conditions across global supply chains </w:t>
      </w:r>
      <w:sdt>
        <w:sdtPr>
          <w:tag w:val="MENDELEY_CITATION_v3_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"/>
          <w:id w:val="284781461"/>
          <w:placeholder>
            <w:docPart w:val="C17212FE2D704549862DED682A3B8976"/>
          </w:placeholder>
        </w:sdtPr>
        <w:sdtContent>
          <w:r w:rsidR="00CC1788" w:rsidRPr="0053182F">
            <w:t>(Houqe and Khan, 2025; ILO, 2022a; Walk Free, 2025)</w:t>
          </w:r>
        </w:sdtContent>
      </w:sdt>
      <w:r w:rsidRPr="0053182F">
        <w:rPr>
          <w:color w:val="auto"/>
        </w:rPr>
        <w:t>. The persistence of such exploitation, even within the supply chain of the world’s most profitable multinational corporations (MNCs), signals not merely a governance failure but a profound structural contradiction within contemporary global capitalism.</w:t>
      </w:r>
    </w:p>
    <w:p w14:paraId="62DF0A49" w14:textId="77777777" w:rsidR="00144866" w:rsidRPr="0053182F" w:rsidRDefault="00144866" w:rsidP="00144866">
      <w:pPr>
        <w:spacing w:after="0" w:line="480" w:lineRule="auto"/>
        <w:ind w:firstLine="720"/>
        <w:jc w:val="both"/>
        <w:rPr>
          <w:color w:val="auto"/>
        </w:rPr>
      </w:pPr>
      <w:r w:rsidRPr="0053182F">
        <w:rPr>
          <w:color w:val="auto"/>
        </w:rPr>
        <w:t xml:space="preserve">As a researcher, this study sees MS having two distinct dimensions. First, there is a problematic reality in identifying the factors that influence MS in business. Second, there is an academic and scientific necessity to explore these exploitative practices in depth. The first dimension of this study addresses the problematic reality of MS in business, which manifests at two interconnected levels:  the statistical level and the workers’ reality. At the statistical level, an MS in business is constructed as aggregated realities formed through various governance apparatuses. These apparatuses compile data from corporate-level disclosures, audits, and compliance reports, synthesising them into global statistics that shape international governance frameworks. The cumulative impact of individual company practices aggregates into macro-level data, contributing to widely referenced statistics on MS in business. </w:t>
      </w:r>
    </w:p>
    <w:p w14:paraId="219A8889" w14:textId="44A0CF62" w:rsidR="00144866" w:rsidRPr="0053182F" w:rsidRDefault="00144866" w:rsidP="00144866">
      <w:pPr>
        <w:spacing w:after="0" w:line="480" w:lineRule="auto"/>
        <w:ind w:firstLine="720"/>
        <w:jc w:val="both"/>
        <w:rPr>
          <w:color w:val="auto"/>
        </w:rPr>
      </w:pPr>
      <w:r w:rsidRPr="0053182F">
        <w:rPr>
          <w:color w:val="auto"/>
        </w:rPr>
        <w:t xml:space="preserve">These aggregated statistics drive global governance regimes, such as the UN-SDGs, the Global Slavery Index (GSI), and the ILO’s global reports, which aim to address labour exploitation through policy, regulation, agreements, and stakeholder engagement. For instance, global governance frameworks, such as the UN-SDGs, explicitly target the eradication of forced labour and promote corporate accountability and human rights </w:t>
      </w:r>
      <w:sdt>
        <w:sdtPr>
          <w:tag w:val="MENDELEY_CITATION_v3_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"/>
          <w:id w:val="253091865"/>
          <w:placeholder>
            <w:docPart w:val="CFB53A86FDD84D6684879E9B77C253F3"/>
          </w:placeholder>
        </w:sdtPr>
        <w:sdtContent>
          <w:r w:rsidR="00CC1788" w:rsidRPr="0053182F">
            <w:t>(United Nations, 2015a)</w:t>
          </w:r>
        </w:sdtContent>
      </w:sdt>
      <w:r w:rsidRPr="0053182F">
        <w:rPr>
          <w:color w:val="auto"/>
        </w:rPr>
        <w:t xml:space="preserve">. These global data-driven governance frameworks help identify more or less generalisable factors influencing MS practices in business, such as child labour, forced labour, non-decent working conditions, discrimination, and suppression of freedom of association </w:t>
      </w:r>
      <w:sdt>
        <w:sdtPr>
          <w:tag w:val="MENDELEY_CITATION_v3_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"/>
          <w:id w:val="-331916121"/>
          <w:placeholder>
            <w:docPart w:val="C17212FE2D704549862DED682A3B8976"/>
          </w:placeholder>
        </w:sdtPr>
        <w:sdtContent>
          <w:r w:rsidR="00CC1788" w:rsidRPr="0053182F">
            <w:rPr>
              <w:rFonts w:eastAsia="Times New Roman"/>
            </w:rPr>
            <w:t>(Walk Free and Minderoo, 2018; Christ et al., 2023; Uddin et al., 2023)</w:t>
          </w:r>
        </w:sdtContent>
      </w:sdt>
      <w:r w:rsidRPr="0053182F">
        <w:rPr>
          <w:color w:val="auto"/>
        </w:rPr>
        <w:t>. Understanding these global statistics is essential for uncovering the structural factors driving MS practices in business and shaping international policies.</w:t>
      </w:r>
    </w:p>
    <w:p w14:paraId="4074A678" w14:textId="23355F0C"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However, while data-driven global governance apparatus provides critical insights into systemic exploitation, they often fail to capture the nuanced realities at the micro level </w:t>
      </w:r>
      <w:sdt>
        <w:sdtPr>
          <w:tag w:val="MENDELEY_CITATION_v3_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
          <w:id w:val="-1057546211"/>
          <w:placeholder>
            <w:docPart w:val="6FB67AD46D624190BA8D2C2A55B4F67B"/>
          </w:placeholder>
        </w:sdtPr>
        <w:sdtContent>
          <w:r w:rsidR="00CC1788" w:rsidRPr="0053182F">
            <w:rPr>
              <w:rFonts w:eastAsia="Times New Roman"/>
            </w:rPr>
            <w:t>(Gold et al., 2015; Albitar et al., 2025)</w:t>
          </w:r>
        </w:sdtContent>
      </w:sdt>
      <w:r w:rsidRPr="0053182F">
        <w:rPr>
          <w:rFonts w:eastAsia="Times New Roman"/>
          <w:color w:val="auto"/>
        </w:rPr>
        <w:t>. Localised experiences of MS practices in business—particularly in developing economies—often differ significantly from the aggregated data presented at the corporate or global level. For instance, the lived realities of workers in regions with systemic socio-economic vulnerabilities may be obscured or excluded in global statistics. This disconnect highlights the need to critically examine how global statistical frameworks are constructed and how they reflect or obscure workers lived experiences.</w:t>
      </w:r>
    </w:p>
    <w:p w14:paraId="562313FF" w14:textId="0F3CDCBD" w:rsidR="00144866" w:rsidRPr="0053182F" w:rsidRDefault="00144866" w:rsidP="00144866">
      <w:pPr>
        <w:spacing w:after="0" w:line="480" w:lineRule="auto"/>
        <w:ind w:firstLine="720"/>
        <w:jc w:val="both"/>
        <w:rPr>
          <w:color w:val="auto"/>
        </w:rPr>
      </w:pPr>
      <w:r w:rsidRPr="0053182F">
        <w:rPr>
          <w:color w:val="auto"/>
        </w:rPr>
        <w:t xml:space="preserve">Despite the existence of such global frameworks, significant gaps remain between corporate disclosures and the lived realities of exploitation, particularly in developing economies like Sri Lanka. For example, corporate sustainability reports often emphasise compliance with global standards but fail to reflect the ground-level realities in which workers experience inadequate wages, unsafe working environments, and limited labour rights protections </w:t>
      </w:r>
      <w:sdt>
        <w:sdtPr>
          <w:tag w:val="MENDELEY_CITATION_v3_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"/>
          <w:id w:val="344753754"/>
          <w:placeholder>
            <w:docPart w:val="C17212FE2D704549862DED682A3B8976"/>
          </w:placeholder>
        </w:sdtPr>
        <w:sdtContent>
          <w:r w:rsidR="00CC1788" w:rsidRPr="0053182F">
            <w:t>(Islam and Van Staden, 202</w:t>
          </w:r>
          <w:r w:rsidR="00DF28DA">
            <w:t>1</w:t>
          </w:r>
          <w:r w:rsidR="00CC1788" w:rsidRPr="0053182F">
            <w:t>; Akter et al., 2024)</w:t>
          </w:r>
        </w:sdtContent>
      </w:sdt>
      <w:r w:rsidRPr="0053182F">
        <w:rPr>
          <w:color w:val="auto"/>
        </w:rPr>
        <w:t xml:space="preserve">. Moreover, systemic challenges such as poverty, weak governance, and economic dependency exacerbate MS risks in these regions </w:t>
      </w:r>
      <w:sdt>
        <w:sdtPr>
          <w:tag w:val="MENDELEY_CITATION_v3_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401347171"/>
          <w:placeholder>
            <w:docPart w:val="C17212FE2D704549862DED682A3B8976"/>
          </w:placeholder>
        </w:sdtPr>
        <w:sdtContent>
          <w:r w:rsidR="00CC1788" w:rsidRPr="0053182F">
            <w:rPr>
              <w:rFonts w:eastAsia="Times New Roman"/>
            </w:rPr>
            <w:t xml:space="preserve">(Houqe and Khan, 2025; Khatami </w:t>
          </w:r>
          <w:r w:rsidR="00CC1788" w:rsidRPr="0053182F">
            <w:rPr>
              <w:rFonts w:eastAsia="Times New Roman"/>
              <w:i/>
              <w:iCs/>
            </w:rPr>
            <w:t>et al.</w:t>
          </w:r>
          <w:r w:rsidR="00CC1788" w:rsidRPr="0053182F">
            <w:rPr>
              <w:rFonts w:eastAsia="Times New Roman"/>
            </w:rPr>
            <w:t xml:space="preserve">, 2024; Moussa </w:t>
          </w:r>
          <w:r w:rsidR="00CC1788" w:rsidRPr="0053182F">
            <w:rPr>
              <w:rFonts w:eastAsia="Times New Roman"/>
              <w:i/>
              <w:iCs/>
            </w:rPr>
            <w:t>et al.</w:t>
          </w:r>
          <w:r w:rsidR="00CC1788" w:rsidRPr="0053182F">
            <w:rPr>
              <w:rFonts w:eastAsia="Times New Roman"/>
            </w:rPr>
            <w:t>, 2022)</w:t>
          </w:r>
        </w:sdtContent>
      </w:sdt>
      <w:r w:rsidRPr="0053182F">
        <w:rPr>
          <w:color w:val="auto"/>
        </w:rPr>
        <w:t>.</w:t>
      </w:r>
    </w:p>
    <w:p w14:paraId="1AC305A4" w14:textId="24907279" w:rsidR="00144866" w:rsidRPr="0053182F" w:rsidRDefault="00144866" w:rsidP="00144866">
      <w:pPr>
        <w:spacing w:after="0" w:line="480" w:lineRule="auto"/>
        <w:ind w:firstLine="720"/>
        <w:jc w:val="both"/>
        <w:rPr>
          <w:color w:val="auto"/>
        </w:rPr>
      </w:pPr>
      <w:r w:rsidRPr="0053182F">
        <w:rPr>
          <w:color w:val="auto"/>
        </w:rPr>
        <w:t xml:space="preserve">At the </w:t>
      </w:r>
      <w:r w:rsidRPr="0053182F">
        <w:rPr>
          <w:rStyle w:val="Strong"/>
          <w:b w:val="0"/>
          <w:bCs w:val="0"/>
          <w:color w:val="auto"/>
        </w:rPr>
        <w:t>micro level</w:t>
      </w:r>
      <w:r w:rsidRPr="0053182F">
        <w:rPr>
          <w:color w:val="auto"/>
        </w:rPr>
        <w:t xml:space="preserve">, an MS in business reflects the lived realities of workers embedded in specific socio-economic, cultural, and operational contexts </w:t>
      </w:r>
      <w:sdt>
        <w:sdtPr>
          <w:tag w:val="MENDELEY_CITATION_v3_eyJjaXRhdGlvbklEIjoiTUVOREVMRVlfQ0lUQVRJT05fNTAxNGQ4YzYtMmJkOC00ZjQ3LTkyNmMtMjIyOGJlYmVkZDk4IiwicHJvcGVydGllcyI6eyJub3RlSW5kZXgiOjB9LCJpc0VkaXRlZCI6ZmFsc2UsIm1hbnVhbE92ZXJyaWRlIjp7ImlzTWFudWFsbHlPdmVycmlkZGVuIjp0cnVlLCJjaXRlcHJvY1RleHQiOiIoQWhtZWQsIDIwMjU7IEJhbGVzLCAyMDA5OyBNZWVoYW4gYW5kIFBpbm5pbmd0b24sIDIwMjFhKSIsIm1hbnVhbE92ZXJyaWRlVGV4dCI6IihCYWxlcywgMjAwOTsgTWVlaGFuIGFuZCBQaW5uaW5ndG9uLCAyMDIxOyBBaG1lZCwgMjAyNSkifSwiY2l0YXRpb25JdGVtcyI6W3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"/>
          <w:id w:val="1633741322"/>
          <w:placeholder>
            <w:docPart w:val="C17212FE2D704549862DED682A3B8976"/>
          </w:placeholder>
        </w:sdtPr>
        <w:sdtContent>
          <w:r w:rsidR="00CC1788" w:rsidRPr="0053182F">
            <w:t>(Bales, 2009; Meehan and Pinnington, 2021; Ahmed, 2025)</w:t>
          </w:r>
        </w:sdtContent>
      </w:sdt>
      <w:r w:rsidRPr="0053182F">
        <w:rPr>
          <w:color w:val="auto"/>
        </w:rPr>
        <w:t xml:space="preserve">. These realities often exist in stark contrast to the aggregated narratives presented in global databases. Micro-level practices, such as unsafe working conditions, wage theft, and forced labour, are deeply rooted in the local dynamics of poverty, weak governance, and systemic inequities </w:t>
      </w:r>
      <w:sdt>
        <w:sdtPr>
          <w:tag w:val="MENDELEY_CITATION_v3_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"/>
          <w:id w:val="-2018687084"/>
          <w:placeholder>
            <w:docPart w:val="C17212FE2D704549862DED682A3B8976"/>
          </w:placeholder>
        </w:sdtPr>
        <w:sdtContent>
          <w:r w:rsidR="00CC1788" w:rsidRPr="0053182F">
            <w:rPr>
              <w:rFonts w:eastAsia="Times New Roman"/>
            </w:rPr>
            <w:t xml:space="preserve">(Ahmed, 2025; Perry </w:t>
          </w:r>
          <w:r w:rsidR="00CC1788" w:rsidRPr="0053182F">
            <w:rPr>
              <w:rFonts w:eastAsia="Times New Roman"/>
              <w:i/>
              <w:iCs/>
            </w:rPr>
            <w:t>et al.</w:t>
          </w:r>
          <w:r w:rsidR="00CC1788" w:rsidRPr="0053182F">
            <w:rPr>
              <w:rFonts w:eastAsia="Times New Roman"/>
            </w:rPr>
            <w:t>, 2015)</w:t>
          </w:r>
        </w:sdtContent>
      </w:sdt>
      <w:r w:rsidRPr="0053182F">
        <w:rPr>
          <w:color w:val="auto"/>
        </w:rPr>
        <w:t>. When these localised realities are translated into global statistics, certain complexities are often oversimplified or erased, leading to gaps in understanding and intervention. This disconnect highlights the need to address the contextual nuances and variations that statistical aggregation may overlook.</w:t>
      </w:r>
    </w:p>
    <w:p w14:paraId="46BC1C8D" w14:textId="7C094E70" w:rsidR="00144866" w:rsidRPr="0053182F" w:rsidRDefault="00144866" w:rsidP="00144866">
      <w:pPr>
        <w:pStyle w:val="NormalWeb"/>
        <w:spacing w:before="0" w:beforeAutospacing="0" w:after="0" w:afterAutospacing="0" w:line="480" w:lineRule="auto"/>
        <w:ind w:firstLine="720"/>
        <w:jc w:val="both"/>
        <w:rPr>
          <w:rStyle w:val="Strong"/>
          <w:rFonts w:eastAsiaTheme="majorEastAsia"/>
          <w:color w:val="auto"/>
        </w:rPr>
      </w:pPr>
      <w:r w:rsidRPr="0053182F">
        <w:rPr>
          <w:color w:val="auto"/>
        </w:rPr>
        <w:t xml:space="preserve">MS is an umbrella term that addresses MS in business, forced marriage, etc. </w:t>
      </w:r>
      <w:sdt>
        <w:sdtPr>
          <w:tag w:val="MENDELEY_CITATION_v3_eyJjaXRhdGlvbklEIjoiTUVOREVMRVlfQ0lUQVRJT05fMWQ4OTIyNDUtMjg0NC00NWU5LTgyNjctYzdiMDI1ZGY1NTRjIiwicHJvcGVydGllcyI6eyJub3RlSW5kZXgiOjB9LCJpc0VkaXRlZCI6ZmFsc2UsIm1hbnVhbE92ZXJyaWRlIjp7ImlzTWFudWFsbHlPdmVycmlkZGVuIjpmYWxzZSwiY2l0ZXByb2NUZXh0IjoiKEJhbGVzLCAyMDA3OyBJTE8sIDIwMTdhOyBMYW5kbWFuIGFuZCBTaWx2ZXJtYW4sIDIwMTk7IFdhbGsgRnJlZSBhbmQgTWluZGVyb28sIDIwMTgpIiwibWFudWFsT3ZlcnJpZGVUZXh0Ijoi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"/>
          <w:id w:val="367953727"/>
          <w:placeholder>
            <w:docPart w:val="C17212FE2D704549862DED682A3B8976"/>
          </w:placeholder>
        </w:sdtPr>
        <w:sdtContent>
          <w:r w:rsidR="00CC1788" w:rsidRPr="0053182F">
            <w:t>(Bales, 2007; ILO, 2017a; Landman and Silverman, 2019; Walk Free and Minderoo, 2018)</w:t>
          </w:r>
        </w:sdtContent>
      </w:sdt>
      <w:r w:rsidRPr="0053182F">
        <w:rPr>
          <w:color w:val="auto"/>
        </w:rPr>
        <w:t xml:space="preserve">. According to  </w:t>
      </w:r>
      <w:sdt>
        <w:sdtPr>
          <w:tag w:val="MENDELEY_CITATION_v3_eyJjaXRhdGlvbklEIjoiTUVOREVMRVlfQ0lUQVRJT05fOWI4NWMyZjAtZGFkOS00NmJmLThkMTUtNzYwMzNmM2JjYjg1IiwicHJvcGVydGllcyI6eyJub3RlSW5kZXgiOjB9LCJpc0VkaXRlZCI6ZmFsc2UsIm1hbnVhbE92ZXJyaWRlIjp7ImlzTWFudWFsbHlPdmVycmlkZGVuIjp0cnVlLCJjaXRlcHJvY1RleHQiOiIoTXV0aHV0aGFudHJpZ2UgPGk+ZXQgYWwuPC9pPiwgMjAyNikiLCJtYW51YWxPdmVycmlkZVRleHQiOiJNdXRodXRoYW50cmlnZSBldCBhbC4gKDIwMjYp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942109036"/>
          <w:placeholder>
            <w:docPart w:val="4AC7928D3C7C417595243850F1CA2481"/>
          </w:placeholder>
        </w:sdtPr>
        <w:sdtContent>
          <w:r w:rsidR="00CC1788" w:rsidRPr="0053182F">
            <w:t>Muthuthantrige et al. (2026)</w:t>
          </w:r>
        </w:sdtContent>
      </w:sdt>
      <w:r w:rsidRPr="0053182F">
        <w:rPr>
          <w:color w:val="auto"/>
        </w:rPr>
        <w:t xml:space="preserve">, this research uses the concept of Corporate Modern Slavery (CMS)  to explain one side of MS. This framework encompasses exploitative practices that violate fundamental human rights in business contexts. For this thesis, </w:t>
      </w:r>
      <w:r w:rsidRPr="0053182F">
        <w:rPr>
          <w:rStyle w:val="Strong"/>
          <w:rFonts w:eastAsiaTheme="majorEastAsia"/>
          <w:b w:val="0"/>
          <w:bCs w:val="0"/>
          <w:color w:val="auto"/>
        </w:rPr>
        <w:t>CMS</w:t>
      </w:r>
      <w:r w:rsidRPr="0053182F">
        <w:rPr>
          <w:rStyle w:val="Strong"/>
          <w:rFonts w:eastAsiaTheme="majorEastAsia"/>
          <w:color w:val="auto"/>
        </w:rPr>
        <w:t xml:space="preserve"> </w:t>
      </w:r>
      <w:r w:rsidRPr="0053182F">
        <w:rPr>
          <w:rStyle w:val="Strong"/>
          <w:rFonts w:eastAsiaTheme="majorEastAsia"/>
          <w:b w:val="0"/>
          <w:bCs w:val="0"/>
          <w:color w:val="auto"/>
        </w:rPr>
        <w:t>practices are defined as:</w:t>
      </w:r>
      <w:r w:rsidRPr="0053182F">
        <w:rPr>
          <w:rStyle w:val="Strong"/>
          <w:rFonts w:eastAsiaTheme="majorEastAsia"/>
          <w:color w:val="auto"/>
        </w:rPr>
        <w:t xml:space="preserve"> </w:t>
      </w:r>
    </w:p>
    <w:p w14:paraId="39A01B00" w14:textId="691A3371" w:rsidR="00144866" w:rsidRPr="0053182F" w:rsidRDefault="00144866" w:rsidP="00144866">
      <w:pPr>
        <w:spacing w:after="0" w:line="480" w:lineRule="auto"/>
        <w:ind w:firstLine="720"/>
        <w:jc w:val="both"/>
        <w:rPr>
          <w:b/>
          <w:bCs/>
          <w:color w:val="auto"/>
        </w:rPr>
      </w:pPr>
      <w:r w:rsidRPr="0053182F">
        <w:rPr>
          <w:rStyle w:val="normaltextrun"/>
          <w:color w:val="auto"/>
          <w:shd w:val="clear" w:color="auto" w:fill="FFFFFF"/>
        </w:rPr>
        <w:t>“</w:t>
      </w:r>
      <w:r w:rsidRPr="0053182F">
        <w:rPr>
          <w:rStyle w:val="QuoteChar"/>
        </w:rPr>
        <w:t>Systemic, profit-driven practices of labour exploitation—including but not limited to forced labour, coercion, wage theft, and denial of basic rights</w:t>
      </w:r>
      <w:r w:rsidRPr="0053182F">
        <w:rPr>
          <w:rStyle w:val="QuoteChar"/>
        </w:rPr>
        <w:footnoteReference w:id="1"/>
      </w:r>
      <w:r w:rsidRPr="0053182F">
        <w:rPr>
          <w:rStyle w:val="QuoteChar"/>
        </w:rPr>
        <w:t>—sustained and obscured by corporate governance mechanisms, such as opaque subcontracting</w:t>
      </w:r>
      <w:r w:rsidRPr="0053182F">
        <w:rPr>
          <w:rStyle w:val="QuoteChar"/>
        </w:rPr>
        <w:footnoteReference w:id="2"/>
      </w:r>
      <w:r w:rsidRPr="0053182F">
        <w:rPr>
          <w:rStyle w:val="QuoteChar"/>
        </w:rPr>
        <w:t>, symbolic compliance strategies, and weak enforcement of labour st</w:t>
      </w:r>
      <w:commentRangeStart w:id="12"/>
      <w:r w:rsidRPr="0053182F">
        <w:rPr>
          <w:rStyle w:val="QuoteChar"/>
        </w:rPr>
        <w:t>andards</w:t>
      </w:r>
      <w:r w:rsidRPr="0053182F">
        <w:rPr>
          <w:rStyle w:val="normaltextrun"/>
          <w:color w:val="auto"/>
          <w:shd w:val="clear" w:color="auto" w:fill="FFFFFF"/>
        </w:rPr>
        <w:t xml:space="preserve">.” </w:t>
      </w:r>
      <w:sdt>
        <w:sdtPr>
          <w:rPr>
            <w:rStyle w:val="normaltextrun"/>
            <w:shd w:val="clear" w:color="auto" w:fill="FFFFFF"/>
          </w:rPr>
          <w:tag w:val="MENDELEY_CITATION_v3_eyJjaXRhdGlvbklEIjoiTUVOREVMRVlfQ0lUQVRJT05fM2JjZjU1ZjYtYTk2MC00MTkxLWFhZGYtZTQyMTJiMTA3Y2E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252133110"/>
          <w:placeholder>
            <w:docPart w:val="4AC7928D3C7C417595243850F1CA2481"/>
          </w:placeholder>
        </w:sdtPr>
        <w:sdtContent>
          <w:r w:rsidR="00CC1788" w:rsidRPr="0053182F">
            <w:rPr>
              <w:rFonts w:eastAsia="Times New Roman"/>
            </w:rPr>
            <w:t xml:space="preserve">(Muthuthantrige </w:t>
          </w:r>
          <w:r w:rsidR="00CC1788" w:rsidRPr="0053182F">
            <w:rPr>
              <w:rFonts w:eastAsia="Times New Roman"/>
              <w:i/>
              <w:iCs/>
            </w:rPr>
            <w:t>et al.</w:t>
          </w:r>
          <w:r w:rsidR="00CC1788" w:rsidRPr="0053182F">
            <w:rPr>
              <w:rFonts w:eastAsia="Times New Roman"/>
            </w:rPr>
            <w:t>, 2026)</w:t>
          </w:r>
        </w:sdtContent>
      </w:sdt>
      <w:commentRangeEnd w:id="12"/>
      <w:r w:rsidR="00CB4E70" w:rsidRPr="0053182F">
        <w:rPr>
          <w:rStyle w:val="CommentReference"/>
          <w:b/>
          <w:bCs/>
          <w:color w:val="auto"/>
          <w:sz w:val="24"/>
          <w:szCs w:val="24"/>
        </w:rPr>
        <w:commentReference w:id="12"/>
      </w:r>
    </w:p>
    <w:p w14:paraId="4E38974E" w14:textId="77777777" w:rsidR="00144866" w:rsidRPr="0053182F" w:rsidRDefault="00144866" w:rsidP="00144866">
      <w:pPr>
        <w:pStyle w:val="NormalWeb"/>
        <w:spacing w:before="0" w:beforeAutospacing="0" w:after="0" w:afterAutospacing="0" w:line="480" w:lineRule="auto"/>
        <w:ind w:firstLine="720"/>
        <w:jc w:val="both"/>
        <w:rPr>
          <w:rFonts w:eastAsiaTheme="minorEastAsia"/>
          <w:color w:val="auto"/>
          <w:lang w:eastAsia="en-US"/>
        </w:rPr>
      </w:pPr>
      <w:r w:rsidRPr="0053182F">
        <w:rPr>
          <w:rFonts w:eastAsiaTheme="minorEastAsia"/>
          <w:color w:val="auto"/>
          <w:lang w:eastAsia="en-US"/>
        </w:rPr>
        <w:t xml:space="preserve">It is essential to explore the causal mechanisms embedded in global data-driven governance mechanisms and their interplay with CMS practices. This requires adopting a hypothetico-deductive methodology that allows for the systematic identification and testing of causal relationships between governance frameworks and CMS practices. On one side, the study investigates how global governance apparatuses, such as the UN-SDGs, influence corporate practices and contribute to the aggregated reality of CMS. </w:t>
      </w:r>
      <w:r w:rsidRPr="0053182F">
        <w:rPr>
          <w:color w:val="auto"/>
        </w:rPr>
        <w:t>On the other side, it examines the localised experiences of exploitation, particularly in developing countries where CMS practices are most prevalent.</w:t>
      </w:r>
    </w:p>
    <w:p w14:paraId="6C11700A" w14:textId="4B2FE8CF"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The second dimension of this research underscores the academic and scientific necessity of exploring the dual realities of CMS practices. Current research agendas tend to approach these realities in a dichotomous manner, either focusing on the macro-level statistical constructs or the micro-level lived experiences </w:t>
      </w:r>
      <w:sdt>
        <w:sdtPr>
          <w:rPr>
            <w:highlight w:val="yellow"/>
          </w:rPr>
          <w:tag w:val="MENDELEY_CITATION_v3_eyJjaXRhdGlvbklEIjoiTUVOREVMRVlfQ0lUQVRJT05fNzlhNGMzOTgtZTMyMy00ZTQ5LWE3ODktY2VhYzBjNTkyNWU5IiwicHJvcGVydGllcyI6eyJub3RlSW5kZXgiOjB9LCJpc0VkaXRlZCI6ZmFsc2UsIm1hbnVhbE92ZXJyaWRlIjp7ImlzTWFudWFsbHlPdmVycmlkZGVuIjpmYWxzZSwiY2l0ZXByb2NUZXh0IjoiKEFsYml0YXIgPGk+ZXQgYWwuPC9pPiwgMjAyNTsgRmx5bm4gYW5kIFdhbGtlciwgMjAyMTsgSG91cWUgYW5kIEtoYW4sIDIwMjU7I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0s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V19"/>
          <w:id w:val="-1342542526"/>
          <w:placeholder>
            <w:docPart w:val="C17212FE2D704549862DED682A3B8976"/>
          </w:placeholder>
        </w:sdtPr>
        <w:sdtContent>
          <w:r w:rsidR="00CC1788" w:rsidRPr="0053182F">
            <w:t xml:space="preserve">(Albitar </w:t>
          </w:r>
          <w:r w:rsidR="00CC1788" w:rsidRPr="0053182F">
            <w:rPr>
              <w:i/>
              <w:iCs/>
            </w:rPr>
            <w:t>et al.</w:t>
          </w:r>
          <w:r w:rsidR="00CC1788" w:rsidRPr="0053182F">
            <w:t xml:space="preserve">, 2025; Flynn and Walker, 2021; Houqe and Khan, 2025; Moussa </w:t>
          </w:r>
          <w:r w:rsidR="00CC1788" w:rsidRPr="0053182F">
            <w:rPr>
              <w:i/>
              <w:iCs/>
            </w:rPr>
            <w:t>et al.</w:t>
          </w:r>
          <w:r w:rsidR="00CC1788" w:rsidRPr="0053182F">
            <w:t>, 2022)</w:t>
          </w:r>
        </w:sdtContent>
      </w:sdt>
      <w:r w:rsidRPr="0053182F">
        <w:rPr>
          <w:color w:val="auto"/>
        </w:rPr>
        <w:t xml:space="preserve">. This bifurcation creates an apparent divide, as though these two realities operate on entirely separate planes. However, they are intrinsically interconnected and operate on the same surface, influencing and reinforcing each other. To fully comprehend the dynamics of CMS practices, adopting a dual perspective that integrates both dimensions is imperative. This approach aligns with the notion that macro-level governance frameworks and micro-level realities are two sides of the same coin, shaping and being shaped by systemic and operational factors within global supply chains </w:t>
      </w:r>
      <w:sdt>
        <w:sdtPr>
          <w:rPr>
            <w:highlight w:val="yellow"/>
          </w:rPr>
          <w:tag w:val="MENDELEY_CITATION_v3_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AmIEdvdmVybmFuY2UiLCJjb250YWluZXItdGl0bGUtc2hvcnQiOiJSZWd1bCBHb3YiLCJhY2Nlc3NlZCI6eyJkYXRlLXBhcnRzIjpbWzIwMjMsMiw0XV19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"/>
          <w:id w:val="-953638051"/>
          <w:placeholder>
            <w:docPart w:val="96C4A5525F6F4EC386D02B71EB68108C"/>
          </w:placeholder>
        </w:sdtPr>
        <w:sdtContent>
          <w:r w:rsidR="00CC1788" w:rsidRPr="0053182F">
            <w:t>(Crane et al., 2019a; LeBaron, 2020a)</w:t>
          </w:r>
        </w:sdtContent>
      </w:sdt>
      <w:r w:rsidRPr="0053182F">
        <w:rPr>
          <w:color w:val="auto"/>
        </w:rPr>
        <w:t xml:space="preserve">. </w:t>
      </w:r>
    </w:p>
    <w:p w14:paraId="74040E44" w14:textId="0424EDC4"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To achieve this comprehensive understanding, this study employs a </w:t>
      </w:r>
      <w:r w:rsidRPr="0053182F">
        <w:rPr>
          <w:rStyle w:val="Strong"/>
          <w:rFonts w:eastAsiaTheme="majorEastAsia"/>
          <w:b w:val="0"/>
          <w:bCs w:val="0"/>
          <w:color w:val="auto"/>
        </w:rPr>
        <w:t>mixed-methods methodology</w:t>
      </w:r>
      <w:r w:rsidRPr="0053182F">
        <w:rPr>
          <w:b/>
          <w:bCs/>
          <w:color w:val="auto"/>
        </w:rPr>
        <w:t xml:space="preserve"> </w:t>
      </w:r>
      <w:r w:rsidRPr="0053182F">
        <w:rPr>
          <w:color w:val="auto"/>
        </w:rPr>
        <w:t xml:space="preserve">that bridges the gap between statistical-level analysis and qualitative inquiry into lived experiences. This integration is challenging, as quantitative and qualitative methodologies often differ fundamentally in their epistemological and ontological assumptions </w:t>
      </w:r>
      <w:sdt>
        <w:sdtPr>
          <w:tag w:val="MENDELEY_CITATION_v3_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"/>
          <w:id w:val="-920101252"/>
          <w:placeholder>
            <w:docPart w:val="96C4A5525F6F4EC386D02B71EB68108C"/>
          </w:placeholder>
        </w:sdtPr>
        <w:sdtContent>
          <w:r w:rsidR="00B85634" w:rsidRPr="0053182F">
            <w:t>(Creswell and Plano, 2018; Morgan, 2007)</w:t>
          </w:r>
        </w:sdtContent>
      </w:sdt>
      <w:r w:rsidRPr="0053182F">
        <w:rPr>
          <w:color w:val="auto"/>
        </w:rPr>
        <w:t xml:space="preserve">. However, their differences complement each other, making them well-suited to addressing the complex interplay between global governance structures and local realities. Mixed-methods research offers the flexibility needed to capture the nuances of CMS practices by combining the generalizability of quantitative data with the contextual richness of qualitative insights  </w:t>
      </w:r>
      <w:sdt>
        <w:sdtPr>
          <w:tag w:val="MENDELEY_CITATION_v3_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"/>
          <w:id w:val="1575316951"/>
          <w:placeholder>
            <w:docPart w:val="96C4A5525F6F4EC386D02B71EB68108C"/>
          </w:placeholder>
        </w:sdtPr>
        <w:sdtContent>
          <w:r w:rsidR="00CC1788" w:rsidRPr="0053182F">
            <w:t>(Teddlie and Tashakkori, 2009)</w:t>
          </w:r>
        </w:sdtContent>
      </w:sdt>
      <w:r w:rsidRPr="0053182F">
        <w:rPr>
          <w:color w:val="auto"/>
        </w:rPr>
        <w:t>.</w:t>
      </w:r>
    </w:p>
    <w:p w14:paraId="5AA4306D" w14:textId="3C58A2C8"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This study acknowledges the difficulties inherent in merging these two methodologies but emphasises that their combination is not only feasible but also essential for a holistic exploration of CMS practices. The interplay between global frameworks and local realities requires methodological innovation to uncover the hidden dynamics of exploitation and inform actionable solutions. By adopting this integrative approach, the research contributes to advancing academic discourse and bridging the gap between statistical abstraction and human experience </w:t>
      </w:r>
      <w:sdt>
        <w:sdtPr>
          <w:tag w:val="MENDELEY_CITATION_v3_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"/>
          <w:id w:val="-58243502"/>
          <w:placeholder>
            <w:docPart w:val="96C4A5525F6F4EC386D02B71EB68108C"/>
          </w:placeholder>
        </w:sdtPr>
        <w:sdtContent>
          <w:r w:rsidR="00CC1788" w:rsidRPr="0053182F">
            <w:t>(Bryman, 2016; Guba and Lincoln, 2005)</w:t>
          </w:r>
        </w:sdtContent>
      </w:sdt>
      <w:r w:rsidRPr="0053182F">
        <w:rPr>
          <w:color w:val="auto"/>
        </w:rPr>
        <w:t>.</w:t>
      </w:r>
    </w:p>
    <w:p w14:paraId="67E2AAD3"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The remainder of this chapter is structured to provide a clear foundation for the thesis. </w:t>
      </w:r>
      <w:r w:rsidRPr="0053182F">
        <w:rPr>
          <w:rStyle w:val="Strong"/>
          <w:rFonts w:eastAsiaTheme="majorEastAsia"/>
          <w:b w:val="0"/>
          <w:bCs w:val="0"/>
          <w:color w:val="auto"/>
        </w:rPr>
        <w:t>Section 1.2</w:t>
      </w:r>
      <w:r w:rsidRPr="0053182F">
        <w:rPr>
          <w:color w:val="auto"/>
        </w:rPr>
        <w:t xml:space="preserve"> outlines the conceptual background of MS and its corporate manifestations, situating the problem within global governance, organisational, and labour contexts. </w:t>
      </w:r>
      <w:r w:rsidRPr="0053182F">
        <w:rPr>
          <w:rStyle w:val="Strong"/>
          <w:rFonts w:eastAsiaTheme="majorEastAsia"/>
          <w:b w:val="0"/>
          <w:bCs w:val="0"/>
          <w:color w:val="auto"/>
        </w:rPr>
        <w:t>Section 1.3</w:t>
      </w:r>
      <w:r w:rsidRPr="0053182F">
        <w:rPr>
          <w:color w:val="auto"/>
        </w:rPr>
        <w:t xml:space="preserve"> presents the research problem and rationale, highlighting the theoretical and practical gaps this study seeks to address. </w:t>
      </w:r>
      <w:r w:rsidRPr="0053182F">
        <w:rPr>
          <w:rStyle w:val="Strong"/>
          <w:rFonts w:eastAsiaTheme="majorEastAsia"/>
          <w:b w:val="0"/>
          <w:bCs w:val="0"/>
          <w:color w:val="auto"/>
        </w:rPr>
        <w:t>Section 1.4</w:t>
      </w:r>
      <w:r w:rsidRPr="0053182F">
        <w:rPr>
          <w:color w:val="auto"/>
        </w:rPr>
        <w:t xml:space="preserve"> defines the research aim, objectives, and key questions that guide the inquiry across macro, meso, and micro levels. </w:t>
      </w:r>
      <w:r w:rsidRPr="0053182F">
        <w:rPr>
          <w:rStyle w:val="Strong"/>
          <w:rFonts w:eastAsiaTheme="majorEastAsia"/>
          <w:b w:val="0"/>
          <w:bCs w:val="0"/>
          <w:color w:val="auto"/>
        </w:rPr>
        <w:t>Section 1.5</w:t>
      </w:r>
      <w:r w:rsidRPr="0053182F">
        <w:rPr>
          <w:color w:val="auto"/>
        </w:rPr>
        <w:t xml:space="preserve"> outlines the theoretical positioning of the study within the Neo-Institutional Theory (NIT) framework, while Section 1.6 summarises the methodological approach and justifies the use of a multi-level, mixed-methods design. </w:t>
      </w:r>
      <w:r w:rsidRPr="0053182F">
        <w:rPr>
          <w:rStyle w:val="Strong"/>
          <w:rFonts w:eastAsiaTheme="majorEastAsia"/>
          <w:b w:val="0"/>
          <w:bCs w:val="0"/>
          <w:color w:val="auto"/>
        </w:rPr>
        <w:t>Section 1.7</w:t>
      </w:r>
      <w:r w:rsidRPr="0053182F">
        <w:rPr>
          <w:color w:val="auto"/>
        </w:rPr>
        <w:t xml:space="preserve"> explains the scope and significance of the research, emphasising its academic, policy, and practical contributions. Finally, </w:t>
      </w:r>
      <w:r w:rsidRPr="0053182F">
        <w:rPr>
          <w:rStyle w:val="Strong"/>
          <w:rFonts w:eastAsiaTheme="majorEastAsia"/>
          <w:b w:val="0"/>
          <w:bCs w:val="0"/>
          <w:color w:val="auto"/>
        </w:rPr>
        <w:t>Section 1.8</w:t>
      </w:r>
      <w:r w:rsidRPr="0053182F">
        <w:rPr>
          <w:color w:val="auto"/>
        </w:rPr>
        <w:t xml:space="preserve"> provides an overview of the thesis structure, mapping how each subsequent chapter contributes to the overarching narrative of understanding and addressing CMS through a multi-scalar institutional lens.</w:t>
      </w:r>
    </w:p>
    <w:p w14:paraId="7DC049B3" w14:textId="77777777" w:rsidR="00144866" w:rsidRPr="0053182F" w:rsidRDefault="00144866" w:rsidP="00144866">
      <w:pPr>
        <w:pStyle w:val="Heading2"/>
      </w:pPr>
      <w:bookmarkStart w:id="13" w:name="_Toc218357056"/>
      <w:r w:rsidRPr="0053182F">
        <w:t>1.2 Background of the Research Problem</w:t>
      </w:r>
      <w:bookmarkEnd w:id="13"/>
    </w:p>
    <w:p w14:paraId="54D84B31" w14:textId="45F13BEF" w:rsidR="00144866" w:rsidRPr="0053182F" w:rsidRDefault="00144866" w:rsidP="00144866">
      <w:pPr>
        <w:spacing w:after="0" w:line="480" w:lineRule="auto"/>
        <w:jc w:val="both"/>
        <w:rPr>
          <w:color w:val="auto"/>
        </w:rPr>
      </w:pPr>
      <w:r w:rsidRPr="0053182F">
        <w:rPr>
          <w:color w:val="auto"/>
        </w:rPr>
        <w:t>MS remains one of the most pervasive ethical and governance challenges in the contemporary global economy. It undermines the moral foundations of international business and exposes enduring weaknesses in institutional regulation, the United Nations Sustainable Development Goals (UN-SDGs), and corporate accountability systems (</w:t>
      </w:r>
      <w:sdt>
        <w:sdtPr>
          <w:tag w:val="MENDELEY_CITATION_v3_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"/>
          <w:id w:val="899403012"/>
          <w:placeholder>
            <w:docPart w:val="59F30DC0B1EB40B8963ED88082A9ADBE"/>
          </w:placeholder>
        </w:sdtPr>
        <w:sdtContent>
          <w:r w:rsidR="00CC1788" w:rsidRPr="0053182F">
            <w:rPr>
              <w:rFonts w:eastAsia="Times New Roman"/>
            </w:rPr>
            <w:t>Caruana et al., 2020; Fayezi et al., 2021)</w:t>
          </w:r>
        </w:sdtContent>
      </w:sdt>
      <w:r w:rsidRPr="0053182F">
        <w:rPr>
          <w:color w:val="auto"/>
        </w:rPr>
        <w:t xml:space="preserve">. Despite sustained global efforts to combat MS—particularly through the UN-SDG - target 8.7, which commits the international community to eradicating forced labour and human trafficking by 2030—tangible progress has been limited. According to the GSI  </w:t>
      </w:r>
      <w:sdt>
        <w:sdtPr>
          <w:tag w:val="MENDELEY_CITATION_v3_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"/>
          <w:id w:val="129373110"/>
          <w:placeholder>
            <w:docPart w:val="87A4726B6D0B48D7B2615C5E5512415D"/>
          </w:placeholder>
        </w:sdtPr>
        <w:sdtContent>
          <w:r w:rsidR="00CC1788" w:rsidRPr="0053182F">
            <w:t>(Walk Free, 2025),</w:t>
          </w:r>
        </w:sdtContent>
      </w:sdt>
      <w:r w:rsidRPr="0053182F">
        <w:rPr>
          <w:color w:val="auto"/>
        </w:rPr>
        <w:t xml:space="preserve"> an estimated 50 million individuals are currently living under conditions of MS, marking a rise of 10 million since 2016. This alarming escalation reflects the intersecting impacts of geopolitical conflicts, climate crises, economic precarity, and the persistent failure of institutional mechanisms to ensure effective enforcement. These overlapping forces have intensified structural vulnerabilities within global supply chains, amplifying the risk of exploitation for the world’s most marginalised populations.</w:t>
      </w:r>
    </w:p>
    <w:p w14:paraId="08C977B0" w14:textId="77777777" w:rsidR="00144866" w:rsidRPr="0053182F" w:rsidRDefault="00144866" w:rsidP="0086522E">
      <w:pPr>
        <w:pStyle w:val="Heading3"/>
        <w:rPr>
          <w:rStyle w:val="Strong"/>
          <w:b/>
          <w:bCs w:val="0"/>
        </w:rPr>
      </w:pPr>
      <w:bookmarkStart w:id="14" w:name="_Toc218357057"/>
      <w:r w:rsidRPr="0053182F">
        <w:rPr>
          <w:rStyle w:val="Strong"/>
          <w:b/>
          <w:bCs w:val="0"/>
        </w:rPr>
        <w:t>1.2.1 Global Governance Context: The Structural Persistence of Modern slavery</w:t>
      </w:r>
      <w:bookmarkEnd w:id="14"/>
    </w:p>
    <w:p w14:paraId="34014918" w14:textId="655070A0" w:rsidR="00144866" w:rsidRPr="0053182F" w:rsidRDefault="00144866" w:rsidP="00144866">
      <w:pPr>
        <w:pStyle w:val="NormalWeb"/>
        <w:spacing w:before="0" w:beforeAutospacing="0" w:after="0" w:afterAutospacing="0" w:line="480" w:lineRule="auto"/>
        <w:jc w:val="both"/>
        <w:rPr>
          <w:color w:val="auto"/>
        </w:rPr>
      </w:pPr>
      <w:r w:rsidRPr="0053182F">
        <w:rPr>
          <w:color w:val="auto"/>
        </w:rPr>
        <w:t xml:space="preserve">At the </w:t>
      </w:r>
      <w:r w:rsidRPr="0053182F">
        <w:rPr>
          <w:rStyle w:val="Strong"/>
          <w:rFonts w:eastAsiaTheme="majorEastAsia"/>
          <w:b w:val="0"/>
          <w:bCs w:val="0"/>
          <w:color w:val="auto"/>
        </w:rPr>
        <w:t>macro level</w:t>
      </w:r>
      <w:r w:rsidRPr="0053182F">
        <w:rPr>
          <w:color w:val="auto"/>
        </w:rPr>
        <w:t xml:space="preserve">, the persistence of MS reflects a profound governance gap between international commitments and on-the-ground implementation. Over recent decades, multiple transnational regulatory frameworks—such as the </w:t>
      </w:r>
      <w:r w:rsidRPr="0053182F">
        <w:rPr>
          <w:rStyle w:val="Strong"/>
          <w:rFonts w:eastAsiaTheme="majorEastAsia"/>
          <w:b w:val="0"/>
          <w:bCs w:val="0"/>
          <w:color w:val="auto"/>
        </w:rPr>
        <w:t>UK MS Act (MSA) (2015</w:t>
      </w:r>
      <w:r w:rsidRPr="0053182F">
        <w:rPr>
          <w:color w:val="auto"/>
        </w:rPr>
        <w:t xml:space="preserve">), the </w:t>
      </w:r>
      <w:r w:rsidRPr="0053182F">
        <w:rPr>
          <w:rStyle w:val="Strong"/>
          <w:rFonts w:eastAsiaTheme="majorEastAsia"/>
          <w:b w:val="0"/>
          <w:bCs w:val="0"/>
          <w:color w:val="auto"/>
        </w:rPr>
        <w:t>Australian MSA (2018)</w:t>
      </w:r>
      <w:r w:rsidRPr="0053182F">
        <w:rPr>
          <w:b/>
          <w:bCs/>
          <w:color w:val="auto"/>
        </w:rPr>
        <w:t>,</w:t>
      </w:r>
      <w:r w:rsidRPr="0053182F">
        <w:rPr>
          <w:color w:val="auto"/>
        </w:rPr>
        <w:t xml:space="preserve"> and the forthcoming </w:t>
      </w:r>
      <w:r w:rsidRPr="0053182F">
        <w:rPr>
          <w:rStyle w:val="Strong"/>
          <w:rFonts w:eastAsiaTheme="majorEastAsia"/>
          <w:b w:val="0"/>
          <w:bCs w:val="0"/>
          <w:color w:val="auto"/>
        </w:rPr>
        <w:t>European Union (EU) Corporate Sustainability Due Diligence Directive (CSDDD)</w:t>
      </w:r>
      <w:r w:rsidRPr="0053182F">
        <w:rPr>
          <w:color w:val="auto"/>
        </w:rPr>
        <w:t xml:space="preserve">—have sought to institutionalise corporate responsibility for human rights within global supply chains. These instruments establish </w:t>
      </w:r>
      <w:r w:rsidRPr="0053182F">
        <w:rPr>
          <w:rStyle w:val="Strong"/>
          <w:rFonts w:eastAsiaTheme="majorEastAsia"/>
          <w:b w:val="0"/>
          <w:bCs w:val="0"/>
          <w:color w:val="auto"/>
        </w:rPr>
        <w:t>coercive institutional pressures</w:t>
      </w:r>
      <w:r w:rsidRPr="0053182F">
        <w:rPr>
          <w:color w:val="auto"/>
        </w:rPr>
        <w:t xml:space="preserve">, mandating transparency, due diligence, and risk disclosure to reduce corporate complicity in exploitative labour practices </w:t>
      </w:r>
      <w:sdt>
        <w:sdtPr>
          <w:tag w:val="MENDELEY_CITATION_v3_eyJjaXRhdGlvbklEIjoiTUVOREVMRVlfQ0lUQVRJT05fNzg1NWRkMzAtNTcxNS00NWRjLTg2OWQtNGExYTE1Nzk3Njc0IiwicHJvcGVydGllcyI6eyJub3RlSW5kZXgiOjB9LCJpc0VkaXRlZCI6ZmFsc2UsIm1hbnVhbE92ZXJyaWRlIjp7ImlzTWFudWFsbHlPdmVycmlkZGVuIjpmYWxzZSwiY2l0ZXByb2NUZXh0IjoiKEFsYml0YXIgPGk+ZXQgYWwuPC9pPiwgMjAyNTsgTGVCYXJvbiwgMjAyMGE7IE1vdXNzYSA8aT5ldCBhbC48L2k+LCAyMDIyKSIsIm1hbnVhbE92ZXJyaWRlVGV4dCI6IiJ9LCJjaXRhdGlvbkl0ZW1zIjpb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"/>
          <w:id w:val="539403337"/>
          <w:placeholder>
            <w:docPart w:val="C17212FE2D704549862DED682A3B8976"/>
          </w:placeholder>
        </w:sdtPr>
        <w:sdtContent>
          <w:r w:rsidR="00CC1788" w:rsidRPr="0053182F">
            <w:t xml:space="preserve">(Albitar </w:t>
          </w:r>
          <w:r w:rsidR="00CC1788" w:rsidRPr="0053182F">
            <w:rPr>
              <w:i/>
              <w:iCs/>
            </w:rPr>
            <w:t>et al.</w:t>
          </w:r>
          <w:r w:rsidR="00CC1788" w:rsidRPr="0053182F">
            <w:t xml:space="preserve">, 2025; LeBaron, 2020a; Moussa </w:t>
          </w:r>
          <w:r w:rsidR="00CC1788" w:rsidRPr="0053182F">
            <w:rPr>
              <w:i/>
              <w:iCs/>
            </w:rPr>
            <w:t>et al.</w:t>
          </w:r>
          <w:r w:rsidR="00CC1788" w:rsidRPr="0053182F">
            <w:t>, 2022)</w:t>
          </w:r>
        </w:sdtContent>
      </w:sdt>
      <w:r w:rsidRPr="0053182F">
        <w:rPr>
          <w:color w:val="auto"/>
        </w:rPr>
        <w:t>.</w:t>
      </w:r>
    </w:p>
    <w:p w14:paraId="305DF35D" w14:textId="743EC0E4"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However, the effectiveness of these frameworks remains uneven across jurisdictions. Many developing economies, particularly in the Global South, lack the institutional capacity, governance quality, and enforcement mechanisms necessary to operationalise these commitments </w:t>
      </w:r>
      <w:sdt>
        <w:sdtPr>
          <w:tag w:val="MENDELEY_CITATION_v3_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
          <w:id w:val="1500770939"/>
          <w:placeholder>
            <w:docPart w:val="C17212FE2D704549862DED682A3B8976"/>
          </w:placeholder>
        </w:sdtPr>
        <w:sdtContent>
          <w:r w:rsidR="00CC1788" w:rsidRPr="0053182F">
            <w:t xml:space="preserve">(Albitar </w:t>
          </w:r>
          <w:r w:rsidR="00CC1788" w:rsidRPr="0053182F">
            <w:rPr>
              <w:i/>
              <w:iCs/>
            </w:rPr>
            <w:t>et al.</w:t>
          </w:r>
          <w:r w:rsidR="00CC1788" w:rsidRPr="0053182F">
            <w:t>, 2025; Ruwanpura, 2022)</w:t>
          </w:r>
        </w:sdtContent>
      </w:sdt>
      <w:r w:rsidRPr="0053182F">
        <w:rPr>
          <w:color w:val="auto"/>
        </w:rPr>
        <w:t xml:space="preserve">. The result is a </w:t>
      </w:r>
      <w:r w:rsidRPr="0053182F">
        <w:rPr>
          <w:rStyle w:val="Strong"/>
          <w:rFonts w:eastAsiaTheme="majorEastAsia"/>
          <w:b w:val="0"/>
          <w:bCs w:val="0"/>
          <w:color w:val="auto"/>
        </w:rPr>
        <w:t>compliance gap</w:t>
      </w:r>
      <w:r w:rsidRPr="0053182F">
        <w:rPr>
          <w:color w:val="auto"/>
        </w:rPr>
        <w:t xml:space="preserve">, wherein regulatory adherence is often formal rather than functional. From a </w:t>
      </w:r>
      <w:r w:rsidRPr="0053182F">
        <w:rPr>
          <w:rStyle w:val="Strong"/>
          <w:rFonts w:eastAsiaTheme="majorEastAsia"/>
          <w:b w:val="0"/>
          <w:bCs w:val="0"/>
          <w:color w:val="auto"/>
        </w:rPr>
        <w:t xml:space="preserve">NIT </w:t>
      </w:r>
      <w:r w:rsidRPr="0053182F">
        <w:rPr>
          <w:color w:val="auto"/>
        </w:rPr>
        <w:t xml:space="preserve">perspective, this pattern reflects </w:t>
      </w:r>
      <w:r w:rsidRPr="0053182F">
        <w:rPr>
          <w:rStyle w:val="Strong"/>
          <w:rFonts w:eastAsiaTheme="majorEastAsia"/>
          <w:b w:val="0"/>
          <w:bCs w:val="0"/>
          <w:color w:val="auto"/>
        </w:rPr>
        <w:t>symbolic adoption</w:t>
      </w:r>
      <w:r w:rsidRPr="0053182F">
        <w:rPr>
          <w:color w:val="auto"/>
        </w:rPr>
        <w:t xml:space="preserve">—where governments and corporations implement formal structures to appear legitimate in the global arena, yet substantive behavioural change remains limited </w:t>
      </w:r>
      <w:sdt>
        <w:sdtPr>
          <w:tag w:val="MENDELEY_CITATION_v3_eyJjaXRhdGlvbklEIjoiTUVOREVMRVlfQ0lUQVRJT05fZDM0MjYyNzItNjg2Mi00NTdkLWIyYTAtYWZjM2IzNGY3NWM1IiwicHJvcGVydGllcyI6eyJub3RlSW5kZXgiOjB9LCJpc0VkaXRlZCI6ZmFsc2UsIm1hbnVhbE92ZXJyaWRlIjp7ImlzTWFudWFsbHlPdmVycmlkZGVuIjpmYWxzZSwiY2l0ZXByb2NUZXh0IjoiKERpTWFnZ2lvIGFuZCBQb3dlbGwsIDE5ODM7I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XX0="/>
          <w:id w:val="856314657"/>
          <w:placeholder>
            <w:docPart w:val="C17212FE2D704549862DED682A3B8976"/>
          </w:placeholder>
        </w:sdtPr>
        <w:sdtContent>
          <w:r w:rsidR="00CC1788" w:rsidRPr="0053182F">
            <w:t>(DiMaggio and Powell, 1983; Meyer and Rowan, 1977)</w:t>
          </w:r>
        </w:sdtContent>
      </w:sdt>
      <w:r w:rsidRPr="0053182F">
        <w:rPr>
          <w:color w:val="auto"/>
        </w:rPr>
        <w:t>. Thus, despite the global proliferation of anti-Modern Slavery (AMS) legislation, institutional inertia and the dominance of economic imperatives over social justice have allowed exploitative labour practices to persist within transnational production systems.</w:t>
      </w:r>
    </w:p>
    <w:p w14:paraId="1F4E01DE" w14:textId="77777777" w:rsidR="00144866" w:rsidRPr="0053182F" w:rsidRDefault="00144866" w:rsidP="00366B87">
      <w:pPr>
        <w:pStyle w:val="Heading3"/>
        <w:jc w:val="both"/>
      </w:pPr>
      <w:bookmarkStart w:id="15" w:name="_Toc218357058"/>
      <w:r w:rsidRPr="0053182F">
        <w:t>1.2.2 Corporate Governance Context: The Legitimacy Paradox in Corporate Modern Slavery</w:t>
      </w:r>
      <w:bookmarkEnd w:id="15"/>
    </w:p>
    <w:p w14:paraId="11DED82F" w14:textId="77777777" w:rsidR="00366B87" w:rsidRPr="0053182F" w:rsidRDefault="00366B87" w:rsidP="00366B87"/>
    <w:p w14:paraId="0EAA5547" w14:textId="184303B3" w:rsidR="00144866" w:rsidRPr="0053182F" w:rsidRDefault="00144866" w:rsidP="00144866">
      <w:pPr>
        <w:pStyle w:val="NormalWeb"/>
        <w:spacing w:before="0" w:beforeAutospacing="0" w:after="0" w:afterAutospacing="0" w:line="480" w:lineRule="auto"/>
        <w:jc w:val="both"/>
        <w:rPr>
          <w:color w:val="auto"/>
        </w:rPr>
      </w:pPr>
      <w:r w:rsidRPr="0053182F">
        <w:rPr>
          <w:color w:val="auto"/>
        </w:rPr>
        <w:t xml:space="preserve">At the </w:t>
      </w:r>
      <w:r w:rsidRPr="0053182F">
        <w:rPr>
          <w:rStyle w:val="Strong"/>
          <w:rFonts w:eastAsiaTheme="majorEastAsia"/>
          <w:b w:val="0"/>
          <w:bCs w:val="0"/>
          <w:color w:val="auto"/>
        </w:rPr>
        <w:t>meso level</w:t>
      </w:r>
      <w:r w:rsidRPr="0053182F">
        <w:rPr>
          <w:color w:val="auto"/>
        </w:rPr>
        <w:t xml:space="preserve">, the problem becomes embedded in MNCs’ internal governance and accountability systems. Firms are increasingly adopting </w:t>
      </w:r>
      <w:r w:rsidRPr="0053182F">
        <w:rPr>
          <w:rStyle w:val="Strong"/>
          <w:rFonts w:eastAsiaTheme="majorEastAsia"/>
          <w:b w:val="0"/>
          <w:bCs w:val="0"/>
          <w:color w:val="auto"/>
        </w:rPr>
        <w:t>Sustainability Governance Initiatives (SGIs)</w:t>
      </w:r>
      <w:r w:rsidRPr="0053182F">
        <w:rPr>
          <w:b/>
          <w:bCs/>
          <w:color w:val="auto"/>
        </w:rPr>
        <w:t>—</w:t>
      </w:r>
      <w:r w:rsidRPr="0053182F">
        <w:rPr>
          <w:color w:val="auto"/>
        </w:rPr>
        <w:t xml:space="preserve">such as </w:t>
      </w:r>
      <w:bookmarkStart w:id="16" w:name="_Hlk213621508"/>
      <w:r w:rsidRPr="0053182F">
        <w:rPr>
          <w:rStyle w:val="Strong"/>
          <w:rFonts w:eastAsiaTheme="majorEastAsia"/>
          <w:b w:val="0"/>
          <w:bCs w:val="0"/>
          <w:color w:val="auto"/>
        </w:rPr>
        <w:t>Corporate Social Responsibility (CSR) strategies (CSRST)</w:t>
      </w:r>
      <w:r w:rsidRPr="0053182F">
        <w:rPr>
          <w:b/>
          <w:bCs/>
          <w:color w:val="auto"/>
        </w:rPr>
        <w:t xml:space="preserve">, </w:t>
      </w:r>
      <w:r w:rsidRPr="0053182F">
        <w:rPr>
          <w:rStyle w:val="Strong"/>
          <w:rFonts w:eastAsiaTheme="majorEastAsia"/>
          <w:b w:val="0"/>
          <w:bCs w:val="0"/>
          <w:color w:val="auto"/>
        </w:rPr>
        <w:t>board gender diversity (BGD)</w:t>
      </w:r>
      <w:r w:rsidRPr="0053182F">
        <w:rPr>
          <w:b/>
          <w:bCs/>
          <w:color w:val="auto"/>
        </w:rPr>
        <w:t xml:space="preserve">, </w:t>
      </w:r>
      <w:r w:rsidRPr="0053182F">
        <w:rPr>
          <w:rStyle w:val="Strong"/>
          <w:rFonts w:eastAsiaTheme="majorEastAsia"/>
          <w:b w:val="0"/>
          <w:bCs w:val="0"/>
          <w:color w:val="auto"/>
        </w:rPr>
        <w:t>CSR committees (CSRC)</w:t>
      </w:r>
      <w:r w:rsidRPr="0053182F">
        <w:rPr>
          <w:b/>
          <w:bCs/>
          <w:color w:val="auto"/>
        </w:rPr>
        <w:t xml:space="preserve">, </w:t>
      </w:r>
      <w:r w:rsidRPr="0053182F">
        <w:rPr>
          <w:rStyle w:val="Strong"/>
          <w:rFonts w:eastAsiaTheme="majorEastAsia"/>
          <w:b w:val="0"/>
          <w:bCs w:val="0"/>
          <w:color w:val="auto"/>
        </w:rPr>
        <w:t>CSR assurance (CSRA)</w:t>
      </w:r>
      <w:r w:rsidRPr="0053182F">
        <w:rPr>
          <w:b/>
          <w:bCs/>
          <w:color w:val="auto"/>
        </w:rPr>
        <w:t xml:space="preserve">, </w:t>
      </w:r>
      <w:r w:rsidRPr="0053182F">
        <w:rPr>
          <w:rStyle w:val="Strong"/>
          <w:rFonts w:eastAsiaTheme="majorEastAsia"/>
          <w:b w:val="0"/>
          <w:bCs w:val="0"/>
          <w:color w:val="auto"/>
        </w:rPr>
        <w:t>corporate social performance (CSP)</w:t>
      </w:r>
      <w:r w:rsidRPr="0053182F">
        <w:rPr>
          <w:color w:val="auto"/>
        </w:rPr>
        <w:t xml:space="preserve">, and </w:t>
      </w:r>
      <w:r w:rsidRPr="0053182F">
        <w:rPr>
          <w:rStyle w:val="Strong"/>
          <w:rFonts w:eastAsiaTheme="majorEastAsia"/>
          <w:b w:val="0"/>
          <w:bCs w:val="0"/>
          <w:color w:val="auto"/>
        </w:rPr>
        <w:t>CSR awards (CSRAW)</w:t>
      </w:r>
      <w:bookmarkEnd w:id="16"/>
      <w:r w:rsidRPr="0053182F">
        <w:rPr>
          <w:b/>
          <w:bCs/>
          <w:color w:val="auto"/>
        </w:rPr>
        <w:t>—</w:t>
      </w:r>
      <w:r w:rsidRPr="0053182F">
        <w:rPr>
          <w:color w:val="auto"/>
        </w:rPr>
        <w:t xml:space="preserve">to demonstrate commitment to ethical, sustainable, and socially responsible business conduct </w:t>
      </w:r>
      <w:sdt>
        <w:sdtPr>
          <w:tag w:val="MENDELEY_CITATION_v3_eyJjaXRhdGlvbklEIjoiTUVOREVMRVlfQ0lUQVRJT05fNjhhNGQyNjctNDAwMS00ZWEwLThjZTMtZDlkMTg5YWIyMGE3IiwicHJvcGVydGllcyI6eyJub3RlSW5kZXgiOjB9LCJpc0VkaXRlZCI6ZmFsc2UsIm1hbnVhbE92ZXJyaWRlIjp7ImlzTWFudWFsbHlPdmVycmlkZGVuIjpmYWxzZSwiY2l0ZXByb2NUZXh0IjoiKEhlbGZheWEgPGk+ZXQgYWwuPC9pPiwgMjAyNDsgSXNsYW0gYW5kIFZhbiBTdGFkZW4sIDIwMjI7IEt1emV5IDxpPmV0IGFsLjwvaT4sIDIwMjI7IE1vdXNzYSA8aT5ldCBhbC48L2k+LCAyMDIyKSIsIm1hbnVhbE92ZXJyaWRlVGV4dCI6IiJ9LCJjaXRhdGlvbkl0ZW1zIjpb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IEEu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i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1680085319"/>
          <w:placeholder>
            <w:docPart w:val="C17212FE2D704549862DED682A3B8976"/>
          </w:placeholder>
        </w:sdtPr>
        <w:sdtContent>
          <w:r w:rsidR="00CC1788" w:rsidRPr="0053182F">
            <w:t xml:space="preserve">(Helfaya </w:t>
          </w:r>
          <w:r w:rsidR="00CC1788" w:rsidRPr="0053182F">
            <w:rPr>
              <w:i/>
              <w:iCs/>
            </w:rPr>
            <w:t>et al.</w:t>
          </w:r>
          <w:r w:rsidR="00CC1788" w:rsidRPr="0053182F">
            <w:t>, 2024; Islam and Van Staden, 202</w:t>
          </w:r>
          <w:r w:rsidR="00DF28DA">
            <w:t>1</w:t>
          </w:r>
          <w:r w:rsidR="00CC1788" w:rsidRPr="0053182F">
            <w:t xml:space="preserve">; Kuzey </w:t>
          </w:r>
          <w:r w:rsidR="00CC1788" w:rsidRPr="0053182F">
            <w:rPr>
              <w:i/>
              <w:iCs/>
            </w:rPr>
            <w:t>et al.</w:t>
          </w:r>
          <w:r w:rsidR="00CC1788" w:rsidRPr="0053182F">
            <w:t xml:space="preserve">, 2022; Moussa </w:t>
          </w:r>
          <w:r w:rsidR="00CC1788" w:rsidRPr="0053182F">
            <w:rPr>
              <w:i/>
              <w:iCs/>
            </w:rPr>
            <w:t>et al.</w:t>
          </w:r>
          <w:r w:rsidR="00CC1788" w:rsidRPr="0053182F">
            <w:t>, 2022)</w:t>
          </w:r>
        </w:sdtContent>
      </w:sdt>
      <w:r w:rsidRPr="0053182F">
        <w:rPr>
          <w:color w:val="auto"/>
        </w:rPr>
        <w:t>.</w:t>
      </w:r>
    </w:p>
    <w:p w14:paraId="37963E0A" w14:textId="0A608E0B"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However, empirical evidence suggests that these governance mechanisms often function more as </w:t>
      </w:r>
      <w:r w:rsidRPr="0053182F">
        <w:rPr>
          <w:rStyle w:val="Strong"/>
          <w:rFonts w:eastAsiaTheme="majorEastAsia"/>
          <w:b w:val="0"/>
          <w:bCs w:val="0"/>
          <w:color w:val="auto"/>
        </w:rPr>
        <w:t>symbolic tools of legitimacy</w:t>
      </w:r>
      <w:r w:rsidRPr="0053182F">
        <w:rPr>
          <w:color w:val="auto"/>
        </w:rPr>
        <w:t xml:space="preserve"> than as instruments of genuine reform  </w:t>
      </w:r>
      <w:sdt>
        <w:sdtPr>
          <w:tag w:val="MENDELEY_CITATION_v3_eyJjaXRhdGlvbklEIjoiTUVOREVMRVlfQ0lUQVRJT05fZTdkNjdiZGYtMmIxMS00ODA2LWE1ZTItZTRkYjcwNzY4MGVhIiwicHJvcGVydGllcyI6eyJub3RlSW5kZXgiOjB9LCJpc0VkaXRlZCI6ZmFsc2UsIm1hbnVhbE92ZXJyaWRlIjp7ImlzTWFudWFsbHlPdmVycmlkZGVuIjpmYWxzZSwiY2l0ZXByb2NUZXh0IjoiKENocmlzdCA8aT5ldCBhbC48L2k+LCAyMDE5LCAyMDIz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Sx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1dfQ=="/>
          <w:id w:val="1078322771"/>
          <w:placeholder>
            <w:docPart w:val="C17212FE2D704549862DED682A3B8976"/>
          </w:placeholder>
        </w:sdtPr>
        <w:sdtContent>
          <w:r w:rsidR="00CC1788" w:rsidRPr="0053182F">
            <w:t xml:space="preserve">(Christ </w:t>
          </w:r>
          <w:r w:rsidR="00CC1788" w:rsidRPr="0053182F">
            <w:rPr>
              <w:i/>
              <w:iCs/>
            </w:rPr>
            <w:t>et al.</w:t>
          </w:r>
          <w:r w:rsidR="00CC1788" w:rsidRPr="0053182F">
            <w:t>, 2019, 2023)</w:t>
          </w:r>
        </w:sdtContent>
      </w:sdt>
      <w:r w:rsidRPr="0053182F">
        <w:rPr>
          <w:color w:val="auto"/>
        </w:rPr>
        <w:t xml:space="preserve">. Many MNCs engage in extensive sustainability reporting and issue MS statements (MSS) that comply with disclosure requirements but fail to prevent exploitation in their supply chains. This divergence between rhetoric and reality exemplifies NIT’s </w:t>
      </w:r>
      <w:r w:rsidRPr="0053182F">
        <w:rPr>
          <w:rStyle w:val="Strong"/>
          <w:rFonts w:eastAsiaTheme="majorEastAsia"/>
          <w:b w:val="0"/>
          <w:bCs w:val="0"/>
          <w:color w:val="auto"/>
        </w:rPr>
        <w:t>institutional decoupling</w:t>
      </w:r>
      <w:r w:rsidRPr="0053182F">
        <w:rPr>
          <w:color w:val="auto"/>
        </w:rPr>
        <w:t xml:space="preserve">—the separation of formal commitments from actual practice </w:t>
      </w:r>
      <w:sdt>
        <w:sdtPr>
          <w:tag w:val="MENDELEY_CITATION_v3_eyJjaXRhdGlvbklEIjoiTUVOREVMRVlfQ0lUQVRJT05fMDFhMDAzMTktOGM2Ny00MDQzLWFhMjQtMzlkZmU2MTg2MWU0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2008784516"/>
          <w:placeholder>
            <w:docPart w:val="C17212FE2D704549862DED682A3B8976"/>
          </w:placeholder>
        </w:sdtPr>
        <w:sdtContent>
          <w:r w:rsidR="00CC1788" w:rsidRPr="0053182F">
            <w:t>(Meyer and Rowan, 1977)</w:t>
          </w:r>
        </w:sdtContent>
      </w:sdt>
      <w:r w:rsidRPr="0053182F">
        <w:rPr>
          <w:color w:val="auto"/>
        </w:rPr>
        <w:t>.</w:t>
      </w:r>
    </w:p>
    <w:p w14:paraId="19D6D6C8" w14:textId="25D91030"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In practice, corporations respond to </w:t>
      </w:r>
      <w:r w:rsidRPr="0053182F">
        <w:rPr>
          <w:rStyle w:val="Strong"/>
          <w:rFonts w:eastAsiaTheme="majorEastAsia"/>
          <w:b w:val="0"/>
          <w:bCs w:val="0"/>
          <w:color w:val="auto"/>
        </w:rPr>
        <w:t>coercive pressures</w:t>
      </w:r>
      <w:r w:rsidRPr="0053182F">
        <w:rPr>
          <w:color w:val="auto"/>
        </w:rPr>
        <w:t xml:space="preserve"> (legal and regulatory mandates), </w:t>
      </w:r>
      <w:r w:rsidRPr="0053182F">
        <w:rPr>
          <w:rStyle w:val="Strong"/>
          <w:rFonts w:eastAsiaTheme="majorEastAsia"/>
          <w:b w:val="0"/>
          <w:bCs w:val="0"/>
          <w:color w:val="auto"/>
        </w:rPr>
        <w:t>normative pressures</w:t>
      </w:r>
      <w:r w:rsidRPr="0053182F">
        <w:rPr>
          <w:color w:val="auto"/>
        </w:rPr>
        <w:t xml:space="preserve"> (professional and societal expectations), and </w:t>
      </w:r>
      <w:r w:rsidRPr="0053182F">
        <w:rPr>
          <w:rStyle w:val="Strong"/>
          <w:rFonts w:eastAsiaTheme="majorEastAsia"/>
          <w:b w:val="0"/>
          <w:bCs w:val="0"/>
          <w:color w:val="auto"/>
        </w:rPr>
        <w:t>mimetic pressures</w:t>
      </w:r>
      <w:r w:rsidRPr="0053182F">
        <w:rPr>
          <w:color w:val="auto"/>
        </w:rPr>
        <w:t xml:space="preserve"> (competitive imitation of peers) to maintain legitimacy within their institutional fields </w:t>
      </w:r>
      <w:sdt>
        <w:sdtPr>
          <w:tag w:val="MENDELEY_CITATION_v3_eyJjaXRhdGlvbklEIjoiTUVOREVMRVlfQ0lUQVRJT05fZTIxMjhhMjYtNjc4ZC00M2UwLWE5NzItYWU5ZjJmNjc4ZDNiIiwicHJvcGVydGllcyI6eyJub3RlSW5kZXgiOjB9LCJpc0VkaXRlZCI6ZmFsc2UsIm1hbnVhbE92ZXJyaWRlIjp7ImlzTWFudWFsbHlPdmVycmlkZGVuIjp0cnVlLCJjaXRlcHJvY1RleHQiOiIoRGlNYWdnaW8gYW5kIFBvd2VsbCwgMTk4MzsgTnRpbSBhbmQgU29vYmFyb3llbiwgMjAxMykiLCJtYW51YWxPdmVycmlkZVRleHQiOiIoRGlNYWdnaW8gYW5kIFBvd2VsbCwgMTk4MzsgTXV0aHV0aGFudHJpZ2UgZXQgYWwuLCAyMDI2OyBOdGltIGFuZCBTb29iYXJveWVuLCAyMDEzKS4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V19"/>
          <w:id w:val="-1557235557"/>
          <w:placeholder>
            <w:docPart w:val="C17212FE2D704549862DED682A3B8976"/>
          </w:placeholder>
        </w:sdtPr>
        <w:sdtContent>
          <w:r w:rsidR="00CC1788" w:rsidRPr="0053182F">
            <w:t>(DiMaggio and Powell, 1983; Muthuthantrige et al., 2026; Ntim and Soobaroyen, 2013).</w:t>
          </w:r>
        </w:sdtContent>
      </w:sdt>
      <w:r w:rsidRPr="0053182F">
        <w:rPr>
          <w:color w:val="auto"/>
        </w:rPr>
        <w:t xml:space="preserve"> Nevertheless, these responses often prioritise reputational protection and investor confidence over substantive change, resulting in a phenomenon this thesis conceptualises as </w:t>
      </w:r>
      <w:r w:rsidRPr="0053182F">
        <w:rPr>
          <w:rStyle w:val="Strong"/>
          <w:rFonts w:eastAsiaTheme="majorEastAsia"/>
          <w:b w:val="0"/>
          <w:bCs w:val="0"/>
          <w:color w:val="auto"/>
        </w:rPr>
        <w:t>CMS</w:t>
      </w:r>
      <w:r w:rsidRPr="0053182F">
        <w:rPr>
          <w:color w:val="auto"/>
        </w:rPr>
        <w:t>—a condition where exploitative practices persist within ostensibly ethical corporate systems.</w:t>
      </w:r>
    </w:p>
    <w:p w14:paraId="61FA85A1"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To empirically capture this tension, the study examines </w:t>
      </w:r>
      <w:r w:rsidRPr="0053182F">
        <w:rPr>
          <w:rStyle w:val="Strong"/>
          <w:rFonts w:eastAsiaTheme="majorEastAsia"/>
          <w:b w:val="0"/>
          <w:bCs w:val="0"/>
          <w:color w:val="auto"/>
        </w:rPr>
        <w:t>Fortune Global 500 (G500)</w:t>
      </w:r>
      <w:r w:rsidRPr="0053182F">
        <w:rPr>
          <w:color w:val="auto"/>
        </w:rPr>
        <w:t xml:space="preserve"> firms between 2009 and 2023, analysing how SGIs shape AMS commitments. It further conducts a </w:t>
      </w:r>
      <w:r w:rsidRPr="0053182F">
        <w:rPr>
          <w:rStyle w:val="Strong"/>
          <w:rFonts w:eastAsiaTheme="majorEastAsia"/>
          <w:b w:val="0"/>
          <w:bCs w:val="0"/>
          <w:color w:val="auto"/>
        </w:rPr>
        <w:t>content analysis</w:t>
      </w:r>
      <w:r w:rsidRPr="0053182F">
        <w:rPr>
          <w:color w:val="auto"/>
        </w:rPr>
        <w:t xml:space="preserve"> of disclosures from three leading apparel and textile MNCs—</w:t>
      </w:r>
      <w:r w:rsidRPr="0053182F">
        <w:rPr>
          <w:rStyle w:val="Strong"/>
          <w:rFonts w:eastAsiaTheme="majorEastAsia"/>
          <w:b w:val="0"/>
          <w:bCs w:val="0"/>
          <w:color w:val="auto"/>
        </w:rPr>
        <w:t>Christian Dior, Inditex, and Nike</w:t>
      </w:r>
      <w:r w:rsidRPr="0053182F">
        <w:rPr>
          <w:color w:val="auto"/>
        </w:rPr>
        <w:t>—between 2019 and 2023, assessing how corporate communication aligns (or fails to align) with substantive AMS practices.</w:t>
      </w:r>
    </w:p>
    <w:p w14:paraId="62E55C8F" w14:textId="77777777" w:rsidR="00144866" w:rsidRPr="0053182F" w:rsidRDefault="00144866" w:rsidP="00144866">
      <w:pPr>
        <w:pStyle w:val="Heading3"/>
      </w:pPr>
      <w:bookmarkStart w:id="17" w:name="_Toc218357059"/>
      <w:r w:rsidRPr="0053182F">
        <w:t>1.2.3 Local Labour Context: The Lived Realities of Labour Exploitation</w:t>
      </w:r>
      <w:bookmarkEnd w:id="17"/>
    </w:p>
    <w:p w14:paraId="48400D0B" w14:textId="77777777" w:rsidR="006963C8" w:rsidRPr="0053182F" w:rsidRDefault="006963C8" w:rsidP="006963C8"/>
    <w:p w14:paraId="141CC972" w14:textId="3EC8062D" w:rsidR="00144866" w:rsidRPr="0053182F" w:rsidRDefault="00144866" w:rsidP="00144866">
      <w:pPr>
        <w:pStyle w:val="NormalWeb"/>
        <w:spacing w:before="0" w:beforeAutospacing="0" w:after="0" w:afterAutospacing="0" w:line="480" w:lineRule="auto"/>
        <w:jc w:val="both"/>
        <w:rPr>
          <w:color w:val="auto"/>
        </w:rPr>
      </w:pPr>
      <w:r w:rsidRPr="0053182F">
        <w:rPr>
          <w:color w:val="auto"/>
        </w:rPr>
        <w:t xml:space="preserve">At the </w:t>
      </w:r>
      <w:r w:rsidRPr="0053182F">
        <w:rPr>
          <w:rStyle w:val="Strong"/>
          <w:rFonts w:eastAsiaTheme="majorEastAsia"/>
          <w:b w:val="0"/>
          <w:bCs w:val="0"/>
          <w:color w:val="auto"/>
        </w:rPr>
        <w:t>micro level</w:t>
      </w:r>
      <w:r w:rsidRPr="0053182F">
        <w:rPr>
          <w:color w:val="auto"/>
        </w:rPr>
        <w:t xml:space="preserve">, the persistence of MS becomes visible in the daily lives of workers operating within global supply chains. In Sri Lanka’s </w:t>
      </w:r>
      <w:r w:rsidRPr="0053182F">
        <w:rPr>
          <w:rStyle w:val="Strong"/>
          <w:rFonts w:eastAsiaTheme="majorEastAsia"/>
          <w:b w:val="0"/>
          <w:bCs w:val="0"/>
          <w:color w:val="auto"/>
        </w:rPr>
        <w:t>apparel and textile industry (A&amp;TI)</w:t>
      </w:r>
      <w:r w:rsidRPr="0053182F">
        <w:rPr>
          <w:color w:val="auto"/>
        </w:rPr>
        <w:t xml:space="preserve">—a sector globally recognised for its “ethical” branding—workers continue to face precarious employment, coercive overtime, inadequate wages, and gendered discrimination </w:t>
      </w:r>
      <w:sdt>
        <w:sdtPr>
          <w:tag w:val="MENDELEY_CITATION_v3_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"/>
          <w:id w:val="-647818805"/>
          <w:placeholder>
            <w:docPart w:val="C17212FE2D704549862DED682A3B8976"/>
          </w:placeholder>
        </w:sdtPr>
        <w:sdtContent>
          <w:r w:rsidR="00CC1788" w:rsidRPr="0053182F">
            <w:t>(Gunawardana, 2016; Ruwanpura, 2022)</w:t>
          </w:r>
        </w:sdtContent>
      </w:sdt>
      <w:r w:rsidRPr="0053182F">
        <w:rPr>
          <w:color w:val="auto"/>
        </w:rPr>
        <w:t>. Despite compliance with international standards and corporate codes of conduct, systemic power asymmetries, subcontracting chains, and socio-economic dependency sustain exploitative labour relations.</w:t>
      </w:r>
    </w:p>
    <w:p w14:paraId="2F68D8AE"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This study’s </w:t>
      </w:r>
      <w:r w:rsidRPr="0053182F">
        <w:rPr>
          <w:rStyle w:val="Strong"/>
          <w:rFonts w:eastAsiaTheme="majorEastAsia"/>
          <w:b w:val="0"/>
          <w:bCs w:val="0"/>
          <w:color w:val="auto"/>
        </w:rPr>
        <w:t>micro-level investigation</w:t>
      </w:r>
      <w:r w:rsidRPr="0053182F">
        <w:rPr>
          <w:color w:val="auto"/>
        </w:rPr>
        <w:t xml:space="preserve"> explores how the interaction between institutional governance frameworks and local socio-economic contexts shapes these realities. Using qualitative interviews and surveys with workers and managers, the research interrogates how global AMS frameworks and corporate policies are interpreted and enacted on the ground. It reveals the persistence of </w:t>
      </w:r>
      <w:r w:rsidRPr="0053182F">
        <w:rPr>
          <w:rStyle w:val="Strong"/>
          <w:rFonts w:eastAsiaTheme="majorEastAsia"/>
          <w:b w:val="0"/>
          <w:bCs w:val="0"/>
          <w:color w:val="auto"/>
        </w:rPr>
        <w:t>“</w:t>
      </w:r>
      <w:r w:rsidRPr="0053182F">
        <w:rPr>
          <w:rStyle w:val="Strong"/>
          <w:rFonts w:eastAsiaTheme="majorEastAsia"/>
          <w:b w:val="0"/>
          <w:bCs w:val="0"/>
          <w:i/>
          <w:iCs/>
          <w:color w:val="auto"/>
        </w:rPr>
        <w:t>dual reality governance</w:t>
      </w:r>
      <w:r w:rsidRPr="0053182F">
        <w:rPr>
          <w:rStyle w:val="Strong"/>
          <w:rFonts w:eastAsiaTheme="majorEastAsia"/>
          <w:b w:val="0"/>
          <w:bCs w:val="0"/>
          <w:color w:val="auto"/>
        </w:rPr>
        <w:t>”</w:t>
      </w:r>
      <w:r w:rsidRPr="0053182F">
        <w:rPr>
          <w:color w:val="auto"/>
        </w:rPr>
        <w:t>—where formal compliance structures coexist with enduring labour exploitation. This finding challenges the assumption that transparency and corporate reporting inherently translate into ethical transformation.</w:t>
      </w:r>
    </w:p>
    <w:p w14:paraId="644D62E0" w14:textId="77777777" w:rsidR="00144866" w:rsidRPr="0053182F" w:rsidRDefault="00144866" w:rsidP="00144866">
      <w:pPr>
        <w:pStyle w:val="Heading3"/>
      </w:pPr>
      <w:bookmarkStart w:id="18" w:name="_Toc218357060"/>
      <w:r w:rsidRPr="0053182F">
        <w:t>1.2.4 The Institutional Paradox: From Governance to Legitimacy</w:t>
      </w:r>
      <w:bookmarkEnd w:id="18"/>
    </w:p>
    <w:p w14:paraId="07D71926" w14:textId="77777777" w:rsidR="00144866" w:rsidRPr="0053182F" w:rsidRDefault="00144866" w:rsidP="00144866"/>
    <w:p w14:paraId="61EC7E40" w14:textId="77777777" w:rsidR="00144866" w:rsidRPr="0053182F" w:rsidRDefault="00144866" w:rsidP="00144866">
      <w:pPr>
        <w:spacing w:after="0" w:line="480" w:lineRule="auto"/>
        <w:jc w:val="both"/>
        <w:rPr>
          <w:color w:val="auto"/>
        </w:rPr>
      </w:pPr>
      <w:r w:rsidRPr="0053182F">
        <w:rPr>
          <w:color w:val="auto"/>
        </w:rPr>
        <w:t>Taken together, the macro, meso, and micro dimensions reveal a fundamental institutional paradox: while the global economy has witnessed unprecedented expansion of AMS governance frameworks and corporate accountability mechanisms, their translation into tangible social outcomes remains inconsistent and often superficial. This paradox reflects the core tension at the heart of modern capitalism—the pursuit of legitimacy over substance.</w:t>
      </w:r>
    </w:p>
    <w:p w14:paraId="48B446F9" w14:textId="77777777" w:rsidR="00144866" w:rsidRPr="0053182F" w:rsidRDefault="00144866" w:rsidP="00144866">
      <w:pPr>
        <w:spacing w:after="0" w:line="480" w:lineRule="auto"/>
        <w:ind w:firstLine="720"/>
        <w:jc w:val="both"/>
        <w:rPr>
          <w:color w:val="auto"/>
        </w:rPr>
      </w:pPr>
      <w:r w:rsidRPr="0053182F">
        <w:rPr>
          <w:color w:val="auto"/>
        </w:rPr>
        <w:t>Anchored in NIT, this study conceptualises MS not as an isolated moral failure but as an institutionally reproduced condition—sustained by the interplay of regulatory weakness, organisational isomorphism, and legitimacy-seeking behaviour. The challenge, therefore, lies not only in creating more laws or frameworks but in understanding how institutional environments, corporate governance systems, and local socio-economic structures intersect to either sustain or mitigate exploitative labour practices.</w:t>
      </w:r>
    </w:p>
    <w:p w14:paraId="4713A39C" w14:textId="77777777" w:rsidR="00144866" w:rsidRPr="0053182F" w:rsidRDefault="00144866" w:rsidP="00144866">
      <w:pPr>
        <w:spacing w:after="0" w:line="480" w:lineRule="auto"/>
        <w:ind w:firstLine="720"/>
        <w:jc w:val="both"/>
        <w:rPr>
          <w:color w:val="auto"/>
        </w:rPr>
      </w:pPr>
      <w:r w:rsidRPr="0053182F">
        <w:rPr>
          <w:color w:val="auto"/>
        </w:rPr>
        <w:t>By bridging these analytical levels, the research seeks to illuminate the structural, organisational, and human mechanisms that sustain MS in the global economy. This multi-level approach provides the foundation for developing both theoretical insight and practical strategies to transform symbolic compliance into substantive change.</w:t>
      </w:r>
    </w:p>
    <w:p w14:paraId="577879C0" w14:textId="77777777" w:rsidR="00144866" w:rsidRPr="0053182F" w:rsidRDefault="00144866" w:rsidP="00144866">
      <w:pPr>
        <w:pStyle w:val="Heading2"/>
        <w:rPr>
          <w:rStyle w:val="Heading2Char"/>
          <w:b/>
        </w:rPr>
      </w:pPr>
      <w:bookmarkStart w:id="19" w:name="_Toc218357061"/>
      <w:r w:rsidRPr="0053182F">
        <w:rPr>
          <w:rStyle w:val="Heading2Char"/>
          <w:b/>
        </w:rPr>
        <w:t>1.3 Research Questions</w:t>
      </w:r>
      <w:bookmarkEnd w:id="19"/>
    </w:p>
    <w:p w14:paraId="43E3B209" w14:textId="77777777" w:rsidR="00144866" w:rsidRPr="0053182F" w:rsidRDefault="00144866" w:rsidP="00144866">
      <w:pPr>
        <w:rPr>
          <w:color w:val="auto"/>
        </w:rPr>
      </w:pPr>
    </w:p>
    <w:p w14:paraId="1131E3B5" w14:textId="24D511BD" w:rsidR="00144866" w:rsidRPr="0053182F" w:rsidRDefault="00144866" w:rsidP="00144866">
      <w:pPr>
        <w:spacing w:after="0" w:line="480" w:lineRule="auto"/>
        <w:jc w:val="both"/>
        <w:rPr>
          <w:color w:val="auto"/>
        </w:rPr>
      </w:pPr>
      <w:r w:rsidRPr="0053182F">
        <w:rPr>
          <w:color w:val="auto"/>
        </w:rPr>
        <w:t>Building upon the background and problem context outlined in the previous sections, this study is guided by the overarching aim of understanding how institutional environments, corporate governance mechanisms, and local socio-economic structures interact to shape the persistence—or reduction—</w:t>
      </w:r>
      <w:r w:rsidR="00964AF3" w:rsidRPr="0053182F">
        <w:rPr>
          <w:color w:val="auto"/>
        </w:rPr>
        <w:t>of MS</w:t>
      </w:r>
      <w:r w:rsidRPr="0053182F">
        <w:rPr>
          <w:color w:val="auto"/>
        </w:rPr>
        <w:t xml:space="preserve"> and its corporate manifestations. Anchored in NIT, the study conceptualises CMS as an institutionalised condition reproduced through coercive, normative, and mimetic pressures that shape both global governance responses and corporate behaviours.</w:t>
      </w:r>
    </w:p>
    <w:p w14:paraId="41F94177" w14:textId="77777777" w:rsidR="00144866" w:rsidRPr="0053182F" w:rsidRDefault="00144866" w:rsidP="00144866">
      <w:pPr>
        <w:spacing w:after="0" w:line="480" w:lineRule="auto"/>
        <w:ind w:firstLine="720"/>
        <w:jc w:val="both"/>
        <w:rPr>
          <w:color w:val="auto"/>
        </w:rPr>
      </w:pPr>
      <w:r w:rsidRPr="0053182F">
        <w:rPr>
          <w:color w:val="auto"/>
        </w:rPr>
        <w:t>To investigate these dynamics, the research adopts a multi-level framework integrating macro-, meso-, and micro-level analyses. Each level addresses a distinct yet interrelated dimension of the MS phenomenon, collectively contributing to a holistic understanding of “</w:t>
      </w:r>
      <w:r w:rsidRPr="0053182F">
        <w:rPr>
          <w:i/>
          <w:iCs/>
          <w:color w:val="auto"/>
        </w:rPr>
        <w:t>dual reality governance</w:t>
      </w:r>
      <w:r w:rsidRPr="0053182F">
        <w:rPr>
          <w:color w:val="auto"/>
        </w:rPr>
        <w:t>”—the coexistence of formal institutional compliance and persistent exploitation within global supply chains.</w:t>
      </w:r>
    </w:p>
    <w:p w14:paraId="12513A3D" w14:textId="77777777" w:rsidR="00144866" w:rsidRPr="0053182F" w:rsidRDefault="00144866" w:rsidP="00144866">
      <w:pPr>
        <w:spacing w:after="0" w:line="480" w:lineRule="auto"/>
        <w:jc w:val="both"/>
        <w:rPr>
          <w:color w:val="auto"/>
        </w:rPr>
      </w:pPr>
      <w:r w:rsidRPr="0053182F">
        <w:rPr>
          <w:color w:val="auto"/>
        </w:rPr>
        <w:t>Accordingly, the following four research questions guide this thesis:</w:t>
      </w:r>
    </w:p>
    <w:p w14:paraId="5133FEFD" w14:textId="77777777" w:rsidR="00144866" w:rsidRPr="0053182F" w:rsidRDefault="00144866" w:rsidP="00144866">
      <w:pPr>
        <w:spacing w:after="0" w:line="480" w:lineRule="auto"/>
        <w:jc w:val="center"/>
        <w:rPr>
          <w:color w:val="auto"/>
          <w:u w:val="single"/>
        </w:rPr>
      </w:pPr>
      <w:r w:rsidRPr="0053182F">
        <w:rPr>
          <w:color w:val="auto"/>
          <w:u w:val="single"/>
        </w:rPr>
        <w:t>Macro-Level: Institutional Environment and Structural Determinants</w:t>
      </w:r>
    </w:p>
    <w:p w14:paraId="52CA1F07" w14:textId="77777777" w:rsidR="00144866" w:rsidRPr="0053182F" w:rsidRDefault="00144866" w:rsidP="00144866">
      <w:pPr>
        <w:spacing w:after="0" w:line="480" w:lineRule="auto"/>
        <w:jc w:val="both"/>
        <w:rPr>
          <w:color w:val="auto"/>
        </w:rPr>
      </w:pPr>
      <w:r w:rsidRPr="0053182F">
        <w:rPr>
          <w:b/>
          <w:bCs/>
          <w:color w:val="auto"/>
        </w:rPr>
        <w:t>RQ1:</w:t>
      </w:r>
      <w:r w:rsidRPr="0053182F">
        <w:rPr>
          <w:color w:val="auto"/>
        </w:rPr>
        <w:t xml:space="preserve"> What macro-level institutional governance conditions influence the global prevalence, vulnerability, and government response to MS risk mitigation across the globe?</w:t>
      </w:r>
    </w:p>
    <w:p w14:paraId="2F1537B2" w14:textId="1133FA0F" w:rsidR="00144866" w:rsidRPr="0053182F" w:rsidRDefault="00144866" w:rsidP="00144866">
      <w:pPr>
        <w:spacing w:after="0" w:line="480" w:lineRule="auto"/>
        <w:jc w:val="both"/>
        <w:rPr>
          <w:color w:val="auto"/>
        </w:rPr>
      </w:pPr>
      <w:r w:rsidRPr="0053182F">
        <w:rPr>
          <w:color w:val="auto"/>
        </w:rPr>
        <w:t>This question explores how institutional environment quality (IEQ), inequality-adjusted human development (IHD), and the UN-SDGs shape the prevalence, structural vulnerability, and government response to MS mitigation. Drawing on international datasets such as the World Governance Indicators (WGI), the Inequality-adjusted Human Development Index (IHDI), and UN-SDG</w:t>
      </w:r>
      <w:r w:rsidR="00B207A2" w:rsidRPr="0053182F">
        <w:rPr>
          <w:color w:val="auto"/>
        </w:rPr>
        <w:t>s</w:t>
      </w:r>
      <w:r w:rsidRPr="0053182F">
        <w:rPr>
          <w:color w:val="auto"/>
        </w:rPr>
        <w:t xml:space="preserve"> indicators, this analysis examines how institutional strength and socio-economic structures affect states’ capacity to prevent and mitigate MS risks.</w:t>
      </w:r>
    </w:p>
    <w:p w14:paraId="5C066D92" w14:textId="77777777" w:rsidR="00144866" w:rsidRPr="0053182F" w:rsidRDefault="00144866" w:rsidP="00144866">
      <w:pPr>
        <w:spacing w:after="0" w:line="480" w:lineRule="auto"/>
        <w:jc w:val="center"/>
        <w:rPr>
          <w:color w:val="auto"/>
          <w:u w:val="single"/>
        </w:rPr>
      </w:pPr>
      <w:r w:rsidRPr="0053182F">
        <w:rPr>
          <w:color w:val="auto"/>
          <w:u w:val="single"/>
        </w:rPr>
        <w:t>Meso-Level: Corporate Governance and MS Commitments</w:t>
      </w:r>
    </w:p>
    <w:p w14:paraId="7DA665EF" w14:textId="77777777" w:rsidR="00144866" w:rsidRPr="0053182F" w:rsidRDefault="00144866" w:rsidP="00144866">
      <w:pPr>
        <w:spacing w:after="0" w:line="480" w:lineRule="auto"/>
        <w:jc w:val="both"/>
        <w:rPr>
          <w:color w:val="auto"/>
        </w:rPr>
      </w:pPr>
      <w:r w:rsidRPr="0053182F">
        <w:rPr>
          <w:b/>
          <w:bCs/>
          <w:color w:val="auto"/>
        </w:rPr>
        <w:t>RQ2:</w:t>
      </w:r>
      <w:r w:rsidRPr="0053182F">
        <w:rPr>
          <w:color w:val="auto"/>
        </w:rPr>
        <w:t xml:space="preserve"> How do firm-level SGIs influence corporate commitments to eradicate CMS among G500 MNCs?</w:t>
      </w:r>
    </w:p>
    <w:p w14:paraId="73A1713D" w14:textId="77777777" w:rsidR="00144866" w:rsidRPr="0053182F" w:rsidRDefault="00144866" w:rsidP="00144866">
      <w:pPr>
        <w:spacing w:after="0" w:line="480" w:lineRule="auto"/>
        <w:ind w:firstLine="720"/>
        <w:jc w:val="both"/>
        <w:rPr>
          <w:color w:val="auto"/>
        </w:rPr>
      </w:pPr>
      <w:r w:rsidRPr="0053182F">
        <w:rPr>
          <w:color w:val="auto"/>
        </w:rPr>
        <w:t>This question focuses on the organisational level, examining the relationship between SGIs’ mechanisms and the extent of corporate commitment to AMS practices. It investigates whether these governance structures drive substantive change or merely enhance legitimacy through symbolic compliance, consistent with NIT’s emphasis on isomorphic pressures within organisational fields.</w:t>
      </w:r>
    </w:p>
    <w:p w14:paraId="13823543" w14:textId="77777777" w:rsidR="00144866" w:rsidRPr="0053182F" w:rsidRDefault="00144866" w:rsidP="00144866">
      <w:pPr>
        <w:spacing w:after="0" w:line="480" w:lineRule="auto"/>
        <w:jc w:val="center"/>
        <w:rPr>
          <w:color w:val="auto"/>
          <w:u w:val="single"/>
        </w:rPr>
      </w:pPr>
      <w:r w:rsidRPr="0053182F">
        <w:rPr>
          <w:color w:val="auto"/>
          <w:u w:val="single"/>
        </w:rPr>
        <w:t>Meso-Level (Extension): Corporate Disclosure and Symbolic Compliance</w:t>
      </w:r>
    </w:p>
    <w:p w14:paraId="054207D0" w14:textId="77777777" w:rsidR="00144866" w:rsidRPr="0053182F" w:rsidRDefault="00144866" w:rsidP="00144866">
      <w:pPr>
        <w:spacing w:after="0" w:line="480" w:lineRule="auto"/>
        <w:jc w:val="both"/>
        <w:rPr>
          <w:color w:val="auto"/>
        </w:rPr>
      </w:pPr>
      <w:r w:rsidRPr="0053182F">
        <w:rPr>
          <w:b/>
          <w:bCs/>
          <w:color w:val="auto"/>
        </w:rPr>
        <w:t>RQ3:</w:t>
      </w:r>
      <w:r w:rsidRPr="0053182F">
        <w:rPr>
          <w:color w:val="auto"/>
        </w:rPr>
        <w:t xml:space="preserve"> To what extent do corporate disclosures on MS reflect substantive accountability versus symbolic compliance, and how do these disclosures align with broader institutional pressures?</w:t>
      </w:r>
    </w:p>
    <w:p w14:paraId="51325A14" w14:textId="77777777" w:rsidR="00144866" w:rsidRPr="0053182F" w:rsidRDefault="00144866" w:rsidP="00144866">
      <w:pPr>
        <w:spacing w:after="0" w:line="480" w:lineRule="auto"/>
        <w:ind w:firstLine="720"/>
        <w:jc w:val="both"/>
        <w:rPr>
          <w:color w:val="auto"/>
        </w:rPr>
      </w:pPr>
      <w:r w:rsidRPr="0053182F">
        <w:rPr>
          <w:color w:val="auto"/>
        </w:rPr>
        <w:t>To deepen the meso-level analysis, this question examines corporate disclosure practices through a content analysis of three leading apparel and textile MNCs—Christian Dior, Inditex, and Nike—over the period 2019–2023. It evaluates how these firms publicly communicate their anti-CMS (ACMS) commitments, the language and themes of their disclosures, and the degree to which such reporting demonstrates genuine accountability, transparency, and due diligence or reflects symbolic legitimacy strategies aligned with institutional expectations.</w:t>
      </w:r>
    </w:p>
    <w:p w14:paraId="13B68EDB" w14:textId="77777777" w:rsidR="00144866" w:rsidRPr="0053182F" w:rsidRDefault="00144866" w:rsidP="00144866">
      <w:pPr>
        <w:spacing w:after="0" w:line="480" w:lineRule="auto"/>
        <w:jc w:val="center"/>
        <w:rPr>
          <w:color w:val="auto"/>
          <w:u w:val="single"/>
        </w:rPr>
      </w:pPr>
      <w:r w:rsidRPr="0053182F">
        <w:rPr>
          <w:color w:val="auto"/>
          <w:u w:val="single"/>
        </w:rPr>
        <w:t>Micro Level: Worker Experiences and Institutional Decoupling</w:t>
      </w:r>
    </w:p>
    <w:p w14:paraId="5D931603" w14:textId="77777777" w:rsidR="00144866" w:rsidRPr="0053182F" w:rsidRDefault="00144866" w:rsidP="00144866">
      <w:pPr>
        <w:spacing w:after="0" w:line="480" w:lineRule="auto"/>
        <w:jc w:val="both"/>
        <w:rPr>
          <w:color w:val="auto"/>
        </w:rPr>
      </w:pPr>
      <w:r w:rsidRPr="0053182F">
        <w:rPr>
          <w:b/>
          <w:bCs/>
          <w:color w:val="auto"/>
        </w:rPr>
        <w:t>RQ4:</w:t>
      </w:r>
      <w:r w:rsidRPr="0053182F">
        <w:rPr>
          <w:color w:val="auto"/>
        </w:rPr>
        <w:t xml:space="preserve"> How do workers in Sri Lanka’s A&amp;TI experience, perceive, and interpret the implementation of CMS commitments, and what does this reveal about the phenomenon of institutional decoupling?</w:t>
      </w:r>
    </w:p>
    <w:p w14:paraId="6EC0629B" w14:textId="77777777" w:rsidR="00144866" w:rsidRPr="0053182F" w:rsidRDefault="00144866" w:rsidP="00144866">
      <w:pPr>
        <w:spacing w:after="0" w:line="480" w:lineRule="auto"/>
        <w:ind w:firstLine="720"/>
        <w:jc w:val="both"/>
        <w:rPr>
          <w:color w:val="auto"/>
        </w:rPr>
      </w:pPr>
      <w:r w:rsidRPr="0053182F">
        <w:rPr>
          <w:color w:val="auto"/>
        </w:rPr>
        <w:t>This question explores the experiential dimension of CMS by examining how workers, supervisors, and managers perceive and enact ACMS initiatives in practice. Through qualitative interviews and survey data, it uncovers the extent to which global corporate commitments translate—or fail to translate—into improved working conditions and rights protections. The analysis focuses on identifying the mechanisms through which formal governance structures become decoupled from lived realities, contributing to the persistence of exploitation despite institutional reforms.</w:t>
      </w:r>
    </w:p>
    <w:p w14:paraId="6593B544" w14:textId="77777777" w:rsidR="00144866" w:rsidRPr="0053182F" w:rsidRDefault="00144866" w:rsidP="00144866">
      <w:pPr>
        <w:spacing w:after="0" w:line="480" w:lineRule="auto"/>
        <w:ind w:firstLine="720"/>
        <w:jc w:val="both"/>
        <w:rPr>
          <w:color w:val="auto"/>
        </w:rPr>
      </w:pPr>
      <w:r w:rsidRPr="0053182F">
        <w:rPr>
          <w:color w:val="auto"/>
        </w:rPr>
        <w:t>Together, these questions address the study’s central aim: examining how global institutional structures, corporate governance systems, and local labour realities interact to sustain or challenge MS within global production networks. By answering these four questions, the research provides an integrative understanding of how legitimacy-driven institutional pressures, corporate governance mechanisms, and local socio-economic factors collectively shape the dual reality of CMS in business. The findings contribute to both theory and practice—advancing NIT in the context of business and labour rights and informing more effective governance mechanisms for eradicating CMS from corporate supply chains.</w:t>
      </w:r>
    </w:p>
    <w:p w14:paraId="6E9DCD57" w14:textId="77777777" w:rsidR="00144866" w:rsidRPr="0053182F" w:rsidRDefault="00144866" w:rsidP="00144866">
      <w:pPr>
        <w:pStyle w:val="Heading2"/>
      </w:pPr>
      <w:bookmarkStart w:id="20" w:name="_Toc218357062"/>
      <w:r w:rsidRPr="0053182F">
        <w:t>1.4 Research Aim and Objectives</w:t>
      </w:r>
      <w:bookmarkEnd w:id="20"/>
    </w:p>
    <w:p w14:paraId="36DB6211" w14:textId="77777777" w:rsidR="00144866" w:rsidRPr="0053182F" w:rsidRDefault="00144866" w:rsidP="00144866">
      <w:pPr>
        <w:pStyle w:val="Heading3"/>
      </w:pPr>
      <w:bookmarkStart w:id="21" w:name="_Toc218357063"/>
      <w:r w:rsidRPr="0053182F">
        <w:t>1.4.1 Research Aim</w:t>
      </w:r>
      <w:bookmarkEnd w:id="21"/>
    </w:p>
    <w:p w14:paraId="194DE98A" w14:textId="77777777" w:rsidR="00144866" w:rsidRPr="0053182F" w:rsidRDefault="00144866" w:rsidP="00144866">
      <w:pPr>
        <w:spacing w:after="0" w:line="480" w:lineRule="auto"/>
        <w:ind w:firstLine="720"/>
        <w:jc w:val="both"/>
        <w:rPr>
          <w:bCs/>
          <w:color w:val="auto"/>
        </w:rPr>
      </w:pPr>
      <w:r w:rsidRPr="0053182F">
        <w:rPr>
          <w:bCs/>
          <w:color w:val="auto"/>
        </w:rPr>
        <w:t>The overarching aim of this study is to investigate how institutional environments, corporate governance systems, and local socio-economic contexts intersect to influence the persistence, reduction, or elimination of MS and its CMS within global supply chains. Anchored in NIT, the study examines how coercive, normative, and mimetic pressures shape state, corporate, and labour-level responses to MS governance. By integrating macro-, meso-, and micro-level analyses, the research aims to uncover the mechanisms through which formal AMS commitments often lead to symbolic compliance rather than substantive reform, thereby advancing theoretical and practical understanding of what this thesis conceptualises as “</w:t>
      </w:r>
      <w:r w:rsidRPr="0053182F">
        <w:rPr>
          <w:bCs/>
          <w:i/>
          <w:iCs/>
          <w:color w:val="auto"/>
        </w:rPr>
        <w:t>dual reality governance</w:t>
      </w:r>
      <w:r w:rsidRPr="0053182F">
        <w:rPr>
          <w:bCs/>
          <w:color w:val="auto"/>
        </w:rPr>
        <w:t>.”</w:t>
      </w:r>
    </w:p>
    <w:p w14:paraId="5D0511EC" w14:textId="77777777" w:rsidR="00144866" w:rsidRPr="0053182F" w:rsidRDefault="00144866" w:rsidP="00144866">
      <w:pPr>
        <w:pStyle w:val="Heading3"/>
      </w:pPr>
      <w:bookmarkStart w:id="22" w:name="_Toc218357064"/>
      <w:r w:rsidRPr="0053182F">
        <w:t>1.4.2 Research Objectives</w:t>
      </w:r>
      <w:bookmarkEnd w:id="22"/>
      <w:r w:rsidRPr="0053182F">
        <w:t xml:space="preserve"> </w:t>
      </w:r>
    </w:p>
    <w:p w14:paraId="268D6CD1" w14:textId="77777777" w:rsidR="00144866" w:rsidRPr="0053182F" w:rsidRDefault="00144866" w:rsidP="00144866">
      <w:pPr>
        <w:spacing w:after="0" w:line="480" w:lineRule="auto"/>
        <w:ind w:firstLine="720"/>
        <w:jc w:val="both"/>
        <w:rPr>
          <w:bCs/>
          <w:color w:val="auto"/>
        </w:rPr>
      </w:pPr>
      <w:r w:rsidRPr="0053182F">
        <w:rPr>
          <w:bCs/>
          <w:color w:val="auto"/>
        </w:rPr>
        <w:t>In pursuit of this aim, the study establishes four core objectives, corresponding to the multi-level structure of the research design:</w:t>
      </w:r>
    </w:p>
    <w:p w14:paraId="1A945EDA" w14:textId="77777777" w:rsidR="00144866" w:rsidRPr="0053182F" w:rsidRDefault="00144866" w:rsidP="00144866">
      <w:pPr>
        <w:spacing w:after="0" w:line="480" w:lineRule="auto"/>
        <w:jc w:val="both"/>
        <w:rPr>
          <w:b/>
          <w:color w:val="auto"/>
          <w:u w:val="single"/>
        </w:rPr>
      </w:pPr>
      <w:r w:rsidRPr="0053182F">
        <w:rPr>
          <w:b/>
          <w:color w:val="auto"/>
          <w:u w:val="single"/>
        </w:rPr>
        <w:t>Macro-Level Objective (Global Institutional Context)</w:t>
      </w:r>
    </w:p>
    <w:p w14:paraId="49078B44" w14:textId="77777777" w:rsidR="00144866" w:rsidRPr="0053182F" w:rsidRDefault="00144866" w:rsidP="00144866">
      <w:pPr>
        <w:spacing w:after="0" w:line="480" w:lineRule="auto"/>
        <w:ind w:firstLine="720"/>
        <w:jc w:val="both"/>
        <w:rPr>
          <w:bCs/>
          <w:color w:val="auto"/>
        </w:rPr>
      </w:pPr>
      <w:r w:rsidRPr="0053182F">
        <w:rPr>
          <w:b/>
          <w:color w:val="auto"/>
        </w:rPr>
        <w:t>O1</w:t>
      </w:r>
      <w:r w:rsidRPr="0053182F">
        <w:rPr>
          <w:bCs/>
          <w:color w:val="auto"/>
        </w:rPr>
        <w:t>: To examine the impact of national IEQ, IHD, and UN-SDGs conditions on the global prevalence, vulnerability, and government mitigation capacity related to MS.</w:t>
      </w:r>
    </w:p>
    <w:p w14:paraId="417680C7" w14:textId="77777777" w:rsidR="00144866" w:rsidRPr="0053182F" w:rsidRDefault="00144866" w:rsidP="00144866">
      <w:pPr>
        <w:spacing w:after="0" w:line="480" w:lineRule="auto"/>
        <w:jc w:val="both"/>
        <w:rPr>
          <w:b/>
          <w:color w:val="auto"/>
          <w:u w:val="single"/>
        </w:rPr>
      </w:pPr>
      <w:r w:rsidRPr="0053182F">
        <w:rPr>
          <w:b/>
          <w:color w:val="auto"/>
          <w:u w:val="single"/>
        </w:rPr>
        <w:t>Meso-Level Objective (Corporate Governance Context)</w:t>
      </w:r>
    </w:p>
    <w:p w14:paraId="7A371A4C" w14:textId="7074EA19" w:rsidR="00144866" w:rsidRPr="0053182F" w:rsidRDefault="00144866" w:rsidP="00144866">
      <w:pPr>
        <w:spacing w:after="0" w:line="480" w:lineRule="auto"/>
        <w:ind w:firstLine="720"/>
        <w:jc w:val="both"/>
        <w:rPr>
          <w:bCs/>
          <w:color w:val="auto"/>
        </w:rPr>
      </w:pPr>
      <w:r w:rsidRPr="0053182F">
        <w:rPr>
          <w:b/>
          <w:color w:val="auto"/>
        </w:rPr>
        <w:t>O2:</w:t>
      </w:r>
      <w:r w:rsidRPr="0053182F">
        <w:rPr>
          <w:bCs/>
          <w:color w:val="auto"/>
        </w:rPr>
        <w:t xml:space="preserve"> To assess how firm-level SGIs—including CSRST, CSRC, </w:t>
      </w:r>
      <w:r w:rsidR="00CB39B7">
        <w:rPr>
          <w:bCs/>
          <w:color w:val="auto"/>
        </w:rPr>
        <w:t>BG</w:t>
      </w:r>
      <w:r w:rsidR="004727DE">
        <w:rPr>
          <w:bCs/>
          <w:color w:val="auto"/>
        </w:rPr>
        <w:t>D</w:t>
      </w:r>
      <w:r w:rsidRPr="0053182F">
        <w:rPr>
          <w:bCs/>
          <w:color w:val="auto"/>
        </w:rPr>
        <w:t>, CSR</w:t>
      </w:r>
      <w:r w:rsidR="004727DE">
        <w:rPr>
          <w:bCs/>
          <w:color w:val="auto"/>
        </w:rPr>
        <w:t>A</w:t>
      </w:r>
      <w:r w:rsidRPr="0053182F">
        <w:rPr>
          <w:bCs/>
          <w:color w:val="auto"/>
        </w:rPr>
        <w:t>, C</w:t>
      </w:r>
      <w:r w:rsidR="004727DE">
        <w:rPr>
          <w:bCs/>
          <w:color w:val="auto"/>
        </w:rPr>
        <w:t>SP</w:t>
      </w:r>
      <w:r w:rsidRPr="0053182F">
        <w:rPr>
          <w:bCs/>
          <w:color w:val="auto"/>
        </w:rPr>
        <w:t xml:space="preserve">, </w:t>
      </w:r>
      <w:r w:rsidR="00B40487">
        <w:rPr>
          <w:bCs/>
          <w:color w:val="auto"/>
        </w:rPr>
        <w:t xml:space="preserve">CSRREP </w:t>
      </w:r>
      <w:r w:rsidRPr="0053182F">
        <w:rPr>
          <w:bCs/>
          <w:color w:val="auto"/>
        </w:rPr>
        <w:t>and CSR</w:t>
      </w:r>
      <w:r w:rsidR="004727DE">
        <w:rPr>
          <w:bCs/>
          <w:color w:val="auto"/>
        </w:rPr>
        <w:t>AW</w:t>
      </w:r>
      <w:r w:rsidRPr="0053182F">
        <w:rPr>
          <w:bCs/>
          <w:color w:val="auto"/>
        </w:rPr>
        <w:t>—shape corporate commitments to ACMS practices among G500 firms.</w:t>
      </w:r>
    </w:p>
    <w:p w14:paraId="2EF8C4CE" w14:textId="77777777" w:rsidR="00144866" w:rsidRPr="0053182F" w:rsidRDefault="00144866" w:rsidP="00144866">
      <w:pPr>
        <w:spacing w:after="0" w:line="480" w:lineRule="auto"/>
        <w:jc w:val="both"/>
        <w:rPr>
          <w:b/>
          <w:color w:val="auto"/>
          <w:u w:val="single"/>
        </w:rPr>
      </w:pPr>
      <w:r w:rsidRPr="0053182F">
        <w:rPr>
          <w:b/>
          <w:color w:val="auto"/>
          <w:u w:val="single"/>
        </w:rPr>
        <w:t>Meso-Level (Extension) Objective (Corporate Disclosure Context)</w:t>
      </w:r>
    </w:p>
    <w:p w14:paraId="18A2DB98" w14:textId="77777777" w:rsidR="00144866" w:rsidRPr="0053182F" w:rsidRDefault="00144866" w:rsidP="00144866">
      <w:pPr>
        <w:spacing w:after="0" w:line="480" w:lineRule="auto"/>
        <w:ind w:firstLine="720"/>
        <w:jc w:val="both"/>
        <w:rPr>
          <w:bCs/>
          <w:color w:val="auto"/>
        </w:rPr>
      </w:pPr>
      <w:r w:rsidRPr="0053182F">
        <w:rPr>
          <w:b/>
          <w:color w:val="auto"/>
        </w:rPr>
        <w:t>O3</w:t>
      </w:r>
      <w:r w:rsidRPr="0053182F">
        <w:rPr>
          <w:bCs/>
          <w:color w:val="auto"/>
        </w:rPr>
        <w:t>: To analyse the extent to which corporate MS disclosures reflect substantive accountability or symbolic compliance, through a longitudinal content analysis of disclosure practices in three leading apparel and textile MNCs: Christian Dior, Inditex, and Nike (2019–2023).</w:t>
      </w:r>
    </w:p>
    <w:p w14:paraId="3ACF1802" w14:textId="77777777" w:rsidR="00144866" w:rsidRPr="0053182F" w:rsidRDefault="00144866" w:rsidP="00144866">
      <w:pPr>
        <w:spacing w:after="0" w:line="480" w:lineRule="auto"/>
        <w:jc w:val="both"/>
        <w:rPr>
          <w:b/>
          <w:color w:val="auto"/>
          <w:u w:val="single"/>
        </w:rPr>
      </w:pPr>
      <w:r w:rsidRPr="0053182F">
        <w:rPr>
          <w:b/>
          <w:color w:val="auto"/>
          <w:u w:val="single"/>
        </w:rPr>
        <w:t>Micro-Level Objective (Local Worker Context)</w:t>
      </w:r>
    </w:p>
    <w:p w14:paraId="35D8CAA3" w14:textId="77777777" w:rsidR="00144866" w:rsidRPr="0053182F" w:rsidRDefault="00144866" w:rsidP="00144866">
      <w:pPr>
        <w:spacing w:after="0" w:line="480" w:lineRule="auto"/>
        <w:ind w:firstLine="720"/>
        <w:jc w:val="both"/>
        <w:rPr>
          <w:bCs/>
          <w:color w:val="auto"/>
        </w:rPr>
      </w:pPr>
      <w:r w:rsidRPr="0053182F">
        <w:rPr>
          <w:b/>
          <w:color w:val="auto"/>
        </w:rPr>
        <w:t>O4:</w:t>
      </w:r>
      <w:r w:rsidRPr="0053182F">
        <w:rPr>
          <w:bCs/>
          <w:color w:val="auto"/>
        </w:rPr>
        <w:t xml:space="preserve"> To explore how workers in Sri Lanka’s A&amp;TI experience, perception, and respond to CMS commitments, and to identify the mechanisms through which institutional decoupling manifests at the ground level.</w:t>
      </w:r>
    </w:p>
    <w:p w14:paraId="58E294BF" w14:textId="77777777" w:rsidR="00144866" w:rsidRPr="0053182F" w:rsidRDefault="00144866" w:rsidP="00144866">
      <w:pPr>
        <w:pStyle w:val="Heading3"/>
      </w:pPr>
      <w:bookmarkStart w:id="23" w:name="_Toc218357065"/>
      <w:r w:rsidRPr="0053182F">
        <w:t>1.4.3 Theoretical Linkage</w:t>
      </w:r>
      <w:bookmarkEnd w:id="23"/>
    </w:p>
    <w:p w14:paraId="077152CF" w14:textId="0D61BE4B" w:rsidR="00144866" w:rsidRPr="0053182F" w:rsidRDefault="00144866" w:rsidP="00144866">
      <w:pPr>
        <w:spacing w:after="0" w:line="480" w:lineRule="auto"/>
        <w:ind w:firstLine="720"/>
        <w:jc w:val="both"/>
        <w:rPr>
          <w:bCs/>
          <w:color w:val="auto"/>
        </w:rPr>
      </w:pPr>
      <w:r w:rsidRPr="0053182F">
        <w:rPr>
          <w:bCs/>
          <w:color w:val="auto"/>
        </w:rPr>
        <w:t>Each of these objectives is grounded in the conceptual logic of NIT</w:t>
      </w:r>
      <w:r w:rsidR="00172471" w:rsidRPr="0053182F">
        <w:rPr>
          <w:bCs/>
          <w:color w:val="auto"/>
        </w:rPr>
        <w:t xml:space="preserve"> (See Table 1.1)</w:t>
      </w:r>
      <w:r w:rsidRPr="0053182F">
        <w:rPr>
          <w:bCs/>
          <w:color w:val="auto"/>
        </w:rPr>
        <w:t>, which provides the analytical lens through which MS governance is examined. At the macro level, coercive institutional pressures emerge from state regulation and global governance frameworks (e.g., UN-SDGs, MSAs, CSDDD). At the meso-level, normative and mimetic pressures shape corporate adoption of governance practices and disclosures as mechanisms of legitimacy. At the micro level, the study captures the outcomes of institutional decoupling, exploring how global frameworks are reinterpreted within local socio-economic and cultural contexts. This multi-level configuration enables the study to link formal institutional mechanisms to their social outcomes, thereby bridging structural, organisational, and experiential dimensions of CMS.</w:t>
      </w:r>
    </w:p>
    <w:p w14:paraId="21828680" w14:textId="42EBD056" w:rsidR="00144866" w:rsidRPr="0053182F" w:rsidRDefault="006963C8" w:rsidP="00144866">
      <w:pPr>
        <w:pStyle w:val="Caption"/>
        <w:rPr>
          <w:i/>
        </w:rPr>
      </w:pPr>
      <w:bookmarkStart w:id="24" w:name="_Toc216386017"/>
      <w:r w:rsidRPr="0053182F">
        <w:rPr>
          <w:b/>
          <w:bCs/>
        </w:rPr>
        <w:t>Table 1.1</w:t>
      </w:r>
      <w:r w:rsidR="00144866" w:rsidRPr="0053182F">
        <w:t xml:space="preserve"> Summary Map: Research Logic Alignment</w:t>
      </w:r>
      <w:bookmarkEnd w:id="24"/>
    </w:p>
    <w:tbl>
      <w:tblPr>
        <w:tblW w:w="0" w:type="auto"/>
        <w:jc w:val="center"/>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320"/>
        <w:gridCol w:w="2498"/>
        <w:gridCol w:w="1047"/>
        <w:gridCol w:w="2184"/>
        <w:gridCol w:w="1977"/>
      </w:tblGrid>
      <w:tr w:rsidR="00144866" w:rsidRPr="0053182F" w14:paraId="40C762C2" w14:textId="77777777" w:rsidTr="00D20468">
        <w:trPr>
          <w:tblHeader/>
          <w:tblCellSpacing w:w="15" w:type="dxa"/>
          <w:jc w:val="center"/>
        </w:trPr>
        <w:tc>
          <w:tcPr>
            <w:tcW w:w="0" w:type="auto"/>
            <w:tcBorders>
              <w:top w:val="nil"/>
              <w:bottom w:val="single" w:sz="4" w:space="0" w:color="auto"/>
            </w:tcBorders>
            <w:vAlign w:val="center"/>
            <w:hideMark/>
          </w:tcPr>
          <w:p w14:paraId="276E91ED" w14:textId="77777777" w:rsidR="00144866" w:rsidRPr="0053182F" w:rsidRDefault="00144866" w:rsidP="00D20468">
            <w:pPr>
              <w:spacing w:after="0" w:line="36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Analytical Level</w:t>
            </w:r>
          </w:p>
        </w:tc>
        <w:tc>
          <w:tcPr>
            <w:tcW w:w="0" w:type="auto"/>
            <w:tcBorders>
              <w:top w:val="nil"/>
              <w:bottom w:val="single" w:sz="4" w:space="0" w:color="auto"/>
            </w:tcBorders>
            <w:vAlign w:val="center"/>
            <w:hideMark/>
          </w:tcPr>
          <w:p w14:paraId="57E0F821" w14:textId="77777777" w:rsidR="00144866" w:rsidRPr="0053182F" w:rsidRDefault="00144866" w:rsidP="00D20468">
            <w:pPr>
              <w:spacing w:after="0" w:line="36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Focus</w:t>
            </w:r>
          </w:p>
        </w:tc>
        <w:tc>
          <w:tcPr>
            <w:tcW w:w="0" w:type="auto"/>
            <w:tcBorders>
              <w:top w:val="nil"/>
              <w:bottom w:val="single" w:sz="4" w:space="0" w:color="auto"/>
            </w:tcBorders>
            <w:vAlign w:val="center"/>
            <w:hideMark/>
          </w:tcPr>
          <w:p w14:paraId="6C9BEB51" w14:textId="77777777" w:rsidR="00144866" w:rsidRPr="0053182F" w:rsidRDefault="00144866" w:rsidP="00D20468">
            <w:pPr>
              <w:spacing w:after="0" w:line="36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Objective</w:t>
            </w:r>
          </w:p>
        </w:tc>
        <w:tc>
          <w:tcPr>
            <w:tcW w:w="0" w:type="auto"/>
            <w:tcBorders>
              <w:top w:val="nil"/>
              <w:bottom w:val="single" w:sz="4" w:space="0" w:color="auto"/>
            </w:tcBorders>
            <w:vAlign w:val="center"/>
            <w:hideMark/>
          </w:tcPr>
          <w:p w14:paraId="349F80C2" w14:textId="77777777" w:rsidR="00144866" w:rsidRPr="0053182F" w:rsidRDefault="00144866" w:rsidP="00D20468">
            <w:pPr>
              <w:spacing w:after="0" w:line="36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Methodological Approach</w:t>
            </w:r>
          </w:p>
        </w:tc>
        <w:tc>
          <w:tcPr>
            <w:tcW w:w="0" w:type="auto"/>
            <w:tcBorders>
              <w:top w:val="nil"/>
              <w:bottom w:val="single" w:sz="4" w:space="0" w:color="auto"/>
            </w:tcBorders>
            <w:vAlign w:val="center"/>
            <w:hideMark/>
          </w:tcPr>
          <w:p w14:paraId="661B4F8B" w14:textId="77777777" w:rsidR="00144866" w:rsidRPr="0053182F" w:rsidRDefault="00144866" w:rsidP="00D20468">
            <w:pPr>
              <w:spacing w:after="0" w:line="36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NIT Dimension</w:t>
            </w:r>
          </w:p>
        </w:tc>
      </w:tr>
      <w:tr w:rsidR="00144866" w:rsidRPr="0053182F" w14:paraId="347E8900" w14:textId="77777777" w:rsidTr="00D20468">
        <w:trPr>
          <w:tblCellSpacing w:w="15" w:type="dxa"/>
          <w:jc w:val="center"/>
        </w:trPr>
        <w:tc>
          <w:tcPr>
            <w:tcW w:w="0" w:type="auto"/>
            <w:vAlign w:val="center"/>
            <w:hideMark/>
          </w:tcPr>
          <w:p w14:paraId="3C248F75" w14:textId="77777777" w:rsidR="00144866" w:rsidRPr="0053182F" w:rsidRDefault="00144866" w:rsidP="00D20468">
            <w:pPr>
              <w:spacing w:after="0" w:line="360" w:lineRule="auto"/>
              <w:jc w:val="center"/>
              <w:rPr>
                <w:rFonts w:eastAsia="Times New Roman"/>
                <w:color w:val="auto"/>
                <w:kern w:val="0"/>
                <w:lang w:eastAsia="en-GB"/>
                <w14:ligatures w14:val="none"/>
              </w:rPr>
            </w:pPr>
            <w:r w:rsidRPr="0053182F">
              <w:rPr>
                <w:rFonts w:eastAsia="Times New Roman"/>
                <w:b/>
                <w:bCs/>
                <w:color w:val="auto"/>
                <w:kern w:val="0"/>
                <w:lang w:eastAsia="en-GB"/>
                <w14:ligatures w14:val="none"/>
              </w:rPr>
              <w:t>Macro</w:t>
            </w:r>
          </w:p>
        </w:tc>
        <w:tc>
          <w:tcPr>
            <w:tcW w:w="0" w:type="auto"/>
            <w:vAlign w:val="center"/>
            <w:hideMark/>
          </w:tcPr>
          <w:p w14:paraId="61A05351" w14:textId="69B873A2"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Institutional governance </w:t>
            </w:r>
            <w:r w:rsidR="00715374" w:rsidRPr="0053182F">
              <w:rPr>
                <w:rFonts w:eastAsia="Times New Roman"/>
                <w:color w:val="auto"/>
                <w:kern w:val="0"/>
                <w:lang w:eastAsia="en-GB"/>
                <w14:ligatures w14:val="none"/>
              </w:rPr>
              <w:t>and</w:t>
            </w:r>
            <w:r w:rsidRPr="0053182F">
              <w:rPr>
                <w:rFonts w:eastAsia="Times New Roman"/>
                <w:color w:val="auto"/>
                <w:kern w:val="0"/>
                <w:lang w:eastAsia="en-GB"/>
                <w14:ligatures w14:val="none"/>
              </w:rPr>
              <w:t xml:space="preserve"> national vulnerability</w:t>
            </w:r>
          </w:p>
        </w:tc>
        <w:tc>
          <w:tcPr>
            <w:tcW w:w="0" w:type="auto"/>
            <w:vAlign w:val="center"/>
            <w:hideMark/>
          </w:tcPr>
          <w:p w14:paraId="5EA94621" w14:textId="77777777" w:rsidR="00144866" w:rsidRPr="0053182F" w:rsidRDefault="00144866" w:rsidP="00D20468">
            <w:pPr>
              <w:spacing w:after="0" w:line="360" w:lineRule="auto"/>
              <w:jc w:val="center"/>
              <w:rPr>
                <w:rFonts w:eastAsia="Times New Roman"/>
                <w:color w:val="auto"/>
                <w:kern w:val="0"/>
                <w:lang w:eastAsia="en-GB"/>
                <w14:ligatures w14:val="none"/>
              </w:rPr>
            </w:pPr>
            <w:r w:rsidRPr="0053182F">
              <w:rPr>
                <w:rFonts w:eastAsia="Times New Roman"/>
                <w:color w:val="auto"/>
                <w:kern w:val="0"/>
                <w:lang w:eastAsia="en-GB"/>
                <w14:ligatures w14:val="none"/>
              </w:rPr>
              <w:t>O1</w:t>
            </w:r>
          </w:p>
        </w:tc>
        <w:tc>
          <w:tcPr>
            <w:tcW w:w="0" w:type="auto"/>
            <w:vAlign w:val="center"/>
            <w:hideMark/>
          </w:tcPr>
          <w:p w14:paraId="1EF45BEC" w14:textId="77777777"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Quantitative </w:t>
            </w:r>
          </w:p>
          <w:p w14:paraId="1F7730D9" w14:textId="77777777"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(global datasets)</w:t>
            </w:r>
          </w:p>
        </w:tc>
        <w:tc>
          <w:tcPr>
            <w:tcW w:w="0" w:type="auto"/>
            <w:vAlign w:val="center"/>
            <w:hideMark/>
          </w:tcPr>
          <w:p w14:paraId="3A99AC94" w14:textId="77777777"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Coercive pressures</w:t>
            </w:r>
          </w:p>
        </w:tc>
      </w:tr>
      <w:tr w:rsidR="00144866" w:rsidRPr="0053182F" w14:paraId="1BC52DB5" w14:textId="77777777" w:rsidTr="00D20468">
        <w:trPr>
          <w:tblCellSpacing w:w="15" w:type="dxa"/>
          <w:jc w:val="center"/>
        </w:trPr>
        <w:tc>
          <w:tcPr>
            <w:tcW w:w="0" w:type="auto"/>
            <w:vAlign w:val="center"/>
            <w:hideMark/>
          </w:tcPr>
          <w:p w14:paraId="755A99AB" w14:textId="77777777" w:rsidR="00144866" w:rsidRPr="0053182F" w:rsidRDefault="00144866" w:rsidP="00D20468">
            <w:pPr>
              <w:spacing w:after="0" w:line="360" w:lineRule="auto"/>
              <w:jc w:val="center"/>
              <w:rPr>
                <w:rFonts w:eastAsia="Times New Roman"/>
                <w:color w:val="auto"/>
                <w:kern w:val="0"/>
                <w:lang w:eastAsia="en-GB"/>
                <w14:ligatures w14:val="none"/>
              </w:rPr>
            </w:pPr>
            <w:r w:rsidRPr="0053182F">
              <w:rPr>
                <w:rFonts w:eastAsia="Times New Roman"/>
                <w:b/>
                <w:bCs/>
                <w:color w:val="auto"/>
                <w:kern w:val="0"/>
                <w:lang w:eastAsia="en-GB"/>
                <w14:ligatures w14:val="none"/>
              </w:rPr>
              <w:t>Meso</w:t>
            </w:r>
          </w:p>
        </w:tc>
        <w:tc>
          <w:tcPr>
            <w:tcW w:w="0" w:type="auto"/>
            <w:vAlign w:val="center"/>
            <w:hideMark/>
          </w:tcPr>
          <w:p w14:paraId="2FC618B4" w14:textId="77777777"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governance mechanisms</w:t>
            </w:r>
          </w:p>
        </w:tc>
        <w:tc>
          <w:tcPr>
            <w:tcW w:w="0" w:type="auto"/>
            <w:vAlign w:val="center"/>
            <w:hideMark/>
          </w:tcPr>
          <w:p w14:paraId="5DAE744D" w14:textId="77777777" w:rsidR="00144866" w:rsidRPr="0053182F" w:rsidRDefault="00144866" w:rsidP="00D20468">
            <w:pPr>
              <w:spacing w:after="0" w:line="360" w:lineRule="auto"/>
              <w:jc w:val="center"/>
              <w:rPr>
                <w:rFonts w:eastAsia="Times New Roman"/>
                <w:color w:val="auto"/>
                <w:kern w:val="0"/>
                <w:lang w:eastAsia="en-GB"/>
                <w14:ligatures w14:val="none"/>
              </w:rPr>
            </w:pPr>
            <w:r w:rsidRPr="0053182F">
              <w:rPr>
                <w:rFonts w:eastAsia="Times New Roman"/>
                <w:color w:val="auto"/>
                <w:kern w:val="0"/>
                <w:lang w:eastAsia="en-GB"/>
                <w14:ligatures w14:val="none"/>
              </w:rPr>
              <w:t>O2</w:t>
            </w:r>
          </w:p>
        </w:tc>
        <w:tc>
          <w:tcPr>
            <w:tcW w:w="0" w:type="auto"/>
            <w:vAlign w:val="center"/>
            <w:hideMark/>
          </w:tcPr>
          <w:p w14:paraId="08B08FAF" w14:textId="77777777"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Panel data analysis (G500)</w:t>
            </w:r>
          </w:p>
        </w:tc>
        <w:tc>
          <w:tcPr>
            <w:tcW w:w="0" w:type="auto"/>
            <w:vAlign w:val="center"/>
            <w:hideMark/>
          </w:tcPr>
          <w:p w14:paraId="7884DAA7" w14:textId="2900B2C3"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Normative </w:t>
            </w:r>
            <w:r w:rsidR="00715374" w:rsidRPr="0053182F">
              <w:rPr>
                <w:rFonts w:eastAsia="Times New Roman"/>
                <w:color w:val="auto"/>
                <w:kern w:val="0"/>
                <w:lang w:eastAsia="en-GB"/>
                <w14:ligatures w14:val="none"/>
              </w:rPr>
              <w:t>and</w:t>
            </w:r>
            <w:r w:rsidRPr="0053182F">
              <w:rPr>
                <w:rFonts w:eastAsia="Times New Roman"/>
                <w:color w:val="auto"/>
                <w:kern w:val="0"/>
                <w:lang w:eastAsia="en-GB"/>
                <w14:ligatures w14:val="none"/>
              </w:rPr>
              <w:t xml:space="preserve"> mimetic pressures</w:t>
            </w:r>
          </w:p>
        </w:tc>
      </w:tr>
      <w:tr w:rsidR="00144866" w:rsidRPr="0053182F" w14:paraId="77763233" w14:textId="77777777" w:rsidTr="00D20468">
        <w:trPr>
          <w:tblCellSpacing w:w="15" w:type="dxa"/>
          <w:jc w:val="center"/>
        </w:trPr>
        <w:tc>
          <w:tcPr>
            <w:tcW w:w="0" w:type="auto"/>
            <w:vAlign w:val="center"/>
            <w:hideMark/>
          </w:tcPr>
          <w:p w14:paraId="7677481A" w14:textId="77777777" w:rsidR="00144866" w:rsidRPr="0053182F" w:rsidRDefault="00144866" w:rsidP="00D20468">
            <w:pPr>
              <w:spacing w:after="0" w:line="360" w:lineRule="auto"/>
              <w:jc w:val="center"/>
              <w:rPr>
                <w:rFonts w:eastAsia="Times New Roman"/>
                <w:color w:val="auto"/>
                <w:kern w:val="0"/>
                <w:lang w:eastAsia="en-GB"/>
                <w14:ligatures w14:val="none"/>
              </w:rPr>
            </w:pPr>
            <w:r w:rsidRPr="0053182F">
              <w:rPr>
                <w:rFonts w:eastAsia="Times New Roman"/>
                <w:b/>
                <w:bCs/>
                <w:color w:val="auto"/>
                <w:kern w:val="0"/>
                <w:lang w:eastAsia="en-GB"/>
                <w14:ligatures w14:val="none"/>
              </w:rPr>
              <w:t>Meso-Extension</w:t>
            </w:r>
          </w:p>
        </w:tc>
        <w:tc>
          <w:tcPr>
            <w:tcW w:w="0" w:type="auto"/>
            <w:vAlign w:val="center"/>
            <w:hideMark/>
          </w:tcPr>
          <w:p w14:paraId="5915F4FF" w14:textId="25D4319E"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Corporate disclosure </w:t>
            </w:r>
            <w:r w:rsidR="00715374" w:rsidRPr="0053182F">
              <w:rPr>
                <w:rFonts w:eastAsia="Times New Roman"/>
                <w:color w:val="auto"/>
                <w:kern w:val="0"/>
                <w:lang w:eastAsia="en-GB"/>
                <w14:ligatures w14:val="none"/>
              </w:rPr>
              <w:t>and</w:t>
            </w:r>
            <w:r w:rsidRPr="0053182F">
              <w:rPr>
                <w:rFonts w:eastAsia="Times New Roman"/>
                <w:color w:val="auto"/>
                <w:kern w:val="0"/>
                <w:lang w:eastAsia="en-GB"/>
                <w14:ligatures w14:val="none"/>
              </w:rPr>
              <w:t xml:space="preserve"> accountability</w:t>
            </w:r>
          </w:p>
        </w:tc>
        <w:tc>
          <w:tcPr>
            <w:tcW w:w="0" w:type="auto"/>
            <w:vAlign w:val="center"/>
            <w:hideMark/>
          </w:tcPr>
          <w:p w14:paraId="3A64B5AD" w14:textId="77777777" w:rsidR="00144866" w:rsidRPr="0053182F" w:rsidRDefault="00144866" w:rsidP="00D20468">
            <w:pPr>
              <w:spacing w:after="0" w:line="360" w:lineRule="auto"/>
              <w:jc w:val="center"/>
              <w:rPr>
                <w:rFonts w:eastAsia="Times New Roman"/>
                <w:color w:val="auto"/>
                <w:kern w:val="0"/>
                <w:lang w:eastAsia="en-GB"/>
                <w14:ligatures w14:val="none"/>
              </w:rPr>
            </w:pPr>
            <w:r w:rsidRPr="0053182F">
              <w:rPr>
                <w:rFonts w:eastAsia="Times New Roman"/>
                <w:color w:val="auto"/>
                <w:kern w:val="0"/>
                <w:lang w:eastAsia="en-GB"/>
                <w14:ligatures w14:val="none"/>
              </w:rPr>
              <w:t>O3</w:t>
            </w:r>
          </w:p>
        </w:tc>
        <w:tc>
          <w:tcPr>
            <w:tcW w:w="0" w:type="auto"/>
            <w:vAlign w:val="center"/>
            <w:hideMark/>
          </w:tcPr>
          <w:p w14:paraId="449A7BEC" w14:textId="77777777"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fldChar w:fldCharType="begin"/>
            </w:r>
            <w:r w:rsidRPr="0053182F">
              <w:rPr>
                <w:rFonts w:eastAsia="Times New Roman"/>
                <w:color w:val="auto"/>
                <w:kern w:val="0"/>
                <w:lang w:eastAsia="en-GB"/>
                <w14:ligatures w14:val="none"/>
              </w:rPr>
              <w:instrText xml:space="preserve"> TOC \h \z \c "Table" </w:instrText>
            </w:r>
            <w:r w:rsidRPr="0053182F">
              <w:rPr>
                <w:rFonts w:eastAsia="Times New Roman"/>
                <w:color w:val="auto"/>
                <w:kern w:val="0"/>
                <w:lang w:eastAsia="en-GB"/>
                <w14:ligatures w14:val="none"/>
              </w:rPr>
              <w:fldChar w:fldCharType="separate"/>
            </w:r>
            <w:r w:rsidRPr="0053182F">
              <w:rPr>
                <w:rFonts w:eastAsia="Times New Roman"/>
                <w:color w:val="auto"/>
                <w:kern w:val="0"/>
                <w:lang w:eastAsia="en-GB"/>
                <w14:ligatures w14:val="none"/>
              </w:rPr>
              <w:fldChar w:fldCharType="end"/>
            </w:r>
            <w:r w:rsidRPr="0053182F">
              <w:rPr>
                <w:rFonts w:eastAsia="Times New Roman"/>
                <w:color w:val="auto"/>
                <w:kern w:val="0"/>
                <w:lang w:eastAsia="en-GB"/>
                <w14:ligatures w14:val="none"/>
              </w:rPr>
              <w:t>Content analysis</w:t>
            </w:r>
          </w:p>
          <w:p w14:paraId="7590F0E9" w14:textId="77777777"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 (3 A&amp;TI MNCs)</w:t>
            </w:r>
          </w:p>
        </w:tc>
        <w:tc>
          <w:tcPr>
            <w:tcW w:w="0" w:type="auto"/>
            <w:vAlign w:val="center"/>
            <w:hideMark/>
          </w:tcPr>
          <w:p w14:paraId="5477153A" w14:textId="079ED7E9"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Symbolic compliance </w:t>
            </w:r>
            <w:r w:rsidR="00715374" w:rsidRPr="0053182F">
              <w:rPr>
                <w:rFonts w:eastAsia="Times New Roman"/>
                <w:color w:val="auto"/>
                <w:kern w:val="0"/>
                <w:lang w:eastAsia="en-GB"/>
                <w14:ligatures w14:val="none"/>
              </w:rPr>
              <w:t xml:space="preserve">and </w:t>
            </w:r>
            <w:r w:rsidRPr="0053182F">
              <w:rPr>
                <w:rFonts w:eastAsia="Times New Roman"/>
                <w:color w:val="auto"/>
                <w:kern w:val="0"/>
                <w:lang w:eastAsia="en-GB"/>
                <w14:ligatures w14:val="none"/>
              </w:rPr>
              <w:t>legitimacy</w:t>
            </w:r>
          </w:p>
        </w:tc>
      </w:tr>
      <w:tr w:rsidR="00144866" w:rsidRPr="0053182F" w14:paraId="46285DB6" w14:textId="77777777" w:rsidTr="00D20468">
        <w:trPr>
          <w:tblCellSpacing w:w="15" w:type="dxa"/>
          <w:jc w:val="center"/>
        </w:trPr>
        <w:tc>
          <w:tcPr>
            <w:tcW w:w="0" w:type="auto"/>
            <w:vAlign w:val="center"/>
            <w:hideMark/>
          </w:tcPr>
          <w:p w14:paraId="0C70D075" w14:textId="77777777" w:rsidR="00144866" w:rsidRPr="0053182F" w:rsidRDefault="00144866" w:rsidP="00D20468">
            <w:pPr>
              <w:spacing w:after="0" w:line="360" w:lineRule="auto"/>
              <w:jc w:val="center"/>
              <w:rPr>
                <w:rFonts w:eastAsia="Times New Roman"/>
                <w:color w:val="auto"/>
                <w:kern w:val="0"/>
                <w:lang w:eastAsia="en-GB"/>
                <w14:ligatures w14:val="none"/>
              </w:rPr>
            </w:pPr>
            <w:r w:rsidRPr="0053182F">
              <w:rPr>
                <w:rFonts w:eastAsia="Times New Roman"/>
                <w:b/>
                <w:bCs/>
                <w:color w:val="auto"/>
                <w:kern w:val="0"/>
                <w:lang w:eastAsia="en-GB"/>
                <w14:ligatures w14:val="none"/>
              </w:rPr>
              <w:t>Micro</w:t>
            </w:r>
          </w:p>
        </w:tc>
        <w:tc>
          <w:tcPr>
            <w:tcW w:w="0" w:type="auto"/>
            <w:vAlign w:val="center"/>
            <w:hideMark/>
          </w:tcPr>
          <w:p w14:paraId="5EF9CAC7" w14:textId="0C733072"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Worker realities </w:t>
            </w:r>
            <w:r w:rsidR="00715374" w:rsidRPr="0053182F">
              <w:rPr>
                <w:rFonts w:eastAsia="Times New Roman"/>
                <w:color w:val="auto"/>
                <w:kern w:val="0"/>
                <w:lang w:eastAsia="en-GB"/>
                <w14:ligatures w14:val="none"/>
              </w:rPr>
              <w:t>and</w:t>
            </w:r>
            <w:r w:rsidRPr="0053182F">
              <w:rPr>
                <w:rFonts w:eastAsia="Times New Roman"/>
                <w:color w:val="auto"/>
                <w:kern w:val="0"/>
                <w:lang w:eastAsia="en-GB"/>
                <w14:ligatures w14:val="none"/>
              </w:rPr>
              <w:t xml:space="preserve"> decoupling</w:t>
            </w:r>
          </w:p>
        </w:tc>
        <w:tc>
          <w:tcPr>
            <w:tcW w:w="0" w:type="auto"/>
            <w:vAlign w:val="center"/>
            <w:hideMark/>
          </w:tcPr>
          <w:p w14:paraId="2FE52FED" w14:textId="77777777" w:rsidR="00144866" w:rsidRPr="0053182F" w:rsidRDefault="00144866" w:rsidP="00D20468">
            <w:pPr>
              <w:spacing w:after="0" w:line="360" w:lineRule="auto"/>
              <w:jc w:val="center"/>
              <w:rPr>
                <w:rFonts w:eastAsia="Times New Roman"/>
                <w:color w:val="auto"/>
                <w:kern w:val="0"/>
                <w:lang w:eastAsia="en-GB"/>
                <w14:ligatures w14:val="none"/>
              </w:rPr>
            </w:pPr>
            <w:r w:rsidRPr="0053182F">
              <w:rPr>
                <w:rFonts w:eastAsia="Times New Roman"/>
                <w:color w:val="auto"/>
                <w:kern w:val="0"/>
                <w:lang w:eastAsia="en-GB"/>
                <w14:ligatures w14:val="none"/>
              </w:rPr>
              <w:t>O4</w:t>
            </w:r>
          </w:p>
        </w:tc>
        <w:tc>
          <w:tcPr>
            <w:tcW w:w="0" w:type="auto"/>
            <w:vAlign w:val="center"/>
            <w:hideMark/>
          </w:tcPr>
          <w:p w14:paraId="066C65B4" w14:textId="6A283E8A"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Qualitative interviews </w:t>
            </w:r>
            <w:r w:rsidR="00334FED" w:rsidRPr="0053182F">
              <w:rPr>
                <w:rFonts w:eastAsia="Times New Roman"/>
                <w:color w:val="auto"/>
                <w:kern w:val="0"/>
                <w:lang w:eastAsia="en-GB"/>
                <w14:ligatures w14:val="none"/>
              </w:rPr>
              <w:t>and</w:t>
            </w:r>
            <w:r w:rsidRPr="0053182F">
              <w:rPr>
                <w:rFonts w:eastAsia="Times New Roman"/>
                <w:color w:val="auto"/>
                <w:kern w:val="0"/>
                <w:lang w:eastAsia="en-GB"/>
                <w14:ligatures w14:val="none"/>
              </w:rPr>
              <w:t xml:space="preserve"> surveys</w:t>
            </w:r>
          </w:p>
        </w:tc>
        <w:tc>
          <w:tcPr>
            <w:tcW w:w="0" w:type="auto"/>
            <w:vAlign w:val="center"/>
            <w:hideMark/>
          </w:tcPr>
          <w:p w14:paraId="07864C43" w14:textId="77777777" w:rsidR="00144866" w:rsidRPr="0053182F" w:rsidRDefault="00144866" w:rsidP="00D20468">
            <w:pPr>
              <w:spacing w:after="0" w:line="360" w:lineRule="auto"/>
              <w:rPr>
                <w:rFonts w:eastAsia="Times New Roman"/>
                <w:color w:val="auto"/>
                <w:kern w:val="0"/>
                <w:lang w:eastAsia="en-GB"/>
                <w14:ligatures w14:val="none"/>
              </w:rPr>
            </w:pPr>
            <w:r w:rsidRPr="0053182F">
              <w:rPr>
                <w:rFonts w:eastAsia="Times New Roman"/>
                <w:color w:val="auto"/>
                <w:kern w:val="0"/>
                <w:lang w:eastAsia="en-GB"/>
                <w14:ligatures w14:val="none"/>
              </w:rPr>
              <w:t>Institutional outcomes</w:t>
            </w:r>
          </w:p>
        </w:tc>
      </w:tr>
    </w:tbl>
    <w:p w14:paraId="159FF1E0" w14:textId="73CDB00D" w:rsidR="00144866" w:rsidRPr="0053182F" w:rsidRDefault="00144866" w:rsidP="00144866">
      <w:pPr>
        <w:spacing w:after="0" w:line="480" w:lineRule="auto"/>
        <w:ind w:firstLine="720"/>
        <w:jc w:val="both"/>
        <w:rPr>
          <w:b/>
          <w:color w:val="auto"/>
        </w:rPr>
      </w:pPr>
      <w:r w:rsidRPr="0053182F">
        <w:rPr>
          <w:b/>
          <w:color w:val="auto"/>
        </w:rPr>
        <w:t xml:space="preserve">Source: </w:t>
      </w:r>
      <w:r w:rsidRPr="0053182F">
        <w:rPr>
          <w:bCs/>
          <w:color w:val="auto"/>
        </w:rPr>
        <w:t>Author</w:t>
      </w:r>
      <w:r w:rsidR="00715374" w:rsidRPr="0053182F">
        <w:rPr>
          <w:bCs/>
          <w:color w:val="auto"/>
        </w:rPr>
        <w:t>'s</w:t>
      </w:r>
      <w:r w:rsidRPr="0053182F">
        <w:rPr>
          <w:bCs/>
          <w:color w:val="auto"/>
        </w:rPr>
        <w:t xml:space="preserve"> own work</w:t>
      </w:r>
    </w:p>
    <w:p w14:paraId="340EE149" w14:textId="77777777" w:rsidR="00144866" w:rsidRPr="0053182F" w:rsidRDefault="00144866" w:rsidP="00144866">
      <w:pPr>
        <w:pStyle w:val="Heading2"/>
      </w:pPr>
      <w:bookmarkStart w:id="25" w:name="_Toc218357066"/>
      <w:r w:rsidRPr="0053182F">
        <w:t>1.5 Research Significance</w:t>
      </w:r>
      <w:bookmarkEnd w:id="25"/>
    </w:p>
    <w:p w14:paraId="39E58F3A" w14:textId="77777777" w:rsidR="00144866" w:rsidRPr="0053182F" w:rsidRDefault="00144866" w:rsidP="00144866">
      <w:pPr>
        <w:spacing w:after="0" w:line="480" w:lineRule="auto"/>
        <w:ind w:firstLine="720"/>
        <w:jc w:val="both"/>
        <w:rPr>
          <w:color w:val="auto"/>
        </w:rPr>
      </w:pPr>
      <w:r w:rsidRPr="0053182F">
        <w:rPr>
          <w:color w:val="auto"/>
        </w:rPr>
        <w:t>This research holds significance across three interconnected domains — academic, practical, and humanitarian — each contributing to a deeper understanding of how institutional structures, corporate governance mechanisms, and labour realities interact to perpetuate or mitigate MS and its corporate manifestations (CMS). Anchored in NIT, the study addresses a critical gap at the intersection of organisational legitimacy, governance, and labour rights, providing a holistic, multi-scalar lens for understanding how formal compliance frameworks coexist with persistent exploitation in global supply chains.</w:t>
      </w:r>
    </w:p>
    <w:p w14:paraId="36B47884" w14:textId="77777777" w:rsidR="00144866" w:rsidRPr="0053182F" w:rsidRDefault="00144866" w:rsidP="00144866">
      <w:pPr>
        <w:pStyle w:val="Heading3"/>
      </w:pPr>
      <w:bookmarkStart w:id="26" w:name="_Toc218357067"/>
      <w:r w:rsidRPr="0053182F">
        <w:t>1.5.1 Academic Contribution</w:t>
      </w:r>
      <w:bookmarkEnd w:id="26"/>
    </w:p>
    <w:p w14:paraId="44802EA1" w14:textId="09DD92AF" w:rsidR="00144866" w:rsidRPr="0053182F" w:rsidRDefault="00144866" w:rsidP="00144866">
      <w:pPr>
        <w:spacing w:after="0" w:line="480" w:lineRule="auto"/>
        <w:ind w:firstLine="720"/>
        <w:jc w:val="both"/>
        <w:rPr>
          <w:color w:val="auto"/>
        </w:rPr>
      </w:pPr>
      <w:r w:rsidRPr="0053182F">
        <w:rPr>
          <w:color w:val="auto"/>
        </w:rPr>
        <w:t xml:space="preserve">This thesis makes a substantial academic contribution by extending the explanatory power and empirical application </w:t>
      </w:r>
      <w:r w:rsidR="00964AF3" w:rsidRPr="0053182F">
        <w:rPr>
          <w:color w:val="auto"/>
        </w:rPr>
        <w:t>of NIT</w:t>
      </w:r>
      <w:r w:rsidRPr="0053182F">
        <w:rPr>
          <w:color w:val="auto"/>
        </w:rPr>
        <w:t xml:space="preserve"> to the study of CMS and sustainability governance. By examining coercive, normative, and mimetic pressures across macro, meso, and micro levels, the study advances a multi-scalar institutional understanding of how MS persists within the formal architecture of global corporate governance.</w:t>
      </w:r>
    </w:p>
    <w:p w14:paraId="0489A5B1" w14:textId="77777777" w:rsidR="00144866" w:rsidRPr="0053182F" w:rsidRDefault="00144866" w:rsidP="00144866">
      <w:pPr>
        <w:spacing w:after="0" w:line="480" w:lineRule="auto"/>
        <w:ind w:firstLine="720"/>
        <w:jc w:val="both"/>
        <w:rPr>
          <w:color w:val="auto"/>
        </w:rPr>
      </w:pPr>
      <w:r w:rsidRPr="0053182F">
        <w:rPr>
          <w:color w:val="auto"/>
        </w:rPr>
        <w:t>At the macro level, the research extends NIT’s institutional framework beyond the organisational field to the global governance sphere. It empirically demonstrates how variations in IEQ, IHDI, and progress on UN-SDGs shape the structural capacity of states to prevent and mitigate MS. This contributes to NIT by linking governance capacity and regulatory coercion to human rights performance at the national level—an application rarely tested empirically.</w:t>
      </w:r>
    </w:p>
    <w:p w14:paraId="2FA62A8E" w14:textId="77777777" w:rsidR="00144866" w:rsidRPr="0053182F" w:rsidRDefault="00144866" w:rsidP="00144866">
      <w:pPr>
        <w:spacing w:after="0" w:line="480" w:lineRule="auto"/>
        <w:ind w:firstLine="720"/>
        <w:jc w:val="both"/>
        <w:rPr>
          <w:color w:val="auto"/>
        </w:rPr>
      </w:pPr>
      <w:r w:rsidRPr="0053182F">
        <w:rPr>
          <w:color w:val="auto"/>
        </w:rPr>
        <w:t>At the meso-level, the study deepens the application of NIT within corporate governance by examining SGIs among G500 firms (2009–2023). It evaluates how coercive (regulatory), normative (professional), and mimetic (competitive) pressures influence corporate AMS commitments. By integrating a corporate disclosure analysis of leading apparel and textile MNCs (Christian Dior, Inditex, and Nike, 2019–2023), the study adds an interpretive dimension that illustrates how legitimacy-seeking behaviours manifest in sustainability reporting. This integration of quantitative and qualitative meso-level evidence provides a richer institutional account of symbolic compliance and decoupling, reinforcing NIT’s explanatory capacity for understanding the tension between policy adoption and implementation.</w:t>
      </w:r>
    </w:p>
    <w:p w14:paraId="14BB465B" w14:textId="77777777" w:rsidR="00144866" w:rsidRPr="0053182F" w:rsidRDefault="00144866" w:rsidP="00144866">
      <w:pPr>
        <w:spacing w:after="0" w:line="480" w:lineRule="auto"/>
        <w:ind w:firstLine="720"/>
        <w:jc w:val="both"/>
        <w:rPr>
          <w:color w:val="auto"/>
        </w:rPr>
      </w:pPr>
      <w:r w:rsidRPr="0053182F">
        <w:rPr>
          <w:color w:val="auto"/>
        </w:rPr>
        <w:t>At the micro level, the study advances NIT by connecting institutional isomorphism to worker-level experiences. Qualitative interviews and survey data from Sri Lanka’s A&amp;TI show how global and corporate governance commitments are translated, resisted, or reinterpreted at the shop-floor level. This bottom-up application of NIT contributes to the growing scholarship that humanises NIT by integrating lived experience and local agency into the analysis of legitimacy processes.</w:t>
      </w:r>
    </w:p>
    <w:p w14:paraId="6F86D072" w14:textId="484006C4" w:rsidR="00144866" w:rsidRPr="0053182F" w:rsidRDefault="00144866" w:rsidP="00144866">
      <w:pPr>
        <w:spacing w:after="0" w:line="480" w:lineRule="auto"/>
        <w:ind w:firstLine="720"/>
        <w:jc w:val="both"/>
        <w:rPr>
          <w:color w:val="auto"/>
        </w:rPr>
      </w:pPr>
      <w:r w:rsidRPr="0053182F">
        <w:rPr>
          <w:color w:val="auto"/>
        </w:rPr>
        <w:t>Theoretically, the research contributes an original concept — “</w:t>
      </w:r>
      <w:r w:rsidRPr="0053182F">
        <w:rPr>
          <w:i/>
          <w:iCs/>
          <w:color w:val="auto"/>
        </w:rPr>
        <w:t>dual reality governance</w:t>
      </w:r>
      <w:r w:rsidRPr="0053182F">
        <w:rPr>
          <w:color w:val="auto"/>
        </w:rPr>
        <w:t xml:space="preserve">” — to the NIT literature, conceptualising how formal compliance systems (legitimacy structures) coexist with enduring exploitation (operational realities). This construct refines the notion of institutional decoupling </w:t>
      </w:r>
      <w:sdt>
        <w:sdtPr>
          <w:tag w:val="MENDELEY_CITATION_v3_eyJjaXRhdGlvbklEIjoiTUVOREVMRVlfQ0lUQVRJT05fY2M0MTEzNjctMjk3ZS00NjY3LWIwNmEtOTYwZmU4ZGU4ZWIw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1627588564"/>
          <w:placeholder>
            <w:docPart w:val="C17212FE2D704549862DED682A3B8976"/>
          </w:placeholder>
        </w:sdtPr>
        <w:sdtContent>
          <w:r w:rsidR="00CC1788" w:rsidRPr="0053182F">
            <w:t>(Meyer and Rowan, 1977)</w:t>
          </w:r>
        </w:sdtContent>
      </w:sdt>
      <w:r w:rsidRPr="0053182F">
        <w:rPr>
          <w:color w:val="auto"/>
        </w:rPr>
        <w:t xml:space="preserve"> and demonstrates its persistence across multi-level governance systems.</w:t>
      </w:r>
    </w:p>
    <w:p w14:paraId="21F798E1" w14:textId="77777777" w:rsidR="00144866" w:rsidRPr="0053182F" w:rsidRDefault="00144866" w:rsidP="00144866">
      <w:pPr>
        <w:spacing w:after="0" w:line="480" w:lineRule="auto"/>
        <w:ind w:firstLine="720"/>
        <w:jc w:val="both"/>
        <w:rPr>
          <w:color w:val="auto"/>
        </w:rPr>
      </w:pPr>
      <w:r w:rsidRPr="0053182F">
        <w:rPr>
          <w:color w:val="auto"/>
        </w:rPr>
        <w:t>Methodologically, the study contributes by operationalising a multi-level, mixed-methods institutional design and showing how NIT can serve as a unifying theoretical framework to connect global datasets, corporate panel data, and qualitative field insights. This integrative design extends NIT’s methodological adaptability beyond single-level or case-based analyses, positioning it as a versatile framework for examining complex ethical and governance phenomena.</w:t>
      </w:r>
    </w:p>
    <w:p w14:paraId="32B0C622" w14:textId="77777777" w:rsidR="00144866" w:rsidRPr="0053182F" w:rsidRDefault="00144866" w:rsidP="00144866">
      <w:pPr>
        <w:pStyle w:val="Heading3"/>
      </w:pPr>
      <w:bookmarkStart w:id="27" w:name="_Toc218357068"/>
      <w:r w:rsidRPr="0053182F">
        <w:t>1.5.2 Implications of the study</w:t>
      </w:r>
      <w:bookmarkEnd w:id="27"/>
    </w:p>
    <w:p w14:paraId="7EE0B963" w14:textId="77777777" w:rsidR="00964AF3" w:rsidRPr="0053182F" w:rsidRDefault="00964AF3" w:rsidP="00964AF3"/>
    <w:p w14:paraId="42ADCA63" w14:textId="77777777" w:rsidR="00144866" w:rsidRPr="0053182F" w:rsidRDefault="00144866" w:rsidP="00144866">
      <w:pPr>
        <w:spacing w:after="0" w:line="480" w:lineRule="auto"/>
        <w:ind w:firstLine="720"/>
        <w:jc w:val="both"/>
        <w:rPr>
          <w:color w:val="auto"/>
        </w:rPr>
      </w:pPr>
      <w:r w:rsidRPr="0053182F">
        <w:rPr>
          <w:color w:val="auto"/>
        </w:rPr>
        <w:t>This research offers multi-dimensional implications that extend across academic, practical, policy, and humanitarian domains. At its core, the study reframes the governance of MS as an institutional, rather than purely ethical, challenge—demonstrating how coercive, normative, and mimetic pressures shape corporate behaviour across global, organisational, and local contexts. At the academic level, the study contributes to advancing NIT by integrating it into the analysis of CMS. It extends the theory’s application across macro, meso, and micro domains and introduces the concept of dual reality governance, which captures the tension between formal compliance and persistent exploitation.</w:t>
      </w:r>
    </w:p>
    <w:p w14:paraId="203A0F1C" w14:textId="2CE2C1C4" w:rsidR="00144866" w:rsidRPr="0053182F" w:rsidRDefault="00144866" w:rsidP="00144866">
      <w:pPr>
        <w:spacing w:after="0" w:line="480" w:lineRule="auto"/>
        <w:ind w:firstLine="720"/>
        <w:jc w:val="both"/>
        <w:rPr>
          <w:color w:val="auto"/>
        </w:rPr>
      </w:pPr>
      <w:r w:rsidRPr="0053182F">
        <w:rPr>
          <w:color w:val="auto"/>
        </w:rPr>
        <w:t>At the practical and policy level, the research provides an evidence-based framework for governments, regulators, and multinational corporations to design governance systems that promote substantive, rather than symbolic, compliance. It demonstrates how global frameworks—such as the UK MSA 2015, the Australian MSA 2018, and the forthcoming EU</w:t>
      </w:r>
      <w:r w:rsidR="002F152A" w:rsidRPr="0053182F">
        <w:rPr>
          <w:color w:val="auto"/>
        </w:rPr>
        <w:t>-</w:t>
      </w:r>
      <w:r w:rsidRPr="0053182F">
        <w:rPr>
          <w:color w:val="auto"/>
        </w:rPr>
        <w:t xml:space="preserve"> CSDDD—must evolve from transparency-based reporting to enforceable due diligence and accountability mechanisms. For corporate leaders and practitioners, the findings offer strategic pathways for embedding AMS governance into core corporate operations, enhancing board accountability, CSR assurance, and disclosure integrity. This supports the transition from compliance-driven sustainability to genuine social responsibility and ethical competitiveness.</w:t>
      </w:r>
    </w:p>
    <w:p w14:paraId="6E626229" w14:textId="77777777" w:rsidR="00144866" w:rsidRPr="0053182F" w:rsidRDefault="00144866" w:rsidP="00144866">
      <w:pPr>
        <w:spacing w:after="0" w:line="480" w:lineRule="auto"/>
        <w:ind w:firstLine="720"/>
        <w:jc w:val="both"/>
        <w:rPr>
          <w:color w:val="auto"/>
        </w:rPr>
      </w:pPr>
      <w:r w:rsidRPr="0053182F">
        <w:rPr>
          <w:color w:val="auto"/>
        </w:rPr>
        <w:t>For civil society, investors, and humanitarian actors, the study underscores the importance of linking corporate reporting and global governance to tangible improvements in workers’ lives. By revealing how exploitative conditions persist beneath the surface of legitimacy-oriented governance, it highlights the need for collective, transnational efforts that restore dignity, agency, and justice to vulnerable workers within global supply chains. Overall, the study’s implications move beyond diagnosis toward transformation—showing how institutional reform, corporate accountability, and social empowerment must work in concert to eradicate MS in all its corporate manifestations.</w:t>
      </w:r>
    </w:p>
    <w:p w14:paraId="4F5CB98D" w14:textId="77777777" w:rsidR="00144866" w:rsidRPr="0053182F" w:rsidRDefault="00144866" w:rsidP="00144866">
      <w:pPr>
        <w:pStyle w:val="Heading3"/>
      </w:pPr>
      <w:bookmarkStart w:id="28" w:name="_Toc218357069"/>
      <w:r w:rsidRPr="0053182F">
        <w:t>1.5.3 Humanitarian and Ethical Value</w:t>
      </w:r>
      <w:bookmarkEnd w:id="28"/>
    </w:p>
    <w:p w14:paraId="21903E1A" w14:textId="77777777" w:rsidR="00964AF3" w:rsidRPr="0053182F" w:rsidRDefault="00964AF3" w:rsidP="00964AF3"/>
    <w:p w14:paraId="33473D66" w14:textId="77777777" w:rsidR="00144866" w:rsidRPr="0053182F" w:rsidRDefault="00144866" w:rsidP="00144866">
      <w:pPr>
        <w:spacing w:after="0" w:line="480" w:lineRule="auto"/>
        <w:ind w:firstLine="720"/>
        <w:jc w:val="both"/>
        <w:rPr>
          <w:color w:val="auto"/>
        </w:rPr>
      </w:pPr>
      <w:r w:rsidRPr="0053182F">
        <w:rPr>
          <w:color w:val="auto"/>
        </w:rPr>
        <w:t>Beyond the contribution and implication, the study holds profound humanitarian and ethical value. At its core, it amplifies the voices of workers whose experiences are often marginalised in the discourse on sustainability and corporate governance. By situating these lived realities within the broader structures of global capitalism, it exposes the systemic inequalities that enable exploitation to persist despite institutionalised commitments to labour rights.</w:t>
      </w:r>
    </w:p>
    <w:p w14:paraId="4F0B5077" w14:textId="77777777" w:rsidR="00144866" w:rsidRPr="0053182F" w:rsidRDefault="00144866" w:rsidP="00144866">
      <w:pPr>
        <w:spacing w:after="0" w:line="480" w:lineRule="auto"/>
        <w:ind w:firstLine="720"/>
        <w:jc w:val="both"/>
        <w:rPr>
          <w:color w:val="auto"/>
        </w:rPr>
      </w:pPr>
      <w:r w:rsidRPr="0053182F">
        <w:rPr>
          <w:color w:val="auto"/>
        </w:rPr>
        <w:t>The research contributes directly to international efforts to achieve UN-SDG 8 (Decent Work and Economic Growth) and UN-SDG 16 (Peace, Justice, and Strong Institutions) by highlighting pathways for strengthening institutional accountability and worker protection. In particular, its empirical findings from Sri Lanka’s A&amp;TI offer context-sensitive insights into how local governance, gender dynamics, and economic precarity shape vulnerability to exploitation — and how these vulnerabilities can be addressed through participatory, transparent, and inclusive governance models.</w:t>
      </w:r>
    </w:p>
    <w:p w14:paraId="001AB9FB" w14:textId="77777777" w:rsidR="00144866" w:rsidRPr="0053182F" w:rsidRDefault="00144866" w:rsidP="00144866">
      <w:pPr>
        <w:spacing w:after="0" w:line="480" w:lineRule="auto"/>
        <w:ind w:firstLine="720"/>
        <w:jc w:val="both"/>
        <w:rPr>
          <w:color w:val="auto"/>
        </w:rPr>
      </w:pPr>
      <w:r w:rsidRPr="0053182F">
        <w:rPr>
          <w:color w:val="auto"/>
        </w:rPr>
        <w:t>Ultimately, this research reaffirms that eradicating MS is not solely a regulatory or managerial task but a moral imperative that requires rethinking the foundations of legitimacy in global business. By uncovering the mechanisms through which coercive, normative, and mimetic pressures can both mask and perpetuate exploitation, the study contributes to a more ethical vision of corporate responsibility—one that centres on human dignity rather than reputational protection.</w:t>
      </w:r>
    </w:p>
    <w:p w14:paraId="1C5D7002" w14:textId="77777777" w:rsidR="00144866" w:rsidRPr="0053182F" w:rsidRDefault="00144866" w:rsidP="00964AF3">
      <w:pPr>
        <w:pStyle w:val="Heading2"/>
        <w:rPr>
          <w:rStyle w:val="Heading2Char"/>
          <w:b/>
        </w:rPr>
      </w:pPr>
      <w:bookmarkStart w:id="29" w:name="_Toc218357070"/>
      <w:r w:rsidRPr="0053182F">
        <w:rPr>
          <w:rStyle w:val="Heading2Char"/>
          <w:b/>
        </w:rPr>
        <w:t>1.6 Thesis Structure</w:t>
      </w:r>
      <w:bookmarkEnd w:id="29"/>
    </w:p>
    <w:p w14:paraId="479EBB71" w14:textId="77777777" w:rsidR="00144866" w:rsidRPr="0053182F" w:rsidRDefault="00144866" w:rsidP="00964AF3">
      <w:pPr>
        <w:spacing w:after="0"/>
      </w:pPr>
    </w:p>
    <w:p w14:paraId="2F89C78D" w14:textId="77777777" w:rsidR="00144866" w:rsidRPr="0053182F" w:rsidRDefault="00144866" w:rsidP="00964AF3">
      <w:pPr>
        <w:pStyle w:val="NormalWeb"/>
        <w:spacing w:before="0" w:beforeAutospacing="0" w:after="0" w:afterAutospacing="0" w:line="480" w:lineRule="auto"/>
        <w:jc w:val="both"/>
        <w:rPr>
          <w:color w:val="auto"/>
        </w:rPr>
      </w:pPr>
      <w:r w:rsidRPr="0053182F">
        <w:rPr>
          <w:color w:val="auto"/>
        </w:rPr>
        <w:t>This thesis is organised into eleven chapters, each building upon the preceding one to develop a comprehensive understanding of CMS through the lens of NIT. The overall structure progresses logically from conceptual foundations to empirical analysis and theoretical synthesis, integrating macro-, meso-, and micro-level perspectives.</w:t>
      </w:r>
    </w:p>
    <w:p w14:paraId="53B93C78"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Chapter 1 introduces the research background, rationale, aims, and objectives, situating MS as a complex governance and institutional challenge within the global economy. It outlines the theoretical positioning, methodological approach, and the study’s significance across academic, policy, and humanitarian domains. Chapter 2 provides the contextual foundation by examining the global evolution of MS, its institutional frameworks, and the emergence of CMS within international business systems. It reviews relevant legislation, including the UK MSA, the Australian MSA, and the EU CSDDD, and situates the study within broader debates on sustainability and labour rights.</w:t>
      </w:r>
    </w:p>
    <w:p w14:paraId="0451B60B"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Chapter 3 presents a critical review of the existing literature on NIT, corporate governance, and MS, identifying theoretical and empirical gaps. It also develops the hypotheses that guide the empirical analyses. Chapter 4 outlines the theoretical framework, elaborating on how NIT’s coercive, normative, and mimetic pressures shape organisational responses to institutional expectations, and introduces the conceptual model that links global governance, corporate structures, and worker experiences. Chapter 5 details the research design and methodological strategy, justifying the adoption of a mixed-methods, multi-level approach that integrates quantitative macro- and meso-level analyses with qualitative micro-level inquiry. The following three chapters present the empirical findings.</w:t>
      </w:r>
    </w:p>
    <w:p w14:paraId="4DC16D6E" w14:textId="77777777" w:rsidR="00144866" w:rsidRPr="0053182F" w:rsidRDefault="00144866" w:rsidP="00144866">
      <w:pPr>
        <w:pStyle w:val="NormalWeb"/>
        <w:spacing w:before="0" w:beforeAutospacing="0" w:after="0" w:afterAutospacing="0" w:line="480" w:lineRule="auto"/>
        <w:ind w:firstLine="720"/>
        <w:jc w:val="both"/>
        <w:rPr>
          <w:color w:val="EE0000"/>
        </w:rPr>
      </w:pPr>
      <w:r w:rsidRPr="0053182F">
        <w:rPr>
          <w:color w:val="EE0000"/>
        </w:rPr>
        <w:t>Chapter 6 examines the macro-level relationships between institutional governance quality, inequality, and human development in shaping MS prevalence and state mitigation capacity. Chapter 7 investigates meso-level corporate governance mechanisms—specifically SGIs—and their influence on AMS commitments among G500 firms. Chapter 8 extends the meso-level analysis by exploring corporate disclosure practices across three leading apparel and textile firms and evaluating whether transparency initiatives reflect substantive accountability or symbolic compliance.</w:t>
      </w:r>
    </w:p>
    <w:p w14:paraId="108FFFF6" w14:textId="77777777" w:rsidR="00144866" w:rsidRPr="0053182F" w:rsidRDefault="00144866" w:rsidP="00144866">
      <w:pPr>
        <w:pStyle w:val="NormalWeb"/>
        <w:spacing w:before="0" w:beforeAutospacing="0" w:after="0" w:afterAutospacing="0" w:line="480" w:lineRule="auto"/>
        <w:ind w:firstLine="720"/>
        <w:jc w:val="both"/>
        <w:rPr>
          <w:color w:val="EE0000"/>
        </w:rPr>
      </w:pPr>
      <w:r w:rsidRPr="0053182F">
        <w:rPr>
          <w:color w:val="EE0000"/>
        </w:rPr>
        <w:t>Chapter 9 shifts focus to the micro level, analysing the lived experiences of workers in Sri Lanka’s A&amp;TI. This chapter highlights how global and corporate-level governance commitments are enacted—or decoupled—within local production contexts, exposing the persistence of exploitation beneath formal compliance frameworks. Chapter 10 synthesises the findings across all levels of analysis, introducing the concept of dual reality governance to explain the coexistence of institutional legitimacy and continued exploitation. It interprets the results within the broader theoretical context of NIT, discussing their implications for organisational behaviour, governance reform, and ethical accountability.</w:t>
      </w:r>
    </w:p>
    <w:p w14:paraId="7F5B4286" w14:textId="77777777" w:rsidR="00144866" w:rsidRPr="0053182F" w:rsidRDefault="00144866" w:rsidP="00144866">
      <w:pPr>
        <w:pStyle w:val="NormalWeb"/>
        <w:spacing w:before="0" w:beforeAutospacing="0" w:after="0" w:afterAutospacing="0" w:line="480" w:lineRule="auto"/>
        <w:ind w:firstLine="720"/>
        <w:jc w:val="both"/>
        <w:rPr>
          <w:color w:val="EE0000"/>
        </w:rPr>
      </w:pPr>
      <w:r w:rsidRPr="0053182F">
        <w:rPr>
          <w:color w:val="EE0000"/>
        </w:rPr>
        <w:t>Finally, Chapter 11 concludes the thesis by summarising the key findings, outlining the study’s theoretical, empirical, and practical contributions, and offering recommendations for policymakers, corporations, and civil society actors. It also reflects on the study’s limitations and proposes directions for future research.</w:t>
      </w:r>
    </w:p>
    <w:p w14:paraId="6B141DCA" w14:textId="77777777"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EE0000"/>
        </w:rPr>
        <w:t xml:space="preserve">Through this structured progression—from global institutions to corporate governance and worker realities—the thesis provides an integrated, multi-scalar analysis </w:t>
      </w:r>
      <w:r w:rsidRPr="0053182F">
        <w:rPr>
          <w:color w:val="auto"/>
        </w:rPr>
        <w:t>of how MS persists within global supply chains despite the proliferation of sustainability commitments and corporate accountability frameworks.</w:t>
      </w:r>
    </w:p>
    <w:p w14:paraId="74F12660" w14:textId="3333EE84" w:rsidR="00144866" w:rsidRPr="0053182F" w:rsidRDefault="00144866" w:rsidP="00047B4C">
      <w:pPr>
        <w:pStyle w:val="Heading1"/>
        <w:rPr>
          <w:rFonts w:cs="Times New Roman"/>
        </w:rPr>
      </w:pPr>
      <w:r w:rsidRPr="0053182F">
        <w:rPr>
          <w:rFonts w:cs="Times New Roman"/>
        </w:rPr>
        <w:br w:type="page"/>
      </w:r>
      <w:bookmarkStart w:id="30" w:name="_Toc215651774"/>
      <w:bookmarkStart w:id="31" w:name="_Toc218357071"/>
      <w:bookmarkStart w:id="32" w:name="_Hlk216354802"/>
      <w:bookmarkStart w:id="33" w:name="_Hlk216348385"/>
      <w:r w:rsidRPr="0053182F">
        <w:rPr>
          <w:rFonts w:eastAsia="Times New Roman" w:cs="Times New Roman"/>
        </w:rPr>
        <w:t xml:space="preserve">Chapter </w:t>
      </w:r>
      <w:r w:rsidRPr="0053182F">
        <w:rPr>
          <w:rFonts w:cs="Times New Roman"/>
        </w:rPr>
        <w:t>2: Background of Modern Slavery</w:t>
      </w:r>
      <w:bookmarkEnd w:id="30"/>
      <w:bookmarkEnd w:id="31"/>
    </w:p>
    <w:p w14:paraId="625A2217" w14:textId="77777777" w:rsidR="00144866" w:rsidRPr="0053182F" w:rsidRDefault="00144866" w:rsidP="00144866">
      <w:pPr>
        <w:pStyle w:val="Heading2"/>
        <w:rPr>
          <w:lang w:eastAsia="en-GB"/>
        </w:rPr>
      </w:pPr>
      <w:bookmarkStart w:id="34" w:name="_Toc215651775"/>
      <w:bookmarkStart w:id="35" w:name="_Toc218357072"/>
      <w:r w:rsidRPr="0053182F">
        <w:rPr>
          <w:lang w:eastAsia="en-GB"/>
        </w:rPr>
        <w:t>2.1 Introduction</w:t>
      </w:r>
      <w:bookmarkEnd w:id="34"/>
      <w:bookmarkEnd w:id="35"/>
    </w:p>
    <w:p w14:paraId="36DAB7E1" w14:textId="77777777" w:rsidR="00144866" w:rsidRPr="0053182F" w:rsidRDefault="00144866" w:rsidP="00144866">
      <w:pPr>
        <w:spacing w:after="0"/>
        <w:jc w:val="both"/>
        <w:rPr>
          <w:color w:val="auto"/>
        </w:rPr>
      </w:pPr>
    </w:p>
    <w:p w14:paraId="7FCCFF50" w14:textId="7B0FC18B" w:rsidR="00144866" w:rsidRPr="0053182F" w:rsidRDefault="00144866" w:rsidP="00144866">
      <w:pPr>
        <w:spacing w:line="480" w:lineRule="auto"/>
        <w:jc w:val="both"/>
      </w:pPr>
      <w:r w:rsidRPr="0053182F">
        <w:rPr>
          <w:color w:val="auto"/>
        </w:rPr>
        <w:t xml:space="preserve">The purpose of this chapter is to provide the contextual foundations for understanding the persistence and evolution of slavery within contemporary global business systems. While slavery is often regarded as a relic of the past, its underlying logic of coercion, control, and exploitation remains deeply embedded in modern forms of labour </w:t>
      </w:r>
      <w:sdt>
        <w:sdtPr>
          <w:tag w:val="MENDELEY_CITATION_v3_eyJjaXRhdGlvbklEIjoiTUVOREVMRVlfQ0lUQVRJT05fMGU4NjczMjgtOTdmZC00ZjA2LThmYjktYTgwZDAyNjVmNTE5IiwicHJvcGVydGllcyI6eyJub3RlSW5kZXgiOjB9LCJpc0VkaXRlZCI6ZmFsc2UsIm1hbnVhbE92ZXJyaWRlIjp7ImlzTWFudWFsbHlPdmVycmlkZGVuIjpmYWxzZSwiY2l0ZXByb2NUZXh0IjoiKEJhbGVzLCAyMDA5OyBDcmFuZSwgMjAxMykiLCJtYW51YWxPdmVycmlkZVRleHQiOiI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"/>
          <w:id w:val="320853649"/>
          <w:placeholder>
            <w:docPart w:val="4942EA4ED2364B028BA9B32C983F184B"/>
          </w:placeholder>
        </w:sdtPr>
        <w:sdtContent>
          <w:r w:rsidR="00CC1788" w:rsidRPr="0053182F">
            <w:rPr>
              <w:rFonts w:eastAsia="Times New Roman"/>
            </w:rPr>
            <w:t>(Bales, 2009; Crane, 2013)</w:t>
          </w:r>
        </w:sdtContent>
      </w:sdt>
      <w:r w:rsidRPr="0053182F">
        <w:rPr>
          <w:color w:val="auto"/>
        </w:rPr>
        <w:t xml:space="preserve">. This chapter, therefore, traces the historical, conceptual, and institutional trajectories that have transformed classical slavery—rooted in legal ownership and physical domination—into MS, characterised by structural dependence, economic coercion, and the erosion of human autonomy under global capitalism </w:t>
      </w:r>
      <w:sdt>
        <w:sdtPr>
          <w:rPr>
            <w:highlight w:val="yellow"/>
          </w:rPr>
          <w:tag w:val="MENDELEY_CITATION_v3_eyJjaXRhdGlvbklEIjoiTUVOREVMRVlfQ0lUQVRJT05fOWM0NWI3YzctNzk5NS00MGU2LTlmNjEtM2ZhYjA0ZDhlOTM1IiwicHJvcGVydGllcyI6eyJub3RlSW5kZXgiOjB9LCJpc0VkaXRlZCI6ZmFsc2UsIm1hbnVhbE92ZXJyaWRlIjp7ImlzTWFudWFsbHlPdmVycmlkZGVuIjp0cnVlLCJjaXRlcHJvY1RleHQiOiIoRGlNYWdnaW8gYW5kIFBvd2VsbCwgMTk4MzsgTWV5ZXIgYW5kIFJvd2FuLCAxOTc3KSIsIm1hbnVhbE92ZXJyaWRlVGV4dCI6IihBaG1lZCBhbmQgQWxhd2F0dGFnZSwgMjAyMzsgQmFsZXMsIDIwMTY7IE1laG1vb2QgZXQgYWwuLCAyMDIyKSJ9LCJjaXRhdGlvbkl0ZW1zIjpb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Sx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1444887552"/>
          <w:placeholder>
            <w:docPart w:val="64E3467B9ADE49F5A9BB10F5DEC9F697"/>
          </w:placeholder>
        </w:sdtPr>
        <w:sdtContent>
          <w:r w:rsidR="00CC1788" w:rsidRPr="0053182F">
            <w:t>(Ahmed and Alawattage, 2023; Bales, 2016; Mehmood et al., 2022)</w:t>
          </w:r>
        </w:sdtContent>
      </w:sdt>
      <w:r w:rsidRPr="0053182F">
        <w:rPr>
          <w:color w:val="auto"/>
        </w:rPr>
        <w:t>. Establishing this contextual background is critical for situating the study’s examination of CMS, which represents the intersection of human exploitation and corporate governance in global supply chains.</w:t>
      </w:r>
    </w:p>
    <w:p w14:paraId="766B9253" w14:textId="0681BFB9" w:rsidR="00144866" w:rsidRPr="0053182F" w:rsidRDefault="00144866" w:rsidP="00144866">
      <w:pPr>
        <w:spacing w:after="0" w:line="480" w:lineRule="auto"/>
        <w:ind w:firstLine="720"/>
        <w:jc w:val="both"/>
        <w:rPr>
          <w:color w:val="auto"/>
        </w:rPr>
      </w:pPr>
      <w:r w:rsidRPr="0053182F">
        <w:rPr>
          <w:color w:val="auto"/>
        </w:rPr>
        <w:t xml:space="preserve">Historically, slavery functioned as a cornerstone of economic systems across ancient and colonial empires, shaping trade, production, and social hierarchies </w:t>
      </w:r>
      <w:sdt>
        <w:sdtPr>
          <w:tag w:val="MENDELEY_CITATION_v3_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"/>
          <w:id w:val="489449276"/>
          <w:placeholder>
            <w:docPart w:val="FD2A143BD4654C90BF6C0414C2467E07"/>
          </w:placeholder>
        </w:sdtPr>
        <w:sdtContent>
          <w:r w:rsidR="00CC1788" w:rsidRPr="0053182F">
            <w:t>(Patterson, 2018; Walvin, 2016)</w:t>
          </w:r>
        </w:sdtContent>
      </w:sdt>
      <w:r w:rsidRPr="0053182F">
        <w:rPr>
          <w:color w:val="auto"/>
        </w:rPr>
        <w:t xml:space="preserve">. Despite its formal abolition during the nineteenth century, the underlying conditions enabling exploitation—poverty, inequality, and the commodification of labour—persisted and adapted to new economic orders </w:t>
      </w:r>
      <w:sdt>
        <w:sdtPr>
          <w:tag w:val="MENDELEY_CITATION_v3_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806512902"/>
          <w:placeholder>
            <w:docPart w:val="FD2A143BD4654C90BF6C0414C2467E07"/>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 Eltis, 1999)</w:t>
          </w:r>
        </w:sdtContent>
      </w:sdt>
      <w:r w:rsidRPr="0053182F">
        <w:rPr>
          <w:color w:val="auto"/>
        </w:rPr>
        <w:t xml:space="preserve">. In the twenty-first century, these dynamics have been intensified by processes of globalisation and neoliberal capitalism, which have fragmented production across borders, weakened regulatory oversight, and deepened the asymmetry between corporate power and labour vulnerability </w:t>
      </w:r>
      <w:sdt>
        <w:sdtPr>
          <w:tag w:val="MENDELEY_CITATION_v3_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"/>
          <w:id w:val="-856964019"/>
          <w:placeholder>
            <w:docPart w:val="FD2A143BD4654C90BF6C0414C2467E07"/>
          </w:placeholder>
        </w:sdtPr>
        <w:sdtContent>
          <w:r w:rsidR="00CC1788" w:rsidRPr="0053182F">
            <w:t>(Barrientos, 2013a; LeBaron, 2021a)</w:t>
          </w:r>
        </w:sdtContent>
      </w:sdt>
      <w:r w:rsidRPr="0053182F">
        <w:rPr>
          <w:color w:val="auto"/>
        </w:rPr>
        <w:t>. Consequently, MS no longer operates through legal ownership but through economic subjugation and institutional neglect—manifesting in forced labour, debt bondage, human trafficking, and exploitative supply chain practices.</w:t>
      </w:r>
    </w:p>
    <w:p w14:paraId="17D97A82" w14:textId="77777777" w:rsidR="00144866" w:rsidRPr="0053182F" w:rsidRDefault="00144866" w:rsidP="00144866">
      <w:pPr>
        <w:spacing w:after="0" w:line="480" w:lineRule="auto"/>
        <w:ind w:firstLine="720"/>
        <w:jc w:val="both"/>
        <w:rPr>
          <w:color w:val="auto"/>
        </w:rPr>
      </w:pPr>
      <w:r w:rsidRPr="0053182F">
        <w:rPr>
          <w:color w:val="auto"/>
        </w:rPr>
        <w:t>This chapter situates the phenomenon of MS within its historical, institutional, and corporate contexts to provide a foundation for subsequent theoretical and empirical analyses. It begins by tracing the historical evolution of slavery and its transformation into modern exploitative systems. It then explores the conceptual complexities of defining and measuring MS, followed by an examination of global institutional responses—including key international conventions and national legislative frameworks designed to address forced labour and human trafficking. The chapter further analyses the emergence of CMS as a systemic organisational issue shaped by global production networks and institutional pressures. Finally, it outlines the research gaps and theoretical framing, setting the stage for the detailed literature review in Chapter 3.</w:t>
      </w:r>
    </w:p>
    <w:p w14:paraId="0D3D868D" w14:textId="77777777" w:rsidR="00144866" w:rsidRPr="0053182F" w:rsidRDefault="00144866" w:rsidP="00144866">
      <w:pPr>
        <w:spacing w:after="0" w:line="480" w:lineRule="auto"/>
        <w:ind w:firstLine="720"/>
        <w:jc w:val="both"/>
        <w:rPr>
          <w:color w:val="auto"/>
        </w:rPr>
      </w:pPr>
      <w:r w:rsidRPr="0053182F">
        <w:rPr>
          <w:color w:val="auto"/>
        </w:rPr>
        <w:t>By integrating historical insight with institutional and corporate perspectives, this chapter underscores that the persistence of MS is not an anomaly but a structural feature of the global economic order. Understanding its roots and evolution is therefore essential to conceptualising the corporate mechanisms that both perpetuate and have the potential to eradicate such exploitation.</w:t>
      </w:r>
    </w:p>
    <w:p w14:paraId="0C5F80FB" w14:textId="77777777" w:rsidR="00144866" w:rsidRPr="0053182F" w:rsidRDefault="00144866" w:rsidP="00144866">
      <w:pPr>
        <w:pStyle w:val="Heading2"/>
      </w:pPr>
      <w:bookmarkStart w:id="36" w:name="_Toc215651776"/>
      <w:bookmarkStart w:id="37" w:name="_Toc218357073"/>
      <w:bookmarkStart w:id="38" w:name="_Hlk211804693"/>
      <w:r w:rsidRPr="0053182F">
        <w:t>2.2 Historical Evolution of Slavery and the Emergence of Modern Slavery</w:t>
      </w:r>
      <w:bookmarkEnd w:id="36"/>
      <w:bookmarkEnd w:id="37"/>
    </w:p>
    <w:p w14:paraId="46E3C1AC" w14:textId="470D5678" w:rsidR="00144866" w:rsidRPr="0053182F" w:rsidRDefault="00144866" w:rsidP="00144866">
      <w:pPr>
        <w:spacing w:after="0" w:line="480" w:lineRule="auto"/>
        <w:jc w:val="both"/>
        <w:rPr>
          <w:color w:val="auto"/>
        </w:rPr>
      </w:pPr>
      <w:r w:rsidRPr="0053182F">
        <w:rPr>
          <w:color w:val="auto"/>
        </w:rPr>
        <w:t xml:space="preserve">Slavery has been a persistent and evolving institution throughout human history, deeply embedded in social, economic, and political systems. Although the term “slavery” commonly evokes images of historical chattel enslavement, the mechanisms of control, coercion, and exploitation that characterised classical slavery have adapted to modern economic systems, re-emerging as new forms of unfree and dependent labour  </w:t>
      </w:r>
      <w:sdt>
        <w:sdtPr>
          <w:tag w:val="MENDELEY_CITATION_v3_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IFJldiJ9LCJpc1RlbXBvcmFyeSI6ZmFsc2V9XX0="/>
          <w:id w:val="67392973"/>
          <w:placeholder>
            <w:docPart w:val="5190CE25D5884686934170E3892FFBB9"/>
          </w:placeholder>
        </w:sdtPr>
        <w:sdtContent>
          <w:r w:rsidR="00CC1788" w:rsidRPr="0053182F">
            <w:t>(Bales, 2009; Crane, 2013; Patterson, 2018</w:t>
          </w:r>
        </w:sdtContent>
      </w:sdt>
      <w:r w:rsidRPr="0053182F">
        <w:rPr>
          <w:color w:val="auto"/>
        </w:rPr>
        <w:t>). Understanding the transition from traditional slavery to contemporary forms of forced labour is therefore essential for situating the phenomenon of MS within its broader historical and institutional context.</w:t>
      </w:r>
    </w:p>
    <w:p w14:paraId="09CDDFD7" w14:textId="77777777" w:rsidR="00047B4C" w:rsidRPr="0053182F" w:rsidRDefault="00047B4C" w:rsidP="00144866">
      <w:pPr>
        <w:spacing w:after="0" w:line="480" w:lineRule="auto"/>
        <w:jc w:val="both"/>
        <w:rPr>
          <w:color w:val="auto"/>
        </w:rPr>
      </w:pPr>
    </w:p>
    <w:p w14:paraId="2A89CEEF" w14:textId="77777777" w:rsidR="00144866" w:rsidRPr="0053182F" w:rsidRDefault="00144866" w:rsidP="00144866">
      <w:pPr>
        <w:rPr>
          <w:b/>
          <w:bCs/>
          <w:u w:val="single"/>
        </w:rPr>
      </w:pPr>
      <w:bookmarkStart w:id="39" w:name="_Toc215651777"/>
      <w:r w:rsidRPr="0053182F">
        <w:rPr>
          <w:b/>
          <w:bCs/>
          <w:u w:val="single"/>
        </w:rPr>
        <w:t>Classical Slavery and Its Economic Foundations</w:t>
      </w:r>
      <w:bookmarkEnd w:id="39"/>
    </w:p>
    <w:p w14:paraId="03D46C70" w14:textId="542814F4" w:rsidR="00144866" w:rsidRPr="0053182F" w:rsidRDefault="00144866" w:rsidP="00144866">
      <w:pPr>
        <w:spacing w:after="0" w:line="480" w:lineRule="auto"/>
        <w:jc w:val="both"/>
        <w:rPr>
          <w:color w:val="auto"/>
        </w:rPr>
      </w:pPr>
      <w:r w:rsidRPr="0053182F">
        <w:rPr>
          <w:color w:val="auto"/>
        </w:rPr>
        <w:t xml:space="preserve">Classical slavery was a legally sanctioned system of ownership, where human beings were commodified and treated as property. Across ancient civilisations (e.g., Egypt, Greece, and Rome), slavery was a structural element of economic production, underpinning agriculture, construction, and domestic service </w:t>
      </w:r>
      <w:sdt>
        <w:sdtPr>
          <w:tag w:val="MENDELEY_CITATION_v3_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"/>
          <w:id w:val="413212997"/>
          <w:placeholder>
            <w:docPart w:val="5190CE25D5884686934170E3892FFBB9"/>
          </w:placeholder>
        </w:sdtPr>
        <w:sdtContent>
          <w:r w:rsidR="00CC1788" w:rsidRPr="0053182F">
            <w:t>(Patterson, 2018)</w:t>
          </w:r>
        </w:sdtContent>
      </w:sdt>
      <w:r w:rsidRPr="0053182F">
        <w:rPr>
          <w:color w:val="auto"/>
        </w:rPr>
        <w:t xml:space="preserve">. The Roman Empire, for example, institutionalised slavery as an economic engine and a marker of social hierarchy, with enslaved people representing both capital assets and labour resources </w:t>
      </w:r>
      <w:sdt>
        <w:sdtPr>
          <w:tag w:val="MENDELEY_CITATION_v3_eyJjaXRhdGlvbklEIjoiTUVOREVMRVlfQ0lUQVRJT05fMDhlZTg5OTAtYWQ3NS00NDA4LTg4MDMtODRiN2RiOWIzOWM2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V19"/>
          <w:id w:val="777533928"/>
          <w:placeholder>
            <w:docPart w:val="5190CE25D5884686934170E3892FFBB9"/>
          </w:placeholder>
        </w:sdtPr>
        <w:sdtContent>
          <w:r w:rsidR="00CC1788" w:rsidRPr="0053182F">
            <w:t>(Crane, 2013)</w:t>
          </w:r>
        </w:sdtContent>
      </w:sdt>
      <w:r w:rsidRPr="0053182F">
        <w:rPr>
          <w:color w:val="auto"/>
        </w:rPr>
        <w:t xml:space="preserve">. Similarly, in early Chinese and Ottoman systems, enslaved individuals were employed in administrative, military, and domestic roles, reflecting the deep entrenchment of forced labour in governance and trade </w:t>
      </w:r>
      <w:sdt>
        <w:sdtPr>
          <w:tag w:val="MENDELEY_CITATION_v3_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"/>
          <w:id w:val="-1063792749"/>
          <w:placeholder>
            <w:docPart w:val="5190CE25D5884686934170E3892FFBB9"/>
          </w:placeholder>
        </w:sdtPr>
        <w:sdtContent>
          <w:r w:rsidR="00CC1788" w:rsidRPr="0053182F">
            <w:rPr>
              <w:rFonts w:eastAsia="Times New Roman"/>
            </w:rPr>
            <w:t xml:space="preserve">(Craig </w:t>
          </w:r>
          <w:r w:rsidR="00CC1788" w:rsidRPr="0053182F">
            <w:rPr>
              <w:rFonts w:eastAsia="Times New Roman"/>
              <w:i/>
              <w:iCs/>
            </w:rPr>
            <w:t>et al.</w:t>
          </w:r>
          <w:r w:rsidR="00CC1788" w:rsidRPr="0053182F">
            <w:rPr>
              <w:rFonts w:eastAsia="Times New Roman"/>
            </w:rPr>
            <w:t>, 2019)</w:t>
          </w:r>
        </w:sdtContent>
      </w:sdt>
      <w:r w:rsidRPr="0053182F">
        <w:rPr>
          <w:color w:val="auto"/>
        </w:rPr>
        <w:t>.</w:t>
      </w:r>
    </w:p>
    <w:p w14:paraId="0750AE5A" w14:textId="78E95CB3" w:rsidR="00144866" w:rsidRPr="0053182F" w:rsidRDefault="00144866" w:rsidP="00144866">
      <w:pPr>
        <w:spacing w:after="0" w:line="480" w:lineRule="auto"/>
        <w:ind w:firstLine="720"/>
        <w:jc w:val="both"/>
        <w:rPr>
          <w:color w:val="auto"/>
        </w:rPr>
      </w:pPr>
      <w:r w:rsidRPr="0053182F">
        <w:rPr>
          <w:color w:val="auto"/>
        </w:rPr>
        <w:t xml:space="preserve">The transatlantic slave trade from the sixteenth to the nineteenth centuries marked the most extensive and systematised form of global human trafficking in recorded history </w:t>
      </w:r>
      <w:sdt>
        <w:sdtPr>
          <w:tag w:val="MENDELEY_CITATION_v3_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"/>
          <w:id w:val="-2057763503"/>
          <w:placeholder>
            <w:docPart w:val="4AC7928D3C7C417595243850F1CA2481"/>
          </w:placeholder>
        </w:sdtPr>
        <w:sdtContent>
          <w:r w:rsidR="00CC1788" w:rsidRPr="0053182F">
            <w:t>(Eltis and Richardson, 2010)</w:t>
          </w:r>
        </w:sdtContent>
      </w:sdt>
      <w:r w:rsidRPr="0053182F">
        <w:rPr>
          <w:color w:val="auto"/>
        </w:rPr>
        <w:t xml:space="preserve">. Over twelve million Africans were forcibly transported to the Americas, with slavery becoming the foundation of colonial economies reliant on sugar, cotton, and tobacco production </w:t>
      </w:r>
      <w:sdt>
        <w:sdtPr>
          <w:tag w:val="MENDELEY_CITATION_v3_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"/>
          <w:id w:val="363416473"/>
          <w:placeholder>
            <w:docPart w:val="5190CE25D5884686934170E3892FFBB9"/>
          </w:placeholder>
        </w:sdtPr>
        <w:sdtContent>
          <w:r w:rsidR="00CC1788" w:rsidRPr="0053182F">
            <w:t>(Eltis, 1999; Walvin, 2016)</w:t>
          </w:r>
        </w:sdtContent>
      </w:sdt>
      <w:r w:rsidRPr="0053182F">
        <w:rPr>
          <w:color w:val="auto"/>
        </w:rPr>
        <w:t xml:space="preserve">. Slavery thus became integral to the emergence of global capitalism, financing industrial expansion in Europe and facilitating the accumulation of wealth through the commodification of human lives </w:t>
      </w:r>
      <w:sdt>
        <w:sdtPr>
          <w:tag w:val="MENDELEY_CITATION_v3_eyJjaXRhdGlvbklEIjoiTUVOREVMRVlfQ0lUQVRJT05fMjRhZGM3ZjgtYmU0Mi00MjBjLWI2ZDctNDI5NGQ0OTg4NGRh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
          <w:id w:val="-984310994"/>
          <w:placeholder>
            <w:docPart w:val="5190CE25D5884686934170E3892FFBB9"/>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2020)</w:t>
          </w:r>
        </w:sdtContent>
      </w:sdt>
      <w:r w:rsidRPr="0053182F">
        <w:rPr>
          <w:color w:val="auto"/>
        </w:rPr>
        <w:t xml:space="preserve">. In this context, slavery was not only a moral atrocity but also an accounting practice—where enslaved people were recorded as financial assets, depreciated over time, and managed within economic ledgers </w:t>
      </w:r>
      <w:sdt>
        <w:sdtPr>
          <w:tag w:val="MENDELEY_CITATION_v3_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1569465154"/>
          <w:placeholder>
            <w:docPart w:val="5190CE25D5884686934170E3892FFBB9"/>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 Pinto and West, 2017)</w:t>
          </w:r>
        </w:sdtContent>
      </w:sdt>
      <w:r w:rsidRPr="0053182F">
        <w:rPr>
          <w:color w:val="auto"/>
        </w:rPr>
        <w:t>. Such practices institutionalised dehumanisation and embedded the commodification of human labour within corporate and financial systems—a legacy that continues to resonate in modern business operations.</w:t>
      </w:r>
    </w:p>
    <w:p w14:paraId="4B90F9A1" w14:textId="77777777" w:rsidR="00047B4C" w:rsidRPr="0053182F" w:rsidRDefault="00047B4C" w:rsidP="00144866">
      <w:pPr>
        <w:spacing w:after="0" w:line="480" w:lineRule="auto"/>
        <w:ind w:firstLine="720"/>
        <w:jc w:val="both"/>
        <w:rPr>
          <w:color w:val="auto"/>
        </w:rPr>
      </w:pPr>
    </w:p>
    <w:p w14:paraId="7C1FF677" w14:textId="77777777" w:rsidR="00047B4C" w:rsidRPr="0053182F" w:rsidRDefault="00047B4C" w:rsidP="00144866">
      <w:pPr>
        <w:spacing w:after="0" w:line="480" w:lineRule="auto"/>
        <w:ind w:firstLine="720"/>
        <w:jc w:val="both"/>
        <w:rPr>
          <w:color w:val="auto"/>
        </w:rPr>
      </w:pPr>
    </w:p>
    <w:p w14:paraId="3D3D65DF" w14:textId="77777777" w:rsidR="00144866" w:rsidRPr="0053182F" w:rsidRDefault="00144866" w:rsidP="005A5453">
      <w:pPr>
        <w:pStyle w:val="Heading2"/>
      </w:pPr>
      <w:bookmarkStart w:id="40" w:name="_Toc215651780"/>
      <w:bookmarkStart w:id="41" w:name="_Toc218357074"/>
      <w:bookmarkStart w:id="42" w:name="_Hlk216352494"/>
      <w:bookmarkStart w:id="43" w:name="_Toc215651784"/>
      <w:bookmarkStart w:id="44" w:name="_Toc215651778"/>
      <w:r w:rsidRPr="0053182F">
        <w:rPr>
          <w:rStyle w:val="Strong"/>
          <w:b/>
        </w:rPr>
        <w:t xml:space="preserve">2.3 Understanding Modern Slavery </w:t>
      </w:r>
      <w:r w:rsidRPr="0053182F">
        <w:t>in the Global Context</w:t>
      </w:r>
      <w:bookmarkEnd w:id="40"/>
      <w:bookmarkEnd w:id="41"/>
    </w:p>
    <w:p w14:paraId="1D3299DC" w14:textId="2F5B723B" w:rsidR="00144866" w:rsidRPr="0053182F" w:rsidRDefault="00144866" w:rsidP="005A5453">
      <w:pPr>
        <w:spacing w:after="0" w:line="480" w:lineRule="auto"/>
        <w:jc w:val="both"/>
      </w:pPr>
      <w:r w:rsidRPr="0053182F">
        <w:rPr>
          <w:color w:val="auto"/>
        </w:rPr>
        <w:t xml:space="preserve">MS represents one of the most profound and systemic human rights challenges of the 21st century </w:t>
      </w:r>
      <w:sdt>
        <w:sdtPr>
          <w:tag w:val="MENDELEY_CITATION_v3_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"/>
          <w:id w:val="-558858964"/>
          <w:placeholder>
            <w:docPart w:val="4CCBAF81947A4571AE17D04C1737B639"/>
          </w:placeholder>
        </w:sdtPr>
        <w:sdtContent>
          <w:r w:rsidR="00CC1788" w:rsidRPr="0053182F">
            <w:rPr>
              <w:rFonts w:eastAsia="Times New Roman"/>
            </w:rPr>
            <w:t xml:space="preserve">(Madhavika </w:t>
          </w:r>
          <w:r w:rsidR="00CC1788" w:rsidRPr="0053182F">
            <w:rPr>
              <w:rFonts w:eastAsia="Times New Roman"/>
              <w:i/>
              <w:iCs/>
            </w:rPr>
            <w:t>et al.</w:t>
          </w:r>
          <w:r w:rsidR="00CC1788" w:rsidRPr="0053182F">
            <w:rPr>
              <w:rFonts w:eastAsia="Times New Roman"/>
            </w:rPr>
            <w:t>, 2024)</w:t>
          </w:r>
        </w:sdtContent>
      </w:sdt>
      <w:r w:rsidRPr="0053182F">
        <w:rPr>
          <w:color w:val="auto"/>
        </w:rPr>
        <w:t xml:space="preserve">. While historically associated with the physical ownership of individuals, its modern forms are characterised by control, coercion, and dependency within legal or quasi-legal frameworks of work and migration </w:t>
      </w:r>
      <w:sdt>
        <w:sdtPr>
          <w:tag w:val="MENDELEY_CITATION_v3_eyJjaXRhdGlvbklEIjoiTUVOREVMRVlfQ0lUQVRJT05fMjAxMjJlODEtNDMwZC00N2FkLWFlZmUtZGUwZjU1NTU3OTIxIiwicHJvcGVydGllcyI6eyJub3RlSW5kZXgiOjB9LCJpc0VkaXRlZCI6ZmFsc2UsIm1hbnVhbE92ZXJyaWRlIjp7ImlzTWFudWFsbHlPdmVycmlkZGVuIjp0cnVlLCJjaXRlcHJvY1RleHQiOiIoQ3JhbmUsIDIwMTM7IElMTywgMjAyMmIsIDIwMjJhOyBMZUJhcm9uLCAyMDIwYikiLCJtYW51YWxPdmVycmlkZVRleHQiOiIoQ3JhbmUsIDIwMTM7IElMTywgMjAyMmIsIDIwMjJhKS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"/>
          <w:id w:val="968097816"/>
          <w:placeholder>
            <w:docPart w:val="BB3C8D79E3A84069A2E6BDBE1815CCEE"/>
          </w:placeholder>
        </w:sdtPr>
        <w:sdtContent>
          <w:r w:rsidR="00CC1788" w:rsidRPr="0053182F">
            <w:t>(Crane, 2013; ILO, 2022b, 2022a)</w:t>
          </w:r>
        </w:sdtContent>
      </w:sdt>
      <w:r w:rsidRPr="0053182F">
        <w:rPr>
          <w:color w:val="auto"/>
        </w:rPr>
        <w:t>. Despite decades of global advocacy, definitional ambiguity persists, reflecting the complexity of the phenomenon and its varied manifestations across sectors and jurisdictions. This section clarifies the conceptual underpinnings of MS by drawing on international frameworks and academic discourse and subsequently situates it within the corporate domain as CMS.</w:t>
      </w:r>
    </w:p>
    <w:p w14:paraId="394559B9" w14:textId="77777777" w:rsidR="00144866" w:rsidRPr="0053182F" w:rsidRDefault="00144866" w:rsidP="00144866">
      <w:pPr>
        <w:pStyle w:val="Heading3"/>
      </w:pPr>
      <w:bookmarkStart w:id="45" w:name="_Toc215651781"/>
      <w:bookmarkStart w:id="46" w:name="_Toc218357075"/>
      <w:r w:rsidRPr="0053182F">
        <w:rPr>
          <w:rStyle w:val="Strong"/>
          <w:b/>
          <w:bCs w:val="0"/>
        </w:rPr>
        <w:t>2.3.1 Global Prevalence and Severity</w:t>
      </w:r>
      <w:bookmarkEnd w:id="45"/>
      <w:bookmarkEnd w:id="46"/>
    </w:p>
    <w:p w14:paraId="348FEF04" w14:textId="66F3839B" w:rsidR="00144866" w:rsidRPr="0053182F" w:rsidRDefault="00144866" w:rsidP="005A5453">
      <w:pPr>
        <w:pStyle w:val="NormalWeb"/>
        <w:spacing w:before="0" w:beforeAutospacing="0" w:after="0" w:afterAutospacing="0" w:line="480" w:lineRule="auto"/>
        <w:jc w:val="both"/>
        <w:rPr>
          <w:color w:val="auto"/>
        </w:rPr>
      </w:pPr>
      <w:r w:rsidRPr="0053182F">
        <w:rPr>
          <w:color w:val="auto"/>
        </w:rPr>
        <w:t xml:space="preserve">Despite increasing awareness and regulatory interventions, MS remains pervasive and entrenched within global economic systems. According to the </w:t>
      </w:r>
      <w:r w:rsidRPr="0053182F">
        <w:rPr>
          <w:rStyle w:val="Emphasis"/>
          <w:rFonts w:eastAsiaTheme="majorEastAsia"/>
          <w:i w:val="0"/>
          <w:color w:val="auto"/>
        </w:rPr>
        <w:t>ILO</w:t>
      </w:r>
      <w:r w:rsidRPr="0053182F">
        <w:rPr>
          <w:i/>
          <w:iCs/>
          <w:color w:val="auto"/>
        </w:rPr>
        <w:t xml:space="preserve"> et al. </w:t>
      </w:r>
      <w:r w:rsidRPr="0053182F">
        <w:rPr>
          <w:color w:val="auto"/>
        </w:rPr>
        <w:t>(2022),</w:t>
      </w:r>
      <w:r w:rsidRPr="0053182F">
        <w:rPr>
          <w:i/>
          <w:color w:val="auto"/>
        </w:rPr>
        <w:t xml:space="preserve"> </w:t>
      </w:r>
      <w:r w:rsidRPr="0053182F">
        <w:rPr>
          <w:color w:val="auto"/>
        </w:rPr>
        <w:t xml:space="preserve">an estimated </w:t>
      </w:r>
      <w:r w:rsidRPr="0053182F">
        <w:rPr>
          <w:rStyle w:val="Strong"/>
          <w:rFonts w:eastAsiaTheme="majorEastAsia"/>
          <w:b w:val="0"/>
          <w:bCs w:val="0"/>
          <w:color w:val="auto"/>
        </w:rPr>
        <w:t>50 million people</w:t>
      </w:r>
      <w:r w:rsidRPr="0053182F">
        <w:rPr>
          <w:color w:val="auto"/>
        </w:rPr>
        <w:t xml:space="preserve"> were living in conditions of MS in 2021, representing a 25% increase since 2016. Of these, approximately </w:t>
      </w:r>
      <w:r w:rsidRPr="0053182F">
        <w:rPr>
          <w:rStyle w:val="Strong"/>
          <w:rFonts w:eastAsiaTheme="majorEastAsia"/>
          <w:b w:val="0"/>
          <w:bCs w:val="0"/>
          <w:color w:val="auto"/>
        </w:rPr>
        <w:t>28 million</w:t>
      </w:r>
      <w:r w:rsidRPr="0053182F">
        <w:rPr>
          <w:color w:val="auto"/>
        </w:rPr>
        <w:t xml:space="preserve"> were subjected to forced labour and </w:t>
      </w:r>
      <w:r w:rsidRPr="0053182F">
        <w:rPr>
          <w:rStyle w:val="Strong"/>
          <w:rFonts w:eastAsiaTheme="majorEastAsia"/>
          <w:b w:val="0"/>
          <w:bCs w:val="0"/>
          <w:color w:val="auto"/>
        </w:rPr>
        <w:t>22 million</w:t>
      </w:r>
      <w:r w:rsidRPr="0053182F">
        <w:rPr>
          <w:color w:val="auto"/>
        </w:rPr>
        <w:t xml:space="preserve"> to forced marriage. This equates to one in every 150 people globally—an alarming reflection of persistent governance and enforcement failures </w:t>
      </w:r>
      <w:sdt>
        <w:sdtPr>
          <w:tag w:val="MENDELEY_CITATION_v3_eyJjaXRhdGlvbklEIjoiTUVOREVMRVlfQ0lUQVRJT05fZmQ4Y2RjMzEtM2YxNC00MzAxLWFhNGYtMjViZTZkZGEyMDNi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lRoZSBnbG9iYWwgU2xhdmVyeSBJbmRleCIsImF1dGhvciI6W3siZmFtaWx5IjoiV2FsayBGcmVl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1943681631"/>
          <w:placeholder>
            <w:docPart w:val="4F03148F45D84E0690FD0FF76513E03E"/>
          </w:placeholder>
        </w:sdtPr>
        <w:sdtContent>
          <w:r w:rsidR="00CC1788" w:rsidRPr="0053182F">
            <w:t>(Walk Free, 2023)</w:t>
          </w:r>
        </w:sdtContent>
      </w:sdt>
      <w:r w:rsidRPr="0053182F">
        <w:t>.</w:t>
      </w:r>
    </w:p>
    <w:p w14:paraId="10D13A02" w14:textId="17BC1F68" w:rsidR="00144866" w:rsidRPr="0053182F" w:rsidRDefault="00144866" w:rsidP="005A5453">
      <w:pPr>
        <w:spacing w:after="0" w:line="480" w:lineRule="auto"/>
        <w:ind w:firstLine="720"/>
        <w:jc w:val="both"/>
        <w:rPr>
          <w:color w:val="auto"/>
        </w:rPr>
      </w:pPr>
      <w:r w:rsidRPr="0053182F">
        <w:rPr>
          <w:color w:val="auto"/>
        </w:rPr>
        <w:t xml:space="preserve">Figure 2.1 presents global MS estimates from 2012 to 2023. The total number of individuals in MS has increased markedly from 29.8 million in 2013 to 40.8 million in 2016, before declining by about 5 million in 2018. However, by the end of 2021, the number surged to 49.6 million—the highest recorded prevalence. Scholars and international bodies argue that the COVID-19 pandemic exacerbated workers’ vulnerability to MS, deepening economic precarity and social inequality  </w:t>
      </w:r>
      <w:sdt>
        <w:sdtPr>
          <w:tag w:val="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"/>
          <w:id w:val="-1192374762"/>
          <w:placeholder>
            <w:docPart w:val="2A1A8F5097094DA28CC615FC04C5C964"/>
          </w:placeholder>
        </w:sdtPr>
        <w:sdtContent>
          <w:r w:rsidR="00CC1788" w:rsidRPr="0053182F">
            <w:rPr>
              <w:rFonts w:eastAsia="Times New Roman"/>
            </w:rPr>
            <w:t xml:space="preserve">(Ahmad </w:t>
          </w:r>
          <w:r w:rsidR="00CC1788" w:rsidRPr="0053182F">
            <w:rPr>
              <w:rFonts w:eastAsia="Times New Roman"/>
              <w:i/>
              <w:iCs/>
            </w:rPr>
            <w:t>et al.</w:t>
          </w:r>
          <w:r w:rsidR="00CC1788" w:rsidRPr="0053182F">
            <w:rPr>
              <w:rFonts w:eastAsia="Times New Roman"/>
            </w:rPr>
            <w:t xml:space="preserve">, 2022; ILO, 2020a; Islam </w:t>
          </w:r>
          <w:r w:rsidR="00CC1788" w:rsidRPr="0053182F">
            <w:rPr>
              <w:rFonts w:eastAsia="Times New Roman"/>
              <w:i/>
              <w:iCs/>
            </w:rPr>
            <w:t>et al.</w:t>
          </w:r>
          <w:r w:rsidR="00CC1788" w:rsidRPr="0053182F">
            <w:rPr>
              <w:rFonts w:eastAsia="Times New Roman"/>
            </w:rPr>
            <w:t>, 2022)</w:t>
          </w:r>
        </w:sdtContent>
      </w:sdt>
      <w:r w:rsidRPr="0053182F">
        <w:rPr>
          <w:color w:val="auto"/>
        </w:rPr>
        <w:t>. According to the figures of the Walk Free Foundation, there is a noticeable increase in forced labour. For example, it has increased significantly from 24.9 million in 2016 to 27.6 million in 2021, representing 55% of the total MS population.</w:t>
      </w:r>
    </w:p>
    <w:p w14:paraId="4EE346B1" w14:textId="77777777" w:rsidR="00144866" w:rsidRPr="0053182F" w:rsidRDefault="00144866" w:rsidP="00144866">
      <w:pPr>
        <w:spacing w:line="360" w:lineRule="auto"/>
        <w:jc w:val="center"/>
        <w:rPr>
          <w:color w:val="auto"/>
        </w:rPr>
      </w:pPr>
      <w:r w:rsidRPr="0053182F">
        <w:rPr>
          <w:noProof/>
          <w:color w:val="auto"/>
        </w:rPr>
        <w:drawing>
          <wp:inline distT="0" distB="0" distL="0" distR="0" wp14:anchorId="02B80201" wp14:editId="68318886">
            <wp:extent cx="4181475" cy="2181225"/>
            <wp:effectExtent l="0" t="0" r="9525" b="9525"/>
            <wp:docPr id="1582387910" name="Picture 1582387910" descr="A graph with orange line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aph with orange lines and number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81475" cy="2181225"/>
                    </a:xfrm>
                    <a:prstGeom prst="rect">
                      <a:avLst/>
                    </a:prstGeom>
                    <a:noFill/>
                    <a:ln>
                      <a:noFill/>
                    </a:ln>
                  </pic:spPr>
                </pic:pic>
              </a:graphicData>
            </a:graphic>
          </wp:inline>
        </w:drawing>
      </w:r>
    </w:p>
    <w:p w14:paraId="001BD1D1" w14:textId="77777777" w:rsidR="00144866" w:rsidRPr="0053182F" w:rsidRDefault="00144866" w:rsidP="00144866">
      <w:pPr>
        <w:spacing w:line="360" w:lineRule="auto"/>
        <w:jc w:val="center"/>
        <w:rPr>
          <w:color w:val="auto"/>
        </w:rPr>
      </w:pPr>
      <w:r w:rsidRPr="0053182F">
        <w:rPr>
          <w:b/>
          <w:bCs/>
          <w:color w:val="auto"/>
        </w:rPr>
        <w:t>Source</w:t>
      </w:r>
      <w:r w:rsidRPr="0053182F">
        <w:rPr>
          <w:color w:val="auto"/>
        </w:rPr>
        <w:t>: Author's own work – Data collected from Walk Free reports</w:t>
      </w:r>
    </w:p>
    <w:p w14:paraId="464CE66A" w14:textId="5AD23122" w:rsidR="00144866" w:rsidRPr="0053182F" w:rsidRDefault="00144866" w:rsidP="00144866">
      <w:pPr>
        <w:pStyle w:val="Caption"/>
      </w:pPr>
      <w:r w:rsidRPr="0053182F">
        <w:rPr>
          <w:b/>
          <w:bCs/>
        </w:rPr>
        <w:t>Figure 2</w:t>
      </w:r>
      <w:r w:rsidR="00EB1AD6" w:rsidRPr="0053182F">
        <w:rPr>
          <w:b/>
          <w:bCs/>
        </w:rPr>
        <w:t>.</w:t>
      </w:r>
      <w:r w:rsidRPr="0053182F">
        <w:rPr>
          <w:b/>
          <w:bCs/>
        </w:rPr>
        <w:t>1</w:t>
      </w:r>
      <w:r w:rsidRPr="0053182F">
        <w:rPr>
          <w:b/>
          <w:bCs/>
          <w:color w:val="auto"/>
        </w:rPr>
        <w:t>:</w:t>
      </w:r>
      <w:r w:rsidRPr="0053182F">
        <w:rPr>
          <w:color w:val="auto"/>
        </w:rPr>
        <w:t xml:space="preserve"> </w:t>
      </w:r>
      <w:r w:rsidRPr="0053182F">
        <w:t>Prevalence of Modern Slavery</w:t>
      </w:r>
    </w:p>
    <w:p w14:paraId="490BCAA0" w14:textId="7FBE4DD8" w:rsidR="00144866" w:rsidRPr="0053182F" w:rsidRDefault="00144866" w:rsidP="00144866">
      <w:pPr>
        <w:spacing w:after="0" w:line="480" w:lineRule="auto"/>
        <w:ind w:firstLine="720"/>
        <w:jc w:val="both"/>
        <w:rPr>
          <w:color w:val="auto"/>
        </w:rPr>
      </w:pPr>
      <w:r w:rsidRPr="0053182F">
        <w:rPr>
          <w:color w:val="auto"/>
        </w:rPr>
        <w:t xml:space="preserve">The broader concept of MS includes forced marriage, which significantly impacts the increase in MS </w:t>
      </w:r>
      <w:sdt>
        <w:sdtPr>
          <w:tag w:val="MENDELEY_CITATION_v3_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"/>
          <w:id w:val="-2066097046"/>
          <w:placeholder>
            <w:docPart w:val="78777C1579AC407F892449CDFA86BD83"/>
          </w:placeholder>
        </w:sdtPr>
        <w:sdtContent>
          <w:r w:rsidR="00CC1788" w:rsidRPr="0053182F">
            <w:t>(Walk Free and Minderoo, 2018; ILO, Walk Free et al., 2022)</w:t>
          </w:r>
        </w:sdtContent>
      </w:sdt>
      <w:r w:rsidRPr="0053182F">
        <w:rPr>
          <w:color w:val="auto"/>
        </w:rPr>
        <w:t xml:space="preserve">. The Walk Free Foundation estimated 15.6 million forced marriages in 2016, which increased by 41% (6.6 million) by 2021. Importantly, this estimate likely underrepresents reality, as it excludes child marriages. The report argues that all marriages involving children under 16 should be considered forced, given that minors cannot legally provide consent </w:t>
      </w:r>
      <w:sdt>
        <w:sdtPr>
          <w:tag w:val="MENDELEY_CITATION_v3_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"/>
          <w:id w:val="749773243"/>
          <w:placeholder>
            <w:docPart w:val="1BCFE4CE2BF643D1B3FB8E1D3CC88FC8"/>
          </w:placeholder>
        </w:sdtPr>
        <w:sdtContent>
          <w:r w:rsidR="00CC1788" w:rsidRPr="0053182F">
            <w:rPr>
              <w:rFonts w:eastAsia="Times New Roman"/>
            </w:rPr>
            <w:t>(ILO et al., 2022)</w:t>
          </w:r>
        </w:sdtContent>
      </w:sdt>
      <w:r w:rsidRPr="0053182F">
        <w:rPr>
          <w:color w:val="auto"/>
        </w:rPr>
        <w:t>.</w:t>
      </w:r>
    </w:p>
    <w:p w14:paraId="64693656" w14:textId="6E4B92AD" w:rsidR="00144866" w:rsidRPr="0053182F" w:rsidRDefault="00144866" w:rsidP="00144866">
      <w:pPr>
        <w:spacing w:after="0" w:line="480" w:lineRule="auto"/>
        <w:ind w:firstLine="720"/>
        <w:jc w:val="both"/>
        <w:rPr>
          <w:color w:val="auto"/>
        </w:rPr>
      </w:pPr>
      <w:r w:rsidRPr="0053182F">
        <w:rPr>
          <w:color w:val="auto"/>
        </w:rPr>
        <w:t xml:space="preserve">An MS in corporations is not limited to any particular country. It persists within advanced markets, revealing deep contradictions within contemporary corporate governance systems </w:t>
      </w:r>
      <w:sdt>
        <w:sdtPr>
          <w:tag w:val="MENDELEY_CITATION_v3_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"/>
          <w:id w:val="1348058275"/>
          <w:placeholder>
            <w:docPart w:val="384FFFF6CBDD494D8C2607332BB8954A"/>
          </w:placeholder>
        </w:sdtPr>
        <w:sdtContent>
          <w:r w:rsidR="00B85634" w:rsidRPr="0053182F">
            <w:t>(Meehan and Pinnington, 2021)</w:t>
          </w:r>
        </w:sdtContent>
      </w:sdt>
      <w:r w:rsidRPr="0053182F">
        <w:rPr>
          <w:color w:val="auto"/>
        </w:rPr>
        <w:t>. The GSI</w:t>
      </w:r>
      <w:r w:rsidRPr="0053182F">
        <w:rPr>
          <w:color w:val="auto"/>
          <w:vertAlign w:val="superscript"/>
        </w:rPr>
        <w:t xml:space="preserve"> </w:t>
      </w:r>
      <w:r w:rsidRPr="0053182F">
        <w:rPr>
          <w:color w:val="auto"/>
        </w:rPr>
        <w:t xml:space="preserve">measures the extent of MS country by country </w:t>
      </w:r>
      <w:sdt>
        <w:sdtPr>
          <w:tag w:val="MENDELEY_CITATION_v3_eyJjaXRhdGlvbklEIjoiTUVOREVMRVlfQ0lUQVRJT05fN2YzY2RiYmYtYjk1MC00ZTk1LTk0NTktNWRmNTdmMTg0NDI5IiwicHJvcGVydGllcyI6eyJub3RlSW5kZXgiOjB9LCJpc0VkaXRlZCI6ZmFsc2UsIm1hbnVhbE92ZXJyaWRlIjp7ImlzTWFudWFsbHlPdmVycmlkZGVuIjp0cnVlLCJjaXRlcHJvY1RleHQiOiIoTW91c3NhIDxpPmV0IGFsLjwvaT4sIDIwMjI7IFdhbGsgRnJlZSBhbmQgTWluZGVyb28sIDIwMTgpIiwibWFudWFsT3ZlcnJpZGVUZXh0IjoiKFdhbGsgRnJlZSBhbmQgTWluZGVyb28sIDIwMTg7IE1vdXNzYSBldCBhbC4sIDIwMjIp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684668849"/>
          <w:placeholder>
            <w:docPart w:val="294F0D379D7E43148C6A7863882D5056"/>
          </w:placeholder>
        </w:sdtPr>
        <w:sdtContent>
          <w:r w:rsidR="00CC1788" w:rsidRPr="0053182F">
            <w:t>(Walk Free and Minderoo, 2018; Moussa et al., 2022)</w:t>
          </w:r>
        </w:sdtContent>
      </w:sdt>
      <w:r w:rsidRPr="0053182F">
        <w:rPr>
          <w:color w:val="auto"/>
        </w:rPr>
        <w:t>.</w:t>
      </w:r>
      <w:r w:rsidRPr="0053182F">
        <w:rPr>
          <w:color w:val="auto"/>
          <w:vertAlign w:val="superscript"/>
        </w:rPr>
        <w:t xml:space="preserve"> </w:t>
      </w:r>
      <w:r w:rsidRPr="0053182F">
        <w:rPr>
          <w:color w:val="auto"/>
        </w:rPr>
        <w:t xml:space="preserve"> According to the GSI data, the highest prevalence of MS was observed in developing countries with high levels of conflict, breaches of law, and low levels of physical security </w:t>
      </w:r>
      <w:sdt>
        <w:sdtPr>
          <w:tag w:val="MENDELEY_CITATION_v3_eyJjaXRhdGlvbklEIjoiTUVOREVMRVlfQ0lUQVRJT05fOTc1N2FlN2QtOWI0Yy00NDY5LWFlMjAtOWViZjZkMDdhZmUzIiwicHJvcGVydGllcyI6eyJub3RlSW5kZXgiOjB9LCJpc0VkaXRlZCI6ZmFsc2UsIm1hbnVhbE92ZXJyaWRlIjp7ImlzTWFudWFsbHlPdmVycmlkZGVuIjpmYWxzZSwiY2l0ZXByb2NUZXh0IjoiKENocmlzdCA8aT5ldCBhbC48L2k+LCAyMDE5OyBDaHJpc3QgYW5kIEJ1cnJpdHQsIDIwMjE7I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"/>
          <w:id w:val="-688053995"/>
          <w:placeholder>
            <w:docPart w:val="59491142DA66445C89352EE8EAA7A095"/>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2019; Christ and Burritt, 2021; Walk Free, 2023)</w:t>
          </w:r>
        </w:sdtContent>
      </w:sdt>
      <w:r w:rsidRPr="0053182F">
        <w:rPr>
          <w:color w:val="auto"/>
        </w:rPr>
        <w:t>. Furthermore, the GSI report (2023) highlighted the top 10 countries with the highest prevalence of MS</w:t>
      </w:r>
      <w:r w:rsidRPr="0053182F">
        <w:rPr>
          <w:color w:val="auto"/>
          <w:vertAlign w:val="superscript"/>
        </w:rPr>
        <w:footnoteReference w:id="3"/>
      </w:r>
      <w:r w:rsidRPr="0053182F">
        <w:rPr>
          <w:color w:val="auto"/>
        </w:rPr>
        <w:t xml:space="preserve">.                           </w:t>
      </w:r>
    </w:p>
    <w:p w14:paraId="335675C2" w14:textId="1EF71E03" w:rsidR="00144866" w:rsidRPr="0053182F" w:rsidRDefault="00144866" w:rsidP="00144866">
      <w:pPr>
        <w:spacing w:after="0" w:line="480" w:lineRule="auto"/>
        <w:ind w:firstLine="720"/>
        <w:jc w:val="both"/>
        <w:rPr>
          <w:color w:val="auto"/>
        </w:rPr>
      </w:pPr>
      <w:r w:rsidRPr="0053182F">
        <w:rPr>
          <w:color w:val="auto"/>
        </w:rPr>
        <w:t xml:space="preserve">In other words, it can be argued that there is a relationship between MS and the governance systems of developing countries that drives MS. In contrast, some developed countries with solid legal systems also have significant violations of labour rights </w:t>
      </w:r>
      <w:sdt>
        <w:sdtPr>
          <w:tag w:val="MENDELEY_CITATION_v3_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Sx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
          <w:id w:val="1832100425"/>
          <w:placeholder>
            <w:docPart w:val="497E8AFDB7104CBDBFD578148073ED33"/>
          </w:placeholder>
        </w:sdtPr>
        <w:sdtContent>
          <w:r w:rsidR="00CC1788" w:rsidRPr="0053182F">
            <w:t>(Barrientos, 2013a; Crane, 2013; Walk Free, 2018b)</w:t>
          </w:r>
        </w:sdtContent>
      </w:sdt>
      <w:r w:rsidRPr="0053182F">
        <w:rPr>
          <w:color w:val="auto"/>
        </w:rPr>
        <w:t xml:space="preserve">. CMS practices are also rooted in Britain's economy (See: Appendix- Table A1 for a summary of popular CMS cases). </w:t>
      </w:r>
    </w:p>
    <w:p w14:paraId="16F05843" w14:textId="4C9F7328" w:rsidR="00144866" w:rsidRPr="0053182F" w:rsidRDefault="00144866" w:rsidP="00FE0C7D">
      <w:pPr>
        <w:spacing w:after="0" w:line="480" w:lineRule="auto"/>
        <w:ind w:firstLine="720"/>
        <w:jc w:val="both"/>
        <w:rPr>
          <w:color w:val="auto"/>
        </w:rPr>
      </w:pPr>
      <w:r w:rsidRPr="0053182F">
        <w:rPr>
          <w:color w:val="auto"/>
        </w:rPr>
        <w:t xml:space="preserve">The development of the open-economy concept, with transboundary production and consumption, prompts larger companies to expand their global networks. The complex network of contemporary supply chains has increased the risk of MS </w:t>
      </w:r>
      <w:sdt>
        <w:sdtPr>
          <w:tag w:val="MENDELEY_CITATION_v3_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"/>
          <w:id w:val="1618475863"/>
          <w:placeholder>
            <w:docPart w:val="DCB1B75A49C34014AE77FF06415650F0"/>
          </w:placeholder>
        </w:sdtPr>
        <w:sdtContent>
          <w:r w:rsidR="00CC1788" w:rsidRPr="0053182F">
            <w:t>(Meehan and Pinnington, 2021).</w:t>
          </w:r>
        </w:sdtContent>
      </w:sdt>
      <w:r w:rsidRPr="0053182F">
        <w:rPr>
          <w:color w:val="auto"/>
        </w:rPr>
        <w:t xml:space="preserve"> Besides, the findings of GSI highlighted </w:t>
      </w:r>
      <w:r w:rsidRPr="0053182F">
        <w:rPr>
          <w:rStyle w:val="QuoteChar"/>
          <w:color w:val="auto"/>
        </w:rPr>
        <w:t>"highly repressive regimes, in which people are put to work to prop up the government, and conflict situations which result in the breakdown of the rule of law, social structures, and systems of protection"</w:t>
      </w:r>
      <w:r w:rsidRPr="0053182F">
        <w:rPr>
          <w:color w:val="auto"/>
        </w:rPr>
        <w:t xml:space="preserve"> as a major external driver that connects to the MS </w:t>
      </w:r>
      <w:sdt>
        <w:sdtPr>
          <w:tag w:val="MENDELEY_CITATION_v3_eyJjaXRhdGlvbklEIjoiTUVOREVMRVlfQ0lUQVRJT05fYjIxNDM2OTQtYTNkNC00NzRmLTlkNmItMGRiMjM3ZTVjZWRlIiwicHJvcGVydGllcyI6eyJub3RlSW5kZXgiOjB9LCJpc0VkaXRlZCI6ZmFsc2UsIm1hbnVhbE92ZXJyaWRlIjp7ImlzTWFudWFsbHlPdmVycmlkZGVuIjp0cnVlLCJjaXRlcHJvY1RleHQiOiIoV2FsayBGcmVlIEZvdW5kYXRpb24sIDIwMTgpIiwibWFudWFsT3ZlcnJpZGVUZXh0IjoiKFdhbGsgRnJlZSwgMjAxOCwgcC4gMjYpIn0sImNpdGF0aW9uSXRlbXMiOlt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
          <w:id w:val="-1533187354"/>
          <w:placeholder>
            <w:docPart w:val="5552AE24AA8848669841184952F645A1"/>
          </w:placeholder>
        </w:sdtPr>
        <w:sdtContent>
          <w:r w:rsidR="00CC1788" w:rsidRPr="0053182F">
            <w:t>(Walk Free, 2018, p. 26)</w:t>
          </w:r>
        </w:sdtContent>
      </w:sdt>
      <w:r w:rsidRPr="0053182F">
        <w:rPr>
          <w:color w:val="auto"/>
        </w:rPr>
        <w:t xml:space="preserve">. In addition, these findings highlighted the severity of the MS issue. </w:t>
      </w:r>
    </w:p>
    <w:p w14:paraId="1D76D271" w14:textId="0EF0D07D" w:rsidR="00144866" w:rsidRPr="0053182F" w:rsidRDefault="00144866" w:rsidP="00FE0C7D">
      <w:pPr>
        <w:pStyle w:val="NormalWeb"/>
        <w:spacing w:before="0" w:beforeAutospacing="0" w:after="0" w:afterAutospacing="0" w:line="480" w:lineRule="auto"/>
        <w:ind w:firstLine="720"/>
        <w:jc w:val="both"/>
        <w:rPr>
          <w:color w:val="auto"/>
        </w:rPr>
      </w:pPr>
      <w:r w:rsidRPr="0053182F">
        <w:rPr>
          <w:color w:val="auto"/>
        </w:rPr>
        <w:t xml:space="preserve">The structural drivers of MS are deeply interwoven with broader socio-economic inequalities. Poverty, lack of education in 2015, social discrimination, political instability, and weak governance institutions create conditions for exploitation </w:t>
      </w:r>
      <w:sdt>
        <w:sdtPr>
          <w:tag w:val="MENDELEY_CITATION_v3_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1911528157"/>
          <w:placeholder>
            <w:docPart w:val="384FFFF6CBDD494D8C2607332BB8954A"/>
          </w:placeholder>
        </w:sdtPr>
        <w:sdtContent>
          <w:r w:rsidR="00CC1788" w:rsidRPr="0053182F">
            <w:t xml:space="preserve">(Christ and Burritt, 2021; Moussa </w:t>
          </w:r>
          <w:r w:rsidR="00CC1788" w:rsidRPr="0053182F">
            <w:rPr>
              <w:i/>
              <w:iCs/>
            </w:rPr>
            <w:t>et al.</w:t>
          </w:r>
          <w:r w:rsidR="00CC1788" w:rsidRPr="0053182F">
            <w:t>, 2022)</w:t>
          </w:r>
        </w:sdtContent>
      </w:sdt>
      <w:r w:rsidRPr="0053182F">
        <w:rPr>
          <w:color w:val="auto"/>
        </w:rPr>
        <w:t xml:space="preserve">. Migration, in particular, has emerged as a critical vector of vulnerability, as displaced individuals often face exploitative recruitment practices, debt bondage, and precarious working conditions in destination countries </w:t>
      </w:r>
      <w:sdt>
        <w:sdtPr>
          <w:tag w:val="MENDELEY_CITATION_v3_eyJjaXRhdGlvbklEIjoiTUVOREVMRVlfQ0lUQVRJT05fN2Q5NjkwZmEtNjc0Yi00NGUzLWI2MDQtMGE5ZTVhOTUxOGVm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2000421163"/>
          <w:placeholder>
            <w:docPart w:val="384FFFF6CBDD494D8C2607332BB8954A"/>
          </w:placeholder>
        </w:sdtPr>
        <w:sdtContent>
          <w:r w:rsidR="00CC1788" w:rsidRPr="0053182F">
            <w:t xml:space="preserve">(Crane </w:t>
          </w:r>
          <w:r w:rsidR="00CC1788" w:rsidRPr="0053182F">
            <w:rPr>
              <w:i/>
              <w:iCs/>
            </w:rPr>
            <w:t>et al.</w:t>
          </w:r>
          <w:r w:rsidR="00CC1788" w:rsidRPr="0053182F">
            <w:t>, 2022)</w:t>
          </w:r>
        </w:sdtContent>
      </w:sdt>
      <w:r w:rsidRPr="0053182F">
        <w:rPr>
          <w:color w:val="auto"/>
        </w:rPr>
        <w:t xml:space="preserve">. Moreover, crises such as </w:t>
      </w:r>
      <w:r w:rsidRPr="0053182F">
        <w:rPr>
          <w:rStyle w:val="Strong"/>
          <w:rFonts w:eastAsiaTheme="majorEastAsia"/>
          <w:b w:val="0"/>
          <w:bCs w:val="0"/>
          <w:color w:val="auto"/>
        </w:rPr>
        <w:t>COVID-19</w:t>
      </w:r>
      <w:r w:rsidRPr="0053182F">
        <w:rPr>
          <w:color w:val="auto"/>
        </w:rPr>
        <w:t xml:space="preserve">, ongoing conflicts, and </w:t>
      </w:r>
      <w:r w:rsidRPr="0053182F">
        <w:rPr>
          <w:rStyle w:val="Strong"/>
          <w:rFonts w:eastAsiaTheme="majorEastAsia"/>
          <w:b w:val="0"/>
          <w:bCs w:val="0"/>
          <w:color w:val="auto"/>
        </w:rPr>
        <w:t>climate-induced displacement</w:t>
      </w:r>
      <w:r w:rsidRPr="0053182F">
        <w:rPr>
          <w:color w:val="auto"/>
        </w:rPr>
        <w:t xml:space="preserve"> have intensified exposure to forced labour and human trafficking, particularly in supply chains dependent on informal or migrant labour </w:t>
      </w:r>
      <w:sdt>
        <w:sdtPr>
          <w:tag w:val="MENDELEY_CITATION_v3_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"/>
          <w:id w:val="55212061"/>
          <w:placeholder>
            <w:docPart w:val="384FFFF6CBDD494D8C2607332BB8954A"/>
          </w:placeholder>
        </w:sdtPr>
        <w:sdtContent>
          <w:r w:rsidR="00CC1788" w:rsidRPr="0053182F">
            <w:t xml:space="preserve">(Ahmad </w:t>
          </w:r>
          <w:r w:rsidR="00CC1788" w:rsidRPr="0053182F">
            <w:rPr>
              <w:i/>
              <w:iCs/>
            </w:rPr>
            <w:t>et al.</w:t>
          </w:r>
          <w:r w:rsidR="00CC1788" w:rsidRPr="0053182F">
            <w:t xml:space="preserve">, 2022; Gutierrez-Huerter O </w:t>
          </w:r>
          <w:r w:rsidR="00CC1788" w:rsidRPr="0053182F">
            <w:rPr>
              <w:i/>
              <w:iCs/>
            </w:rPr>
            <w:t>et al.</w:t>
          </w:r>
          <w:r w:rsidR="00CC1788" w:rsidRPr="0053182F">
            <w:t>, 2023)</w:t>
          </w:r>
        </w:sdtContent>
      </w:sdt>
      <w:r w:rsidRPr="0053182F">
        <w:rPr>
          <w:color w:val="auto"/>
        </w:rPr>
        <w:t xml:space="preserve">. </w:t>
      </w:r>
    </w:p>
    <w:p w14:paraId="7273F331" w14:textId="2589CEEA" w:rsidR="00144866" w:rsidRPr="0053182F" w:rsidRDefault="00144866" w:rsidP="00FE0C7D">
      <w:pPr>
        <w:pStyle w:val="NormalWeb"/>
        <w:spacing w:before="0" w:beforeAutospacing="0" w:after="0" w:afterAutospacing="0" w:line="480" w:lineRule="auto"/>
        <w:ind w:firstLine="720"/>
        <w:jc w:val="both"/>
        <w:rPr>
          <w:strike/>
          <w:color w:val="auto"/>
        </w:rPr>
      </w:pPr>
      <w:r w:rsidRPr="0053182F">
        <w:rPr>
          <w:color w:val="auto"/>
        </w:rPr>
        <w:t xml:space="preserve">As summarised, empirical evidence </w:t>
      </w:r>
      <w:r w:rsidR="00CD59E8" w:rsidRPr="0053182F">
        <w:rPr>
          <w:color w:val="auto"/>
        </w:rPr>
        <w:t xml:space="preserve">in Appendix Table A1 demonstrates that MS is deeply embedded </w:t>
      </w:r>
      <w:r w:rsidRPr="0053182F">
        <w:rPr>
          <w:color w:val="auto"/>
        </w:rPr>
        <w:t xml:space="preserve">in global production and supply networks. These cases reveal that MS is not an isolated or localised crime but a structural feature of global capitalism, sustained by poverty, weak governance, and fragmented corporate oversight </w:t>
      </w:r>
      <w:sdt>
        <w:sdtPr>
          <w:tag w:val="MENDELEY_CITATION_v3_eyJjaXRhdGlvbklEIjoiTUVOREVMRVlfQ0lUQVRJT05fYWU1MGI1YzEtY2VlZS00YzU4LTgyNjUtZTZiYmUzODRjZjc2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
          <w:id w:val="-944997615"/>
          <w:placeholder>
            <w:docPart w:val="4F03148F45D84E0690FD0FF76513E03E"/>
          </w:placeholder>
        </w:sdtPr>
        <w:sdtContent>
          <w:r w:rsidR="00CC1788" w:rsidRPr="0053182F">
            <w:t xml:space="preserve">(Crane </w:t>
          </w:r>
          <w:r w:rsidR="00CC1788" w:rsidRPr="0053182F">
            <w:rPr>
              <w:i/>
              <w:iCs/>
            </w:rPr>
            <w:t>et al.</w:t>
          </w:r>
          <w:r w:rsidR="00CC1788" w:rsidRPr="0053182F">
            <w:t>, 2022)</w:t>
          </w:r>
        </w:sdtContent>
      </w:sdt>
      <w:r w:rsidRPr="0053182F">
        <w:rPr>
          <w:color w:val="auto"/>
        </w:rPr>
        <w:t xml:space="preserve">. </w:t>
      </w:r>
      <w:bookmarkStart w:id="47" w:name="_Hlk213408931"/>
      <w:r w:rsidRPr="0053182F">
        <w:rPr>
          <w:color w:val="auto"/>
        </w:rPr>
        <w:t xml:space="preserve">Although many firms promote CSR and Environmental, Social, and Governance (ESG) commitments, they frequently displace ethical responsibility down fragmented and opaque supply chains, thereby obscuring accountability for labour exploitation </w:t>
      </w:r>
      <w:sdt>
        <w:sdtPr>
          <w:tag w:val="MENDELEY_CITATION_v3_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"/>
          <w:id w:val="1755091764"/>
          <w:placeholder>
            <w:docPart w:val="4F03148F45D84E0690FD0FF76513E03E"/>
          </w:placeholder>
        </w:sdtPr>
        <w:sdtEndPr>
          <w:rPr>
            <w:highlight w:val="yellow"/>
          </w:rPr>
        </w:sdtEndPr>
        <w:sdtContent>
          <w:r w:rsidR="00CC1788" w:rsidRPr="0053182F">
            <w:t xml:space="preserve">(Crane </w:t>
          </w:r>
          <w:r w:rsidR="00CC1788" w:rsidRPr="0053182F">
            <w:rPr>
              <w:i/>
              <w:iCs/>
            </w:rPr>
            <w:t>et al.</w:t>
          </w:r>
          <w:r w:rsidR="00CC1788" w:rsidRPr="0053182F">
            <w:t>, 2022; LeBaron, 2021b)</w:t>
          </w:r>
        </w:sdtContent>
      </w:sdt>
      <w:r w:rsidRPr="0053182F">
        <w:rPr>
          <w:color w:val="auto"/>
        </w:rPr>
        <w:t>.</w:t>
      </w:r>
      <w:bookmarkEnd w:id="47"/>
      <w:r w:rsidRPr="0053182F">
        <w:rPr>
          <w:color w:val="auto"/>
        </w:rPr>
        <w:t xml:space="preserve"> Consequently, eradicating MS requires systemic transformation—embedding due diligence, transparency, and accountability mechanisms across all tiers of global value chains (GVC) </w:t>
      </w:r>
      <w:sdt>
        <w:sdtPr>
          <w:tag w:val="MENDELEY_CITATION_v3_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"/>
          <w:id w:val="1033465937"/>
          <w:placeholder>
            <w:docPart w:val="4F03148F45D84E0690FD0FF76513E03E"/>
          </w:placeholder>
        </w:sdtPr>
        <w:sdtContent>
          <w:r w:rsidR="00B85634" w:rsidRPr="0053182F">
            <w:t>(Christ and Burritt, 2021; New, 2015)</w:t>
          </w:r>
        </w:sdtContent>
      </w:sdt>
      <w:r w:rsidRPr="0053182F">
        <w:rPr>
          <w:color w:val="auto"/>
        </w:rPr>
        <w:t>.</w:t>
      </w:r>
    </w:p>
    <w:p w14:paraId="65459D34" w14:textId="792F725E" w:rsidR="00144866" w:rsidRPr="0053182F" w:rsidRDefault="00144866" w:rsidP="00FE0C7D">
      <w:pPr>
        <w:pStyle w:val="NormalWeb"/>
        <w:tabs>
          <w:tab w:val="left" w:pos="6521"/>
        </w:tabs>
        <w:spacing w:before="0" w:beforeAutospacing="0" w:after="0" w:afterAutospacing="0" w:line="480" w:lineRule="auto"/>
        <w:ind w:firstLine="720"/>
        <w:jc w:val="both"/>
        <w:rPr>
          <w:b/>
          <w:bCs/>
          <w:color w:val="auto"/>
        </w:rPr>
      </w:pPr>
      <w:r w:rsidRPr="0053182F">
        <w:rPr>
          <w:color w:val="auto"/>
        </w:rPr>
        <w:t xml:space="preserve">Addressing this pervasive issue requires confronting the institutional and structural underpinnings that sustain it. As scholars emphasise </w:t>
      </w:r>
      <w:sdt>
        <w:sdtPr>
          <w:tag w:val="MENDELEY_CITATION_v3_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
          <w:id w:val="716711115"/>
          <w:placeholder>
            <w:docPart w:val="384FFFF6CBDD494D8C2607332BB8954A"/>
          </w:placeholder>
        </w:sdtPr>
        <w:sdtContent>
          <w:r w:rsidR="00B85634" w:rsidRPr="0053182F">
            <w:t>(Albitar et al., 2025; Gold et al., 2015a; New, 2015a)</w:t>
          </w:r>
        </w:sdtContent>
      </w:sdt>
      <w:r w:rsidRPr="0053182F">
        <w:rPr>
          <w:color w:val="auto"/>
        </w:rPr>
        <w:t>, eliminating MS demands not only compliance-oriented reform but systemic change — integrating due diligence, transparency, and accountability across the entire value chain. Thus, understanding the prevalence and persistence of MS is inseparable from interrogating the economic and institutional logics that sustain it.</w:t>
      </w:r>
    </w:p>
    <w:p w14:paraId="3AACBE37" w14:textId="77777777" w:rsidR="00144866" w:rsidRPr="0053182F" w:rsidRDefault="00144866" w:rsidP="00FE0C7D">
      <w:pPr>
        <w:pStyle w:val="Heading3"/>
      </w:pPr>
      <w:bookmarkStart w:id="48" w:name="_Toc215651782"/>
      <w:bookmarkStart w:id="49" w:name="_Toc218357076"/>
      <w:r w:rsidRPr="0053182F">
        <w:t>2.3.2 Conceptualisation of Modern Slavery</w:t>
      </w:r>
      <w:bookmarkEnd w:id="48"/>
      <w:bookmarkEnd w:id="49"/>
    </w:p>
    <w:p w14:paraId="100A1428" w14:textId="47FE6FAB" w:rsidR="00144866" w:rsidRPr="0053182F" w:rsidRDefault="00144866" w:rsidP="00FE0C7D">
      <w:pPr>
        <w:spacing w:after="0" w:line="480" w:lineRule="auto"/>
        <w:ind w:firstLine="720"/>
        <w:jc w:val="both"/>
        <w:rPr>
          <w:color w:val="auto"/>
        </w:rPr>
      </w:pPr>
      <w:r w:rsidRPr="0053182F">
        <w:rPr>
          <w:color w:val="auto"/>
        </w:rPr>
        <w:t xml:space="preserve">Slavery is not truly an iconic historical feature; it is visible in diverse ways in contemporary society </w:t>
      </w:r>
      <w:sdt>
        <w:sdtPr>
          <w:tag w:val="MENDELEY_CITATION_v3_eyJjaXRhdGlvbklEIjoiTUVOREVMRVlfQ0lUQVRJT05fYjE2Yjc2MTEtZGFiOC00ZDA0LWI2MGItOWU4N2E0ZmZkNWVk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jb250YWluZXItdGl0bGUtc2hvcnQiOiJNYW5hZ2UgUmV2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fSwiaXNUZW1wb3JhcnkiOmZhbHNlfV19"/>
          <w:id w:val="-1396886516"/>
          <w:placeholder>
            <w:docPart w:val="4A3A54499A5A41308B355C5B825A3CD8"/>
          </w:placeholder>
        </w:sdtPr>
        <w:sdtContent>
          <w:r w:rsidR="00CC1788" w:rsidRPr="0053182F">
            <w:t>(Crane, 2013)</w:t>
          </w:r>
        </w:sdtContent>
      </w:sdt>
      <w:r w:rsidRPr="0053182F">
        <w:rPr>
          <w:color w:val="auto"/>
        </w:rPr>
        <w:t xml:space="preserve">. Such as forced or compulsory labour, bonded labour, child labour, organ trafficking, and human trafficking </w:t>
      </w:r>
      <w:sdt>
        <w:sdtPr>
          <w:tag w:val="MENDELEY_CITATION_v3_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LHsiaWQiOiI1ZDZkNWU1My1jMTFlLTM3YTktYjNiNS03MjE5MDllNzc2M2YiLCJpdGVtRGF0YSI6eyJ0eXBlIjoicmVwb3J0IiwiaWQiOiI1ZDZkNWU1My1jMTFlLTM3YTktYjNiNS03MjE5MDllNzc2M2YiLCJ0aXRsZSI6IlRoZSBnbG9iYWwgc2xhdmVyeSBpbmRleCIsImF1dGhvciI6W3siZmFtaWx5IjoiV2FsayBGcmVl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51bWJlci1vZi1wYWdlcyI6IjEtMjkyIiwiY29udGFpbmVyLXRpdGxlLXNob3J0IjoiIn0sImlzVGVtcG9yYXJ5IjpmYWxzZX1dfQ=="/>
          <w:id w:val="-230698428"/>
          <w:placeholder>
            <w:docPart w:val="8150EC60607C455FBA305A9CB4F392AE"/>
          </w:placeholder>
        </w:sdtPr>
        <w:sdtContent>
          <w:r w:rsidR="00CC1788" w:rsidRPr="0053182F">
            <w:rPr>
              <w:rFonts w:eastAsia="Times New Roman"/>
            </w:rPr>
            <w:t xml:space="preserve">(Bales, 2009; Christ </w:t>
          </w:r>
          <w:r w:rsidR="00CC1788" w:rsidRPr="0053182F">
            <w:rPr>
              <w:rFonts w:eastAsia="Times New Roman"/>
              <w:i/>
              <w:iCs/>
            </w:rPr>
            <w:t>et al.</w:t>
          </w:r>
          <w:r w:rsidR="00CC1788" w:rsidRPr="0053182F">
            <w:rPr>
              <w:rFonts w:eastAsia="Times New Roman"/>
            </w:rPr>
            <w:t>, 2020; Walk Free Foundation, 2018)</w:t>
          </w:r>
        </w:sdtContent>
      </w:sdt>
      <w:r w:rsidRPr="0053182F">
        <w:rPr>
          <w:color w:val="auto"/>
        </w:rPr>
        <w:t xml:space="preserve">. Some scholars suggest that the prevailing high number of enslaved people can be visible today more than in history </w:t>
      </w:r>
      <w:sdt>
        <w:sdtPr>
          <w:tag w:val="MENDELEY_CITATION_v3_eyJjaXRhdGlvbklEIjoiTUVOREVMRVlfQ0lUQVRJT05fNGE5NmRhYTktMGNjZC00ZTI4LWJkOTYtOTJhOTk0NzYzYjNkIiwicHJvcGVydGllcyI6eyJub3RlSW5kZXgiOjB9LCJpc0VkaXRlZCI6ZmFsc2UsIm1hbnVhbE92ZXJyaWRlIjp7ImlzTWFudWFsbHlPdmVycmlkZGVuIjp0cnVlLCJjaXRlcHJvY1RleHQiOiIoQmFsZXMsIDIwMDk7IENocmlzdCA8aT5ldCBhbC48L2k+LCAyMDE5KSIsIm1hbnVhbE92ZXJyaWRlVGV4dCI6IihCYWxlcywgMjAwOTsgQ2hyaXN0IGV0IGFsLiwgMjAxOWEp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V19"/>
          <w:id w:val="-388503074"/>
          <w:placeholder>
            <w:docPart w:val="A2B3444A52FC47C08F85F030B9B8D551"/>
          </w:placeholder>
        </w:sdtPr>
        <w:sdtContent>
          <w:r w:rsidR="00CC1788" w:rsidRPr="0053182F">
            <w:rPr>
              <w:rFonts w:eastAsia="Times New Roman"/>
            </w:rPr>
            <w:t>(Bales, 2009; Christ et al., 2019a)</w:t>
          </w:r>
        </w:sdtContent>
      </w:sdt>
      <w:r w:rsidRPr="0053182F">
        <w:rPr>
          <w:color w:val="auto"/>
        </w:rPr>
        <w:t>. The history of slavery is a testament to the capacity for human cruelty and the enduring quest for freedom and justice. Understanding this history is essential for addressing the legacies and inequalities that persist in contemporary society. By acknowledging the past, all together as one nation, we need to work towards building a more inclusive and equitable future.</w:t>
      </w:r>
    </w:p>
    <w:p w14:paraId="6DB403A4" w14:textId="7EE3DCBC" w:rsidR="00144866" w:rsidRPr="0053182F" w:rsidRDefault="00144866" w:rsidP="00144866">
      <w:pPr>
        <w:spacing w:after="0" w:line="480" w:lineRule="auto"/>
        <w:ind w:firstLine="720"/>
        <w:jc w:val="both"/>
        <w:rPr>
          <w:color w:val="auto"/>
        </w:rPr>
      </w:pPr>
      <w:r w:rsidRPr="0053182F">
        <w:rPr>
          <w:color w:val="auto"/>
        </w:rPr>
        <w:t>While slavery is widely recognised as unethical and prohibited in most countries, its presence persists in various manifestations within modern society (</w:t>
      </w:r>
      <w:sdt>
        <w:sdtPr>
          <w:tag w:val="MENDELEY_CITATION_v3_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IsImNvbnRhaW5lci10aXRsZS1zaG9ydCI6IkJ1cyBTdHJhdGVneSBFbnZpcm9uIn0sImlzVGVtcG9yYXJ5IjpmYWxzZX1dfQ=="/>
          <w:id w:val="1497145346"/>
          <w:placeholder>
            <w:docPart w:val="466DD4D7958C4ACF94ECE5C563EDD46C"/>
          </w:placeholder>
        </w:sdtPr>
        <w:sdtContent>
          <w:r w:rsidR="00CC1788" w:rsidRPr="0053182F">
            <w:t>Bales, 2009; Crane, 2013; Moussa et al., 2022)</w:t>
          </w:r>
        </w:sdtContent>
      </w:sdt>
      <w:r w:rsidRPr="0053182F">
        <w:rPr>
          <w:color w:val="auto"/>
        </w:rPr>
        <w:t xml:space="preserve">. Moreover, the concept of MS is a multifaceted, intricate construct subject to varying interpretations among scholars. This evolving paradigm has spurred academic exploration across various disciplines, including accounting, auditing, and business and management practices (McPhail and McKernan, 2011; McPhail and Adams, 2016), as well as fields such as political science </w:t>
      </w:r>
      <w:sdt>
        <w:sdtPr>
          <w:tag w:val="MENDELEY_CITATION_v3_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"/>
          <w:id w:val="-636867842"/>
          <w:placeholder>
            <w:docPart w:val="06DBD2B1D30D4462B7FE096C6247223A"/>
          </w:placeholder>
        </w:sdtPr>
        <w:sdtContent>
          <w:r w:rsidR="00CC1788" w:rsidRPr="0053182F">
            <w:rPr>
              <w:rFonts w:eastAsia="Times New Roman"/>
            </w:rPr>
            <w:t xml:space="preserve">(Craig Gary </w:t>
          </w:r>
          <w:r w:rsidR="00CC1788" w:rsidRPr="0053182F">
            <w:rPr>
              <w:rFonts w:eastAsia="Times New Roman"/>
              <w:i/>
              <w:iCs/>
            </w:rPr>
            <w:t>et al.</w:t>
          </w:r>
          <w:r w:rsidR="00CC1788" w:rsidRPr="0053182F">
            <w:rPr>
              <w:rFonts w:eastAsia="Times New Roman"/>
            </w:rPr>
            <w:t>, 2019)</w:t>
          </w:r>
        </w:sdtContent>
      </w:sdt>
      <w:r w:rsidRPr="0053182F">
        <w:rPr>
          <w:color w:val="auto"/>
        </w:rPr>
        <w:t xml:space="preserve">, law </w:t>
      </w:r>
      <w:sdt>
        <w:sdtPr>
          <w:tag w:val="MENDELEY_CITATION_v3_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"/>
          <w:id w:val="-1857722919"/>
          <w:placeholder>
            <w:docPart w:val="982752636819439CA645B22766432DE7"/>
          </w:placeholder>
        </w:sdtPr>
        <w:sdtContent>
          <w:r w:rsidR="00CC1788" w:rsidRPr="0053182F">
            <w:t>(Addo, 2014)</w:t>
          </w:r>
        </w:sdtContent>
      </w:sdt>
      <w:r w:rsidRPr="0053182F">
        <w:rPr>
          <w:color w:val="auto"/>
        </w:rPr>
        <w:t xml:space="preserve">, and history </w:t>
      </w:r>
      <w:sdt>
        <w:sdtPr>
          <w:tag w:val="MENDELEY_CITATION_v3_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"/>
          <w:id w:val="-2053458054"/>
          <w:placeholder>
            <w:docPart w:val="E9F2D48351AF49A7A8D6F932B2DF728A"/>
          </w:placeholder>
        </w:sdtPr>
        <w:sdtContent>
          <w:r w:rsidR="00CC1788" w:rsidRPr="0053182F">
            <w:t>(Santoro, 2015)</w:t>
          </w:r>
        </w:sdtContent>
      </w:sdt>
      <w:r w:rsidRPr="0053182F">
        <w:rPr>
          <w:color w:val="auto"/>
        </w:rPr>
        <w:t>.</w:t>
      </w:r>
    </w:p>
    <w:p w14:paraId="2DFCA4DD" w14:textId="77777777" w:rsidR="00144866" w:rsidRPr="0053182F" w:rsidRDefault="00144866" w:rsidP="00144866">
      <w:pPr>
        <w:pStyle w:val="Heading3"/>
      </w:pPr>
      <w:bookmarkStart w:id="50" w:name="_Toc215651783"/>
      <w:bookmarkStart w:id="51" w:name="_Toc218357077"/>
      <w:r w:rsidRPr="0053182F">
        <w:rPr>
          <w:rStyle w:val="Strong"/>
          <w:b/>
          <w:bCs w:val="0"/>
        </w:rPr>
        <w:t>2</w:t>
      </w:r>
      <w:r w:rsidRPr="0053182F">
        <w:t>.3.3 Definitional Complexity</w:t>
      </w:r>
      <w:bookmarkEnd w:id="50"/>
      <w:bookmarkEnd w:id="51"/>
    </w:p>
    <w:p w14:paraId="504D768B" w14:textId="58AA2FDF" w:rsidR="00144866" w:rsidRPr="0053182F" w:rsidRDefault="00144866" w:rsidP="00144866">
      <w:pPr>
        <w:spacing w:after="0" w:line="480" w:lineRule="auto"/>
        <w:jc w:val="both"/>
        <w:rPr>
          <w:color w:val="auto"/>
        </w:rPr>
      </w:pPr>
      <w:r w:rsidRPr="0053182F">
        <w:rPr>
          <w:color w:val="auto"/>
        </w:rPr>
        <w:t xml:space="preserve">Scholars have widely acknowledged the absence of a universally agreed-upon definition of MS, stemming from the lack of consensus on what constitutes slavery </w:t>
      </w:r>
      <w:sdt>
        <w:sdtPr>
          <w:tag w:val="MENDELEY_CITATION_v3_eyJjaXRhdGlvbklEIjoiTUVOREVMRVlfQ0lUQVRJT05fYzliNDI0Y2EtYzU4Mi00MzFiLWFjY2MtMWQ3OGQ3NjMxZTAwIiwicHJvcGVydGllcyI6eyJub3RlSW5kZXgiOjB9LCJpc0VkaXRlZCI6ZmFsc2UsIm1hbnVhbE92ZXJyaWRlIjp7ImlzTWFudWFsbHlPdmVycmlkZGVuIjpmYWxzZSwiY2l0ZXByb2NUZXh0IjoiKENyYW5lLCAyMDEzOyBNb3Vzc2EgPGk+ZXQgYWwuPC9pPiwgMjAyMjsgU21pdGggYW5kIEpvaG5zLCAyMDIw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jb250YWluZXItdGl0bGUtc2hvcnQiOiJNYW5hZ2UgUmV2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"/>
          <w:id w:val="939806751"/>
          <w:placeholder>
            <w:docPart w:val="498C35F13E0C465984F9B1DC29875697"/>
          </w:placeholder>
        </w:sdtPr>
        <w:sdtContent>
          <w:r w:rsidR="00CC1788" w:rsidRPr="0053182F">
            <w:rPr>
              <w:rFonts w:eastAsia="Times New Roman"/>
            </w:rPr>
            <w:t xml:space="preserve">(Crane, 2013; Moussa </w:t>
          </w:r>
          <w:r w:rsidR="00CC1788" w:rsidRPr="0053182F">
            <w:rPr>
              <w:rFonts w:eastAsia="Times New Roman"/>
              <w:i/>
              <w:iCs/>
            </w:rPr>
            <w:t>et al.</w:t>
          </w:r>
          <w:r w:rsidR="00CC1788" w:rsidRPr="0053182F">
            <w:rPr>
              <w:rFonts w:eastAsia="Times New Roman"/>
            </w:rPr>
            <w:t>, 2022; Smith and Johns, 2020)</w:t>
          </w:r>
        </w:sdtContent>
      </w:sdt>
      <w:r w:rsidRPr="0053182F">
        <w:rPr>
          <w:color w:val="auto"/>
        </w:rPr>
        <w:t xml:space="preserve">. This ambiguity is partly attributed to the evolution of slavery from a sanctioned practice based on legal ownership and ethnic distinctions to an illegal and informal economy-based exploitation </w:t>
      </w:r>
      <w:sdt>
        <w:sdtPr>
          <w:tag w:val="MENDELEY_CITATION_v3_eyJjaXRhdGlvbklEIjoiTUVOREVMRVlfQ0lUQVRJT05fZDVjZTQ5OWItNzkyNS00NjdjLWJmYWYtODJmNzBiNGEzZGU2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284239483"/>
          <w:placeholder>
            <w:docPart w:val="498C35F13E0C465984F9B1DC29875697"/>
          </w:placeholder>
        </w:sdtPr>
        <w:sdtContent>
          <w:r w:rsidR="00CC1788" w:rsidRPr="0053182F">
            <w:rPr>
              <w:rFonts w:eastAsia="Times New Roman"/>
            </w:rPr>
            <w:t xml:space="preserve">(Moussa </w:t>
          </w:r>
          <w:r w:rsidR="00CC1788" w:rsidRPr="0053182F">
            <w:rPr>
              <w:rFonts w:eastAsia="Times New Roman"/>
              <w:i/>
              <w:iCs/>
            </w:rPr>
            <w:t>et al.</w:t>
          </w:r>
          <w:r w:rsidR="00CC1788" w:rsidRPr="0053182F">
            <w:rPr>
              <w:rFonts w:eastAsia="Times New Roman"/>
            </w:rPr>
            <w:t>, 2022)</w:t>
          </w:r>
        </w:sdtContent>
      </w:sdt>
      <w:r w:rsidRPr="0053182F">
        <w:rPr>
          <w:color w:val="auto"/>
        </w:rPr>
        <w:t xml:space="preserve">. An influential early definition of slavery can be traced back to the 1926 “League of Nations Slavery Convention”, which described slavery as </w:t>
      </w:r>
      <w:r w:rsidRPr="0053182F">
        <w:rPr>
          <w:rStyle w:val="QuoteChar"/>
          <w:color w:val="auto"/>
        </w:rPr>
        <w:t>"the status or condition of a person over whom any or all of the powers attaching to the right of ownership are exercised"</w:t>
      </w:r>
      <w:r w:rsidRPr="0053182F">
        <w:rPr>
          <w:color w:val="auto"/>
        </w:rPr>
        <w:t xml:space="preserve"> </w:t>
      </w:r>
      <w:sdt>
        <w:sdtPr>
          <w:tag w:val="MENDELEY_CITATION_v3_eyJjaXRhdGlvbklEIjoiTUVOREVMRVlfQ0lUQVRJT05fOGNkMDVhZDAtMjY1My00NDk5LWIzZjMtMjlkNzVmMjRmNzQ1IiwicHJvcGVydGllcyI6eyJub3RlSW5kZXgiOjB9LCJpc0VkaXRlZCI6ZmFsc2UsIm1hbnVhbE92ZXJyaWRlIjp7ImlzTWFudWFsbHlPdmVycmlkZGVuIjp0cnVlLCJjaXRlcHJvY1RleHQiOiIoQ3JhbmUsIDIwMTMpIiwibWFudWFsT3ZlcnJpZGVUZXh0IjoiKGNpdGVkIGluIENyYW5lLCAyMDEzLCBwIDUwKS4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1dfQ=="/>
          <w:id w:val="2101828397"/>
          <w:placeholder>
            <w:docPart w:val="00CC5BAE043E4CA996F594AF3D728D93"/>
          </w:placeholder>
        </w:sdtPr>
        <w:sdtContent>
          <w:r w:rsidR="00CC1788" w:rsidRPr="0053182F">
            <w:t>(cited in Crane, 2013, p 50).</w:t>
          </w:r>
        </w:sdtContent>
      </w:sdt>
      <w:r w:rsidRPr="0053182F">
        <w:rPr>
          <w:color w:val="auto"/>
        </w:rPr>
        <w:t xml:space="preserve"> This definition has merely focused on cultural and legal aspects, rather than the legal ownership</w:t>
      </w:r>
    </w:p>
    <w:p w14:paraId="46C99E8B" w14:textId="104BFAAE" w:rsidR="00144866" w:rsidRPr="0053182F" w:rsidRDefault="00144866" w:rsidP="00144866">
      <w:pPr>
        <w:spacing w:after="0" w:line="480" w:lineRule="auto"/>
        <w:jc w:val="both"/>
        <w:rPr>
          <w:color w:val="auto"/>
        </w:rPr>
      </w:pPr>
      <w:r w:rsidRPr="0053182F">
        <w:rPr>
          <w:color w:val="auto"/>
        </w:rPr>
        <w:t xml:space="preserve"> </w:t>
      </w:r>
      <w:r w:rsidRPr="0053182F">
        <w:rPr>
          <w:color w:val="auto"/>
        </w:rPr>
        <w:tab/>
        <w:t xml:space="preserve">In contrast, Christ and Burritt (2021) further clarify MS as a </w:t>
      </w:r>
      <w:r w:rsidRPr="0053182F">
        <w:rPr>
          <w:rStyle w:val="QuoteChar"/>
          <w:color w:val="auto"/>
        </w:rPr>
        <w:t>"collection of practices in which equivalent to ownership are exercised by one party over another", encompassing forms such as “child labour, forced labour, slavery, and debt bondage labour”</w:t>
      </w:r>
      <w:r w:rsidRPr="0053182F">
        <w:rPr>
          <w:color w:val="auto"/>
        </w:rPr>
        <w:t xml:space="preserve"> (p. 1485). The transgenerational transfer of slavery bonds, as explored by Bales (2009), underscores the historical continuity of such practices until the nineteenth century. Notably, common forms of MS encompass forced labour, traditional slavery practices, sexual exploitation, domestic servitude, financial exploitation, forced marriage, illegal adoption, and human trafficking </w:t>
      </w:r>
      <w:sdt>
        <w:sdtPr>
          <w:tag w:val="MENDELEY_CITATION_v3_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"/>
          <w:id w:val="611248817"/>
          <w:placeholder>
            <w:docPart w:val="4E4FF162DAD2429497566187CEE012C8"/>
          </w:placeholder>
        </w:sdtPr>
        <w:sdtContent>
          <w:r w:rsidR="00CC1788" w:rsidRPr="0053182F">
            <w:t>(Burritt and Christ, 2021; ILO, 2022c)</w:t>
          </w:r>
        </w:sdtContent>
      </w:sdt>
      <w:r w:rsidRPr="0053182F">
        <w:rPr>
          <w:color w:val="auto"/>
        </w:rPr>
        <w:t xml:space="preserve">. </w:t>
      </w:r>
    </w:p>
    <w:p w14:paraId="3FD4117D" w14:textId="7D0D24E1" w:rsidR="00144866" w:rsidRPr="0053182F" w:rsidRDefault="00144866" w:rsidP="00144866">
      <w:pPr>
        <w:spacing w:after="0" w:line="480" w:lineRule="auto"/>
        <w:ind w:firstLine="720"/>
        <w:jc w:val="both"/>
        <w:rPr>
          <w:color w:val="auto"/>
        </w:rPr>
      </w:pPr>
      <w:r w:rsidRPr="0053182F">
        <w:rPr>
          <w:color w:val="auto"/>
        </w:rPr>
        <w:t xml:space="preserve"> Figure 2.</w:t>
      </w:r>
      <w:r w:rsidR="00AE5C4D" w:rsidRPr="0053182F">
        <w:rPr>
          <w:color w:val="auto"/>
        </w:rPr>
        <w:t>2</w:t>
      </w:r>
      <w:r w:rsidRPr="0053182F">
        <w:rPr>
          <w:color w:val="auto"/>
        </w:rPr>
        <w:t xml:space="preserve"> illustrates the components of the constituent elements of MS. The </w:t>
      </w:r>
      <w:sdt>
        <w:sdtPr>
          <w:tag w:val="MENDELEY_CITATION_v3_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Y29udGFpbmVyLXRpdGxlLXNob3J0IjoiIn0sImlzVGVtcG9yYXJ5IjpmYWxzZX1dfQ=="/>
          <w:id w:val="-296675107"/>
          <w:placeholder>
            <w:docPart w:val="39E0404AD41D40159B0E6B89531D4E92"/>
          </w:placeholder>
        </w:sdtPr>
        <w:sdtContent>
          <w:r w:rsidR="00CC1788" w:rsidRPr="0053182F">
            <w:t>Walk Free Foundation</w:t>
          </w:r>
        </w:sdtContent>
      </w:sdt>
      <w:r w:rsidRPr="0053182F">
        <w:rPr>
          <w:color w:val="auto"/>
        </w:rPr>
        <w:t xml:space="preserve">, which is the pioneer in MS reporting, characterises MS as </w:t>
      </w:r>
      <w:r w:rsidRPr="0053182F">
        <w:rPr>
          <w:rStyle w:val="QuoteChar"/>
          <w:color w:val="auto"/>
        </w:rPr>
        <w:t>"situations of exploitation that a person cannot refuse or leave because of threats, violence, coercion, abuse of power, or deception"</w:t>
      </w:r>
      <w:r w:rsidRPr="0053182F">
        <w:rPr>
          <w:i/>
          <w:iCs/>
          <w:color w:val="auto"/>
        </w:rPr>
        <w:t xml:space="preserve"> </w:t>
      </w:r>
      <w:r w:rsidRPr="0053182F">
        <w:rPr>
          <w:color w:val="auto"/>
        </w:rPr>
        <w:t xml:space="preserve">(2018, p. 7). In the same vein, the UK government defines MS  as </w:t>
      </w:r>
      <w:r w:rsidRPr="0053182F">
        <w:rPr>
          <w:i/>
          <w:iCs/>
          <w:color w:val="auto"/>
        </w:rPr>
        <w:t xml:space="preserve">“the recruitment, movement, harbouring or receiving of children, women or men through the use of force, coercion, abuse of vulnerability, deception or other means for the purpose of exploitation” </w:t>
      </w:r>
      <w:sdt>
        <w:sdtPr>
          <w:tag w:val="MENDELEY_CITATION_v3_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"/>
          <w:id w:val="605387818"/>
          <w:placeholder>
            <w:docPart w:val="498C35F13E0C465984F9B1DC29875697"/>
          </w:placeholder>
        </w:sdtPr>
        <w:sdtContent>
          <w:r w:rsidR="00CC1788" w:rsidRPr="0053182F">
            <w:t>(Such and Salway, 2017)</w:t>
          </w:r>
        </w:sdtContent>
      </w:sdt>
      <w:r w:rsidRPr="0053182F">
        <w:rPr>
          <w:color w:val="auto"/>
        </w:rPr>
        <w:t>.</w:t>
      </w:r>
    </w:p>
    <w:p w14:paraId="45AFBDD4" w14:textId="77777777" w:rsidR="00144866" w:rsidRPr="0053182F" w:rsidRDefault="00144866" w:rsidP="00144866">
      <w:pPr>
        <w:spacing w:line="360" w:lineRule="auto"/>
        <w:jc w:val="center"/>
        <w:rPr>
          <w:color w:val="auto"/>
        </w:rPr>
      </w:pPr>
      <w:r w:rsidRPr="0053182F">
        <w:rPr>
          <w:noProof/>
          <w:color w:val="auto"/>
        </w:rPr>
        <w:drawing>
          <wp:inline distT="0" distB="0" distL="0" distR="0" wp14:anchorId="4F4F644F" wp14:editId="33C7FD32">
            <wp:extent cx="5344357" cy="3458272"/>
            <wp:effectExtent l="0" t="0" r="8890" b="8890"/>
            <wp:docPr id="712507386" name="Picture 712507386"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diagram, font&#10;&#10;Description automatically generated"/>
                    <pic:cNvPicPr/>
                  </pic:nvPicPr>
                  <pic:blipFill>
                    <a:blip r:embed="rId16"/>
                    <a:stretch>
                      <a:fillRect/>
                    </a:stretch>
                  </pic:blipFill>
                  <pic:spPr>
                    <a:xfrm>
                      <a:off x="0" y="0"/>
                      <a:ext cx="5345123" cy="3458768"/>
                    </a:xfrm>
                    <a:prstGeom prst="rect">
                      <a:avLst/>
                    </a:prstGeom>
                  </pic:spPr>
                </pic:pic>
              </a:graphicData>
            </a:graphic>
          </wp:inline>
        </w:drawing>
      </w:r>
    </w:p>
    <w:p w14:paraId="02124A8E" w14:textId="7460F8E4" w:rsidR="00144866" w:rsidRPr="0053182F" w:rsidRDefault="00144866" w:rsidP="00144866">
      <w:pPr>
        <w:spacing w:line="360" w:lineRule="auto"/>
        <w:jc w:val="center"/>
        <w:rPr>
          <w:color w:val="auto"/>
        </w:rPr>
      </w:pPr>
      <w:r w:rsidRPr="0053182F">
        <w:rPr>
          <w:b/>
          <w:bCs/>
          <w:color w:val="auto"/>
        </w:rPr>
        <w:t>Source:</w:t>
      </w:r>
      <w:r w:rsidRPr="0053182F">
        <w:rPr>
          <w:color w:val="auto"/>
        </w:rPr>
        <w:t xml:space="preserve">  </w:t>
      </w:r>
      <w:sdt>
        <w:sdtPr>
          <w:tag w:val="MENDELEY_CITATION_v3_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
          <w:id w:val="-1422248036"/>
          <w:placeholder>
            <w:docPart w:val="DAF5EC04A4314545886E67979C7C85AD"/>
          </w:placeholder>
        </w:sdtPr>
        <w:sdtContent>
          <w:r w:rsidR="00CC1788" w:rsidRPr="0053182F">
            <w:t>Walk Free Foundation, 2023</w:t>
          </w:r>
        </w:sdtContent>
      </w:sdt>
      <w:r w:rsidRPr="0053182F">
        <w:rPr>
          <w:color w:val="auto"/>
        </w:rPr>
        <w:t>, p. 9</w:t>
      </w:r>
    </w:p>
    <w:p w14:paraId="12C2E994" w14:textId="46A5FF25" w:rsidR="00144866" w:rsidRPr="0053182F" w:rsidRDefault="00144866" w:rsidP="00144866">
      <w:pPr>
        <w:pStyle w:val="Caption"/>
        <w:rPr>
          <w:color w:val="auto"/>
        </w:rPr>
      </w:pPr>
      <w:bookmarkStart w:id="52" w:name="_Toc216215313"/>
      <w:r w:rsidRPr="0053182F">
        <w:rPr>
          <w:b/>
          <w:bCs/>
        </w:rPr>
        <w:t xml:space="preserve">Figure </w:t>
      </w:r>
      <w:r w:rsidR="00753690" w:rsidRPr="0053182F">
        <w:rPr>
          <w:b/>
          <w:bCs/>
        </w:rPr>
        <w:t>2.2</w:t>
      </w:r>
      <w:r w:rsidRPr="0053182F">
        <w:rPr>
          <w:b/>
          <w:bCs/>
        </w:rPr>
        <w:t>:</w:t>
      </w:r>
      <w:r w:rsidRPr="0053182F">
        <w:t xml:space="preserve">  Element of modern slavery</w:t>
      </w:r>
      <w:bookmarkEnd w:id="52"/>
      <w:r w:rsidRPr="0053182F">
        <w:t xml:space="preserve"> </w:t>
      </w:r>
    </w:p>
    <w:p w14:paraId="5A878AE3" w14:textId="77777777" w:rsidR="00144866" w:rsidRPr="0053182F" w:rsidRDefault="00144866" w:rsidP="00144866">
      <w:pPr>
        <w:pStyle w:val="Caption"/>
      </w:pPr>
    </w:p>
    <w:p w14:paraId="1CE8192F" w14:textId="3D045662" w:rsidR="00144866" w:rsidRPr="0053182F" w:rsidRDefault="00144866" w:rsidP="00144866">
      <w:pPr>
        <w:spacing w:after="0" w:line="480" w:lineRule="auto"/>
        <w:ind w:firstLine="720"/>
        <w:jc w:val="both"/>
        <w:rPr>
          <w:color w:val="auto"/>
        </w:rPr>
      </w:pPr>
      <w:r w:rsidRPr="0053182F">
        <w:rPr>
          <w:color w:val="auto"/>
        </w:rPr>
        <w:t xml:space="preserve">In contrast, some scholars view MS solely from a corporate perspective. So, </w:t>
      </w:r>
      <w:sdt>
        <w:sdtPr>
          <w:tag w:val="MENDELEY_CITATION_v3_eyJjaXRhdGlvbklEIjoiTUVOREVMRVlfQ0lUQVRJT05fOTRiMmU0YWYtMGI3ZC00MDBmLTg5YTctOGRmMTkzYjExMTUxIiwicHJvcGVydGllcyI6eyJub3RlSW5kZXgiOjB9LCJpc0VkaXRlZCI6ZmFsc2UsIm1hbnVhbE92ZXJyaWRlIjp7ImlzTWFudWFsbHlPdmVycmlkZGVuIjp0cnVlLCJjaXRlcHJvY1RleHQiOiIoU2NoYXBlciBhbmQgUG9sbGFjaCwgMjAyMSkiLCJtYW51YWxPdmVycmlkZVRleHQiOiJTY2hhcGVyIGFuZCBQb2xsYWNoICgyMDIxLCBwLiAxKSJ9LCJjaXRhdGlvbkl0ZW1zIjpb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IENsZWFuIFByb2QifSwiaXNUZW1wb3JhcnkiOmZhbHNlfV19"/>
          <w:id w:val="-1500959673"/>
          <w:placeholder>
            <w:docPart w:val="218B4D6EDCCD4F5D9F6FC832253D6BC9"/>
          </w:placeholder>
        </w:sdtPr>
        <w:sdtContent>
          <w:r w:rsidR="00CC1788" w:rsidRPr="0053182F">
            <w:t>Schaper and Pollach (2021, p. 1)</w:t>
          </w:r>
        </w:sdtContent>
      </w:sdt>
      <w:r w:rsidRPr="0053182F">
        <w:rPr>
          <w:color w:val="auto"/>
        </w:rPr>
        <w:t xml:space="preserve"> refer to MS as </w:t>
      </w:r>
      <w:r w:rsidRPr="0053182F">
        <w:rPr>
          <w:i/>
          <w:iCs/>
          <w:color w:val="auto"/>
        </w:rPr>
        <w:t>“forced and compulsory labour as well as dismal labour standards that make workers economically dependent on their employers, which typically occurs at the lowest level in a supply chain”</w:t>
      </w:r>
      <w:r w:rsidRPr="0053182F">
        <w:rPr>
          <w:color w:val="auto"/>
        </w:rPr>
        <w:t>. Correspondingly, ​</w:t>
      </w:r>
      <w:sdt>
        <w:sdtPr>
          <w:tag w:val="MENDELEY_CITATION_v3_eyJjaXRhdGlvbklEIjoiTUVOREVMRVlfQ0lUQVRJT05fZTA1MzExMzAtY2E1OS00MjViLTgyMzUtNjQ1NzZiYjdiNGM3IiwicHJvcGVydGllcyI6eyJub3RlSW5kZXgiOjB9LCJpc0VkaXRlZCI6ZmFsc2UsIm1hbnVhbE92ZXJyaWRlIjp7ImlzTWFudWFsbHlPdmVycmlkZGVuIjp0cnVlLCJjaXRlcHJvY1RleHQiOiIoQ3JhbmUsIDIwMTMpIiwibWFudWFsT3ZlcnJpZGVUZXh0IjoiQ3JhbmUgKDIwMTMpIn0sImNpdGF0aW9uSXRlbXMiOlt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IFJldiJ9LCJpc1RlbXBvcmFyeSI6ZmFsc2V9XX0="/>
          <w:id w:val="3179262"/>
          <w:placeholder>
            <w:docPart w:val="DC6709537B6F4C01BCD447BC726236FD"/>
          </w:placeholder>
        </w:sdtPr>
        <w:sdtContent>
          <w:r w:rsidR="00CC1788" w:rsidRPr="0053182F">
            <w:t>Crane (2013)</w:t>
          </w:r>
        </w:sdtContent>
      </w:sdt>
      <w:r w:rsidRPr="0053182F">
        <w:rPr>
          <w:color w:val="auto"/>
        </w:rPr>
        <w:t xml:space="preserve"> introduced a more comprehensive model of MS. The AMS international organisation introduced four features of MS. </w:t>
      </w:r>
    </w:p>
    <w:p w14:paraId="0F1AD713" w14:textId="1C3C9DC9" w:rsidR="00144866" w:rsidRPr="0053182F" w:rsidRDefault="00144866" w:rsidP="00144866">
      <w:pPr>
        <w:spacing w:after="0" w:line="480" w:lineRule="auto"/>
        <w:ind w:firstLine="720"/>
        <w:jc w:val="both"/>
        <w:rPr>
          <w:color w:val="auto"/>
        </w:rPr>
      </w:pPr>
      <w:r w:rsidRPr="0053182F">
        <w:rPr>
          <w:color w:val="auto"/>
        </w:rPr>
        <w:t>At Anti-Slavery International, a renowned organi</w:t>
      </w:r>
      <w:r w:rsidR="002A5104" w:rsidRPr="0053182F">
        <w:rPr>
          <w:color w:val="auto"/>
        </w:rPr>
        <w:t>s</w:t>
      </w:r>
      <w:r w:rsidRPr="0053182F">
        <w:rPr>
          <w:color w:val="auto"/>
        </w:rPr>
        <w:t xml:space="preserve">ation dedicated to combating MS, they offer a concise yet comprehensive definition </w:t>
      </w:r>
      <w:sdt>
        <w:sdtPr>
          <w:tag w:val="MENDELEY_CITATION_v3_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"/>
          <w:id w:val="-1407998359"/>
          <w:placeholder>
            <w:docPart w:val="5F30DE82B72A4CBFB7A15C8AD09A88BD"/>
          </w:placeholder>
        </w:sdtPr>
        <w:sdtContent>
          <w:r w:rsidR="00CC1788" w:rsidRPr="0053182F">
            <w:t>(Anti-Slavery International, 2023)</w:t>
          </w:r>
        </w:sdtContent>
      </w:sdt>
      <w:r w:rsidRPr="0053182F">
        <w:rPr>
          <w:color w:val="auto"/>
        </w:rPr>
        <w:t xml:space="preserve">. According to their perspective, four features of MS must be present to consider MS, namely, </w:t>
      </w:r>
      <w:r w:rsidRPr="0053182F">
        <w:rPr>
          <w:rStyle w:val="QuoteChar"/>
          <w:color w:val="auto"/>
        </w:rPr>
        <w:t>" (1) forced to work through threat; (2) owned or controlled by an "employer," typically through mental, physical, or threatened abuse; (3) dehumanised and treated as a commodity; and (4) physically constrained or restricted in freedom of movement"</w:t>
      </w:r>
      <w:r w:rsidRPr="0053182F">
        <w:rPr>
          <w:color w:val="auto"/>
        </w:rPr>
        <w:t xml:space="preserve"> (Crane, 2013, p. 51). There are many reasons for the development of MS practices, such as Migration, conflicts, repressive regimes, social discrimination, and unethical business practices that can cause MS </w:t>
      </w:r>
      <w:sdt>
        <w:sdtPr>
          <w:tag w:val="MENDELEY_CITATION_v3_eyJjaXRhdGlvbklEIjoiTUVOREVMRVlfQ0lUQVRJT05fZWJkNTI1YzgtZGVmOS00YzkzLWJjMzktZDUwMjE2MzkwNmIxIiwicHJvcGVydGllcyI6eyJub3RlSW5kZXgiOjB9LCJpc0VkaXRlZCI6ZmFsc2UsIm1hbnVhbE92ZXJyaWRlIjp7ImlzTWFudWFsbHlPdmVycmlkZGVuIjp0cnVlLCJjaXRlcHJvY1RleHQiOiIoV2FsayBGcmVlIEZvdW5kYXRpb24sIDIwMTgpIiwibWFudWFsT3ZlcnJpZGVUZXh0IjoiKFdhbGsgRnJlZSwgMjAxOGIpIn0sImNpdGF0aW9uSXRlbXMiOlt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
          <w:id w:val="1972164635"/>
          <w:placeholder>
            <w:docPart w:val="952C88DCA45F41548D41046D6D7A06FA"/>
          </w:placeholder>
        </w:sdtPr>
        <w:sdtContent>
          <w:r w:rsidR="00CC1788" w:rsidRPr="0053182F">
            <w:t>(Walk Free, 2018b)</w:t>
          </w:r>
        </w:sdtContent>
      </w:sdt>
      <w:r w:rsidRPr="0053182F">
        <w:rPr>
          <w:color w:val="auto"/>
        </w:rPr>
        <w:t xml:space="preserve">. Even though slavery is outlawed globally, the world's estimation of MS has been reaching new highs </w:t>
      </w:r>
      <w:sdt>
        <w:sdtPr>
          <w:tag w:val="MENDELEY_CITATION_v3_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"/>
          <w:id w:val="-337151177"/>
          <w:placeholder>
            <w:docPart w:val="5CF3FBF73DB34EB9BF2FD7E5A15EF1C5"/>
          </w:placeholder>
        </w:sdtPr>
        <w:sdtContent>
          <w:r w:rsidR="00CC1788" w:rsidRPr="0053182F">
            <w:t xml:space="preserve">(Bodendorf et al., 2022). </w:t>
          </w:r>
        </w:sdtContent>
      </w:sdt>
      <w:r w:rsidRPr="0053182F">
        <w:rPr>
          <w:color w:val="auto"/>
        </w:rPr>
        <w:t xml:space="preserve">In sum, the multidimensional nature of MS definitions covers key elements: control, involuntary actions, and exploitation. </w:t>
      </w:r>
    </w:p>
    <w:p w14:paraId="13B9B3D2" w14:textId="1B788812" w:rsidR="00144866" w:rsidRPr="0053182F" w:rsidRDefault="00C9605B" w:rsidP="00CE3C09">
      <w:pPr>
        <w:pStyle w:val="NormalWeb"/>
        <w:spacing w:before="0" w:beforeAutospacing="0" w:after="0" w:afterAutospacing="0" w:line="480" w:lineRule="auto"/>
        <w:ind w:firstLine="720"/>
        <w:jc w:val="both"/>
        <w:rPr>
          <w:color w:val="auto"/>
        </w:rPr>
      </w:pPr>
      <w:r w:rsidRPr="0053182F">
        <w:rPr>
          <w:color w:val="auto"/>
        </w:rPr>
        <w:t>Some</w:t>
      </w:r>
      <w:r w:rsidR="00144866" w:rsidRPr="0053182F">
        <w:rPr>
          <w:color w:val="auto"/>
        </w:rPr>
        <w:t xml:space="preserve"> scholars </w:t>
      </w:r>
      <w:sdt>
        <w:sdtPr>
          <w:tag w:val="MENDELEY_CITATION_v3_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"/>
          <w:id w:val="1782686811"/>
          <w:placeholder>
            <w:docPart w:val="4F03148F45D84E0690FD0FF76513E03E"/>
          </w:placeholder>
        </w:sdtPr>
        <w:sdtContent>
          <w:r w:rsidR="00CC1788" w:rsidRPr="0053182F">
            <w:t>(DiMaggio and Powell, 1983; Gutierrez-Huerter O et al., 2023; Christ et al., 2025)</w:t>
          </w:r>
        </w:sdtContent>
      </w:sdt>
      <w:r w:rsidR="00144866" w:rsidRPr="0053182F">
        <w:rPr>
          <w:color w:val="auto"/>
        </w:rPr>
        <w:t xml:space="preserve"> emphasise that the definitional complexity of MS stems from its embeddedness within modern economic systems. See Table 2.1 for prominent definitions of MS. Rather than existing as a residual anomaly, MS operates as a systemic feature of global capitalism — shaped by transnational supply chains, outsourcing practices, and institutional governance failures. This perspective aligns with </w:t>
      </w:r>
      <w:r w:rsidR="00144866" w:rsidRPr="0053182F">
        <w:rPr>
          <w:rStyle w:val="Emphasis"/>
          <w:rFonts w:eastAsiaTheme="majorEastAsia"/>
          <w:i w:val="0"/>
          <w:iCs w:val="0"/>
          <w:color w:val="auto"/>
        </w:rPr>
        <w:t>NIT</w:t>
      </w:r>
      <w:r w:rsidR="00144866" w:rsidRPr="0053182F">
        <w:rPr>
          <w:color w:val="auto"/>
        </w:rPr>
        <w:t xml:space="preserve">, which views organisational behaviour as embedded within wider socio-political environments governed by coercive, normative, and mimetic pressures </w:t>
      </w:r>
      <w:sdt>
        <w:sdtPr>
          <w:tag w:val="MENDELEY_CITATION_v3_eyJjaXRhdGlvbklEIjoiTUVOREVMRVlfQ0lUQVRJT05fOGE2NTAwZjYtM2Q3Mi00MzczLWFkYWEtMmZjZGVhMTU0YjRk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737008131"/>
          <w:placeholder>
            <w:docPart w:val="DefaultPlaceholder_-1854013440"/>
          </w:placeholder>
        </w:sdtPr>
        <w:sdtContent>
          <w:r w:rsidR="00CC1788" w:rsidRPr="0053182F">
            <w:t>(DiMaggio and Powell, 1983; Scott, 2013)</w:t>
          </w:r>
        </w:sdtContent>
      </w:sdt>
      <w:r w:rsidR="00144866" w:rsidRPr="0053182F">
        <w:rPr>
          <w:color w:val="auto"/>
        </w:rPr>
        <w:t xml:space="preserve">. Within this framework, corporate responses to MS often manifest as </w:t>
      </w:r>
      <w:r w:rsidR="00144866" w:rsidRPr="0053182F">
        <w:rPr>
          <w:rStyle w:val="Emphasis"/>
          <w:rFonts w:eastAsiaTheme="majorEastAsia"/>
          <w:color w:val="auto"/>
        </w:rPr>
        <w:t>symbolic compliance</w:t>
      </w:r>
      <w:r w:rsidR="00144866" w:rsidRPr="0053182F">
        <w:rPr>
          <w:color w:val="auto"/>
        </w:rPr>
        <w:t xml:space="preserve">—aligning with external expectations while maintaining exploitative practices internally </w:t>
      </w:r>
      <w:sdt>
        <w:sdtPr>
          <w:tag w:val="MENDELEY_CITATION_v3_eyJjaXRhdGlvbklEIjoiTUVOREVMRVlfQ0lUQVRJT05fZmNmODFkZjYtYzkwZS00YmQxLTljODEtMjk0ZDE1YzVkNmFk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366987868"/>
          <w:placeholder>
            <w:docPart w:val="DefaultPlaceholder_-1854013440"/>
          </w:placeholder>
        </w:sdtPr>
        <w:sdtContent>
          <w:r w:rsidR="00CC1788" w:rsidRPr="0053182F">
            <w:t xml:space="preserve">(Christ </w:t>
          </w:r>
          <w:r w:rsidR="00CC1788" w:rsidRPr="0053182F">
            <w:rPr>
              <w:i/>
              <w:iCs/>
            </w:rPr>
            <w:t>et al.</w:t>
          </w:r>
          <w:r w:rsidR="00CC1788" w:rsidRPr="0053182F">
            <w:t>, 2023)</w:t>
          </w:r>
        </w:sdtContent>
      </w:sdt>
      <w:r w:rsidR="00144866" w:rsidRPr="0053182F">
        <w:rPr>
          <w:color w:val="auto"/>
        </w:rPr>
        <w:t xml:space="preserve">. </w:t>
      </w:r>
    </w:p>
    <w:p w14:paraId="56343071" w14:textId="77777777" w:rsidR="00144866" w:rsidRPr="0053182F" w:rsidRDefault="00144866" w:rsidP="00CE3C09">
      <w:pPr>
        <w:pStyle w:val="NormalWeb"/>
        <w:spacing w:before="0" w:beforeAutospacing="0" w:after="0" w:afterAutospacing="0" w:line="480" w:lineRule="auto"/>
        <w:ind w:firstLine="720"/>
        <w:jc w:val="both"/>
        <w:rPr>
          <w:b/>
          <w:bCs/>
          <w:color w:val="auto"/>
        </w:rPr>
      </w:pPr>
      <w:r w:rsidRPr="0053182F">
        <w:rPr>
          <w:color w:val="auto"/>
        </w:rPr>
        <w:t xml:space="preserve">Thus, MS must be understood as a </w:t>
      </w:r>
      <w:r w:rsidRPr="0053182F">
        <w:rPr>
          <w:rStyle w:val="Emphasis"/>
          <w:rFonts w:eastAsiaTheme="majorEastAsia"/>
          <w:color w:val="auto"/>
        </w:rPr>
        <w:t>multidimensional construct</w:t>
      </w:r>
      <w:r w:rsidRPr="0053182F">
        <w:rPr>
          <w:color w:val="auto"/>
        </w:rPr>
        <w:t>—one that traverses legal, economic, ethical, and institutional boundaries. It embodies both the micro-level realities of exploitation and the macro-level structures that normalise it through policy discourse, reporting frameworks, and global trade systems.</w:t>
      </w:r>
    </w:p>
    <w:p w14:paraId="2B333EE3" w14:textId="65808721" w:rsidR="00144866" w:rsidRPr="0053182F" w:rsidRDefault="00144866" w:rsidP="00144866">
      <w:pPr>
        <w:pStyle w:val="Caption"/>
      </w:pPr>
      <w:bookmarkStart w:id="53" w:name="_Toc216386018"/>
      <w:r w:rsidRPr="0053182F">
        <w:rPr>
          <w:b/>
          <w:bCs/>
        </w:rPr>
        <w:t xml:space="preserve">Table </w:t>
      </w:r>
      <w:r w:rsidR="00ED37BE" w:rsidRPr="0053182F">
        <w:rPr>
          <w:b/>
          <w:bCs/>
        </w:rPr>
        <w:t>2.</w:t>
      </w:r>
      <w:r w:rsidRPr="0053182F">
        <w:rPr>
          <w:b/>
          <w:bCs/>
        </w:rPr>
        <w:fldChar w:fldCharType="begin"/>
      </w:r>
      <w:r w:rsidRPr="0053182F">
        <w:rPr>
          <w:b/>
          <w:bCs/>
        </w:rPr>
        <w:instrText xml:space="preserve"> SEQ Table \* ARABIC \s 1 </w:instrText>
      </w:r>
      <w:r w:rsidRPr="0053182F">
        <w:rPr>
          <w:b/>
          <w:bCs/>
        </w:rPr>
        <w:fldChar w:fldCharType="separate"/>
      </w:r>
      <w:r w:rsidR="00582DA4" w:rsidRPr="0053182F">
        <w:rPr>
          <w:b/>
          <w:bCs/>
          <w:noProof/>
        </w:rPr>
        <w:t>1</w:t>
      </w:r>
      <w:r w:rsidRPr="0053182F">
        <w:rPr>
          <w:b/>
          <w:bCs/>
        </w:rPr>
        <w:fldChar w:fldCharType="end"/>
      </w:r>
      <w:r w:rsidRPr="0053182F">
        <w:rPr>
          <w:b/>
          <w:bCs/>
        </w:rPr>
        <w:t>:</w:t>
      </w:r>
      <w:r w:rsidRPr="0053182F">
        <w:t xml:space="preserve"> Key Definitions of Modern Slavery in Scholarly and Policy Literature</w:t>
      </w:r>
      <w:bookmarkEnd w:id="53"/>
      <w:r w:rsidRPr="0053182F">
        <w:t xml:space="preserve"> </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2552"/>
        <w:gridCol w:w="4252"/>
        <w:gridCol w:w="2222"/>
      </w:tblGrid>
      <w:tr w:rsidR="00144866" w:rsidRPr="0053182F" w14:paraId="01CCCA5D" w14:textId="77777777" w:rsidTr="00D20468">
        <w:trPr>
          <w:trHeight w:val="498"/>
          <w:tblHeader/>
          <w:tblCellSpacing w:w="15" w:type="dxa"/>
        </w:trPr>
        <w:tc>
          <w:tcPr>
            <w:tcW w:w="2507" w:type="dxa"/>
            <w:tcBorders>
              <w:top w:val="nil"/>
              <w:bottom w:val="single" w:sz="4" w:space="0" w:color="auto"/>
            </w:tcBorders>
            <w:vAlign w:val="center"/>
            <w:hideMark/>
          </w:tcPr>
          <w:p w14:paraId="68004A27" w14:textId="77777777" w:rsidR="00144866" w:rsidRPr="0053182F" w:rsidRDefault="00144866" w:rsidP="00D20468">
            <w:pPr>
              <w:spacing w:after="0" w:line="240" w:lineRule="auto"/>
              <w:jc w:val="center"/>
              <w:rPr>
                <w:rFonts w:eastAsia="Times New Roman"/>
                <w:b/>
                <w:bCs/>
                <w:color w:val="auto"/>
                <w:kern w:val="0"/>
                <w:sz w:val="22"/>
                <w:szCs w:val="22"/>
                <w:lang w:eastAsia="en-GB"/>
                <w14:ligatures w14:val="none"/>
              </w:rPr>
            </w:pPr>
            <w:r w:rsidRPr="0053182F">
              <w:rPr>
                <w:rFonts w:eastAsia="Times New Roman"/>
                <w:b/>
                <w:bCs/>
                <w:color w:val="auto"/>
                <w:kern w:val="0"/>
                <w:sz w:val="22"/>
                <w:szCs w:val="22"/>
                <w:lang w:eastAsia="en-GB"/>
                <w14:ligatures w14:val="none"/>
              </w:rPr>
              <w:t>Source</w:t>
            </w:r>
          </w:p>
        </w:tc>
        <w:tc>
          <w:tcPr>
            <w:tcW w:w="4222" w:type="dxa"/>
            <w:tcBorders>
              <w:top w:val="nil"/>
              <w:bottom w:val="single" w:sz="4" w:space="0" w:color="auto"/>
            </w:tcBorders>
            <w:vAlign w:val="center"/>
            <w:hideMark/>
          </w:tcPr>
          <w:p w14:paraId="6E29A324" w14:textId="77777777" w:rsidR="00144866" w:rsidRPr="0053182F" w:rsidRDefault="00144866" w:rsidP="00D20468">
            <w:pPr>
              <w:spacing w:after="0" w:line="240" w:lineRule="auto"/>
              <w:jc w:val="center"/>
              <w:rPr>
                <w:rFonts w:eastAsia="Times New Roman"/>
                <w:b/>
                <w:bCs/>
                <w:color w:val="auto"/>
                <w:kern w:val="0"/>
                <w:sz w:val="22"/>
                <w:szCs w:val="22"/>
                <w:lang w:eastAsia="en-GB"/>
                <w14:ligatures w14:val="none"/>
              </w:rPr>
            </w:pPr>
            <w:r w:rsidRPr="0053182F">
              <w:rPr>
                <w:rFonts w:eastAsia="Times New Roman"/>
                <w:b/>
                <w:bCs/>
                <w:color w:val="auto"/>
                <w:kern w:val="0"/>
                <w:sz w:val="22"/>
                <w:szCs w:val="22"/>
                <w:lang w:eastAsia="en-GB"/>
                <w14:ligatures w14:val="none"/>
              </w:rPr>
              <w:t>Definition / Description</w:t>
            </w:r>
          </w:p>
        </w:tc>
        <w:tc>
          <w:tcPr>
            <w:tcW w:w="2177" w:type="dxa"/>
            <w:tcBorders>
              <w:top w:val="nil"/>
              <w:bottom w:val="single" w:sz="4" w:space="0" w:color="auto"/>
            </w:tcBorders>
            <w:vAlign w:val="center"/>
            <w:hideMark/>
          </w:tcPr>
          <w:p w14:paraId="4E648846" w14:textId="77777777" w:rsidR="00144866" w:rsidRPr="0053182F" w:rsidRDefault="00144866" w:rsidP="00D20468">
            <w:pPr>
              <w:spacing w:after="0" w:line="240" w:lineRule="auto"/>
              <w:jc w:val="center"/>
              <w:rPr>
                <w:rFonts w:eastAsia="Times New Roman"/>
                <w:b/>
                <w:bCs/>
                <w:color w:val="auto"/>
                <w:kern w:val="0"/>
                <w:sz w:val="22"/>
                <w:szCs w:val="22"/>
                <w:lang w:eastAsia="en-GB"/>
                <w14:ligatures w14:val="none"/>
              </w:rPr>
            </w:pPr>
            <w:r w:rsidRPr="0053182F">
              <w:rPr>
                <w:rFonts w:eastAsia="Times New Roman"/>
                <w:b/>
                <w:bCs/>
                <w:color w:val="auto"/>
                <w:kern w:val="0"/>
                <w:sz w:val="22"/>
                <w:szCs w:val="22"/>
                <w:lang w:eastAsia="en-GB"/>
                <w14:ligatures w14:val="none"/>
              </w:rPr>
              <w:t>Key Elements Emphasised</w:t>
            </w:r>
          </w:p>
        </w:tc>
      </w:tr>
      <w:tr w:rsidR="00144866" w:rsidRPr="0053182F" w14:paraId="550033F0" w14:textId="77777777" w:rsidTr="00D20468">
        <w:trPr>
          <w:tblCellSpacing w:w="15" w:type="dxa"/>
        </w:trPr>
        <w:tc>
          <w:tcPr>
            <w:tcW w:w="2507" w:type="dxa"/>
            <w:vAlign w:val="center"/>
            <w:hideMark/>
          </w:tcPr>
          <w:p w14:paraId="287BF89A" w14:textId="17CEAF90" w:rsidR="00144866" w:rsidRPr="0053182F" w:rsidRDefault="00144866"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 xml:space="preserve">League of Nations Slavery Convention (1926) cited in </w:t>
            </w:r>
            <w:sdt>
              <w:sdtPr>
                <w:rPr>
                  <w:rFonts w:eastAsia="Times New Roman"/>
                  <w:kern w:val="0"/>
                  <w:sz w:val="20"/>
                  <w:szCs w:val="20"/>
                  <w:lang w:eastAsia="en-GB"/>
                  <w14:ligatures w14:val="none"/>
                </w:rPr>
                <w:tag w:val="MENDELEY_CITATION_v3_eyJjaXRhdGlvbklEIjoiTUVOREVMRVlfQ0lUQVRJT05fODM1ZWMyNjEtZDNmMy00N2I5LTllOTYtNjNjN2Q5OWM5ODIxIiwicHJvcGVydGllcyI6eyJub3RlSW5kZXgiOjB9LCJpc0VkaXRlZCI6ZmFsc2UsIm1hbnVhbE92ZXJyaWRlIjp7ImlzTWFudWFsbHlPdmVycmlkZGVuIjp0cnVlLCJjaXRlcHJvY1RleHQiOiIoQ3JhbmUsIDIwMTMpIiwibWFudWFsT3ZlcnJpZGVUZXh0IjoiQ3JhbmUgKDIwMTMsIHAuNTAgKS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jb250YWluZXItdGl0bGUtc2hvcnQiOiJNYW5hZ2UgUmV2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fSwiaXNUZW1wb3JhcnkiOmZhbHNlfV19"/>
                <w:id w:val="789945258"/>
                <w:placeholder>
                  <w:docPart w:val="104BB586FB4E4E6EAFA0CD1F0922B8FA"/>
                </w:placeholder>
              </w:sdtPr>
              <w:sdtContent>
                <w:r w:rsidR="00CC1788" w:rsidRPr="0053182F">
                  <w:rPr>
                    <w:rFonts w:eastAsia="Times New Roman"/>
                    <w:kern w:val="0"/>
                    <w:sz w:val="20"/>
                    <w:szCs w:val="20"/>
                    <w:lang w:eastAsia="en-GB"/>
                    <w14:ligatures w14:val="none"/>
                  </w:rPr>
                  <w:t>Crane (2013, p.50 )</w:t>
                </w:r>
              </w:sdtContent>
            </w:sdt>
          </w:p>
        </w:tc>
        <w:tc>
          <w:tcPr>
            <w:tcW w:w="4222" w:type="dxa"/>
            <w:vAlign w:val="center"/>
            <w:hideMark/>
          </w:tcPr>
          <w:p w14:paraId="36FCE2DF"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Slavery is “the status or condition of a person over whom any or all of the powers attaching to the right of ownership are exercised.”</w:t>
            </w:r>
          </w:p>
        </w:tc>
        <w:tc>
          <w:tcPr>
            <w:tcW w:w="2177" w:type="dxa"/>
            <w:vAlign w:val="center"/>
            <w:hideMark/>
          </w:tcPr>
          <w:p w14:paraId="1E9854F6"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Legal ownership, control, status</w:t>
            </w:r>
          </w:p>
        </w:tc>
      </w:tr>
      <w:tr w:rsidR="00144866" w:rsidRPr="0053182F" w14:paraId="13855D2E" w14:textId="77777777" w:rsidTr="00D20468">
        <w:trPr>
          <w:tblCellSpacing w:w="15" w:type="dxa"/>
        </w:trPr>
        <w:sdt>
          <w:sdtPr>
            <w:rPr>
              <w:rFonts w:eastAsia="Times New Roman"/>
              <w:kern w:val="0"/>
              <w:sz w:val="20"/>
              <w:szCs w:val="20"/>
              <w:lang w:eastAsia="en-GB"/>
              <w14:ligatures w14:val="none"/>
            </w:rPr>
            <w:tag w:val="MENDELEY_CITATION_v3_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"/>
            <w:id w:val="-1422874574"/>
            <w:placeholder>
              <w:docPart w:val="104BB586FB4E4E6EAFA0CD1F0922B8FA"/>
            </w:placeholder>
          </w:sdtPr>
          <w:sdtContent>
            <w:tc>
              <w:tcPr>
                <w:tcW w:w="2507" w:type="dxa"/>
                <w:vAlign w:val="center"/>
                <w:hideMark/>
              </w:tcPr>
              <w:p w14:paraId="03D55E79" w14:textId="71CD04F2" w:rsidR="00144866" w:rsidRPr="0053182F" w:rsidRDefault="00CC1788" w:rsidP="00D20468">
                <w:pPr>
                  <w:spacing w:after="0" w:line="240" w:lineRule="auto"/>
                  <w:rPr>
                    <w:rFonts w:eastAsia="Times New Roman"/>
                    <w:color w:val="auto"/>
                    <w:kern w:val="0"/>
                    <w:sz w:val="20"/>
                    <w:szCs w:val="20"/>
                    <w:lang w:eastAsia="en-GB"/>
                    <w14:ligatures w14:val="none"/>
                  </w:rPr>
                </w:pPr>
                <w:r w:rsidRPr="0053182F">
                  <w:rPr>
                    <w:rFonts w:eastAsia="Times New Roman"/>
                    <w:kern w:val="0"/>
                    <w:sz w:val="20"/>
                    <w:szCs w:val="20"/>
                    <w:lang w:eastAsia="en-GB"/>
                    <w14:ligatures w14:val="none"/>
                  </w:rPr>
                  <w:t>Christ and Burritt (2021, p.1485)</w:t>
                </w:r>
              </w:p>
            </w:tc>
          </w:sdtContent>
        </w:sdt>
        <w:tc>
          <w:tcPr>
            <w:tcW w:w="4222" w:type="dxa"/>
            <w:vAlign w:val="center"/>
            <w:hideMark/>
          </w:tcPr>
          <w:p w14:paraId="2B960B18"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MS is a “collection of practices in which equivalents to ownership are exercised by one party over another,” including child labour, forced labour, slavery, and debt bondage.</w:t>
            </w:r>
          </w:p>
        </w:tc>
        <w:tc>
          <w:tcPr>
            <w:tcW w:w="2177" w:type="dxa"/>
            <w:vAlign w:val="center"/>
            <w:hideMark/>
          </w:tcPr>
          <w:p w14:paraId="363467F8"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Ownership-like control, labour exploitation, multiple forms of MS</w:t>
            </w:r>
          </w:p>
        </w:tc>
      </w:tr>
      <w:tr w:rsidR="00144866" w:rsidRPr="0053182F" w14:paraId="5A5EA65E" w14:textId="77777777" w:rsidTr="00D20468">
        <w:trPr>
          <w:tblCellSpacing w:w="15" w:type="dxa"/>
        </w:trPr>
        <w:tc>
          <w:tcPr>
            <w:tcW w:w="2507" w:type="dxa"/>
            <w:vAlign w:val="center"/>
            <w:hideMark/>
          </w:tcPr>
          <w:sdt>
            <w:sdtPr>
              <w:rPr>
                <w:rFonts w:eastAsia="Times New Roman"/>
                <w:kern w:val="0"/>
                <w:sz w:val="20"/>
                <w:szCs w:val="20"/>
                <w:lang w:eastAsia="en-GB"/>
                <w14:ligatures w14:val="none"/>
              </w:rPr>
              <w:tag w:val="MENDELEY_CITATION_v3_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bnVtYmVyLW9mLXBhZ2VzIjoiMS0yOTIiLCJjb250YWluZXItdGl0bGUtc2hvcnQiOiIifSwiaXNUZW1wb3JhcnkiOmZhbHNlfV19"/>
              <w:id w:val="-275719147"/>
              <w:placeholder>
                <w:docPart w:val="104BB586FB4E4E6EAFA0CD1F0922B8FA"/>
              </w:placeholder>
            </w:sdtPr>
            <w:sdtContent>
              <w:p w14:paraId="7E545725" w14:textId="556553D6" w:rsidR="00144866" w:rsidRPr="0053182F" w:rsidRDefault="00CC1788" w:rsidP="00D20468">
                <w:pPr>
                  <w:spacing w:after="0" w:line="240" w:lineRule="auto"/>
                  <w:rPr>
                    <w:rFonts w:eastAsia="Times New Roman"/>
                    <w:color w:val="auto"/>
                    <w:kern w:val="0"/>
                    <w:sz w:val="20"/>
                    <w:szCs w:val="20"/>
                    <w:lang w:eastAsia="en-GB"/>
                    <w14:ligatures w14:val="none"/>
                  </w:rPr>
                </w:pPr>
                <w:r w:rsidRPr="0053182F">
                  <w:rPr>
                    <w:rFonts w:eastAsia="Times New Roman"/>
                    <w:kern w:val="0"/>
                    <w:sz w:val="20"/>
                    <w:szCs w:val="20"/>
                    <w:lang w:eastAsia="en-GB"/>
                    <w14:ligatures w14:val="none"/>
                  </w:rPr>
                  <w:t>Walk Free (2018, p. 7)</w:t>
                </w:r>
              </w:p>
            </w:sdtContent>
          </w:sdt>
        </w:tc>
        <w:tc>
          <w:tcPr>
            <w:tcW w:w="4222" w:type="dxa"/>
            <w:vAlign w:val="center"/>
            <w:hideMark/>
          </w:tcPr>
          <w:p w14:paraId="04A01171"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MS refers to “situations of exploitation that a person cannot refuse or leave because of threats, violence, coercion, abuse of power, or deception.”</w:t>
            </w:r>
          </w:p>
        </w:tc>
        <w:tc>
          <w:tcPr>
            <w:tcW w:w="2177" w:type="dxa"/>
            <w:vAlign w:val="center"/>
            <w:hideMark/>
          </w:tcPr>
          <w:p w14:paraId="0BC9DE37"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Coercion, unfreedom, exploitation, lack of exit</w:t>
            </w:r>
          </w:p>
        </w:tc>
      </w:tr>
      <w:tr w:rsidR="00144866" w:rsidRPr="0053182F" w14:paraId="3EA572A6" w14:textId="77777777" w:rsidTr="00D20468">
        <w:trPr>
          <w:tblCellSpacing w:w="15" w:type="dxa"/>
        </w:trPr>
        <w:tc>
          <w:tcPr>
            <w:tcW w:w="2507" w:type="dxa"/>
            <w:vAlign w:val="center"/>
            <w:hideMark/>
          </w:tcPr>
          <w:p w14:paraId="7C213B70" w14:textId="6CC5EF9A" w:rsidR="00144866" w:rsidRPr="0053182F" w:rsidRDefault="00144866"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 xml:space="preserve">UK Government cited in </w:t>
            </w:r>
            <w:sdt>
              <w:sdtPr>
                <w:rPr>
                  <w:rFonts w:eastAsia="Times New Roman"/>
                  <w:kern w:val="0"/>
                  <w:sz w:val="20"/>
                  <w:szCs w:val="20"/>
                  <w:lang w:eastAsia="en-GB"/>
                  <w14:ligatures w14:val="none"/>
                </w:rPr>
                <w:tag w:val="MENDELEY_CITATION_v3_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"/>
                <w:id w:val="600070947"/>
                <w:placeholder>
                  <w:docPart w:val="104BB586FB4E4E6EAFA0CD1F0922B8FA"/>
                </w:placeholder>
              </w:sdtPr>
              <w:sdtContent>
                <w:r w:rsidR="00CC1788" w:rsidRPr="0053182F">
                  <w:rPr>
                    <w:rFonts w:eastAsia="Times New Roman"/>
                    <w:kern w:val="0"/>
                    <w:sz w:val="20"/>
                    <w:szCs w:val="20"/>
                    <w:lang w:eastAsia="en-GB"/>
                    <w14:ligatures w14:val="none"/>
                  </w:rPr>
                  <w:t>Such and Salway (2017)</w:t>
                </w:r>
              </w:sdtContent>
            </w:sdt>
          </w:p>
        </w:tc>
        <w:tc>
          <w:tcPr>
            <w:tcW w:w="4222" w:type="dxa"/>
            <w:vAlign w:val="center"/>
            <w:hideMark/>
          </w:tcPr>
          <w:p w14:paraId="21F228FB"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MS is “the recruitment, movement, harbouring or receiving of children, women or men through the use of force, coercion, abuse of vulnerability, deception or other means for the purpose of exploitation.”</w:t>
            </w:r>
          </w:p>
        </w:tc>
        <w:tc>
          <w:tcPr>
            <w:tcW w:w="2177" w:type="dxa"/>
            <w:vAlign w:val="center"/>
            <w:hideMark/>
          </w:tcPr>
          <w:p w14:paraId="621AF13C"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Human trafficking, coercion, vulnerability, exploitation</w:t>
            </w:r>
          </w:p>
        </w:tc>
      </w:tr>
      <w:tr w:rsidR="00144866" w:rsidRPr="0053182F" w14:paraId="56365ED9" w14:textId="77777777" w:rsidTr="00D20468">
        <w:trPr>
          <w:tblCellSpacing w:w="15" w:type="dxa"/>
        </w:trPr>
        <w:tc>
          <w:tcPr>
            <w:tcW w:w="2507" w:type="dxa"/>
            <w:vAlign w:val="center"/>
            <w:hideMark/>
          </w:tcPr>
          <w:sdt>
            <w:sdtPr>
              <w:rPr>
                <w:rFonts w:eastAsia="Times New Roman"/>
                <w:kern w:val="0"/>
                <w:sz w:val="20"/>
                <w:szCs w:val="20"/>
                <w:lang w:eastAsia="en-GB"/>
                <w14:ligatures w14:val="none"/>
              </w:rPr>
              <w:tag w:val="MENDELEY_CITATION_v3_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"/>
              <w:id w:val="2059286599"/>
              <w:placeholder>
                <w:docPart w:val="104BB586FB4E4E6EAFA0CD1F0922B8FA"/>
              </w:placeholder>
            </w:sdtPr>
            <w:sdtContent>
              <w:p w14:paraId="6C2C1AB3" w14:textId="50333874" w:rsidR="00144866" w:rsidRPr="0053182F" w:rsidRDefault="00CC1788" w:rsidP="00D20468">
                <w:pPr>
                  <w:spacing w:after="0" w:line="240" w:lineRule="auto"/>
                  <w:rPr>
                    <w:rFonts w:eastAsia="Times New Roman"/>
                    <w:color w:val="auto"/>
                    <w:kern w:val="0"/>
                    <w:sz w:val="20"/>
                    <w:szCs w:val="20"/>
                    <w:lang w:eastAsia="en-GB"/>
                    <w14:ligatures w14:val="none"/>
                  </w:rPr>
                </w:pPr>
                <w:r w:rsidRPr="0053182F">
                  <w:rPr>
                    <w:rFonts w:eastAsia="Times New Roman"/>
                    <w:sz w:val="20"/>
                    <w:szCs w:val="20"/>
                  </w:rPr>
                  <w:t>Gold et al. (2015, p. 487)</w:t>
                </w:r>
              </w:p>
            </w:sdtContent>
          </w:sdt>
        </w:tc>
        <w:tc>
          <w:tcPr>
            <w:tcW w:w="4222" w:type="dxa"/>
            <w:vAlign w:val="center"/>
            <w:hideMark/>
          </w:tcPr>
          <w:p w14:paraId="73094168"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MS is the “exploitation of a person who is deprived of individual liberty anywhere along the supply chain, from raw material extraction to the final customer, for the purpose of service provision or production.”</w:t>
            </w:r>
          </w:p>
        </w:tc>
        <w:tc>
          <w:tcPr>
            <w:tcW w:w="2177" w:type="dxa"/>
            <w:vAlign w:val="center"/>
            <w:hideMark/>
          </w:tcPr>
          <w:p w14:paraId="451F20B3"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Supply chain focus, loss of liberty, exploitation, production</w:t>
            </w:r>
          </w:p>
        </w:tc>
      </w:tr>
      <w:tr w:rsidR="00144866" w:rsidRPr="0053182F" w14:paraId="6D232A5E" w14:textId="77777777" w:rsidTr="00D20468">
        <w:trPr>
          <w:tblCellSpacing w:w="15" w:type="dxa"/>
        </w:trPr>
        <w:tc>
          <w:tcPr>
            <w:tcW w:w="2507" w:type="dxa"/>
            <w:vAlign w:val="center"/>
            <w:hideMark/>
          </w:tcPr>
          <w:p w14:paraId="7EE19347" w14:textId="6D2E34E2" w:rsidR="00144866" w:rsidRPr="0053182F" w:rsidRDefault="00D20468" w:rsidP="00D20468">
            <w:pPr>
              <w:spacing w:after="0" w:line="240" w:lineRule="auto"/>
              <w:rPr>
                <w:rFonts w:eastAsia="Times New Roman"/>
                <w:color w:val="auto"/>
                <w:kern w:val="0"/>
                <w:sz w:val="20"/>
                <w:szCs w:val="20"/>
                <w:lang w:eastAsia="en-GB"/>
                <w14:ligatures w14:val="none"/>
              </w:rPr>
            </w:pPr>
            <w:sdt>
              <w:sdtPr>
                <w:rPr>
                  <w:rFonts w:eastAsia="Times New Roman"/>
                  <w:kern w:val="0"/>
                  <w:sz w:val="20"/>
                  <w:szCs w:val="20"/>
                  <w:lang w:eastAsia="en-GB"/>
                  <w14:ligatures w14:val="none"/>
                </w:rPr>
                <w:tag w:val="MENDELEY_CITATION_v3_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"/>
                <w:id w:val="1458220596"/>
                <w:placeholder>
                  <w:docPart w:val="104BB586FB4E4E6EAFA0CD1F0922B8FA"/>
                </w:placeholder>
              </w:sdtPr>
              <w:sdtContent>
                <w:r w:rsidR="00CC1788" w:rsidRPr="0053182F">
                  <w:rPr>
                    <w:rFonts w:eastAsia="Times New Roman"/>
                    <w:kern w:val="0"/>
                    <w:sz w:val="20"/>
                    <w:szCs w:val="20"/>
                    <w:lang w:eastAsia="en-GB"/>
                    <w14:ligatures w14:val="none"/>
                  </w:rPr>
                  <w:t>Schaper and Pollach 2021, p. 1)</w:t>
                </w:r>
              </w:sdtContent>
            </w:sdt>
          </w:p>
        </w:tc>
        <w:tc>
          <w:tcPr>
            <w:tcW w:w="4222" w:type="dxa"/>
            <w:vAlign w:val="center"/>
            <w:hideMark/>
          </w:tcPr>
          <w:p w14:paraId="2EDC12F0"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MS refers to “forced and compulsory labour as well as dismal labour standards that make workers economically dependent on their employers, typically at the lowest level of a supply chain.”</w:t>
            </w:r>
          </w:p>
        </w:tc>
        <w:tc>
          <w:tcPr>
            <w:tcW w:w="2177" w:type="dxa"/>
            <w:vAlign w:val="center"/>
            <w:hideMark/>
          </w:tcPr>
          <w:p w14:paraId="4BCF5CAD"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Business/supply chain focus, economic dependence, forced labour</w:t>
            </w:r>
          </w:p>
        </w:tc>
      </w:tr>
      <w:tr w:rsidR="00144866" w:rsidRPr="0053182F" w14:paraId="20016844" w14:textId="77777777" w:rsidTr="00D20468">
        <w:trPr>
          <w:tblCellSpacing w:w="15" w:type="dxa"/>
        </w:trPr>
        <w:tc>
          <w:tcPr>
            <w:tcW w:w="2507" w:type="dxa"/>
            <w:vAlign w:val="center"/>
            <w:hideMark/>
          </w:tcPr>
          <w:p w14:paraId="791D49F6" w14:textId="77777777" w:rsidR="00144866" w:rsidRPr="0053182F" w:rsidRDefault="00144866"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Anti-Slavery International (summarised in Crane, 2013, p.51)</w:t>
            </w:r>
          </w:p>
        </w:tc>
        <w:tc>
          <w:tcPr>
            <w:tcW w:w="4222" w:type="dxa"/>
            <w:vAlign w:val="center"/>
            <w:hideMark/>
          </w:tcPr>
          <w:p w14:paraId="73AB5F45"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Four features must be present: (1) forced to work through threat; (2) owned or controlled; (3) dehumanised and treated as a commodity; (4) restriction of movement.</w:t>
            </w:r>
          </w:p>
        </w:tc>
        <w:tc>
          <w:tcPr>
            <w:tcW w:w="2177" w:type="dxa"/>
            <w:vAlign w:val="center"/>
            <w:hideMark/>
          </w:tcPr>
          <w:p w14:paraId="1072D27B"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Force, control, dehumanisation, restriction of freedom</w:t>
            </w:r>
          </w:p>
        </w:tc>
      </w:tr>
      <w:tr w:rsidR="00144866" w:rsidRPr="0053182F" w14:paraId="6CF93BDA" w14:textId="77777777" w:rsidTr="00D20468">
        <w:trPr>
          <w:tblCellSpacing w:w="15" w:type="dxa"/>
        </w:trPr>
        <w:tc>
          <w:tcPr>
            <w:tcW w:w="2507" w:type="dxa"/>
            <w:vAlign w:val="center"/>
            <w:hideMark/>
          </w:tcPr>
          <w:p w14:paraId="7109B94A" w14:textId="77777777" w:rsidR="00144866" w:rsidRPr="0053182F" w:rsidRDefault="00144866"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Bales (2009)</w:t>
            </w:r>
          </w:p>
        </w:tc>
        <w:tc>
          <w:tcPr>
            <w:tcW w:w="4222" w:type="dxa"/>
            <w:vAlign w:val="center"/>
            <w:hideMark/>
          </w:tcPr>
          <w:p w14:paraId="1D163BC1"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MS includes forms of bonded labour that have been passed down across generations and sustained by economic and social structures.</w:t>
            </w:r>
          </w:p>
        </w:tc>
        <w:tc>
          <w:tcPr>
            <w:tcW w:w="2177" w:type="dxa"/>
            <w:vAlign w:val="center"/>
            <w:hideMark/>
          </w:tcPr>
          <w:p w14:paraId="78FF15EE"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Debt bondage, generational coercion</w:t>
            </w:r>
          </w:p>
        </w:tc>
      </w:tr>
      <w:tr w:rsidR="00144866" w:rsidRPr="0053182F" w14:paraId="17416186" w14:textId="77777777" w:rsidTr="00D20468">
        <w:trPr>
          <w:tblCellSpacing w:w="15" w:type="dxa"/>
        </w:trPr>
        <w:tc>
          <w:tcPr>
            <w:tcW w:w="2507" w:type="dxa"/>
            <w:vAlign w:val="center"/>
            <w:hideMark/>
          </w:tcPr>
          <w:sdt>
            <w:sdtPr>
              <w:rPr>
                <w:rFonts w:eastAsia="Times New Roman"/>
                <w:kern w:val="0"/>
                <w:sz w:val="20"/>
                <w:szCs w:val="20"/>
                <w:lang w:eastAsia="en-GB"/>
                <w14:ligatures w14:val="none"/>
              </w:rPr>
              <w:tag w:val="MENDELEY_CITATION_v3_eyJjaXRhdGlvbklEIjoiTUVOREVMRVlfQ0lUQVRJT05fMDA4MjU3NWQtMTFkNC00Zjc1LThhNjAtOGNjN2Y2OWY1MTY5IiwicHJvcGVydGllcyI6eyJub3RlSW5kZXgiOjB9LCJpc0VkaXRlZCI6ZmFsc2UsIm1hbnVhbE92ZXJyaWRlIjp7ImlzTWFudWFsbHlPdmVycmlkZGVuIjpmYWxzZSwiY2l0ZXByb2NUZXh0IjoiKElMTywgMjAyMmMpIiwibWFudWFsT3ZlcnJpZGVUZXh0IjoiIn0sImNpdGF0aW9uSXRlbXMiOlt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MTy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V19"/>
              <w:id w:val="-1143726878"/>
              <w:placeholder>
                <w:docPart w:val="104BB586FB4E4E6EAFA0CD1F0922B8FA"/>
              </w:placeholder>
            </w:sdtPr>
            <w:sdtContent>
              <w:p w14:paraId="307A05B8" w14:textId="43CCB980" w:rsidR="00144866" w:rsidRPr="0053182F" w:rsidRDefault="00CC1788" w:rsidP="00D20468">
                <w:pPr>
                  <w:spacing w:after="0" w:line="240" w:lineRule="auto"/>
                  <w:rPr>
                    <w:rFonts w:eastAsia="Times New Roman"/>
                    <w:color w:val="auto"/>
                    <w:kern w:val="0"/>
                    <w:sz w:val="20"/>
                    <w:szCs w:val="20"/>
                    <w:lang w:eastAsia="en-GB"/>
                    <w14:ligatures w14:val="none"/>
                  </w:rPr>
                </w:pPr>
                <w:r w:rsidRPr="0053182F">
                  <w:rPr>
                    <w:rFonts w:eastAsia="Times New Roman"/>
                    <w:kern w:val="0"/>
                    <w:sz w:val="20"/>
                    <w:szCs w:val="20"/>
                    <w:lang w:eastAsia="en-GB"/>
                    <w14:ligatures w14:val="none"/>
                  </w:rPr>
                  <w:t>(ILO, 2022c)</w:t>
                </w:r>
              </w:p>
            </w:sdtContent>
          </w:sdt>
        </w:tc>
        <w:tc>
          <w:tcPr>
            <w:tcW w:w="4222" w:type="dxa"/>
            <w:vAlign w:val="center"/>
            <w:hideMark/>
          </w:tcPr>
          <w:p w14:paraId="543A307F"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Includes forced labour, debt bondage, forced marriage, human trafficking, and other exploitative practices.</w:t>
            </w:r>
          </w:p>
        </w:tc>
        <w:tc>
          <w:tcPr>
            <w:tcW w:w="2177" w:type="dxa"/>
            <w:vAlign w:val="center"/>
            <w:hideMark/>
          </w:tcPr>
          <w:p w14:paraId="57634B02"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Labour exploitation, trafficking, coercion</w:t>
            </w:r>
          </w:p>
        </w:tc>
      </w:tr>
      <w:tr w:rsidR="00144866" w:rsidRPr="0053182F" w14:paraId="19482327" w14:textId="77777777" w:rsidTr="00D20468">
        <w:trPr>
          <w:tblCellSpacing w:w="15" w:type="dxa"/>
        </w:trPr>
        <w:tc>
          <w:tcPr>
            <w:tcW w:w="2507" w:type="dxa"/>
            <w:vAlign w:val="center"/>
            <w:hideMark/>
          </w:tcPr>
          <w:sdt>
            <w:sdtPr>
              <w:rPr>
                <w:rFonts w:eastAsia="Times New Roman"/>
                <w:kern w:val="0"/>
                <w:szCs w:val="20"/>
                <w:lang w:eastAsia="en-GB"/>
                <w14:ligatures w14:val="none"/>
              </w:rPr>
              <w:tag w:val="MENDELEY_CITATION_v3_eyJjaXRhdGlvbklEIjoiTUVOREVMRVlfQ0lUQVRJT05fY2UwOGJiNjItOTU5NS00MDQwLTg1MzYtODBmYTJjZmIxNTI0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1550295429"/>
              <w:placeholder>
                <w:docPart w:val="104BB586FB4E4E6EAFA0CD1F0922B8FA"/>
              </w:placeholder>
            </w:sdtPr>
            <w:sdtContent>
              <w:p w14:paraId="42470455" w14:textId="73D7971F" w:rsidR="00144866" w:rsidRPr="0053182F" w:rsidRDefault="00CC1788" w:rsidP="00D20468">
                <w:pPr>
                  <w:spacing w:after="0" w:line="240" w:lineRule="auto"/>
                  <w:rPr>
                    <w:rFonts w:eastAsia="Times New Roman"/>
                    <w:color w:val="auto"/>
                    <w:kern w:val="0"/>
                    <w:sz w:val="20"/>
                    <w:szCs w:val="20"/>
                    <w:lang w:eastAsia="en-GB"/>
                    <w14:ligatures w14:val="none"/>
                  </w:rPr>
                </w:pPr>
                <w:r w:rsidRPr="0053182F">
                  <w:rPr>
                    <w:rFonts w:eastAsia="Times New Roman"/>
                  </w:rPr>
                  <w:t xml:space="preserve">(Moussa </w:t>
                </w:r>
                <w:r w:rsidRPr="0053182F">
                  <w:rPr>
                    <w:rFonts w:eastAsia="Times New Roman"/>
                    <w:i/>
                    <w:iCs/>
                  </w:rPr>
                  <w:t>et al.</w:t>
                </w:r>
                <w:r w:rsidRPr="0053182F">
                  <w:rPr>
                    <w:rFonts w:eastAsia="Times New Roman"/>
                  </w:rPr>
                  <w:t>, 2022)</w:t>
                </w:r>
              </w:p>
            </w:sdtContent>
          </w:sdt>
        </w:tc>
        <w:tc>
          <w:tcPr>
            <w:tcW w:w="4222" w:type="dxa"/>
            <w:vAlign w:val="center"/>
            <w:hideMark/>
          </w:tcPr>
          <w:p w14:paraId="397E02A0"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MS is rooted in the transition from legal ownership to illegal, informal, and exploitative labour systems.</w:t>
            </w:r>
          </w:p>
        </w:tc>
        <w:tc>
          <w:tcPr>
            <w:tcW w:w="2177" w:type="dxa"/>
            <w:vAlign w:val="center"/>
            <w:hideMark/>
          </w:tcPr>
          <w:p w14:paraId="3237947C"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Evolution from legal to illegal slavery, informal economies</w:t>
            </w:r>
          </w:p>
        </w:tc>
      </w:tr>
      <w:tr w:rsidR="00144866" w:rsidRPr="0053182F" w14:paraId="76B1637A" w14:textId="77777777" w:rsidTr="00D20468">
        <w:trPr>
          <w:tblCellSpacing w:w="15" w:type="dxa"/>
        </w:trPr>
        <w:tc>
          <w:tcPr>
            <w:tcW w:w="2507" w:type="dxa"/>
            <w:vAlign w:val="center"/>
            <w:hideMark/>
          </w:tcPr>
          <w:sdt>
            <w:sdtPr>
              <w:rPr>
                <w:rFonts w:eastAsia="Times New Roman"/>
                <w:kern w:val="0"/>
                <w:sz w:val="20"/>
                <w:szCs w:val="20"/>
                <w:lang w:eastAsia="en-GB"/>
                <w14:ligatures w14:val="none"/>
              </w:rPr>
              <w:tag w:val="MENDELEY_CITATION_v3_eyJjaXRhdGlvbklEIjoiTUVOREVMRVlfQ0lUQVRJT05fNzRhYjdlZGYtMzI1MC00MzMyLWIwOTUtMGI2NDA2MTc3MDY5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jb250YWluZXItdGl0bGUtc2hvcnQiOiJNYW5hZ2UgUmV2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fSwiaXNUZW1wb3JhcnkiOmZhbHNlfV19"/>
              <w:id w:val="2011718548"/>
              <w:placeholder>
                <w:docPart w:val="104BB586FB4E4E6EAFA0CD1F0922B8FA"/>
              </w:placeholder>
            </w:sdtPr>
            <w:sdtContent>
              <w:p w14:paraId="7F795B4B" w14:textId="00E299B8" w:rsidR="00144866" w:rsidRPr="0053182F" w:rsidRDefault="00CC1788" w:rsidP="00D20468">
                <w:pPr>
                  <w:spacing w:after="0" w:line="240" w:lineRule="auto"/>
                  <w:rPr>
                    <w:rFonts w:eastAsia="Times New Roman"/>
                    <w:color w:val="auto"/>
                    <w:kern w:val="0"/>
                    <w:sz w:val="20"/>
                    <w:szCs w:val="20"/>
                    <w:lang w:eastAsia="en-GB"/>
                    <w14:ligatures w14:val="none"/>
                  </w:rPr>
                </w:pPr>
                <w:r w:rsidRPr="0053182F">
                  <w:rPr>
                    <w:rFonts w:eastAsia="Times New Roman"/>
                    <w:kern w:val="0"/>
                    <w:sz w:val="20"/>
                    <w:szCs w:val="20"/>
                    <w:lang w:eastAsia="en-GB"/>
                    <w14:ligatures w14:val="none"/>
                  </w:rPr>
                  <w:t>(Crane, 2013)</w:t>
                </w:r>
              </w:p>
            </w:sdtContent>
          </w:sdt>
        </w:tc>
        <w:tc>
          <w:tcPr>
            <w:tcW w:w="4222" w:type="dxa"/>
            <w:vAlign w:val="center"/>
            <w:hideMark/>
          </w:tcPr>
          <w:p w14:paraId="6DB03B10"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 xml:space="preserve">MS is a business practice embedded in market logics and </w:t>
            </w:r>
            <w:r w:rsidRPr="0053182F">
              <w:rPr>
                <w:rFonts w:eastAsia="Times New Roman"/>
                <w:color w:val="auto"/>
                <w:sz w:val="22"/>
                <w:szCs w:val="22"/>
                <w:lang w:eastAsia="en-GB"/>
              </w:rPr>
              <w:t>characterised by extreme labour exploitation rather than legal ownership.</w:t>
            </w:r>
          </w:p>
        </w:tc>
        <w:tc>
          <w:tcPr>
            <w:tcW w:w="2177" w:type="dxa"/>
            <w:vAlign w:val="center"/>
            <w:hideMark/>
          </w:tcPr>
          <w:p w14:paraId="1CD6C788"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Business-based slavery, market embeddedness</w:t>
            </w:r>
          </w:p>
        </w:tc>
      </w:tr>
      <w:tr w:rsidR="00144866" w:rsidRPr="0053182F" w14:paraId="6A9F9B56" w14:textId="77777777" w:rsidTr="00D20468">
        <w:trPr>
          <w:tblCellSpacing w:w="15" w:type="dxa"/>
        </w:trPr>
        <w:tc>
          <w:tcPr>
            <w:tcW w:w="2507" w:type="dxa"/>
            <w:vAlign w:val="center"/>
            <w:hideMark/>
          </w:tcPr>
          <w:p w14:paraId="0E422C92" w14:textId="77777777" w:rsidR="00144866" w:rsidRPr="0053182F" w:rsidRDefault="00144866"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 xml:space="preserve">Recent Institutional View </w:t>
            </w:r>
          </w:p>
          <w:sdt>
            <w:sdtPr>
              <w:rPr>
                <w:rFonts w:eastAsia="Times New Roman"/>
                <w:kern w:val="0"/>
                <w:szCs w:val="20"/>
                <w:lang w:eastAsia="en-GB"/>
                <w14:ligatures w14:val="none"/>
              </w:rPr>
              <w:tag w:val="MENDELEY_CITATION_v3_eyJjaXRhdGlvbklEIjoiTUVOREVMRVlfQ0lUQVRJT05fMmVjM2U2ZmUtMTA3Ny00M2U0LWJhZDEtZDU4NTM3YjZlMDc0IiwicHJvcGVydGllcyI6eyJub3RlSW5kZXgiOjB9LCJpc0VkaXRlZCI6ZmFsc2UsIm1hbnVhbE92ZXJyaWRlIjp7ImlzTWFudWFsbHlPdmVycmlkZGVuIjpmYWxzZSwiY2l0ZXByb2NUZXh0IjoiKENocmlzdCA8aT5ldCBhbC48L2k+LCAyMDIzOyBHdXRpZXJyZXotSHVlcnRlciBPIDxpPmV0IGFsLjwvaT4sIDIwMjMpIiwibWFudWFsT3ZlcnJpZGVUZXh0IjoiIn0sImNpdGF0aW9uSXRlbXMiOlt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"/>
              <w:id w:val="1370185577"/>
              <w:placeholder>
                <w:docPart w:val="104BB586FB4E4E6EAFA0CD1F0922B8FA"/>
              </w:placeholder>
            </w:sdtPr>
            <w:sdtContent>
              <w:p w14:paraId="1BB48A39" w14:textId="002F7196" w:rsidR="00144866" w:rsidRPr="0053182F" w:rsidRDefault="00CC1788" w:rsidP="00D20468">
                <w:pPr>
                  <w:spacing w:after="0" w:line="240" w:lineRule="auto"/>
                  <w:rPr>
                    <w:rFonts w:eastAsia="Times New Roman"/>
                    <w:color w:val="auto"/>
                    <w:kern w:val="0"/>
                    <w:sz w:val="20"/>
                    <w:szCs w:val="20"/>
                    <w:lang w:eastAsia="en-GB"/>
                    <w14:ligatures w14:val="none"/>
                  </w:rPr>
                </w:pPr>
                <w:r w:rsidRPr="0053182F">
                  <w:rPr>
                    <w:rFonts w:eastAsia="Times New Roman"/>
                  </w:rPr>
                  <w:t xml:space="preserve">(Christ </w:t>
                </w:r>
                <w:r w:rsidRPr="0053182F">
                  <w:rPr>
                    <w:rFonts w:eastAsia="Times New Roman"/>
                    <w:i/>
                    <w:iCs/>
                  </w:rPr>
                  <w:t>et al.</w:t>
                </w:r>
                <w:r w:rsidRPr="0053182F">
                  <w:rPr>
                    <w:rFonts w:eastAsia="Times New Roman"/>
                  </w:rPr>
                  <w:t xml:space="preserve">, 2023; Gutierrez-Huerter O </w:t>
                </w:r>
                <w:r w:rsidRPr="0053182F">
                  <w:rPr>
                    <w:rFonts w:eastAsia="Times New Roman"/>
                    <w:i/>
                    <w:iCs/>
                  </w:rPr>
                  <w:t>et al.</w:t>
                </w:r>
                <w:r w:rsidRPr="0053182F">
                  <w:rPr>
                    <w:rFonts w:eastAsia="Times New Roman"/>
                  </w:rPr>
                  <w:t>, 2023)</w:t>
                </w:r>
              </w:p>
            </w:sdtContent>
          </w:sdt>
          <w:p w14:paraId="7827747C" w14:textId="77777777" w:rsidR="00144866" w:rsidRPr="0053182F" w:rsidRDefault="00144866" w:rsidP="00D20468">
            <w:pPr>
              <w:spacing w:after="0" w:line="240" w:lineRule="auto"/>
              <w:rPr>
                <w:rFonts w:eastAsia="Times New Roman"/>
                <w:color w:val="auto"/>
                <w:kern w:val="0"/>
                <w:sz w:val="20"/>
                <w:szCs w:val="20"/>
                <w:lang w:eastAsia="en-GB"/>
                <w14:ligatures w14:val="none"/>
              </w:rPr>
            </w:pPr>
          </w:p>
        </w:tc>
        <w:tc>
          <w:tcPr>
            <w:tcW w:w="4222" w:type="dxa"/>
            <w:vAlign w:val="center"/>
            <w:hideMark/>
          </w:tcPr>
          <w:p w14:paraId="1CACB9B4"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MS is not a residual anomaly but a systemic feature embedded in global capitalism, sustained by supply chains, outsourcing, and institutional failures.</w:t>
            </w:r>
          </w:p>
        </w:tc>
        <w:tc>
          <w:tcPr>
            <w:tcW w:w="2177" w:type="dxa"/>
            <w:vAlign w:val="center"/>
            <w:hideMark/>
          </w:tcPr>
          <w:p w14:paraId="295CDD39" w14:textId="77777777" w:rsidR="00144866" w:rsidRPr="0053182F" w:rsidRDefault="00144866" w:rsidP="00D20468">
            <w:pPr>
              <w:spacing w:after="0" w:line="240" w:lineRule="auto"/>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Institutional embeddedness, capitalism, symbolic compliance</w:t>
            </w:r>
          </w:p>
        </w:tc>
      </w:tr>
    </w:tbl>
    <w:p w14:paraId="081724F6" w14:textId="77777777" w:rsidR="00144866" w:rsidRPr="0053182F" w:rsidRDefault="00144866" w:rsidP="002110C2">
      <w:pPr>
        <w:pStyle w:val="NormalWeb"/>
        <w:spacing w:before="0" w:beforeAutospacing="0" w:after="0" w:afterAutospacing="0" w:line="480" w:lineRule="auto"/>
        <w:jc w:val="both"/>
        <w:rPr>
          <w:color w:val="auto"/>
        </w:rPr>
      </w:pPr>
      <w:r w:rsidRPr="0053182F">
        <w:rPr>
          <w:b/>
          <w:bCs/>
          <w:color w:val="auto"/>
        </w:rPr>
        <w:t>Source:</w:t>
      </w:r>
      <w:r w:rsidRPr="0053182F">
        <w:rPr>
          <w:color w:val="auto"/>
        </w:rPr>
        <w:t xml:space="preserve"> Author's own work</w:t>
      </w:r>
    </w:p>
    <w:p w14:paraId="7AF1A85C" w14:textId="77777777" w:rsidR="00144866" w:rsidRPr="0053182F" w:rsidRDefault="00144866" w:rsidP="002110C2">
      <w:pPr>
        <w:pStyle w:val="Heading2"/>
      </w:pPr>
      <w:bookmarkStart w:id="54" w:name="_Toc218357078"/>
      <w:bookmarkEnd w:id="42"/>
      <w:r w:rsidRPr="0053182F">
        <w:t>2.4 The Corporate Dimension of Modern Slavery</w:t>
      </w:r>
      <w:bookmarkEnd w:id="43"/>
      <w:bookmarkEnd w:id="54"/>
    </w:p>
    <w:p w14:paraId="23D4DE10" w14:textId="77777777" w:rsidR="00144866" w:rsidRPr="0053182F" w:rsidRDefault="00144866" w:rsidP="002110C2">
      <w:pPr>
        <w:pStyle w:val="Heading3"/>
        <w:spacing w:after="0"/>
      </w:pPr>
      <w:bookmarkStart w:id="55" w:name="_Toc215651785"/>
      <w:bookmarkStart w:id="56" w:name="_Toc218357079"/>
      <w:r w:rsidRPr="0053182F">
        <w:t>2.4.1 Corporate Modern slavery: Conceptual Foundations</w:t>
      </w:r>
      <w:bookmarkEnd w:id="55"/>
      <w:bookmarkEnd w:id="56"/>
    </w:p>
    <w:p w14:paraId="3857E368" w14:textId="71026ACE" w:rsidR="00144866" w:rsidRPr="0053182F" w:rsidRDefault="00144866" w:rsidP="002110C2">
      <w:pPr>
        <w:spacing w:after="0" w:line="480" w:lineRule="auto"/>
        <w:jc w:val="both"/>
        <w:rPr>
          <w:color w:val="auto"/>
        </w:rPr>
      </w:pPr>
      <w:r w:rsidRPr="0053182F">
        <w:rPr>
          <w:color w:val="auto"/>
        </w:rPr>
        <w:t xml:space="preserve">The integration of MS into the operations and supply chains of MNCs has given rise to the concept of CMS—defined in this study as the systemic, profit-driven exploitation of labour sustained by corporate governance mechanisms, supply chain complexity, and institutional opacity. CMS represents the intersection between corporate governance, global capitalism, and human rights, where exploitative practices are enabled by organisational and institutional structures rather than isolated criminal acts </w:t>
      </w:r>
      <w:sdt>
        <w:sdtPr>
          <w:tag w:val="MENDELEY_CITATION_v3_eyJjaXRhdGlvbklEIjoiTUVOREVMRVlfQ0lUQVRJT05fNzQzNzcxMGUtNDZlNi00NWE1LTgyNDAtODM2ODE2MDY0YjlkIiwicHJvcGVydGllcyI6eyJub3RlSW5kZXgiOjB9LCJpc0VkaXRlZCI6ZmFsc2UsIm1hbnVhbE92ZXJyaWRlIjp7ImlzTWFudWFsbHlPdmVycmlkZGVuIjp0cnVlLCJjaXRlcHJvY1RleHQiOiIoQ3JhbmUgPGk+ZXQgYWwuPC9pPiwgMjAxOWI7IEdvbGQgPGk+ZXQgYWwuPC9pPiwgMjAxNSkiLCJtYW51YWxPdmVycmlkZVRleHQiOiIoQ3JhbmUgZXQgYWwuLCAyMDE5OyBHb2xkIGV0IGFsLiwgMjAxNSkifSwiY2l0YXRpb25JdGVtcyI6W3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Y29udGFpbmVyLXRpdGxlLXNob3J0IjoiUmVndWwgR292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fSwiaXNUZW1wb3JhcnkiOmZhbHNlfSx7ImlkIjoiOWZkNjNiOWQtY2NlMi0zYzkyLWI2OWEtMjcyMDJhMzI1NWQxIiwiaXRlbURhdGEiOnsidHlwZSI6ImFydGljbGUtam91cm5hbCIsImlkIjoiOWZkNjNiOWQtY2NlMi0zYzkyLWI2OWEtMjcyMDJhMzI1NWQxIiwidGl0bGUiOiJNb2Rlcm4gc2xhdmVyeSBjaGFsbGVuZ2VzIHRvIHN1cHBseSBjaGFpbiBtYW5hZ2VtZW50IiwiYXV0aG9yIjpb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"/>
          <w:id w:val="-541364828"/>
          <w:placeholder>
            <w:docPart w:val="259473FBF3DC44C0B6564DFFC14C8ABE"/>
          </w:placeholder>
        </w:sdtPr>
        <w:sdtContent>
          <w:r w:rsidR="00CC1788" w:rsidRPr="0053182F">
            <w:t>(Crane et al., 2019; Gold et al., 2015)</w:t>
          </w:r>
        </w:sdtContent>
      </w:sdt>
      <w:r w:rsidRPr="0053182F">
        <w:rPr>
          <w:color w:val="auto"/>
        </w:rPr>
        <w:t>.</w:t>
      </w:r>
    </w:p>
    <w:p w14:paraId="1EBBCD39" w14:textId="0374BCE7" w:rsidR="00144866" w:rsidRPr="0053182F" w:rsidRDefault="00144866" w:rsidP="005A5453">
      <w:pPr>
        <w:spacing w:after="0" w:line="480" w:lineRule="auto"/>
        <w:ind w:firstLine="720"/>
        <w:jc w:val="both"/>
        <w:rPr>
          <w:color w:val="auto"/>
        </w:rPr>
      </w:pPr>
      <w:r w:rsidRPr="0053182F">
        <w:rPr>
          <w:color w:val="auto"/>
        </w:rPr>
        <w:t xml:space="preserve">While firms rarely engage in direct enslavement, they participate indirectly through cost pressures, outsourcing, and the pursuit of efficiency within deregulated markets </w:t>
      </w:r>
      <w:sdt>
        <w:sdtPr>
          <w:tag w:val="MENDELEY_CITATION_v3_eyJjaXRhdGlvbklEIjoiTUVOREVMRVlfQ0lUQVRJT05fOWMzODYzYjYtMWEzMi00YjFmLWI2YzMtYWUzZTFjM2E3MTIwIiwicHJvcGVydGllcyI6eyJub3RlSW5kZXgiOjB9LCJpc0VkaXRlZCI6ZmFsc2UsIm1hbnVhbE92ZXJyaWRlIjp7ImlzTWFudWFsbHlPdmVycmlkZGVuIjpmYWxzZSwiY2l0ZXByb2NUZXh0IjoiKExlQmFyb24sIDIwMjBhOyBNdWtob3BhZGh5YXksIDIwMjIpIiwibWFudWFsT3ZlcnJpZGVUZXh0IjoiIn0sImNpdGF0aW9uSXRlbXMiOlt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C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"/>
          <w:id w:val="2015259782"/>
          <w:placeholder>
            <w:docPart w:val="DefaultPlaceholder_-1854013440"/>
          </w:placeholder>
        </w:sdtPr>
        <w:sdtContent>
          <w:r w:rsidR="00CC1788" w:rsidRPr="0053182F">
            <w:t>(LeBaron, 2020a; Mukhopadhyay, 2022)</w:t>
          </w:r>
        </w:sdtContent>
      </w:sdt>
      <w:r w:rsidRPr="0053182F">
        <w:rPr>
          <w:color w:val="auto"/>
        </w:rPr>
        <w:t xml:space="preserve">. These processes generate a form of “hidden exploitation”—labour abuse that remains obscured beneath layers of subcontracting and supplier fragmentation </w:t>
      </w:r>
      <w:sdt>
        <w:sdtPr>
          <w:tag w:val="MENDELEY_CITATION_v3_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"/>
          <w:id w:val="-1919240743"/>
          <w:placeholder>
            <w:docPart w:val="DefaultPlaceholder_-1854013440"/>
          </w:placeholder>
        </w:sdtPr>
        <w:sdtContent>
          <w:r w:rsidR="00CC1788" w:rsidRPr="0053182F">
            <w:rPr>
              <w:rFonts w:eastAsia="Times New Roman"/>
            </w:rPr>
            <w:t xml:space="preserve">(LeBaron and Lister, 2021; Trautrims </w:t>
          </w:r>
          <w:r w:rsidR="00CC1788" w:rsidRPr="0053182F">
            <w:rPr>
              <w:rFonts w:eastAsia="Times New Roman"/>
              <w:i/>
              <w:iCs/>
            </w:rPr>
            <w:t>et al.</w:t>
          </w:r>
          <w:r w:rsidR="00CC1788" w:rsidRPr="0053182F">
            <w:rPr>
              <w:rFonts w:eastAsia="Times New Roman"/>
            </w:rPr>
            <w:t>, 2020)</w:t>
          </w:r>
        </w:sdtContent>
      </w:sdt>
      <w:r w:rsidRPr="0053182F">
        <w:rPr>
          <w:color w:val="auto"/>
        </w:rPr>
        <w:t>. CMS therefore challenges conventional boundaries between legal business conduct and criminal exploitation, implicating both corporations and the institutional systems that sustain them.</w:t>
      </w:r>
    </w:p>
    <w:p w14:paraId="25BCBF47" w14:textId="6B2FE705" w:rsidR="00144866" w:rsidRPr="0053182F" w:rsidRDefault="00144866" w:rsidP="005A5453">
      <w:pPr>
        <w:pStyle w:val="Heading3"/>
        <w:rPr>
          <w:rStyle w:val="normaltextrun"/>
        </w:rPr>
      </w:pPr>
      <w:bookmarkStart w:id="57" w:name="_Toc215651786"/>
      <w:bookmarkStart w:id="58" w:name="_Toc218357080"/>
      <w:r w:rsidRPr="0053182F">
        <w:rPr>
          <w:rStyle w:val="normaltextrun"/>
        </w:rPr>
        <w:t xml:space="preserve">2.4.2 Corporate modern slavery </w:t>
      </w:r>
      <w:r w:rsidR="00C9605B" w:rsidRPr="0053182F">
        <w:rPr>
          <w:rStyle w:val="normaltextrun"/>
        </w:rPr>
        <w:t>–</w:t>
      </w:r>
      <w:r w:rsidRPr="0053182F">
        <w:rPr>
          <w:rStyle w:val="normaltextrun"/>
        </w:rPr>
        <w:t xml:space="preserve"> Background</w:t>
      </w:r>
      <w:bookmarkEnd w:id="57"/>
      <w:bookmarkEnd w:id="58"/>
    </w:p>
    <w:p w14:paraId="5502C9C7" w14:textId="159F12A8" w:rsidR="00144866" w:rsidRPr="0053182F" w:rsidRDefault="00144866" w:rsidP="005A5453">
      <w:pPr>
        <w:spacing w:after="0" w:line="480" w:lineRule="auto"/>
        <w:jc w:val="both"/>
        <w:rPr>
          <w:rStyle w:val="normaltextrun"/>
          <w:rFonts w:eastAsia="Times New Roman"/>
          <w:color w:val="auto"/>
          <w:lang w:eastAsia="en-GB"/>
        </w:rPr>
      </w:pPr>
      <w:r w:rsidRPr="0053182F">
        <w:rPr>
          <w:rFonts w:eastAsia="Times New Roman"/>
          <w:color w:val="auto"/>
        </w:rPr>
        <w:t xml:space="preserve">CMS is a global phenomenon that is evident in almost every industry, though on different scales </w:t>
      </w:r>
      <w:sdt>
        <w:sdtPr>
          <w:rPr>
            <w:rFonts w:eastAsia="Times New Roman"/>
          </w:rPr>
          <w:tag w:val="MENDELEY_CITATION_v3_eyJjaXRhdGlvbklEIjoiTUVOREVMRVlfQ0lUQVRJT05fMzNiNWQ4OGItNTVmMy00MjQ4LWFlYWMtZjM0M2ZhZGMxN2Vk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lRoZSBnbG9iYWwgU2xhdmVyeSBJbmRleCIsImF1dGhvciI6W3siZmFtaWx5IjoiV2FsayBGcmVl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1950071916"/>
          <w:placeholder>
            <w:docPart w:val="45DBCBB34D314FFABBFE6464DA733699"/>
          </w:placeholder>
        </w:sdtPr>
        <w:sdtContent>
          <w:r w:rsidR="00CC1788" w:rsidRPr="0053182F">
            <w:rPr>
              <w:rFonts w:eastAsia="Times New Roman"/>
            </w:rPr>
            <w:t>(Walk Free, 2023)</w:t>
          </w:r>
        </w:sdtContent>
      </w:sdt>
      <w:r w:rsidRPr="0053182F">
        <w:rPr>
          <w:rFonts w:eastAsia="Times New Roman"/>
          <w:color w:val="auto"/>
        </w:rPr>
        <w:t xml:space="preserve">. The term CMS became highly popular among academic concerns by MS scholars and various social and marketing campaigns for the concepts of "free-labour products" and "free-grown products" around 2007 </w:t>
      </w:r>
      <w:sdt>
        <w:sdtPr>
          <w:rPr>
            <w:rFonts w:eastAsia="Times New Roman"/>
          </w:rPr>
          <w:tag w:val="MENDELEY_CITATION_v3_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"/>
          <w:id w:val="224602107"/>
          <w:placeholder>
            <w:docPart w:val="D50053AD9F2E4A9698DFF03D96ED4B08"/>
          </w:placeholder>
        </w:sdtPr>
        <w:sdtContent>
          <w:r w:rsidR="00CC1788" w:rsidRPr="0053182F">
            <w:rPr>
              <w:rFonts w:eastAsia="Times New Roman"/>
            </w:rPr>
            <w:t xml:space="preserve">(Craig Gary </w:t>
          </w:r>
          <w:r w:rsidR="00CC1788" w:rsidRPr="0053182F">
            <w:rPr>
              <w:rFonts w:eastAsia="Times New Roman"/>
              <w:i/>
              <w:iCs/>
            </w:rPr>
            <w:t>et al.</w:t>
          </w:r>
          <w:r w:rsidR="00CC1788" w:rsidRPr="0053182F">
            <w:rPr>
              <w:rFonts w:eastAsia="Times New Roman"/>
            </w:rPr>
            <w:t>, 2019; Smith and Johns, 2020)</w:t>
          </w:r>
        </w:sdtContent>
      </w:sdt>
      <w:r w:rsidRPr="0053182F">
        <w:rPr>
          <w:rFonts w:eastAsia="Times New Roman"/>
          <w:color w:val="auto"/>
        </w:rPr>
        <w:t xml:space="preserve">. For nearly two decades, social activists have been raising their voices against slavery, pressuring regulatory bodies, firms, and governments to tackle this ongoing issue </w:t>
      </w:r>
      <w:sdt>
        <w:sdtPr>
          <w:rPr>
            <w:rFonts w:eastAsia="Palatino Linotype"/>
          </w:rPr>
          <w:tag w:val="MENDELEY_CITATION_v3_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C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1dfQ=="/>
          <w:id w:val="-613058643"/>
          <w:placeholder>
            <w:docPart w:val="D8F56685A0EC4D85AC24EEFA4FB02A7C"/>
          </w:placeholder>
        </w:sdtPr>
        <w:sdtContent>
          <w:r w:rsidR="00CC1788" w:rsidRPr="0053182F">
            <w:rPr>
              <w:rFonts w:eastAsia="Times New Roman"/>
            </w:rPr>
            <w:t>(ILO, 2022b; LeBaron, 2020a).</w:t>
          </w:r>
        </w:sdtContent>
      </w:sdt>
      <w:r w:rsidRPr="0053182F">
        <w:rPr>
          <w:rFonts w:eastAsia="Times New Roman"/>
          <w:color w:val="auto"/>
        </w:rPr>
        <w:t xml:space="preserve"> </w:t>
      </w:r>
      <w:r w:rsidRPr="0053182F">
        <w:rPr>
          <w:rStyle w:val="normaltextrun"/>
          <w:rFonts w:eastAsia="Times New Roman"/>
          <w:color w:val="auto"/>
          <w:lang w:eastAsia="en-GB"/>
        </w:rPr>
        <w:t>However, many industr</w:t>
      </w:r>
      <w:r w:rsidR="005C78B2" w:rsidRPr="0053182F">
        <w:rPr>
          <w:rStyle w:val="normaltextrun"/>
          <w:rFonts w:eastAsia="Times New Roman"/>
          <w:color w:val="auto"/>
          <w:lang w:eastAsia="en-GB"/>
        </w:rPr>
        <w:t>y</w:t>
      </w:r>
      <w:r w:rsidRPr="0053182F">
        <w:rPr>
          <w:rStyle w:val="normaltextrun"/>
          <w:rFonts w:eastAsia="Times New Roman"/>
          <w:color w:val="auto"/>
          <w:lang w:eastAsia="en-GB"/>
        </w:rPr>
        <w:t xml:space="preserve"> expert</w:t>
      </w:r>
      <w:r w:rsidR="005C78B2" w:rsidRPr="0053182F">
        <w:rPr>
          <w:rStyle w:val="normaltextrun"/>
          <w:rFonts w:eastAsia="Times New Roman"/>
          <w:color w:val="auto"/>
          <w:lang w:eastAsia="en-GB"/>
        </w:rPr>
        <w:t>s</w:t>
      </w:r>
      <w:r w:rsidRPr="0053182F">
        <w:rPr>
          <w:rStyle w:val="normaltextrun"/>
          <w:rFonts w:eastAsia="Times New Roman"/>
          <w:color w:val="auto"/>
          <w:lang w:eastAsia="en-GB"/>
        </w:rPr>
        <w:t xml:space="preserve"> assert that </w:t>
      </w:r>
      <w:r w:rsidR="005C78B2" w:rsidRPr="0053182F">
        <w:rPr>
          <w:rStyle w:val="normaltextrun"/>
          <w:rFonts w:eastAsia="Times New Roman"/>
          <w:color w:val="auto"/>
          <w:lang w:eastAsia="en-GB"/>
        </w:rPr>
        <w:t>CMS's immune system weakness s</w:t>
      </w:r>
      <w:r w:rsidRPr="0053182F">
        <w:rPr>
          <w:rStyle w:val="normaltextrun"/>
          <w:rFonts w:eastAsia="Times New Roman"/>
          <w:color w:val="auto"/>
          <w:lang w:eastAsia="en-GB"/>
        </w:rPr>
        <w:t xml:space="preserve">tems from the complex contemporary supply chain </w:t>
      </w:r>
      <w:sdt>
        <w:sdtPr>
          <w:rPr>
            <w:rStyle w:val="normaltextrun"/>
            <w:rFonts w:eastAsia="Times New Roman"/>
            <w:lang w:eastAsia="en-GB"/>
          </w:rPr>
          <w:tag w:val="MENDELEY_CITATION_v3_eyJjaXRhdGlvbklEIjoiTUVOREVMRVlfQ0lUQVRJT05fZTgyY2U5MmEtNjYwNC00NTNmLTk4MTUtM2Y5Nzk4MzE5MGJi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
          <w:id w:val="-1287585853"/>
          <w:placeholder>
            <w:docPart w:val="E09833667EDC472AB3703942B466F330"/>
          </w:placeholder>
        </w:sdtPr>
        <w:sdtContent>
          <w:r w:rsidR="00CC1788" w:rsidRPr="0053182F">
            <w:rPr>
              <w:rStyle w:val="normaltextrun"/>
              <w:rFonts w:eastAsia="Times New Roman"/>
              <w:lang w:eastAsia="en-GB"/>
            </w:rPr>
            <w:t>(Christ and Burritt, 2021)</w:t>
          </w:r>
        </w:sdtContent>
      </w:sdt>
      <w:r w:rsidRPr="0053182F">
        <w:rPr>
          <w:rStyle w:val="normaltextrun"/>
          <w:rFonts w:eastAsia="Times New Roman"/>
          <w:color w:val="auto"/>
          <w:lang w:eastAsia="en-GB"/>
        </w:rPr>
        <w:t>.</w:t>
      </w:r>
    </w:p>
    <w:p w14:paraId="6703BFF7" w14:textId="17BDCCFD" w:rsidR="00144866" w:rsidRPr="0053182F" w:rsidRDefault="00144866" w:rsidP="00144866">
      <w:pPr>
        <w:spacing w:after="0" w:line="480" w:lineRule="auto"/>
        <w:ind w:firstLine="720"/>
        <w:jc w:val="both"/>
        <w:rPr>
          <w:rStyle w:val="normaltextrun"/>
          <w:rFonts w:eastAsia="Times New Roman"/>
          <w:color w:val="auto"/>
        </w:rPr>
      </w:pPr>
      <w:r w:rsidRPr="0053182F">
        <w:rPr>
          <w:rStyle w:val="normaltextrun"/>
          <w:color w:val="auto"/>
        </w:rPr>
        <w:t xml:space="preserve">CMS is a significant global issue for businesses operating beyond their boundaries, given the complex supply chain </w:t>
      </w:r>
      <w:sdt>
        <w:sdtPr>
          <w:rPr>
            <w:rStyle w:val="normaltextrun"/>
          </w:rPr>
          <w:tag w:val="MENDELEY_CITATION_v3_eyJjaXRhdGlvbklEIjoiTUVOREVMRVlfQ0lUQVRJT05fNmJkOGE1NWItYmFlNS00ODhkLWFhZDEtOWYyNWJiZTJmNTQ3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933437892"/>
          <w:placeholder>
            <w:docPart w:val="9B33C656CD3A4A369657202EFD0EA818"/>
          </w:placeholder>
        </w:sdtPr>
        <w:sdtContent>
          <w:r w:rsidR="00CC1788" w:rsidRPr="0053182F">
            <w:rPr>
              <w:rStyle w:val="normaltextrun"/>
            </w:rPr>
            <w:t>(Walk Free, 2023)</w:t>
          </w:r>
        </w:sdtContent>
      </w:sdt>
      <w:r w:rsidRPr="0053182F">
        <w:rPr>
          <w:rStyle w:val="normaltextrun"/>
          <w:color w:val="auto"/>
        </w:rPr>
        <w:t xml:space="preserve">. Growing concern about social sustainability in the supply chain and the need to scrutinise adverse social impacts are top-of-the-gear topics among scholars </w:t>
      </w:r>
      <w:sdt>
        <w:sdtPr>
          <w:rPr>
            <w:rStyle w:val="normaltextrun"/>
          </w:rPr>
          <w:tag w:val="MENDELEY_CITATION_v3_eyJjaXRhdGlvbklEIjoiTUVOREVMRVlfQ0lUQVRJT05fYzhlOTM4NTAtMmYxMy00MmJjLThiYmMtMzI4Njk2NGJlMjBlIiwicHJvcGVydGllcyI6eyJub3RlSW5kZXgiOjB9LCJpc0VkaXRlZCI6ZmFsc2UsIm1hbnVhbE92ZXJyaWRlIjp7ImlzTWFudWFsbHlPdmVycmlkZGVuIjpmYWxzZSwiY2l0ZXByb2NUZXh0IjoiKE9yYXphbGluIGFuZCBNYWhtb29kLCAyMDIxOyBTY2hhcGVyIGFuZCBQb2xsYWNoLCAyMDIxKSIsIm1hbnVhbE92ZXJyaWRlVGV4dCI6IiJ9LCJjaXRhdGlvbkl0ZW1zIjpb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"/>
          <w:id w:val="430709698"/>
          <w:placeholder>
            <w:docPart w:val="BDBA70645EA6407A869E97E1CE9D00AD"/>
          </w:placeholder>
        </w:sdtPr>
        <w:sdtContent>
          <w:r w:rsidR="00CC1788" w:rsidRPr="0053182F">
            <w:rPr>
              <w:rFonts w:eastAsia="Times New Roman"/>
            </w:rPr>
            <w:t>(Orazalin and Mahmood, 2021; Schaper and Pollach, 2021)</w:t>
          </w:r>
        </w:sdtContent>
      </w:sdt>
      <w:r w:rsidRPr="0053182F">
        <w:rPr>
          <w:rStyle w:val="normaltextrun"/>
          <w:color w:val="auto"/>
        </w:rPr>
        <w:t xml:space="preserve">. In addition, CMS has recently gained global attention, significantly impacting global socio-economic stability and sustainability. Also, CMS is an ongoing human tragedy and increases the firm risk </w:t>
      </w:r>
      <w:sdt>
        <w:sdtPr>
          <w:rPr>
            <w:rStyle w:val="normaltextrun"/>
          </w:rPr>
          <w:tag w:val="MENDELEY_CITATION_v3_eyJjaXRhdGlvbklEIjoiTUVOREVMRVlfQ0lUQVRJT05fNTg3NjMxN2QtZjUwMi00ODAzLThhMTctNjE2NGUzZGZkYTFjIiwicHJvcGVydGllcyI6eyJub3RlSW5kZXgiOjB9LCJpc0VkaXRlZCI6ZmFsc2UsIm1hbnVhbE92ZXJyaWRlIjp7ImlzTWFudWFsbHlPdmVycmlkZGVuIjp0cnVlLCJjaXRlcHJvY1RleHQiOiIoTW91c3NhIDxpPmV0IGFsLjwvaT4sIDIwMjIpIiwibWFudWFsT3ZlcnJpZGVUZXh0IjoiKE1vdXNzYSBldCBhbC4sIDIwMjIpL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LCJjb250YWluZXItdGl0bGUtc2hvcnQiOiJCdXMgU3RyYXRlZ3kgRW52aXJvbiJ9LCJpc1RlbXBvcmFyeSI6ZmFsc2V9XX0="/>
          <w:id w:val="825474539"/>
          <w:placeholder>
            <w:docPart w:val="E094649FF36B4B6A9D4E9EF6E7D87EC6"/>
          </w:placeholder>
        </w:sdtPr>
        <w:sdtContent>
          <w:r w:rsidR="00CC1788" w:rsidRPr="0053182F">
            <w:rPr>
              <w:rStyle w:val="normaltextrun"/>
            </w:rPr>
            <w:t>(Moussa et al., 2022).</w:t>
          </w:r>
        </w:sdtContent>
      </w:sdt>
      <w:r w:rsidRPr="0053182F">
        <w:rPr>
          <w:rStyle w:val="normaltextrun"/>
          <w:color w:val="auto"/>
        </w:rPr>
        <w:t xml:space="preserve"> </w:t>
      </w:r>
    </w:p>
    <w:p w14:paraId="15E85D6B" w14:textId="69698AAA" w:rsidR="00144866" w:rsidRPr="0053182F" w:rsidRDefault="00144866" w:rsidP="00144866">
      <w:pPr>
        <w:spacing w:after="0" w:line="480" w:lineRule="auto"/>
        <w:ind w:firstLine="720"/>
        <w:jc w:val="both"/>
        <w:rPr>
          <w:color w:val="auto"/>
        </w:rPr>
      </w:pPr>
      <w:r w:rsidRPr="0053182F">
        <w:rPr>
          <w:rFonts w:eastAsia="Times New Roman"/>
          <w:color w:val="auto"/>
        </w:rPr>
        <w:t xml:space="preserve">Eliminating CMS practices is challenging; all nations must work together to make it zero. </w:t>
      </w:r>
      <w:r w:rsidRPr="0053182F">
        <w:rPr>
          <w:color w:val="auto"/>
        </w:rPr>
        <w:t xml:space="preserve">Forced labour and child labour cover a significant portion of CMS practices </w:t>
      </w:r>
      <w:sdt>
        <w:sdtPr>
          <w:tag w:val="MENDELEY_CITATION_v3_eyJjaXRhdGlvbklEIjoiTUVOREVMRVlfQ0lUQVRJT05fNTU0YzA5MjAtZjMxNy00OTA4LWEwZmUtMTNjYzc4M2JkYzQ4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2105715130"/>
          <w:placeholder>
            <w:docPart w:val="9B33C656CD3A4A369657202EFD0EA818"/>
          </w:placeholder>
        </w:sdtPr>
        <w:sdtContent>
          <w:r w:rsidR="00CC1788" w:rsidRPr="0053182F">
            <w:t>(Walk Free, 2023)</w:t>
          </w:r>
        </w:sdtContent>
      </w:sdt>
      <w:r w:rsidRPr="0053182F">
        <w:rPr>
          <w:color w:val="auto"/>
        </w:rPr>
        <w:t xml:space="preserve">. Previous studies have shown that labour standards heavily impact the employment of unskilled labour. For example, </w:t>
      </w:r>
      <w:sdt>
        <w:sdtPr>
          <w:tag w:val="MENDELEY_CITATION_v3_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"/>
          <w:id w:val="1842345789"/>
          <w:placeholder>
            <w:docPart w:val="67BA57A423184202B1C2259BA10BBDA7"/>
          </w:placeholder>
        </w:sdtPr>
        <w:sdtEndPr>
          <w:rPr>
            <w:highlight w:val="yellow"/>
          </w:rPr>
        </w:sdtEndPr>
        <w:sdtContent>
          <w:r w:rsidR="00CC1788" w:rsidRPr="0053182F">
            <w:t>Busse (2002)</w:t>
          </w:r>
        </w:sdtContent>
      </w:sdt>
      <w:r w:rsidRPr="0053182F">
        <w:rPr>
          <w:color w:val="auto"/>
        </w:rPr>
        <w:t xml:space="preserve"> revealed that businesses are gaining a comparative advantage in unskilled-labour-intensive industries by using child and forced labour. Also, he explored that weak labour unions delivered a substantial comparative advantage in unskilled labour-intensive industries.</w:t>
      </w:r>
    </w:p>
    <w:p w14:paraId="0E54A0EC" w14:textId="77777777" w:rsidR="00144866" w:rsidRPr="0053182F" w:rsidRDefault="00144866" w:rsidP="00C9605B">
      <w:pPr>
        <w:pStyle w:val="Heading4"/>
        <w:spacing w:before="0" w:after="0"/>
        <w:rPr>
          <w:rFonts w:cs="Times New Roman"/>
        </w:rPr>
      </w:pPr>
      <w:r w:rsidRPr="0053182F">
        <w:rPr>
          <w:rFonts w:cs="Times New Roman"/>
        </w:rPr>
        <w:t>2.3.1.1 Corporate Modern Slavery Practices:  Forced Labour</w:t>
      </w:r>
    </w:p>
    <w:p w14:paraId="5FAE4969" w14:textId="77777777" w:rsidR="00144866" w:rsidRPr="0053182F" w:rsidRDefault="00144866" w:rsidP="00C9605B">
      <w:pPr>
        <w:spacing w:after="0"/>
      </w:pPr>
    </w:p>
    <w:p w14:paraId="3C432C84" w14:textId="110891F1" w:rsidR="00144866" w:rsidRPr="0053182F" w:rsidRDefault="00144866" w:rsidP="00C9605B">
      <w:pPr>
        <w:spacing w:after="0" w:line="480" w:lineRule="auto"/>
        <w:jc w:val="both"/>
        <w:rPr>
          <w:rFonts w:eastAsia="Times New Roman"/>
          <w:color w:val="auto"/>
        </w:rPr>
      </w:pPr>
      <w:r w:rsidRPr="0053182F">
        <w:rPr>
          <w:rFonts w:eastAsia="Times New Roman"/>
          <w:color w:val="auto"/>
        </w:rPr>
        <w:t xml:space="preserve">Within the landscape of CMS practices, forced labour remains an alarming global issue, perpetuating human rights abuses and exploiting vulnerable individuals </w:t>
      </w:r>
      <w:sdt>
        <w:sdtPr>
          <w:rPr>
            <w:rFonts w:eastAsia="Times New Roman"/>
          </w:rPr>
          <w:tag w:val="MENDELEY_CITATION_v3_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"/>
          <w:id w:val="-2071569664"/>
          <w:placeholder>
            <w:docPart w:val="45DBCBB34D314FFABBFE6464DA733699"/>
          </w:placeholder>
        </w:sdtPr>
        <w:sdtContent>
          <w:r w:rsidR="00CC1788" w:rsidRPr="0053182F">
            <w:rPr>
              <w:rFonts w:eastAsia="Times New Roman"/>
            </w:rPr>
            <w:t>b(ILO, 2014; ILO, Walk  Free, et al., 2022)</w:t>
          </w:r>
        </w:sdtContent>
      </w:sdt>
      <w:r w:rsidRPr="0053182F">
        <w:rPr>
          <w:rFonts w:eastAsia="Times New Roman"/>
          <w:color w:val="auto"/>
        </w:rPr>
        <w:t xml:space="preserve">. For businesses and investors worldwide, the threat of forced labour in global supply chains is a critical human rights concern. Approximately 25 million individuals are believed to be currently subjected to forced labour, compelled to work under duress, including threats of violence, imprisonment, and coercion </w:t>
      </w:r>
      <w:sdt>
        <w:sdtPr>
          <w:rPr>
            <w:rFonts w:eastAsia="Times New Roman"/>
          </w:rPr>
          <w:tag w:val="MENDELEY_CITATION_v3_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"/>
          <w:id w:val="-1416617424"/>
          <w:placeholder>
            <w:docPart w:val="45DBCBB34D314FFABBFE6464DA733699"/>
          </w:placeholder>
        </w:sdtPr>
        <w:sdtContent>
          <w:r w:rsidR="00CC1788" w:rsidRPr="0053182F">
            <w:rPr>
              <w:rFonts w:eastAsia="Times New Roman"/>
            </w:rPr>
            <w:t>(KnowTheChain, 2022)</w:t>
          </w:r>
        </w:sdtContent>
      </w:sdt>
      <w:r w:rsidRPr="0053182F">
        <w:rPr>
          <w:rFonts w:eastAsia="Times New Roman"/>
          <w:color w:val="auto"/>
        </w:rPr>
        <w:t xml:space="preserve">. For example, KnowTheChain (2022) reports that data cover 184 companies evaluated in the 2020 and 2021 benchmarks, focusing on forced labour prevalence in high-risk sectors: ICT, food and beverage, and apparel and footwear. Despite modest progress, forced labour remains a persistent risk in these sectors, with limited visible remediation efforts. </w:t>
      </w:r>
    </w:p>
    <w:p w14:paraId="780FA8F4" w14:textId="5BD7119D"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The forced labour, sometimes referred to as labour trafficking, encompasses a range of actions where individuals are coerced to work through various means such as force, threats, deception, or psychological manipulation </w:t>
      </w:r>
      <w:sdt>
        <w:sdtPr>
          <w:rPr>
            <w:rFonts w:eastAsia="Times New Roman"/>
          </w:rPr>
          <w:tag w:val="MENDELEY_CITATION_v3_eyJjaXRhdGlvbklEIjoiTUVOREVMRVlfQ0lUQVRJT05fZWU0ZjAwMTQtMjkxMC00MmZmLThjZDUtNjEyM2Y0NmNhMWJk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V19"/>
          <w:id w:val="-1778406624"/>
          <w:placeholder>
            <w:docPart w:val="9B33C656CD3A4A369657202EFD0EA818"/>
          </w:placeholder>
        </w:sdtPr>
        <w:sdtContent>
          <w:r w:rsidR="00CC1788" w:rsidRPr="0053182F">
            <w:rPr>
              <w:rFonts w:eastAsia="Times New Roman"/>
            </w:rPr>
            <w:t>(Crane, 2013)</w:t>
          </w:r>
        </w:sdtContent>
      </w:sdt>
      <w:r w:rsidRPr="0053182F">
        <w:rPr>
          <w:rFonts w:eastAsia="Times New Roman"/>
          <w:color w:val="auto"/>
        </w:rPr>
        <w:t xml:space="preserve">. Furthermore, different models of CMS shed light on the complex webs of control and complicity that sustain this heinous practice. Among these models, the analysis presented by the </w:t>
      </w:r>
      <w:sdt>
        <w:sdtPr>
          <w:rPr>
            <w:rFonts w:eastAsia="Times New Roman"/>
          </w:rPr>
          <w:tag w:val="MENDELEY_CITATION_v3_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"/>
          <w:id w:val="-968440142"/>
          <w:placeholder>
            <w:docPart w:val="8EBCB08F057F4E8282B145CB4793AE8B"/>
          </w:placeholder>
        </w:sdtPr>
        <w:sdtContent>
          <w:r w:rsidR="00B85634" w:rsidRPr="0053182F">
            <w:rPr>
              <w:rFonts w:eastAsia="Times New Roman"/>
            </w:rPr>
            <w:t>Stronger2gether Organisation (2020)</w:t>
          </w:r>
        </w:sdtContent>
      </w:sdt>
      <w:r w:rsidRPr="0053182F">
        <w:rPr>
          <w:rFonts w:eastAsia="Times New Roman"/>
          <w:color w:val="auto"/>
        </w:rPr>
        <w:t xml:space="preserve"> stands out, as it distinctly identifies four distinct types of CMS models (See Figure 2.3). These models play a pivotal role in providing a more nuanced understanding of the multifaceted dynamics underlying forced labour, thereby assisting responsible businesses in identifying and addressing the most critical risks that they and their stakeholders face. In this context, the exploitation of individuals, often vulnerable due to socioeconomic factors or displacement, highlights the need for targeted and robust interventions. The establishment of models that dissect CMS practices offers a significant leap forward in grappling with this issue. </w:t>
      </w:r>
    </w:p>
    <w:p w14:paraId="0206F20C" w14:textId="6F73DF1B" w:rsidR="00144866" w:rsidRPr="0053182F" w:rsidRDefault="00144866" w:rsidP="00144866">
      <w:pPr>
        <w:tabs>
          <w:tab w:val="left" w:pos="2278"/>
        </w:tabs>
        <w:spacing w:after="0" w:line="480" w:lineRule="auto"/>
        <w:rPr>
          <w:rFonts w:eastAsia="Times New Roman"/>
          <w:color w:val="auto"/>
        </w:rPr>
      </w:pPr>
      <w:r w:rsidRPr="0053182F">
        <w:rPr>
          <w:rFonts w:eastAsia="Times New Roman"/>
          <w:b/>
          <w:bCs/>
          <w:noProof/>
          <w:color w:val="auto"/>
        </w:rPr>
        <mc:AlternateContent>
          <mc:Choice Requires="wpg">
            <w:drawing>
              <wp:anchor distT="0" distB="0" distL="114300" distR="114300" simplePos="0" relativeHeight="251658240" behindDoc="0" locked="0" layoutInCell="1" allowOverlap="1" wp14:anchorId="1A49407B" wp14:editId="073B75F2">
                <wp:simplePos x="0" y="0"/>
                <wp:positionH relativeFrom="column">
                  <wp:posOffset>674619</wp:posOffset>
                </wp:positionH>
                <wp:positionV relativeFrom="paragraph">
                  <wp:posOffset>173131</wp:posOffset>
                </wp:positionV>
                <wp:extent cx="4943475" cy="2295525"/>
                <wp:effectExtent l="0" t="0" r="28575" b="28575"/>
                <wp:wrapNone/>
                <wp:docPr id="972116386" name="Group 2"/>
                <wp:cNvGraphicFramePr/>
                <a:graphic xmlns:a="http://schemas.openxmlformats.org/drawingml/2006/main">
                  <a:graphicData uri="http://schemas.microsoft.com/office/word/2010/wordprocessingGroup">
                    <wpg:wgp>
                      <wpg:cNvGrpSpPr/>
                      <wpg:grpSpPr>
                        <a:xfrm>
                          <a:off x="0" y="0"/>
                          <a:ext cx="4943475" cy="2295525"/>
                          <a:chOff x="0" y="-91091"/>
                          <a:chExt cx="3754218" cy="2485306"/>
                        </a:xfrm>
                      </wpg:grpSpPr>
                      <wps:wsp>
                        <wps:cNvPr id="1983414725" name="Straight Connector 1983414725"/>
                        <wps:cNvCnPr/>
                        <wps:spPr>
                          <a:xfrm>
                            <a:off x="397813" y="878646"/>
                            <a:ext cx="12454" cy="1310820"/>
                          </a:xfrm>
                          <a:prstGeom prst="line">
                            <a:avLst/>
                          </a:prstGeom>
                        </wps:spPr>
                        <wps:style>
                          <a:lnRef idx="1">
                            <a:schemeClr val="dk1"/>
                          </a:lnRef>
                          <a:fillRef idx="0">
                            <a:schemeClr val="dk1"/>
                          </a:fillRef>
                          <a:effectRef idx="0">
                            <a:schemeClr val="dk1"/>
                          </a:effectRef>
                          <a:fontRef idx="minor">
                            <a:schemeClr val="tx1"/>
                          </a:fontRef>
                        </wps:style>
                        <wps:bodyPr/>
                      </wps:wsp>
                      <wpg:grpSp>
                        <wpg:cNvPr id="673495634" name="Group 1"/>
                        <wpg:cNvGrpSpPr/>
                        <wpg:grpSpPr>
                          <a:xfrm>
                            <a:off x="0" y="-91091"/>
                            <a:ext cx="3754218" cy="2485306"/>
                            <a:chOff x="0" y="-91091"/>
                            <a:chExt cx="3754218" cy="2485306"/>
                          </a:xfrm>
                        </wpg:grpSpPr>
                        <wpg:grpSp>
                          <wpg:cNvPr id="829949930" name="Group 829949930"/>
                          <wpg:cNvGrpSpPr/>
                          <wpg:grpSpPr>
                            <a:xfrm>
                              <a:off x="0" y="-91091"/>
                              <a:ext cx="1116281" cy="1230034"/>
                              <a:chOff x="0" y="-139695"/>
                              <a:chExt cx="1116720" cy="1886332"/>
                            </a:xfrm>
                          </wpg:grpSpPr>
                          <wpg:grpSp>
                            <wpg:cNvPr id="930511945" name="Group 3"/>
                            <wpg:cNvGrpSpPr/>
                            <wpg:grpSpPr>
                              <a:xfrm>
                                <a:off x="0" y="-139695"/>
                                <a:ext cx="1116720" cy="753792"/>
                                <a:chOff x="0" y="-139695"/>
                                <a:chExt cx="1116720" cy="753792"/>
                              </a:xfrm>
                            </wpg:grpSpPr>
                            <wps:wsp>
                              <wps:cNvPr id="1058473274" name="Text Box 2"/>
                              <wps:cNvSpPr txBox="1">
                                <a:spLocks noChangeArrowheads="1"/>
                              </wps:cNvSpPr>
                              <wps:spPr bwMode="auto">
                                <a:xfrm>
                                  <a:off x="0" y="-139695"/>
                                  <a:ext cx="1116720" cy="526316"/>
                                </a:xfrm>
                                <a:prstGeom prst="rect">
                                  <a:avLst/>
                                </a:prstGeom>
                                <a:solidFill>
                                  <a:srgbClr val="FFFFFF"/>
                                </a:solidFill>
                                <a:ln w="9525">
                                  <a:solidFill>
                                    <a:srgbClr val="000000"/>
                                  </a:solidFill>
                                  <a:miter lim="800000"/>
                                  <a:headEnd/>
                                  <a:tailEnd/>
                                </a:ln>
                              </wps:spPr>
                              <wps:txbx>
                                <w:txbxContent>
                                  <w:p w14:paraId="5D3C38C0" w14:textId="77777777" w:rsidR="00144866" w:rsidRPr="00F51205" w:rsidRDefault="00144866" w:rsidP="00144866">
                                    <w:r w:rsidRPr="00F51205">
                                      <w:t>Force</w:t>
                                    </w:r>
                                    <w:r>
                                      <w:t>d</w:t>
                                    </w:r>
                                    <w:r w:rsidRPr="00F51205">
                                      <w:t xml:space="preserve"> labour</w:t>
                                    </w:r>
                                  </w:p>
                                </w:txbxContent>
                              </wps:txbx>
                              <wps:bodyPr rot="0" vert="horz" wrap="square" lIns="91440" tIns="45720" rIns="91440" bIns="45720" anchor="t" anchorCtr="0">
                                <a:noAutofit/>
                              </wps:bodyPr>
                            </wps:wsp>
                            <wps:wsp>
                              <wps:cNvPr id="312886915" name="Straight Connector 2"/>
                              <wps:cNvCnPr/>
                              <wps:spPr>
                                <a:xfrm flipV="1">
                                  <a:off x="720436" y="387927"/>
                                  <a:ext cx="4169" cy="226170"/>
                                </a:xfrm>
                                <a:prstGeom prst="line">
                                  <a:avLst/>
                                </a:prstGeom>
                              </wps:spPr>
                              <wps:style>
                                <a:lnRef idx="1">
                                  <a:schemeClr val="dk1"/>
                                </a:lnRef>
                                <a:fillRef idx="0">
                                  <a:schemeClr val="dk1"/>
                                </a:fillRef>
                                <a:effectRef idx="0">
                                  <a:schemeClr val="dk1"/>
                                </a:effectRef>
                                <a:fontRef idx="minor">
                                  <a:schemeClr val="tx1"/>
                                </a:fontRef>
                              </wps:style>
                              <wps:bodyPr/>
                            </wps:wsp>
                          </wpg:grpSp>
                          <wps:wsp>
                            <wps:cNvPr id="1966890015" name="Connector: Elbow 1"/>
                            <wps:cNvCnPr/>
                            <wps:spPr>
                              <a:xfrm flipH="1">
                                <a:off x="410441" y="609600"/>
                                <a:ext cx="319819" cy="1137037"/>
                              </a:xfrm>
                              <a:prstGeom prst="bentConnector3">
                                <a:avLst>
                                  <a:gd name="adj1" fmla="val 160228"/>
                                </a:avLst>
                              </a:prstGeom>
                            </wps:spPr>
                            <wps:style>
                              <a:lnRef idx="1">
                                <a:schemeClr val="dk1"/>
                              </a:lnRef>
                              <a:fillRef idx="0">
                                <a:schemeClr val="dk1"/>
                              </a:fillRef>
                              <a:effectRef idx="0">
                                <a:schemeClr val="dk1"/>
                              </a:effectRef>
                              <a:fontRef idx="minor">
                                <a:schemeClr val="tx1"/>
                              </a:fontRef>
                            </wps:style>
                            <wps:bodyPr/>
                          </wps:wsp>
                        </wpg:grpSp>
                        <wpg:grpSp>
                          <wpg:cNvPr id="911315258" name="Group 911315258"/>
                          <wpg:cNvGrpSpPr/>
                          <wpg:grpSpPr>
                            <a:xfrm>
                              <a:off x="397402" y="736148"/>
                              <a:ext cx="3356816" cy="1658067"/>
                              <a:chOff x="-399" y="-60388"/>
                              <a:chExt cx="3181058" cy="1402860"/>
                            </a:xfrm>
                          </wpg:grpSpPr>
                          <wps:wsp>
                            <wps:cNvPr id="129753051" name="Text Box 2"/>
                            <wps:cNvSpPr txBox="1">
                              <a:spLocks noChangeArrowheads="1"/>
                            </wps:cNvSpPr>
                            <wps:spPr bwMode="auto">
                              <a:xfrm>
                                <a:off x="516596" y="-60388"/>
                                <a:ext cx="2663189" cy="280369"/>
                              </a:xfrm>
                              <a:prstGeom prst="rect">
                                <a:avLst/>
                              </a:prstGeom>
                              <a:solidFill>
                                <a:srgbClr val="FFFFFF"/>
                              </a:solidFill>
                              <a:ln w="9525">
                                <a:solidFill>
                                  <a:srgbClr val="000000"/>
                                </a:solidFill>
                                <a:miter lim="800000"/>
                                <a:headEnd/>
                                <a:tailEnd/>
                              </a:ln>
                            </wps:spPr>
                            <wps:txbx>
                              <w:txbxContent>
                                <w:p w14:paraId="6A59F7D0" w14:textId="77777777" w:rsidR="00144866" w:rsidRDefault="00144866" w:rsidP="00144866">
                                  <w:r>
                                    <w:t>Model 1: State controlled or sanctioned</w:t>
                                  </w:r>
                                </w:p>
                              </w:txbxContent>
                            </wps:txbx>
                            <wps:bodyPr rot="0" vert="horz" wrap="square" lIns="91440" tIns="45720" rIns="91440" bIns="45720" anchor="t" anchorCtr="0">
                              <a:noAutofit/>
                            </wps:bodyPr>
                          </wps:wsp>
                          <wpg:grpSp>
                            <wpg:cNvPr id="1893403007" name="Group 1893403007"/>
                            <wpg:cNvGrpSpPr/>
                            <wpg:grpSpPr>
                              <a:xfrm>
                                <a:off x="-399" y="60298"/>
                                <a:ext cx="529038" cy="1109210"/>
                                <a:chOff x="-399" y="0"/>
                                <a:chExt cx="529038" cy="1109210"/>
                              </a:xfrm>
                            </wpg:grpSpPr>
                            <wps:wsp>
                              <wps:cNvPr id="826270051" name="Straight Arrow Connector 826270051"/>
                              <wps:cNvCnPr/>
                              <wps:spPr>
                                <a:xfrm>
                                  <a:off x="0" y="0"/>
                                  <a:ext cx="51683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29924944" name="Straight Arrow Connector 1829924944"/>
                              <wps:cNvCnPr/>
                              <wps:spPr>
                                <a:xfrm>
                                  <a:off x="-399" y="352277"/>
                                  <a:ext cx="51683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851309011" name="Straight Arrow Connector 1851309011"/>
                              <wps:cNvCnPr/>
                              <wps:spPr>
                                <a:xfrm>
                                  <a:off x="11804" y="772832"/>
                                  <a:ext cx="51683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451403856" name="Straight Arrow Connector 1451403856"/>
                              <wps:cNvCnPr/>
                              <wps:spPr>
                                <a:xfrm>
                                  <a:off x="11803" y="1109210"/>
                                  <a:ext cx="51683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grpSp>
                          <wpg:grpSp>
                            <wpg:cNvPr id="564529288" name="Group 564529288"/>
                            <wpg:cNvGrpSpPr/>
                            <wpg:grpSpPr>
                              <a:xfrm>
                                <a:off x="516278" y="308940"/>
                                <a:ext cx="2664381" cy="1033532"/>
                                <a:chOff x="-557" y="-152236"/>
                                <a:chExt cx="2664381" cy="1033532"/>
                              </a:xfrm>
                            </wpg:grpSpPr>
                            <wps:wsp>
                              <wps:cNvPr id="412408530" name="Text Box 2"/>
                              <wps:cNvSpPr txBox="1">
                                <a:spLocks noChangeArrowheads="1"/>
                              </wps:cNvSpPr>
                              <wps:spPr bwMode="auto">
                                <a:xfrm>
                                  <a:off x="-557" y="-152236"/>
                                  <a:ext cx="2663189" cy="262567"/>
                                </a:xfrm>
                                <a:prstGeom prst="rect">
                                  <a:avLst/>
                                </a:prstGeom>
                                <a:solidFill>
                                  <a:srgbClr val="FFFFFF"/>
                                </a:solidFill>
                                <a:ln w="9525">
                                  <a:solidFill>
                                    <a:srgbClr val="000000"/>
                                  </a:solidFill>
                                  <a:miter lim="800000"/>
                                  <a:headEnd/>
                                  <a:tailEnd/>
                                </a:ln>
                              </wps:spPr>
                              <wps:txbx>
                                <w:txbxContent>
                                  <w:p w14:paraId="1884CD24" w14:textId="77777777" w:rsidR="00144866" w:rsidRDefault="00144866" w:rsidP="00144866">
                                    <w:r>
                                      <w:t xml:space="preserve">Model 2: </w:t>
                                    </w:r>
                                    <w:r w:rsidRPr="00D81FAB">
                                      <w:t>Employer Controlled or Complicit</w:t>
                                    </w:r>
                                  </w:p>
                                </w:txbxContent>
                              </wps:txbx>
                              <wps:bodyPr rot="0" vert="horz" wrap="square" lIns="91440" tIns="45720" rIns="91440" bIns="45720" anchor="t" anchorCtr="0">
                                <a:noAutofit/>
                              </wps:bodyPr>
                            </wps:wsp>
                            <wps:wsp>
                              <wps:cNvPr id="1203000925" name="Text Box 2"/>
                              <wps:cNvSpPr txBox="1">
                                <a:spLocks noChangeArrowheads="1"/>
                              </wps:cNvSpPr>
                              <wps:spPr bwMode="auto">
                                <a:xfrm>
                                  <a:off x="11698" y="553585"/>
                                  <a:ext cx="2623819" cy="327711"/>
                                </a:xfrm>
                                <a:prstGeom prst="rect">
                                  <a:avLst/>
                                </a:prstGeom>
                                <a:solidFill>
                                  <a:srgbClr val="FFFFFF"/>
                                </a:solidFill>
                                <a:ln w="9525">
                                  <a:solidFill>
                                    <a:srgbClr val="000000"/>
                                  </a:solidFill>
                                  <a:miter lim="800000"/>
                                  <a:headEnd/>
                                  <a:tailEnd/>
                                </a:ln>
                              </wps:spPr>
                              <wps:txbx>
                                <w:txbxContent>
                                  <w:p w14:paraId="39BEAB1B" w14:textId="77777777" w:rsidR="00144866" w:rsidRDefault="00144866" w:rsidP="00144866">
                                    <w:r>
                                      <w:t>Model 4: Third-party exploiter controlled</w:t>
                                    </w:r>
                                  </w:p>
                                </w:txbxContent>
                              </wps:txbx>
                              <wps:bodyPr rot="0" vert="horz" wrap="square" lIns="91440" tIns="45720" rIns="91440" bIns="45720" anchor="t" anchorCtr="0">
                                <a:noAutofit/>
                              </wps:bodyPr>
                            </wps:wsp>
                            <wps:wsp>
                              <wps:cNvPr id="418265442" name="Text Box 2"/>
                              <wps:cNvSpPr txBox="1">
                                <a:spLocks noChangeArrowheads="1"/>
                              </wps:cNvSpPr>
                              <wps:spPr bwMode="auto">
                                <a:xfrm>
                                  <a:off x="0" y="214341"/>
                                  <a:ext cx="2663824" cy="302255"/>
                                </a:xfrm>
                                <a:prstGeom prst="rect">
                                  <a:avLst/>
                                </a:prstGeom>
                                <a:solidFill>
                                  <a:srgbClr val="FFFFFF"/>
                                </a:solidFill>
                                <a:ln w="9525">
                                  <a:solidFill>
                                    <a:srgbClr val="000000"/>
                                  </a:solidFill>
                                  <a:miter lim="800000"/>
                                  <a:headEnd/>
                                  <a:tailEnd/>
                                </a:ln>
                              </wps:spPr>
                              <wps:txbx>
                                <w:txbxContent>
                                  <w:p w14:paraId="62B6FA28" w14:textId="77777777" w:rsidR="00144866" w:rsidRDefault="00144866" w:rsidP="00144866">
                                    <w:r w:rsidRPr="00124184">
                                      <w:t>Model 3: Labour Supply Chain Controlled</w:t>
                                    </w:r>
                                    <w:r w:rsidRPr="00D81FAB">
                                      <w:t xml:space="preserve"> or Complicit:</w:t>
                                    </w:r>
                                  </w:p>
                                </w:txbxContent>
                              </wps:txbx>
                              <wps:bodyPr rot="0" vert="horz" wrap="square" lIns="91440" tIns="45720" rIns="91440" bIns="45720" anchor="t" anchorCtr="0">
                                <a:noAutofit/>
                              </wps:bodyPr>
                            </wps:wsp>
                          </wpg:grpSp>
                        </wpg:grpSp>
                      </wpg:grpSp>
                    </wpg:wgp>
                  </a:graphicData>
                </a:graphic>
                <wp14:sizeRelH relativeFrom="margin">
                  <wp14:pctWidth>0</wp14:pctWidth>
                </wp14:sizeRelH>
                <wp14:sizeRelV relativeFrom="margin">
                  <wp14:pctHeight>0</wp14:pctHeight>
                </wp14:sizeRelV>
              </wp:anchor>
            </w:drawing>
          </mc:Choice>
          <mc:Fallback>
            <w:pict>
              <v:group w14:anchorId="1A49407B" id="Group 2" o:spid="_x0000_s1026" style="position:absolute;margin-left:53.1pt;margin-top:13.65pt;width:389.25pt;height:180.75pt;z-index:251658240;mso-width-relative:margin;mso-height-relative:margin" coordorigin=",-910" coordsize="37542,248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">
                <v:line id="Straight Connector 1983414725" o:spid="_x0000_s1027" style="position:absolute;visibility:visible;mso-wrap-style:square" from="3978,8786" to="4102,2189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" strokecolor="black [3200]" strokeweight="1pt">
                  <v:stroke joinstyle="miter"/>
                </v:line>
                <v:group id="Group 1" o:spid="_x0000_s1028" style="position:absolute;top:-910;width:37542;height:24852" coordorigin=",-910" coordsize="37542,248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">
                  <v:group id="Group 829949930" o:spid="_x0000_s1029" style="position:absolute;top:-910;width:11162;height:12299" coordorigin=",-1396" coordsize="11167,188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">
                    <v:group id="Group 3" o:spid="_x0000_s1030" style="position:absolute;top:-1396;width:11167;height:7536" coordorigin=",-1396" coordsize="11167,753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">
                      <v:shapetype id="_x0000_t202" coordsize="21600,21600" o:spt="202" path="m,l,21600r21600,l21600,xe">
                        <v:stroke joinstyle="miter"/>
                        <v:path gradientshapeok="t" o:connecttype="rect"/>
                      </v:shapetype>
                      <v:shape id="_x0000_s1031" type="#_x0000_t202" style="position:absolute;top:-1396;width:11167;height:52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">
                        <v:textbox>
                          <w:txbxContent>
                            <w:p w14:paraId="5D3C38C0" w14:textId="77777777" w:rsidR="00144866" w:rsidRPr="00F51205" w:rsidRDefault="00144866" w:rsidP="00144866">
                              <w:r w:rsidRPr="00F51205">
                                <w:t>Force</w:t>
                              </w:r>
                              <w:r>
                                <w:t>d</w:t>
                              </w:r>
                              <w:r w:rsidRPr="00F51205">
                                <w:t xml:space="preserve"> labour</w:t>
                              </w:r>
                            </w:p>
                          </w:txbxContent>
                        </v:textbox>
                      </v:shape>
                      <v:line id="Straight Connector 2" o:spid="_x0000_s1032" style="position:absolute;flip:y;visibility:visible;mso-wrap-style:square" from="7204,3879" to="7246,614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" strokecolor="black [3200]" strokeweight="1pt">
                        <v:stroke joinstyle="miter"/>
                      </v:line>
                    </v:group>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1" o:spid="_x0000_s1033" type="#_x0000_t34" style="position:absolute;left:4104;top:6096;width:3198;height:11370;flip:x;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" adj="34609" strokecolor="black [3200]" strokeweight="1pt"/>
                  </v:group>
                  <v:group id="Group 911315258" o:spid="_x0000_s1034" style="position:absolute;left:3974;top:7361;width:33568;height:16581" coordorigin="-3,-603" coordsize="31810,140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">
                    <v:shape id="_x0000_s1035" type="#_x0000_t202" style="position:absolute;left:5165;top:-603;width:26632;height:28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">
                      <v:textbox>
                        <w:txbxContent>
                          <w:p w14:paraId="6A59F7D0" w14:textId="77777777" w:rsidR="00144866" w:rsidRDefault="00144866" w:rsidP="00144866">
                            <w:r>
                              <w:t>Model 1: State controlled or sanctioned</w:t>
                            </w:r>
                          </w:p>
                        </w:txbxContent>
                      </v:textbox>
                    </v:shape>
                    <v:group id="Group 1893403007" o:spid="_x0000_s1036" style="position:absolute;left:-3;top:602;width:5289;height:11093" coordorigin="-3" coordsize="5290,110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">
                      <v:shapetype id="_x0000_t32" coordsize="21600,21600" o:spt="32" o:oned="t" path="m,l21600,21600e" filled="f">
                        <v:path arrowok="t" fillok="f" o:connecttype="none"/>
                        <o:lock v:ext="edit" shapetype="t"/>
                      </v:shapetype>
                      <v:shape id="Straight Arrow Connector 826270051" o:spid="_x0000_s1037" type="#_x0000_t32" style="position:absolute;width:516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" strokecolor="black [3200]" strokeweight="1pt">
                        <v:stroke endarrow="block" joinstyle="miter"/>
                      </v:shape>
                      <v:shape id="Straight Arrow Connector 1829924944" o:spid="_x0000_s1038" type="#_x0000_t32" style="position:absolute;left:-3;top:3522;width:516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" strokecolor="black [3200]" strokeweight="1pt">
                        <v:stroke endarrow="block" joinstyle="miter"/>
                      </v:shape>
                      <v:shape id="Straight Arrow Connector 1851309011" o:spid="_x0000_s1039" type="#_x0000_t32" style="position:absolute;left:118;top:7728;width:516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" strokecolor="black [3200]" strokeweight="1pt">
                        <v:stroke endarrow="block" joinstyle="miter"/>
                      </v:shape>
                      <v:shape id="Straight Arrow Connector 1451403856" o:spid="_x0000_s1040" type="#_x0000_t32" style="position:absolute;left:118;top:11092;width:516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" strokecolor="black [3200]" strokeweight="1pt">
                        <v:stroke endarrow="block" joinstyle="miter"/>
                      </v:shape>
                    </v:group>
                    <v:group id="Group 564529288" o:spid="_x0000_s1041" style="position:absolute;left:5162;top:3089;width:26644;height:10335" coordorigin="-5,-1522" coordsize="26643,10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">
                      <v:shape id="_x0000_s1042" type="#_x0000_t202" style="position:absolute;left:-5;top:-1522;width:26631;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">
                        <v:textbox>
                          <w:txbxContent>
                            <w:p w14:paraId="1884CD24" w14:textId="77777777" w:rsidR="00144866" w:rsidRDefault="00144866" w:rsidP="00144866">
                              <w:r>
                                <w:t xml:space="preserve">Model 2: </w:t>
                              </w:r>
                              <w:r w:rsidRPr="00D81FAB">
                                <w:t>Employer Controlled or Complicit</w:t>
                              </w:r>
                            </w:p>
                          </w:txbxContent>
                        </v:textbox>
                      </v:shape>
                      <v:shape id="_x0000_s1043" type="#_x0000_t202" style="position:absolute;left:116;top:5535;width:26239;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">
                        <v:textbox>
                          <w:txbxContent>
                            <w:p w14:paraId="39BEAB1B" w14:textId="77777777" w:rsidR="00144866" w:rsidRDefault="00144866" w:rsidP="00144866">
                              <w:r>
                                <w:t>Model 4: Third-party exploiter controlled</w:t>
                              </w:r>
                            </w:p>
                          </w:txbxContent>
                        </v:textbox>
                      </v:shape>
                      <v:shape id="_x0000_s1044" type="#_x0000_t202" style="position:absolute;top:2143;width:26638;height:30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">
                        <v:textbox>
                          <w:txbxContent>
                            <w:p w14:paraId="62B6FA28" w14:textId="77777777" w:rsidR="00144866" w:rsidRDefault="00144866" w:rsidP="00144866">
                              <w:r w:rsidRPr="00124184">
                                <w:t>Model 3: Labour Supply Chain Controlled</w:t>
                              </w:r>
                              <w:r w:rsidRPr="00D81FAB">
                                <w:t xml:space="preserve"> or Complicit:</w:t>
                              </w:r>
                            </w:p>
                          </w:txbxContent>
                        </v:textbox>
                      </v:shape>
                    </v:group>
                  </v:group>
                </v:group>
              </v:group>
            </w:pict>
          </mc:Fallback>
        </mc:AlternateContent>
      </w:r>
      <w:r w:rsidRPr="0053182F">
        <w:rPr>
          <w:rFonts w:eastAsia="Times New Roman"/>
          <w:color w:val="auto"/>
        </w:rPr>
        <w:tab/>
      </w:r>
    </w:p>
    <w:p w14:paraId="5F8076A5" w14:textId="77777777" w:rsidR="00144866" w:rsidRPr="0053182F" w:rsidRDefault="00144866" w:rsidP="00144866">
      <w:pPr>
        <w:spacing w:after="0" w:line="480" w:lineRule="auto"/>
        <w:ind w:firstLine="720"/>
        <w:jc w:val="both"/>
        <w:rPr>
          <w:rFonts w:eastAsia="Times New Roman"/>
          <w:color w:val="auto"/>
        </w:rPr>
      </w:pPr>
    </w:p>
    <w:p w14:paraId="5E54924D" w14:textId="77777777" w:rsidR="00144866" w:rsidRPr="0053182F" w:rsidRDefault="00144866" w:rsidP="00144866">
      <w:pPr>
        <w:spacing w:after="0" w:line="480" w:lineRule="auto"/>
        <w:ind w:firstLine="720"/>
        <w:jc w:val="both"/>
        <w:rPr>
          <w:rFonts w:eastAsia="Times New Roman"/>
          <w:color w:val="auto"/>
        </w:rPr>
      </w:pPr>
    </w:p>
    <w:p w14:paraId="6D7D7634" w14:textId="77777777" w:rsidR="00144866" w:rsidRPr="0053182F" w:rsidRDefault="00144866" w:rsidP="00144866">
      <w:pPr>
        <w:spacing w:after="0" w:line="480" w:lineRule="auto"/>
        <w:ind w:firstLine="720"/>
        <w:jc w:val="both"/>
        <w:rPr>
          <w:rFonts w:eastAsia="Times New Roman"/>
          <w:color w:val="auto"/>
        </w:rPr>
      </w:pPr>
    </w:p>
    <w:p w14:paraId="012C87C1" w14:textId="77777777" w:rsidR="00144866" w:rsidRPr="0053182F" w:rsidRDefault="00144866" w:rsidP="00144866">
      <w:pPr>
        <w:spacing w:after="0" w:line="480" w:lineRule="auto"/>
        <w:ind w:firstLine="720"/>
        <w:jc w:val="both"/>
        <w:rPr>
          <w:rFonts w:eastAsia="Times New Roman"/>
          <w:color w:val="auto"/>
        </w:rPr>
      </w:pPr>
    </w:p>
    <w:p w14:paraId="2460A918" w14:textId="77777777" w:rsidR="00144866" w:rsidRPr="0053182F" w:rsidRDefault="00144866" w:rsidP="00144866">
      <w:pPr>
        <w:spacing w:after="0" w:line="480" w:lineRule="auto"/>
        <w:jc w:val="both"/>
        <w:rPr>
          <w:rFonts w:eastAsia="Times New Roman"/>
          <w:b/>
          <w:bCs/>
          <w:i/>
          <w:iCs/>
          <w:color w:val="auto"/>
        </w:rPr>
      </w:pPr>
    </w:p>
    <w:p w14:paraId="06C54953" w14:textId="77777777" w:rsidR="005463D2" w:rsidRPr="0053182F" w:rsidRDefault="005463D2" w:rsidP="00144866">
      <w:pPr>
        <w:spacing w:after="0" w:line="480" w:lineRule="auto"/>
        <w:jc w:val="center"/>
        <w:rPr>
          <w:rFonts w:eastAsia="Times New Roman"/>
          <w:b/>
          <w:bCs/>
          <w:color w:val="auto"/>
        </w:rPr>
      </w:pPr>
    </w:p>
    <w:p w14:paraId="5FD4BE1E" w14:textId="7ABFA693" w:rsidR="00144866" w:rsidRPr="0053182F" w:rsidRDefault="00144866" w:rsidP="002110C2">
      <w:pPr>
        <w:pStyle w:val="Caption"/>
        <w:spacing w:after="0" w:line="480" w:lineRule="auto"/>
      </w:pPr>
      <w:r w:rsidRPr="0053182F">
        <w:rPr>
          <w:b/>
          <w:bCs/>
        </w:rPr>
        <w:t>Figure 2</w:t>
      </w:r>
      <w:r w:rsidR="00DF258E" w:rsidRPr="0053182F">
        <w:rPr>
          <w:b/>
          <w:bCs/>
        </w:rPr>
        <w:t>.</w:t>
      </w:r>
      <w:r w:rsidRPr="0053182F">
        <w:rPr>
          <w:b/>
          <w:bCs/>
        </w:rPr>
        <w:t>3:</w:t>
      </w:r>
      <w:r w:rsidRPr="0053182F">
        <w:t xml:space="preserve"> Forced labour classification</w:t>
      </w:r>
    </w:p>
    <w:p w14:paraId="6C6049C3" w14:textId="581808B2" w:rsidR="005463D2" w:rsidRPr="0053182F" w:rsidRDefault="005463D2" w:rsidP="002110C2">
      <w:pPr>
        <w:spacing w:after="0" w:line="480" w:lineRule="auto"/>
        <w:jc w:val="center"/>
        <w:rPr>
          <w:rFonts w:eastAsia="Times New Roman"/>
        </w:rPr>
      </w:pPr>
      <w:r w:rsidRPr="0053182F">
        <w:rPr>
          <w:rFonts w:eastAsia="Times New Roman"/>
          <w:b/>
          <w:bCs/>
          <w:color w:val="auto"/>
        </w:rPr>
        <w:t>Source:</w:t>
      </w:r>
      <w:r w:rsidRPr="0053182F">
        <w:rPr>
          <w:rFonts w:eastAsia="Times New Roman"/>
          <w:color w:val="auto"/>
        </w:rPr>
        <w:t xml:space="preserve"> </w:t>
      </w:r>
      <w:sdt>
        <w:sdtPr>
          <w:rPr>
            <w:rFonts w:eastAsia="Times New Roman"/>
          </w:rPr>
          <w:tag w:val="MENDELEY_CITATION_v3_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"/>
          <w:id w:val="931632976"/>
          <w:placeholder>
            <w:docPart w:val="E508D49098FB430986470ED9808854F0"/>
          </w:placeholder>
        </w:sdtPr>
        <w:sdtContent>
          <w:r w:rsidR="00B85634" w:rsidRPr="0053182F">
            <w:rPr>
              <w:rFonts w:eastAsia="Times New Roman"/>
            </w:rPr>
            <w:t>Stronger2gether Organisation, 2020</w:t>
          </w:r>
        </w:sdtContent>
      </w:sdt>
    </w:p>
    <w:p w14:paraId="7F8E80A4" w14:textId="77777777" w:rsidR="00144866" w:rsidRPr="0053182F" w:rsidRDefault="00144866" w:rsidP="00144866">
      <w:pPr>
        <w:spacing w:after="0" w:line="480" w:lineRule="auto"/>
        <w:jc w:val="both"/>
        <w:rPr>
          <w:rFonts w:eastAsia="Times New Roman"/>
          <w:b/>
          <w:bCs/>
          <w:i/>
          <w:iCs/>
          <w:color w:val="auto"/>
        </w:rPr>
      </w:pPr>
      <w:r w:rsidRPr="0053182F">
        <w:rPr>
          <w:rFonts w:eastAsia="Times New Roman"/>
          <w:b/>
          <w:bCs/>
          <w:i/>
          <w:iCs/>
          <w:color w:val="auto"/>
        </w:rPr>
        <w:t>Model 1: State-Controlled or Sanctioned:</w:t>
      </w:r>
    </w:p>
    <w:p w14:paraId="18E9FFC7" w14:textId="77777777" w:rsidR="00144866" w:rsidRPr="0053182F" w:rsidRDefault="00144866" w:rsidP="00144866">
      <w:pPr>
        <w:spacing w:after="0" w:line="480" w:lineRule="auto"/>
        <w:jc w:val="both"/>
        <w:rPr>
          <w:rFonts w:eastAsia="Times New Roman"/>
          <w:color w:val="auto"/>
        </w:rPr>
      </w:pPr>
      <w:r w:rsidRPr="0053182F">
        <w:rPr>
          <w:rFonts w:eastAsia="Times New Roman"/>
          <w:color w:val="auto"/>
        </w:rPr>
        <w:t xml:space="preserve">The Walk Free Foundation's 2023 report highlights the pervasive issue of state-controlled or sanctioned forced labour, affecting approximately 3.9 million people globally in 2021 (See Figure 2.4). The report identifies three main types of state-mandated forced labour: the exploitation of compulsory prison labour, abuse of conscription, and forced labour for economic progress. </w:t>
      </w:r>
    </w:p>
    <w:p w14:paraId="640633DB" w14:textId="77777777" w:rsidR="00144866" w:rsidRPr="0053182F" w:rsidRDefault="00144866" w:rsidP="00144866">
      <w:pPr>
        <w:spacing w:after="0" w:line="480" w:lineRule="auto"/>
        <w:rPr>
          <w:rFonts w:eastAsia="Times New Roman"/>
          <w:color w:val="auto"/>
        </w:rPr>
      </w:pPr>
      <w:r w:rsidRPr="0053182F">
        <w:rPr>
          <w:rFonts w:eastAsia="Times New Roman"/>
          <w:noProof/>
          <w:color w:val="auto"/>
        </w:rPr>
        <w:drawing>
          <wp:inline distT="0" distB="0" distL="0" distR="0" wp14:anchorId="0F286E6D" wp14:editId="1D211734">
            <wp:extent cx="5724525" cy="2695575"/>
            <wp:effectExtent l="0" t="0" r="0" b="9525"/>
            <wp:docPr id="1304340443" name="Picture 1304340443" descr="A diagram of a person's bod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194977" name="Picture 1" descr="A diagram of a person's body&#10;&#10;Description automatically generated with medium confidence"/>
                    <pic:cNvPicPr/>
                  </pic:nvPicPr>
                  <pic:blipFill>
                    <a:blip r:embed="rId17"/>
                    <a:stretch>
                      <a:fillRect/>
                    </a:stretch>
                  </pic:blipFill>
                  <pic:spPr>
                    <a:xfrm>
                      <a:off x="0" y="0"/>
                      <a:ext cx="5755341" cy="2710086"/>
                    </a:xfrm>
                    <a:prstGeom prst="rect">
                      <a:avLst/>
                    </a:prstGeom>
                  </pic:spPr>
                </pic:pic>
              </a:graphicData>
            </a:graphic>
          </wp:inline>
        </w:drawing>
      </w:r>
    </w:p>
    <w:p w14:paraId="5369E865" w14:textId="62A2B64E" w:rsidR="0063292D" w:rsidRPr="0053182F" w:rsidRDefault="0063292D" w:rsidP="0063292D">
      <w:pPr>
        <w:pStyle w:val="Caption"/>
        <w:rPr>
          <w:rFonts w:eastAsia="Times New Roman"/>
          <w:color w:val="auto"/>
        </w:rPr>
      </w:pPr>
      <w:bookmarkStart w:id="59" w:name="_Toc216215314"/>
      <w:r w:rsidRPr="0053182F">
        <w:rPr>
          <w:b/>
          <w:bCs/>
        </w:rPr>
        <w:t>Figure 2</w:t>
      </w:r>
      <w:r w:rsidR="00D9756A" w:rsidRPr="0053182F">
        <w:rPr>
          <w:b/>
          <w:bCs/>
        </w:rPr>
        <w:t>.4</w:t>
      </w:r>
      <w:r w:rsidRPr="0053182F">
        <w:rPr>
          <w:b/>
          <w:bCs/>
        </w:rPr>
        <w:t>:</w:t>
      </w:r>
      <w:r w:rsidRPr="0053182F">
        <w:t xml:space="preserve"> </w:t>
      </w:r>
      <w:r w:rsidRPr="0053182F">
        <w:rPr>
          <w:rFonts w:eastAsia="Times New Roman"/>
          <w:color w:val="auto"/>
        </w:rPr>
        <w:t>State-imposed forced labour</w:t>
      </w:r>
      <w:bookmarkEnd w:id="59"/>
      <w:r w:rsidRPr="0053182F">
        <w:rPr>
          <w:rFonts w:eastAsia="Times New Roman"/>
          <w:color w:val="auto"/>
        </w:rPr>
        <w:t xml:space="preserve">  </w:t>
      </w:r>
    </w:p>
    <w:p w14:paraId="5D004C19" w14:textId="3CC33CD2" w:rsidR="00144866" w:rsidRPr="0053182F" w:rsidRDefault="00144866" w:rsidP="00144866">
      <w:pPr>
        <w:spacing w:after="0" w:line="480" w:lineRule="auto"/>
        <w:jc w:val="center"/>
        <w:rPr>
          <w:rFonts w:eastAsia="Times New Roman"/>
        </w:rPr>
      </w:pPr>
      <w:r w:rsidRPr="0053182F">
        <w:rPr>
          <w:rFonts w:eastAsia="Times New Roman"/>
          <w:b/>
          <w:bCs/>
          <w:color w:val="auto"/>
        </w:rPr>
        <w:t>Source:</w:t>
      </w:r>
      <w:r w:rsidRPr="0053182F">
        <w:rPr>
          <w:rFonts w:eastAsia="Times New Roman"/>
          <w:color w:val="auto"/>
        </w:rPr>
        <w:t xml:space="preserve"> </w:t>
      </w:r>
      <w:sdt>
        <w:sdtPr>
          <w:rPr>
            <w:rFonts w:eastAsia="Times New Roman"/>
          </w:rPr>
          <w:tag w:val="MENDELEY_CITATION_v3_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"/>
          <w:id w:val="1208213761"/>
          <w:placeholder>
            <w:docPart w:val="B138C10B00444EEDB68FDBC47A5891CF"/>
          </w:placeholder>
        </w:sdtPr>
        <w:sdtContent>
          <w:r w:rsidR="00CC1788" w:rsidRPr="0053182F">
            <w:rPr>
              <w:rFonts w:eastAsia="Times New Roman"/>
            </w:rPr>
            <w:t>(Walk Free, 2023b, p. 1)</w:t>
          </w:r>
        </w:sdtContent>
      </w:sdt>
    </w:p>
    <w:p w14:paraId="58A34D75" w14:textId="65F730A0" w:rsidR="00144866" w:rsidRPr="0053182F" w:rsidRDefault="00144866" w:rsidP="002110C2">
      <w:pPr>
        <w:spacing w:after="0" w:line="480" w:lineRule="auto"/>
        <w:ind w:firstLine="720"/>
        <w:jc w:val="both"/>
        <w:rPr>
          <w:rFonts w:eastAsia="Times New Roman"/>
          <w:color w:val="auto"/>
        </w:rPr>
      </w:pPr>
      <w:r w:rsidRPr="0053182F">
        <w:rPr>
          <w:rFonts w:eastAsia="Times New Roman"/>
          <w:color w:val="auto"/>
        </w:rPr>
        <w:t xml:space="preserve">Compulsory prison labour </w:t>
      </w:r>
      <w:r w:rsidR="007F6E3D" w:rsidRPr="0053182F">
        <w:rPr>
          <w:rFonts w:eastAsia="Times New Roman"/>
          <w:color w:val="auto"/>
        </w:rPr>
        <w:t xml:space="preserve">accounts for the majority, comprising 56 per </w:t>
      </w:r>
      <w:r w:rsidRPr="0053182F">
        <w:rPr>
          <w:rFonts w:eastAsia="Times New Roman"/>
          <w:color w:val="auto"/>
        </w:rPr>
        <w:t>cent of instances. Government responses to MS vary widely across 17 countries, and the existence of state-imposed forced labour weakens these efforts. The report underscores the responsibility of non- or low-state-forced labour governments to take collective action to address this pressing issue. Businesses are encouraged to disengage from complicit supply chains and exercise caution in investments to avoid inadvertently supporting exploitative operations. These recommendations align with the UN Guiding Principles on Business and Human Rights, emphasi</w:t>
      </w:r>
      <w:r w:rsidR="007F6E3D" w:rsidRPr="0053182F">
        <w:rPr>
          <w:rFonts w:eastAsia="Times New Roman"/>
          <w:color w:val="auto"/>
        </w:rPr>
        <w:t>s</w:t>
      </w:r>
      <w:r w:rsidRPr="0053182F">
        <w:rPr>
          <w:rFonts w:eastAsia="Times New Roman"/>
          <w:color w:val="auto"/>
        </w:rPr>
        <w:t xml:space="preserve">ing the role of businesses in respecting human rights and preventing adverse impacts </w:t>
      </w:r>
      <w:sdt>
        <w:sdtPr>
          <w:rPr>
            <w:rFonts w:eastAsia="Times New Roman"/>
          </w:rPr>
          <w:tag w:val="MENDELEY_CITATION_v3_eyJjaXRhdGlvbklEIjoiTUVOREVMRVlfQ0lUQVRJT05fOGJkZmYxMTktMjBkYS00ODQ3LTg2MjQtZGI5NjRmNWYyNWY2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1608110306"/>
          <w:placeholder>
            <w:docPart w:val="45DBCBB34D314FFABBFE6464DA733699"/>
          </w:placeholder>
        </w:sdtPr>
        <w:sdtContent>
          <w:r w:rsidR="00CC1788" w:rsidRPr="0053182F">
            <w:rPr>
              <w:rFonts w:eastAsia="Times New Roman"/>
            </w:rPr>
            <w:t>(Walk Free, 2023)</w:t>
          </w:r>
        </w:sdtContent>
      </w:sdt>
    </w:p>
    <w:p w14:paraId="0BDF5D25" w14:textId="77777777" w:rsidR="00144866" w:rsidRPr="0053182F" w:rsidRDefault="00144866" w:rsidP="00144866">
      <w:pPr>
        <w:spacing w:after="0" w:line="480" w:lineRule="auto"/>
        <w:jc w:val="both"/>
        <w:rPr>
          <w:rFonts w:eastAsia="Times New Roman"/>
          <w:b/>
          <w:bCs/>
          <w:i/>
          <w:iCs/>
          <w:color w:val="auto"/>
        </w:rPr>
      </w:pPr>
      <w:r w:rsidRPr="0053182F">
        <w:rPr>
          <w:rFonts w:eastAsia="Times New Roman"/>
          <w:b/>
          <w:bCs/>
          <w:i/>
          <w:iCs/>
          <w:color w:val="auto"/>
        </w:rPr>
        <w:t>Model 2: Employer Controlled or Complicit:</w:t>
      </w:r>
    </w:p>
    <w:p w14:paraId="13050D8A" w14:textId="6E52F35E"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Employers play a pivotal role in perpetuating forced labour. “The Employer knowingly and deliberately holds workers in a forced labour situation or reasonably ought to know that workers are in these conditions” </w:t>
      </w:r>
      <w:sdt>
        <w:sdtPr>
          <w:rPr>
            <w:rFonts w:eastAsia="Times New Roman"/>
          </w:rPr>
          <w:tag w:val="MENDELEY_CITATION_v3_eyJjaXRhdGlvbklEIjoiTUVOREVMRVlfQ0lUQVRJT05fZWIwMDA4ZDMtODllNS00ZWFmLWJkOGYtMWRmMmNhZGYyZDI4IiwicHJvcGVydGllcyI6eyJub3RlSW5kZXgiOjB9LCJpc0VkaXRlZCI6ZmFsc2UsIm1hbnVhbE92ZXJyaWRlIjp7ImlzTWFudWFsbHlPdmVycmlkZGVuIjp0cnVlLCJjaXRlcHJvY1RleHQiOiIoU3Ryb25nZXIyZ2V0aGVyIG9yZ2FuaXNhdGlvbiwgMjAyMCkiLCJtYW51YWxPdmVycmlkZVRleHQiOiIoU3Ryb25nZXIyZ2V0aGVyIE9yZ2FuaXNhdGlvbiwgMjAyMCwgcC4gNi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
          <w:id w:val="-192608659"/>
          <w:placeholder>
            <w:docPart w:val="C551FB1AA96F4A26862C8F4306B064B2"/>
          </w:placeholder>
        </w:sdtPr>
        <w:sdtContent>
          <w:r w:rsidR="00B85634" w:rsidRPr="0053182F">
            <w:rPr>
              <w:rFonts w:eastAsia="Times New Roman"/>
            </w:rPr>
            <w:t>(Stronger2gether Organisation, 2020, p. 6)</w:t>
          </w:r>
        </w:sdtContent>
      </w:sdt>
      <w:r w:rsidRPr="0053182F">
        <w:rPr>
          <w:rFonts w:eastAsia="Times New Roman"/>
          <w:color w:val="auto"/>
        </w:rPr>
        <w:t xml:space="preserve">. Examples include employers collaborating with human traffickers or people smugglers to hire workers without legal rights, applying conditions such as recruitment fees, debt bondage, wage retention, and penalties that create forced labour situations, outsourcing work to illegal or uncontrolled subcontractors who exploit workers, and colluding with recruiters to obtain workers who have paid recruitment fees leading to debt bondage </w:t>
      </w:r>
      <w:sdt>
        <w:sdtPr>
          <w:rPr>
            <w:rFonts w:eastAsia="Times New Roman"/>
          </w:rPr>
          <w:tag w:val="MENDELEY_CITATION_v3_eyJjaXRhdGlvbklEIjoiTUVOREVMRVlfQ0lUQVRJT05fYzI2ODk5NmMtODEzNS00YjAxLTllMDQtZThlNThmMDgzZDQ0IiwicHJvcGVydGllcyI6eyJub3RlSW5kZXgiOjB9LCJpc0VkaXRlZCI6ZmFsc2UsIm1hbnVhbE92ZXJyaWRlIjp7ImlzTWFudWFsbHlPdmVycmlkZGVuIjp0cnVlLCJjaXRlcHJvY1RleHQiOiIoU3Ryb25nZXIyZ2V0aGVyIG9yZ2FuaXNhdGlvbiwgMjAyMCkiLCJtYW51YWxPdmVycmlkZVRleHQiOiIoU3Ryb25nZXIyZ2V0aGVyIE9yZ2FuaXNhdGlvbiwgMjAyMC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
          <w:id w:val="-1521772494"/>
          <w:placeholder>
            <w:docPart w:val="C551FB1AA96F4A26862C8F4306B064B2"/>
          </w:placeholder>
        </w:sdtPr>
        <w:sdtContent>
          <w:r w:rsidR="00B85634" w:rsidRPr="0053182F">
            <w:rPr>
              <w:rFonts w:eastAsia="Times New Roman"/>
            </w:rPr>
            <w:t>(Stronger2gether Organisation, 2020)</w:t>
          </w:r>
        </w:sdtContent>
      </w:sdt>
      <w:r w:rsidRPr="0053182F">
        <w:rPr>
          <w:rFonts w:eastAsia="Times New Roman"/>
          <w:color w:val="auto"/>
        </w:rPr>
        <w:t xml:space="preserve">. According to a BBC News (2022) report, dozens of people are suspected of smuggling across the English Channel to the UK and other European countries. </w:t>
      </w:r>
    </w:p>
    <w:p w14:paraId="43E52A58" w14:textId="77777777" w:rsidR="00144866" w:rsidRPr="0053182F" w:rsidRDefault="00144866" w:rsidP="00144866">
      <w:pPr>
        <w:spacing w:after="0" w:line="480" w:lineRule="auto"/>
        <w:jc w:val="both"/>
        <w:rPr>
          <w:rFonts w:eastAsia="Times New Roman"/>
          <w:b/>
          <w:bCs/>
          <w:i/>
          <w:iCs/>
          <w:color w:val="auto"/>
        </w:rPr>
      </w:pPr>
      <w:r w:rsidRPr="0053182F">
        <w:rPr>
          <w:rFonts w:eastAsia="Times New Roman"/>
          <w:b/>
          <w:bCs/>
          <w:i/>
          <w:iCs/>
          <w:color w:val="auto"/>
        </w:rPr>
        <w:t>Model 3: Labour Supply Chain Controlled or Complicit:</w:t>
      </w:r>
    </w:p>
    <w:p w14:paraId="4996492F" w14:textId="7C29DA6C"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This model involves one or more actors in the labour supply chain knowingly and deliberately holding workers in forced labour situations or reasonably ought to know about such conditions </w:t>
      </w:r>
      <w:sdt>
        <w:sdtPr>
          <w:rPr>
            <w:rFonts w:eastAsia="Times New Roman"/>
          </w:rPr>
          <w:tag w:val="MENDELEY_CITATION_v3_eyJjaXRhdGlvbklEIjoiTUVOREVMRVlfQ0lUQVRJT05fOWVmNDgwYWItMWQxZC00NWJkLThmNmItYzllNmQxNmYwNzViIiwicHJvcGVydGllcyI6eyJub3RlSW5kZXgiOjB9LCJpc0VkaXRlZCI6ZmFsc2UsIm1hbnVhbE92ZXJyaWRlIjp7ImlzTWFudWFsbHlPdmVycmlkZGVuIjp0cnVlLCJjaXRlcHJvY1RleHQiOiIoU3Ryb25nZXIyZ2V0aGVyIG9yZ2FuaXNhdGlvbiwgMjAyMCkiLCJtYW51YWxPdmVycmlkZVRleHQiOiIoU3Ryb25nZXIyZ2V0aGVyIE9yZ2FuaXNhdGlvbiwgMjAyMCwgcC4gNy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
          <w:id w:val="839277602"/>
          <w:placeholder>
            <w:docPart w:val="3A5CA3002A5E4FFA8BD7B91E29E6085D"/>
          </w:placeholder>
        </w:sdtPr>
        <w:sdtContent>
          <w:r w:rsidR="00B85634" w:rsidRPr="0053182F">
            <w:rPr>
              <w:rFonts w:eastAsia="Times New Roman"/>
            </w:rPr>
            <w:t>(Stronger2gether Organisation, 2020, p. 7)</w:t>
          </w:r>
        </w:sdtContent>
      </w:sdt>
      <w:r w:rsidRPr="0053182F">
        <w:rPr>
          <w:rFonts w:eastAsia="Times New Roman"/>
          <w:color w:val="auto"/>
        </w:rPr>
        <w:t xml:space="preserve">.  According to the 2021 Know the Chain report, 54% of the apparel and footwear industry used forced labour in their supply chain. Labour providers, recruiters, labour provider sub-agents, recruitment sub-agents, and labour brokers are all complicit or knowingly involved. Examples include labour brokers/sub-agents working with human traffickers or people smugglers, labour providers applying conditions such as recruitment fees, debt bondage, and wage retention, outsourcing work to exploitative subcontractors, colluding with sub-agents to obtain workers through recruitment fees leading to debt bondage, and recruiters paying sub-contractors who exploit workers </w:t>
      </w:r>
      <w:sdt>
        <w:sdtPr>
          <w:rPr>
            <w:rFonts w:eastAsia="Times New Roman"/>
          </w:rPr>
          <w:tag w:val="MENDELEY_CITATION_v3_eyJjaXRhdGlvbklEIjoiTUVOREVMRVlfQ0lUQVRJT05fOWExNjUxZDktY2EzZS00MTg2LThlNjktMjA1NGIzOGVjZDc3IiwicHJvcGVydGllcyI6eyJub3RlSW5kZXgiOjB9LCJpc0VkaXRlZCI6ZmFsc2UsIm1hbnVhbE92ZXJyaWRlIjp7ImlzTWFudWFsbHlPdmVycmlkZGVuIjp0cnVlLCJjaXRlcHJvY1RleHQiOiIoU3Ryb25nZXIyZ2V0aGVyIG9yZ2FuaXNhdGlvbiwgMjAyMCkiLCJtYW51YWxPdmVycmlkZVRleHQiOiIoU3Ryb25nZXIyZ2V0aGVyIE9yZ2FuaXNhdGlvbiwgMjAyMC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
          <w:id w:val="-1625919645"/>
          <w:placeholder>
            <w:docPart w:val="3A5CA3002A5E4FFA8BD7B91E29E6085D"/>
          </w:placeholder>
        </w:sdtPr>
        <w:sdtContent>
          <w:r w:rsidR="00B85634" w:rsidRPr="0053182F">
            <w:rPr>
              <w:rFonts w:eastAsia="Times New Roman"/>
            </w:rPr>
            <w:t>(Stronger2gether Organisation, 2020)</w:t>
          </w:r>
        </w:sdtContent>
      </w:sdt>
      <w:r w:rsidRPr="0053182F">
        <w:rPr>
          <w:rFonts w:eastAsia="Times New Roman"/>
          <w:color w:val="auto"/>
        </w:rPr>
        <w:t xml:space="preserve">. For example, worker exploitation was recorded in a supplier of the well-known fast fashion brand Boohoo and Quiz; after the reports, Quiz suspended the supplier factory located in Leicester, UK, which paid £3 per hour, where the national minimum wage is £8.72 an hour for those aged over 25 years old </w:t>
      </w:r>
      <w:sdt>
        <w:sdtPr>
          <w:rPr>
            <w:rFonts w:eastAsia="Times New Roman"/>
          </w:rPr>
          <w:tag w:val="MENDELEY_CITATION_v3_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"/>
          <w:id w:val="1437328374"/>
          <w:placeholder>
            <w:docPart w:val="3A5CA3002A5E4FFA8BD7B91E29E6085D"/>
          </w:placeholder>
        </w:sdtPr>
        <w:sdtContent>
          <w:r w:rsidR="00CC1788" w:rsidRPr="0053182F">
            <w:rPr>
              <w:rFonts w:eastAsia="Times New Roman"/>
            </w:rPr>
            <w:t>(BBC News, 2020b)</w:t>
          </w:r>
        </w:sdtContent>
      </w:sdt>
      <w:r w:rsidRPr="0053182F">
        <w:rPr>
          <w:rFonts w:eastAsia="Times New Roman"/>
          <w:color w:val="auto"/>
        </w:rPr>
        <w:t>.</w:t>
      </w:r>
    </w:p>
    <w:p w14:paraId="25827A66" w14:textId="63FF398C"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Furthermore, the KnowTheChain 2021 report highlighted that forced labour is widespread across regions, with the garment sector serving as a focal point of concern </w:t>
      </w:r>
      <w:sdt>
        <w:sdtPr>
          <w:rPr>
            <w:rFonts w:eastAsia="Times New Roman"/>
          </w:rPr>
          <w:tag w:val="MENDELEY_CITATION_v3_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"/>
          <w:id w:val="-151534899"/>
          <w:placeholder>
            <w:docPart w:val="D5C2CF89FB4749DF8264EE546D2BEF24"/>
          </w:placeholder>
        </w:sdtPr>
        <w:sdtContent>
          <w:r w:rsidR="00CC1788" w:rsidRPr="0053182F">
            <w:rPr>
              <w:rFonts w:eastAsia="Times New Roman"/>
            </w:rPr>
            <w:t>(Business &amp; Human Rights Resource Centre (BHRRC), 2021)</w:t>
          </w:r>
        </w:sdtContent>
      </w:sdt>
      <w:r w:rsidRPr="0053182F">
        <w:rPr>
          <w:rFonts w:eastAsia="Times New Roman"/>
          <w:color w:val="auto"/>
        </w:rPr>
        <w:t xml:space="preserve">. In the Asia-Pacific region, countries like China, India, and Vietnam, along with the alleged exploitation of Uyghur workers, face significant risks. Europe grapples with underpayment and harsh conditions, while Latin America's garment industry, particularly in Brazil, encounters informal labour and declining wages. The Middle East and North Africa experience forced labour, involving wage deductions and migrant worker abuse </w:t>
      </w:r>
      <w:sdt>
        <w:sdtPr>
          <w:rPr>
            <w:rFonts w:eastAsia="Times New Roman"/>
          </w:rPr>
          <w:tag w:val="MENDELEY_CITATION_v3_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"/>
          <w:id w:val="-1050768991"/>
          <w:placeholder>
            <w:docPart w:val="9B33C656CD3A4A369657202EFD0EA818"/>
          </w:placeholder>
        </w:sdtPr>
        <w:sdtContent>
          <w:r w:rsidR="00CC1788" w:rsidRPr="0053182F">
            <w:rPr>
              <w:rFonts w:eastAsia="Times New Roman"/>
            </w:rPr>
            <w:t>(Know the chain, 2021)</w:t>
          </w:r>
        </w:sdtContent>
      </w:sdt>
      <w:r w:rsidRPr="0053182F">
        <w:rPr>
          <w:rFonts w:eastAsia="Times New Roman"/>
          <w:color w:val="auto"/>
        </w:rPr>
        <w:t>. Overall, addressing this issue demands global collaboration, heightened labour standards, and rigorous supply chain oversight.</w:t>
      </w:r>
    </w:p>
    <w:p w14:paraId="199E6B3B" w14:textId="3DDFBC85" w:rsidR="00144866" w:rsidRPr="0053182F" w:rsidRDefault="00144866" w:rsidP="00144866">
      <w:pPr>
        <w:spacing w:after="0" w:line="480" w:lineRule="auto"/>
        <w:jc w:val="both"/>
        <w:rPr>
          <w:rFonts w:eastAsia="Times New Roman"/>
          <w:b/>
          <w:bCs/>
          <w:i/>
          <w:iCs/>
          <w:color w:val="auto"/>
        </w:rPr>
      </w:pPr>
      <w:r w:rsidRPr="0053182F">
        <w:rPr>
          <w:rFonts w:eastAsia="Times New Roman"/>
          <w:b/>
          <w:bCs/>
          <w:i/>
          <w:iCs/>
          <w:color w:val="auto"/>
        </w:rPr>
        <w:t>Model 4: Organi</w:t>
      </w:r>
      <w:r w:rsidR="00715374" w:rsidRPr="0053182F">
        <w:rPr>
          <w:rFonts w:eastAsia="Times New Roman"/>
          <w:b/>
          <w:bCs/>
          <w:i/>
          <w:iCs/>
          <w:color w:val="auto"/>
        </w:rPr>
        <w:t>s</w:t>
      </w:r>
      <w:r w:rsidRPr="0053182F">
        <w:rPr>
          <w:rFonts w:eastAsia="Times New Roman"/>
          <w:b/>
          <w:bCs/>
          <w:i/>
          <w:iCs/>
          <w:color w:val="auto"/>
        </w:rPr>
        <w:t>ed Crime Gang/Third-Party Exploiter Controlled</w:t>
      </w:r>
    </w:p>
    <w:p w14:paraId="6D84778B" w14:textId="0649528F" w:rsidR="00144866" w:rsidRPr="0053182F" w:rsidRDefault="00144866" w:rsidP="002110C2">
      <w:pPr>
        <w:spacing w:after="0" w:line="480" w:lineRule="auto"/>
        <w:jc w:val="both"/>
        <w:rPr>
          <w:rFonts w:eastAsia="Times New Roman"/>
          <w:color w:val="auto"/>
        </w:rPr>
      </w:pPr>
      <w:r w:rsidRPr="0053182F">
        <w:rPr>
          <w:rFonts w:eastAsia="Times New Roman"/>
          <w:color w:val="auto"/>
        </w:rPr>
        <w:t xml:space="preserve">This model involves organised criminal gangs or third-party exploiters knowingly and deliberately holding workers in forced labour situations without the knowledge of the employer </w:t>
      </w:r>
      <w:sdt>
        <w:sdtPr>
          <w:rPr>
            <w:rFonts w:eastAsia="Times New Roman"/>
          </w:rPr>
          <w:tag w:val="MENDELEY_CITATION_v3_eyJjaXRhdGlvbklEIjoiTUVOREVMRVlfQ0lUQVRJT05fZGUzOTMyMjMtNWM2Zi00NjMxLWJhOTUtZTIzYzQyZWRlZGQ3IiwicHJvcGVydGllcyI6eyJub3RlSW5kZXgiOjB9LCJpc0VkaXRlZCI6ZmFsc2UsIm1hbnVhbE92ZXJyaWRlIjp7ImlzTWFudWFsbHlPdmVycmlkZGVuIjp0cnVlLCJjaXRlcHJvY1RleHQiOiIoU3Ryb25nZXIyZ2V0aGVyIG9yZ2FuaXNhdGlvbiwgMjAyMCkiLCJtYW51YWxPdmVycmlkZVRleHQiOiIoU3Ryb25nZXIyZ2V0aGVyIE9yZ2FuaXNhdGlvbiwgMjAyMCwgcC4gNy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
          <w:id w:val="-336379412"/>
          <w:placeholder>
            <w:docPart w:val="BF82F80C0CF24854BECE6361C3DA2AF9"/>
          </w:placeholder>
        </w:sdtPr>
        <w:sdtContent>
          <w:r w:rsidR="00B85634" w:rsidRPr="0053182F">
            <w:rPr>
              <w:rFonts w:eastAsia="Times New Roman"/>
            </w:rPr>
            <w:t>(Stronger2gether Organisation, 2020, p. 7)</w:t>
          </w:r>
        </w:sdtContent>
      </w:sdt>
      <w:r w:rsidRPr="0053182F">
        <w:rPr>
          <w:rFonts w:eastAsia="Times New Roman"/>
          <w:color w:val="auto"/>
        </w:rPr>
        <w:t xml:space="preserve">. </w:t>
      </w:r>
      <w:sdt>
        <w:sdtPr>
          <w:rPr>
            <w:rFonts w:eastAsia="Times New Roman"/>
          </w:rPr>
          <w:tag w:val="MENDELEY_CITATION_v3_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"/>
          <w:id w:val="-66197524"/>
          <w:placeholder>
            <w:docPart w:val="E0308F90406041769BEA27A5A6AEFA2D"/>
          </w:placeholder>
        </w:sdtPr>
        <w:sdtContent>
          <w:r w:rsidR="00CC1788" w:rsidRPr="0053182F">
            <w:rPr>
              <w:rFonts w:eastAsia="Times New Roman"/>
            </w:rPr>
            <w:t>The United Nations in 2022</w:t>
          </w:r>
        </w:sdtContent>
      </w:sdt>
      <w:r w:rsidRPr="0053182F">
        <w:rPr>
          <w:rFonts w:eastAsia="Times New Roman"/>
          <w:color w:val="auto"/>
        </w:rPr>
        <w:t xml:space="preserve"> highlighted that Illegal business motives lead organi</w:t>
      </w:r>
      <w:r w:rsidR="00715374" w:rsidRPr="0053182F">
        <w:rPr>
          <w:rFonts w:eastAsia="Times New Roman"/>
          <w:color w:val="auto"/>
        </w:rPr>
        <w:t>s</w:t>
      </w:r>
      <w:r w:rsidRPr="0053182F">
        <w:rPr>
          <w:rFonts w:eastAsia="Times New Roman"/>
          <w:color w:val="auto"/>
        </w:rPr>
        <w:t xml:space="preserve">ed crime groups </w:t>
      </w:r>
      <w:r w:rsidR="00715374" w:rsidRPr="0053182F">
        <w:rPr>
          <w:rFonts w:eastAsia="Times New Roman"/>
          <w:color w:val="auto"/>
        </w:rPr>
        <w:t xml:space="preserve">to </w:t>
      </w:r>
      <w:r w:rsidRPr="0053182F">
        <w:rPr>
          <w:rFonts w:eastAsia="Times New Roman"/>
          <w:color w:val="auto"/>
        </w:rPr>
        <w:t xml:space="preserve">take advantage of political instability and regions with weak government control. This has worldwide ramifications, eroding governance, infiltrating politics, promoting corruption and violence, exploiting vulnerable individuals, disrupting legal markets, and presenting an increasing environmental danger. Third parties can include organised criminal gangs, individual external exploiters, rogue managers or supervisors, peers, friends, and family members. Examples include criminal gangs recruiting and controlling vulnerable individuals to work for unknowing employers, rogue supervisors controlling workers without the business's knowledge, third parties applying recruitment fees leading to debt bondage, controlling individuals' right-to-work documentation or bank accounts to restrict their movements, and creating debt bondage </w:t>
      </w:r>
      <w:sdt>
        <w:sdtPr>
          <w:rPr>
            <w:rFonts w:eastAsia="Times New Roman"/>
          </w:rPr>
          <w:tag w:val="MENDELEY_CITATION_v3_eyJjaXRhdGlvbklEIjoiTUVOREVMRVlfQ0lUQVRJT05fOWJjNTliZWQtNjNmYi00MTlhLThkNGUtMTY4ODRhZWMzODE2IiwicHJvcGVydGllcyI6eyJub3RlSW5kZXgiOjB9LCJpc0VkaXRlZCI6ZmFsc2UsIm1hbnVhbE92ZXJyaWRlIjp7ImlzTWFudWFsbHlPdmVycmlkZGVuIjp0cnVlLCJjaXRlcHJvY1RleHQiOiIoU3Ryb25nZXIyZ2V0aGVyIG9yZ2FuaXNhdGlvbiwgMjAyMCkiLCJtYW51YWxPdmVycmlkZVRleHQiOiIoU3Ryb25nZXIyZ2V0aGVyIE9yZ2FuaXNhdGlvbiwgMjAyMC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
          <w:id w:val="443895951"/>
          <w:placeholder>
            <w:docPart w:val="BF82F80C0CF24854BECE6361C3DA2AF9"/>
          </w:placeholder>
        </w:sdtPr>
        <w:sdtContent>
          <w:r w:rsidR="00B85634" w:rsidRPr="0053182F">
            <w:rPr>
              <w:rFonts w:eastAsia="Times New Roman"/>
            </w:rPr>
            <w:t>(Stronger2gether Organisation, 2020)</w:t>
          </w:r>
        </w:sdtContent>
      </w:sdt>
      <w:r w:rsidRPr="0053182F">
        <w:rPr>
          <w:rFonts w:eastAsia="Times New Roman"/>
          <w:color w:val="auto"/>
        </w:rPr>
        <w:t>.</w:t>
      </w:r>
    </w:p>
    <w:p w14:paraId="0DEB09C8" w14:textId="77777777" w:rsidR="00144866" w:rsidRPr="0053182F" w:rsidRDefault="00144866" w:rsidP="00144866">
      <w:pPr>
        <w:pStyle w:val="Heading4"/>
        <w:rPr>
          <w:rFonts w:cs="Times New Roman"/>
        </w:rPr>
      </w:pPr>
      <w:r w:rsidRPr="0053182F">
        <w:rPr>
          <w:rFonts w:cs="Times New Roman"/>
        </w:rPr>
        <w:t xml:space="preserve">2.3.2.2.Corporate Modern slavery Practices: </w:t>
      </w:r>
    </w:p>
    <w:p w14:paraId="7BCD5A0D" w14:textId="77777777" w:rsidR="00144866" w:rsidRPr="0053182F" w:rsidRDefault="00144866" w:rsidP="00144866">
      <w:pPr>
        <w:rPr>
          <w:i/>
          <w:iCs/>
          <w:u w:val="single"/>
        </w:rPr>
      </w:pPr>
      <w:r w:rsidRPr="0053182F">
        <w:rPr>
          <w:i/>
          <w:iCs/>
          <w:u w:val="single"/>
        </w:rPr>
        <w:t xml:space="preserve">Child Labour </w:t>
      </w:r>
    </w:p>
    <w:p w14:paraId="1004A215" w14:textId="726EEA92" w:rsidR="00144866" w:rsidRPr="0053182F" w:rsidRDefault="00144866" w:rsidP="00144866">
      <w:pPr>
        <w:spacing w:after="0" w:line="480" w:lineRule="auto"/>
        <w:ind w:firstLine="720"/>
        <w:jc w:val="both"/>
        <w:rPr>
          <w:rFonts w:eastAsia="Times New Roman"/>
          <w:color w:val="auto"/>
        </w:rPr>
      </w:pPr>
      <w:r w:rsidRPr="0053182F">
        <w:t xml:space="preserve">Another critical dimension of CMS is the persistence and recent escalation of the worst forms of child labour, which global governance authorities have struggled to contain. </w:t>
      </w:r>
      <w:r w:rsidRPr="0053182F">
        <w:rPr>
          <w:rFonts w:eastAsia="Times New Roman"/>
          <w:color w:val="auto"/>
        </w:rPr>
        <w:t xml:space="preserve">Child labour can be referred to as a vicious circle as it compromises their education, mental and physical health and future opportunities and again, this loop connects to poverty </w:t>
      </w:r>
      <w:sdt>
        <w:sdtPr>
          <w:rPr>
            <w:rFonts w:eastAsia="Times New Roman"/>
          </w:rPr>
          <w:tag w:val="MENDELEY_CITATION_v3_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"/>
          <w:id w:val="1872183390"/>
          <w:placeholder>
            <w:docPart w:val="4AE3D0B80D9F4FBD8C00E7BE7FB4C700"/>
          </w:placeholder>
        </w:sdtPr>
        <w:sdtContent>
          <w:r w:rsidR="00CC1788" w:rsidRPr="0053182F">
            <w:rPr>
              <w:rFonts w:eastAsia="Times New Roman"/>
            </w:rPr>
            <w:t>(ILO, 2023a)</w:t>
          </w:r>
        </w:sdtContent>
      </w:sdt>
      <w:r w:rsidRPr="0053182F">
        <w:rPr>
          <w:rFonts w:eastAsia="Times New Roman"/>
          <w:color w:val="auto"/>
        </w:rPr>
        <w:t xml:space="preserve">. Due to their economic and financial difficulties, they are forced to give up their education, health, leisure, and their future dreams. </w:t>
      </w:r>
      <w:sdt>
        <w:sdtPr>
          <w:rPr>
            <w:rFonts w:eastAsia="Times New Roman"/>
          </w:rPr>
          <w:tag w:val="MENDELEY_CITATION_v3_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"/>
          <w:id w:val="-1121453929"/>
          <w:placeholder>
            <w:docPart w:val="E27D3C0761D645B699057FED0241F8F0"/>
          </w:placeholder>
        </w:sdtPr>
        <w:sdtContent>
          <w:r w:rsidR="00CC1788" w:rsidRPr="0053182F">
            <w:rPr>
              <w:rFonts w:eastAsia="Times New Roman"/>
            </w:rPr>
            <w:t>(Edmonds and Pavcnik, 2006)</w:t>
          </w:r>
        </w:sdtContent>
      </w:sdt>
      <w:r w:rsidRPr="0053182F">
        <w:rPr>
          <w:rFonts w:eastAsia="Times New Roman"/>
          <w:color w:val="auto"/>
        </w:rPr>
        <w:t>. One of the leading causes of child labour is poverty. Many families rely on the income their children can provide to make ends meet</w:t>
      </w:r>
      <w:sdt>
        <w:sdtPr>
          <w:rPr>
            <w:rFonts w:eastAsia="Times New Roman"/>
          </w:rPr>
          <w:tag w:val="MENDELEY_CITATION_v3_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"/>
          <w:id w:val="1463533347"/>
          <w:placeholder>
            <w:docPart w:val="BE51215021274051906BCCF84CC9F705"/>
          </w:placeholder>
        </w:sdtPr>
        <w:sdtContent>
          <w:r w:rsidR="00CC1788" w:rsidRPr="0053182F">
            <w:rPr>
              <w:rFonts w:eastAsia="Times New Roman"/>
            </w:rPr>
            <w:t>(Fair Labour Association, 2017; ILO, 2017a)</w:t>
          </w:r>
        </w:sdtContent>
      </w:sdt>
      <w:r w:rsidRPr="0053182F">
        <w:rPr>
          <w:rFonts w:eastAsia="Times New Roman"/>
          <w:color w:val="auto"/>
        </w:rPr>
        <w:t xml:space="preserve">. In fact, a study by </w:t>
      </w:r>
      <w:sdt>
        <w:sdtPr>
          <w:rPr>
            <w:rFonts w:eastAsia="Times New Roman"/>
          </w:rPr>
          <w:tag w:val="MENDELEY_CITATION_v3_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"/>
          <w:id w:val="825173812"/>
          <w:placeholder>
            <w:docPart w:val="E97E965DF0C949749726A5743B674162"/>
          </w:placeholder>
        </w:sdtPr>
        <w:sdtContent>
          <w:r w:rsidR="00CC1788" w:rsidRPr="0053182F">
            <w:rPr>
              <w:rFonts w:eastAsia="Times New Roman"/>
            </w:rPr>
            <w:t>Edmonds and Pavcnik (2006)</w:t>
          </w:r>
        </w:sdtContent>
      </w:sdt>
      <w:r w:rsidRPr="0053182F">
        <w:rPr>
          <w:rFonts w:eastAsia="Times New Roman"/>
          <w:color w:val="auto"/>
        </w:rPr>
        <w:t xml:space="preserve"> found that poverty is a significant factor contributing to child labour. In addition, lack of access to education can also contribute to child labour </w:t>
      </w:r>
      <w:sdt>
        <w:sdtPr>
          <w:rPr>
            <w:rFonts w:eastAsia="Times New Roman"/>
          </w:rPr>
          <w:tag w:val="MENDELEY_CITATION_v3_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"/>
          <w:id w:val="-1392107976"/>
          <w:placeholder>
            <w:docPart w:val="4AE3D0B80D9F4FBD8C00E7BE7FB4C700"/>
          </w:placeholder>
        </w:sdtPr>
        <w:sdtContent>
          <w:r w:rsidR="00CC1788" w:rsidRPr="0053182F">
            <w:rPr>
              <w:rFonts w:eastAsia="Times New Roman"/>
            </w:rPr>
            <w:t>(ILO, 2023a)</w:t>
          </w:r>
        </w:sdtContent>
      </w:sdt>
      <w:r w:rsidRPr="0053182F">
        <w:rPr>
          <w:rFonts w:eastAsia="Times New Roman"/>
          <w:color w:val="auto"/>
        </w:rPr>
        <w:t xml:space="preserve">. Children who are not enrolled in school may be more likely to work to help support their families. </w:t>
      </w:r>
    </w:p>
    <w:p w14:paraId="1CCAAEC3" w14:textId="2D3B4B2D" w:rsidR="00144866" w:rsidRPr="0053182F" w:rsidRDefault="00144866" w:rsidP="00144866">
      <w:pPr>
        <w:spacing w:after="0" w:line="480" w:lineRule="auto"/>
        <w:ind w:firstLine="720"/>
        <w:jc w:val="both"/>
        <w:rPr>
          <w:color w:val="EE0000"/>
          <w:lang w:val="en-US"/>
        </w:rPr>
      </w:pPr>
      <w:r w:rsidRPr="0053182F">
        <w:rPr>
          <w:color w:val="EE0000"/>
          <w:lang w:val="en-US"/>
        </w:rPr>
        <w:t xml:space="preserve">The global </w:t>
      </w:r>
      <w:r w:rsidR="00715374" w:rsidRPr="0053182F">
        <w:rPr>
          <w:color w:val="EE0000"/>
          <w:lang w:val="en-US"/>
        </w:rPr>
        <w:t>patterns of child labour</w:t>
      </w:r>
      <w:r w:rsidRPr="0053182F">
        <w:rPr>
          <w:color w:val="EE0000"/>
          <w:lang w:val="en-US"/>
        </w:rPr>
        <w:t xml:space="preserve"> illustrated in Figure 2.</w:t>
      </w:r>
      <w:r w:rsidR="00455FA6" w:rsidRPr="0053182F">
        <w:rPr>
          <w:color w:val="EE0000"/>
          <w:lang w:val="en-US"/>
        </w:rPr>
        <w:t>5</w:t>
      </w:r>
      <w:r w:rsidRPr="0053182F">
        <w:rPr>
          <w:color w:val="EE0000"/>
          <w:lang w:val="en-US"/>
        </w:rPr>
        <w:t xml:space="preserve"> (Global Estimates of Child Labour, 2024) provide an essential backdrop for understanding the persistence of child labour within global production systems. Despite notable reductions in child labour—from 245.5 million in 2000 to 137.6 million in 2024—the rate of improvement has slowed considerably over the past decade. Hazardous work, which represents the most extreme forms of exploitation, has fallen substantially since 2000, yet remains widespread, with 54 million children still engaged in hazardous tasks in 2024. </w:t>
      </w:r>
      <w:r w:rsidR="00715374" w:rsidRPr="0053182F">
        <w:rPr>
          <w:color w:val="EE0000"/>
          <w:lang w:val="en-US"/>
        </w:rPr>
        <w:t>Notab</w:t>
      </w:r>
      <w:r w:rsidRPr="0053182F">
        <w:rPr>
          <w:color w:val="EE0000"/>
          <w:lang w:val="en-US"/>
        </w:rPr>
        <w:t>ly, the plateau observed between 2016 and 2020, followed by only marginal progress by 2024, signals that structural vulnerabilities remain deeply embedded in global supply chains.</w:t>
      </w:r>
    </w:p>
    <w:p w14:paraId="269F2BFC" w14:textId="77777777" w:rsidR="00144866" w:rsidRPr="0053182F" w:rsidRDefault="00144866" w:rsidP="00144866">
      <w:pPr>
        <w:spacing w:after="0" w:line="480" w:lineRule="auto"/>
        <w:ind w:firstLine="142"/>
        <w:rPr>
          <w:rFonts w:eastAsia="Times New Roman"/>
          <w:color w:val="auto"/>
        </w:rPr>
      </w:pPr>
      <w:r w:rsidRPr="0053182F">
        <w:rPr>
          <w:rFonts w:eastAsia="Times New Roman"/>
          <w:noProof/>
          <w:color w:val="auto"/>
        </w:rPr>
        <w:drawing>
          <wp:inline distT="0" distB="0" distL="0" distR="0" wp14:anchorId="1983E3EF" wp14:editId="5C8FEAFD">
            <wp:extent cx="5311472" cy="3044122"/>
            <wp:effectExtent l="0" t="0" r="3810" b="4445"/>
            <wp:docPr id="886900361" name="Picture 1" descr="A graph with a line and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900361" name="Picture 1" descr="A graph with a line and a bar chart&#10;&#10;AI-generated content may be incorrect."/>
                    <pic:cNvPicPr/>
                  </pic:nvPicPr>
                  <pic:blipFill>
                    <a:blip r:embed="rId18"/>
                    <a:stretch>
                      <a:fillRect/>
                    </a:stretch>
                  </pic:blipFill>
                  <pic:spPr>
                    <a:xfrm>
                      <a:off x="0" y="0"/>
                      <a:ext cx="5318873" cy="3048364"/>
                    </a:xfrm>
                    <a:prstGeom prst="rect">
                      <a:avLst/>
                    </a:prstGeom>
                  </pic:spPr>
                </pic:pic>
              </a:graphicData>
            </a:graphic>
          </wp:inline>
        </w:drawing>
      </w:r>
    </w:p>
    <w:p w14:paraId="43671E6A" w14:textId="41A42E2F" w:rsidR="00144866" w:rsidRPr="0053182F" w:rsidRDefault="00144866" w:rsidP="00144866">
      <w:pPr>
        <w:spacing w:after="0" w:line="480" w:lineRule="auto"/>
        <w:ind w:firstLine="720"/>
        <w:jc w:val="center"/>
        <w:rPr>
          <w:rFonts w:eastAsia="Times New Roman"/>
        </w:rPr>
      </w:pPr>
      <w:bookmarkStart w:id="60" w:name="_Toc216215315"/>
      <w:r w:rsidRPr="0053182F">
        <w:rPr>
          <w:rFonts w:eastAsia="Times New Roman"/>
          <w:b/>
          <w:bCs/>
          <w:color w:val="auto"/>
        </w:rPr>
        <w:t>Source:</w:t>
      </w:r>
      <w:r w:rsidRPr="0053182F">
        <w:rPr>
          <w:rFonts w:eastAsia="Times New Roman"/>
          <w:color w:val="auto"/>
        </w:rPr>
        <w:t xml:space="preserve"> </w:t>
      </w:r>
      <w:sdt>
        <w:sdtPr>
          <w:rPr>
            <w:rFonts w:eastAsia="Times New Roman"/>
          </w:rPr>
          <w:tag w:val="MENDELEY_CITATION_v3_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"/>
          <w:id w:val="-1106035635"/>
          <w:placeholder>
            <w:docPart w:val="C5FDA3C71B0C4044B40CDEB9622D077D"/>
          </w:placeholder>
        </w:sdtPr>
        <w:sdtContent>
          <w:r w:rsidR="00CC1788" w:rsidRPr="0053182F">
            <w:rPr>
              <w:rFonts w:eastAsia="Times New Roman"/>
            </w:rPr>
            <w:t>(ILO, 2025, p.16)</w:t>
          </w:r>
        </w:sdtContent>
      </w:sdt>
    </w:p>
    <w:p w14:paraId="6606A75D" w14:textId="3B5F5AFD" w:rsidR="00144866" w:rsidRPr="0053182F" w:rsidRDefault="00144866" w:rsidP="00144866">
      <w:pPr>
        <w:pStyle w:val="Caption"/>
        <w:rPr>
          <w:rFonts w:eastAsia="Times New Roman"/>
          <w:color w:val="auto"/>
        </w:rPr>
      </w:pPr>
      <w:r w:rsidRPr="0053182F">
        <w:rPr>
          <w:b/>
          <w:bCs/>
        </w:rPr>
        <w:t>Figure 2</w:t>
      </w:r>
      <w:r w:rsidR="00497CA9" w:rsidRPr="0053182F">
        <w:rPr>
          <w:b/>
          <w:bCs/>
        </w:rPr>
        <w:t>.</w:t>
      </w:r>
      <w:r w:rsidR="00455FA6" w:rsidRPr="0053182F">
        <w:rPr>
          <w:b/>
          <w:bCs/>
        </w:rPr>
        <w:t>5</w:t>
      </w:r>
      <w:r w:rsidRPr="0053182F">
        <w:rPr>
          <w:b/>
          <w:bCs/>
        </w:rPr>
        <w:t>:</w:t>
      </w:r>
      <w:r w:rsidRPr="0053182F">
        <w:t xml:space="preserve"> </w:t>
      </w:r>
      <w:r w:rsidRPr="0053182F">
        <w:rPr>
          <w:rFonts w:eastAsia="Times New Roman"/>
          <w:color w:val="auto"/>
        </w:rPr>
        <w:t>Global progress against child labour</w:t>
      </w:r>
      <w:bookmarkEnd w:id="60"/>
      <w:r w:rsidRPr="0053182F">
        <w:rPr>
          <w:rFonts w:eastAsia="Times New Roman"/>
          <w:color w:val="auto"/>
        </w:rPr>
        <w:t xml:space="preserve"> </w:t>
      </w:r>
    </w:p>
    <w:p w14:paraId="284F9957" w14:textId="54A36C3E" w:rsidR="00144866" w:rsidRPr="0053182F" w:rsidRDefault="00144866" w:rsidP="00144866">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Child labour in the mining industry has received increasing scholarly attention over the past decade, with studies documenting its prevalence and harmful consequences</w:t>
      </w:r>
      <w:sdt>
        <w:sdtPr>
          <w:rPr>
            <w:rFonts w:eastAsia="Times New Roman"/>
            <w:highlight w:val="yellow"/>
          </w:rPr>
          <w:tag w:val="MENDELEY_CITATION_v3_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"/>
          <w:id w:val="776987561"/>
          <w:placeholder>
            <w:docPart w:val="28E9EA896E184EEEA0A0E6E5C4C5184E"/>
          </w:placeholder>
        </w:sdtPr>
        <w:sdtContent>
          <w:r w:rsidR="00CC1788" w:rsidRPr="0053182F">
            <w:rPr>
              <w:rFonts w:eastAsia="Times New Roman"/>
            </w:rPr>
            <w:t xml:space="preserve">(Camacho-Garza </w:t>
          </w:r>
          <w:r w:rsidR="00CC1788" w:rsidRPr="0053182F">
            <w:rPr>
              <w:rFonts w:eastAsia="Times New Roman"/>
              <w:i/>
              <w:iCs/>
            </w:rPr>
            <w:t>et al.</w:t>
          </w:r>
          <w:r w:rsidR="00CC1788" w:rsidRPr="0053182F">
            <w:rPr>
              <w:rFonts w:eastAsia="Times New Roman"/>
            </w:rPr>
            <w:t xml:space="preserve">, 2022; Christ </w:t>
          </w:r>
          <w:r w:rsidR="00CC1788" w:rsidRPr="0053182F">
            <w:rPr>
              <w:rFonts w:eastAsia="Times New Roman"/>
              <w:i/>
              <w:iCs/>
            </w:rPr>
            <w:t>et al.</w:t>
          </w:r>
          <w:r w:rsidR="00CC1788" w:rsidRPr="0053182F">
            <w:rPr>
              <w:rFonts w:eastAsia="Times New Roman"/>
            </w:rPr>
            <w:t>, 2022; Coumans, 2017; Yeshey, 2019)</w:t>
          </w:r>
        </w:sdtContent>
      </w:sdt>
      <w:r w:rsidRPr="0053182F">
        <w:rPr>
          <w:rFonts w:eastAsia="Times New Roman"/>
        </w:rPr>
        <w:t xml:space="preserve">. </w:t>
      </w:r>
      <w:r w:rsidRPr="0053182F">
        <w:rPr>
          <w:rFonts w:eastAsia="Times New Roman"/>
          <w:color w:val="auto"/>
          <w:kern w:val="0"/>
          <w:lang w:eastAsia="en-GB"/>
          <w14:ligatures w14:val="none"/>
        </w:rPr>
        <w:t xml:space="preserve">The issue is particularly acute in cobalt mining, a sector central to the production of batteries for electronics and electric vehicles, where children are frequently involved in hazardous extraction processes that supply major global brands </w:t>
      </w:r>
      <w:sdt>
        <w:sdtPr>
          <w:rPr>
            <w:rFonts w:eastAsia="Times New Roman"/>
            <w:lang w:eastAsia="en-GB"/>
          </w:rPr>
          <w:tag w:val="MENDELEY_CITATION_v3_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"/>
          <w:id w:val="214941086"/>
          <w:placeholder>
            <w:docPart w:val="A853A578CA854601AB99E87B7E27F98C"/>
          </w:placeholder>
        </w:sdtPr>
        <w:sdtContent>
          <w:r w:rsidR="00CC1788" w:rsidRPr="0053182F">
            <w:rPr>
              <w:rFonts w:eastAsia="Times New Roman"/>
              <w:lang w:eastAsia="en-GB"/>
            </w:rPr>
            <w:t>(Tom Cheshire, 2017; Yeshey, 2019)</w:t>
          </w:r>
        </w:sdtContent>
      </w:sdt>
      <w:r w:rsidRPr="0053182F">
        <w:rPr>
          <w:rFonts w:eastAsia="Times New Roman"/>
          <w:color w:val="auto"/>
          <w:kern w:val="0"/>
          <w:lang w:eastAsia="en-GB"/>
          <w14:ligatures w14:val="none"/>
        </w:rPr>
        <w:t xml:space="preserve">. MNCs face growing scrutiny for labour abuses within their complex supply chains, as illustrated by high-profile cases such as Foxconn, Apple’s major supplier, which has been </w:t>
      </w:r>
      <w:r w:rsidR="005413A6" w:rsidRPr="0053182F">
        <w:rPr>
          <w:rFonts w:eastAsia="Times New Roman"/>
          <w:color w:val="auto"/>
          <w:kern w:val="0"/>
          <w:lang w:eastAsia="en-GB"/>
          <w14:ligatures w14:val="none"/>
        </w:rPr>
        <w:t>linked to worker suicides, poor working c</w:t>
      </w:r>
      <w:r w:rsidRPr="0053182F">
        <w:rPr>
          <w:rFonts w:eastAsia="Times New Roman"/>
          <w:color w:val="auto"/>
          <w:kern w:val="0"/>
          <w:lang w:eastAsia="en-GB"/>
          <w14:ligatures w14:val="none"/>
        </w:rPr>
        <w:t xml:space="preserve">onditions, and wage violations </w:t>
      </w:r>
      <w:sdt>
        <w:sdtPr>
          <w:rPr>
            <w:rFonts w:eastAsia="Times New Roman"/>
            <w:highlight w:val="yellow"/>
            <w:lang w:eastAsia="en-GB"/>
          </w:rPr>
          <w:tag w:val="MENDELEY_CITATION_v3_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"/>
          <w:id w:val="39869308"/>
          <w:placeholder>
            <w:docPart w:val="1D237E2FF5AB4478A34CD9299832E777"/>
          </w:placeholder>
        </w:sdtPr>
        <w:sdtContent>
          <w:r w:rsidR="00CC1788" w:rsidRPr="0053182F">
            <w:rPr>
              <w:rFonts w:eastAsia="Times New Roman"/>
            </w:rPr>
            <w:t xml:space="preserve">(Brammer </w:t>
          </w:r>
          <w:r w:rsidR="00CC1788" w:rsidRPr="0053182F">
            <w:rPr>
              <w:rFonts w:eastAsia="Times New Roman"/>
              <w:i/>
              <w:iCs/>
            </w:rPr>
            <w:t>et al.</w:t>
          </w:r>
          <w:r w:rsidR="00CC1788" w:rsidRPr="0053182F">
            <w:rPr>
              <w:rFonts w:eastAsia="Times New Roman"/>
            </w:rPr>
            <w:t>, 2021)</w:t>
          </w:r>
        </w:sdtContent>
      </w:sdt>
      <w:r w:rsidRPr="0053182F">
        <w:rPr>
          <w:rFonts w:eastAsia="Times New Roman"/>
          <w:lang w:eastAsia="en-GB"/>
        </w:rPr>
        <w:t>.</w:t>
      </w:r>
    </w:p>
    <w:p w14:paraId="10BA706E" w14:textId="2526C6EC" w:rsidR="00144866" w:rsidRPr="0053182F" w:rsidRDefault="00144866" w:rsidP="00144866">
      <w:pPr>
        <w:spacing w:before="100" w:beforeAutospacing="1" w:after="100" w:afterAutospacing="1" w:line="480" w:lineRule="auto"/>
        <w:ind w:firstLine="720"/>
        <w:jc w:val="both"/>
        <w:rPr>
          <w:rFonts w:eastAsia="Times New Roman"/>
        </w:rPr>
      </w:pPr>
      <w:r w:rsidRPr="0053182F">
        <w:rPr>
          <w:rFonts w:eastAsia="Times New Roman"/>
          <w:color w:val="auto"/>
          <w:kern w:val="0"/>
          <w:lang w:eastAsia="en-GB"/>
          <w14:ligatures w14:val="none"/>
        </w:rPr>
        <w:t xml:space="preserve">Child labour also has severe long-term impacts on children’s physical and mental health, education, and future opportunities. Research shows that child labour is linked to malnutrition, respiratory illnesses, injuries, and toxic exposure—such as mercury poisoning in gold mining communities </w:t>
      </w:r>
      <w:sdt>
        <w:sdtPr>
          <w:rPr>
            <w:rFonts w:eastAsia="Times New Roman"/>
            <w:kern w:val="0"/>
            <w:lang w:eastAsia="en-GB"/>
            <w14:ligatures w14:val="none"/>
          </w:rPr>
          <w:tag w:val="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"/>
          <w:id w:val="-867068412"/>
          <w:placeholder>
            <w:docPart w:val="9843450DA364492CB7EA5D5AD2E3B227"/>
          </w:placeholder>
        </w:sdtPr>
        <w:sdtContent>
          <w:r w:rsidR="00CC1788" w:rsidRPr="0053182F">
            <w:rPr>
              <w:rFonts w:eastAsia="Times New Roman"/>
            </w:rPr>
            <w:t xml:space="preserve">(Bhalotra and Heady, 2000; Bose-O’Reilly </w:t>
          </w:r>
          <w:r w:rsidR="00CC1788" w:rsidRPr="0053182F">
            <w:rPr>
              <w:rFonts w:eastAsia="Times New Roman"/>
              <w:i/>
              <w:iCs/>
            </w:rPr>
            <w:t>et al.</w:t>
          </w:r>
          <w:r w:rsidR="00CC1788" w:rsidRPr="0053182F">
            <w:rPr>
              <w:rFonts w:eastAsia="Times New Roman"/>
            </w:rPr>
            <w:t>, 2010; Gibb and O’Leary, 2014)</w:t>
          </w:r>
        </w:sdtContent>
      </w:sdt>
      <w:r w:rsidRPr="0053182F">
        <w:rPr>
          <w:rFonts w:eastAsia="Times New Roman"/>
          <w:kern w:val="0"/>
          <w:lang w:eastAsia="en-GB"/>
          <w14:ligatures w14:val="none"/>
        </w:rPr>
        <w:t>.</w:t>
      </w:r>
      <w:r w:rsidRPr="0053182F">
        <w:rPr>
          <w:rFonts w:eastAsia="Times New Roman"/>
          <w:color w:val="auto"/>
          <w:kern w:val="0"/>
          <w:lang w:eastAsia="en-GB"/>
          <w14:ligatures w14:val="none"/>
        </w:rPr>
        <w:t xml:space="preserve"> Additionally, children who work often miss schooling, reducing their future earning potential and perpetuating cycles of poverty </w:t>
      </w:r>
      <w:sdt>
        <w:sdtPr>
          <w:rPr>
            <w:rFonts w:eastAsia="Times New Roman"/>
          </w:rPr>
          <w:tag w:val="MENDELEY_CITATION_v3_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"/>
          <w:id w:val="-1351644596"/>
          <w:placeholder>
            <w:docPart w:val="B9BC9754C9274673B961302FDF40A1B7"/>
          </w:placeholder>
        </w:sdtPr>
        <w:sdtContent>
          <w:r w:rsidR="00CC1788" w:rsidRPr="0053182F">
            <w:rPr>
              <w:rFonts w:eastAsia="Times New Roman"/>
            </w:rPr>
            <w:t>(Edmonds and Pavcnik, 2006)</w:t>
          </w:r>
        </w:sdtContent>
      </w:sdt>
      <w:r w:rsidRPr="0053182F">
        <w:rPr>
          <w:rFonts w:eastAsia="Times New Roman"/>
        </w:rPr>
        <w:t>.</w:t>
      </w:r>
    </w:p>
    <w:p w14:paraId="5B77ECEC" w14:textId="5CEBD59A" w:rsidR="00144866" w:rsidRPr="0053182F" w:rsidRDefault="00144866" w:rsidP="00144866">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The regional patterns of child labour </w:t>
      </w:r>
      <w:r w:rsidR="00885724" w:rsidRPr="0053182F">
        <w:rPr>
          <w:rFonts w:eastAsia="Times New Roman"/>
          <w:color w:val="auto"/>
          <w:kern w:val="0"/>
          <w:lang w:eastAsia="en-GB"/>
          <w14:ligatures w14:val="none"/>
        </w:rPr>
        <w:t xml:space="preserve">(See Figure 2.6) </w:t>
      </w:r>
      <w:r w:rsidRPr="0053182F">
        <w:rPr>
          <w:rFonts w:eastAsia="Times New Roman"/>
          <w:color w:val="auto"/>
          <w:kern w:val="0"/>
          <w:lang w:eastAsia="en-GB"/>
          <w14:ligatures w14:val="none"/>
        </w:rPr>
        <w:t xml:space="preserve">show a highly uneven global distribution. Sub-Saharan Africa carries the </w:t>
      </w:r>
      <w:r w:rsidR="005413A6" w:rsidRPr="0053182F">
        <w:rPr>
          <w:rFonts w:eastAsia="Times New Roman"/>
          <w:color w:val="auto"/>
          <w:kern w:val="0"/>
          <w:lang w:eastAsia="en-GB"/>
          <w14:ligatures w14:val="none"/>
        </w:rPr>
        <w:t>most significan</w:t>
      </w:r>
      <w:r w:rsidRPr="0053182F">
        <w:rPr>
          <w:rFonts w:eastAsia="Times New Roman"/>
          <w:color w:val="auto"/>
          <w:kern w:val="0"/>
          <w:lang w:eastAsia="en-GB"/>
          <w14:ligatures w14:val="none"/>
        </w:rPr>
        <w:t xml:space="preserve">t burden, with 21.5% of all children aged 5–17—around 86.6 million—engaged in child labour, driven by poverty, conflict, weak institutions, and limited educational access </w:t>
      </w:r>
      <w:sdt>
        <w:sdtPr>
          <w:rPr>
            <w:rFonts w:eastAsia="Times New Roman"/>
          </w:rPr>
          <w:tag w:val="MENDELEY_CITATION_v3_eyJjaXRhdGlvbklEIjoiTUVOREVMRVlfQ0lUQVRJT05fY2Q1YzI1YmMtNmMwMi00MjBlLTg3YWItNGI4YWUyN2RiM2RmIiwicHJvcGVydGllcyI6eyJub3RlSW5kZXgiOjB9LCJpc0VkaXRlZCI6ZmFsc2UsIm1hbnVhbE92ZXJyaWRlIjp7ImlzTWFudWFsbHlPdmVycmlkZGVuIjpmYWxzZSwiY2l0ZXByb2NUZXh0IjoiKElMTywgMjAyNSkiLCJtYW51YWxPdmVycmlkZVRleHQiOiI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
          <w:id w:val="-1520928284"/>
          <w:placeholder>
            <w:docPart w:val="0A56B8A9FB5E4EF984C722F41E169565"/>
          </w:placeholder>
        </w:sdtPr>
        <w:sdtContent>
          <w:r w:rsidR="00CC1788" w:rsidRPr="0053182F">
            <w:rPr>
              <w:rFonts w:eastAsia="Times New Roman"/>
            </w:rPr>
            <w:t>(ILO, 2025)</w:t>
          </w:r>
        </w:sdtContent>
      </w:sdt>
      <w:r w:rsidRPr="0053182F">
        <w:rPr>
          <w:rFonts w:eastAsia="Times New Roman"/>
          <w:color w:val="auto"/>
          <w:kern w:val="0"/>
          <w:lang w:eastAsia="en-GB"/>
          <w14:ligatures w14:val="none"/>
        </w:rPr>
        <w:t>. Other regions report lower but still significant levels: Northern Africa and Western Asia (8.3%), Latin America and the Caribbean (5.5%), Central and Southern Asia (3.4%), and Eastern and South-Eastern Asia (3.1%). These variations reflect structural vulnerabilities such as inequality, informality, and inadequate labour enforcement. The disparities underscore the need for region-specific governance responses and more robust corporate due diligence, as the root causes of child labour differ widely across global contexts.</w:t>
      </w:r>
    </w:p>
    <w:p w14:paraId="22C90615" w14:textId="77777777" w:rsidR="00144866" w:rsidRPr="0053182F" w:rsidRDefault="00144866" w:rsidP="00144866">
      <w:pPr>
        <w:spacing w:after="0" w:line="480" w:lineRule="auto"/>
        <w:jc w:val="both"/>
        <w:rPr>
          <w:rFonts w:eastAsia="Times New Roman"/>
          <w:color w:val="auto"/>
        </w:rPr>
      </w:pPr>
      <w:r w:rsidRPr="0053182F">
        <w:rPr>
          <w:rFonts w:eastAsia="Times New Roman"/>
          <w:noProof/>
          <w:color w:val="auto"/>
        </w:rPr>
        <w:drawing>
          <wp:inline distT="0" distB="0" distL="0" distR="0" wp14:anchorId="75BEF042" wp14:editId="3914172D">
            <wp:extent cx="5747982" cy="3093057"/>
            <wp:effectExtent l="0" t="0" r="5715" b="0"/>
            <wp:docPr id="107199974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99744" name="Picture 1" descr="A screenshot of a graph&#10;&#10;AI-generated content may be incorrect."/>
                    <pic:cNvPicPr/>
                  </pic:nvPicPr>
                  <pic:blipFill>
                    <a:blip r:embed="rId19"/>
                    <a:stretch>
                      <a:fillRect/>
                    </a:stretch>
                  </pic:blipFill>
                  <pic:spPr>
                    <a:xfrm>
                      <a:off x="0" y="0"/>
                      <a:ext cx="5765889" cy="3102693"/>
                    </a:xfrm>
                    <a:prstGeom prst="rect">
                      <a:avLst/>
                    </a:prstGeom>
                  </pic:spPr>
                </pic:pic>
              </a:graphicData>
            </a:graphic>
          </wp:inline>
        </w:drawing>
      </w:r>
    </w:p>
    <w:p w14:paraId="010C7D4A" w14:textId="0514A6E7" w:rsidR="00144866" w:rsidRPr="0053182F" w:rsidRDefault="00144866" w:rsidP="002110C2">
      <w:pPr>
        <w:spacing w:after="0" w:line="480" w:lineRule="auto"/>
        <w:jc w:val="center"/>
        <w:rPr>
          <w:rFonts w:eastAsia="Times New Roman"/>
          <w:color w:val="auto"/>
        </w:rPr>
      </w:pPr>
      <w:r w:rsidRPr="0053182F">
        <w:rPr>
          <w:rFonts w:eastAsia="Times New Roman"/>
          <w:b/>
          <w:bCs/>
        </w:rPr>
        <w:t>Figure 2.</w:t>
      </w:r>
      <w:r w:rsidR="002B023C" w:rsidRPr="0053182F">
        <w:rPr>
          <w:rFonts w:eastAsia="Times New Roman"/>
          <w:b/>
          <w:bCs/>
        </w:rPr>
        <w:t>6</w:t>
      </w:r>
      <w:r w:rsidRPr="0053182F">
        <w:rPr>
          <w:rFonts w:eastAsia="Times New Roman"/>
          <w:b/>
          <w:bCs/>
        </w:rPr>
        <w:t>:</w:t>
      </w:r>
      <w:r w:rsidRPr="0053182F">
        <w:rPr>
          <w:rFonts w:eastAsia="Times New Roman"/>
        </w:rPr>
        <w:t xml:space="preserve"> Regional patterns of child labour</w:t>
      </w:r>
    </w:p>
    <w:p w14:paraId="2359826F" w14:textId="5CC0F59B" w:rsidR="00885724" w:rsidRPr="0053182F" w:rsidRDefault="00885724" w:rsidP="002110C2">
      <w:pPr>
        <w:spacing w:after="0" w:line="480" w:lineRule="auto"/>
        <w:jc w:val="center"/>
        <w:rPr>
          <w:rFonts w:eastAsia="Times New Roman"/>
        </w:rPr>
      </w:pPr>
      <w:r w:rsidRPr="0053182F">
        <w:rPr>
          <w:rFonts w:eastAsia="Times New Roman"/>
          <w:b/>
          <w:bCs/>
        </w:rPr>
        <w:t>Source:</w:t>
      </w:r>
      <w:r w:rsidRPr="0053182F">
        <w:rPr>
          <w:rFonts w:eastAsia="Times New Roman"/>
        </w:rPr>
        <w:t xml:space="preserve"> </w:t>
      </w:r>
      <w:sdt>
        <w:sdtPr>
          <w:rPr>
            <w:rFonts w:eastAsia="Times New Roman"/>
          </w:rPr>
          <w:tag w:val="MENDELEY_CITATION_v3_eyJjaXRhdGlvbklEIjoiTUVOREVMRVlfQ0lUQVRJT05fNDUxNmZlMTItNDZlMS00MGIyLTgwZDEtNDI4ZGVjZWQwMzJhIiwicHJvcGVydGllcyI6eyJub3RlSW5kZXgiOjB9LCJpc0VkaXRlZCI6ZmFsc2UsIm1hbnVhbE92ZXJyaWRlIjp7ImlzTWFudWFsbHlPdmVycmlkZGVuIjp0cnVlLCJjaXRlcHJvY1RleHQiOiIoSUxPLCAyMDI1KSIsIm1hbnVhbE92ZXJyaWRlVGV4dCI6IklMTyAoMjAyNSwgcC4yMik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
          <w:id w:val="1685020820"/>
          <w:placeholder>
            <w:docPart w:val="F8E7E98B68264D4B81036CB36F341F4A"/>
          </w:placeholder>
        </w:sdtPr>
        <w:sdtContent>
          <w:r w:rsidR="00CC1788" w:rsidRPr="0053182F">
            <w:rPr>
              <w:rFonts w:eastAsia="Times New Roman"/>
            </w:rPr>
            <w:t>ILO (2025, p.22)</w:t>
          </w:r>
        </w:sdtContent>
      </w:sdt>
    </w:p>
    <w:p w14:paraId="79DCF169" w14:textId="77777777" w:rsidR="00EC0347" w:rsidRPr="0053182F" w:rsidRDefault="00EC0347" w:rsidP="00144866">
      <w:pPr>
        <w:spacing w:after="0" w:line="480" w:lineRule="auto"/>
        <w:jc w:val="both"/>
        <w:rPr>
          <w:rFonts w:eastAsia="Times New Roman"/>
          <w:i/>
          <w:iCs/>
          <w:color w:val="auto"/>
          <w:u w:val="single"/>
        </w:rPr>
      </w:pPr>
    </w:p>
    <w:p w14:paraId="572F378E" w14:textId="63276866" w:rsidR="00144866" w:rsidRPr="0053182F" w:rsidRDefault="00144866" w:rsidP="00144866">
      <w:pPr>
        <w:spacing w:after="0" w:line="480" w:lineRule="auto"/>
        <w:jc w:val="both"/>
        <w:rPr>
          <w:rFonts w:eastAsia="Times New Roman"/>
          <w:i/>
          <w:iCs/>
          <w:color w:val="auto"/>
          <w:u w:val="single"/>
        </w:rPr>
      </w:pPr>
      <w:r w:rsidRPr="0053182F">
        <w:rPr>
          <w:rFonts w:eastAsia="Times New Roman"/>
          <w:i/>
          <w:iCs/>
          <w:color w:val="auto"/>
          <w:u w:val="single"/>
        </w:rPr>
        <w:t xml:space="preserve">Working conditions </w:t>
      </w:r>
    </w:p>
    <w:p w14:paraId="49731ADA" w14:textId="6067D45A"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Working conditions are another critical aspect of CMS practices. Poor working conditions often contribute to workers' vulnerability and create an environment conducive to exploitation. Unsafe working conditions increase the risk of CMS by creating an environment where workers are subjected to physical harm, health hazards, and dangerous practices; for instance, the Rana Plaza tragedy </w:t>
      </w:r>
      <w:sdt>
        <w:sdtPr>
          <w:rPr>
            <w:rFonts w:eastAsia="Times New Roman"/>
          </w:rPr>
          <w:tag w:val="MENDELEY_CITATION_v3_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"/>
          <w:id w:val="1834185399"/>
          <w:placeholder>
            <w:docPart w:val="12B7A98D839247EFAEA159A050D63BB1"/>
          </w:placeholder>
        </w:sdtPr>
        <w:sdtEndPr>
          <w:rPr>
            <w:highlight w:val="yellow"/>
          </w:rPr>
        </w:sdtEndPr>
        <w:sdtContent>
          <w:r w:rsidR="00CC1788" w:rsidRPr="0053182F">
            <w:rPr>
              <w:rFonts w:eastAsia="Times New Roman"/>
            </w:rPr>
            <w:t xml:space="preserve">(Siddiqui </w:t>
          </w:r>
          <w:r w:rsidR="00CC1788" w:rsidRPr="0053182F">
            <w:rPr>
              <w:rFonts w:eastAsia="Times New Roman"/>
              <w:i/>
              <w:iCs/>
            </w:rPr>
            <w:t>et al.</w:t>
          </w:r>
          <w:r w:rsidR="00CC1788" w:rsidRPr="0053182F">
            <w:rPr>
              <w:rFonts w:eastAsia="Times New Roman"/>
            </w:rPr>
            <w:t>, 2020)</w:t>
          </w:r>
        </w:sdtContent>
      </w:sdt>
      <w:r w:rsidRPr="0053182F">
        <w:rPr>
          <w:rFonts w:eastAsia="Times New Roman"/>
          <w:color w:val="auto"/>
        </w:rPr>
        <w:t xml:space="preserve">. Studies have found that industries such as construction, apparel, mining, and agriculture, where safety regulations may be inadequate or poorly enforced, have higher incidences of MS  (ILO, 2017). </w:t>
      </w:r>
    </w:p>
    <w:p w14:paraId="5FDA0173" w14:textId="5E717067"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Unsafe workplaces compromise workers' well-being and increase their vulnerability to exploitation </w:t>
      </w:r>
      <w:sdt>
        <w:sdtPr>
          <w:rPr>
            <w:rFonts w:eastAsia="Times New Roman"/>
          </w:rPr>
          <w:tag w:val="MENDELEY_CITATION_v3_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"/>
          <w:id w:val="-690137617"/>
          <w:placeholder>
            <w:docPart w:val="30F962117DFA4E3B8BC17E58F858D368"/>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2022)</w:t>
          </w:r>
        </w:sdtContent>
      </w:sdt>
      <w:r w:rsidRPr="0053182F">
        <w:rPr>
          <w:rFonts w:eastAsia="Times New Roman"/>
          <w:color w:val="auto"/>
        </w:rPr>
        <w:t xml:space="preserve">. Furthermore, Long working hours without adequate rest periods are associated with increased vulnerability to CMS practices; for example, workers of some suppliers of the Chinese fashion company “Shein” are working 75 hrs per week which is against local law  </w:t>
      </w:r>
      <w:sdt>
        <w:sdtPr>
          <w:rPr>
            <w:rFonts w:eastAsia="Times New Roman"/>
          </w:rPr>
          <w:tag w:val="MENDELEY_CITATION_v3_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"/>
          <w:id w:val="1417361695"/>
          <w:placeholder>
            <w:docPart w:val="30F962117DFA4E3B8BC17E58F858D368"/>
          </w:placeholder>
        </w:sdtPr>
        <w:sdtContent>
          <w:r w:rsidR="00CC1788" w:rsidRPr="0053182F">
            <w:rPr>
              <w:rFonts w:eastAsia="Times New Roman"/>
            </w:rPr>
            <w:t>(BBC News, 2021)</w:t>
          </w:r>
        </w:sdtContent>
      </w:sdt>
      <w:r w:rsidRPr="0053182F">
        <w:rPr>
          <w:rFonts w:eastAsia="Times New Roman"/>
          <w:color w:val="auto"/>
        </w:rPr>
        <w:t xml:space="preserve"> and the employee worked 100 hours per week in Apple accused of violating labour law </w:t>
      </w:r>
      <w:sdt>
        <w:sdtPr>
          <w:rPr>
            <w:rFonts w:eastAsia="Times New Roman"/>
          </w:rPr>
          <w:tag w:val="MENDELEY_CITATION_v3_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"/>
          <w:id w:val="-694924792"/>
          <w:placeholder>
            <w:docPart w:val="30F962117DFA4E3B8BC17E58F858D368"/>
          </w:placeholder>
        </w:sdtPr>
        <w:sdtContent>
          <w:r w:rsidR="00CC1788" w:rsidRPr="0053182F">
            <w:rPr>
              <w:rFonts w:eastAsia="Times New Roman"/>
            </w:rPr>
            <w:t>(BHRRC, 2019)</w:t>
          </w:r>
        </w:sdtContent>
      </w:sdt>
      <w:r w:rsidRPr="0053182F">
        <w:rPr>
          <w:rFonts w:eastAsia="Times New Roman"/>
          <w:color w:val="auto"/>
        </w:rPr>
        <w:t xml:space="preserve">. Moreover, excessive working hours can </w:t>
      </w:r>
      <w:r w:rsidR="005355C0" w:rsidRPr="0053182F">
        <w:rPr>
          <w:rFonts w:eastAsia="Times New Roman"/>
          <w:color w:val="auto"/>
        </w:rPr>
        <w:t>lead to d</w:t>
      </w:r>
      <w:r w:rsidRPr="0053182F">
        <w:rPr>
          <w:rFonts w:eastAsia="Times New Roman"/>
          <w:color w:val="auto"/>
        </w:rPr>
        <w:t xml:space="preserve">iminished job satisfaction and increased stress levels, further exacerbating the risk of CMS </w:t>
      </w:r>
      <w:sdt>
        <w:sdtPr>
          <w:rPr>
            <w:rFonts w:eastAsia="Times New Roman"/>
          </w:rPr>
          <w:tag w:val="MENDELEY_CITATION_v3_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"/>
          <w:id w:val="-458495738"/>
          <w:placeholder>
            <w:docPart w:val="5E5E13F5136549F89092BF00AEA3E1D2"/>
          </w:placeholder>
        </w:sdtPr>
        <w:sdtContent>
          <w:r w:rsidR="00CC1788" w:rsidRPr="0053182F">
            <w:rPr>
              <w:rFonts w:eastAsia="Times New Roman"/>
            </w:rPr>
            <w:t xml:space="preserve">(Akhter </w:t>
          </w:r>
          <w:r w:rsidR="00CC1788" w:rsidRPr="0053182F">
            <w:rPr>
              <w:rFonts w:eastAsia="Times New Roman"/>
              <w:i/>
              <w:iCs/>
            </w:rPr>
            <w:t>et al.</w:t>
          </w:r>
          <w:r w:rsidR="00CC1788" w:rsidRPr="0053182F">
            <w:rPr>
              <w:rFonts w:eastAsia="Times New Roman"/>
            </w:rPr>
            <w:t>, 2019)</w:t>
          </w:r>
        </w:sdtContent>
      </w:sdt>
      <w:r w:rsidRPr="0053182F">
        <w:rPr>
          <w:rFonts w:eastAsia="Times New Roman"/>
          <w:color w:val="auto"/>
        </w:rPr>
        <w:t xml:space="preserve">. </w:t>
      </w:r>
    </w:p>
    <w:p w14:paraId="497673F7" w14:textId="0E1627B4"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Exhausted and overworked employees are more susceptible to coercion, as they may be less able to resist exploitation and are more likely to accept unfair treatment and sexual abuse in fear of losing their jobs </w:t>
      </w:r>
      <w:sdt>
        <w:sdtPr>
          <w:rPr>
            <w:rFonts w:eastAsia="Times New Roman"/>
          </w:rPr>
          <w:tag w:val="MENDELEY_CITATION_v3_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"/>
          <w:id w:val="-1176411052"/>
          <w:placeholder>
            <w:docPart w:val="F0E53DB520704AEF80984206902D5A6F"/>
          </w:placeholder>
        </w:sdtPr>
        <w:sdtContent>
          <w:r w:rsidR="00CC1788" w:rsidRPr="0053182F">
            <w:rPr>
              <w:rFonts w:eastAsia="Times New Roman"/>
            </w:rPr>
            <w:t>(Ahmed and Alawattage, 2023; Haque and Azmat, 2015; Hayashi, 1992; Islam and Jain, 2013)</w:t>
          </w:r>
        </w:sdtContent>
      </w:sdt>
      <w:r w:rsidRPr="0053182F">
        <w:rPr>
          <w:rFonts w:eastAsia="Times New Roman"/>
          <w:color w:val="auto"/>
        </w:rPr>
        <w:t xml:space="preserve">. For example, </w:t>
      </w:r>
      <w:sdt>
        <w:sdtPr>
          <w:rPr>
            <w:rFonts w:eastAsia="Times New Roman"/>
          </w:rPr>
          <w:tag w:val="MENDELEY_CITATION_v3_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"/>
          <w:id w:val="722636898"/>
          <w:placeholder>
            <w:docPart w:val="30F962117DFA4E3B8BC17E58F858D368"/>
          </w:placeholder>
        </w:sdtPr>
        <w:sdtContent>
          <w:r w:rsidR="00CC1788" w:rsidRPr="0053182F">
            <w:rPr>
              <w:rFonts w:eastAsia="Times New Roman"/>
            </w:rPr>
            <w:t>BBC News (2023)</w:t>
          </w:r>
        </w:sdtContent>
      </w:sdt>
      <w:r w:rsidRPr="0053182F">
        <w:rPr>
          <w:rFonts w:eastAsia="Times New Roman"/>
          <w:color w:val="auto"/>
        </w:rPr>
        <w:t xml:space="preserve"> recently highlighted sexual abuse for obtaining jobs or promotions on tea farms which supply some of the world’s most popular brands, including Lipton, PG Tips, and Sainsbury's Red Label. </w:t>
      </w:r>
      <w:sdt>
        <w:sdtPr>
          <w:rPr>
            <w:rFonts w:eastAsia="Times New Roman"/>
          </w:rPr>
          <w:tag w:val="MENDELEY_CITATION_v3_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"/>
          <w:id w:val="-972205193"/>
          <w:placeholder>
            <w:docPart w:val="30F962117DFA4E3B8BC17E58F858D368"/>
          </w:placeholder>
        </w:sdtPr>
        <w:sdtContent>
          <w:r w:rsidR="00CC1788" w:rsidRPr="0053182F">
            <w:rPr>
              <w:rFonts w:eastAsia="Times New Roman"/>
            </w:rPr>
            <w:t xml:space="preserve">(Akhter </w:t>
          </w:r>
          <w:r w:rsidR="00CC1788" w:rsidRPr="0053182F">
            <w:rPr>
              <w:rFonts w:eastAsia="Times New Roman"/>
              <w:i/>
              <w:iCs/>
            </w:rPr>
            <w:t>et al.</w:t>
          </w:r>
          <w:r w:rsidR="00CC1788" w:rsidRPr="0053182F">
            <w:rPr>
              <w:rFonts w:eastAsia="Times New Roman"/>
            </w:rPr>
            <w:t>, 2019)</w:t>
          </w:r>
        </w:sdtContent>
      </w:sdt>
      <w:r w:rsidRPr="0053182F">
        <w:rPr>
          <w:rFonts w:eastAsia="Times New Roman"/>
          <w:color w:val="auto"/>
        </w:rPr>
        <w:t xml:space="preserve"> revealed that some female workers suffer from silence, particularly in the garment industry in Bangladesh, due to abuse and violence.</w:t>
      </w:r>
    </w:p>
    <w:p w14:paraId="604BA6BE" w14:textId="1961AE3F"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Another aspect of CMS practices is the absence of robust labour protections, such as minimum wage regulations, paid leave, and protection against unfair dismissal, which contributes to the prevalence of MS  practices </w:t>
      </w:r>
      <w:sdt>
        <w:sdtPr>
          <w:rPr>
            <w:rFonts w:eastAsia="Times New Roman"/>
          </w:rPr>
          <w:tag w:val="MENDELEY_CITATION_v3_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"/>
          <w:id w:val="416451971"/>
          <w:placeholder>
            <w:docPart w:val="5FABC00F1EC847B3A5C978E028B7850E"/>
          </w:placeholder>
        </w:sdtPr>
        <w:sdtContent>
          <w:r w:rsidR="00CC19F4" w:rsidRPr="0053182F">
            <w:rPr>
              <w:rFonts w:eastAsia="Times New Roman"/>
            </w:rPr>
            <w:t xml:space="preserve">(Guthrie </w:t>
          </w:r>
          <w:r w:rsidR="00CC19F4" w:rsidRPr="0053182F">
            <w:rPr>
              <w:rFonts w:eastAsia="Times New Roman"/>
              <w:i/>
              <w:iCs/>
            </w:rPr>
            <w:t>et al.</w:t>
          </w:r>
          <w:r w:rsidR="00CC19F4" w:rsidRPr="0053182F">
            <w:rPr>
              <w:rFonts w:eastAsia="Times New Roman"/>
            </w:rPr>
            <w:t xml:space="preserve">, 2022; Islam </w:t>
          </w:r>
          <w:r w:rsidR="00CC19F4" w:rsidRPr="0053182F">
            <w:rPr>
              <w:rFonts w:eastAsia="Times New Roman"/>
              <w:i/>
              <w:iCs/>
            </w:rPr>
            <w:t>et al.</w:t>
          </w:r>
          <w:r w:rsidR="00CC19F4" w:rsidRPr="0053182F">
            <w:rPr>
              <w:rFonts w:eastAsia="Times New Roman"/>
            </w:rPr>
            <w:t>, 2021; Kaufman, 2009)</w:t>
          </w:r>
        </w:sdtContent>
      </w:sdt>
      <w:r w:rsidRPr="0053182F">
        <w:rPr>
          <w:rFonts w:eastAsia="Times New Roman"/>
          <w:color w:val="auto"/>
        </w:rPr>
        <w:t xml:space="preserve">. Workers who lack legal safeguards are more susceptible to exploitation, forced labour, and debt bondage </w:t>
      </w:r>
      <w:sdt>
        <w:sdtPr>
          <w:rPr>
            <w:rFonts w:eastAsia="Times New Roman"/>
          </w:rPr>
          <w:tag w:val="MENDELEY_CITATION_v3_eyJjaXRhdGlvbklEIjoiTUVOREVMRVlfQ0lUQVRJT05fNGM1MTYyYjktOWU5ZC00OWEyLTgwNjktYWMxYWI4NzU4YjVh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udGVybmF0aW9uYWwgTGFib3VyIE9yZ2FuaXNhdGlvbi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531614816"/>
          <w:placeholder>
            <w:docPart w:val="5FABC00F1EC847B3A5C978E028B7850E"/>
          </w:placeholder>
        </w:sdtPr>
        <w:sdtContent>
          <w:r w:rsidR="00CC19F4" w:rsidRPr="0053182F">
            <w:rPr>
              <w:rFonts w:eastAsia="Times New Roman"/>
            </w:rPr>
            <w:t>(ILO, 1998)</w:t>
          </w:r>
        </w:sdtContent>
      </w:sdt>
      <w:r w:rsidRPr="0053182F">
        <w:rPr>
          <w:rFonts w:eastAsia="Times New Roman"/>
          <w:color w:val="auto"/>
        </w:rPr>
        <w:t xml:space="preserve">. Weak labour laws and inadequate enforcement mechanisms allow unscrupulous employers to exploit workers and subject them to CMS practices with impunity </w:t>
      </w:r>
      <w:sdt>
        <w:sdtPr>
          <w:rPr>
            <w:rFonts w:eastAsia="Times New Roman"/>
          </w:rPr>
          <w:tag w:val="MENDELEY_CITATION_v3_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"/>
          <w:id w:val="-400210365"/>
          <w:placeholder>
            <w:docPart w:val="5FABC00F1EC847B3A5C978E028B7850E"/>
          </w:placeholder>
        </w:sdtPr>
        <w:sdtContent>
          <w:r w:rsidR="00CC19F4" w:rsidRPr="0053182F">
            <w:rPr>
              <w:rFonts w:eastAsia="Times New Roman"/>
            </w:rPr>
            <w:t>(BHRRC, 2019)</w:t>
          </w:r>
        </w:sdtContent>
      </w:sdt>
      <w:r w:rsidRPr="0053182F">
        <w:rPr>
          <w:rFonts w:eastAsia="Times New Roman"/>
          <w:color w:val="auto"/>
        </w:rPr>
        <w:t xml:space="preserve">. Also, poor working conditions directly impact the prevalence of CMS. Also, it creates an environment where exploitation can occur, and workers are more likely to be subjected to forced labour, human trafficking, and other forms of CMS. Unsafe workplaces, excessive working hours, and inadequate labour protections undermine the dignity and rights of workers, perpetuating cycles of exploitation and vulnerability </w:t>
      </w:r>
      <w:sdt>
        <w:sdtPr>
          <w:rPr>
            <w:rFonts w:eastAsia="Times New Roman"/>
          </w:rPr>
          <w:tag w:val="MENDELEY_CITATION_v3_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LH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645097280"/>
          <w:placeholder>
            <w:docPart w:val="7D5244FA4075422FB3592CCBBA9196AA"/>
          </w:placeholder>
        </w:sdtPr>
        <w:sdtContent>
          <w:r w:rsidR="00B85634" w:rsidRPr="0053182F">
            <w:rPr>
              <w:rFonts w:eastAsia="Times New Roman"/>
            </w:rPr>
            <w:t>(ILO, 1998; Islam and McPhail, 2011)</w:t>
          </w:r>
        </w:sdtContent>
      </w:sdt>
      <w:r w:rsidRPr="0053182F">
        <w:rPr>
          <w:rFonts w:eastAsia="Times New Roman"/>
          <w:color w:val="auto"/>
        </w:rPr>
        <w:t>.</w:t>
      </w:r>
    </w:p>
    <w:p w14:paraId="5148A2F6" w14:textId="13C68C0F" w:rsidR="00144866" w:rsidRPr="0053182F" w:rsidRDefault="00144866" w:rsidP="00144866">
      <w:pPr>
        <w:pStyle w:val="Heading4"/>
        <w:spacing w:before="0" w:after="0" w:line="480" w:lineRule="auto"/>
        <w:rPr>
          <w:rFonts w:eastAsia="Times New Roman" w:cs="Times New Roman"/>
          <w:b w:val="0"/>
          <w:bCs/>
          <w:i w:val="0"/>
          <w:iCs w:val="0"/>
        </w:rPr>
      </w:pPr>
      <w:r w:rsidRPr="0053182F">
        <w:rPr>
          <w:rFonts w:eastAsia="Times New Roman" w:cs="Times New Roman"/>
          <w:bCs/>
          <w:i w:val="0"/>
          <w:iCs w:val="0"/>
        </w:rPr>
        <w:t xml:space="preserve">2.3.2.3. Corporate </w:t>
      </w:r>
      <w:r w:rsidR="00387D4B" w:rsidRPr="0053182F">
        <w:rPr>
          <w:rFonts w:eastAsia="Times New Roman" w:cs="Times New Roman"/>
          <w:bCs/>
          <w:i w:val="0"/>
          <w:iCs w:val="0"/>
        </w:rPr>
        <w:t>M</w:t>
      </w:r>
      <w:r w:rsidRPr="0053182F">
        <w:rPr>
          <w:rFonts w:eastAsia="Times New Roman" w:cs="Times New Roman"/>
          <w:bCs/>
          <w:i w:val="0"/>
          <w:iCs w:val="0"/>
        </w:rPr>
        <w:t xml:space="preserve">odern </w:t>
      </w:r>
      <w:r w:rsidR="00387D4B" w:rsidRPr="0053182F">
        <w:rPr>
          <w:rFonts w:eastAsia="Times New Roman" w:cs="Times New Roman"/>
          <w:bCs/>
          <w:i w:val="0"/>
          <w:iCs w:val="0"/>
        </w:rPr>
        <w:t>Slavery Practices</w:t>
      </w:r>
      <w:r w:rsidRPr="0053182F">
        <w:rPr>
          <w:rFonts w:eastAsia="Times New Roman" w:cs="Times New Roman"/>
          <w:bCs/>
          <w:i w:val="0"/>
          <w:iCs w:val="0"/>
        </w:rPr>
        <w:t xml:space="preserve"> - </w:t>
      </w:r>
      <w:r w:rsidR="00387D4B" w:rsidRPr="0053182F">
        <w:rPr>
          <w:rFonts w:eastAsia="Times New Roman" w:cs="Times New Roman"/>
          <w:bCs/>
          <w:i w:val="0"/>
          <w:iCs w:val="0"/>
        </w:rPr>
        <w:t>P</w:t>
      </w:r>
      <w:r w:rsidRPr="0053182F">
        <w:rPr>
          <w:rFonts w:eastAsia="Times New Roman" w:cs="Times New Roman"/>
          <w:bCs/>
          <w:i w:val="0"/>
          <w:iCs w:val="0"/>
        </w:rPr>
        <w:t xml:space="preserve">romotion of </w:t>
      </w:r>
      <w:r w:rsidR="00387D4B" w:rsidRPr="0053182F">
        <w:rPr>
          <w:rFonts w:eastAsia="Times New Roman" w:cs="Times New Roman"/>
          <w:bCs/>
          <w:i w:val="0"/>
          <w:iCs w:val="0"/>
        </w:rPr>
        <w:t>N</w:t>
      </w:r>
      <w:r w:rsidRPr="0053182F">
        <w:rPr>
          <w:rFonts w:eastAsia="Times New Roman" w:cs="Times New Roman"/>
          <w:bCs/>
          <w:i w:val="0"/>
          <w:iCs w:val="0"/>
        </w:rPr>
        <w:t xml:space="preserve">on-decent </w:t>
      </w:r>
      <w:r w:rsidR="00387D4B" w:rsidRPr="0053182F">
        <w:rPr>
          <w:rFonts w:eastAsia="Times New Roman" w:cs="Times New Roman"/>
          <w:bCs/>
          <w:i w:val="0"/>
          <w:iCs w:val="0"/>
        </w:rPr>
        <w:t>W</w:t>
      </w:r>
      <w:r w:rsidRPr="0053182F">
        <w:rPr>
          <w:rFonts w:eastAsia="Times New Roman" w:cs="Times New Roman"/>
          <w:bCs/>
          <w:i w:val="0"/>
          <w:iCs w:val="0"/>
        </w:rPr>
        <w:t xml:space="preserve">ork </w:t>
      </w:r>
      <w:r w:rsidR="00387D4B" w:rsidRPr="0053182F">
        <w:rPr>
          <w:rFonts w:eastAsia="Times New Roman" w:cs="Times New Roman"/>
          <w:bCs/>
          <w:i w:val="0"/>
          <w:iCs w:val="0"/>
        </w:rPr>
        <w:t>C</w:t>
      </w:r>
      <w:r w:rsidRPr="0053182F">
        <w:rPr>
          <w:rFonts w:eastAsia="Times New Roman" w:cs="Times New Roman"/>
          <w:bCs/>
          <w:i w:val="0"/>
          <w:iCs w:val="0"/>
        </w:rPr>
        <w:t>onditions</w:t>
      </w:r>
    </w:p>
    <w:p w14:paraId="6AA08C55" w14:textId="7F9EC76C" w:rsidR="00144866" w:rsidRPr="0053182F" w:rsidRDefault="00144866" w:rsidP="00144866">
      <w:pPr>
        <w:spacing w:after="0" w:line="480" w:lineRule="auto"/>
        <w:jc w:val="both"/>
        <w:rPr>
          <w:rFonts w:eastAsia="Times New Roman"/>
          <w:color w:val="auto"/>
        </w:rPr>
      </w:pPr>
      <w:r w:rsidRPr="0053182F">
        <w:rPr>
          <w:rFonts w:eastAsia="Times New Roman"/>
          <w:color w:val="auto"/>
        </w:rPr>
        <w:t xml:space="preserve">The concept of "decent work," introduced in 1999 in the Director-General's report to the International Labour Conference, serves as a comprehensive framework for understanding the various dimensions associated with labour in contemporary society. Further, </w:t>
      </w:r>
      <w:r w:rsidR="00B85BA5" w:rsidRPr="0053182F">
        <w:rPr>
          <w:rFonts w:eastAsia="Times New Roman"/>
          <w:color w:val="auto"/>
        </w:rPr>
        <w:t xml:space="preserve">this report explains four dimensions of decent work </w:t>
      </w:r>
      <w:sdt>
        <w:sdtPr>
          <w:rPr>
            <w:rFonts w:eastAsia="Times New Roman"/>
            <w:color w:val="auto"/>
          </w:rPr>
          <w:tag w:val="MENDELEY_CITATION_v3_eyJjaXRhdGlvbklEIjoiTUVOREVMRVlfQ0lUQVRJT05fODg2NjcyZTgtNGM4Yi00MDU1LTk4MzktMmVlN2FlNjc2ZGRk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
          <w:id w:val="1312375633"/>
          <w:placeholder>
            <w:docPart w:val="9B33C656CD3A4A369657202EFD0EA818"/>
          </w:placeholder>
        </w:sdtPr>
        <w:sdtEndPr>
          <w:rPr>
            <w:color w:val="000000"/>
          </w:rPr>
        </w:sdtEndPr>
        <w:sdtContent>
          <w:r w:rsidR="00CC19F4" w:rsidRPr="0053182F">
            <w:rPr>
              <w:rFonts w:eastAsia="Times New Roman"/>
            </w:rPr>
            <w:t>(Ghai, 2003)</w:t>
          </w:r>
        </w:sdtContent>
      </w:sdt>
      <w:r w:rsidRPr="0053182F">
        <w:rPr>
          <w:rFonts w:eastAsia="Times New Roman"/>
          <w:color w:val="auto"/>
        </w:rPr>
        <w:t>.</w:t>
      </w:r>
    </w:p>
    <w:p w14:paraId="2C349855" w14:textId="43FC64D4" w:rsidR="00144866" w:rsidRPr="0053182F" w:rsidRDefault="00144866" w:rsidP="00144866">
      <w:pPr>
        <w:pStyle w:val="ListParagraph"/>
        <w:numPr>
          <w:ilvl w:val="0"/>
          <w:numId w:val="21"/>
        </w:numPr>
        <w:spacing w:after="0" w:line="480" w:lineRule="auto"/>
        <w:jc w:val="both"/>
        <w:rPr>
          <w:rFonts w:eastAsia="Times New Roman"/>
          <w:color w:val="auto"/>
        </w:rPr>
      </w:pPr>
      <w:r w:rsidRPr="0053182F">
        <w:rPr>
          <w:rFonts w:eastAsia="Times New Roman"/>
          <w:b/>
          <w:bCs/>
          <w:i/>
          <w:iCs/>
          <w:color w:val="auto"/>
        </w:rPr>
        <w:t>Employment:</w:t>
      </w:r>
      <w:r w:rsidRPr="0053182F">
        <w:rPr>
          <w:rFonts w:eastAsia="Times New Roman"/>
          <w:color w:val="auto"/>
        </w:rPr>
        <w:t xml:space="preserve"> This component e</w:t>
      </w:r>
      <w:r w:rsidR="00B85BA5" w:rsidRPr="0053182F">
        <w:rPr>
          <w:rFonts w:eastAsia="Times New Roman"/>
          <w:color w:val="auto"/>
        </w:rPr>
        <w:t>ncompasses all types of work and</w:t>
      </w:r>
      <w:r w:rsidRPr="0053182F">
        <w:rPr>
          <w:rFonts w:eastAsia="Times New Roman"/>
          <w:color w:val="auto"/>
        </w:rPr>
        <w:t xml:space="preserve"> both quantitative and qualitative aspects. "Decent work" is not limited to formal employment but also encompasses unregulated wage labour, self-employment, and even home-based work </w:t>
      </w:r>
      <w:sdt>
        <w:sdtPr>
          <w:tag w:val="MENDELEY_CITATION_v3_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"/>
          <w:id w:val="98924805"/>
          <w:placeholder>
            <w:docPart w:val="9B33C656CD3A4A369657202EFD0EA818"/>
          </w:placeholder>
        </w:sdtPr>
        <w:sdtContent>
          <w:r w:rsidR="00CC19F4" w:rsidRPr="0053182F">
            <w:rPr>
              <w:rFonts w:eastAsia="Times New Roman"/>
            </w:rPr>
            <w:t>(International Labour Conference, 1999)</w:t>
          </w:r>
        </w:sdtContent>
      </w:sdt>
      <w:r w:rsidRPr="0053182F">
        <w:rPr>
          <w:rFonts w:eastAsia="Times New Roman"/>
          <w:color w:val="auto"/>
        </w:rPr>
        <w:t>. It emphasi</w:t>
      </w:r>
      <w:r w:rsidR="00B85BA5" w:rsidRPr="0053182F">
        <w:rPr>
          <w:rFonts w:eastAsia="Times New Roman"/>
          <w:color w:val="auto"/>
        </w:rPr>
        <w:t>s</w:t>
      </w:r>
      <w:r w:rsidRPr="0053182F">
        <w:rPr>
          <w:rFonts w:eastAsia="Times New Roman"/>
          <w:color w:val="auto"/>
        </w:rPr>
        <w:t xml:space="preserve">es not only the availability of work but also </w:t>
      </w:r>
      <w:r w:rsidR="00B85BA5" w:rsidRPr="0053182F">
        <w:rPr>
          <w:rFonts w:eastAsia="Times New Roman"/>
          <w:color w:val="auto"/>
        </w:rPr>
        <w:t xml:space="preserve">its quality, </w:t>
      </w:r>
      <w:r w:rsidRPr="0053182F">
        <w:rPr>
          <w:rFonts w:eastAsia="Times New Roman"/>
          <w:color w:val="auto"/>
        </w:rPr>
        <w:t xml:space="preserve">including fair remuneration, safe working conditions, and opportunities for personal and professional growth </w:t>
      </w:r>
      <w:sdt>
        <w:sdtPr>
          <w:tag w:val="MENDELEY_CITATION_v3_eyJjaXRhdGlvbklEIjoiTUVOREVMRVlfQ0lUQVRJT05fODcwNTY1NzUtZGZiMC00N2E1LTkwODQtMDNkZGVkZjExNzdj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
          <w:id w:val="503719759"/>
          <w:placeholder>
            <w:docPart w:val="9B33C656CD3A4A369657202EFD0EA818"/>
          </w:placeholder>
        </w:sdtPr>
        <w:sdtContent>
          <w:r w:rsidR="00CC19F4" w:rsidRPr="0053182F">
            <w:rPr>
              <w:rFonts w:eastAsia="Times New Roman"/>
            </w:rPr>
            <w:t>(Ghai, 2003)</w:t>
          </w:r>
        </w:sdtContent>
      </w:sdt>
      <w:r w:rsidRPr="0053182F">
        <w:rPr>
          <w:rFonts w:eastAsia="Times New Roman"/>
          <w:color w:val="auto"/>
        </w:rPr>
        <w:t xml:space="preserve">. </w:t>
      </w:r>
    </w:p>
    <w:p w14:paraId="78C4CD97" w14:textId="433379AE" w:rsidR="00144866" w:rsidRPr="0053182F" w:rsidRDefault="00144866" w:rsidP="00144866">
      <w:pPr>
        <w:pStyle w:val="ListParagraph"/>
        <w:numPr>
          <w:ilvl w:val="0"/>
          <w:numId w:val="21"/>
        </w:numPr>
        <w:spacing w:after="0" w:line="480" w:lineRule="auto"/>
        <w:jc w:val="both"/>
        <w:rPr>
          <w:rFonts w:eastAsia="Times New Roman"/>
          <w:color w:val="auto"/>
        </w:rPr>
      </w:pPr>
      <w:r w:rsidRPr="0053182F">
        <w:rPr>
          <w:rFonts w:eastAsia="Times New Roman"/>
          <w:b/>
          <w:bCs/>
          <w:i/>
          <w:iCs/>
          <w:color w:val="auto"/>
        </w:rPr>
        <w:t>Social Protection</w:t>
      </w:r>
      <w:r w:rsidRPr="0053182F">
        <w:rPr>
          <w:rFonts w:eastAsia="Times New Roman"/>
          <w:color w:val="auto"/>
        </w:rPr>
        <w:t xml:space="preserve">: This facet underscores the importance of social security and income security, which vary </w:t>
      </w:r>
      <w:r w:rsidR="00B85BA5" w:rsidRPr="0053182F">
        <w:rPr>
          <w:rFonts w:eastAsia="Times New Roman"/>
          <w:color w:val="auto"/>
        </w:rPr>
        <w:t>across societies and development levels</w:t>
      </w:r>
      <w:r w:rsidRPr="0053182F">
        <w:rPr>
          <w:rFonts w:eastAsia="Times New Roman"/>
          <w:color w:val="auto"/>
        </w:rPr>
        <w:t xml:space="preserve">. Ensuring that workers have access to safety nets and economic stability is a crucial aspect of decent work </w:t>
      </w:r>
      <w:sdt>
        <w:sdtPr>
          <w:tag w:val="MENDELEY_CITATION_v3_eyJjaXRhdGlvbklEIjoiTUVOREVMRVlfQ0lUQVRJT05fMmI4OTExYWQtMzY5YS00ODVjLTgyYmUtNTAzODQ1NmJmYjc4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
          <w:id w:val="2112008680"/>
          <w:placeholder>
            <w:docPart w:val="9B33C656CD3A4A369657202EFD0EA818"/>
          </w:placeholder>
        </w:sdtPr>
        <w:sdtContent>
          <w:r w:rsidR="00CC19F4" w:rsidRPr="0053182F">
            <w:rPr>
              <w:rFonts w:eastAsia="Times New Roman"/>
            </w:rPr>
            <w:t>(Ghai, 2003)</w:t>
          </w:r>
        </w:sdtContent>
      </w:sdt>
      <w:r w:rsidRPr="0053182F">
        <w:rPr>
          <w:rFonts w:eastAsia="Times New Roman"/>
          <w:color w:val="auto"/>
        </w:rPr>
        <w:t>.</w:t>
      </w:r>
    </w:p>
    <w:p w14:paraId="31101C75" w14:textId="02B7CF58" w:rsidR="00144866" w:rsidRPr="0053182F" w:rsidRDefault="00144866" w:rsidP="00144866">
      <w:pPr>
        <w:pStyle w:val="ListParagraph"/>
        <w:numPr>
          <w:ilvl w:val="0"/>
          <w:numId w:val="21"/>
        </w:numPr>
        <w:spacing w:after="0" w:line="480" w:lineRule="auto"/>
        <w:jc w:val="both"/>
        <w:rPr>
          <w:rFonts w:eastAsia="Times New Roman"/>
          <w:color w:val="auto"/>
        </w:rPr>
      </w:pPr>
      <w:r w:rsidRPr="0053182F">
        <w:rPr>
          <w:rFonts w:eastAsia="Times New Roman"/>
          <w:b/>
          <w:bCs/>
          <w:i/>
          <w:iCs/>
          <w:color w:val="auto"/>
        </w:rPr>
        <w:t>Workers' Rights:</w:t>
      </w:r>
      <w:r w:rsidRPr="0053182F">
        <w:rPr>
          <w:rFonts w:eastAsia="Times New Roman"/>
          <w:color w:val="auto"/>
        </w:rPr>
        <w:t xml:space="preserve"> The fundamental rights of workers are at the core of decent work </w:t>
      </w:r>
      <w:sdt>
        <w:sdtPr>
          <w:tag w:val="MENDELEY_CITATION_v3_eyJjaXRhdGlvbklEIjoiTUVOREVMRVlfQ0lUQVRJT05fMmRjMGI0MjItNmRjOS00NzQ3LTk1YmMtMjE1NmZiNDk1MmUy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
          <w:id w:val="2134671743"/>
          <w:placeholder>
            <w:docPart w:val="9B33C656CD3A4A369657202EFD0EA818"/>
          </w:placeholder>
        </w:sdtPr>
        <w:sdtContent>
          <w:r w:rsidR="00CC19F4" w:rsidRPr="0053182F">
            <w:rPr>
              <w:rFonts w:eastAsia="Times New Roman"/>
            </w:rPr>
            <w:t>(Ghai, 2003)</w:t>
          </w:r>
        </w:sdtContent>
      </w:sdt>
      <w:r w:rsidRPr="0053182F">
        <w:rPr>
          <w:rFonts w:eastAsia="Times New Roman"/>
          <w:color w:val="auto"/>
        </w:rPr>
        <w:t xml:space="preserve">. These rights include freedom of association, protection against </w:t>
      </w:r>
      <w:r w:rsidR="00E467A1" w:rsidRPr="0053182F">
        <w:rPr>
          <w:rFonts w:eastAsia="Times New Roman"/>
          <w:color w:val="auto"/>
        </w:rPr>
        <w:t>workplace discrimination, and the prevention of force</w:t>
      </w:r>
      <w:r w:rsidRPr="0053182F">
        <w:rPr>
          <w:rFonts w:eastAsia="Times New Roman"/>
          <w:color w:val="auto"/>
        </w:rPr>
        <w:t xml:space="preserve">d child labour </w:t>
      </w:r>
      <w:sdt>
        <w:sdtPr>
          <w:tag w:val="MENDELEY_CITATION_v3_eyJjaXRhdGlvbklEIjoiTUVOREVMRVlfQ0lUQVRJT05fOTdmMTg1YjQtMGEyZS00ZWRhLWEwMzYtYzExMjE3YWFjNDFlIiwicHJvcGVydGllcyI6eyJub3RlSW5kZXgiOjB9LCJpc0VkaXRlZCI6ZmFsc2UsIm1hbnVhbE92ZXJyaWRlIjp7ImlzTWFudWFsbHlPdmVycmlkZGVuIjpmYWxzZSwiY2l0ZXByb2NUZXh0IjoiKElMTywgMjAyMmMpIiwibWFudWFsT3ZlcnJpZGVUZXh0IjoiIn0sImNpdGF0aW9uSXRlbXMiOlt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udGVybmF0aW9uYWwgTGFib3VyIE9yZ2FuaXNhdGlvbi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V19"/>
          <w:id w:val="1655874250"/>
          <w:placeholder>
            <w:docPart w:val="9B33C656CD3A4A369657202EFD0EA818"/>
          </w:placeholder>
        </w:sdtPr>
        <w:sdtContent>
          <w:r w:rsidR="00CC19F4" w:rsidRPr="0053182F">
            <w:rPr>
              <w:rFonts w:eastAsia="Times New Roman"/>
            </w:rPr>
            <w:t>(ILO, 2022c)</w:t>
          </w:r>
        </w:sdtContent>
      </w:sdt>
      <w:r w:rsidRPr="0053182F">
        <w:rPr>
          <w:rFonts w:eastAsia="Times New Roman"/>
          <w:color w:val="auto"/>
        </w:rPr>
        <w:t xml:space="preserve">. Decent work </w:t>
      </w:r>
      <w:r w:rsidR="00E467A1" w:rsidRPr="0053182F">
        <w:rPr>
          <w:rFonts w:eastAsia="Times New Roman"/>
          <w:color w:val="auto"/>
        </w:rPr>
        <w:t>demands fair and ethical treatment for</w:t>
      </w:r>
      <w:r w:rsidRPr="0053182F">
        <w:rPr>
          <w:rFonts w:eastAsia="Times New Roman"/>
          <w:color w:val="auto"/>
        </w:rPr>
        <w:t xml:space="preserve"> all workers, regardless of their status or background.</w:t>
      </w:r>
    </w:p>
    <w:p w14:paraId="52207F0F" w14:textId="6B071609" w:rsidR="00144866" w:rsidRPr="0053182F" w:rsidRDefault="00144866" w:rsidP="00144866">
      <w:pPr>
        <w:pStyle w:val="ListParagraph"/>
        <w:numPr>
          <w:ilvl w:val="0"/>
          <w:numId w:val="21"/>
        </w:numPr>
        <w:spacing w:after="0" w:line="480" w:lineRule="auto"/>
        <w:jc w:val="both"/>
        <w:rPr>
          <w:rFonts w:eastAsia="Times New Roman"/>
          <w:color w:val="auto"/>
        </w:rPr>
      </w:pPr>
      <w:r w:rsidRPr="0053182F">
        <w:rPr>
          <w:rFonts w:eastAsia="Times New Roman"/>
          <w:b/>
          <w:bCs/>
          <w:i/>
          <w:iCs/>
          <w:color w:val="auto"/>
        </w:rPr>
        <w:t>Social Dialogue:</w:t>
      </w:r>
      <w:r w:rsidRPr="0053182F">
        <w:rPr>
          <w:rFonts w:eastAsia="Times New Roman"/>
          <w:color w:val="auto"/>
        </w:rPr>
        <w:t xml:space="preserve"> The concept recogni</w:t>
      </w:r>
      <w:r w:rsidR="00E467A1" w:rsidRPr="0053182F">
        <w:rPr>
          <w:rFonts w:eastAsia="Times New Roman"/>
          <w:color w:val="auto"/>
        </w:rPr>
        <w:t>s</w:t>
      </w:r>
      <w:r w:rsidRPr="0053182F">
        <w:rPr>
          <w:rFonts w:eastAsia="Times New Roman"/>
          <w:color w:val="auto"/>
        </w:rPr>
        <w:t xml:space="preserve">es the significance of social interactions among workers, employers, and authorities </w:t>
      </w:r>
      <w:sdt>
        <w:sdtPr>
          <w:tag w:val="MENDELEY_CITATION_v3_eyJjaXRhdGlvbklEIjoiTUVOREVMRVlfQ0lUQVRJT05fMDY5NzIxOTgtNTc0Zi00ODUxLWIwOGItMTY3ZWQ4ODNjMmM0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
          <w:id w:val="-1716645497"/>
          <w:placeholder>
            <w:docPart w:val="9B33C656CD3A4A369657202EFD0EA818"/>
          </w:placeholder>
        </w:sdtPr>
        <w:sdtContent>
          <w:r w:rsidR="00CC19F4" w:rsidRPr="0053182F">
            <w:rPr>
              <w:rFonts w:eastAsia="Times New Roman"/>
            </w:rPr>
            <w:t>(Ghai, 2003)</w:t>
          </w:r>
        </w:sdtContent>
      </w:sdt>
      <w:r w:rsidRPr="0053182F">
        <w:rPr>
          <w:rFonts w:eastAsia="Times New Roman"/>
          <w:color w:val="auto"/>
        </w:rPr>
        <w:t>. Social dialogue involves workers having the freedom to voice their opinions, advocate for their interests, and engage in discussions and negotiations regarding work-related matters. It fosters cooperation and consensus-building among stakeholders.</w:t>
      </w:r>
    </w:p>
    <w:p w14:paraId="43B73206" w14:textId="6DF6005A" w:rsidR="00144866" w:rsidRPr="0053182F" w:rsidRDefault="00144866" w:rsidP="00144866">
      <w:pPr>
        <w:spacing w:after="0" w:line="480" w:lineRule="auto"/>
        <w:ind w:firstLine="720"/>
        <w:jc w:val="both"/>
        <w:rPr>
          <w:rFonts w:eastAsia="Times New Roman"/>
          <w:color w:val="auto"/>
        </w:rPr>
      </w:pPr>
      <w:r w:rsidRPr="0053182F">
        <w:rPr>
          <w:rFonts w:eastAsia="Times New Roman"/>
          <w:color w:val="auto"/>
        </w:rPr>
        <w:t xml:space="preserve">Similarly, </w:t>
      </w:r>
      <w:sdt>
        <w:sdtPr>
          <w:tag w:val="MENDELEY_CITATION_v3_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"/>
          <w:id w:val="-1928415699"/>
          <w:placeholder>
            <w:docPart w:val="593CDFB4F4154A7F94EB7C4B3D1B0402"/>
          </w:placeholder>
        </w:sdtPr>
        <w:sdtContent>
          <w:r w:rsidR="00CC19F4" w:rsidRPr="0053182F">
            <w:rPr>
              <w:rFonts w:eastAsia="Times New Roman"/>
            </w:rPr>
            <w:t>(ILO, 2023b)</w:t>
          </w:r>
        </w:sdtContent>
      </w:sdt>
      <w:r w:rsidRPr="0053182F">
        <w:rPr>
          <w:rFonts w:eastAsia="Times New Roman"/>
          <w:color w:val="auto"/>
        </w:rPr>
        <w:t>, the concept of "decent work" underscores the fundamental principle that “not every job can be considered of high quality, nor can every form of labour be deemed as equitable”. Furthermore, the ILO has elaborated on the notion of decent work by identifying four pivotal components: dignity, equality, fair income, and safe working conditions. Additionally, it highlights the importance of providing workers with a voice, acknowledging their activities, and</w:t>
      </w:r>
      <w:r w:rsidRPr="0053182F">
        <w:rPr>
          <w:color w:val="auto"/>
        </w:rPr>
        <w:t xml:space="preserve"> </w:t>
      </w:r>
      <w:r w:rsidRPr="0053182F">
        <w:rPr>
          <w:rFonts w:eastAsia="Times New Roman"/>
          <w:color w:val="auto"/>
        </w:rPr>
        <w:t xml:space="preserve">safeguarding their rights to shield them from exploitation. This approach is not merely about the present but also about paving the way for an inclusive and sustainable future. It is noteworthy that the pursuit of decent work aligns with the broader global agenda. Decent work acts as a catalyst for achieving all 17 UN-SDGs, encompassing critical facets of human development, social justice, and economic growth </w:t>
      </w:r>
      <w:sdt>
        <w:sdtPr>
          <w:tag w:val="MENDELEY_CITATION_v3_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"/>
          <w:id w:val="1865863930"/>
          <w:placeholder>
            <w:docPart w:val="9B33C656CD3A4A369657202EFD0EA818"/>
          </w:placeholder>
        </w:sdtPr>
        <w:sdtContent>
          <w:r w:rsidR="00CC19F4" w:rsidRPr="0053182F">
            <w:rPr>
              <w:rFonts w:eastAsia="Times New Roman"/>
            </w:rPr>
            <w:t>(ILO, 2023b)</w:t>
          </w:r>
        </w:sdtContent>
      </w:sdt>
      <w:r w:rsidRPr="0053182F">
        <w:rPr>
          <w:rFonts w:eastAsia="Times New Roman"/>
          <w:color w:val="auto"/>
        </w:rPr>
        <w:t>.</w:t>
      </w:r>
    </w:p>
    <w:p w14:paraId="6606E645" w14:textId="7475DCE2" w:rsidR="00144866" w:rsidRPr="0053182F" w:rsidRDefault="00D20468" w:rsidP="00144866">
      <w:pPr>
        <w:spacing w:after="0" w:line="480" w:lineRule="auto"/>
        <w:ind w:firstLine="720"/>
        <w:jc w:val="both"/>
        <w:rPr>
          <w:rFonts w:eastAsia="Times New Roman"/>
          <w:color w:val="auto"/>
        </w:rPr>
      </w:pPr>
      <w:sdt>
        <w:sdtPr>
          <w:rPr>
            <w:rFonts w:eastAsia="Times New Roman"/>
          </w:rPr>
          <w:tag w:val="MENDELEY_CITATION_v3_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"/>
          <w:id w:val="-2054450178"/>
          <w:placeholder>
            <w:docPart w:val="9B33C656CD3A4A369657202EFD0EA818"/>
          </w:placeholder>
        </w:sdtPr>
        <w:sdtContent>
          <w:r w:rsidR="00CC19F4" w:rsidRPr="0053182F">
            <w:rPr>
              <w:rFonts w:eastAsia="Times New Roman"/>
            </w:rPr>
            <w:t>Anker et al (2003, p. 151)</w:t>
          </w:r>
        </w:sdtContent>
      </w:sdt>
      <w:r w:rsidR="00144866" w:rsidRPr="0053182F">
        <w:rPr>
          <w:rFonts w:eastAsia="Times New Roman"/>
          <w:color w:val="auto"/>
        </w:rPr>
        <w:t xml:space="preserve"> defined decent work as “opportunities for women and men to obtain decent and productive work in conditions of freedom, equity, security and human dignity”. Moreover, these scholars identified similar dimensions to the ILO but an expanded version of it. Such as;</w:t>
      </w:r>
    </w:p>
    <w:p w14:paraId="31BCD9F5" w14:textId="77777777" w:rsidR="00144866" w:rsidRPr="0053182F" w:rsidRDefault="00144866" w:rsidP="002110C2">
      <w:pPr>
        <w:pStyle w:val="ListParagraph"/>
        <w:numPr>
          <w:ilvl w:val="0"/>
          <w:numId w:val="20"/>
        </w:numPr>
        <w:spacing w:after="0" w:line="480" w:lineRule="auto"/>
        <w:ind w:left="1134"/>
        <w:jc w:val="both"/>
        <w:rPr>
          <w:rFonts w:eastAsia="Times New Roman"/>
          <w:color w:val="auto"/>
        </w:rPr>
      </w:pPr>
      <w:r w:rsidRPr="0053182F">
        <w:rPr>
          <w:rFonts w:eastAsia="Times New Roman"/>
          <w:color w:val="auto"/>
        </w:rPr>
        <w:t>Opportunities for Work: Ensuring that everyone who seeks employment can find it, encompassing various forms of economic activity.</w:t>
      </w:r>
    </w:p>
    <w:p w14:paraId="35024D44" w14:textId="58862A1B" w:rsidR="00144866" w:rsidRPr="0053182F" w:rsidRDefault="00144866" w:rsidP="002110C2">
      <w:pPr>
        <w:pStyle w:val="ListParagraph"/>
        <w:numPr>
          <w:ilvl w:val="0"/>
          <w:numId w:val="20"/>
        </w:numPr>
        <w:spacing w:after="0" w:line="480" w:lineRule="auto"/>
        <w:ind w:left="1134"/>
        <w:jc w:val="both"/>
        <w:rPr>
          <w:rFonts w:eastAsia="Times New Roman"/>
          <w:color w:val="auto"/>
        </w:rPr>
      </w:pPr>
      <w:r w:rsidRPr="0053182F">
        <w:rPr>
          <w:rFonts w:eastAsia="Times New Roman"/>
          <w:color w:val="auto"/>
        </w:rPr>
        <w:t xml:space="preserve">Freedom in Work: Work should be freely chosen, with an emphasis on eliminating bonded labour, slave labour, child labour, and </w:t>
      </w:r>
      <w:r w:rsidR="006A0C65" w:rsidRPr="0053182F">
        <w:rPr>
          <w:rFonts w:eastAsia="Times New Roman"/>
          <w:color w:val="auto"/>
        </w:rPr>
        <w:t xml:space="preserve">on </w:t>
      </w:r>
      <w:r w:rsidRPr="0053182F">
        <w:rPr>
          <w:rFonts w:eastAsia="Times New Roman"/>
          <w:color w:val="auto"/>
        </w:rPr>
        <w:t>ensuring freedom of association and non-discrimination.</w:t>
      </w:r>
    </w:p>
    <w:p w14:paraId="345B0B8F" w14:textId="77777777" w:rsidR="00144866" w:rsidRPr="0053182F" w:rsidRDefault="00144866" w:rsidP="002110C2">
      <w:pPr>
        <w:pStyle w:val="ListParagraph"/>
        <w:numPr>
          <w:ilvl w:val="0"/>
          <w:numId w:val="20"/>
        </w:numPr>
        <w:spacing w:after="0" w:line="480" w:lineRule="auto"/>
        <w:ind w:left="1134"/>
        <w:jc w:val="both"/>
        <w:rPr>
          <w:rFonts w:eastAsia="Times New Roman"/>
          <w:color w:val="auto"/>
        </w:rPr>
      </w:pPr>
      <w:r w:rsidRPr="0053182F">
        <w:rPr>
          <w:rFonts w:eastAsia="Times New Roman"/>
          <w:color w:val="auto"/>
        </w:rPr>
        <w:t>Productive Work: Work should enable acceptable livelihoods for workers and contribute to sustainable development and economic competitiveness.</w:t>
      </w:r>
    </w:p>
    <w:p w14:paraId="23D74F55" w14:textId="77777777" w:rsidR="00144866" w:rsidRPr="0053182F" w:rsidRDefault="00144866" w:rsidP="002110C2">
      <w:pPr>
        <w:pStyle w:val="ListParagraph"/>
        <w:numPr>
          <w:ilvl w:val="0"/>
          <w:numId w:val="20"/>
        </w:numPr>
        <w:spacing w:after="0" w:line="480" w:lineRule="auto"/>
        <w:ind w:left="1134"/>
        <w:jc w:val="both"/>
        <w:rPr>
          <w:rFonts w:eastAsia="Times New Roman"/>
          <w:color w:val="auto"/>
        </w:rPr>
      </w:pPr>
      <w:r w:rsidRPr="0053182F">
        <w:rPr>
          <w:rFonts w:eastAsia="Times New Roman"/>
          <w:color w:val="auto"/>
        </w:rPr>
        <w:t>Equity in Work: Workers must enjoy fair and equitable treatment and opportunities, free from discrimination, and with the ability to balance work and family life.</w:t>
      </w:r>
    </w:p>
    <w:p w14:paraId="160B3650" w14:textId="57C50FC9" w:rsidR="00144866" w:rsidRPr="0053182F" w:rsidRDefault="00144866" w:rsidP="002110C2">
      <w:pPr>
        <w:pStyle w:val="ListParagraph"/>
        <w:numPr>
          <w:ilvl w:val="0"/>
          <w:numId w:val="20"/>
        </w:numPr>
        <w:spacing w:after="0" w:line="480" w:lineRule="auto"/>
        <w:ind w:left="1134"/>
        <w:jc w:val="both"/>
        <w:rPr>
          <w:rFonts w:eastAsia="Times New Roman"/>
          <w:color w:val="auto"/>
        </w:rPr>
      </w:pPr>
      <w:r w:rsidRPr="0053182F">
        <w:rPr>
          <w:rFonts w:eastAsia="Times New Roman"/>
          <w:color w:val="auto"/>
        </w:rPr>
        <w:t>Security at Work: Safeguarding health, pensions, and livelihoods, as well as providing financial protection in times of sickness and other contingencies, while minimi</w:t>
      </w:r>
      <w:r w:rsidR="006A0C65" w:rsidRPr="0053182F">
        <w:rPr>
          <w:rFonts w:eastAsia="Times New Roman"/>
          <w:color w:val="auto"/>
        </w:rPr>
        <w:t>s</w:t>
      </w:r>
      <w:r w:rsidRPr="0053182F">
        <w:rPr>
          <w:rFonts w:eastAsia="Times New Roman"/>
          <w:color w:val="auto"/>
        </w:rPr>
        <w:t>ing job insecurity.</w:t>
      </w:r>
    </w:p>
    <w:p w14:paraId="472F6B03" w14:textId="77777777" w:rsidR="00144866" w:rsidRPr="0053182F" w:rsidRDefault="00144866" w:rsidP="002110C2">
      <w:pPr>
        <w:pStyle w:val="ListParagraph"/>
        <w:numPr>
          <w:ilvl w:val="0"/>
          <w:numId w:val="20"/>
        </w:numPr>
        <w:spacing w:after="0" w:line="480" w:lineRule="auto"/>
        <w:ind w:left="1134"/>
        <w:jc w:val="both"/>
        <w:rPr>
          <w:rFonts w:eastAsia="Times New Roman"/>
          <w:color w:val="auto"/>
        </w:rPr>
      </w:pPr>
      <w:r w:rsidRPr="0053182F">
        <w:rPr>
          <w:rFonts w:eastAsia="Times New Roman"/>
          <w:color w:val="auto"/>
        </w:rPr>
        <w:t>Dignity at Work: Workers should be treated with respect, have a voice in workplace matters, and the freedom to represent their interests collectively.</w:t>
      </w:r>
    </w:p>
    <w:p w14:paraId="012924AA" w14:textId="69582172" w:rsidR="00144866" w:rsidRPr="0053182F" w:rsidRDefault="00144866" w:rsidP="00144866">
      <w:pPr>
        <w:spacing w:after="0" w:line="480" w:lineRule="auto"/>
        <w:jc w:val="both"/>
        <w:rPr>
          <w:rFonts w:eastAsia="Times New Roman"/>
          <w:color w:val="auto"/>
        </w:rPr>
      </w:pPr>
      <w:r w:rsidRPr="0053182F">
        <w:rPr>
          <w:rFonts w:eastAsia="Times New Roman"/>
          <w:color w:val="auto"/>
        </w:rPr>
        <w:t xml:space="preserve">Scholarly interest in </w:t>
      </w:r>
      <w:r w:rsidR="000952F7" w:rsidRPr="0053182F">
        <w:rPr>
          <w:rFonts w:eastAsia="Times New Roman"/>
          <w:color w:val="auto"/>
        </w:rPr>
        <w:t>CMS practices, particularly regarding non-decent working conditions, has attracted</w:t>
      </w:r>
      <w:r w:rsidRPr="0053182F">
        <w:rPr>
          <w:rFonts w:eastAsia="Times New Roman"/>
          <w:color w:val="auto"/>
        </w:rPr>
        <w:t xml:space="preserve"> significant attention </w:t>
      </w:r>
      <w:sdt>
        <w:sdtPr>
          <w:rPr>
            <w:rFonts w:eastAsia="Times New Roman"/>
          </w:rPr>
          <w:tag w:val="MENDELEY_CITATION_v3_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IFJldiJ9LCJpc1RlbXBvcmFyeSI6ZmFsc2V9XX0="/>
          <w:id w:val="64071629"/>
          <w:placeholder>
            <w:docPart w:val="948548FA51B3484C8476CC3FC4CD3390"/>
          </w:placeholder>
        </w:sdtPr>
        <w:sdtContent>
          <w:r w:rsidR="00CC19F4" w:rsidRPr="0053182F">
            <w:rPr>
              <w:rFonts w:eastAsia="Times New Roman"/>
            </w:rPr>
            <w:t xml:space="preserve">(Christ </w:t>
          </w:r>
          <w:r w:rsidR="00CC19F4" w:rsidRPr="0053182F">
            <w:rPr>
              <w:rFonts w:eastAsia="Times New Roman"/>
              <w:i/>
              <w:iCs/>
            </w:rPr>
            <w:t>et al.</w:t>
          </w:r>
          <w:r w:rsidR="00CC19F4" w:rsidRPr="0053182F">
            <w:rPr>
              <w:rFonts w:eastAsia="Times New Roman"/>
            </w:rPr>
            <w:t>, 2020; Crane, 2013)</w:t>
          </w:r>
        </w:sdtContent>
      </w:sdt>
      <w:r w:rsidRPr="0053182F">
        <w:rPr>
          <w:rFonts w:eastAsia="Times New Roman"/>
          <w:color w:val="auto"/>
        </w:rPr>
        <w:t xml:space="preserve">. This research reflects the growing recognition of the imperative to combat exploitative labour practices that stand in stark contrast to the principles of dignity, equality, fair income, and safe work environments, which are central to the </w:t>
      </w:r>
      <w:r w:rsidR="000952F7" w:rsidRPr="0053182F">
        <w:rPr>
          <w:rFonts w:eastAsia="Times New Roman"/>
          <w:color w:val="auto"/>
        </w:rPr>
        <w:t>ILO's concept of decent work</w:t>
      </w:r>
      <w:r w:rsidRPr="0053182F">
        <w:rPr>
          <w:rFonts w:eastAsia="Times New Roman"/>
          <w:color w:val="auto"/>
        </w:rPr>
        <w:t xml:space="preserve">. Addressing MS </w:t>
      </w:r>
      <w:r w:rsidR="000952F7" w:rsidRPr="0053182F">
        <w:rPr>
          <w:rFonts w:eastAsia="Times New Roman"/>
          <w:color w:val="auto"/>
        </w:rPr>
        <w:t>and promoting decent work are essential steps</w:t>
      </w:r>
      <w:r w:rsidRPr="0053182F">
        <w:rPr>
          <w:rFonts w:eastAsia="Times New Roman"/>
          <w:color w:val="auto"/>
        </w:rPr>
        <w:t xml:space="preserve"> toward fostering a just and sustainable global society.</w:t>
      </w:r>
    </w:p>
    <w:p w14:paraId="227047AE" w14:textId="47A941DD" w:rsidR="00144866" w:rsidRPr="0053182F" w:rsidRDefault="00144866" w:rsidP="008A7A02">
      <w:pPr>
        <w:spacing w:after="0" w:line="480" w:lineRule="auto"/>
        <w:ind w:firstLine="720"/>
        <w:jc w:val="both"/>
        <w:rPr>
          <w:rFonts w:eastAsia="Times New Roman"/>
          <w:color w:val="auto"/>
        </w:rPr>
      </w:pPr>
      <w:r w:rsidRPr="0053182F">
        <w:rPr>
          <w:rFonts w:eastAsia="Times New Roman"/>
          <w:color w:val="auto"/>
        </w:rPr>
        <w:t>Decent work practices are characteri</w:t>
      </w:r>
      <w:r w:rsidR="000952F7" w:rsidRPr="0053182F">
        <w:rPr>
          <w:rFonts w:eastAsia="Times New Roman"/>
          <w:color w:val="auto"/>
        </w:rPr>
        <w:t>s</w:t>
      </w:r>
      <w:r w:rsidRPr="0053182F">
        <w:rPr>
          <w:rFonts w:eastAsia="Times New Roman"/>
          <w:color w:val="auto"/>
        </w:rPr>
        <w:t xml:space="preserve">ed by their ethical and legal nature. This includes ensuring that wages align with, and often </w:t>
      </w:r>
      <w:r w:rsidR="008E7555" w:rsidRPr="0053182F">
        <w:rPr>
          <w:rFonts w:eastAsia="Times New Roman"/>
          <w:color w:val="auto"/>
        </w:rPr>
        <w:t xml:space="preserve">exceed, the minimum entitlements set for employees, </w:t>
      </w:r>
      <w:r w:rsidR="00EC0347" w:rsidRPr="0053182F">
        <w:rPr>
          <w:rFonts w:eastAsia="Times New Roman"/>
          <w:color w:val="auto"/>
        </w:rPr>
        <w:t>including</w:t>
      </w:r>
      <w:r w:rsidR="008E7555" w:rsidRPr="0053182F">
        <w:rPr>
          <w:rFonts w:eastAsia="Times New Roman"/>
          <w:color w:val="auto"/>
        </w:rPr>
        <w:t xml:space="preserve"> o</w:t>
      </w:r>
      <w:r w:rsidRPr="0053182F">
        <w:rPr>
          <w:rFonts w:eastAsia="Times New Roman"/>
          <w:color w:val="auto"/>
        </w:rPr>
        <w:t xml:space="preserve">vertime pay, allowances, and penalty rates </w:t>
      </w:r>
      <w:sdt>
        <w:sdtPr>
          <w:rPr>
            <w:rFonts w:eastAsia="Times New Roman"/>
          </w:rPr>
          <w:tag w:val="MENDELEY_CITATION_v3_eyJjaXRhdGlvbklEIjoiTUVOREVMRVlfQ0lUQVRJT05fNmFhY2ZkOTItMWE4My00MmQ1LWE1NjEtM2Y5MDJmZWZkZDIxIiwicHJvcGVydGllcyI6eyJub3RlSW5kZXgiOjB9LCJpc0VkaXRlZCI6ZmFsc2UsIm1hbnVhbE92ZXJyaWRlIjp7ImlzTWFudWFsbHlPdmVycmlkZGVuIjpmYWxzZSwiY2l0ZXByb2NUZXh0IjoiKENocmlzdCA8aT5ldCBhbC48L2k+LCAyMDIwOyBJbnRlcm5hdGlvbmFsIExhYm91ciBDb25mZXJlbmNlLCAxOTk5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"/>
          <w:id w:val="-2119057847"/>
          <w:placeholder>
            <w:docPart w:val="9B33C656CD3A4A369657202EFD0EA818"/>
          </w:placeholder>
        </w:sdtPr>
        <w:sdtContent>
          <w:r w:rsidR="00CC19F4" w:rsidRPr="0053182F">
            <w:rPr>
              <w:rFonts w:eastAsia="Times New Roman"/>
            </w:rPr>
            <w:t xml:space="preserve">(Christ </w:t>
          </w:r>
          <w:r w:rsidR="00CC19F4" w:rsidRPr="0053182F">
            <w:rPr>
              <w:rFonts w:eastAsia="Times New Roman"/>
              <w:i/>
              <w:iCs/>
            </w:rPr>
            <w:t>et al.</w:t>
          </w:r>
          <w:r w:rsidR="00CC19F4" w:rsidRPr="0053182F">
            <w:rPr>
              <w:rFonts w:eastAsia="Times New Roman"/>
            </w:rPr>
            <w:t>, 2020; International Labour Conference, 1999)</w:t>
          </w:r>
        </w:sdtContent>
      </w:sdt>
      <w:r w:rsidRPr="0053182F">
        <w:rPr>
          <w:rFonts w:eastAsia="Times New Roman"/>
          <w:color w:val="auto"/>
        </w:rPr>
        <w:t xml:space="preserve">. Additionally, it </w:t>
      </w:r>
      <w:r w:rsidR="003C7CF2" w:rsidRPr="0053182F">
        <w:rPr>
          <w:rFonts w:eastAsia="Times New Roman"/>
          <w:color w:val="auto"/>
        </w:rPr>
        <w:t>requires strict adherence to individuals' fundamental human right</w:t>
      </w:r>
      <w:r w:rsidRPr="0053182F">
        <w:rPr>
          <w:rFonts w:eastAsia="Times New Roman"/>
          <w:color w:val="auto"/>
        </w:rPr>
        <w:t xml:space="preserve">s in the workplace. These rights encompass the freedom to form associations and engage in collective bargaining, the prohibition of forced or compulsory labour, the elimination of workplace discrimination, and the eradication of child labour </w:t>
      </w:r>
      <w:sdt>
        <w:sdtPr>
          <w:rPr>
            <w:rFonts w:eastAsia="Times New Roman"/>
          </w:rPr>
          <w:tag w:val="MENDELEY_CITATION_v3_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"/>
          <w:id w:val="1629583959"/>
          <w:placeholder>
            <w:docPart w:val="9B33C656CD3A4A369657202EFD0EA818"/>
          </w:placeholder>
        </w:sdtPr>
        <w:sdtContent>
          <w:r w:rsidR="00B85634" w:rsidRPr="0053182F">
            <w:rPr>
              <w:rFonts w:eastAsia="Times New Roman"/>
            </w:rPr>
            <w:t>(United Nations, 2011a; Christ et al., 2020)</w:t>
          </w:r>
        </w:sdtContent>
      </w:sdt>
      <w:r w:rsidRPr="0053182F">
        <w:rPr>
          <w:rFonts w:eastAsia="Times New Roman"/>
          <w:color w:val="auto"/>
        </w:rPr>
        <w:t xml:space="preserve">. Furthermore, it </w:t>
      </w:r>
      <w:r w:rsidR="003C7CF2" w:rsidRPr="0053182F">
        <w:rPr>
          <w:rFonts w:eastAsia="Times New Roman"/>
          <w:color w:val="auto"/>
        </w:rPr>
        <w:t>requires providing a safe, conducive work environment that supports workers' well-being</w:t>
      </w:r>
      <w:r w:rsidRPr="0053182F">
        <w:rPr>
          <w:rFonts w:eastAsia="Times New Roman"/>
          <w:color w:val="auto"/>
        </w:rPr>
        <w:t>.</w:t>
      </w:r>
    </w:p>
    <w:p w14:paraId="487AA159" w14:textId="77777777" w:rsidR="00144866" w:rsidRPr="0053182F" w:rsidRDefault="00144866" w:rsidP="00144866">
      <w:pPr>
        <w:pStyle w:val="Heading3"/>
      </w:pPr>
      <w:bookmarkStart w:id="61" w:name="_Toc215651787"/>
      <w:bookmarkStart w:id="62" w:name="_Toc218357081"/>
      <w:r w:rsidRPr="0053182F">
        <w:t>2.4.3 Drivers of Corporate Modern Slavery</w:t>
      </w:r>
      <w:bookmarkEnd w:id="61"/>
      <w:bookmarkEnd w:id="62"/>
    </w:p>
    <w:p w14:paraId="238CAF15" w14:textId="77777777" w:rsidR="00144866" w:rsidRPr="0053182F" w:rsidRDefault="00144866" w:rsidP="00EC0347">
      <w:pPr>
        <w:pStyle w:val="NormalWeb"/>
        <w:spacing w:before="0" w:beforeAutospacing="0" w:after="0" w:afterAutospacing="0" w:line="480" w:lineRule="auto"/>
        <w:jc w:val="both"/>
        <w:rPr>
          <w:color w:val="auto"/>
        </w:rPr>
      </w:pPr>
      <w:r w:rsidRPr="0053182F">
        <w:rPr>
          <w:color w:val="auto"/>
        </w:rPr>
        <w:t>The persistence of CMS in global business systems reflects the intersection of economic rationality, institutional fragility, and consumer capitalism. Despite the proliferation of AMS legislation and CSR frameworks, structural incentives continue to perpetuate exploitative labour practices within global supply networks. This section synthesises theoretical and empirical evidence on the key drivers and determinants of CMS, highlighting how economic, institutional, and social forces coalesce to reproduce modern forms of servitude within legitimate corporate systems.</w:t>
      </w:r>
    </w:p>
    <w:p w14:paraId="67258F65" w14:textId="77777777" w:rsidR="00144866" w:rsidRPr="0053182F" w:rsidRDefault="00144866" w:rsidP="00EC0347">
      <w:pPr>
        <w:pStyle w:val="Heading4"/>
        <w:numPr>
          <w:ilvl w:val="0"/>
          <w:numId w:val="23"/>
        </w:numPr>
        <w:spacing w:before="0" w:after="0" w:line="480" w:lineRule="auto"/>
        <w:rPr>
          <w:rFonts w:cs="Times New Roman"/>
        </w:rPr>
      </w:pPr>
      <w:r w:rsidRPr="0053182F">
        <w:rPr>
          <w:rFonts w:cs="Times New Roman"/>
        </w:rPr>
        <w:t>Profit Motives and Cost Minimisation</w:t>
      </w:r>
    </w:p>
    <w:p w14:paraId="26FAFC92" w14:textId="1E02EC50" w:rsidR="00144866" w:rsidRPr="0053182F" w:rsidRDefault="00144866" w:rsidP="00EC0347">
      <w:pPr>
        <w:pStyle w:val="NormalWeb"/>
        <w:spacing w:before="0" w:beforeAutospacing="0" w:after="0" w:afterAutospacing="0" w:line="480" w:lineRule="auto"/>
        <w:jc w:val="both"/>
        <w:rPr>
          <w:color w:val="auto"/>
        </w:rPr>
      </w:pPr>
      <w:r w:rsidRPr="0053182F">
        <w:rPr>
          <w:color w:val="auto"/>
        </w:rPr>
        <w:t xml:space="preserve">The central economic logic underpinning CMS is the relentless pursuit of </w:t>
      </w:r>
      <w:r w:rsidRPr="0053182F">
        <w:rPr>
          <w:rStyle w:val="Strong"/>
          <w:rFonts w:eastAsiaTheme="majorEastAsia"/>
          <w:b w:val="0"/>
          <w:bCs w:val="0"/>
          <w:color w:val="auto"/>
        </w:rPr>
        <w:t>cost efficiency and profit maximisation</w:t>
      </w:r>
      <w:r w:rsidRPr="0053182F">
        <w:rPr>
          <w:color w:val="auto"/>
        </w:rPr>
        <w:t xml:space="preserve">. MNCs, particularly in cost-sensitive sectors such as apparel, agriculture, construction, and electronics, have institutionalised labour exploitation as part of their competitive strategy </w:t>
      </w:r>
      <w:sdt>
        <w:sdtPr>
          <w:tag w:val="MENDELEY_CITATION_v3_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011033882"/>
          <w:placeholder>
            <w:docPart w:val="62367905CBD6460089C77491804E0227"/>
          </w:placeholder>
        </w:sdtPr>
        <w:sdtContent>
          <w:r w:rsidR="00CC19F4" w:rsidRPr="0053182F">
            <w:t xml:space="preserve">(Ahmed and Uddin, 2021; Muthuthantrige </w:t>
          </w:r>
          <w:r w:rsidR="00CC19F4" w:rsidRPr="0053182F">
            <w:rPr>
              <w:i/>
              <w:iCs/>
            </w:rPr>
            <w:t>et al.</w:t>
          </w:r>
          <w:r w:rsidR="00CC19F4" w:rsidRPr="0053182F">
            <w:t>, 2026; Pesterfield and Rogerson, 2024)</w:t>
          </w:r>
        </w:sdtContent>
      </w:sdt>
      <w:r w:rsidRPr="0053182F">
        <w:rPr>
          <w:color w:val="auto"/>
        </w:rPr>
        <w:t>.  The drive to minimise production costs frequently leads firms to source from suppliers in low-wage economies where labour is abundant, cheap, and largely unprotected. This economic calculus transforms vulnerable populations into exploitable assets, sustaining what Bales (2009) terms “disposable people”—individuals whose labour is commodified and replaced without ethical consideration.</w:t>
      </w:r>
    </w:p>
    <w:p w14:paraId="05B82F94" w14:textId="3428814A" w:rsidR="00144866" w:rsidRPr="0053182F" w:rsidRDefault="00144866" w:rsidP="008A7A02">
      <w:pPr>
        <w:pStyle w:val="NormalWeb"/>
        <w:spacing w:before="0" w:beforeAutospacing="0" w:after="0" w:afterAutospacing="0" w:line="480" w:lineRule="auto"/>
        <w:ind w:firstLine="720"/>
        <w:jc w:val="both"/>
        <w:rPr>
          <w:color w:val="auto"/>
        </w:rPr>
      </w:pPr>
      <w:r w:rsidRPr="0053182F">
        <w:rPr>
          <w:color w:val="auto"/>
        </w:rPr>
        <w:t xml:space="preserve">From an institutional standpoint, such practices reflect </w:t>
      </w:r>
      <w:r w:rsidRPr="0053182F">
        <w:rPr>
          <w:rStyle w:val="Strong"/>
          <w:rFonts w:eastAsiaTheme="majorEastAsia"/>
          <w:b w:val="0"/>
          <w:bCs w:val="0"/>
          <w:color w:val="auto"/>
        </w:rPr>
        <w:t>decoupling</w:t>
      </w:r>
      <w:r w:rsidRPr="0053182F">
        <w:rPr>
          <w:b/>
          <w:bCs/>
          <w:color w:val="auto"/>
        </w:rPr>
        <w:t xml:space="preserve"> </w:t>
      </w:r>
      <w:r w:rsidRPr="0053182F">
        <w:rPr>
          <w:color w:val="auto"/>
        </w:rPr>
        <w:t xml:space="preserve">between formal compliance and operational reality </w:t>
      </w:r>
      <w:sdt>
        <w:sdtPr>
          <w:tag w:val="MENDELEY_CITATION_v3_eyJjaXRhdGlvbklEIjoiTUVOREVMRVlfQ0lUQVRJT05fNTRmYzlhNTktNjViYS00N2IzLTg4ZDQtNjU3MTZkMTNhZmMzIiwicHJvcGVydGllcyI6eyJub3RlSW5kZXgiOjB9LCJpc0VkaXRlZCI6ZmFsc2UsIm1hbnVhbE92ZXJyaWRlIjp7ImlzTWFudWFsbHlPdmVycmlkZGVuIjpmYWxzZSwiY2l0ZXByb2NUZXh0IjoiKERpTWFnZ2lvIGFuZCBQb3dlbGwsIDE5ODM7IFZpZGFsIDxpPmV0IGFsLjwvaT4sIDIwMj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
          <w:id w:val="318305345"/>
          <w:placeholder>
            <w:docPart w:val="62367905CBD6460089C77491804E0227"/>
          </w:placeholder>
        </w:sdtPr>
        <w:sdtContent>
          <w:r w:rsidR="00CC19F4" w:rsidRPr="0053182F">
            <w:t xml:space="preserve">(DiMaggio and Powell, 1983; Vidal </w:t>
          </w:r>
          <w:r w:rsidR="00CC19F4" w:rsidRPr="0053182F">
            <w:rPr>
              <w:i/>
              <w:iCs/>
            </w:rPr>
            <w:t>et al.</w:t>
          </w:r>
          <w:r w:rsidR="00CC19F4" w:rsidRPr="0053182F">
            <w:t>, 2023)</w:t>
          </w:r>
        </w:sdtContent>
      </w:sdt>
      <w:r w:rsidRPr="0053182F">
        <w:rPr>
          <w:color w:val="auto"/>
        </w:rPr>
        <w:t xml:space="preserve">. While corporations may symbolically endorse ethical standards through CSR or sustainability reporting, the underlying production logic prioritises financial efficiency over human rights, resulting in a systemic tension between moral legitimacy and economic imperatives </w:t>
      </w:r>
    </w:p>
    <w:p w14:paraId="0605FFA2" w14:textId="77777777" w:rsidR="00144866" w:rsidRPr="0053182F" w:rsidRDefault="00144866" w:rsidP="00144866">
      <w:pPr>
        <w:pStyle w:val="Heading4"/>
        <w:numPr>
          <w:ilvl w:val="0"/>
          <w:numId w:val="23"/>
        </w:numPr>
        <w:rPr>
          <w:rFonts w:cs="Times New Roman"/>
        </w:rPr>
      </w:pPr>
      <w:r w:rsidRPr="0053182F">
        <w:rPr>
          <w:rFonts w:cs="Times New Roman"/>
        </w:rPr>
        <w:t>Outsourcing and Supply Chain Fragmentation</w:t>
      </w:r>
    </w:p>
    <w:p w14:paraId="2F2CAC8A" w14:textId="68ED6C7B" w:rsidR="00144866" w:rsidRPr="0053182F" w:rsidRDefault="00144866" w:rsidP="00EC0347">
      <w:pPr>
        <w:pStyle w:val="NormalWeb"/>
        <w:spacing w:before="0" w:beforeAutospacing="0" w:after="0" w:afterAutospacing="0" w:line="480" w:lineRule="auto"/>
        <w:jc w:val="both"/>
        <w:rPr>
          <w:color w:val="auto"/>
        </w:rPr>
      </w:pPr>
      <w:r w:rsidRPr="0053182F">
        <w:rPr>
          <w:color w:val="auto"/>
        </w:rPr>
        <w:t xml:space="preserve">The rise of </w:t>
      </w:r>
      <w:r w:rsidRPr="0053182F">
        <w:rPr>
          <w:rStyle w:val="Strong"/>
          <w:rFonts w:eastAsiaTheme="majorEastAsia"/>
          <w:b w:val="0"/>
          <w:bCs w:val="0"/>
          <w:color w:val="auto"/>
        </w:rPr>
        <w:t>GVCs</w:t>
      </w:r>
      <w:r w:rsidRPr="0053182F">
        <w:rPr>
          <w:color w:val="auto"/>
        </w:rPr>
        <w:t xml:space="preserve"> has transformed production into a complex, multi-tiered system that obscures accountability and diffuses responsibility </w:t>
      </w:r>
      <w:sdt>
        <w:sdtPr>
          <w:tag w:val="MENDELEY_CITATION_v3_eyJjaXRhdGlvbklEIjoiTUVOREVMRVlfQ0lUQVRJT05fOTZkM2JkYWYtNzRmYy00NDExLTgxZGYtZDg4ODM5MjUwZmIxIiwicHJvcGVydGllcyI6eyJub3RlSW5kZXgiOjB9LCJpc0VkaXRlZCI6ZmFsc2UsIm1hbnVhbE92ZXJyaWRlIjp7ImlzTWFudWFsbHlPdmVycmlkZGVuIjp0cnVlLCJjaXRlcHJvY1RleHQiOiIoQ3JhbmUgPGk+ZXQgYWwuPC9pPiwgMjAxOWI7IE95ZWRpam8gPGk+ZXQgYWwuPC9pPiwgMjAyNCkiLCJtYW51YWxPdmVycmlkZVRleHQiOiIoQ3JhbmUgZXQgYWwuLCAyMDE5OyBPeWVkaWpvIGV0IGFsLiwgMjAyNCkifSwiY2l0YXRpb25JdGVtcyI6W3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Y29udGFpbmVyLXRpdGxlLXNob3J0IjoiUmVndWwgR292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"/>
          <w:id w:val="-1001421995"/>
          <w:placeholder>
            <w:docPart w:val="62367905CBD6460089C77491804E0227"/>
          </w:placeholder>
        </w:sdtPr>
        <w:sdtContent>
          <w:r w:rsidR="00CC19F4" w:rsidRPr="0053182F">
            <w:t>(Crane et al., 2019; Oyedijo et al., 2024)</w:t>
          </w:r>
        </w:sdtContent>
      </w:sdt>
      <w:r w:rsidRPr="0053182F">
        <w:rPr>
          <w:color w:val="auto"/>
        </w:rPr>
        <w:t xml:space="preserve">. Lead firms externalise ethical and legal risks by outsourcing production to independent suppliers and intermediaries, often operating in jurisdictions with weak enforcement. Empirical evidence from the </w:t>
      </w:r>
      <w:r w:rsidRPr="0053182F">
        <w:rPr>
          <w:rStyle w:val="Strong"/>
          <w:rFonts w:eastAsiaTheme="majorEastAsia"/>
          <w:b w:val="0"/>
          <w:bCs w:val="0"/>
          <w:color w:val="auto"/>
        </w:rPr>
        <w:t>Rana Plaza disaster (2013)</w:t>
      </w:r>
      <w:r w:rsidRPr="0053182F">
        <w:rPr>
          <w:color w:val="auto"/>
        </w:rPr>
        <w:t xml:space="preserve"> in Bangladesh, the </w:t>
      </w:r>
      <w:r w:rsidRPr="0053182F">
        <w:rPr>
          <w:rStyle w:val="Strong"/>
          <w:rFonts w:eastAsiaTheme="majorEastAsia"/>
          <w:b w:val="0"/>
          <w:bCs w:val="0"/>
          <w:color w:val="auto"/>
        </w:rPr>
        <w:t>Apple–Foxconn labour violations</w:t>
      </w:r>
      <w:r w:rsidRPr="0053182F">
        <w:rPr>
          <w:color w:val="auto"/>
        </w:rPr>
        <w:t xml:space="preserve"> in China, and </w:t>
      </w:r>
      <w:r w:rsidRPr="0053182F">
        <w:rPr>
          <w:rStyle w:val="Strong"/>
          <w:rFonts w:eastAsiaTheme="majorEastAsia"/>
          <w:b w:val="0"/>
          <w:bCs w:val="0"/>
          <w:color w:val="auto"/>
        </w:rPr>
        <w:t>Boohoo’s 2023 UK scandal</w:t>
      </w:r>
      <w:r w:rsidRPr="0053182F">
        <w:rPr>
          <w:color w:val="auto"/>
        </w:rPr>
        <w:t xml:space="preserve"> reveals how forced overtime, wage suppression, and unsafe working conditions persist within ostensibly legitimate industries </w:t>
      </w:r>
      <w:sdt>
        <w:sdtPr>
          <w:tag w:val="MENDELEY_CITATION_v3_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"/>
          <w:id w:val="1788313705"/>
          <w:placeholder>
            <w:docPart w:val="62367905CBD6460089C77491804E0227"/>
          </w:placeholder>
        </w:sdtPr>
        <w:sdtContent>
          <w:r w:rsidR="00CC19F4" w:rsidRPr="0053182F">
            <w:t>(BBC News, 2021; Siddiqui and Uddin, 2016)</w:t>
          </w:r>
        </w:sdtContent>
      </w:sdt>
      <w:r w:rsidRPr="0053182F">
        <w:rPr>
          <w:color w:val="auto"/>
        </w:rPr>
        <w:t xml:space="preserve">. These examples illustrate that CMS is not confined to informal economies but is embedded within the operational structures of formal corporations, facilitated by supply chain opacity and contractual distance. </w:t>
      </w:r>
    </w:p>
    <w:p w14:paraId="5FE3F6EF" w14:textId="77777777" w:rsidR="00144866" w:rsidRPr="0053182F" w:rsidRDefault="00144866" w:rsidP="00EC0347">
      <w:pPr>
        <w:pStyle w:val="Heading4"/>
        <w:numPr>
          <w:ilvl w:val="0"/>
          <w:numId w:val="23"/>
        </w:numPr>
        <w:spacing w:before="0" w:after="0" w:line="480" w:lineRule="auto"/>
        <w:rPr>
          <w:rFonts w:cs="Times New Roman"/>
        </w:rPr>
      </w:pPr>
      <w:r w:rsidRPr="0053182F">
        <w:rPr>
          <w:rFonts w:cs="Times New Roman"/>
        </w:rPr>
        <w:t>Weak Governance and Regulatory Arbitrage</w:t>
      </w:r>
    </w:p>
    <w:p w14:paraId="47850FA2" w14:textId="2BBFD24E" w:rsidR="00144866" w:rsidRPr="0053182F" w:rsidRDefault="00144866" w:rsidP="00EC0347">
      <w:pPr>
        <w:pStyle w:val="NormalWeb"/>
        <w:spacing w:before="0" w:beforeAutospacing="0" w:after="0" w:afterAutospacing="0" w:line="480" w:lineRule="auto"/>
        <w:jc w:val="both"/>
        <w:rPr>
          <w:color w:val="auto"/>
        </w:rPr>
      </w:pPr>
      <w:r w:rsidRPr="0053182F">
        <w:rPr>
          <w:color w:val="auto"/>
        </w:rPr>
        <w:t>A further determinant of CMS lies in the exploitation of</w:t>
      </w:r>
      <w:r w:rsidRPr="0053182F">
        <w:rPr>
          <w:b/>
          <w:bCs/>
          <w:color w:val="auto"/>
        </w:rPr>
        <w:t xml:space="preserve"> </w:t>
      </w:r>
      <w:r w:rsidRPr="0053182F">
        <w:rPr>
          <w:rStyle w:val="Strong"/>
          <w:rFonts w:eastAsiaTheme="majorEastAsia"/>
          <w:b w:val="0"/>
          <w:bCs w:val="0"/>
          <w:color w:val="auto"/>
        </w:rPr>
        <w:t>regulatory asymmetries</w:t>
      </w:r>
      <w:r w:rsidRPr="0053182F">
        <w:rPr>
          <w:color w:val="auto"/>
        </w:rPr>
        <w:t xml:space="preserve"> between developed and developing economies. In many emerging markets, the combination of weak labour institutions, corruption, and limited enforcement capacity provides corporations with regulatory “safe havens” for exploitative practices </w:t>
      </w:r>
      <w:sdt>
        <w:sdtPr>
          <w:tag w:val="MENDELEY_CITATION_v3_eyJjaXRhdGlvbklEIjoiTUVOREVMRVlfQ0lUQVRJT05fYjY0NTNmODEtOTI0OS00ZmI0LWFkZmEtY2VmNzg1MDliMGQ5IiwicHJvcGVydGllcyI6eyJub3RlSW5kZXgiOjB9LCJpc0VkaXRlZCI6ZmFsc2UsIm1hbnVhbE92ZXJyaWRlIjp7ImlzTWFudWFsbHlPdmVycmlkZGVuIjpmYWxzZSwiY2l0ZXByb2NUZXh0IjoiKEhvdXFlIGFuZCBLaGFuLCAyMDI1KSIsIm1hbnVhbE92ZXJyaWRlVGV4dCI6Ii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V19"/>
          <w:id w:val="1213236972"/>
          <w:placeholder>
            <w:docPart w:val="62367905CBD6460089C77491804E0227"/>
          </w:placeholder>
        </w:sdtPr>
        <w:sdtContent>
          <w:r w:rsidR="00CC19F4" w:rsidRPr="0053182F">
            <w:t>(Houqe and Khan, 2025)</w:t>
          </w:r>
        </w:sdtContent>
      </w:sdt>
      <w:r w:rsidRPr="0053182F">
        <w:rPr>
          <w:color w:val="auto"/>
        </w:rPr>
        <w:t xml:space="preserve">. Empirical studies confirm that where the </w:t>
      </w:r>
      <w:r w:rsidRPr="0053182F">
        <w:rPr>
          <w:rStyle w:val="Strong"/>
          <w:rFonts w:eastAsiaTheme="majorEastAsia"/>
          <w:b w:val="0"/>
          <w:bCs w:val="0"/>
          <w:color w:val="auto"/>
        </w:rPr>
        <w:t>institutional environment quality (IEQ)</w:t>
      </w:r>
      <w:r w:rsidRPr="0053182F">
        <w:rPr>
          <w:color w:val="auto"/>
        </w:rPr>
        <w:t xml:space="preserve"> is low, compliance with labour and human rights standards is minimal </w:t>
      </w:r>
      <w:sdt>
        <w:sdtPr>
          <w:tag w:val="MENDELEY_CITATION_v3_eyJjaXRhdGlvbklEIjoiTUVOREVMRVlfQ0lUQVRJT05fOWNjYmU1ODItMjgyNi00NzA0LTllZTMtM2I1ZTI1ZWViMzVmIiwicHJvcGVydGllcyI6eyJub3RlSW5kZXgiOjB9LCJpc0VkaXRlZCI6ZmFsc2UsIm1hbnVhbE92ZXJyaWRlIjp7ImlzTWFudWFsbHlPdmVycmlkZGVuIjpmYWxzZSwiY2l0ZXByb2NUZXh0IjoiKEhlbGZheWE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
          <w:id w:val="-1949770670"/>
          <w:placeholder>
            <w:docPart w:val="62367905CBD6460089C77491804E0227"/>
          </w:placeholder>
        </w:sdtPr>
        <w:sdtContent>
          <w:r w:rsidR="00CC19F4" w:rsidRPr="0053182F">
            <w:t xml:space="preserve">(Helfaya </w:t>
          </w:r>
          <w:r w:rsidR="00CC19F4" w:rsidRPr="0053182F">
            <w:rPr>
              <w:i/>
              <w:iCs/>
            </w:rPr>
            <w:t>et al.</w:t>
          </w:r>
          <w:r w:rsidR="00CC19F4" w:rsidRPr="0053182F">
            <w:t xml:space="preserve">, 2025; Moussa </w:t>
          </w:r>
          <w:r w:rsidR="00CC19F4" w:rsidRPr="0053182F">
            <w:rPr>
              <w:i/>
              <w:iCs/>
            </w:rPr>
            <w:t>et al.</w:t>
          </w:r>
          <w:r w:rsidR="00CC19F4" w:rsidRPr="0053182F">
            <w:t>, 2022)</w:t>
          </w:r>
        </w:sdtContent>
      </w:sdt>
      <w:r w:rsidRPr="0053182F">
        <w:rPr>
          <w:color w:val="auto"/>
        </w:rPr>
        <w:t>.</w:t>
      </w:r>
    </w:p>
    <w:p w14:paraId="56B58767" w14:textId="035EEAA7" w:rsidR="00144866" w:rsidRPr="0053182F" w:rsidRDefault="00144866" w:rsidP="008A7A02">
      <w:pPr>
        <w:pStyle w:val="NormalWeb"/>
        <w:spacing w:before="0" w:beforeAutospacing="0" w:after="0" w:afterAutospacing="0" w:line="480" w:lineRule="auto"/>
        <w:ind w:firstLine="360"/>
        <w:jc w:val="both"/>
        <w:rPr>
          <w:color w:val="auto"/>
        </w:rPr>
      </w:pPr>
      <w:r w:rsidRPr="0053182F">
        <w:rPr>
          <w:color w:val="auto"/>
        </w:rPr>
        <w:t xml:space="preserve">This form of </w:t>
      </w:r>
      <w:r w:rsidRPr="0053182F">
        <w:rPr>
          <w:rStyle w:val="Strong"/>
          <w:rFonts w:eastAsiaTheme="majorEastAsia"/>
          <w:b w:val="0"/>
          <w:bCs w:val="0"/>
          <w:color w:val="auto"/>
        </w:rPr>
        <w:t>regulatory arbitrage</w:t>
      </w:r>
      <w:r w:rsidRPr="0053182F">
        <w:rPr>
          <w:color w:val="auto"/>
        </w:rPr>
        <w:t>—where firms strategically relocate production to jurisdictions with permissive or poorly enforced laws—enables corporations to reduce costs while maintaining a façade of compliance in their home markets</w:t>
      </w:r>
      <w:r w:rsidR="002E039E" w:rsidRPr="0053182F">
        <w:rPr>
          <w:color w:val="auto"/>
        </w:rPr>
        <w:t xml:space="preserve"> </w:t>
      </w:r>
      <w:sdt>
        <w:sdtPr>
          <w:tag w:val="MENDELEY_CITATION_v3_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"/>
          <w:id w:val="785933986"/>
          <w:placeholder>
            <w:docPart w:val="DefaultPlaceholder_-1854013440"/>
          </w:placeholder>
        </w:sdtPr>
        <w:sdtContent>
          <w:r w:rsidR="00B85634" w:rsidRPr="0053182F">
            <w:t>(Muchlinski, 2012)</w:t>
          </w:r>
        </w:sdtContent>
      </w:sdt>
      <w:r w:rsidRPr="0053182F">
        <w:rPr>
          <w:color w:val="auto"/>
        </w:rPr>
        <w:t xml:space="preserve">. Such institutional weaknesses foster the decoupling of policy from practice and the persistence of exploitative labour structures, consistent with </w:t>
      </w:r>
      <w:r w:rsidR="00441C10" w:rsidRPr="0053182F">
        <w:rPr>
          <w:color w:val="auto"/>
        </w:rPr>
        <w:t>NIT's predictions</w:t>
      </w:r>
      <w:sdt>
        <w:sdtPr>
          <w:rPr>
            <w:color w:val="auto"/>
          </w:rPr>
          <w:tag w:val="MENDELEY_CITATION_v3_eyJjaXRhdGlvbklEIjoiTUVOREVMRVlfQ0lUQVRJT05fYWNhMDAwNWUtNmNiOS00YWNjLWIyNDAtM2U2YWIyMTE1NTM4IiwicHJvcGVydGllcyI6eyJub3RlSW5kZXgiOjB9LCJpc0VkaXRlZCI6ZmFsc2UsIm1hbnVhbE92ZXJyaWRlIjp7ImlzTWFudWFsbHlPdmVycmlkZGVuIjpmYWxzZSwiY2l0ZXByb2NUZXh0IjoiKE1leWVyIGFuZCBSb3dhbiwgMTk3NzsgTXV0aHV0aGFudHJpZ2UgPGk+ZXQgYWwuPC9pPiwgMjAyNi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
          <w:id w:val="1091589589"/>
          <w:placeholder>
            <w:docPart w:val="62367905CBD6460089C77491804E0227"/>
          </w:placeholder>
        </w:sdtPr>
        <w:sdtEndPr>
          <w:rPr>
            <w:color w:val="000000"/>
          </w:rPr>
        </w:sdtEndPr>
        <w:sdtContent>
          <w:r w:rsidR="00CC19F4" w:rsidRPr="0053182F">
            <w:t xml:space="preserve">(Meyer and Rowan, 1977; Muthuthantrige </w:t>
          </w:r>
          <w:r w:rsidR="00CC19F4" w:rsidRPr="0053182F">
            <w:rPr>
              <w:i/>
              <w:iCs/>
            </w:rPr>
            <w:t>et al.</w:t>
          </w:r>
          <w:r w:rsidR="00CC19F4" w:rsidRPr="0053182F">
            <w:t>, 2026)</w:t>
          </w:r>
        </w:sdtContent>
      </w:sdt>
      <w:r w:rsidRPr="0053182F">
        <w:rPr>
          <w:color w:val="auto"/>
        </w:rPr>
        <w:t>.</w:t>
      </w:r>
    </w:p>
    <w:p w14:paraId="0D18542F" w14:textId="77777777" w:rsidR="00144866" w:rsidRPr="0053182F" w:rsidRDefault="00144866" w:rsidP="00144866">
      <w:pPr>
        <w:pStyle w:val="Heading4"/>
        <w:numPr>
          <w:ilvl w:val="0"/>
          <w:numId w:val="23"/>
        </w:numPr>
        <w:spacing w:after="0" w:line="480" w:lineRule="auto"/>
        <w:jc w:val="both"/>
        <w:rPr>
          <w:rFonts w:cs="Times New Roman"/>
        </w:rPr>
      </w:pPr>
      <w:r w:rsidRPr="0053182F">
        <w:rPr>
          <w:rFonts w:cs="Times New Roman"/>
        </w:rPr>
        <w:t>Hidden Exploitation within Legitimate Corporate Systems</w:t>
      </w:r>
    </w:p>
    <w:p w14:paraId="796259C6" w14:textId="2BCC4EA9" w:rsidR="00144866" w:rsidRPr="0053182F" w:rsidRDefault="00144866" w:rsidP="00144866">
      <w:pPr>
        <w:pStyle w:val="NormalWeb"/>
        <w:spacing w:after="0" w:afterAutospacing="0" w:line="480" w:lineRule="auto"/>
        <w:jc w:val="both"/>
        <w:rPr>
          <w:color w:val="auto"/>
        </w:rPr>
      </w:pPr>
      <w:r w:rsidRPr="0053182F">
        <w:rPr>
          <w:color w:val="auto"/>
        </w:rPr>
        <w:t xml:space="preserve">Crane (2013) characterises the endurance of CMS as part of the “dark side of organisational practice,” where coercion and exploitation coexist with formal systems of governance and accountability. The rise of CSR, sustainability audits, and social certifications has not eradicated MS; rather, it has often </w:t>
      </w:r>
      <w:r w:rsidRPr="0053182F">
        <w:rPr>
          <w:rStyle w:val="Strong"/>
          <w:rFonts w:eastAsiaTheme="majorEastAsia"/>
          <w:b w:val="0"/>
          <w:bCs w:val="0"/>
          <w:color w:val="auto"/>
        </w:rPr>
        <w:t>repackaged exploitation under the language of ethical compliance</w:t>
      </w:r>
      <w:r w:rsidRPr="0053182F">
        <w:rPr>
          <w:color w:val="auto"/>
        </w:rPr>
        <w:t xml:space="preserve"> </w:t>
      </w:r>
      <w:sdt>
        <w:sdtPr>
          <w:tag w:val="MENDELEY_CITATION_v3_eyJjaXRhdGlvbklEIjoiTUVOREVMRVlfQ0lUQVRJT05fZDk5N2M1N2ItODUwNC00ZTVkLThiNmItOTkxMGE5NWE1Njc3IiwicHJvcGVydGllcyI6eyJub3RlSW5kZXgiOjB9LCJpc0VkaXRlZCI6ZmFsc2UsIm1hbnVhbE92ZXJyaWRlIjp7ImlzTWFudWFsbHlPdmVycmlkZGVuIjpmYWxzZSwiY2l0ZXByb2NUZXh0IjoiKExlQmFyb24gYW5kIFLDvGhta29yZiwgMjAxNzsgTWEgPGk+ZXQgYWwuPC9pPiwgMjAxNjsgTXV0aHV0aGFudHJpZ2UgPGk+ZXQgYWwuPC9pPiwgMjAyNikiLCJtYW51YWxPdmVycmlkZVRleHQiOiIifSwiY2l0YXRpb25JdGVtcyI6W3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324241966"/>
          <w:placeholder>
            <w:docPart w:val="62367905CBD6460089C77491804E0227"/>
          </w:placeholder>
        </w:sdtPr>
        <w:sdtContent>
          <w:r w:rsidR="00CC19F4" w:rsidRPr="0053182F">
            <w:t xml:space="preserve">(LeBaron and Rühmkorf, 2017; Ma </w:t>
          </w:r>
          <w:r w:rsidR="00CC19F4" w:rsidRPr="0053182F">
            <w:rPr>
              <w:i/>
              <w:iCs/>
            </w:rPr>
            <w:t>et al.</w:t>
          </w:r>
          <w:r w:rsidR="00CC19F4" w:rsidRPr="0053182F">
            <w:t xml:space="preserve">, 2016; Muthuthantrige </w:t>
          </w:r>
          <w:r w:rsidR="00CC19F4" w:rsidRPr="0053182F">
            <w:rPr>
              <w:i/>
              <w:iCs/>
            </w:rPr>
            <w:t>et al.</w:t>
          </w:r>
          <w:r w:rsidR="00CC19F4" w:rsidRPr="0053182F">
            <w:t>, 2026)</w:t>
          </w:r>
        </w:sdtContent>
      </w:sdt>
      <w:r w:rsidRPr="0053182F">
        <w:rPr>
          <w:color w:val="auto"/>
        </w:rPr>
        <w:t xml:space="preserve">. MSS, for instance, frequently prioritise reputational legitimacy over tangible improvements in working conditions, reflecting the phenomenon of </w:t>
      </w:r>
      <w:r w:rsidRPr="0053182F">
        <w:rPr>
          <w:rStyle w:val="Strong"/>
          <w:rFonts w:eastAsiaTheme="majorEastAsia"/>
          <w:b w:val="0"/>
          <w:bCs w:val="0"/>
          <w:color w:val="auto"/>
        </w:rPr>
        <w:t>symbolic compliance</w:t>
      </w:r>
      <w:r w:rsidRPr="0053182F">
        <w:rPr>
          <w:b/>
          <w:bCs/>
          <w:color w:val="auto"/>
        </w:rPr>
        <w:t xml:space="preserve"> </w:t>
      </w:r>
      <w:sdt>
        <w:sdtPr>
          <w:rPr>
            <w:bCs/>
          </w:rPr>
          <w:tag w:val="MENDELEY_CITATION_v3_eyJjaXRhdGlvbklEIjoiTUVOREVMRVlfQ0lUQVRJT05fM2Y5MzI2YzgtZWM0Yi00ZTY4LTg0MmQtNTE1OTY0ZmQzYzZjIiwicHJvcGVydGllcyI6eyJub3RlSW5kZXgiOjB9LCJpc0VkaXRlZCI6ZmFsc2UsIm1hbnVhbE92ZXJyaWRlIjp7ImlzTWFudWFsbHlPdmVycmlkZGVuIjpmYWxzZSwiY2l0ZXByb2NUZXh0IjoiKFlvdW5nIGFuZCBHYWQsIDIwMjIpIiwibWFudWFsT3ZlcnJpZGVUZXh0IjoiIn0sImNpdGF0aW9uSXRlbXMiOlt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XX0="/>
          <w:id w:val="-448390418"/>
          <w:placeholder>
            <w:docPart w:val="62367905CBD6460089C77491804E0227"/>
          </w:placeholder>
        </w:sdtPr>
        <w:sdtEndPr>
          <w:rPr>
            <w:bCs w:val="0"/>
          </w:rPr>
        </w:sdtEndPr>
        <w:sdtContent>
          <w:r w:rsidR="00CC19F4" w:rsidRPr="0053182F">
            <w:t>(Young and Gad, 2022)</w:t>
          </w:r>
        </w:sdtContent>
      </w:sdt>
    </w:p>
    <w:p w14:paraId="4D1B04CE" w14:textId="77777777" w:rsidR="00144866" w:rsidRPr="0053182F" w:rsidRDefault="00144866" w:rsidP="00144866">
      <w:pPr>
        <w:pStyle w:val="Heading4"/>
        <w:numPr>
          <w:ilvl w:val="0"/>
          <w:numId w:val="23"/>
        </w:numPr>
        <w:spacing w:line="480" w:lineRule="auto"/>
        <w:jc w:val="both"/>
        <w:rPr>
          <w:rFonts w:cs="Times New Roman"/>
        </w:rPr>
      </w:pPr>
      <w:r w:rsidRPr="0053182F">
        <w:rPr>
          <w:rFonts w:cs="Times New Roman"/>
        </w:rPr>
        <w:t>Socio-Economic Drivers of CMS</w:t>
      </w:r>
    </w:p>
    <w:p w14:paraId="209420B0" w14:textId="77777777" w:rsidR="00144866" w:rsidRPr="0053182F" w:rsidRDefault="00144866" w:rsidP="00144866">
      <w:pPr>
        <w:spacing w:line="480" w:lineRule="auto"/>
        <w:jc w:val="both"/>
        <w:rPr>
          <w:color w:val="auto"/>
        </w:rPr>
      </w:pPr>
      <w:r w:rsidRPr="0053182F">
        <w:rPr>
          <w:color w:val="auto"/>
        </w:rPr>
        <w:t>Beyond institutional factors, CMS is sustained by deeper socio-economic structures that reproduce vulnerability and dependency:</w:t>
      </w:r>
    </w:p>
    <w:p w14:paraId="6DB6CF36" w14:textId="67637429" w:rsidR="00144866" w:rsidRPr="0053182F" w:rsidRDefault="00144866" w:rsidP="00144866">
      <w:pPr>
        <w:pStyle w:val="ListParagraph"/>
        <w:numPr>
          <w:ilvl w:val="0"/>
          <w:numId w:val="24"/>
        </w:numPr>
        <w:spacing w:line="480" w:lineRule="auto"/>
        <w:jc w:val="both"/>
        <w:rPr>
          <w:color w:val="auto"/>
        </w:rPr>
      </w:pPr>
      <w:r w:rsidRPr="0053182F">
        <w:rPr>
          <w:color w:val="auto"/>
        </w:rPr>
        <w:t xml:space="preserve">Economic Vulnerability and Poverty – Poverty and unemployment remain the most pervasive enablers of forced labour and human trafficking. Vulnerable populations—particularly in low-income countries—accept exploitative conditions as a survival strategy </w:t>
      </w:r>
      <w:sdt>
        <w:sdtPr>
          <w:tag w:val="MENDELEY_CITATION_v3_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V19"/>
          <w:id w:val="802125914"/>
          <w:placeholder>
            <w:docPart w:val="62367905CBD6460089C77491804E0227"/>
          </w:placeholder>
        </w:sdtPr>
        <w:sdtContent>
          <w:r w:rsidR="00CC19F4" w:rsidRPr="0053182F">
            <w:rPr>
              <w:rFonts w:eastAsia="Times New Roman"/>
            </w:rPr>
            <w:t xml:space="preserve">(Bales, 2009; Daghar </w:t>
          </w:r>
          <w:r w:rsidR="00CC19F4" w:rsidRPr="0053182F">
            <w:rPr>
              <w:rFonts w:eastAsia="Times New Roman"/>
              <w:i/>
              <w:iCs/>
            </w:rPr>
            <w:t>et al.</w:t>
          </w:r>
          <w:r w:rsidR="00CC19F4" w:rsidRPr="0053182F">
            <w:rPr>
              <w:rFonts w:eastAsia="Times New Roman"/>
            </w:rPr>
            <w:t xml:space="preserve">, 2025; Rogerson </w:t>
          </w:r>
          <w:r w:rsidR="00CC19F4" w:rsidRPr="0053182F">
            <w:rPr>
              <w:rFonts w:eastAsia="Times New Roman"/>
              <w:i/>
              <w:iCs/>
            </w:rPr>
            <w:t>et al.</w:t>
          </w:r>
          <w:r w:rsidR="00CC19F4" w:rsidRPr="0053182F">
            <w:rPr>
              <w:rFonts w:eastAsia="Times New Roman"/>
            </w:rPr>
            <w:t>, 2025)</w:t>
          </w:r>
        </w:sdtContent>
      </w:sdt>
      <w:r w:rsidRPr="0053182F">
        <w:rPr>
          <w:color w:val="auto"/>
        </w:rPr>
        <w:t>.</w:t>
      </w:r>
    </w:p>
    <w:p w14:paraId="19382B34" w14:textId="14980784" w:rsidR="00144866" w:rsidRPr="0053182F" w:rsidRDefault="00144866" w:rsidP="00144866">
      <w:pPr>
        <w:pStyle w:val="ListParagraph"/>
        <w:numPr>
          <w:ilvl w:val="0"/>
          <w:numId w:val="24"/>
        </w:numPr>
        <w:spacing w:line="480" w:lineRule="auto"/>
        <w:jc w:val="both"/>
        <w:rPr>
          <w:color w:val="auto"/>
        </w:rPr>
      </w:pPr>
      <w:r w:rsidRPr="0053182F">
        <w:rPr>
          <w:color w:val="auto"/>
        </w:rPr>
        <w:t xml:space="preserve">Lack of Education – Education deficits perpetuate the cycle of exploitation. According to the </w:t>
      </w:r>
      <w:sdt>
        <w:sdtPr>
          <w:tag w:val="MENDELEY_CITATION_v3_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"/>
          <w:id w:val="-30192585"/>
          <w:placeholder>
            <w:docPart w:val="62367905CBD6460089C77491804E0227"/>
          </w:placeholder>
        </w:sdtPr>
        <w:sdtContent>
          <w:r w:rsidR="00CC19F4" w:rsidRPr="0053182F">
            <w:t>ILO and UNICEF (2020)</w:t>
          </w:r>
        </w:sdtContent>
      </w:sdt>
      <w:r w:rsidRPr="0053182F">
        <w:rPr>
          <w:color w:val="auto"/>
        </w:rPr>
        <w:t xml:space="preserve">, regions with limited access to education display higher incidences of child labour and bonded servitude </w:t>
      </w:r>
      <w:sdt>
        <w:sdtPr>
          <w:tag w:val="MENDELEY_CITATION_v3_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"/>
          <w:id w:val="1576778114"/>
          <w:placeholder>
            <w:docPart w:val="62367905CBD6460089C77491804E0227"/>
          </w:placeholder>
        </w:sdtPr>
        <w:sdtContent>
          <w:r w:rsidR="00CC19F4" w:rsidRPr="0053182F">
            <w:t>(Allain, 2019)</w:t>
          </w:r>
        </w:sdtContent>
      </w:sdt>
    </w:p>
    <w:p w14:paraId="1ADE229D" w14:textId="1A3B06CD" w:rsidR="00144866" w:rsidRPr="0053182F" w:rsidRDefault="00144866" w:rsidP="00144866">
      <w:pPr>
        <w:pStyle w:val="ListParagraph"/>
        <w:numPr>
          <w:ilvl w:val="0"/>
          <w:numId w:val="24"/>
        </w:numPr>
        <w:spacing w:line="480" w:lineRule="auto"/>
        <w:jc w:val="both"/>
        <w:rPr>
          <w:color w:val="auto"/>
        </w:rPr>
      </w:pPr>
      <w:r w:rsidRPr="0053182F">
        <w:rPr>
          <w:color w:val="auto"/>
        </w:rPr>
        <w:t xml:space="preserve">Weak Labour Laws and Enforcement – The absence of strong trade unions, labour inspections, and effective sanctions allows corporations to operate with minimal oversight </w:t>
      </w:r>
      <w:sdt>
        <w:sdtPr>
          <w:tag w:val="MENDELEY_CITATION_v3_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760521751"/>
          <w:placeholder>
            <w:docPart w:val="62367905CBD6460089C77491804E0227"/>
          </w:placeholder>
        </w:sdtPr>
        <w:sdtContent>
          <w:r w:rsidR="00B85634" w:rsidRPr="0053182F">
            <w:rPr>
              <w:rFonts w:eastAsia="Times New Roman"/>
            </w:rPr>
            <w:t xml:space="preserve">(Human Rights Watch, 2022; Kirton and Trebilcock, 2017; Muthuthantrige </w:t>
          </w:r>
          <w:r w:rsidR="00B85634" w:rsidRPr="0053182F">
            <w:rPr>
              <w:rFonts w:eastAsia="Times New Roman"/>
              <w:i/>
              <w:iCs/>
            </w:rPr>
            <w:t>et al.</w:t>
          </w:r>
          <w:r w:rsidR="00B85634" w:rsidRPr="0053182F">
            <w:rPr>
              <w:rFonts w:eastAsia="Times New Roman"/>
            </w:rPr>
            <w:t>, 2026)</w:t>
          </w:r>
        </w:sdtContent>
      </w:sdt>
      <w:r w:rsidRPr="0053182F">
        <w:rPr>
          <w:color w:val="auto"/>
        </w:rPr>
        <w:t xml:space="preserve">. </w:t>
      </w:r>
    </w:p>
    <w:p w14:paraId="56E2A7C4" w14:textId="1041DFF0" w:rsidR="00144866" w:rsidRPr="0053182F" w:rsidRDefault="00144866" w:rsidP="00144866">
      <w:pPr>
        <w:pStyle w:val="ListParagraph"/>
        <w:numPr>
          <w:ilvl w:val="0"/>
          <w:numId w:val="24"/>
        </w:numPr>
        <w:spacing w:line="480" w:lineRule="auto"/>
        <w:jc w:val="both"/>
        <w:rPr>
          <w:color w:val="auto"/>
        </w:rPr>
      </w:pPr>
      <w:r w:rsidRPr="0053182F">
        <w:rPr>
          <w:color w:val="auto"/>
        </w:rPr>
        <w:t xml:space="preserve">Complex Supply Chains – Global supply networks enable companies to obscure their involvement in human rights abuses by layering subcontracting relationships </w:t>
      </w:r>
      <w:sdt>
        <w:sdtPr>
          <w:tag w:val="MENDELEY_CITATION_v3_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"/>
          <w:id w:val="-612204686"/>
          <w:placeholder>
            <w:docPart w:val="62367905CBD6460089C77491804E0227"/>
          </w:placeholder>
        </w:sdtPr>
        <w:sdtContent>
          <w:r w:rsidR="00CC19F4" w:rsidRPr="0053182F">
            <w:rPr>
              <w:rFonts w:eastAsia="Times New Roman"/>
            </w:rPr>
            <w:t xml:space="preserve">(Alexander </w:t>
          </w:r>
          <w:r w:rsidR="00CC19F4" w:rsidRPr="0053182F">
            <w:rPr>
              <w:rFonts w:eastAsia="Times New Roman"/>
              <w:i/>
              <w:iCs/>
            </w:rPr>
            <w:t>et al.</w:t>
          </w:r>
          <w:r w:rsidR="00CC19F4" w:rsidRPr="0053182F">
            <w:rPr>
              <w:rFonts w:eastAsia="Times New Roman"/>
            </w:rPr>
            <w:t>, 2022)</w:t>
          </w:r>
        </w:sdtContent>
      </w:sdt>
    </w:p>
    <w:p w14:paraId="504AF606" w14:textId="6722303A" w:rsidR="00144866" w:rsidRPr="0053182F" w:rsidRDefault="00144866" w:rsidP="008A7A02">
      <w:pPr>
        <w:pStyle w:val="ListParagraph"/>
        <w:numPr>
          <w:ilvl w:val="0"/>
          <w:numId w:val="24"/>
        </w:numPr>
        <w:spacing w:after="0" w:line="480" w:lineRule="auto"/>
        <w:jc w:val="both"/>
        <w:rPr>
          <w:color w:val="auto"/>
        </w:rPr>
      </w:pPr>
      <w:r w:rsidRPr="0053182F">
        <w:rPr>
          <w:color w:val="auto"/>
        </w:rPr>
        <w:t xml:space="preserve">Consumer Demand for Cheap Goods – The culture of overconsumption and “fast fashion” has intensified price competition, compelling suppliers to cut labour costs and extend working hours. For example, Shein factory audits in China revealed </w:t>
      </w:r>
      <w:r w:rsidR="00853E5A" w:rsidRPr="0053182F">
        <w:rPr>
          <w:color w:val="auto"/>
        </w:rPr>
        <w:t>that employees were working over 75 hours per week with only one day off per month, in breach of n</w:t>
      </w:r>
      <w:r w:rsidRPr="0053182F">
        <w:rPr>
          <w:color w:val="auto"/>
        </w:rPr>
        <w:t xml:space="preserve">ational labour laws </w:t>
      </w:r>
      <w:sdt>
        <w:sdtPr>
          <w:tag w:val="MENDELEY_CITATION_v3_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"/>
          <w:id w:val="-1264607413"/>
          <w:placeholder>
            <w:docPart w:val="62367905CBD6460089C77491804E0227"/>
          </w:placeholder>
        </w:sdtPr>
        <w:sdtContent>
          <w:r w:rsidR="00CC19F4" w:rsidRPr="0053182F">
            <w:t>(BBC News, 2021)</w:t>
          </w:r>
        </w:sdtContent>
      </w:sdt>
      <w:r w:rsidRPr="0053182F">
        <w:rPr>
          <w:color w:val="auto"/>
        </w:rPr>
        <w:t>.</w:t>
      </w:r>
    </w:p>
    <w:p w14:paraId="66CD2CA1" w14:textId="1EDD628D" w:rsidR="00144866" w:rsidRPr="0053182F" w:rsidRDefault="00144866" w:rsidP="008A7A02">
      <w:pPr>
        <w:pStyle w:val="Heading3"/>
        <w:spacing w:after="0"/>
        <w:rPr>
          <w:rStyle w:val="Strong"/>
          <w:b/>
          <w:bCs w:val="0"/>
        </w:rPr>
      </w:pPr>
      <w:bookmarkStart w:id="63" w:name="_Toc215651788"/>
      <w:bookmarkStart w:id="64" w:name="_Toc218357082"/>
      <w:r w:rsidRPr="0053182F">
        <w:rPr>
          <w:rStyle w:val="Strong"/>
          <w:b/>
          <w:bCs w:val="0"/>
        </w:rPr>
        <w:t>2.4.4 Corporate Modern slavery and Institutional Dynamics</w:t>
      </w:r>
      <w:bookmarkEnd w:id="63"/>
      <w:bookmarkEnd w:id="64"/>
    </w:p>
    <w:p w14:paraId="6835FE44" w14:textId="64A995AF" w:rsidR="00144866" w:rsidRPr="0053182F" w:rsidRDefault="00144866" w:rsidP="008A7A02">
      <w:pPr>
        <w:spacing w:line="480" w:lineRule="auto"/>
        <w:jc w:val="both"/>
        <w:rPr>
          <w:color w:val="auto"/>
        </w:rPr>
      </w:pPr>
      <w:r w:rsidRPr="0053182F">
        <w:rPr>
          <w:color w:val="auto"/>
        </w:rPr>
        <w:t xml:space="preserve">NIT offers a useful lens for understanding how firms respond to pressures relating to MS. Coercive pressures derive from legislation, contractual requirements, and buyer-enforced codes of conduct; normative pressures emerge from civil society, labour rights norms, and trade union expectations; and mimetic pressures arise when firms imitate industry peers to secure legitimacy </w:t>
      </w:r>
      <w:sdt>
        <w:sdtPr>
          <w:tag w:val="MENDELEY_CITATION_v3_eyJjaXRhdGlvbklEIjoiTUVOREVMRVlfQ0lUQVRJT05fNDU1MjI2YTQtYjJjYS00NDFlLWI1NDUtMDI0YzMyNmE3NDg4IiwicHJvcGVydGllcyI6eyJub3RlSW5kZXgiOjB9LCJpc0VkaXRlZCI6ZmFsc2UsIm1hbnVhbE92ZXJyaWRlIjp7ImlzTWFudWFsbHlPdmVycmlkZGVuIjp0cnVlLCJjaXRlcHJvY1RleHQiOiIoRGlNYWdnaW8gYW5kIFBvd2VsbCwgMTk4MzsgT2JheWkgYW5kIEVicmFoaW1pLCAyMDIxKSIsIm1hbnVhbE92ZXJyaWRlVGV4dCI6IihEaW1hZ2dpbyBhbmQgUG93ZWxsLCAxOTgzOyBPYmF5aSBhbmQgRWJyYWhpbWksIDIwMjFhKS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"/>
          <w:id w:val="485979275"/>
          <w:placeholder>
            <w:docPart w:val="DE350F828C334C3788A26F619DCA3989"/>
          </w:placeholder>
        </w:sdtPr>
        <w:sdtContent>
          <w:r w:rsidR="00CC19F4" w:rsidRPr="0053182F">
            <w:t>(Dimaggio and Powell, 1983; Obayi and Ebrahimi, 2021a)</w:t>
          </w:r>
        </w:sdtContent>
      </w:sdt>
      <w:r w:rsidRPr="0053182F">
        <w:rPr>
          <w:color w:val="auto"/>
        </w:rPr>
        <w:t>. However, research shows th</w:t>
      </w:r>
      <w:r w:rsidR="00853E5A" w:rsidRPr="0053182F">
        <w:rPr>
          <w:color w:val="auto"/>
        </w:rPr>
        <w:t>at these pressures often lead to symbolic rather than substantive reform, in which a</w:t>
      </w:r>
      <w:r w:rsidRPr="0053182F">
        <w:rPr>
          <w:color w:val="auto"/>
        </w:rPr>
        <w:t xml:space="preserve">udits, certifications, and reports create the appearance of responsibility while exploitative practices persist </w:t>
      </w:r>
      <w:sdt>
        <w:sdtPr>
          <w:tag w:val="MENDELEY_CITATION_v3_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1dfQ=="/>
          <w:id w:val="1095836542"/>
          <w:placeholder>
            <w:docPart w:val="DE350F828C334C3788A26F619DCA3989"/>
          </w:placeholder>
        </w:sdtPr>
        <w:sdtContent>
          <w:r w:rsidR="00CC19F4" w:rsidRPr="0053182F">
            <w:rPr>
              <w:rFonts w:eastAsia="Times New Roman"/>
            </w:rPr>
            <w:t xml:space="preserve">(Benstead </w:t>
          </w:r>
          <w:r w:rsidR="00CC19F4" w:rsidRPr="0053182F">
            <w:rPr>
              <w:rFonts w:eastAsia="Times New Roman"/>
              <w:i/>
              <w:iCs/>
            </w:rPr>
            <w:t>et al.</w:t>
          </w:r>
          <w:r w:rsidR="00CC19F4" w:rsidRPr="0053182F">
            <w:rPr>
              <w:rFonts w:eastAsia="Times New Roman"/>
            </w:rPr>
            <w:t xml:space="preserve">, 2021; Vidal </w:t>
          </w:r>
          <w:r w:rsidR="00CC19F4" w:rsidRPr="0053182F">
            <w:rPr>
              <w:rFonts w:eastAsia="Times New Roman"/>
              <w:i/>
              <w:iCs/>
            </w:rPr>
            <w:t>et al.</w:t>
          </w:r>
          <w:r w:rsidR="00CC19F4" w:rsidRPr="0053182F">
            <w:rPr>
              <w:rFonts w:eastAsia="Times New Roman"/>
            </w:rPr>
            <w:t>, 2023)</w:t>
          </w:r>
        </w:sdtContent>
      </w:sdt>
      <w:r w:rsidRPr="0053182F">
        <w:rPr>
          <w:color w:val="auto"/>
        </w:rPr>
        <w:t>.</w:t>
      </w:r>
    </w:p>
    <w:p w14:paraId="7A68787A" w14:textId="640F3E01" w:rsidR="00144866" w:rsidRPr="0053182F" w:rsidRDefault="00144866" w:rsidP="00144866">
      <w:pPr>
        <w:spacing w:line="480" w:lineRule="auto"/>
        <w:ind w:firstLine="720"/>
        <w:jc w:val="both"/>
        <w:rPr>
          <w:color w:val="auto"/>
        </w:rPr>
      </w:pPr>
      <w:r w:rsidRPr="0053182F">
        <w:rPr>
          <w:color w:val="auto"/>
        </w:rPr>
        <w:t xml:space="preserve">Recent scholarship highlights the need to broaden the institutional analysis of CMS beyond top-down regulatory and market mechanisms </w:t>
      </w:r>
      <w:sdt>
        <w:sdtPr>
          <w:tag w:val="MENDELEY_CITATION_v3_eyJjaXRhdGlvbklEIjoiTUVOREVMRVlfQ0lUQVRJT05fOWI5YjdjODAtZDY3NC00NjNmLTgzZGItMDQyNDAyNTlmZmY0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885331422"/>
          <w:placeholder>
            <w:docPart w:val="4AC7928D3C7C417595243850F1CA2481"/>
          </w:placeholder>
        </w:sdtPr>
        <w:sdtContent>
          <w:r w:rsidR="00CC19F4" w:rsidRPr="0053182F">
            <w:rPr>
              <w:rFonts w:eastAsia="Times New Roman"/>
            </w:rPr>
            <w:t xml:space="preserve">(Muthuthantrige </w:t>
          </w:r>
          <w:r w:rsidR="00CC19F4" w:rsidRPr="0053182F">
            <w:rPr>
              <w:rFonts w:eastAsia="Times New Roman"/>
              <w:i/>
              <w:iCs/>
            </w:rPr>
            <w:t>et al.</w:t>
          </w:r>
          <w:r w:rsidR="00CC19F4" w:rsidRPr="0053182F">
            <w:rPr>
              <w:rFonts w:eastAsia="Times New Roman"/>
            </w:rPr>
            <w:t>, 2026)</w:t>
          </w:r>
        </w:sdtContent>
      </w:sdt>
      <w:r w:rsidRPr="0053182F">
        <w:rPr>
          <w:color w:val="auto"/>
        </w:rPr>
        <w:t xml:space="preserve">. Workers, trade unions, labour activists, and community-based organisations increasingly act as </w:t>
      </w:r>
      <w:r w:rsidRPr="0053182F">
        <w:rPr>
          <w:b/>
          <w:bCs/>
          <w:color w:val="auto"/>
        </w:rPr>
        <w:t>bottom-up institutional forces</w:t>
      </w:r>
      <w:r w:rsidRPr="0053182F">
        <w:rPr>
          <w:color w:val="auto"/>
        </w:rPr>
        <w:t>, exposing audit blind spots and challenging the legitimacy of corporate compliance claims—particularly in contexts of gendered, migrant, and LGBTQ</w:t>
      </w:r>
      <w:r w:rsidRPr="0053182F">
        <w:rPr>
          <w:rStyle w:val="FootnoteReference"/>
          <w:color w:val="auto"/>
        </w:rPr>
        <w:footnoteReference w:id="4"/>
      </w:r>
      <w:r w:rsidRPr="0053182F">
        <w:rPr>
          <w:color w:val="auto"/>
        </w:rPr>
        <w:t xml:space="preserve"> vulnerability (Rogerson et al., 2025). These grassroots dynamics are central to understanding why CMS persists and to envisioning governance models that place worker agency, rather than corporate disclosure, at the centre of accountability. </w:t>
      </w:r>
    </w:p>
    <w:p w14:paraId="14E2D13D" w14:textId="77777777" w:rsidR="00144866" w:rsidRPr="0053182F" w:rsidRDefault="00144866" w:rsidP="00144866">
      <w:pPr>
        <w:rPr>
          <w:color w:val="auto"/>
        </w:rPr>
      </w:pPr>
      <w:r w:rsidRPr="0053182F">
        <w:rPr>
          <w:rStyle w:val="Strong"/>
          <w:bCs w:val="0"/>
          <w:color w:val="auto"/>
        </w:rPr>
        <w:t>Corporate Modern Slavery as an Organisational Practice</w:t>
      </w:r>
    </w:p>
    <w:p w14:paraId="5C81E0CF" w14:textId="09A97E87" w:rsidR="00144866" w:rsidRPr="0053182F" w:rsidRDefault="00144866" w:rsidP="00144866">
      <w:pPr>
        <w:spacing w:line="480" w:lineRule="auto"/>
        <w:jc w:val="both"/>
        <w:rPr>
          <w:b/>
          <w:color w:val="auto"/>
        </w:rPr>
      </w:pPr>
      <w:r w:rsidRPr="0053182F">
        <w:rPr>
          <w:color w:val="auto"/>
        </w:rPr>
        <w:t xml:space="preserve">CMS is increasingly understood not as an exceptional violation but as an outcome of routine organisational decision-making within global production systems </w:t>
      </w:r>
      <w:sdt>
        <w:sdtPr>
          <w:tag w:val="MENDELEY_CITATION_v3_eyJjaXRhdGlvbklEIjoiTUVOREVMRVlfQ0lUQVRJT05fMjE2MGQxMTgtY2FjZC00MDA0LWFiZGUtNzc3MGZhNmRlOTgxIiwicHJvcGVydGllcyI6eyJub3RlSW5kZXgiOjB9LCJpc0VkaXRlZCI6ZmFsc2UsIm1hbnVhbE92ZXJyaWRlIjp7ImlzTWFudWFsbHlPdmVycmlkZGVuIjpmYWxzZSwiY2l0ZXByb2NUZXh0IjoiKENyYW5lLCAyMDEzOyBMZUJhcm9uIGFuZCBMaXN0ZXIsIDIwMjEpIiwibWFudWFsT3ZlcnJpZGVUZXh0IjoiIn0sImNpdGF0aW9uSXRlbXMiOlt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mNvbnRhaW5lci10aXRsZS1zaG9ydCI6Ik1hbmFnZSBSZXY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J9LCJpc1RlbXBvcmFyeSI6ZmFsc2V9LH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"/>
          <w:id w:val="-1088682326"/>
          <w:placeholder>
            <w:docPart w:val="DE350F828C334C3788A26F619DCA3989"/>
          </w:placeholder>
        </w:sdtPr>
        <w:sdtContent>
          <w:r w:rsidR="00CC19F4" w:rsidRPr="0053182F">
            <w:t>(Crane, 2013; LeBaron and Lister, 2021)</w:t>
          </w:r>
        </w:sdtContent>
      </w:sdt>
      <w:r w:rsidRPr="0053182F">
        <w:rPr>
          <w:color w:val="auto"/>
        </w:rPr>
        <w:t>. Research shows that exploitative labour conditions emerge from core business strategies—including aggressive price</w:t>
      </w:r>
      <w:r w:rsidR="00853E5A" w:rsidRPr="0053182F">
        <w:rPr>
          <w:color w:val="auto"/>
        </w:rPr>
        <w:t>-setting, lead-time compression, outsourcing, and multi-tier subcontracting—which enable firms to externalise labour costs and risks while retaining economic benefits</w:t>
      </w:r>
      <w:sdt>
        <w:sdtPr>
          <w:tag w:val="MENDELEY_CITATION_v3_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"/>
          <w:id w:val="-1831663275"/>
          <w:placeholder>
            <w:docPart w:val="DE350F828C334C3788A26F619DCA3989"/>
          </w:placeholder>
        </w:sdtPr>
        <w:sdtContent>
          <w:r w:rsidR="00B85634" w:rsidRPr="0053182F">
            <w:t>(Mezzadri, 2016; New, 2015a)</w:t>
          </w:r>
        </w:sdtContent>
      </w:sdt>
      <w:r w:rsidRPr="0053182F">
        <w:rPr>
          <w:color w:val="auto"/>
        </w:rPr>
        <w:t xml:space="preserve">. Under these conditions, forced labour is not a breakdown of corporate governance, but a </w:t>
      </w:r>
      <w:r w:rsidRPr="0053182F">
        <w:rPr>
          <w:rFonts w:eastAsia="Times New Roman"/>
          <w:i/>
          <w:color w:val="auto"/>
          <w:kern w:val="0"/>
          <w:lang w:eastAsia="en-GB"/>
          <w14:ligatures w14:val="none"/>
        </w:rPr>
        <w:t>functional by-product of supply chain optimisation</w:t>
      </w:r>
      <w:r w:rsidRPr="0053182F">
        <w:rPr>
          <w:rFonts w:eastAsia="Times New Roman"/>
          <w:color w:val="auto"/>
          <w:kern w:val="0"/>
          <w:lang w:eastAsia="en-GB"/>
          <w14:ligatures w14:val="none"/>
        </w:rPr>
        <w:t>.</w:t>
      </w:r>
    </w:p>
    <w:p w14:paraId="7D9A4242" w14:textId="2AED9F82" w:rsidR="00144866" w:rsidRPr="0053182F" w:rsidRDefault="00144866" w:rsidP="00144866">
      <w:pPr>
        <w:spacing w:line="480" w:lineRule="auto"/>
        <w:ind w:firstLine="720"/>
        <w:jc w:val="both"/>
        <w:rPr>
          <w:rFonts w:eastAsia="Times New Roman"/>
          <w:b/>
          <w:color w:val="auto"/>
          <w:kern w:val="0"/>
          <w:lang w:eastAsia="en-GB"/>
          <w14:ligatures w14:val="none"/>
        </w:rPr>
      </w:pPr>
      <w:r w:rsidRPr="0053182F">
        <w:rPr>
          <w:color w:val="auto"/>
          <w:lang w:eastAsia="en-GB"/>
        </w:rPr>
        <w:t xml:space="preserve">Managerial practices also play a central role in reproducing CMS. These include the use of temporary contracts, production-linked disciplinary systems, tied accommodation, debt-based recruitment, and restrictions on unionisation—mechanisms that </w:t>
      </w:r>
      <w:r w:rsidR="00853E5A" w:rsidRPr="0053182F">
        <w:rPr>
          <w:color w:val="auto"/>
          <w:lang w:eastAsia="en-GB"/>
        </w:rPr>
        <w:t>appear lawful on the surface</w:t>
      </w:r>
      <w:r w:rsidRPr="0053182F">
        <w:rPr>
          <w:color w:val="auto"/>
          <w:lang w:eastAsia="en-GB"/>
        </w:rPr>
        <w:t xml:space="preserve"> but significantly reduce workers’ freedom and bargaining power (Lewis et al., 2015; LeBaron et al., 2022). Such practices position workers along what Skrivankova (2010) describes as a “continuum of exploitation,” blurring the boundaries between decent work, precarious labour, and coercion.</w:t>
      </w:r>
    </w:p>
    <w:p w14:paraId="21ECCEBF" w14:textId="1D5BBFB0" w:rsidR="00144866" w:rsidRPr="0053182F" w:rsidRDefault="00144866" w:rsidP="00144866">
      <w:pPr>
        <w:spacing w:line="480" w:lineRule="auto"/>
        <w:ind w:firstLine="720"/>
        <w:jc w:val="both"/>
        <w:rPr>
          <w:rFonts w:eastAsia="Times New Roman"/>
          <w:b/>
          <w:bCs/>
          <w:color w:val="auto"/>
          <w:kern w:val="0"/>
          <w:lang w:eastAsia="en-GB"/>
          <w14:ligatures w14:val="none"/>
        </w:rPr>
      </w:pPr>
      <w:r w:rsidRPr="0053182F">
        <w:rPr>
          <w:rFonts w:eastAsia="Times New Roman"/>
          <w:bCs/>
          <w:color w:val="auto"/>
          <w:kern w:val="0"/>
          <w:lang w:eastAsia="en-GB"/>
          <w14:ligatures w14:val="none"/>
        </w:rPr>
        <w:t xml:space="preserve">Importantly, CMS is often </w:t>
      </w:r>
      <w:r w:rsidRPr="0053182F">
        <w:rPr>
          <w:rFonts w:eastAsia="Times New Roman"/>
          <w:bCs/>
          <w:i/>
          <w:iCs/>
          <w:color w:val="auto"/>
          <w:kern w:val="0"/>
          <w:lang w:eastAsia="en-GB"/>
          <w14:ligatures w14:val="none"/>
        </w:rPr>
        <w:t>concealed rather than denied</w:t>
      </w:r>
      <w:r w:rsidRPr="0053182F">
        <w:rPr>
          <w:rFonts w:eastAsia="Times New Roman"/>
          <w:bCs/>
          <w:color w:val="auto"/>
          <w:kern w:val="0"/>
          <w:lang w:eastAsia="en-GB"/>
          <w14:ligatures w14:val="none"/>
        </w:rPr>
        <w:t xml:space="preserve"> by corporations. Internal reporting metrics, third-party audits, and sustainability rankings may present a narrative of ethical compliance while masking exploitative conditions deeper in the supply chain </w:t>
      </w:r>
      <w:sdt>
        <w:sdtPr>
          <w:rPr>
            <w:rFonts w:eastAsia="Times New Roman"/>
            <w:bCs/>
            <w:kern w:val="0"/>
            <w:lang w:eastAsia="en-GB"/>
            <w14:ligatures w14:val="none"/>
          </w:rPr>
          <w:tag w:val="MENDELEY_CITATION_v3_eyJjaXRhdGlvbklEIjoiTUVOREVMRVlfQ0lUQVRJT05fNGM2Y2UxMjUtZDNhMS00NDRkLTk3Y2EtYmJlNWE0MDhjNjllIiwicHJvcGVydGllcyI6eyJub3RlSW5kZXgiOjB9LCJpc0VkaXRlZCI6ZmFsc2UsIm1hbnVhbE92ZXJyaWRlIjp7ImlzTWFudWFsbHlPdmVycmlkZGVuIjpmYWxzZSwiY2l0ZXByb2NUZXh0IjoiKElzbGFtIGFuZCBWYW4gU3RhZGVuLCAyMDIyOyBNdXRodXRoYW50cmlnZSA8aT5ldCBhbC48L2k+LCAyMDI2KSIsIm1hbnVhbE92ZXJyaWRlVGV4dCI6IiJ9LCJjaXRhdGlvbkl0ZW1zIjpb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dWhhbW1hZCAgQXppenVs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i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
          <w:id w:val="-2057777379"/>
          <w:placeholder>
            <w:docPart w:val="DE350F828C334C3788A26F619DCA3989"/>
          </w:placeholder>
        </w:sdtPr>
        <w:sdtContent>
          <w:r w:rsidR="00CC19F4" w:rsidRPr="0053182F">
            <w:rPr>
              <w:rFonts w:eastAsia="Times New Roman"/>
            </w:rPr>
            <w:t>(Islam and Van Staden, 202</w:t>
          </w:r>
          <w:r w:rsidR="00DF28DA">
            <w:rPr>
              <w:rFonts w:eastAsia="Times New Roman"/>
            </w:rPr>
            <w:t>1</w:t>
          </w:r>
          <w:r w:rsidR="00CC19F4" w:rsidRPr="0053182F">
            <w:rPr>
              <w:rFonts w:eastAsia="Times New Roman"/>
            </w:rPr>
            <w:t xml:space="preserve">; Muthuthantrige </w:t>
          </w:r>
          <w:r w:rsidR="00CC19F4" w:rsidRPr="0053182F">
            <w:rPr>
              <w:rFonts w:eastAsia="Times New Roman"/>
              <w:i/>
              <w:iCs/>
            </w:rPr>
            <w:t>et al.</w:t>
          </w:r>
          <w:r w:rsidR="00CC19F4" w:rsidRPr="0053182F">
            <w:rPr>
              <w:rFonts w:eastAsia="Times New Roman"/>
            </w:rPr>
            <w:t>, 2026)</w:t>
          </w:r>
        </w:sdtContent>
      </w:sdt>
      <w:r w:rsidRPr="0053182F">
        <w:rPr>
          <w:rFonts w:eastAsia="Times New Roman"/>
          <w:bCs/>
          <w:color w:val="auto"/>
          <w:kern w:val="0"/>
          <w:lang w:eastAsia="en-GB"/>
          <w14:ligatures w14:val="none"/>
        </w:rPr>
        <w:t xml:space="preserve">.  As several scholars argue, these governance tools are not merely ineffective but can actively </w:t>
      </w:r>
      <w:r w:rsidRPr="0053182F">
        <w:rPr>
          <w:rFonts w:eastAsia="Times New Roman"/>
          <w:bCs/>
          <w:i/>
          <w:iCs/>
          <w:color w:val="auto"/>
          <w:kern w:val="0"/>
          <w:lang w:eastAsia="en-GB"/>
          <w14:ligatures w14:val="none"/>
        </w:rPr>
        <w:t>enable</w:t>
      </w:r>
      <w:r w:rsidRPr="0053182F">
        <w:rPr>
          <w:rFonts w:eastAsia="Times New Roman"/>
          <w:bCs/>
          <w:color w:val="auto"/>
          <w:kern w:val="0"/>
          <w:lang w:eastAsia="en-GB"/>
          <w14:ligatures w14:val="none"/>
        </w:rPr>
        <w:t xml:space="preserve"> exploitation by providing reputational cover without altering harmful practices on the ground </w:t>
      </w:r>
      <w:sdt>
        <w:sdtPr>
          <w:rPr>
            <w:rFonts w:eastAsia="Times New Roman"/>
            <w:bCs/>
            <w:kern w:val="0"/>
            <w:lang w:eastAsia="en-GB"/>
            <w14:ligatures w14:val="none"/>
          </w:rPr>
          <w:tag w:val="MENDELEY_CITATION_v3_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"/>
          <w:id w:val="1455686876"/>
          <w:placeholder>
            <w:docPart w:val="DE350F828C334C3788A26F619DCA3989"/>
          </w:placeholder>
        </w:sdtPr>
        <w:sdtContent>
          <w:r w:rsidR="00CC19F4" w:rsidRPr="0053182F">
            <w:rPr>
              <w:rFonts w:eastAsia="Times New Roman"/>
              <w:bCs/>
              <w:kern w:val="0"/>
              <w:lang w:eastAsia="en-GB"/>
              <w14:ligatures w14:val="none"/>
            </w:rPr>
            <w:t>(Goodman and Tréhu, 2022)</w:t>
          </w:r>
        </w:sdtContent>
      </w:sdt>
      <w:r w:rsidRPr="0053182F">
        <w:rPr>
          <w:rFonts w:eastAsia="Times New Roman"/>
          <w:bCs/>
          <w:color w:val="auto"/>
          <w:kern w:val="0"/>
          <w:lang w:eastAsia="en-GB"/>
          <w14:ligatures w14:val="none"/>
        </w:rPr>
        <w:t>.</w:t>
      </w:r>
    </w:p>
    <w:p w14:paraId="14C4371A" w14:textId="77777777" w:rsidR="00144866" w:rsidRPr="0053182F" w:rsidRDefault="00144866" w:rsidP="00144866">
      <w:pPr>
        <w:spacing w:line="480" w:lineRule="auto"/>
        <w:ind w:firstLine="720"/>
        <w:jc w:val="both"/>
        <w:rPr>
          <w:rFonts w:eastAsia="Times New Roman"/>
          <w:b/>
          <w:bCs/>
          <w:color w:val="auto"/>
          <w:kern w:val="0"/>
          <w:lang w:eastAsia="en-GB"/>
          <w14:ligatures w14:val="none"/>
        </w:rPr>
      </w:pPr>
      <w:r w:rsidRPr="0053182F">
        <w:rPr>
          <w:rFonts w:eastAsia="Times New Roman"/>
          <w:bCs/>
          <w:color w:val="auto"/>
          <w:kern w:val="0"/>
          <w:lang w:eastAsia="en-GB"/>
          <w14:ligatures w14:val="none"/>
        </w:rPr>
        <w:t>Thus, CMS is best understood as a management practice sustained by organisational priorities—particularly profit maximisation, reputational risk control, and supply chain flexibility—rather than as an isolated criminal act or regulatory gap.</w:t>
      </w:r>
    </w:p>
    <w:p w14:paraId="46829F63" w14:textId="77777777" w:rsidR="00144866" w:rsidRPr="0053182F" w:rsidRDefault="00144866" w:rsidP="00144866">
      <w:pPr>
        <w:rPr>
          <w:color w:val="auto"/>
          <w:lang w:eastAsia="en-GB"/>
        </w:rPr>
      </w:pPr>
      <w:r w:rsidRPr="0053182F">
        <w:rPr>
          <w:rStyle w:val="Strong"/>
          <w:bCs w:val="0"/>
          <w:noProof/>
          <w:color w:val="auto"/>
        </w:rPr>
        <mc:AlternateContent>
          <mc:Choice Requires="wps">
            <w:drawing>
              <wp:anchor distT="45720" distB="45720" distL="114300" distR="114300" simplePos="0" relativeHeight="251658251" behindDoc="0" locked="0" layoutInCell="1" allowOverlap="1" wp14:anchorId="52C9F549" wp14:editId="28D3C67D">
                <wp:simplePos x="0" y="0"/>
                <wp:positionH relativeFrom="margin">
                  <wp:posOffset>4666033</wp:posOffset>
                </wp:positionH>
                <wp:positionV relativeFrom="paragraph">
                  <wp:posOffset>927945</wp:posOffset>
                </wp:positionV>
                <wp:extent cx="1366520" cy="961390"/>
                <wp:effectExtent l="0" t="0" r="24130" b="10160"/>
                <wp:wrapSquare wrapText="bothSides"/>
                <wp:docPr id="17412083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6520" cy="961390"/>
                        </a:xfrm>
                        <a:prstGeom prst="rect">
                          <a:avLst/>
                        </a:prstGeom>
                        <a:solidFill>
                          <a:srgbClr val="FFFFFF"/>
                        </a:solidFill>
                        <a:ln w="9525">
                          <a:solidFill>
                            <a:srgbClr val="000000"/>
                          </a:solidFill>
                          <a:miter lim="800000"/>
                          <a:headEnd/>
                          <a:tailEnd/>
                        </a:ln>
                      </wps:spPr>
                      <wps:txbx>
                        <w:txbxContent>
                          <w:p w14:paraId="20A7B816" w14:textId="77777777" w:rsidR="00144866" w:rsidRDefault="00144866" w:rsidP="00144866">
                            <w:pPr>
                              <w:spacing w:after="0"/>
                              <w:rPr>
                                <w:lang w:eastAsia="en-GB"/>
                              </w:rPr>
                            </w:pPr>
                            <w:r>
                              <w:rPr>
                                <w:lang w:eastAsia="en-GB"/>
                              </w:rPr>
                              <w:t xml:space="preserve">  Threats, violence, </w:t>
                            </w:r>
                          </w:p>
                          <w:p w14:paraId="5D4DD884" w14:textId="77777777" w:rsidR="00144866" w:rsidRDefault="00144866" w:rsidP="00144866">
                            <w:pPr>
                              <w:spacing w:after="0"/>
                              <w:rPr>
                                <w:lang w:eastAsia="en-GB"/>
                              </w:rPr>
                            </w:pPr>
                            <w:r>
                              <w:rPr>
                                <w:lang w:eastAsia="en-GB"/>
                              </w:rPr>
                              <w:t xml:space="preserve">confinement, total  </w:t>
                            </w:r>
                          </w:p>
                          <w:p w14:paraId="0E782675" w14:textId="77777777" w:rsidR="00144866" w:rsidRDefault="00144866" w:rsidP="00144866">
                            <w:pPr>
                              <w:spacing w:after="0"/>
                            </w:pPr>
                            <w:r>
                              <w:rPr>
                                <w:lang w:eastAsia="en-GB"/>
                              </w:rPr>
                              <w:t xml:space="preserve">loss of agency      </w:t>
                            </w:r>
                          </w:p>
                          <w:p w14:paraId="32681C90" w14:textId="77777777" w:rsidR="00144866" w:rsidRDefault="00144866" w:rsidP="0014486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C9F549" id="Text Box 2" o:spid="_x0000_s1045" type="#_x0000_t202" style="position:absolute;margin-left:367.4pt;margin-top:73.05pt;width:107.6pt;height:75.7pt;z-index:251658251;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">
                <v:textbox>
                  <w:txbxContent>
                    <w:p w14:paraId="20A7B816" w14:textId="77777777" w:rsidR="00144866" w:rsidRDefault="00144866" w:rsidP="00144866">
                      <w:pPr>
                        <w:spacing w:after="0"/>
                        <w:rPr>
                          <w:lang w:eastAsia="en-GB"/>
                        </w:rPr>
                      </w:pPr>
                      <w:r>
                        <w:rPr>
                          <w:lang w:eastAsia="en-GB"/>
                        </w:rPr>
                        <w:t xml:space="preserve">  Threats, violence, </w:t>
                      </w:r>
                    </w:p>
                    <w:p w14:paraId="5D4DD884" w14:textId="77777777" w:rsidR="00144866" w:rsidRDefault="00144866" w:rsidP="00144866">
                      <w:pPr>
                        <w:spacing w:after="0"/>
                        <w:rPr>
                          <w:lang w:eastAsia="en-GB"/>
                        </w:rPr>
                      </w:pPr>
                      <w:r>
                        <w:rPr>
                          <w:lang w:eastAsia="en-GB"/>
                        </w:rPr>
                        <w:t xml:space="preserve">confinement, total  </w:t>
                      </w:r>
                    </w:p>
                    <w:p w14:paraId="0E782675" w14:textId="77777777" w:rsidR="00144866" w:rsidRDefault="00144866" w:rsidP="00144866">
                      <w:pPr>
                        <w:spacing w:after="0"/>
                      </w:pPr>
                      <w:r>
                        <w:rPr>
                          <w:lang w:eastAsia="en-GB"/>
                        </w:rPr>
                        <w:t xml:space="preserve">loss of agency      </w:t>
                      </w:r>
                    </w:p>
                    <w:p w14:paraId="32681C90" w14:textId="77777777" w:rsidR="00144866" w:rsidRDefault="00144866" w:rsidP="00144866"/>
                  </w:txbxContent>
                </v:textbox>
                <w10:wrap type="square" anchorx="margin"/>
              </v:shape>
            </w:pict>
          </mc:Fallback>
        </mc:AlternateContent>
      </w:r>
      <w:r w:rsidRPr="0053182F">
        <w:rPr>
          <w:b/>
          <w:noProof/>
          <w:color w:val="auto"/>
        </w:rPr>
        <mc:AlternateContent>
          <mc:Choice Requires="wps">
            <w:drawing>
              <wp:anchor distT="0" distB="0" distL="114300" distR="114300" simplePos="0" relativeHeight="251658248" behindDoc="0" locked="0" layoutInCell="1" allowOverlap="1" wp14:anchorId="5F728280" wp14:editId="47054137">
                <wp:simplePos x="0" y="0"/>
                <wp:positionH relativeFrom="column">
                  <wp:posOffset>4299722</wp:posOffset>
                </wp:positionH>
                <wp:positionV relativeFrom="paragraph">
                  <wp:posOffset>496930</wp:posOffset>
                </wp:positionV>
                <wp:extent cx="311085" cy="9427"/>
                <wp:effectExtent l="0" t="76200" r="32385" b="86360"/>
                <wp:wrapNone/>
                <wp:docPr id="1350887232" name="Straight Arrow Connector 170"/>
                <wp:cNvGraphicFramePr/>
                <a:graphic xmlns:a="http://schemas.openxmlformats.org/drawingml/2006/main">
                  <a:graphicData uri="http://schemas.microsoft.com/office/word/2010/wordprocessingShape">
                    <wps:wsp>
                      <wps:cNvCnPr/>
                      <wps:spPr>
                        <a:xfrm flipV="1">
                          <a:off x="0" y="0"/>
                          <a:ext cx="311085" cy="94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85DEC0" id="Straight Arrow Connector 170" o:spid="_x0000_s1026" type="#_x0000_t32" style="position:absolute;margin-left:338.55pt;margin-top:39.15pt;width:24.5pt;height:.75pt;flip:y;z-index:251658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" strokecolor="black [3200]" strokeweight="1pt">
                <v:stroke endarrow="block" joinstyle="miter"/>
              </v:shape>
            </w:pict>
          </mc:Fallback>
        </mc:AlternateContent>
      </w:r>
      <w:r w:rsidRPr="0053182F">
        <w:rPr>
          <w:b/>
          <w:noProof/>
          <w:color w:val="auto"/>
        </w:rPr>
        <mc:AlternateContent>
          <mc:Choice Requires="wps">
            <w:drawing>
              <wp:anchor distT="0" distB="0" distL="114300" distR="114300" simplePos="0" relativeHeight="251658247" behindDoc="0" locked="0" layoutInCell="1" allowOverlap="1" wp14:anchorId="2FA3B738" wp14:editId="36B8A9D3">
                <wp:simplePos x="0" y="0"/>
                <wp:positionH relativeFrom="margin">
                  <wp:align>center</wp:align>
                </wp:positionH>
                <wp:positionV relativeFrom="paragraph">
                  <wp:posOffset>496628</wp:posOffset>
                </wp:positionV>
                <wp:extent cx="311085" cy="9427"/>
                <wp:effectExtent l="0" t="76200" r="32385" b="86360"/>
                <wp:wrapNone/>
                <wp:docPr id="343804551" name="Straight Arrow Connector 170"/>
                <wp:cNvGraphicFramePr/>
                <a:graphic xmlns:a="http://schemas.openxmlformats.org/drawingml/2006/main">
                  <a:graphicData uri="http://schemas.microsoft.com/office/word/2010/wordprocessingShape">
                    <wps:wsp>
                      <wps:cNvCnPr/>
                      <wps:spPr>
                        <a:xfrm flipV="1">
                          <a:off x="0" y="0"/>
                          <a:ext cx="311085" cy="94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B4E37E" id="Straight Arrow Connector 170" o:spid="_x0000_s1026" type="#_x0000_t32" style="position:absolute;margin-left:0;margin-top:39.1pt;width:24.5pt;height:.75pt;flip:y;z-index:251658247;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" strokecolor="black [3200]" strokeweight="1pt">
                <v:stroke endarrow="block" joinstyle="miter"/>
                <w10:wrap anchorx="margin"/>
              </v:shape>
            </w:pict>
          </mc:Fallback>
        </mc:AlternateContent>
      </w:r>
      <w:r w:rsidRPr="0053182F">
        <w:rPr>
          <w:b/>
          <w:noProof/>
          <w:color w:val="auto"/>
        </w:rPr>
        <mc:AlternateContent>
          <mc:Choice Requires="wps">
            <w:drawing>
              <wp:anchor distT="0" distB="0" distL="114300" distR="114300" simplePos="0" relativeHeight="251658246" behindDoc="0" locked="0" layoutInCell="1" allowOverlap="1" wp14:anchorId="6557CC42" wp14:editId="7443DA30">
                <wp:simplePos x="0" y="0"/>
                <wp:positionH relativeFrom="column">
                  <wp:posOffset>1084082</wp:posOffset>
                </wp:positionH>
                <wp:positionV relativeFrom="paragraph">
                  <wp:posOffset>532536</wp:posOffset>
                </wp:positionV>
                <wp:extent cx="311085" cy="9427"/>
                <wp:effectExtent l="0" t="76200" r="32385" b="86360"/>
                <wp:wrapNone/>
                <wp:docPr id="1670886644" name="Straight Arrow Connector 170"/>
                <wp:cNvGraphicFramePr/>
                <a:graphic xmlns:a="http://schemas.openxmlformats.org/drawingml/2006/main">
                  <a:graphicData uri="http://schemas.microsoft.com/office/word/2010/wordprocessingShape">
                    <wps:wsp>
                      <wps:cNvCnPr/>
                      <wps:spPr>
                        <a:xfrm flipV="1">
                          <a:off x="0" y="0"/>
                          <a:ext cx="311085" cy="94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4BFB1CD" id="Straight Arrow Connector 170" o:spid="_x0000_s1026" type="#_x0000_t32" style="position:absolute;margin-left:85.35pt;margin-top:41.95pt;width:24.5pt;height:.75pt;flip:y;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" strokecolor="black [3200]" strokeweight="1pt">
                <v:stroke endarrow="block" joinstyle="miter"/>
              </v:shape>
            </w:pict>
          </mc:Fallback>
        </mc:AlternateContent>
      </w:r>
      <w:r w:rsidRPr="0053182F">
        <w:rPr>
          <w:rStyle w:val="Strong"/>
          <w:bCs w:val="0"/>
          <w:noProof/>
          <w:color w:val="auto"/>
        </w:rPr>
        <mc:AlternateContent>
          <mc:Choice Requires="wps">
            <w:drawing>
              <wp:anchor distT="45720" distB="45720" distL="114300" distR="114300" simplePos="0" relativeHeight="251658244" behindDoc="0" locked="0" layoutInCell="1" allowOverlap="1" wp14:anchorId="6A1657F3" wp14:editId="7638F07F">
                <wp:simplePos x="0" y="0"/>
                <wp:positionH relativeFrom="margin">
                  <wp:posOffset>3015766</wp:posOffset>
                </wp:positionH>
                <wp:positionV relativeFrom="paragraph">
                  <wp:posOffset>315595</wp:posOffset>
                </wp:positionV>
                <wp:extent cx="1263015" cy="1404620"/>
                <wp:effectExtent l="0" t="0" r="13335" b="13970"/>
                <wp:wrapSquare wrapText="bothSides"/>
                <wp:docPr id="9630564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015" cy="1404620"/>
                        </a:xfrm>
                        <a:prstGeom prst="rect">
                          <a:avLst/>
                        </a:prstGeom>
                        <a:solidFill>
                          <a:srgbClr val="FFFFFF"/>
                        </a:solidFill>
                        <a:ln w="9525">
                          <a:solidFill>
                            <a:srgbClr val="000000"/>
                          </a:solidFill>
                          <a:miter lim="800000"/>
                          <a:headEnd/>
                          <a:tailEnd/>
                        </a:ln>
                      </wps:spPr>
                      <wps:txbx>
                        <w:txbxContent>
                          <w:p w14:paraId="5F1C93C8" w14:textId="77777777" w:rsidR="00144866" w:rsidRDefault="00144866" w:rsidP="00144866">
                            <w:r>
                              <w:rPr>
                                <w:lang w:eastAsia="en-GB"/>
                              </w:rPr>
                              <w:t xml:space="preserve">Coercive Labour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1657F3" id="_x0000_s1046" type="#_x0000_t202" style="position:absolute;margin-left:237.45pt;margin-top:24.85pt;width:99.45pt;height:110.6pt;z-index:2516582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">
                <v:textbox style="mso-fit-shape-to-text:t">
                  <w:txbxContent>
                    <w:p w14:paraId="5F1C93C8" w14:textId="77777777" w:rsidR="00144866" w:rsidRDefault="00144866" w:rsidP="00144866">
                      <w:r>
                        <w:rPr>
                          <w:lang w:eastAsia="en-GB"/>
                        </w:rPr>
                        <w:t xml:space="preserve">Coercive Labour     </w:t>
                      </w:r>
                    </w:p>
                  </w:txbxContent>
                </v:textbox>
                <w10:wrap type="square" anchorx="margin"/>
              </v:shape>
            </w:pict>
          </mc:Fallback>
        </mc:AlternateContent>
      </w:r>
      <w:r w:rsidRPr="0053182F">
        <w:rPr>
          <w:rStyle w:val="Strong"/>
          <w:bCs w:val="0"/>
          <w:noProof/>
          <w:color w:val="auto"/>
        </w:rPr>
        <mc:AlternateContent>
          <mc:Choice Requires="wps">
            <w:drawing>
              <wp:anchor distT="45720" distB="45720" distL="114300" distR="114300" simplePos="0" relativeHeight="251658245" behindDoc="0" locked="0" layoutInCell="1" allowOverlap="1" wp14:anchorId="016F3592" wp14:editId="2266D837">
                <wp:simplePos x="0" y="0"/>
                <wp:positionH relativeFrom="margin">
                  <wp:posOffset>1431290</wp:posOffset>
                </wp:positionH>
                <wp:positionV relativeFrom="paragraph">
                  <wp:posOffset>315595</wp:posOffset>
                </wp:positionV>
                <wp:extent cx="1216025" cy="1404620"/>
                <wp:effectExtent l="0" t="0" r="22225" b="13970"/>
                <wp:wrapSquare wrapText="bothSides"/>
                <wp:docPr id="20350279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6025" cy="1404620"/>
                        </a:xfrm>
                        <a:prstGeom prst="rect">
                          <a:avLst/>
                        </a:prstGeom>
                        <a:solidFill>
                          <a:srgbClr val="FFFFFF"/>
                        </a:solidFill>
                        <a:ln w="9525">
                          <a:solidFill>
                            <a:srgbClr val="000000"/>
                          </a:solidFill>
                          <a:miter lim="800000"/>
                          <a:headEnd/>
                          <a:tailEnd/>
                        </a:ln>
                      </wps:spPr>
                      <wps:txbx>
                        <w:txbxContent>
                          <w:p w14:paraId="665E46D5" w14:textId="77777777" w:rsidR="00144866" w:rsidRDefault="00144866" w:rsidP="00144866">
                            <w:r>
                              <w:rPr>
                                <w:lang w:eastAsia="en-GB"/>
                              </w:rPr>
                              <w:t>Precarious Work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6F3592" id="_x0000_s1047" type="#_x0000_t202" style="position:absolute;margin-left:112.7pt;margin-top:24.85pt;width:95.75pt;height:110.6pt;z-index:251658245;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">
                <v:textbox style="mso-fit-shape-to-text:t">
                  <w:txbxContent>
                    <w:p w14:paraId="665E46D5" w14:textId="77777777" w:rsidR="00144866" w:rsidRDefault="00144866" w:rsidP="00144866">
                      <w:r>
                        <w:rPr>
                          <w:lang w:eastAsia="en-GB"/>
                        </w:rPr>
                        <w:t>Precarious Work</w:t>
                      </w:r>
                    </w:p>
                  </w:txbxContent>
                </v:textbox>
                <w10:wrap type="square" anchorx="margin"/>
              </v:shape>
            </w:pict>
          </mc:Fallback>
        </mc:AlternateContent>
      </w:r>
      <w:r w:rsidRPr="0053182F">
        <w:rPr>
          <w:rStyle w:val="Strong"/>
          <w:bCs w:val="0"/>
          <w:noProof/>
          <w:color w:val="auto"/>
        </w:rPr>
        <mc:AlternateContent>
          <mc:Choice Requires="wps">
            <w:drawing>
              <wp:anchor distT="45720" distB="45720" distL="114300" distR="114300" simplePos="0" relativeHeight="251658243" behindDoc="0" locked="0" layoutInCell="1" allowOverlap="1" wp14:anchorId="5E8175F8" wp14:editId="27979515">
                <wp:simplePos x="0" y="0"/>
                <wp:positionH relativeFrom="margin">
                  <wp:posOffset>4646930</wp:posOffset>
                </wp:positionH>
                <wp:positionV relativeFrom="paragraph">
                  <wp:posOffset>306070</wp:posOffset>
                </wp:positionV>
                <wp:extent cx="1111885" cy="1404620"/>
                <wp:effectExtent l="0" t="0" r="12065" b="13970"/>
                <wp:wrapSquare wrapText="bothSides"/>
                <wp:docPr id="108669128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1885" cy="1404620"/>
                        </a:xfrm>
                        <a:prstGeom prst="rect">
                          <a:avLst/>
                        </a:prstGeom>
                        <a:solidFill>
                          <a:srgbClr val="FFFFFF"/>
                        </a:solidFill>
                        <a:ln w="9525">
                          <a:solidFill>
                            <a:srgbClr val="000000"/>
                          </a:solidFill>
                          <a:miter lim="800000"/>
                          <a:headEnd/>
                          <a:tailEnd/>
                        </a:ln>
                      </wps:spPr>
                      <wps:txbx>
                        <w:txbxContent>
                          <w:p w14:paraId="49D037CA" w14:textId="77777777" w:rsidR="00144866" w:rsidRDefault="00144866" w:rsidP="00144866">
                            <w:r>
                              <w:rPr>
                                <w:lang w:eastAsia="en-GB"/>
                              </w:rPr>
                              <w:t>Forced Labour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E8175F8" id="_x0000_s1048" type="#_x0000_t202" style="position:absolute;margin-left:365.9pt;margin-top:24.1pt;width:87.5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">
                <v:textbox style="mso-fit-shape-to-text:t">
                  <w:txbxContent>
                    <w:p w14:paraId="49D037CA" w14:textId="77777777" w:rsidR="00144866" w:rsidRDefault="00144866" w:rsidP="00144866">
                      <w:r>
                        <w:rPr>
                          <w:lang w:eastAsia="en-GB"/>
                        </w:rPr>
                        <w:t>Forced Labour</w:t>
                      </w:r>
                    </w:p>
                  </w:txbxContent>
                </v:textbox>
                <w10:wrap type="square" anchorx="margin"/>
              </v:shape>
            </w:pict>
          </mc:Fallback>
        </mc:AlternateContent>
      </w:r>
      <w:r w:rsidRPr="0053182F">
        <w:rPr>
          <w:color w:val="auto"/>
          <w:lang w:eastAsia="en-GB"/>
        </w:rPr>
        <w:t>─────────────────────────────────────────────────────</w:t>
      </w:r>
    </w:p>
    <w:p w14:paraId="1C29629F" w14:textId="77777777" w:rsidR="00144866" w:rsidRPr="0053182F" w:rsidRDefault="00144866" w:rsidP="00144866">
      <w:pPr>
        <w:rPr>
          <w:color w:val="auto"/>
          <w:lang w:eastAsia="en-GB"/>
        </w:rPr>
      </w:pPr>
      <w:r w:rsidRPr="0053182F">
        <w:rPr>
          <w:b/>
          <w:noProof/>
          <w:color w:val="auto"/>
        </w:rPr>
        <mc:AlternateContent>
          <mc:Choice Requires="wps">
            <w:drawing>
              <wp:anchor distT="0" distB="0" distL="114300" distR="114300" simplePos="0" relativeHeight="251658252" behindDoc="0" locked="0" layoutInCell="1" allowOverlap="1" wp14:anchorId="7D3F0AA9" wp14:editId="7688F2E5">
                <wp:simplePos x="0" y="0"/>
                <wp:positionH relativeFrom="column">
                  <wp:posOffset>-65988</wp:posOffset>
                </wp:positionH>
                <wp:positionV relativeFrom="paragraph">
                  <wp:posOffset>1840355</wp:posOffset>
                </wp:positionV>
                <wp:extent cx="6061435" cy="0"/>
                <wp:effectExtent l="0" t="0" r="0" b="0"/>
                <wp:wrapNone/>
                <wp:docPr id="2073958942" name="Straight Connector 171"/>
                <wp:cNvGraphicFramePr/>
                <a:graphic xmlns:a="http://schemas.openxmlformats.org/drawingml/2006/main">
                  <a:graphicData uri="http://schemas.microsoft.com/office/word/2010/wordprocessingShape">
                    <wps:wsp>
                      <wps:cNvCnPr/>
                      <wps:spPr>
                        <a:xfrm>
                          <a:off x="0" y="0"/>
                          <a:ext cx="606143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16D06A" id="Straight Connector 171" o:spid="_x0000_s1026" style="position:absolute;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2pt,144.9pt" to="472.1pt,14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" strokecolor="black [3200]" strokeweight="1pt">
                <v:stroke joinstyle="miter"/>
              </v:line>
            </w:pict>
          </mc:Fallback>
        </mc:AlternateContent>
      </w:r>
      <w:r w:rsidRPr="0053182F">
        <w:rPr>
          <w:rStyle w:val="Strong"/>
          <w:bCs w:val="0"/>
          <w:noProof/>
          <w:color w:val="auto"/>
        </w:rPr>
        <mc:AlternateContent>
          <mc:Choice Requires="wps">
            <w:drawing>
              <wp:anchor distT="45720" distB="45720" distL="114300" distR="114300" simplePos="0" relativeHeight="251658250" behindDoc="0" locked="0" layoutInCell="1" allowOverlap="1" wp14:anchorId="7EDB44FB" wp14:editId="3CF252E3">
                <wp:simplePos x="0" y="0"/>
                <wp:positionH relativeFrom="margin">
                  <wp:posOffset>2998470</wp:posOffset>
                </wp:positionH>
                <wp:positionV relativeFrom="paragraph">
                  <wp:posOffset>625292</wp:posOffset>
                </wp:positionV>
                <wp:extent cx="1413510" cy="961390"/>
                <wp:effectExtent l="0" t="0" r="15240" b="10160"/>
                <wp:wrapSquare wrapText="bothSides"/>
                <wp:docPr id="310585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3510" cy="961390"/>
                        </a:xfrm>
                        <a:prstGeom prst="rect">
                          <a:avLst/>
                        </a:prstGeom>
                        <a:solidFill>
                          <a:srgbClr val="FFFFFF"/>
                        </a:solidFill>
                        <a:ln w="9525">
                          <a:solidFill>
                            <a:srgbClr val="000000"/>
                          </a:solidFill>
                          <a:miter lim="800000"/>
                          <a:headEnd/>
                          <a:tailEnd/>
                        </a:ln>
                      </wps:spPr>
                      <wps:txbx>
                        <w:txbxContent>
                          <w:p w14:paraId="53F91520" w14:textId="77777777" w:rsidR="00144866" w:rsidRDefault="00144866" w:rsidP="00144866">
                            <w:pPr>
                              <w:spacing w:after="0"/>
                              <w:rPr>
                                <w:lang w:eastAsia="en-GB"/>
                              </w:rPr>
                            </w:pPr>
                            <w:r>
                              <w:rPr>
                                <w:lang w:eastAsia="en-GB"/>
                              </w:rPr>
                              <w:t xml:space="preserve">  Mobility and wage control, document retention,</w:t>
                            </w:r>
                          </w:p>
                          <w:p w14:paraId="15AC572D" w14:textId="77777777" w:rsidR="00144866" w:rsidRDefault="00144866" w:rsidP="00144866">
                            <w:pPr>
                              <w:spacing w:after="0"/>
                            </w:pPr>
                            <w:r>
                              <w:rPr>
                                <w:lang w:eastAsia="en-GB"/>
                              </w:rPr>
                              <w:t xml:space="preserve">debt dependency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DB44FB" id="_x0000_s1049" type="#_x0000_t202" style="position:absolute;margin-left:236.1pt;margin-top:49.25pt;width:111.3pt;height:75.7pt;z-index:25165825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">
                <v:textbox>
                  <w:txbxContent>
                    <w:p w14:paraId="53F91520" w14:textId="77777777" w:rsidR="00144866" w:rsidRDefault="00144866" w:rsidP="00144866">
                      <w:pPr>
                        <w:spacing w:after="0"/>
                        <w:rPr>
                          <w:lang w:eastAsia="en-GB"/>
                        </w:rPr>
                      </w:pPr>
                      <w:r>
                        <w:rPr>
                          <w:lang w:eastAsia="en-GB"/>
                        </w:rPr>
                        <w:t xml:space="preserve">  Mobility and wage control, document retention,</w:t>
                      </w:r>
                    </w:p>
                    <w:p w14:paraId="15AC572D" w14:textId="77777777" w:rsidR="00144866" w:rsidRDefault="00144866" w:rsidP="00144866">
                      <w:pPr>
                        <w:spacing w:after="0"/>
                      </w:pPr>
                      <w:r>
                        <w:rPr>
                          <w:lang w:eastAsia="en-GB"/>
                        </w:rPr>
                        <w:t xml:space="preserve">debt dependency                   </w:t>
                      </w:r>
                    </w:p>
                  </w:txbxContent>
                </v:textbox>
                <w10:wrap type="square" anchorx="margin"/>
              </v:shape>
            </w:pict>
          </mc:Fallback>
        </mc:AlternateContent>
      </w:r>
      <w:r w:rsidRPr="0053182F">
        <w:rPr>
          <w:rStyle w:val="Strong"/>
          <w:bCs w:val="0"/>
          <w:noProof/>
          <w:color w:val="auto"/>
        </w:rPr>
        <mc:AlternateContent>
          <mc:Choice Requires="wps">
            <w:drawing>
              <wp:anchor distT="45720" distB="45720" distL="114300" distR="114300" simplePos="0" relativeHeight="251658249" behindDoc="0" locked="0" layoutInCell="1" allowOverlap="1" wp14:anchorId="37629220" wp14:editId="5B8CB049">
                <wp:simplePos x="0" y="0"/>
                <wp:positionH relativeFrom="margin">
                  <wp:posOffset>1347719</wp:posOffset>
                </wp:positionH>
                <wp:positionV relativeFrom="paragraph">
                  <wp:posOffset>614352</wp:posOffset>
                </wp:positionV>
                <wp:extent cx="1413510" cy="961390"/>
                <wp:effectExtent l="0" t="0" r="15240" b="10160"/>
                <wp:wrapSquare wrapText="bothSides"/>
                <wp:docPr id="6725528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13510" cy="961390"/>
                        </a:xfrm>
                        <a:prstGeom prst="rect">
                          <a:avLst/>
                        </a:prstGeom>
                        <a:solidFill>
                          <a:srgbClr val="FFFFFF"/>
                        </a:solidFill>
                        <a:ln w="9525">
                          <a:solidFill>
                            <a:srgbClr val="000000"/>
                          </a:solidFill>
                          <a:miter lim="800000"/>
                          <a:headEnd/>
                          <a:tailEnd/>
                        </a:ln>
                      </wps:spPr>
                      <wps:txbx>
                        <w:txbxContent>
                          <w:p w14:paraId="0F991811" w14:textId="77777777" w:rsidR="00144866" w:rsidRDefault="00144866" w:rsidP="00144866">
                            <w:pPr>
                              <w:spacing w:after="0"/>
                              <w:rPr>
                                <w:lang w:eastAsia="en-GB"/>
                              </w:rPr>
                            </w:pPr>
                            <w:r>
                              <w:rPr>
                                <w:lang w:eastAsia="en-GB"/>
                              </w:rPr>
                              <w:t xml:space="preserve">  Low wages, </w:t>
                            </w:r>
                          </w:p>
                          <w:p w14:paraId="7F3CF8EC" w14:textId="77777777" w:rsidR="00144866" w:rsidRDefault="00144866" w:rsidP="00144866">
                            <w:pPr>
                              <w:spacing w:after="0"/>
                            </w:pPr>
                            <w:r>
                              <w:rPr>
                                <w:lang w:eastAsia="en-GB"/>
                              </w:rPr>
                              <w:t xml:space="preserve">insecurity, excessive overtime, weak voice                </w:t>
                            </w:r>
                          </w:p>
                          <w:p w14:paraId="61267124" w14:textId="77777777" w:rsidR="00144866" w:rsidRDefault="00144866" w:rsidP="0014486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629220" id="_x0000_s1050" type="#_x0000_t202" style="position:absolute;margin-left:106.1pt;margin-top:48.35pt;width:111.3pt;height:75.7pt;z-index:251658249;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">
                <v:textbox>
                  <w:txbxContent>
                    <w:p w14:paraId="0F991811" w14:textId="77777777" w:rsidR="00144866" w:rsidRDefault="00144866" w:rsidP="00144866">
                      <w:pPr>
                        <w:spacing w:after="0"/>
                        <w:rPr>
                          <w:lang w:eastAsia="en-GB"/>
                        </w:rPr>
                      </w:pPr>
                      <w:r>
                        <w:rPr>
                          <w:lang w:eastAsia="en-GB"/>
                        </w:rPr>
                        <w:t xml:space="preserve">  Low wages, </w:t>
                      </w:r>
                    </w:p>
                    <w:p w14:paraId="7F3CF8EC" w14:textId="77777777" w:rsidR="00144866" w:rsidRDefault="00144866" w:rsidP="00144866">
                      <w:pPr>
                        <w:spacing w:after="0"/>
                      </w:pPr>
                      <w:r>
                        <w:rPr>
                          <w:lang w:eastAsia="en-GB"/>
                        </w:rPr>
                        <w:t xml:space="preserve">insecurity, excessive overtime, weak voice                </w:t>
                      </w:r>
                    </w:p>
                    <w:p w14:paraId="61267124" w14:textId="77777777" w:rsidR="00144866" w:rsidRDefault="00144866" w:rsidP="00144866"/>
                  </w:txbxContent>
                </v:textbox>
                <w10:wrap type="square" anchorx="margin"/>
              </v:shape>
            </w:pict>
          </mc:Fallback>
        </mc:AlternateContent>
      </w:r>
      <w:r w:rsidRPr="0053182F">
        <w:rPr>
          <w:rStyle w:val="Strong"/>
          <w:bCs w:val="0"/>
          <w:noProof/>
          <w:color w:val="auto"/>
        </w:rPr>
        <mc:AlternateContent>
          <mc:Choice Requires="wps">
            <w:drawing>
              <wp:anchor distT="45720" distB="45720" distL="114300" distR="114300" simplePos="0" relativeHeight="251658242" behindDoc="0" locked="0" layoutInCell="1" allowOverlap="1" wp14:anchorId="3F53D87B" wp14:editId="0EA4B91C">
                <wp:simplePos x="0" y="0"/>
                <wp:positionH relativeFrom="margin">
                  <wp:align>left</wp:align>
                </wp:positionH>
                <wp:positionV relativeFrom="paragraph">
                  <wp:posOffset>624218</wp:posOffset>
                </wp:positionV>
                <wp:extent cx="1055370" cy="961390"/>
                <wp:effectExtent l="0" t="0" r="11430" b="10160"/>
                <wp:wrapSquare wrapText="bothSides"/>
                <wp:docPr id="5882865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370" cy="961390"/>
                        </a:xfrm>
                        <a:prstGeom prst="rect">
                          <a:avLst/>
                        </a:prstGeom>
                        <a:solidFill>
                          <a:srgbClr val="FFFFFF"/>
                        </a:solidFill>
                        <a:ln w="9525">
                          <a:solidFill>
                            <a:srgbClr val="000000"/>
                          </a:solidFill>
                          <a:miter lim="800000"/>
                          <a:headEnd/>
                          <a:tailEnd/>
                        </a:ln>
                      </wps:spPr>
                      <wps:txbx>
                        <w:txbxContent>
                          <w:p w14:paraId="1ACF5237" w14:textId="77777777" w:rsidR="00144866" w:rsidRDefault="00144866" w:rsidP="00144866">
                            <w:pPr>
                              <w:spacing w:after="0"/>
                              <w:rPr>
                                <w:lang w:eastAsia="en-GB"/>
                              </w:rPr>
                            </w:pPr>
                            <w:r>
                              <w:rPr>
                                <w:lang w:eastAsia="en-GB"/>
                              </w:rPr>
                              <w:t xml:space="preserve">Fair wages,      contracts, rights, union </w:t>
                            </w:r>
                          </w:p>
                          <w:p w14:paraId="1E91BD2F" w14:textId="77777777" w:rsidR="00144866" w:rsidRDefault="00144866" w:rsidP="00144866">
                            <w:r>
                              <w:rPr>
                                <w:lang w:eastAsia="en-GB"/>
                              </w:rPr>
                              <w:t xml:space="preserve">representation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53D87B" id="_x0000_s1051" type="#_x0000_t202" style="position:absolute;margin-left:0;margin-top:49.15pt;width:83.1pt;height:75.7pt;z-index:25165824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">
                <v:textbox>
                  <w:txbxContent>
                    <w:p w14:paraId="1ACF5237" w14:textId="77777777" w:rsidR="00144866" w:rsidRDefault="00144866" w:rsidP="00144866">
                      <w:pPr>
                        <w:spacing w:after="0"/>
                        <w:rPr>
                          <w:lang w:eastAsia="en-GB"/>
                        </w:rPr>
                      </w:pPr>
                      <w:r>
                        <w:rPr>
                          <w:lang w:eastAsia="en-GB"/>
                        </w:rPr>
                        <w:t xml:space="preserve">Fair wages,      contracts, rights, union </w:t>
                      </w:r>
                    </w:p>
                    <w:p w14:paraId="1E91BD2F" w14:textId="77777777" w:rsidR="00144866" w:rsidRDefault="00144866" w:rsidP="00144866">
                      <w:r>
                        <w:rPr>
                          <w:lang w:eastAsia="en-GB"/>
                        </w:rPr>
                        <w:t xml:space="preserve">representation        </w:t>
                      </w:r>
                    </w:p>
                  </w:txbxContent>
                </v:textbox>
                <w10:wrap type="square" anchorx="margin"/>
              </v:shape>
            </w:pict>
          </mc:Fallback>
        </mc:AlternateContent>
      </w:r>
      <w:r w:rsidRPr="0053182F">
        <w:rPr>
          <w:rStyle w:val="Strong"/>
          <w:bCs w:val="0"/>
          <w:noProof/>
          <w:color w:val="auto"/>
        </w:rPr>
        <mc:AlternateContent>
          <mc:Choice Requires="wps">
            <w:drawing>
              <wp:anchor distT="45720" distB="45720" distL="114300" distR="114300" simplePos="0" relativeHeight="251658241" behindDoc="0" locked="0" layoutInCell="1" allowOverlap="1" wp14:anchorId="605E1327" wp14:editId="1411B0EA">
                <wp:simplePos x="0" y="0"/>
                <wp:positionH relativeFrom="margin">
                  <wp:align>left</wp:align>
                </wp:positionH>
                <wp:positionV relativeFrom="paragraph">
                  <wp:posOffset>15704</wp:posOffset>
                </wp:positionV>
                <wp:extent cx="1055370" cy="1404620"/>
                <wp:effectExtent l="0" t="0" r="11430" b="13970"/>
                <wp:wrapSquare wrapText="bothSides"/>
                <wp:docPr id="19293166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5802" cy="1404620"/>
                        </a:xfrm>
                        <a:prstGeom prst="rect">
                          <a:avLst/>
                        </a:prstGeom>
                        <a:solidFill>
                          <a:srgbClr val="FFFFFF"/>
                        </a:solidFill>
                        <a:ln w="9525">
                          <a:solidFill>
                            <a:srgbClr val="000000"/>
                          </a:solidFill>
                          <a:miter lim="800000"/>
                          <a:headEnd/>
                          <a:tailEnd/>
                        </a:ln>
                      </wps:spPr>
                      <wps:txbx>
                        <w:txbxContent>
                          <w:p w14:paraId="58136633" w14:textId="77777777" w:rsidR="00144866" w:rsidRDefault="00144866" w:rsidP="00144866">
                            <w:r>
                              <w:rPr>
                                <w:lang w:eastAsia="en-GB"/>
                              </w:rPr>
                              <w:t xml:space="preserve">Decent Work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5E1327" id="_x0000_s1052" type="#_x0000_t202" style="position:absolute;margin-left:0;margin-top:1.25pt;width:83.1pt;height:110.6pt;z-index:251658241;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">
                <v:textbox style="mso-fit-shape-to-text:t">
                  <w:txbxContent>
                    <w:p w14:paraId="58136633" w14:textId="77777777" w:rsidR="00144866" w:rsidRDefault="00144866" w:rsidP="00144866">
                      <w:r>
                        <w:rPr>
                          <w:lang w:eastAsia="en-GB"/>
                        </w:rPr>
                        <w:t xml:space="preserve">Decent Work     </w:t>
                      </w:r>
                    </w:p>
                  </w:txbxContent>
                </v:textbox>
                <w10:wrap type="square" anchorx="margin"/>
              </v:shape>
            </w:pict>
          </mc:Fallback>
        </mc:AlternateContent>
      </w:r>
    </w:p>
    <w:p w14:paraId="7AB93670" w14:textId="77777777" w:rsidR="00144866" w:rsidRPr="0053182F" w:rsidRDefault="00144866" w:rsidP="00144866">
      <w:pPr>
        <w:rPr>
          <w:color w:val="auto"/>
          <w:lang w:eastAsia="en-GB"/>
        </w:rPr>
      </w:pPr>
      <w:r w:rsidRPr="0053182F">
        <w:rPr>
          <w:color w:val="auto"/>
          <w:lang w:eastAsia="en-GB"/>
        </w:rPr>
        <w:t xml:space="preserve">Legal + Ethical        Legal but exploitative               Legally grey + </w:t>
      </w:r>
      <w:r w:rsidRPr="0053182F">
        <w:rPr>
          <w:color w:val="auto"/>
          <w:lang w:eastAsia="en-GB"/>
        </w:rPr>
        <w:tab/>
        <w:t xml:space="preserve">            Illegal + criminal      </w:t>
      </w:r>
    </w:p>
    <w:p w14:paraId="2E6A6E3C" w14:textId="77777777" w:rsidR="00144866" w:rsidRPr="0053182F" w:rsidRDefault="00144866" w:rsidP="00144866">
      <w:pPr>
        <w:ind w:left="4320"/>
        <w:rPr>
          <w:color w:val="auto"/>
          <w:lang w:eastAsia="en-GB"/>
        </w:rPr>
      </w:pPr>
      <w:r w:rsidRPr="0053182F">
        <w:rPr>
          <w:noProof/>
          <w:color w:val="auto"/>
          <w:lang w:eastAsia="en-GB"/>
        </w:rPr>
        <mc:AlternateContent>
          <mc:Choice Requires="wps">
            <w:drawing>
              <wp:anchor distT="0" distB="0" distL="114300" distR="114300" simplePos="0" relativeHeight="251658253" behindDoc="0" locked="0" layoutInCell="1" allowOverlap="1" wp14:anchorId="05BCAA26" wp14:editId="31D81C91">
                <wp:simplePos x="0" y="0"/>
                <wp:positionH relativeFrom="column">
                  <wp:posOffset>-216816</wp:posOffset>
                </wp:positionH>
                <wp:positionV relativeFrom="paragraph">
                  <wp:posOffset>259316</wp:posOffset>
                </wp:positionV>
                <wp:extent cx="6268824" cy="18853"/>
                <wp:effectExtent l="0" t="0" r="36830" b="19685"/>
                <wp:wrapNone/>
                <wp:docPr id="1273832844" name="Straight Connector 172"/>
                <wp:cNvGraphicFramePr/>
                <a:graphic xmlns:a="http://schemas.openxmlformats.org/drawingml/2006/main">
                  <a:graphicData uri="http://schemas.microsoft.com/office/word/2010/wordprocessingShape">
                    <wps:wsp>
                      <wps:cNvCnPr/>
                      <wps:spPr>
                        <a:xfrm flipV="1">
                          <a:off x="0" y="0"/>
                          <a:ext cx="6268824" cy="1885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BD37B4E" id="Straight Connector 172" o:spid="_x0000_s1026" style="position:absolute;flip:y;z-index:251658253;visibility:visible;mso-wrap-style:square;mso-wrap-distance-left:9pt;mso-wrap-distance-top:0;mso-wrap-distance-right:9pt;mso-wrap-distance-bottom:0;mso-position-horizontal:absolute;mso-position-horizontal-relative:text;mso-position-vertical:absolute;mso-position-vertical-relative:text" from="-17.05pt,20.4pt" to="476.55pt,2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" strokecolor="black [3200]" strokeweight="1pt">
                <v:stroke joinstyle="miter"/>
              </v:line>
            </w:pict>
          </mc:Fallback>
        </mc:AlternateContent>
      </w:r>
      <w:r w:rsidRPr="0053182F">
        <w:rPr>
          <w:color w:val="auto"/>
          <w:lang w:eastAsia="en-GB"/>
        </w:rPr>
        <w:t xml:space="preserve">         hidden coercion  </w:t>
      </w:r>
    </w:p>
    <w:p w14:paraId="4413BDE7" w14:textId="0EF56D56" w:rsidR="00144866" w:rsidRPr="0053182F" w:rsidRDefault="00144866" w:rsidP="00144866">
      <w:pPr>
        <w:jc w:val="center"/>
        <w:rPr>
          <w:color w:val="auto"/>
          <w:lang w:eastAsia="en-GB"/>
        </w:rPr>
      </w:pPr>
      <w:r w:rsidRPr="0053182F">
        <w:rPr>
          <w:noProof/>
          <w:color w:val="auto"/>
          <w:lang w:eastAsia="en-GB"/>
        </w:rPr>
        <mc:AlternateContent>
          <mc:Choice Requires="wps">
            <w:drawing>
              <wp:anchor distT="0" distB="0" distL="114300" distR="114300" simplePos="0" relativeHeight="251658255" behindDoc="0" locked="0" layoutInCell="1" allowOverlap="1" wp14:anchorId="4ACCB952" wp14:editId="2AEE660B">
                <wp:simplePos x="0" y="0"/>
                <wp:positionH relativeFrom="margin">
                  <wp:posOffset>-207191</wp:posOffset>
                </wp:positionH>
                <wp:positionV relativeFrom="paragraph">
                  <wp:posOffset>302895</wp:posOffset>
                </wp:positionV>
                <wp:extent cx="6268824" cy="18853"/>
                <wp:effectExtent l="0" t="0" r="36830" b="19685"/>
                <wp:wrapNone/>
                <wp:docPr id="146515788" name="Straight Connector 172"/>
                <wp:cNvGraphicFramePr/>
                <a:graphic xmlns:a="http://schemas.openxmlformats.org/drawingml/2006/main">
                  <a:graphicData uri="http://schemas.microsoft.com/office/word/2010/wordprocessingShape">
                    <wps:wsp>
                      <wps:cNvCnPr/>
                      <wps:spPr>
                        <a:xfrm flipV="1">
                          <a:off x="0" y="0"/>
                          <a:ext cx="6268824" cy="18853"/>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31BD187" id="Straight Connector 172" o:spid="_x0000_s1026" style="position:absolute;flip:y;z-index:251658255;visibility:visible;mso-wrap-style:square;mso-wrap-distance-left:9pt;mso-wrap-distance-top:0;mso-wrap-distance-right:9pt;mso-wrap-distance-bottom:0;mso-position-horizontal:absolute;mso-position-horizontal-relative:margin;mso-position-vertical:absolute;mso-position-vertical-relative:text" from="-16.3pt,23.85pt" to="477.3pt,2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" strokecolor="black [3200]" strokeweight="1pt">
                <v:stroke joinstyle="miter"/>
                <w10:wrap anchorx="margin"/>
              </v:line>
            </w:pict>
          </mc:Fallback>
        </mc:AlternateContent>
      </w:r>
      <w:r w:rsidRPr="0053182F">
        <w:rPr>
          <w:b/>
          <w:noProof/>
          <w:color w:val="auto"/>
        </w:rPr>
        <mc:AlternateContent>
          <mc:Choice Requires="wps">
            <w:drawing>
              <wp:anchor distT="0" distB="0" distL="114300" distR="114300" simplePos="0" relativeHeight="251658254" behindDoc="0" locked="0" layoutInCell="1" allowOverlap="1" wp14:anchorId="16CD7303" wp14:editId="62C20AB6">
                <wp:simplePos x="0" y="0"/>
                <wp:positionH relativeFrom="column">
                  <wp:posOffset>4826497</wp:posOffset>
                </wp:positionH>
                <wp:positionV relativeFrom="paragraph">
                  <wp:posOffset>85725</wp:posOffset>
                </wp:positionV>
                <wp:extent cx="311085" cy="9427"/>
                <wp:effectExtent l="0" t="76200" r="32385" b="86360"/>
                <wp:wrapNone/>
                <wp:docPr id="1418856313" name="Straight Arrow Connector 170"/>
                <wp:cNvGraphicFramePr/>
                <a:graphic xmlns:a="http://schemas.openxmlformats.org/drawingml/2006/main">
                  <a:graphicData uri="http://schemas.microsoft.com/office/word/2010/wordprocessingShape">
                    <wps:wsp>
                      <wps:cNvCnPr/>
                      <wps:spPr>
                        <a:xfrm flipV="1">
                          <a:off x="0" y="0"/>
                          <a:ext cx="311085" cy="9427"/>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86BEDB" id="Straight Arrow Connector 170" o:spid="_x0000_s1026" type="#_x0000_t32" style="position:absolute;margin-left:380.05pt;margin-top:6.75pt;width:24.5pt;height:.75pt;flip:y;z-index:2516582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" strokecolor="black [3200]" strokeweight="1pt">
                <v:stroke endarrow="block" joinstyle="miter"/>
              </v:shape>
            </w:pict>
          </mc:Fallback>
        </mc:AlternateContent>
      </w:r>
      <w:r w:rsidRPr="0053182F">
        <w:rPr>
          <w:color w:val="auto"/>
          <w:lang w:eastAsia="en-GB"/>
        </w:rPr>
        <w:t xml:space="preserve">Increasing Power Imbalance </w:t>
      </w:r>
      <w:r w:rsidR="005355C0" w:rsidRPr="0053182F">
        <w:rPr>
          <w:color w:val="auto"/>
          <w:lang w:eastAsia="en-GB"/>
        </w:rPr>
        <w:t>and</w:t>
      </w:r>
      <w:r w:rsidRPr="0053182F">
        <w:rPr>
          <w:color w:val="auto"/>
          <w:lang w:eastAsia="en-GB"/>
        </w:rPr>
        <w:t xml:space="preserve"> Decreasing Worker Agency </w:t>
      </w:r>
    </w:p>
    <w:p w14:paraId="0E0C7BD2" w14:textId="66048143" w:rsidR="00144866" w:rsidRPr="0053182F" w:rsidRDefault="00144866" w:rsidP="00144866">
      <w:pPr>
        <w:jc w:val="center"/>
        <w:rPr>
          <w:color w:val="auto"/>
          <w:lang w:eastAsia="en-GB"/>
        </w:rPr>
      </w:pPr>
      <w:bookmarkStart w:id="65" w:name="_Toc216215316"/>
      <w:r w:rsidRPr="0053182F">
        <w:rPr>
          <w:b/>
          <w:bCs/>
        </w:rPr>
        <w:t>Figure 2:</w:t>
      </w:r>
      <w:r w:rsidR="008A7A02" w:rsidRPr="0053182F">
        <w:rPr>
          <w:b/>
          <w:bCs/>
        </w:rPr>
        <w:t>7</w:t>
      </w:r>
      <w:r w:rsidRPr="0053182F">
        <w:rPr>
          <w:b/>
          <w:bCs/>
        </w:rPr>
        <w:t>:</w:t>
      </w:r>
      <w:r w:rsidRPr="0053182F">
        <w:t xml:space="preserve"> </w:t>
      </w:r>
      <w:r w:rsidRPr="0053182F">
        <w:rPr>
          <w:color w:val="auto"/>
          <w:lang w:eastAsia="en-GB"/>
        </w:rPr>
        <w:t>The Continuum of Exploitation in Global Supply Chains</w:t>
      </w:r>
      <w:bookmarkEnd w:id="65"/>
    </w:p>
    <w:p w14:paraId="0C224004" w14:textId="77777777" w:rsidR="008A7A02" w:rsidRPr="0053182F" w:rsidRDefault="008A7A02" w:rsidP="008A7A02">
      <w:pPr>
        <w:jc w:val="center"/>
        <w:rPr>
          <w:rStyle w:val="Strong"/>
          <w:b w:val="0"/>
          <w:color w:val="auto"/>
        </w:rPr>
      </w:pPr>
      <w:r w:rsidRPr="0053182F">
        <w:rPr>
          <w:rStyle w:val="Strong"/>
          <w:bCs w:val="0"/>
          <w:color w:val="auto"/>
        </w:rPr>
        <w:t>Source:</w:t>
      </w:r>
      <w:r w:rsidRPr="0053182F">
        <w:rPr>
          <w:rStyle w:val="Strong"/>
          <w:b w:val="0"/>
          <w:color w:val="auto"/>
        </w:rPr>
        <w:t xml:space="preserve"> Author’s own work</w:t>
      </w:r>
    </w:p>
    <w:p w14:paraId="0A2B1A49" w14:textId="77777777" w:rsidR="00144866" w:rsidRPr="0053182F" w:rsidRDefault="00144866" w:rsidP="00144866">
      <w:pPr>
        <w:pStyle w:val="Heading3"/>
      </w:pPr>
      <w:bookmarkStart w:id="66" w:name="_Toc218357083"/>
      <w:r w:rsidRPr="0053182F">
        <w:t>2.4.5 Abolition Movements and Global Economic Transition</w:t>
      </w:r>
      <w:bookmarkEnd w:id="44"/>
      <w:bookmarkEnd w:id="66"/>
    </w:p>
    <w:p w14:paraId="329C268E" w14:textId="431FEFF1" w:rsidR="00144866" w:rsidRPr="0053182F" w:rsidRDefault="00144866" w:rsidP="00144866">
      <w:pPr>
        <w:spacing w:after="0" w:line="480" w:lineRule="auto"/>
        <w:jc w:val="both"/>
        <w:rPr>
          <w:color w:val="auto"/>
        </w:rPr>
      </w:pPr>
      <w:r w:rsidRPr="0053182F">
        <w:rPr>
          <w:color w:val="auto"/>
        </w:rPr>
        <w:t xml:space="preserve">The abolitionist movements of the late eighteenth and nineteenth centuries marked a pivotal transformation in the legal and moral understanding of slavery </w:t>
      </w:r>
      <w:sdt>
        <w:sdtPr>
          <w:tag w:val="MENDELEY_CITATION_v3_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"/>
          <w:id w:val="-1083066627"/>
          <w:placeholder>
            <w:docPart w:val="5190CE25D5884686934170E3892FFBB9"/>
          </w:placeholder>
        </w:sdtPr>
        <w:sdtContent>
          <w:r w:rsidR="00CC19F4" w:rsidRPr="0053182F">
            <w:t>(Bales, 2009)</w:t>
          </w:r>
        </w:sdtContent>
      </w:sdt>
      <w:r w:rsidRPr="0053182F">
        <w:rPr>
          <w:color w:val="auto"/>
        </w:rPr>
        <w:t xml:space="preserve">. Abolition was driven by a confluence of humanitarian, religious, and economic factors, including </w:t>
      </w:r>
      <w:r w:rsidR="00EC0347" w:rsidRPr="0053182F">
        <w:rPr>
          <w:color w:val="auto"/>
        </w:rPr>
        <w:t>the explanation</w:t>
      </w:r>
      <w:r w:rsidRPr="0053182F">
        <w:rPr>
          <w:color w:val="auto"/>
        </w:rPr>
        <w:t xml:space="preserve"> </w:t>
      </w:r>
      <w:r w:rsidR="00EC0347" w:rsidRPr="0053182F">
        <w:rPr>
          <w:color w:val="auto"/>
        </w:rPr>
        <w:t xml:space="preserve">of </w:t>
      </w:r>
      <w:r w:rsidRPr="0053182F">
        <w:rPr>
          <w:color w:val="auto"/>
        </w:rPr>
        <w:t xml:space="preserve">ideals of liberty, shifting religious ethics, and the declining profitability of slave-based economies </w:t>
      </w:r>
      <w:sdt>
        <w:sdtPr>
          <w:tag w:val="MENDELEY_CITATION_v3_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"/>
          <w:id w:val="1879810461"/>
          <w:placeholder>
            <w:docPart w:val="5190CE25D5884686934170E3892FFBB9"/>
          </w:placeholder>
        </w:sdtPr>
        <w:sdtContent>
          <w:r w:rsidR="00CC19F4" w:rsidRPr="0053182F">
            <w:rPr>
              <w:rFonts w:eastAsia="Times New Roman"/>
            </w:rPr>
            <w:t xml:space="preserve">(Bales, 2009; Drescher, 2002; Mehmood </w:t>
          </w:r>
          <w:r w:rsidR="00CC19F4" w:rsidRPr="0053182F">
            <w:rPr>
              <w:rFonts w:eastAsia="Times New Roman"/>
              <w:i/>
              <w:iCs/>
            </w:rPr>
            <w:t>et al.</w:t>
          </w:r>
          <w:r w:rsidR="00CC19F4" w:rsidRPr="0053182F">
            <w:rPr>
              <w:rFonts w:eastAsia="Times New Roman"/>
            </w:rPr>
            <w:t>, 2022)</w:t>
          </w:r>
        </w:sdtContent>
      </w:sdt>
      <w:r w:rsidRPr="0053182F">
        <w:rPr>
          <w:color w:val="auto"/>
        </w:rPr>
        <w:t xml:space="preserve">. The British Slavery Abolition Act of 1833, the 13th Amendment to the U.S. Constitution (1865), and subsequent decrees across Latin America and Africa formalised the legal end of slavery </w:t>
      </w:r>
      <w:sdt>
        <w:sdtPr>
          <w:tag w:val="MENDELEY_CITATION_v3_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"/>
          <w:id w:val="152422167"/>
          <w:placeholder>
            <w:docPart w:val="5190CE25D5884686934170E3892FFBB9"/>
          </w:placeholder>
        </w:sdtPr>
        <w:sdtContent>
          <w:r w:rsidR="00CC19F4" w:rsidRPr="0053182F">
            <w:t>(Drescher, 2002)</w:t>
          </w:r>
        </w:sdtContent>
      </w:sdt>
      <w:r w:rsidRPr="0053182F">
        <w:rPr>
          <w:color w:val="auto"/>
        </w:rPr>
        <w:t xml:space="preserve">. However, emancipation did not equate to economic liberation. Formerly enslaved populations remained trapped in exploitative labour arrangements such as indentured servitude, debt bondage, and sharecropping, which replicated many features of chattel slavery under different guises </w:t>
      </w:r>
      <w:sdt>
        <w:sdtPr>
          <w:tag w:val="MENDELEY_CITATION_v3_eyJjaXRhdGlvbklEIjoiTUVOREVMRVlfQ0lUQVRJT05fMjIyNzMzZmEtZDBlNy00NmEwLWIwY2YtN2NhYWI3NWJiMGNl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2006469284"/>
          <w:placeholder>
            <w:docPart w:val="5190CE25D5884686934170E3892FFBB9"/>
          </w:placeholder>
        </w:sdtPr>
        <w:sdtContent>
          <w:r w:rsidR="00CC19F4" w:rsidRPr="0053182F">
            <w:rPr>
              <w:rFonts w:eastAsia="Times New Roman"/>
            </w:rPr>
            <w:t xml:space="preserve">(Christ </w:t>
          </w:r>
          <w:r w:rsidR="00CC19F4" w:rsidRPr="0053182F">
            <w:rPr>
              <w:rFonts w:eastAsia="Times New Roman"/>
              <w:i/>
              <w:iCs/>
            </w:rPr>
            <w:t>et al.</w:t>
          </w:r>
          <w:r w:rsidR="00CC19F4" w:rsidRPr="0053182F">
            <w:rPr>
              <w:rFonts w:eastAsia="Times New Roman"/>
            </w:rPr>
            <w:t>, 2023)</w:t>
          </w:r>
        </w:sdtContent>
      </w:sdt>
      <w:r w:rsidRPr="0053182F">
        <w:rPr>
          <w:color w:val="auto"/>
        </w:rPr>
        <w:t>.</w:t>
      </w:r>
    </w:p>
    <w:p w14:paraId="2B7FECBB" w14:textId="77777777" w:rsidR="00144866" w:rsidRPr="0053182F" w:rsidRDefault="00144866" w:rsidP="00144866">
      <w:pPr>
        <w:spacing w:after="0" w:line="480" w:lineRule="auto"/>
        <w:ind w:firstLine="720"/>
        <w:jc w:val="both"/>
        <w:rPr>
          <w:color w:val="auto"/>
        </w:rPr>
      </w:pPr>
      <w:r w:rsidRPr="0053182F">
        <w:rPr>
          <w:color w:val="auto"/>
        </w:rPr>
        <w:t>Industrialisation in the nineteenth and early twentieth centuries redefined labour relations globally. The rise of factory systems and wage labour introduced new forms of dependency and vulnerability, particularly for migrant and colonial workers. While slavery was formally abolished, coercive economic structures persisted, maintaining asymmetrical relations between capital and labour. As Bales (2009) argues, “slavery did not end; it evolved”—transforming from ownership of persons to control over labour through debt, deception, and dependency.</w:t>
      </w:r>
    </w:p>
    <w:p w14:paraId="65A97EEC" w14:textId="77777777" w:rsidR="00144866" w:rsidRPr="0053182F" w:rsidRDefault="00144866" w:rsidP="00C96457">
      <w:pPr>
        <w:pStyle w:val="Heading3"/>
        <w:spacing w:before="0" w:after="0"/>
      </w:pPr>
      <w:bookmarkStart w:id="67" w:name="_Toc215651779"/>
      <w:bookmarkStart w:id="68" w:name="_Toc218357084"/>
      <w:r w:rsidRPr="0053182F">
        <w:t>2.4.6 Globalisation, Neoliberalism, and the Reconfiguration of Unfree Labour</w:t>
      </w:r>
      <w:bookmarkEnd w:id="67"/>
      <w:bookmarkEnd w:id="68"/>
    </w:p>
    <w:p w14:paraId="32771E65" w14:textId="7B6D3F5A" w:rsidR="00144866" w:rsidRPr="0053182F" w:rsidRDefault="00144866" w:rsidP="00C96457">
      <w:pPr>
        <w:spacing w:after="0" w:line="480" w:lineRule="auto"/>
        <w:jc w:val="both"/>
        <w:rPr>
          <w:color w:val="auto"/>
        </w:rPr>
      </w:pPr>
      <w:r w:rsidRPr="0053182F">
        <w:rPr>
          <w:color w:val="auto"/>
        </w:rPr>
        <w:t xml:space="preserve">The late twentieth and early twenty-first centuries witnessed a resurgence of slavery-like practices under global capitalism. The expansion of MNCs, outsourcing, and the deregulation of labour markets created conditions conducive to exploitation, particularly in developing economies characterised by weak governance and limited legal protections </w:t>
      </w:r>
      <w:sdt>
        <w:sdtPr>
          <w:tag w:val="MENDELEY_CITATION_v3_eyJjaXRhdGlvbklEIjoiTUVOREVMRVlfQ0lUQVRJT05fNjI5OGFiOTctYjdjNS00ZmNlLTlhZTktNjAwMThlMjA0MDdmIiwicHJvcGVydGllcyI6eyJub3RlSW5kZXgiOjB9LCJpc0VkaXRlZCI6ZmFsc2UsIm1hbnVhbE92ZXJyaWRlIjp7ImlzTWFudWFsbHlPdmVycmlkZGVuIjpmYWxzZSwiY2l0ZXByb2NUZXh0IjoiKEJhbGVzLCAyMDA3OyBDcmFuZSwgMjAxMykiLCJtYW51YWxPdmVycmlkZVRleHQiOiI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"/>
          <w:id w:val="1441183094"/>
          <w:placeholder>
            <w:docPart w:val="5190CE25D5884686934170E3892FFBB9"/>
          </w:placeholder>
        </w:sdtPr>
        <w:sdtContent>
          <w:r w:rsidR="00CC19F4" w:rsidRPr="0053182F">
            <w:t>(Bales, 2007; Crane, 2013)</w:t>
          </w:r>
        </w:sdtContent>
      </w:sdt>
      <w:r w:rsidRPr="0053182F">
        <w:rPr>
          <w:color w:val="auto"/>
        </w:rPr>
        <w:t xml:space="preserve">. Neoliberal economic policies that prioritise cost-cutting, privatisation, and labour flexibility have deepened global inequalities, contributing to a systemic pattern of precarious work conditions as identified by </w:t>
      </w:r>
      <w:sdt>
        <w:sdtPr>
          <w:tag w:val="MENDELEY_CITATION_v3_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"/>
          <w:id w:val="-1073268500"/>
          <w:placeholder>
            <w:docPart w:val="5190CE25D5884686934170E3892FFBB9"/>
          </w:placeholder>
        </w:sdtPr>
        <w:sdtContent>
          <w:r w:rsidR="00CC19F4" w:rsidRPr="0053182F">
            <w:t>LeBaron (2020)</w:t>
          </w:r>
        </w:sdtContent>
      </w:sdt>
      <w:r w:rsidRPr="0053182F">
        <w:rPr>
          <w:color w:val="auto"/>
        </w:rPr>
        <w:t>.</w:t>
      </w:r>
    </w:p>
    <w:p w14:paraId="1ED5C96F" w14:textId="73C49CCA" w:rsidR="00144866" w:rsidRPr="0053182F" w:rsidRDefault="00144866" w:rsidP="00144866">
      <w:pPr>
        <w:spacing w:after="0" w:line="480" w:lineRule="auto"/>
        <w:ind w:firstLine="720"/>
        <w:jc w:val="both"/>
        <w:rPr>
          <w:color w:val="auto"/>
        </w:rPr>
      </w:pPr>
      <w:r w:rsidRPr="0053182F">
        <w:rPr>
          <w:color w:val="auto"/>
        </w:rPr>
        <w:t xml:space="preserve">In global supply chains, forced labour and extreme exploitation often occur several tiers below major corporations, obscured by layers of subcontracting and informal production </w:t>
      </w:r>
      <w:sdt>
        <w:sdtPr>
          <w:tag w:val="MENDELEY_CITATION_v3_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"/>
          <w:id w:val="-1828042962"/>
          <w:placeholder>
            <w:docPart w:val="5190CE25D5884686934170E3892FFBB9"/>
          </w:placeholder>
        </w:sdtPr>
        <w:sdtContent>
          <w:r w:rsidR="00CC19F4" w:rsidRPr="0053182F">
            <w:rPr>
              <w:rFonts w:eastAsia="Times New Roman"/>
            </w:rPr>
            <w:t xml:space="preserve">(Daghar </w:t>
          </w:r>
          <w:r w:rsidR="00CC19F4" w:rsidRPr="0053182F">
            <w:rPr>
              <w:rFonts w:eastAsia="Times New Roman"/>
              <w:i/>
              <w:iCs/>
            </w:rPr>
            <w:t>et al.</w:t>
          </w:r>
          <w:r w:rsidR="00CC19F4" w:rsidRPr="0053182F">
            <w:rPr>
              <w:rFonts w:eastAsia="Times New Roman"/>
            </w:rPr>
            <w:t xml:space="preserve">, 2025; Emberson </w:t>
          </w:r>
          <w:r w:rsidR="00CC19F4" w:rsidRPr="0053182F">
            <w:rPr>
              <w:rFonts w:eastAsia="Times New Roman"/>
              <w:i/>
              <w:iCs/>
            </w:rPr>
            <w:t>et al.</w:t>
          </w:r>
          <w:r w:rsidR="00CC19F4" w:rsidRPr="0053182F">
            <w:rPr>
              <w:rFonts w:eastAsia="Times New Roman"/>
            </w:rPr>
            <w:t>, 2022)</w:t>
          </w:r>
        </w:sdtContent>
      </w:sdt>
      <w:r w:rsidRPr="0053182F">
        <w:rPr>
          <w:color w:val="auto"/>
        </w:rPr>
        <w:t xml:space="preserve">. This structure enables firms to benefit from cheap labour while maintaining plausible deniability of human rights abuses </w:t>
      </w:r>
      <w:sdt>
        <w:sdtPr>
          <w:tag w:val="MENDELEY_CITATION_v3_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"/>
          <w:id w:val="-69577754"/>
          <w:placeholder>
            <w:docPart w:val="5190CE25D5884686934170E3892FFBB9"/>
          </w:placeholder>
        </w:sdtPr>
        <w:sdtContent>
          <w:r w:rsidR="00CC19F4" w:rsidRPr="0053182F">
            <w:t>(Barrientos, 2013a; Islam and Jain, 2013)</w:t>
          </w:r>
        </w:sdtContent>
      </w:sdt>
      <w:r w:rsidRPr="0053182F">
        <w:rPr>
          <w:color w:val="auto"/>
        </w:rPr>
        <w:t xml:space="preserve">. The Rana Plaza collapse in Bangladesh (2013), the Foxconn labour scandals in China, and the exploitation of migrant workers in the UK’s food and apparel sectors exemplify how neoliberal globalisation sustains a regime of economic coercion and human vulnerability within legitimate business practices </w:t>
      </w:r>
      <w:sdt>
        <w:sdtPr>
          <w:tag w:val="MENDELEY_CITATION_v3_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"/>
          <w:id w:val="1294339491"/>
          <w:placeholder>
            <w:docPart w:val="5190CE25D5884686934170E3892FFBB9"/>
          </w:placeholder>
        </w:sdtPr>
        <w:sdtContent>
          <w:r w:rsidR="00CC19F4" w:rsidRPr="0053182F">
            <w:t>(Ahmed and Uddin, 2021; Siddiqui and Uddin, 2016)</w:t>
          </w:r>
        </w:sdtContent>
      </w:sdt>
      <w:r w:rsidRPr="0053182F">
        <w:rPr>
          <w:color w:val="auto"/>
        </w:rPr>
        <w:t>.</w:t>
      </w:r>
    </w:p>
    <w:p w14:paraId="0A9D5868" w14:textId="77777777" w:rsidR="00144866" w:rsidRPr="0053182F" w:rsidRDefault="00144866" w:rsidP="00144866">
      <w:pPr>
        <w:spacing w:after="0" w:line="480" w:lineRule="auto"/>
        <w:ind w:firstLine="720"/>
        <w:jc w:val="both"/>
        <w:rPr>
          <w:color w:val="auto"/>
        </w:rPr>
      </w:pPr>
      <w:r w:rsidRPr="0053182F">
        <w:rPr>
          <w:color w:val="auto"/>
        </w:rPr>
        <w:t>Thus, the emergence of MS represents the continuation of a historical logic of domination—reconstituted within the framework of global capitalism. Unlike classical slavery, which relied on overt ownership, MS operates through structural dependence, invisibility, and institutional complicity. The transformation from physical to economic coercion underscores a shift from the legality of ownership to the normalisation of exploitation through market systems.</w:t>
      </w:r>
    </w:p>
    <w:p w14:paraId="51554048" w14:textId="599D15FF" w:rsidR="00144866" w:rsidRPr="0053182F" w:rsidRDefault="00144866" w:rsidP="00144866">
      <w:pPr>
        <w:spacing w:after="0" w:line="480" w:lineRule="auto"/>
        <w:ind w:firstLine="720"/>
        <w:jc w:val="both"/>
        <w:rPr>
          <w:color w:val="auto"/>
        </w:rPr>
      </w:pPr>
      <w:r w:rsidRPr="0053182F">
        <w:rPr>
          <w:color w:val="auto"/>
        </w:rPr>
        <w:t>The historical evolution of slavery—from ancient institutions of bondage to the hidden exploitation of modern supply chains—demonstrates the adaptability of unfree labour to changing economic orders. The transition from ownership to control, and from legality to concealment, signifies how slavery persists as a structural feature of capitalist production rather than an aberration from it. Figure 2.</w:t>
      </w:r>
      <w:r w:rsidR="00812BCB" w:rsidRPr="0053182F">
        <w:rPr>
          <w:color w:val="auto"/>
        </w:rPr>
        <w:t>7</w:t>
      </w:r>
      <w:r w:rsidRPr="0053182F">
        <w:rPr>
          <w:color w:val="auto"/>
        </w:rPr>
        <w:t xml:space="preserve"> </w:t>
      </w:r>
      <w:r w:rsidR="0048677F" w:rsidRPr="0053182F">
        <w:rPr>
          <w:color w:val="auto"/>
        </w:rPr>
        <w:t>illustrate</w:t>
      </w:r>
      <w:r w:rsidR="009D10BA" w:rsidRPr="0053182F">
        <w:rPr>
          <w:color w:val="auto"/>
        </w:rPr>
        <w:t>s</w:t>
      </w:r>
      <w:r w:rsidR="0048677F" w:rsidRPr="0053182F">
        <w:rPr>
          <w:color w:val="auto"/>
        </w:rPr>
        <w:t xml:space="preserve"> </w:t>
      </w:r>
      <w:r w:rsidRPr="0053182F">
        <w:rPr>
          <w:color w:val="auto"/>
        </w:rPr>
        <w:t>the evolution of this story. Understanding this trajectory is fundamental to analysing the corporate manifestations of MS, where profit motives, global inequalities, and institutional gaps perpetuate exploitation under the guise of economic progress.</w:t>
      </w:r>
    </w:p>
    <w:p w14:paraId="4E8FF454" w14:textId="77777777" w:rsidR="00144866" w:rsidRPr="0053182F" w:rsidRDefault="00144866" w:rsidP="0048677F">
      <w:pPr>
        <w:spacing w:after="0"/>
        <w:jc w:val="center"/>
        <w:rPr>
          <w:color w:val="auto"/>
        </w:rPr>
      </w:pPr>
      <w:r w:rsidRPr="0053182F">
        <w:rPr>
          <w:noProof/>
          <w:color w:val="auto"/>
        </w:rPr>
        <w:drawing>
          <wp:inline distT="0" distB="0" distL="0" distR="0" wp14:anchorId="4921D30A" wp14:editId="31AA0831">
            <wp:extent cx="4991100" cy="3327215"/>
            <wp:effectExtent l="0" t="0" r="0" b="6985"/>
            <wp:docPr id="812424695" name="Picture 1" descr="A diagram of a time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424695" name="Picture 1" descr="A diagram of a timeline&#10;&#10;AI-generated content may be incorrect."/>
                    <pic:cNvPicPr/>
                  </pic:nvPicPr>
                  <pic:blipFill>
                    <a:blip r:embed="rId20"/>
                    <a:stretch>
                      <a:fillRect/>
                    </a:stretch>
                  </pic:blipFill>
                  <pic:spPr>
                    <a:xfrm>
                      <a:off x="0" y="0"/>
                      <a:ext cx="5023317" cy="3348692"/>
                    </a:xfrm>
                    <a:prstGeom prst="rect">
                      <a:avLst/>
                    </a:prstGeom>
                  </pic:spPr>
                </pic:pic>
              </a:graphicData>
            </a:graphic>
          </wp:inline>
        </w:drawing>
      </w:r>
    </w:p>
    <w:p w14:paraId="039D231F" w14:textId="5A02B058" w:rsidR="00144866" w:rsidRPr="0053182F" w:rsidRDefault="00144866" w:rsidP="00144866">
      <w:pPr>
        <w:pStyle w:val="Caption"/>
        <w:rPr>
          <w:rStyle w:val="Emphasis"/>
          <w:i w:val="0"/>
          <w:color w:val="auto"/>
        </w:rPr>
      </w:pPr>
      <w:r w:rsidRPr="0053182F">
        <w:rPr>
          <w:b/>
          <w:bCs/>
        </w:rPr>
        <w:t>Figure 2:</w:t>
      </w:r>
      <w:r w:rsidR="00812BCB" w:rsidRPr="0053182F">
        <w:rPr>
          <w:b/>
          <w:bCs/>
        </w:rPr>
        <w:t>7</w:t>
      </w:r>
      <w:r w:rsidRPr="0053182F">
        <w:rPr>
          <w:b/>
          <w:bCs/>
        </w:rPr>
        <w:t>:</w:t>
      </w:r>
      <w:r w:rsidRPr="0053182F">
        <w:t xml:space="preserve"> Illustration of the </w:t>
      </w:r>
      <w:r w:rsidRPr="0053182F">
        <w:rPr>
          <w:rStyle w:val="Emphasis"/>
          <w:i w:val="0"/>
          <w:color w:val="auto"/>
        </w:rPr>
        <w:t>Evolution from Classical Slavery, Industrial Labour, and MS in Global Supply Chains</w:t>
      </w:r>
    </w:p>
    <w:p w14:paraId="3E58FF41" w14:textId="77777777" w:rsidR="00144866" w:rsidRPr="0053182F" w:rsidRDefault="00144866" w:rsidP="00144866">
      <w:pPr>
        <w:spacing w:after="0"/>
        <w:jc w:val="center"/>
        <w:rPr>
          <w:color w:val="auto"/>
        </w:rPr>
      </w:pPr>
      <w:r w:rsidRPr="0053182F">
        <w:rPr>
          <w:b/>
          <w:bCs/>
          <w:color w:val="auto"/>
        </w:rPr>
        <w:t>Source:</w:t>
      </w:r>
      <w:r w:rsidRPr="0053182F">
        <w:rPr>
          <w:color w:val="auto"/>
        </w:rPr>
        <w:t xml:space="preserve"> Author’s own work</w:t>
      </w:r>
    </w:p>
    <w:p w14:paraId="774533C8" w14:textId="77777777" w:rsidR="00144866" w:rsidRPr="0053182F" w:rsidRDefault="00144866" w:rsidP="00144866"/>
    <w:p w14:paraId="34E07153" w14:textId="77777777" w:rsidR="00144866" w:rsidRPr="0053182F" w:rsidRDefault="00144866" w:rsidP="00144866">
      <w:pPr>
        <w:pStyle w:val="Heading2"/>
        <w:rPr>
          <w:rStyle w:val="Strong"/>
          <w:b/>
          <w:bCs/>
        </w:rPr>
      </w:pPr>
      <w:bookmarkStart w:id="69" w:name="_Toc215651789"/>
      <w:bookmarkStart w:id="70" w:name="_Toc218357085"/>
      <w:bookmarkEnd w:id="38"/>
      <w:r w:rsidRPr="0053182F">
        <w:rPr>
          <w:rStyle w:val="Strong"/>
          <w:b/>
        </w:rPr>
        <w:t>2.5 Institutional and Legislative Responses to modern slavery</w:t>
      </w:r>
      <w:bookmarkEnd w:id="69"/>
      <w:bookmarkEnd w:id="70"/>
    </w:p>
    <w:p w14:paraId="216845C3" w14:textId="77777777" w:rsidR="00144866" w:rsidRPr="0053182F" w:rsidRDefault="00144866" w:rsidP="00144866">
      <w:pPr>
        <w:rPr>
          <w:color w:val="auto"/>
        </w:rPr>
      </w:pPr>
    </w:p>
    <w:p w14:paraId="3848FDB1" w14:textId="77777777" w:rsidR="00144866" w:rsidRPr="0053182F" w:rsidRDefault="00144866" w:rsidP="00144866">
      <w:pPr>
        <w:spacing w:line="480" w:lineRule="auto"/>
        <w:jc w:val="both"/>
        <w:rPr>
          <w:color w:val="auto"/>
        </w:rPr>
      </w:pPr>
      <w:r w:rsidRPr="0053182F">
        <w:rPr>
          <w:color w:val="auto"/>
        </w:rPr>
        <w:t>Efforts to combat MS have evolved through a complex web of international conventions, national legislations, and corporate governance frameworks. These developments reflect a gradual transformation from state-centred regulation of labour rights to shared corporate accountability within the BHR paradigm. This section reviews the evolution of key institutional frameworks and examines AMS legislation, analysing their design, implementation challenges, and the emerging trend toward global regulatory convergence.</w:t>
      </w:r>
      <w:r w:rsidRPr="0053182F">
        <w:rPr>
          <w:color w:val="auto"/>
        </w:rPr>
        <w:tab/>
      </w:r>
    </w:p>
    <w:p w14:paraId="63393D73" w14:textId="77777777" w:rsidR="00144866" w:rsidRPr="0053182F" w:rsidRDefault="00144866" w:rsidP="00144866">
      <w:pPr>
        <w:pStyle w:val="Heading3"/>
      </w:pPr>
      <w:bookmarkStart w:id="71" w:name="_Toc215651790"/>
      <w:bookmarkStart w:id="72" w:name="_Toc218357086"/>
      <w:r w:rsidRPr="0053182F">
        <w:t>2.5.1 Evolution of Business and Human Rights Frameworks</w:t>
      </w:r>
      <w:bookmarkEnd w:id="71"/>
      <w:bookmarkEnd w:id="72"/>
    </w:p>
    <w:p w14:paraId="25F74FED" w14:textId="77777777" w:rsidR="00144866" w:rsidRPr="0053182F" w:rsidRDefault="00144866" w:rsidP="00144866">
      <w:pPr>
        <w:spacing w:after="0" w:line="480" w:lineRule="auto"/>
        <w:jc w:val="both"/>
        <w:rPr>
          <w:color w:val="auto"/>
        </w:rPr>
      </w:pPr>
      <w:r w:rsidRPr="0053182F">
        <w:rPr>
          <w:color w:val="auto"/>
        </w:rPr>
        <w:t>The global institutional response to forced labour and MS has developed incrementally over nearly a century. The ILO has been at the forefront of this movement, providing the normative foundation for modern human rights and labour protection regimes.</w:t>
      </w:r>
    </w:p>
    <w:p w14:paraId="1BC20733" w14:textId="36CE191C" w:rsidR="00144866" w:rsidRPr="0053182F" w:rsidRDefault="00144866" w:rsidP="00144866">
      <w:pPr>
        <w:spacing w:after="0" w:line="480" w:lineRule="auto"/>
        <w:jc w:val="both"/>
        <w:rPr>
          <w:b/>
          <w:bCs/>
          <w:color w:val="auto"/>
          <w:u w:val="single"/>
        </w:rPr>
      </w:pPr>
      <w:r w:rsidRPr="0053182F">
        <w:rPr>
          <w:b/>
          <w:bCs/>
          <w:color w:val="auto"/>
          <w:u w:val="single"/>
        </w:rPr>
        <w:t>Institutional Milestones</w:t>
      </w:r>
    </w:p>
    <w:p w14:paraId="7D9AE9AB" w14:textId="1720AADF" w:rsidR="00144866" w:rsidRPr="0053182F" w:rsidRDefault="00144866" w:rsidP="00144866">
      <w:pPr>
        <w:spacing w:after="0" w:line="480" w:lineRule="auto"/>
        <w:jc w:val="both"/>
        <w:rPr>
          <w:b/>
          <w:bCs/>
          <w:color w:val="auto"/>
        </w:rPr>
      </w:pPr>
      <w:r w:rsidRPr="0053182F">
        <w:rPr>
          <w:b/>
          <w:bCs/>
          <w:color w:val="auto"/>
        </w:rPr>
        <w:t xml:space="preserve">ILO Forced Labour Conventions (No. 29 </w:t>
      </w:r>
      <w:r w:rsidR="005355C0" w:rsidRPr="0053182F">
        <w:rPr>
          <w:b/>
          <w:bCs/>
          <w:color w:val="auto"/>
        </w:rPr>
        <w:t>and</w:t>
      </w:r>
      <w:r w:rsidRPr="0053182F">
        <w:rPr>
          <w:b/>
          <w:bCs/>
          <w:color w:val="auto"/>
        </w:rPr>
        <w:t xml:space="preserve"> No. 105)</w:t>
      </w:r>
    </w:p>
    <w:p w14:paraId="3B034387" w14:textId="37B0EA5C" w:rsidR="00144866" w:rsidRPr="0053182F" w:rsidRDefault="00144866" w:rsidP="00144866">
      <w:pPr>
        <w:spacing w:after="0" w:line="480" w:lineRule="auto"/>
        <w:jc w:val="both"/>
        <w:rPr>
          <w:color w:val="auto"/>
        </w:rPr>
      </w:pPr>
      <w:r w:rsidRPr="0053182F">
        <w:rPr>
          <w:color w:val="auto"/>
        </w:rPr>
        <w:t xml:space="preserve">The ILO Convention No. 29 (1930) defined forced labour as “all work or service exacted from any person under the menace of any penalty and for which the said person has not offered himself voluntarily” </w:t>
      </w:r>
      <w:sdt>
        <w:sdtPr>
          <w:tag w:val="MENDELEY_CITATION_v3_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"/>
          <w:id w:val="-358276230"/>
          <w:placeholder>
            <w:docPart w:val="0C043E41633344018A8043B9CBBCBF20"/>
          </w:placeholder>
        </w:sdtPr>
        <w:sdtContent>
          <w:r w:rsidR="00CC19F4" w:rsidRPr="0053182F">
            <w:t>(ILO, 1930)</w:t>
          </w:r>
        </w:sdtContent>
      </w:sdt>
      <w:r w:rsidRPr="0053182F">
        <w:rPr>
          <w:color w:val="auto"/>
        </w:rPr>
        <w:t xml:space="preserve">. It marked the first formal international recognition of coercive labour as a human rights violation. The Abolition of Forced Labour Convention (No. 105, 1957) further prohibited all forms of compulsory labour as a means of political coercion, punishment, or discrimination. Together, these conventions established the moral and legal baseline for subsequent frameworks </w:t>
      </w:r>
      <w:sdt>
        <w:sdtPr>
          <w:tag w:val="MENDELEY_CITATION_v3_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"/>
          <w:id w:val="-377399868"/>
          <w:placeholder>
            <w:docPart w:val="0C043E41633344018A8043B9CBBCBF20"/>
          </w:placeholder>
        </w:sdtPr>
        <w:sdtContent>
          <w:r w:rsidR="00CC19F4" w:rsidRPr="0053182F">
            <w:t>(ILO, 1957)</w:t>
          </w:r>
        </w:sdtContent>
      </w:sdt>
      <w:r w:rsidRPr="0053182F">
        <w:rPr>
          <w:color w:val="auto"/>
        </w:rPr>
        <w:t>.</w:t>
      </w:r>
    </w:p>
    <w:p w14:paraId="07425602" w14:textId="77777777" w:rsidR="00144866" w:rsidRPr="0053182F" w:rsidRDefault="00144866" w:rsidP="00144866">
      <w:pPr>
        <w:spacing w:after="0" w:line="480" w:lineRule="auto"/>
        <w:jc w:val="both"/>
        <w:rPr>
          <w:b/>
          <w:bCs/>
          <w:color w:val="auto"/>
        </w:rPr>
      </w:pPr>
      <w:r w:rsidRPr="0053182F">
        <w:rPr>
          <w:b/>
          <w:bCs/>
          <w:color w:val="auto"/>
        </w:rPr>
        <w:t>ILO Declaration on Fundamental Principles and Rights at Work (1998; revised 2022)</w:t>
      </w:r>
    </w:p>
    <w:p w14:paraId="16EA348A" w14:textId="4DFF495A" w:rsidR="00144866" w:rsidRPr="0053182F" w:rsidRDefault="00144866" w:rsidP="00144866">
      <w:pPr>
        <w:spacing w:after="0" w:line="480" w:lineRule="auto"/>
        <w:jc w:val="both"/>
        <w:rPr>
          <w:color w:val="auto"/>
        </w:rPr>
      </w:pPr>
      <w:r w:rsidRPr="0053182F">
        <w:rPr>
          <w:color w:val="auto"/>
        </w:rPr>
        <w:t xml:space="preserve">This Declaration reaffirmed freedom from forced labour as one of four fundamental labour rights, alongside the elimination of child labour, non-discrimination, and freedom of association </w:t>
      </w:r>
      <w:sdt>
        <w:sdtPr>
          <w:tag w:val="MENDELEY_CITATION_v3_eyJjaXRhdGlvbklEIjoiTUVOREVMRVlfQ0lUQVRJT05fODM3MmM3YWYtZTZlMC00Yzc3LTkxMjItNDE4NThmYzFmNjdk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
          <w:id w:val="-618522192"/>
          <w:placeholder>
            <w:docPart w:val="0C043E41633344018A8043B9CBBCBF20"/>
          </w:placeholder>
        </w:sdtPr>
        <w:sdtContent>
          <w:r w:rsidR="00CC19F4" w:rsidRPr="0053182F">
            <w:t>(ILO, 1998)</w:t>
          </w:r>
        </w:sdtContent>
      </w:sdt>
      <w:r w:rsidRPr="0053182F">
        <w:rPr>
          <w:color w:val="auto"/>
        </w:rPr>
        <w:t xml:space="preserve">. The 2022 revision expanded its scope to include the right to a safe and healthy working environment, reinforcing the link between labour exploitation and broader occupational standards </w:t>
      </w:r>
      <w:sdt>
        <w:sdtPr>
          <w:tag w:val="MENDELEY_CITATION_v3_eyJjaXRhdGlvbklEIjoiTUVOREVMRVlfQ0lUQVRJT05fOWJjOWI3MmUtMTAwYi00MWU0LWI0ZDktN2JmMWVmOTYwN2UyIiwicHJvcGVydGllcyI6eyJub3RlSW5kZXgiOjB9LCJpc0VkaXRlZCI6ZmFsc2UsIm1hbnVhbE92ZXJyaWRlIjp7ImlzTWFudWFsbHlPdmVycmlkZGVuIjpmYWxzZSwiY2l0ZXByb2NUZXh0IjoiKElMTywgMjAyMmMpIiwibWFudWFsT3ZlcnJpZGVUZXh0IjoiIn0sImNpdGF0aW9uSXRlbXMiOlt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MTy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V19"/>
          <w:id w:val="2081245716"/>
          <w:placeholder>
            <w:docPart w:val="5A787571DB4E42858D616637840B5F06"/>
          </w:placeholder>
        </w:sdtPr>
        <w:sdtContent>
          <w:r w:rsidR="00CC19F4" w:rsidRPr="0053182F">
            <w:t>(ILO, 2022c)</w:t>
          </w:r>
        </w:sdtContent>
      </w:sdt>
      <w:r w:rsidRPr="0053182F">
        <w:rPr>
          <w:color w:val="auto"/>
        </w:rPr>
        <w:t>.</w:t>
      </w:r>
    </w:p>
    <w:p w14:paraId="31EE533F" w14:textId="77777777" w:rsidR="00144866" w:rsidRPr="0053182F" w:rsidRDefault="00144866" w:rsidP="00144866">
      <w:pPr>
        <w:spacing w:after="0" w:line="480" w:lineRule="auto"/>
        <w:jc w:val="both"/>
        <w:rPr>
          <w:b/>
          <w:bCs/>
          <w:color w:val="auto"/>
        </w:rPr>
      </w:pPr>
      <w:r w:rsidRPr="0053182F">
        <w:rPr>
          <w:b/>
          <w:bCs/>
          <w:color w:val="auto"/>
        </w:rPr>
        <w:t>UN Guiding Principles on Business and Human Rights (UNGPs, 2011)</w:t>
      </w:r>
    </w:p>
    <w:p w14:paraId="1EFC6BCF" w14:textId="77777777" w:rsidR="00144866" w:rsidRPr="0053182F" w:rsidRDefault="00144866" w:rsidP="00144866">
      <w:pPr>
        <w:spacing w:after="0" w:line="480" w:lineRule="auto"/>
        <w:jc w:val="both"/>
        <w:rPr>
          <w:color w:val="auto"/>
        </w:rPr>
      </w:pPr>
      <w:r w:rsidRPr="0053182F">
        <w:rPr>
          <w:color w:val="auto"/>
        </w:rPr>
        <w:t>The UNGPs, authored by John Ruggie, institutionalised the “Protect, Respect, and Remedy” framework. They delineate three pillars: State Duty to Protect against human rights abuses; Corporate Responsibility to Respect human rights; and Access to Remedy for victims (UNHRC, 2011).</w:t>
      </w:r>
    </w:p>
    <w:p w14:paraId="54C0A875" w14:textId="3721C45B" w:rsidR="00144866" w:rsidRPr="0053182F" w:rsidRDefault="00144866" w:rsidP="00144866">
      <w:pPr>
        <w:spacing w:after="0" w:line="480" w:lineRule="auto"/>
        <w:jc w:val="both"/>
        <w:rPr>
          <w:color w:val="auto"/>
        </w:rPr>
      </w:pPr>
      <w:r w:rsidRPr="0053182F">
        <w:rPr>
          <w:color w:val="auto"/>
        </w:rPr>
        <w:t xml:space="preserve">This framework marked a paradigm shift from voluntary CSR to a norm-based governance model grounded in Human Rights Due Diligence (HRDD) </w:t>
      </w:r>
      <w:sdt>
        <w:sdtPr>
          <w:tag w:val="MENDELEY_CITATION_v3_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"/>
          <w:id w:val="855391609"/>
          <w:placeholder>
            <w:docPart w:val="0C043E41633344018A8043B9CBBCBF20"/>
          </w:placeholder>
        </w:sdtPr>
        <w:sdtContent>
          <w:r w:rsidR="00CC19F4" w:rsidRPr="0053182F">
            <w:t>(Ramasastry, 2015; Wettstein, 2012)</w:t>
          </w:r>
        </w:sdtContent>
      </w:sdt>
      <w:r w:rsidRPr="0053182F">
        <w:rPr>
          <w:color w:val="auto"/>
        </w:rPr>
        <w:t>. Although non-binding, the UNGPs catalysed a new generation of laws and reporting standards by embedding ethical accountability into corporate structures.</w:t>
      </w:r>
    </w:p>
    <w:p w14:paraId="7E0B7C8C" w14:textId="1EBB23F3" w:rsidR="00144866" w:rsidRPr="0053182F" w:rsidRDefault="00144866" w:rsidP="00144866">
      <w:pPr>
        <w:spacing w:after="0" w:line="480" w:lineRule="auto"/>
        <w:jc w:val="both"/>
        <w:rPr>
          <w:b/>
          <w:bCs/>
          <w:color w:val="auto"/>
        </w:rPr>
      </w:pPr>
      <w:r w:rsidRPr="0053182F">
        <w:rPr>
          <w:b/>
          <w:bCs/>
          <w:color w:val="auto"/>
        </w:rPr>
        <w:t>OECD Guidelines for Multinational Enterprises</w:t>
      </w:r>
    </w:p>
    <w:p w14:paraId="19B60438" w14:textId="6FFCC665" w:rsidR="00144866" w:rsidRPr="0053182F" w:rsidRDefault="00144866" w:rsidP="00144866">
      <w:pPr>
        <w:spacing w:after="0" w:line="480" w:lineRule="auto"/>
        <w:jc w:val="both"/>
        <w:rPr>
          <w:color w:val="auto"/>
        </w:rPr>
      </w:pPr>
      <w:r w:rsidRPr="0053182F">
        <w:rPr>
          <w:color w:val="auto"/>
        </w:rPr>
        <w:t xml:space="preserve">Complementing the UNGPs, the OECD Guidelines provide operational guidance for responsible business conduct across GVC </w:t>
      </w:r>
      <w:sdt>
        <w:sdtPr>
          <w:tag w:val="MENDELEY_CITATION_v3_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"/>
          <w:id w:val="-94404076"/>
          <w:placeholder>
            <w:docPart w:val="0C043E41633344018A8043B9CBBCBF20"/>
          </w:placeholder>
        </w:sdtPr>
        <w:sdtContent>
          <w:r w:rsidR="00CC19F4" w:rsidRPr="0053182F">
            <w:t>(OECD, 2011)</w:t>
          </w:r>
        </w:sdtContent>
      </w:sdt>
      <w:r w:rsidRPr="0053182F">
        <w:rPr>
          <w:color w:val="auto"/>
        </w:rPr>
        <w:t xml:space="preserve">. They urge MNCs to identify, prevent, and mitigate adverse human rights impacts within their operations and supply chains </w:t>
      </w:r>
      <w:sdt>
        <w:sdtPr>
          <w:tag w:val="MENDELEY_CITATION_v3_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"/>
          <w:id w:val="-629393833"/>
          <w:placeholder>
            <w:docPart w:val="0C043E41633344018A8043B9CBBCBF20"/>
          </w:placeholder>
        </w:sdtPr>
        <w:sdtContent>
          <w:r w:rsidR="00CC19F4" w:rsidRPr="0053182F">
            <w:t>(OECD, 2023)</w:t>
          </w:r>
        </w:sdtContent>
      </w:sdt>
      <w:r w:rsidRPr="0053182F">
        <w:rPr>
          <w:color w:val="auto"/>
        </w:rPr>
        <w:t>. These guidelines, while voluntary, have become instrumental in shaping the HRDD frameworks of many OECD member states.</w:t>
      </w:r>
    </w:p>
    <w:p w14:paraId="76CC8778" w14:textId="77777777" w:rsidR="00144866" w:rsidRPr="0053182F" w:rsidRDefault="00144866" w:rsidP="00144866">
      <w:pPr>
        <w:pStyle w:val="Heading3"/>
      </w:pPr>
      <w:bookmarkStart w:id="73" w:name="_Toc215651791"/>
      <w:bookmarkStart w:id="74" w:name="_Toc218357087"/>
      <w:r w:rsidRPr="0053182F">
        <w:t>2.5.2 From Voluntary CSR to Mandatory Human Rights Due Diligence</w:t>
      </w:r>
      <w:bookmarkEnd w:id="73"/>
      <w:bookmarkEnd w:id="74"/>
    </w:p>
    <w:p w14:paraId="1F761077" w14:textId="42267EBB" w:rsidR="00144866" w:rsidRPr="0053182F" w:rsidRDefault="00144866" w:rsidP="00144866">
      <w:pPr>
        <w:spacing w:after="0" w:line="480" w:lineRule="auto"/>
        <w:jc w:val="both"/>
        <w:rPr>
          <w:color w:val="auto"/>
        </w:rPr>
      </w:pPr>
      <w:r w:rsidRPr="0053182F">
        <w:rPr>
          <w:color w:val="auto"/>
        </w:rPr>
        <w:t xml:space="preserve">Historically, corporate human rights commitments were framed within the voluntary ethos of CSR and sustainability reporting. However, critics argue that voluntary approaches have often resulted in symbolic compliance—emphasising image management over substantive behavioural change  </w:t>
      </w:r>
      <w:sdt>
        <w:sdtPr>
          <w:tag w:val="MENDELEY_CITATION_v3_eyJjaXRhdGlvbklEIjoiTUVOREVMRVlfQ0lUQVRJT05fYzk4ZTFhZDYtMDQxMS00ZjQxLTlmZTItNDRjZDhkYzU0YWQ5IiwicHJvcGVydGllcyI6eyJub3RlSW5kZXgiOjB9LCJpc0VkaXRlZCI6ZmFsc2UsIm1hbnVhbE92ZXJyaWRlIjp7ImlzTWFudWFsbHlPdmVycmlkZGVuIjp0cnVlLCJjaXRlcHJvY1RleHQiOiIoSXNsYW0gYW5kIE1jUGhhaWwsIDIwMTFiOyBOdGltIGFuZCBTb29iYXJveWVuLCAyMDEzKSIsIm1hbnVhbE92ZXJyaWRlVGV4dCI6IihJc2xhbSBhbmQgTWNQaGFpbCwgMjAxMTsgTnRpbSBhbmQgU29vYmFyb3llbiwgMjAxMykifSwiY2l0YXRpb25JdGVtcyI6W3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LHsiaWQiOiJkOWZhNGM5MS01YjVmLTNkYTEtODZkMy03M2M3OTRjZTc1MGQiLCJpdGVtRGF0YSI6eyJ0eXBlIjoiYXJ0aWNsZS1qb3VybmFsIiwiaWQiOiJkOWZhNGM5MS01YjVmLTNkYTEtODZkMy03M2M3OTRjZTc1MGQ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kRPSSI6IjEwLjEwMTYvai5jcGEuMjAxMS4wNy4wMDMiLCJJU1NOIjoiMTA0NTIzNTQ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XX0="/>
          <w:id w:val="-1748876543"/>
          <w:placeholder>
            <w:docPart w:val="12344855235E4292B075B769CAA03393"/>
          </w:placeholder>
        </w:sdtPr>
        <w:sdtContent>
          <w:r w:rsidR="00B85634" w:rsidRPr="0053182F">
            <w:t>(Islam and McPhail, 2011; Ntim and Soobaroyen, 2013)</w:t>
          </w:r>
        </w:sdtContent>
      </w:sdt>
      <w:r w:rsidRPr="0053182F">
        <w:rPr>
          <w:color w:val="auto"/>
        </w:rPr>
        <w:t>. In response, governments and international bodies have begun to shift towards mandatory HRDD regimes, requiring corporations to systematically identify, prevent, and remedy adverse human rights impacts.</w:t>
      </w:r>
    </w:p>
    <w:p w14:paraId="0F62611A" w14:textId="033C3A10" w:rsidR="00144866" w:rsidRPr="0053182F" w:rsidRDefault="00144866" w:rsidP="00EA39DE">
      <w:pPr>
        <w:spacing w:after="0" w:line="480" w:lineRule="auto"/>
        <w:ind w:firstLine="720"/>
        <w:jc w:val="both"/>
        <w:rPr>
          <w:color w:val="auto"/>
        </w:rPr>
      </w:pPr>
      <w:r w:rsidRPr="0053182F">
        <w:rPr>
          <w:color w:val="auto"/>
        </w:rPr>
        <w:t>This transition reflects a broader institutional shift—from corporate voluntarism to regulatory accountability—driven by societal expectations, activist pressure, and transnational advocacy networks. It represents a new form of governance hybridity in which soft law principles (e.g., UNGPs, OECD guidelines) are increasingly translated into hard law obligations through national legislation.</w:t>
      </w:r>
    </w:p>
    <w:p w14:paraId="4C33DAF1" w14:textId="77777777" w:rsidR="00144866" w:rsidRPr="0053182F" w:rsidRDefault="00144866" w:rsidP="00EA39DE">
      <w:pPr>
        <w:pStyle w:val="Heading3"/>
      </w:pPr>
      <w:bookmarkStart w:id="75" w:name="_Toc215651792"/>
      <w:bookmarkStart w:id="76" w:name="_Toc218357088"/>
      <w:r w:rsidRPr="0053182F">
        <w:t>2.5.3 Modern Anti-Modern Slavery Legislation</w:t>
      </w:r>
      <w:bookmarkEnd w:id="75"/>
      <w:bookmarkEnd w:id="76"/>
    </w:p>
    <w:p w14:paraId="02F875D9" w14:textId="77777777" w:rsidR="00144866" w:rsidRPr="0053182F" w:rsidRDefault="00144866" w:rsidP="00EA39DE">
      <w:pPr>
        <w:spacing w:after="0" w:line="480" w:lineRule="auto"/>
        <w:jc w:val="both"/>
        <w:rPr>
          <w:color w:val="auto"/>
        </w:rPr>
      </w:pPr>
      <w:r w:rsidRPr="0053182F">
        <w:rPr>
          <w:color w:val="auto"/>
        </w:rPr>
        <w:t>The last decade has witnessed a rapid proliferation of national and regional legal instruments that operationalise HRDD and corporate accountability for MS. These laws share the collective goal of improving transparency, traceability, and corporate responsibility across complex supply chains, yet differ in enforcement mechanisms and scope.</w:t>
      </w:r>
    </w:p>
    <w:p w14:paraId="10CDC6CC" w14:textId="6D740828" w:rsidR="00144866" w:rsidRPr="0053182F" w:rsidRDefault="00144866" w:rsidP="00144866">
      <w:pPr>
        <w:spacing w:after="0" w:line="480" w:lineRule="auto"/>
        <w:ind w:firstLine="720"/>
        <w:jc w:val="both"/>
        <w:rPr>
          <w:rStyle w:val="normaltextrun"/>
          <w:rFonts w:eastAsia="Times New Roman"/>
          <w:color w:val="auto"/>
          <w:lang w:eastAsia="en-GB"/>
        </w:rPr>
      </w:pPr>
      <w:r w:rsidRPr="0053182F">
        <w:rPr>
          <w:rStyle w:val="normaltextrun"/>
          <w:rFonts w:eastAsia="Times New Roman"/>
          <w:color w:val="auto"/>
          <w:lang w:eastAsia="en-GB"/>
        </w:rPr>
        <w:t>As summarised in Figure 2.</w:t>
      </w:r>
      <w:r w:rsidR="001B7F3B" w:rsidRPr="0053182F">
        <w:rPr>
          <w:rStyle w:val="normaltextrun"/>
          <w:rFonts w:eastAsia="Times New Roman"/>
          <w:color w:val="auto"/>
          <w:lang w:eastAsia="en-GB"/>
        </w:rPr>
        <w:t>8</w:t>
      </w:r>
      <w:r w:rsidRPr="0053182F">
        <w:rPr>
          <w:rStyle w:val="normaltextrun"/>
          <w:rFonts w:eastAsia="Times New Roman"/>
          <w:color w:val="auto"/>
          <w:lang w:eastAsia="en-GB"/>
        </w:rPr>
        <w:t xml:space="preserve"> and detailed description in Table 2.2, this institutional trajectory—from early ILO conventions to the EU’s mandatory due diligence directive—illustrates the progressive yet uneven shift from voluntary CSR principles toward enforceable governance mechanisms. It also highlights the interplay between coercive, normative, and mimetic institutional pressures that shape corporate responses to MS, providing the conceptual foundation for this study’s NIT-based analysis.</w:t>
      </w:r>
      <w:r w:rsidRPr="0053182F">
        <w:rPr>
          <w:rStyle w:val="normaltextrun"/>
          <w:rFonts w:eastAsia="Times New Roman"/>
          <w:color w:val="auto"/>
          <w:highlight w:val="yellow"/>
          <w:lang w:eastAsia="en-GB"/>
        </w:rPr>
        <w:t xml:space="preserve"> </w:t>
      </w:r>
      <w:r w:rsidRPr="0053182F">
        <w:rPr>
          <w:rStyle w:val="normaltextrun"/>
          <w:rFonts w:eastAsia="Times New Roman"/>
          <w:color w:val="auto"/>
          <w:lang w:eastAsia="en-GB"/>
        </w:rPr>
        <w:t xml:space="preserve"> </w:t>
      </w:r>
    </w:p>
    <w:p w14:paraId="41504618" w14:textId="45FDD5E9" w:rsidR="00144866" w:rsidRPr="0053182F" w:rsidRDefault="00144866" w:rsidP="00144866">
      <w:pPr>
        <w:spacing w:after="0" w:line="480" w:lineRule="auto"/>
        <w:ind w:firstLine="720"/>
        <w:jc w:val="both"/>
        <w:rPr>
          <w:b/>
          <w:bCs/>
          <w:color w:val="auto"/>
        </w:rPr>
        <w:sectPr w:rsidR="00144866" w:rsidRPr="0053182F" w:rsidSect="00144866">
          <w:footerReference w:type="even" r:id="rId21"/>
          <w:footerReference w:type="default" r:id="rId22"/>
          <w:pgSz w:w="11906" w:h="16838"/>
          <w:pgMar w:top="1440" w:right="1440" w:bottom="1440" w:left="1440" w:header="709" w:footer="709" w:gutter="0"/>
          <w:pgNumType w:start="0"/>
          <w:cols w:space="708"/>
          <w:docGrid w:linePitch="360"/>
        </w:sectPr>
      </w:pPr>
      <w:r w:rsidRPr="0053182F">
        <w:rPr>
          <w:color w:val="auto"/>
        </w:rPr>
        <w:t xml:space="preserve">Within academia, MS has emerged as a multidisciplinary research field encompassing legal, political, economic, and organisational perspectives. Scholars in accounting and management have explored the measurement and disclosure dimensions of MS </w:t>
      </w:r>
      <w:sdt>
        <w:sdtPr>
          <w:tag w:val="MENDELEY_CITATION_v3_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"/>
          <w:id w:val="1786393343"/>
          <w:placeholder>
            <w:docPart w:val="12344855235E4292B075B769CAA03393"/>
          </w:placeholder>
        </w:sdtPr>
        <w:sdtContent>
          <w:r w:rsidR="00CC19F4" w:rsidRPr="0053182F">
            <w:rPr>
              <w:rFonts w:eastAsia="Times New Roman"/>
            </w:rPr>
            <w:t xml:space="preserve">(Christ </w:t>
          </w:r>
          <w:r w:rsidR="00CC19F4" w:rsidRPr="0053182F">
            <w:rPr>
              <w:rFonts w:eastAsia="Times New Roman"/>
              <w:i/>
              <w:iCs/>
            </w:rPr>
            <w:t>et al.</w:t>
          </w:r>
          <w:r w:rsidR="00CC19F4" w:rsidRPr="0053182F">
            <w:rPr>
              <w:rFonts w:eastAsia="Times New Roman"/>
            </w:rPr>
            <w:t xml:space="preserve">, 2020; Craig </w:t>
          </w:r>
          <w:r w:rsidR="00CC19F4" w:rsidRPr="0053182F">
            <w:rPr>
              <w:rFonts w:eastAsia="Times New Roman"/>
              <w:i/>
              <w:iCs/>
            </w:rPr>
            <w:t>et al.</w:t>
          </w:r>
          <w:r w:rsidR="00CC19F4" w:rsidRPr="0053182F">
            <w:rPr>
              <w:rFonts w:eastAsia="Times New Roman"/>
            </w:rPr>
            <w:t>, 2019)</w:t>
          </w:r>
        </w:sdtContent>
      </w:sdt>
      <w:r w:rsidRPr="0053182F">
        <w:rPr>
          <w:color w:val="auto"/>
        </w:rPr>
        <w:t xml:space="preserve">, while others adopt macro-level analyses to assess institutional, economic, and geopolitical determinants </w:t>
      </w:r>
      <w:sdt>
        <w:sdtPr>
          <w:tag w:val="MENDELEY_CITATION_v3_eyJjaXRhdGlvbklEIjoiTUVOREVMRVlfQ0lUQVRJT05fZDk5NGIxYzYtNzdiNi00ZDQ1LWIzNDctMjA3NjE4MzE1YTgzIiwicHJvcGVydGllcyI6eyJub3RlSW5kZXgiOjB9LCJpc0VkaXRlZCI6ZmFsc2UsIm1hbnVhbE92ZXJyaWRlIjp7ImlzTWFudWFsbHlPdmVycmlkZGVuIjpmYWxzZSwiY2l0ZXByb2NUZXh0IjoiKEFsYml0YXIgPGk+ZXQgYWwuPC9pPiwgMjAyNTsgR3V0aWVycmV6LUh1ZXJ0ZXIgTyA8aT5ldCBhbC48L2k+LCAyMDIz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"/>
          <w:id w:val="-373611190"/>
          <w:placeholder>
            <w:docPart w:val="12344855235E4292B075B769CAA03393"/>
          </w:placeholder>
        </w:sdtPr>
        <w:sdtContent>
          <w:r w:rsidR="00CC19F4" w:rsidRPr="0053182F">
            <w:rPr>
              <w:rFonts w:eastAsia="Times New Roman"/>
            </w:rPr>
            <w:t xml:space="preserve">(Albitar </w:t>
          </w:r>
          <w:r w:rsidR="00CC19F4" w:rsidRPr="0053182F">
            <w:rPr>
              <w:rFonts w:eastAsia="Times New Roman"/>
              <w:i/>
              <w:iCs/>
            </w:rPr>
            <w:t>et al.</w:t>
          </w:r>
          <w:r w:rsidR="00CC19F4" w:rsidRPr="0053182F">
            <w:rPr>
              <w:rFonts w:eastAsia="Times New Roman"/>
            </w:rPr>
            <w:t xml:space="preserve">, 2025; Gutierrez-Huerter O </w:t>
          </w:r>
          <w:r w:rsidR="00CC19F4" w:rsidRPr="0053182F">
            <w:rPr>
              <w:rFonts w:eastAsia="Times New Roman"/>
              <w:i/>
              <w:iCs/>
            </w:rPr>
            <w:t>et al.</w:t>
          </w:r>
          <w:r w:rsidR="00CC19F4" w:rsidRPr="0053182F">
            <w:rPr>
              <w:rFonts w:eastAsia="Times New Roman"/>
            </w:rPr>
            <w:t xml:space="preserve">, 2023; Moussa </w:t>
          </w:r>
          <w:r w:rsidR="00CC19F4" w:rsidRPr="0053182F">
            <w:rPr>
              <w:rFonts w:eastAsia="Times New Roman"/>
              <w:i/>
              <w:iCs/>
            </w:rPr>
            <w:t>et al.</w:t>
          </w:r>
          <w:r w:rsidR="00CC19F4" w:rsidRPr="0053182F">
            <w:rPr>
              <w:rFonts w:eastAsia="Times New Roman"/>
            </w:rPr>
            <w:t>, 2022)</w:t>
          </w:r>
        </w:sdtContent>
      </w:sdt>
      <w:r w:rsidRPr="0053182F">
        <w:rPr>
          <w:color w:val="auto"/>
        </w:rPr>
        <w:t>. Collectively, these contributions underscore the systemic and institutionalised nature of MS—one that extends beyond individual corporate actions to encompass the global governance structures that enable its persistence.</w:t>
      </w:r>
    </w:p>
    <w:tbl>
      <w:tblPr>
        <w:tblpPr w:leftFromText="180" w:rightFromText="180" w:vertAnchor="text" w:horzAnchor="margin" w:tblpY="-44"/>
        <w:tblW w:w="12785" w:type="dxa"/>
        <w:tblLook w:val="04A0" w:firstRow="1" w:lastRow="0" w:firstColumn="1" w:lastColumn="0" w:noHBand="0" w:noVBand="1"/>
      </w:tblPr>
      <w:tblGrid>
        <w:gridCol w:w="1268"/>
        <w:gridCol w:w="1284"/>
        <w:gridCol w:w="729"/>
        <w:gridCol w:w="731"/>
        <w:gridCol w:w="533"/>
        <w:gridCol w:w="198"/>
        <w:gridCol w:w="239"/>
        <w:gridCol w:w="297"/>
        <w:gridCol w:w="412"/>
        <w:gridCol w:w="321"/>
        <w:gridCol w:w="104"/>
        <w:gridCol w:w="98"/>
        <w:gridCol w:w="449"/>
        <w:gridCol w:w="478"/>
        <w:gridCol w:w="17"/>
        <w:gridCol w:w="78"/>
        <w:gridCol w:w="156"/>
        <w:gridCol w:w="86"/>
        <w:gridCol w:w="411"/>
        <w:gridCol w:w="41"/>
        <w:gridCol w:w="454"/>
        <w:gridCol w:w="78"/>
        <w:gridCol w:w="396"/>
        <w:gridCol w:w="240"/>
        <w:gridCol w:w="41"/>
        <w:gridCol w:w="454"/>
        <w:gridCol w:w="78"/>
        <w:gridCol w:w="466"/>
        <w:gridCol w:w="12"/>
        <w:gridCol w:w="29"/>
        <w:gridCol w:w="454"/>
        <w:gridCol w:w="78"/>
        <w:gridCol w:w="181"/>
        <w:gridCol w:w="537"/>
        <w:gridCol w:w="41"/>
        <w:gridCol w:w="454"/>
        <w:gridCol w:w="78"/>
        <w:gridCol w:w="169"/>
        <w:gridCol w:w="41"/>
        <w:gridCol w:w="454"/>
        <w:gridCol w:w="120"/>
      </w:tblGrid>
      <w:tr w:rsidR="00144866" w:rsidRPr="0053182F" w14:paraId="12D59CDD" w14:textId="77777777" w:rsidTr="00D20468">
        <w:trPr>
          <w:gridAfter w:val="3"/>
          <w:wAfter w:w="615" w:type="dxa"/>
          <w:trHeight w:val="2499"/>
        </w:trPr>
        <w:tc>
          <w:tcPr>
            <w:tcW w:w="1268" w:type="dxa"/>
            <w:tcBorders>
              <w:top w:val="nil"/>
              <w:left w:val="nil"/>
              <w:bottom w:val="nil"/>
              <w:right w:val="nil"/>
            </w:tcBorders>
            <w:noWrap/>
            <w:vAlign w:val="bottom"/>
            <w:hideMark/>
          </w:tcPr>
          <w:p w14:paraId="3F9DEA39" w14:textId="77777777" w:rsidR="00144866" w:rsidRPr="0053182F" w:rsidRDefault="00144866" w:rsidP="00D20468">
            <w:pPr>
              <w:spacing w:after="0" w:line="480" w:lineRule="auto"/>
              <w:rPr>
                <w:rFonts w:eastAsia="Times New Roman"/>
                <w:color w:val="auto"/>
                <w:sz w:val="20"/>
                <w:szCs w:val="20"/>
                <w:lang w:eastAsia="en-GB"/>
              </w:rPr>
            </w:pPr>
          </w:p>
        </w:tc>
        <w:tc>
          <w:tcPr>
            <w:tcW w:w="1284" w:type="dxa"/>
            <w:tcBorders>
              <w:top w:val="nil"/>
              <w:left w:val="nil"/>
              <w:bottom w:val="nil"/>
              <w:right w:val="nil"/>
            </w:tcBorders>
            <w:textDirection w:val="btLr"/>
            <w:vAlign w:val="bottom"/>
            <w:hideMark/>
          </w:tcPr>
          <w:p w14:paraId="282F6EF1" w14:textId="01876539" w:rsidR="00144866" w:rsidRPr="0053182F" w:rsidRDefault="00144866" w:rsidP="00D20468">
            <w:pPr>
              <w:spacing w:after="0" w:line="480" w:lineRule="auto"/>
              <w:jc w:val="center"/>
              <w:rPr>
                <w:rFonts w:eastAsia="Times New Roman"/>
                <w:color w:val="auto"/>
                <w:sz w:val="20"/>
                <w:szCs w:val="20"/>
                <w:lang w:eastAsia="en-GB"/>
              </w:rPr>
            </w:pPr>
            <w:r w:rsidRPr="0053182F">
              <w:rPr>
                <w:rFonts w:eastAsia="Times New Roman"/>
                <w:color w:val="auto"/>
                <w:sz w:val="20"/>
                <w:szCs w:val="20"/>
                <w:lang w:eastAsia="en-GB"/>
              </w:rPr>
              <w:t xml:space="preserve">California Transparency in Supply </w:t>
            </w:r>
            <w:r w:rsidR="00BE28E0" w:rsidRPr="0053182F">
              <w:rPr>
                <w:rFonts w:eastAsia="Times New Roman"/>
                <w:color w:val="auto"/>
                <w:sz w:val="20"/>
                <w:szCs w:val="20"/>
                <w:lang w:eastAsia="en-GB"/>
              </w:rPr>
              <w:t>C</w:t>
            </w:r>
            <w:r w:rsidRPr="0053182F">
              <w:rPr>
                <w:rFonts w:eastAsia="Times New Roman"/>
                <w:color w:val="auto"/>
                <w:sz w:val="20"/>
                <w:szCs w:val="20"/>
                <w:lang w:eastAsia="en-GB"/>
              </w:rPr>
              <w:t>hain Act</w:t>
            </w:r>
          </w:p>
        </w:tc>
        <w:tc>
          <w:tcPr>
            <w:tcW w:w="729" w:type="dxa"/>
            <w:tcBorders>
              <w:top w:val="nil"/>
              <w:left w:val="nil"/>
              <w:bottom w:val="nil"/>
              <w:right w:val="nil"/>
            </w:tcBorders>
            <w:textDirection w:val="btLr"/>
            <w:vAlign w:val="bottom"/>
            <w:hideMark/>
          </w:tcPr>
          <w:p w14:paraId="3EBFCC0C" w14:textId="77777777" w:rsidR="00144866" w:rsidRPr="0053182F" w:rsidRDefault="00144866" w:rsidP="00D20468">
            <w:pPr>
              <w:spacing w:after="0" w:line="480" w:lineRule="auto"/>
              <w:rPr>
                <w:rFonts w:eastAsia="Times New Roman"/>
                <w:color w:val="auto"/>
                <w:sz w:val="20"/>
                <w:szCs w:val="20"/>
                <w:lang w:eastAsia="en-GB"/>
              </w:rPr>
            </w:pPr>
          </w:p>
        </w:tc>
        <w:tc>
          <w:tcPr>
            <w:tcW w:w="731" w:type="dxa"/>
            <w:tcBorders>
              <w:top w:val="nil"/>
              <w:left w:val="nil"/>
              <w:bottom w:val="nil"/>
              <w:right w:val="nil"/>
            </w:tcBorders>
            <w:textDirection w:val="btLr"/>
            <w:vAlign w:val="bottom"/>
            <w:hideMark/>
          </w:tcPr>
          <w:p w14:paraId="5F03C08C" w14:textId="77777777" w:rsidR="00144866" w:rsidRPr="0053182F" w:rsidRDefault="00144866" w:rsidP="00D20468">
            <w:pPr>
              <w:spacing w:after="0" w:line="480" w:lineRule="auto"/>
              <w:ind w:left="-220"/>
              <w:jc w:val="center"/>
              <w:rPr>
                <w:rFonts w:eastAsia="Times New Roman"/>
                <w:color w:val="auto"/>
                <w:sz w:val="20"/>
                <w:szCs w:val="20"/>
                <w:lang w:eastAsia="en-GB"/>
              </w:rPr>
            </w:pPr>
            <w:r w:rsidRPr="0053182F">
              <w:rPr>
                <w:rFonts w:eastAsia="Times New Roman"/>
                <w:color w:val="auto"/>
                <w:sz w:val="20"/>
                <w:szCs w:val="20"/>
                <w:lang w:eastAsia="en-GB"/>
              </w:rPr>
              <w:t>UK MS Act</w:t>
            </w:r>
          </w:p>
        </w:tc>
        <w:tc>
          <w:tcPr>
            <w:tcW w:w="533" w:type="dxa"/>
            <w:tcBorders>
              <w:top w:val="nil"/>
              <w:left w:val="nil"/>
              <w:bottom w:val="nil"/>
              <w:right w:val="nil"/>
            </w:tcBorders>
            <w:textDirection w:val="btLr"/>
            <w:vAlign w:val="bottom"/>
            <w:hideMark/>
          </w:tcPr>
          <w:p w14:paraId="2DFEB30C" w14:textId="77777777" w:rsidR="00144866" w:rsidRPr="0053182F" w:rsidRDefault="00144866" w:rsidP="00D20468">
            <w:pPr>
              <w:spacing w:after="0" w:line="480" w:lineRule="auto"/>
              <w:rPr>
                <w:rFonts w:eastAsia="Times New Roman"/>
                <w:color w:val="auto"/>
                <w:sz w:val="20"/>
                <w:szCs w:val="20"/>
                <w:lang w:eastAsia="en-GB"/>
              </w:rPr>
            </w:pPr>
          </w:p>
        </w:tc>
        <w:tc>
          <w:tcPr>
            <w:tcW w:w="1146" w:type="dxa"/>
            <w:gridSpan w:val="4"/>
            <w:tcBorders>
              <w:top w:val="nil"/>
              <w:left w:val="nil"/>
              <w:bottom w:val="nil"/>
              <w:right w:val="nil"/>
            </w:tcBorders>
            <w:textDirection w:val="btLr"/>
            <w:vAlign w:val="bottom"/>
            <w:hideMark/>
          </w:tcPr>
          <w:p w14:paraId="1F279453" w14:textId="77777777" w:rsidR="00144866" w:rsidRPr="0053182F" w:rsidRDefault="00144866" w:rsidP="00D20468">
            <w:pPr>
              <w:spacing w:after="0" w:line="480" w:lineRule="auto"/>
              <w:ind w:left="-253" w:right="110" w:firstLine="253"/>
              <w:jc w:val="center"/>
              <w:rPr>
                <w:rFonts w:eastAsia="Times New Roman"/>
                <w:color w:val="auto"/>
                <w:sz w:val="20"/>
                <w:szCs w:val="20"/>
                <w:lang w:eastAsia="en-GB"/>
              </w:rPr>
            </w:pPr>
            <w:r w:rsidRPr="0053182F">
              <w:rPr>
                <w:rFonts w:eastAsia="Times New Roman"/>
                <w:color w:val="auto"/>
                <w:sz w:val="20"/>
                <w:szCs w:val="20"/>
                <w:lang w:eastAsia="en-GB"/>
              </w:rPr>
              <w:t>Australia MS Act</w:t>
            </w:r>
          </w:p>
        </w:tc>
        <w:tc>
          <w:tcPr>
            <w:tcW w:w="972" w:type="dxa"/>
            <w:gridSpan w:val="4"/>
            <w:tcBorders>
              <w:top w:val="nil"/>
              <w:left w:val="nil"/>
              <w:bottom w:val="nil"/>
              <w:right w:val="nil"/>
            </w:tcBorders>
            <w:textDirection w:val="btLr"/>
            <w:vAlign w:val="bottom"/>
            <w:hideMark/>
          </w:tcPr>
          <w:p w14:paraId="4C71FA23" w14:textId="77777777" w:rsidR="00144866" w:rsidRPr="0053182F" w:rsidRDefault="00144866" w:rsidP="00D20468">
            <w:pPr>
              <w:spacing w:after="0" w:line="480" w:lineRule="auto"/>
              <w:ind w:left="-253" w:right="110" w:firstLine="253"/>
              <w:rPr>
                <w:rFonts w:eastAsia="Times New Roman"/>
                <w:color w:val="auto"/>
                <w:sz w:val="20"/>
                <w:szCs w:val="20"/>
                <w:lang w:eastAsia="en-GB"/>
              </w:rPr>
            </w:pPr>
          </w:p>
        </w:tc>
        <w:tc>
          <w:tcPr>
            <w:tcW w:w="1226" w:type="dxa"/>
            <w:gridSpan w:val="6"/>
            <w:tcBorders>
              <w:top w:val="nil"/>
              <w:left w:val="nil"/>
              <w:bottom w:val="nil"/>
              <w:right w:val="nil"/>
            </w:tcBorders>
            <w:textDirection w:val="btLr"/>
            <w:vAlign w:val="bottom"/>
            <w:hideMark/>
          </w:tcPr>
          <w:p w14:paraId="4B95DD37" w14:textId="77777777" w:rsidR="00144866" w:rsidRPr="0053182F" w:rsidRDefault="00144866" w:rsidP="00D20468">
            <w:pPr>
              <w:spacing w:after="0" w:line="480" w:lineRule="auto"/>
              <w:ind w:left="-253" w:right="110" w:firstLine="253"/>
              <w:rPr>
                <w:rFonts w:eastAsia="Times New Roman"/>
                <w:color w:val="auto"/>
                <w:sz w:val="20"/>
                <w:szCs w:val="20"/>
                <w:lang w:eastAsia="en-GB"/>
              </w:rPr>
            </w:pPr>
            <w:r w:rsidRPr="0053182F">
              <w:rPr>
                <w:rFonts w:eastAsia="Times New Roman"/>
                <w:color w:val="auto"/>
                <w:sz w:val="20"/>
                <w:szCs w:val="20"/>
                <w:lang w:eastAsia="en-GB"/>
              </w:rPr>
              <w:t xml:space="preserve">Germany Supply Chain Act </w:t>
            </w:r>
          </w:p>
        </w:tc>
        <w:tc>
          <w:tcPr>
            <w:tcW w:w="1209" w:type="dxa"/>
            <w:gridSpan w:val="5"/>
            <w:tcBorders>
              <w:top w:val="nil"/>
              <w:left w:val="nil"/>
              <w:bottom w:val="nil"/>
              <w:right w:val="nil"/>
            </w:tcBorders>
            <w:textDirection w:val="btLr"/>
            <w:vAlign w:val="bottom"/>
            <w:hideMark/>
          </w:tcPr>
          <w:p w14:paraId="4F547247" w14:textId="77777777" w:rsidR="00144866" w:rsidRPr="0053182F" w:rsidRDefault="00144866" w:rsidP="00D20468">
            <w:pPr>
              <w:spacing w:after="0" w:line="480" w:lineRule="auto"/>
              <w:ind w:left="-253" w:right="110" w:firstLine="253"/>
              <w:rPr>
                <w:rFonts w:eastAsia="Times New Roman"/>
                <w:color w:val="auto"/>
                <w:sz w:val="20"/>
                <w:szCs w:val="20"/>
                <w:lang w:eastAsia="en-GB"/>
              </w:rPr>
            </w:pPr>
            <w:r w:rsidRPr="0053182F">
              <w:rPr>
                <w:rFonts w:eastAsia="Times New Roman"/>
                <w:color w:val="auto"/>
                <w:sz w:val="20"/>
                <w:szCs w:val="20"/>
                <w:lang w:eastAsia="en-GB"/>
              </w:rPr>
              <w:t xml:space="preserve">EU Corporate Sustainability Directive Adopted </w:t>
            </w:r>
          </w:p>
        </w:tc>
        <w:tc>
          <w:tcPr>
            <w:tcW w:w="1039" w:type="dxa"/>
            <w:gridSpan w:val="4"/>
            <w:tcBorders>
              <w:top w:val="nil"/>
              <w:left w:val="nil"/>
              <w:bottom w:val="nil"/>
              <w:right w:val="nil"/>
            </w:tcBorders>
            <w:textDirection w:val="btLr"/>
            <w:vAlign w:val="bottom"/>
            <w:hideMark/>
          </w:tcPr>
          <w:p w14:paraId="75B0EBD3" w14:textId="77777777" w:rsidR="00144866" w:rsidRPr="0053182F" w:rsidRDefault="00144866" w:rsidP="00D20468">
            <w:pPr>
              <w:spacing w:after="0" w:line="480" w:lineRule="auto"/>
              <w:ind w:left="-253" w:right="110" w:firstLine="253"/>
              <w:rPr>
                <w:rFonts w:eastAsia="Times New Roman"/>
                <w:color w:val="auto"/>
                <w:sz w:val="20"/>
                <w:szCs w:val="20"/>
                <w:lang w:eastAsia="en-GB"/>
              </w:rPr>
            </w:pPr>
          </w:p>
        </w:tc>
        <w:tc>
          <w:tcPr>
            <w:tcW w:w="1291" w:type="dxa"/>
            <w:gridSpan w:val="6"/>
            <w:tcBorders>
              <w:top w:val="nil"/>
              <w:left w:val="nil"/>
              <w:bottom w:val="nil"/>
              <w:right w:val="nil"/>
            </w:tcBorders>
            <w:textDirection w:val="btLr"/>
            <w:vAlign w:val="bottom"/>
            <w:hideMark/>
          </w:tcPr>
          <w:p w14:paraId="1F53FC49" w14:textId="77777777" w:rsidR="00144866" w:rsidRPr="0053182F" w:rsidRDefault="00144866" w:rsidP="00D20468">
            <w:pPr>
              <w:spacing w:after="0" w:line="480" w:lineRule="auto"/>
              <w:rPr>
                <w:rFonts w:eastAsia="Times New Roman"/>
                <w:color w:val="auto"/>
                <w:sz w:val="20"/>
                <w:szCs w:val="20"/>
                <w:lang w:eastAsia="en-GB"/>
              </w:rPr>
            </w:pPr>
          </w:p>
        </w:tc>
        <w:tc>
          <w:tcPr>
            <w:tcW w:w="742" w:type="dxa"/>
            <w:gridSpan w:val="4"/>
            <w:tcBorders>
              <w:top w:val="nil"/>
              <w:left w:val="nil"/>
              <w:bottom w:val="nil"/>
              <w:right w:val="nil"/>
            </w:tcBorders>
            <w:noWrap/>
            <w:textDirection w:val="btLr"/>
            <w:vAlign w:val="bottom"/>
            <w:hideMark/>
          </w:tcPr>
          <w:p w14:paraId="74022F18" w14:textId="77777777" w:rsidR="00144866" w:rsidRPr="0053182F" w:rsidRDefault="00144866" w:rsidP="00D20468">
            <w:pPr>
              <w:spacing w:after="0" w:line="480" w:lineRule="auto"/>
              <w:rPr>
                <w:rFonts w:eastAsia="Times New Roman"/>
                <w:color w:val="auto"/>
                <w:sz w:val="20"/>
                <w:szCs w:val="20"/>
                <w:lang w:eastAsia="en-GB"/>
              </w:rPr>
            </w:pPr>
          </w:p>
        </w:tc>
      </w:tr>
      <w:tr w:rsidR="00144866" w:rsidRPr="0053182F" w14:paraId="74DEC0E6" w14:textId="77777777" w:rsidTr="00D20468">
        <w:trPr>
          <w:gridAfter w:val="1"/>
          <w:wAfter w:w="120" w:type="dxa"/>
          <w:trHeight w:val="281"/>
        </w:trPr>
        <w:tc>
          <w:tcPr>
            <w:tcW w:w="1268" w:type="dxa"/>
            <w:tcBorders>
              <w:top w:val="nil"/>
              <w:left w:val="nil"/>
              <w:bottom w:val="nil"/>
              <w:right w:val="nil"/>
            </w:tcBorders>
            <w:noWrap/>
            <w:vAlign w:val="bottom"/>
            <w:hideMark/>
          </w:tcPr>
          <w:p w14:paraId="27EF888D" w14:textId="77777777" w:rsidR="00144866" w:rsidRPr="0053182F" w:rsidRDefault="00144866" w:rsidP="00D20468">
            <w:pPr>
              <w:spacing w:after="0" w:line="480" w:lineRule="auto"/>
              <w:rPr>
                <w:rFonts w:eastAsia="Times New Roman"/>
                <w:color w:val="auto"/>
                <w:sz w:val="20"/>
                <w:szCs w:val="20"/>
                <w:lang w:eastAsia="en-GB"/>
              </w:rPr>
            </w:pPr>
            <w:r w:rsidRPr="0053182F">
              <w:rPr>
                <w:rFonts w:eastAsia="Times New Roman"/>
                <w:noProof/>
                <w:color w:val="auto"/>
                <w:sz w:val="20"/>
                <w:szCs w:val="20"/>
                <w:lang w:eastAsia="en-GB"/>
              </w:rPr>
              <mc:AlternateContent>
                <mc:Choice Requires="wps">
                  <w:drawing>
                    <wp:anchor distT="0" distB="0" distL="114300" distR="114300" simplePos="0" relativeHeight="251658256" behindDoc="0" locked="0" layoutInCell="1" allowOverlap="1" wp14:anchorId="6309064E" wp14:editId="6C43DB9D">
                      <wp:simplePos x="0" y="0"/>
                      <wp:positionH relativeFrom="column">
                        <wp:posOffset>1800225</wp:posOffset>
                      </wp:positionH>
                      <wp:positionV relativeFrom="paragraph">
                        <wp:posOffset>857250</wp:posOffset>
                      </wp:positionV>
                      <wp:extent cx="542925" cy="390525"/>
                      <wp:effectExtent l="0" t="0" r="0" b="0"/>
                      <wp:wrapNone/>
                      <wp:docPr id="1940789325" name="Rectangle 33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42925" cy="390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44A038" w14:textId="77777777" w:rsidR="00144866" w:rsidRDefault="00144866" w:rsidP="00144866">
                                  <w:r>
                                    <w:rPr>
                                      <w:rFonts w:ascii="Calibri" w:hAnsi="Calibri" w:cs="Calibri"/>
                                      <w:b/>
                                      <w:bCs/>
                                      <w:color w:val="404040"/>
                                      <w:sz w:val="21"/>
                                      <w:szCs w:val="21"/>
                                    </w:rPr>
                                    <w:t>2014</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309064E" id="Rectangle 331" o:spid="_x0000_s1053" style="position:absolute;margin-left:141.75pt;margin-top:67.5pt;width:42.75pt;height:30.75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" filled="f" stroked="f">
                      <o:lock v:ext="edit" grouping="t"/>
                      <v:textbox>
                        <w:txbxContent>
                          <w:p w14:paraId="7B44A038" w14:textId="77777777" w:rsidR="00144866" w:rsidRDefault="00144866" w:rsidP="00144866">
                            <w:r>
                              <w:rPr>
                                <w:rFonts w:ascii="Calibri" w:hAnsi="Calibri" w:cs="Calibri"/>
                                <w:b/>
                                <w:bCs/>
                                <w:color w:val="404040"/>
                                <w:sz w:val="21"/>
                                <w:szCs w:val="21"/>
                              </w:rPr>
                              <w:t>2014</w:t>
                            </w:r>
                            <w:r>
                              <w:t xml:space="preserve"> </w:t>
                            </w:r>
                          </w:p>
                        </w:txbxContent>
                      </v:textbox>
                    </v:rect>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57" behindDoc="0" locked="0" layoutInCell="1" allowOverlap="1" wp14:anchorId="024D0ADA" wp14:editId="60A60790">
                      <wp:simplePos x="0" y="0"/>
                      <wp:positionH relativeFrom="column">
                        <wp:posOffset>2152650</wp:posOffset>
                      </wp:positionH>
                      <wp:positionV relativeFrom="paragraph">
                        <wp:posOffset>371475</wp:posOffset>
                      </wp:positionV>
                      <wp:extent cx="952500" cy="495300"/>
                      <wp:effectExtent l="0" t="0" r="0" b="0"/>
                      <wp:wrapNone/>
                      <wp:docPr id="751562857" name="Rectangle 330"/>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952500" cy="495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2C3818D" w14:textId="77777777" w:rsidR="00144866" w:rsidRDefault="00144866" w:rsidP="00144866">
                                  <w:r>
                                    <w:rPr>
                                      <w:rFonts w:ascii="Calibri" w:hAnsi="Calibri" w:cs="Calibri"/>
                                      <w:b/>
                                      <w:bCs/>
                                      <w:color w:val="404040"/>
                                      <w:sz w:val="20"/>
                                      <w:szCs w:val="20"/>
                                    </w:rPr>
                                    <w:t>2015</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024D0ADA" id="Rectangle 330" o:spid="_x0000_s1054" style="position:absolute;margin-left:169.5pt;margin-top:29.25pt;width:75pt;height:39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" filled="f" stroked="f">
                      <o:lock v:ext="edit" grouping="t"/>
                      <v:textbox>
                        <w:txbxContent>
                          <w:p w14:paraId="12C3818D" w14:textId="77777777" w:rsidR="00144866" w:rsidRDefault="00144866" w:rsidP="00144866">
                            <w:r>
                              <w:rPr>
                                <w:rFonts w:ascii="Calibri" w:hAnsi="Calibri" w:cs="Calibri"/>
                                <w:b/>
                                <w:bCs/>
                                <w:color w:val="404040"/>
                                <w:sz w:val="20"/>
                                <w:szCs w:val="20"/>
                              </w:rPr>
                              <w:t>2015</w:t>
                            </w:r>
                            <w:r>
                              <w:t xml:space="preserve"> </w:t>
                            </w:r>
                          </w:p>
                        </w:txbxContent>
                      </v:textbox>
                    </v:rect>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58" behindDoc="0" locked="0" layoutInCell="1" allowOverlap="1" wp14:anchorId="5C7D0C42" wp14:editId="444C34DD">
                      <wp:simplePos x="0" y="0"/>
                      <wp:positionH relativeFrom="column">
                        <wp:posOffset>2333625</wp:posOffset>
                      </wp:positionH>
                      <wp:positionV relativeFrom="paragraph">
                        <wp:posOffset>828675</wp:posOffset>
                      </wp:positionV>
                      <wp:extent cx="76200" cy="95250"/>
                      <wp:effectExtent l="0" t="0" r="0" b="0"/>
                      <wp:wrapNone/>
                      <wp:docPr id="789644734" name="Oval 329">
                        <a:extLst xmlns:a="http://schemas.openxmlformats.org/drawingml/2006/main">
                          <a:ext uri="{FF2B5EF4-FFF2-40B4-BE49-F238E27FC236}">
                            <a16:creationId xmlns:a16="http://schemas.microsoft.com/office/drawing/2014/main" id="{B8B757D7-6952-2D6A-27B4-A1AA3677224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3EF9F9A1" id="Oval 329" o:spid="_x0000_s1026" style="position:absolute;margin-left:183.75pt;margin-top:65.25pt;width:6pt;height:7.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" fillcolor="white [3212]" stroked="f">
                      <o:lock v:ext="edit" grouping="t"/>
                    </v:oval>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59" behindDoc="0" locked="0" layoutInCell="1" allowOverlap="1" wp14:anchorId="3A94E9E9" wp14:editId="7DDE717F">
                      <wp:simplePos x="0" y="0"/>
                      <wp:positionH relativeFrom="column">
                        <wp:posOffset>2114550</wp:posOffset>
                      </wp:positionH>
                      <wp:positionV relativeFrom="paragraph">
                        <wp:posOffset>66675</wp:posOffset>
                      </wp:positionV>
                      <wp:extent cx="38100" cy="714375"/>
                      <wp:effectExtent l="0" t="0" r="0" b="9525"/>
                      <wp:wrapNone/>
                      <wp:docPr id="1952380863" name="Freeform: Shape 328">
                        <a:extLst xmlns:a="http://schemas.openxmlformats.org/drawingml/2006/main">
                          <a:ext uri="{FF2B5EF4-FFF2-40B4-BE49-F238E27FC236}">
                            <a16:creationId xmlns:a16="http://schemas.microsoft.com/office/drawing/2014/main" id="{44F9621D-D48D-F03B-7029-E9ECBE50028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8100" cy="685800"/>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0FA459C4" id="Freeform: Shape 328" o:spid="_x0000_s1026" style="position:absolute;margin-left:166.5pt;margin-top:5.25pt;width:3pt;height:56.25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" path="m29442,c45702,,58884,13182,58884,29442v,8130,-3295,15491,-8623,20819l34842,56647r,623143l24042,679790r,-623143l8624,50261c3296,44933,,37572,,29442,,13182,13182,,29442,xe" fillcolor="#156082 [3204]" stroked="f">
                      <v:path arrowok="t" o:connecttype="custom" o:connectlocs="19050,0;38100,29702;32521,50705;22544,57148;22544,685800;15556,685800;15556,57148;5580,50705;0,29702;19050,0" o:connectangles="0,0,0,0,0,0,0,0,0,0"/>
                      <o:lock v:ext="edit" grouping="t"/>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60" behindDoc="0" locked="0" layoutInCell="1" allowOverlap="1" wp14:anchorId="59B51DE1" wp14:editId="14482D9D">
                      <wp:simplePos x="0" y="0"/>
                      <wp:positionH relativeFrom="column">
                        <wp:posOffset>2809875</wp:posOffset>
                      </wp:positionH>
                      <wp:positionV relativeFrom="paragraph">
                        <wp:posOffset>866775</wp:posOffset>
                      </wp:positionV>
                      <wp:extent cx="952500" cy="485775"/>
                      <wp:effectExtent l="0" t="0" r="0" b="0"/>
                      <wp:wrapNone/>
                      <wp:docPr id="2030475587" name="Rectangle 327"/>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952500" cy="4857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14DC5C7" w14:textId="77777777" w:rsidR="00144866" w:rsidRDefault="00144866" w:rsidP="00144866">
                                  <w:r>
                                    <w:rPr>
                                      <w:rFonts w:ascii="Calibri" w:hAnsi="Calibri" w:cs="Calibri"/>
                                      <w:b/>
                                      <w:bCs/>
                                      <w:color w:val="404040"/>
                                      <w:sz w:val="20"/>
                                      <w:szCs w:val="20"/>
                                    </w:rPr>
                                    <w:t>2017</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59B51DE1" id="Rectangle 327" o:spid="_x0000_s1055" style="position:absolute;margin-left:221.25pt;margin-top:68.25pt;width:75pt;height:38.25pt;z-index:2516582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" filled="f" stroked="f">
                      <o:lock v:ext="edit" grouping="t"/>
                      <v:textbox>
                        <w:txbxContent>
                          <w:p w14:paraId="714DC5C7" w14:textId="77777777" w:rsidR="00144866" w:rsidRDefault="00144866" w:rsidP="00144866">
                            <w:r>
                              <w:rPr>
                                <w:rFonts w:ascii="Calibri" w:hAnsi="Calibri" w:cs="Calibri"/>
                                <w:b/>
                                <w:bCs/>
                                <w:color w:val="404040"/>
                                <w:sz w:val="20"/>
                                <w:szCs w:val="20"/>
                              </w:rPr>
                              <w:t>2017</w:t>
                            </w:r>
                            <w:r>
                              <w:t xml:space="preserve"> </w:t>
                            </w:r>
                          </w:p>
                        </w:txbxContent>
                      </v:textbox>
                    </v:rect>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61" behindDoc="0" locked="0" layoutInCell="1" allowOverlap="1" wp14:anchorId="300A9097" wp14:editId="2059BF4F">
                      <wp:simplePos x="0" y="0"/>
                      <wp:positionH relativeFrom="column">
                        <wp:posOffset>3743325</wp:posOffset>
                      </wp:positionH>
                      <wp:positionV relativeFrom="paragraph">
                        <wp:posOffset>828675</wp:posOffset>
                      </wp:positionV>
                      <wp:extent cx="76200" cy="95250"/>
                      <wp:effectExtent l="0" t="0" r="0" b="0"/>
                      <wp:wrapNone/>
                      <wp:docPr id="788902360" name="Oval 326">
                        <a:extLst xmlns:a="http://schemas.openxmlformats.org/drawingml/2006/main">
                          <a:ext uri="{FF2B5EF4-FFF2-40B4-BE49-F238E27FC236}">
                            <a16:creationId xmlns:a16="http://schemas.microsoft.com/office/drawing/2014/main" id="{B0D67A54-F54C-DA77-C9A7-9AD9C354AF4C}"/>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3B3D47F6" id="Oval 326" o:spid="_x0000_s1026" style="position:absolute;margin-left:294.75pt;margin-top:65.25pt;width:6pt;height:7.5pt;z-index:2516582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" fillcolor="white [3212]" stroked="f">
                      <o:lock v:ext="edit" grouping="t"/>
                    </v:oval>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62" behindDoc="0" locked="0" layoutInCell="1" allowOverlap="1" wp14:anchorId="2E0CF3FF" wp14:editId="41F93D40">
                      <wp:simplePos x="0" y="0"/>
                      <wp:positionH relativeFrom="column">
                        <wp:posOffset>2733675</wp:posOffset>
                      </wp:positionH>
                      <wp:positionV relativeFrom="paragraph">
                        <wp:posOffset>762000</wp:posOffset>
                      </wp:positionV>
                      <wp:extent cx="47625" cy="723900"/>
                      <wp:effectExtent l="0" t="0" r="9525" b="0"/>
                      <wp:wrapNone/>
                      <wp:docPr id="799927475" name="Freeform: Shape 325">
                        <a:extLst xmlns:a="http://schemas.openxmlformats.org/drawingml/2006/main">
                          <a:ext uri="{FF2B5EF4-FFF2-40B4-BE49-F238E27FC236}">
                            <a16:creationId xmlns:a16="http://schemas.microsoft.com/office/drawing/2014/main" id="{B7C24EEB-252A-28E9-4482-FB95128E632F}"/>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flipV="1">
                                <a:off x="0" y="0"/>
                                <a:ext cx="47625" cy="685800"/>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50A88EAA" id="Freeform: Shape 325" o:spid="_x0000_s1026" style="position:absolute;margin-left:215.25pt;margin-top:60pt;width:3.75pt;height:57pt;flip:y;z-index:251658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" path="m29442,c45702,,58884,13182,58884,29442v,8130,-3295,15491,-8623,20819l34842,56647r,623143l24042,679790r,-623143l8624,50261c3296,44933,,37572,,29442,,13182,13182,,29442,xe" fillcolor="#156082 [3204]" stroked="f">
                      <v:path arrowok="t" o:connecttype="custom" o:connectlocs="23813,0;47625,29702;40651,50705;28180,57148;28180,685800;19445,685800;19445,57148;6975,50705;0,29702;23813,0" o:connectangles="0,0,0,0,0,0,0,0,0,0"/>
                      <o:lock v:ext="edit" grouping="t"/>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63" behindDoc="0" locked="0" layoutInCell="1" allowOverlap="1" wp14:anchorId="11AFA242" wp14:editId="19F087EF">
                      <wp:simplePos x="0" y="0"/>
                      <wp:positionH relativeFrom="column">
                        <wp:posOffset>3000375</wp:posOffset>
                      </wp:positionH>
                      <wp:positionV relativeFrom="paragraph">
                        <wp:posOffset>419100</wp:posOffset>
                      </wp:positionV>
                      <wp:extent cx="952500" cy="476250"/>
                      <wp:effectExtent l="0" t="0" r="0" b="0"/>
                      <wp:wrapNone/>
                      <wp:docPr id="1611620024" name="Rectangle 324"/>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952500" cy="4762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FA94F0A" w14:textId="77777777" w:rsidR="00144866" w:rsidRDefault="00144866" w:rsidP="00144866">
                                  <w:r>
                                    <w:rPr>
                                      <w:rFonts w:ascii="Calibri" w:hAnsi="Calibri" w:cs="Calibri"/>
                                      <w:b/>
                                      <w:bCs/>
                                      <w:color w:val="404040"/>
                                      <w:sz w:val="20"/>
                                      <w:szCs w:val="20"/>
                                    </w:rPr>
                                    <w:t>2018</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11AFA242" id="Rectangle 324" o:spid="_x0000_s1056" style="position:absolute;margin-left:236.25pt;margin-top:33pt;width:75pt;height:37.5pt;z-index:2516582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" filled="f" stroked="f">
                      <o:lock v:ext="edit" grouping="t"/>
                      <v:textbox>
                        <w:txbxContent>
                          <w:p w14:paraId="4FA94F0A" w14:textId="77777777" w:rsidR="00144866" w:rsidRDefault="00144866" w:rsidP="00144866">
                            <w:r>
                              <w:rPr>
                                <w:rFonts w:ascii="Calibri" w:hAnsi="Calibri" w:cs="Calibri"/>
                                <w:b/>
                                <w:bCs/>
                                <w:color w:val="404040"/>
                                <w:sz w:val="20"/>
                                <w:szCs w:val="20"/>
                              </w:rPr>
                              <w:t>2018</w:t>
                            </w:r>
                            <w:r>
                              <w:t xml:space="preserve"> </w:t>
                            </w:r>
                          </w:p>
                        </w:txbxContent>
                      </v:textbox>
                    </v:rect>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64" behindDoc="0" locked="0" layoutInCell="1" allowOverlap="1" wp14:anchorId="3B9B9A04" wp14:editId="5B705C26">
                      <wp:simplePos x="0" y="0"/>
                      <wp:positionH relativeFrom="column">
                        <wp:posOffset>4448175</wp:posOffset>
                      </wp:positionH>
                      <wp:positionV relativeFrom="paragraph">
                        <wp:posOffset>809625</wp:posOffset>
                      </wp:positionV>
                      <wp:extent cx="76200" cy="95250"/>
                      <wp:effectExtent l="0" t="0" r="0" b="0"/>
                      <wp:wrapNone/>
                      <wp:docPr id="295108150" name="Oval 323">
                        <a:extLst xmlns:a="http://schemas.openxmlformats.org/drawingml/2006/main">
                          <a:ext uri="{FF2B5EF4-FFF2-40B4-BE49-F238E27FC236}">
                            <a16:creationId xmlns:a16="http://schemas.microsoft.com/office/drawing/2014/main" id="{DB2BF45E-5AF2-F669-FC6C-944FF79AA3C3}"/>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5BDC890A" id="Oval 323" o:spid="_x0000_s1026" style="position:absolute;margin-left:350.25pt;margin-top:63.75pt;width:6pt;height:7.5pt;z-index:251658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" fillcolor="white [3212]" stroked="f">
                      <o:lock v:ext="edit" grouping="t"/>
                    </v:oval>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65" behindDoc="0" locked="0" layoutInCell="1" allowOverlap="1" wp14:anchorId="008C0FB3" wp14:editId="1842FD1A">
                      <wp:simplePos x="0" y="0"/>
                      <wp:positionH relativeFrom="column">
                        <wp:posOffset>3038475</wp:posOffset>
                      </wp:positionH>
                      <wp:positionV relativeFrom="paragraph">
                        <wp:posOffset>57150</wp:posOffset>
                      </wp:positionV>
                      <wp:extent cx="47625" cy="704850"/>
                      <wp:effectExtent l="0" t="0" r="9525" b="0"/>
                      <wp:wrapNone/>
                      <wp:docPr id="994889872" name="Freeform: Shape 322">
                        <a:extLst xmlns:a="http://schemas.openxmlformats.org/drawingml/2006/main">
                          <a:ext uri="{FF2B5EF4-FFF2-40B4-BE49-F238E27FC236}">
                            <a16:creationId xmlns:a16="http://schemas.microsoft.com/office/drawing/2014/main" id="{7077CFAD-A881-E165-6471-3364CA124D6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7625" cy="676275"/>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6908C07D" id="Freeform: Shape 322" o:spid="_x0000_s1026" style="position:absolute;margin-left:239.25pt;margin-top:4.5pt;width:3.75pt;height:55.5pt;z-index:251658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" path="m29442,c45702,,58884,13182,58884,29442v,8130,-3295,15491,-8623,20819l34842,56647r,623143l24042,679790r,-623143l8624,50261c3296,44933,,37572,,29442,,13182,13182,,29442,xe" fillcolor="#156082 [3204]" stroked="f">
                      <v:path arrowok="t" o:connecttype="custom" o:connectlocs="23813,0;47625,29290;40651,50001;28180,56354;28180,676275;19445,676275;19445,56354;6975,50001;0,29290;23813,0" o:connectangles="0,0,0,0,0,0,0,0,0,0"/>
                      <o:lock v:ext="edit" grouping="t"/>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66" behindDoc="0" locked="0" layoutInCell="1" allowOverlap="1" wp14:anchorId="5CF49554" wp14:editId="2E11966A">
                      <wp:simplePos x="0" y="0"/>
                      <wp:positionH relativeFrom="column">
                        <wp:posOffset>3943350</wp:posOffset>
                      </wp:positionH>
                      <wp:positionV relativeFrom="paragraph">
                        <wp:posOffset>809625</wp:posOffset>
                      </wp:positionV>
                      <wp:extent cx="857250" cy="476250"/>
                      <wp:effectExtent l="0" t="0" r="0" b="0"/>
                      <wp:wrapNone/>
                      <wp:docPr id="1508215405" name="Rectangle 32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857250" cy="4762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D4A1444" w14:textId="77777777" w:rsidR="00144866" w:rsidRDefault="00144866" w:rsidP="00144866">
                                  <w:r>
                                    <w:rPr>
                                      <w:rFonts w:ascii="Calibri" w:hAnsi="Calibri" w:cs="Calibri"/>
                                      <w:b/>
                                      <w:bCs/>
                                      <w:color w:val="404040"/>
                                      <w:sz w:val="20"/>
                                      <w:szCs w:val="20"/>
                                    </w:rPr>
                                    <w:t>2021</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5CF49554" id="Rectangle 321" o:spid="_x0000_s1057" style="position:absolute;margin-left:310.5pt;margin-top:63.75pt;width:67.5pt;height:37.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" filled="f" stroked="f">
                      <o:lock v:ext="edit" grouping="t"/>
                      <v:textbox>
                        <w:txbxContent>
                          <w:p w14:paraId="2D4A1444" w14:textId="77777777" w:rsidR="00144866" w:rsidRDefault="00144866" w:rsidP="00144866">
                            <w:r>
                              <w:rPr>
                                <w:rFonts w:ascii="Calibri" w:hAnsi="Calibri" w:cs="Calibri"/>
                                <w:b/>
                                <w:bCs/>
                                <w:color w:val="404040"/>
                                <w:sz w:val="20"/>
                                <w:szCs w:val="20"/>
                              </w:rPr>
                              <w:t>2021</w:t>
                            </w:r>
                            <w:r>
                              <w:t xml:space="preserve"> </w:t>
                            </w:r>
                          </w:p>
                        </w:txbxContent>
                      </v:textbox>
                    </v:rect>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67" behindDoc="0" locked="0" layoutInCell="1" allowOverlap="1" wp14:anchorId="73C42909" wp14:editId="476737E1">
                      <wp:simplePos x="0" y="0"/>
                      <wp:positionH relativeFrom="column">
                        <wp:posOffset>5781675</wp:posOffset>
                      </wp:positionH>
                      <wp:positionV relativeFrom="paragraph">
                        <wp:posOffset>828675</wp:posOffset>
                      </wp:positionV>
                      <wp:extent cx="76200" cy="95250"/>
                      <wp:effectExtent l="0" t="0" r="0" b="0"/>
                      <wp:wrapNone/>
                      <wp:docPr id="200258183" name="Oval 320">
                        <a:extLst xmlns:a="http://schemas.openxmlformats.org/drawingml/2006/main">
                          <a:ext uri="{FF2B5EF4-FFF2-40B4-BE49-F238E27FC236}">
                            <a16:creationId xmlns:a16="http://schemas.microsoft.com/office/drawing/2014/main" id="{B7E3C1BE-5CE4-A453-6D73-0FFD5B841556}"/>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50C44AF5" id="Oval 320" o:spid="_x0000_s1026" style="position:absolute;margin-left:455.25pt;margin-top:65.25pt;width:6pt;height:7.5pt;z-index:25165826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" fillcolor="white [3212]" stroked="f">
                      <o:lock v:ext="edit" grouping="t"/>
                    </v:oval>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68" behindDoc="0" locked="0" layoutInCell="1" allowOverlap="1" wp14:anchorId="5DD78515" wp14:editId="3019685F">
                      <wp:simplePos x="0" y="0"/>
                      <wp:positionH relativeFrom="column">
                        <wp:posOffset>3914775</wp:posOffset>
                      </wp:positionH>
                      <wp:positionV relativeFrom="paragraph">
                        <wp:posOffset>771525</wp:posOffset>
                      </wp:positionV>
                      <wp:extent cx="47625" cy="714375"/>
                      <wp:effectExtent l="0" t="0" r="9525" b="9525"/>
                      <wp:wrapNone/>
                      <wp:docPr id="962319745" name="Freeform: Shape 319">
                        <a:extLst xmlns:a="http://schemas.openxmlformats.org/drawingml/2006/main">
                          <a:ext uri="{FF2B5EF4-FFF2-40B4-BE49-F238E27FC236}">
                            <a16:creationId xmlns:a16="http://schemas.microsoft.com/office/drawing/2014/main" id="{F96CA94C-9C0F-9AA1-9508-059BF7DC29E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flipV="1">
                                <a:off x="0" y="0"/>
                                <a:ext cx="47625" cy="676275"/>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4ACBE23B" id="Freeform: Shape 319" o:spid="_x0000_s1026" style="position:absolute;margin-left:308.25pt;margin-top:60.75pt;width:3.75pt;height:56.25pt;flip:y;z-index:251658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" path="m29442,c45702,,58884,13182,58884,29442v,8130,-3295,15491,-8623,20819l34842,56647r,623143l24042,679790r,-623143l8624,50261c3296,44933,,37572,,29442,,13182,13182,,29442,xe" fillcolor="#156082 [3204]" stroked="f">
                      <v:path arrowok="t" o:connecttype="custom" o:connectlocs="23813,0;47625,29290;40651,50001;28180,56354;28180,676275;19445,676275;19445,56354;6975,50001;0,29290;23813,0" o:connectangles="0,0,0,0,0,0,0,0,0,0"/>
                      <o:lock v:ext="edit" grouping="t"/>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0" behindDoc="0" locked="0" layoutInCell="1" allowOverlap="1" wp14:anchorId="59C5D402" wp14:editId="15634638">
                      <wp:simplePos x="0" y="0"/>
                      <wp:positionH relativeFrom="column">
                        <wp:posOffset>4514850</wp:posOffset>
                      </wp:positionH>
                      <wp:positionV relativeFrom="paragraph">
                        <wp:posOffset>381000</wp:posOffset>
                      </wp:positionV>
                      <wp:extent cx="885825" cy="495300"/>
                      <wp:effectExtent l="0" t="0" r="0" b="0"/>
                      <wp:wrapNone/>
                      <wp:docPr id="1912979618" name="Rectangle 317"/>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885825" cy="495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F8422F" w14:textId="77777777" w:rsidR="00144866" w:rsidRDefault="00144866" w:rsidP="00144866">
                                  <w:r>
                                    <w:rPr>
                                      <w:rFonts w:ascii="Calibri" w:hAnsi="Calibri" w:cs="Calibri"/>
                                      <w:b/>
                                      <w:bCs/>
                                      <w:color w:val="404040"/>
                                      <w:sz w:val="20"/>
                                      <w:szCs w:val="20"/>
                                    </w:rPr>
                                    <w:t>2023</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59C5D402" id="Rectangle 317" o:spid="_x0000_s1058" style="position:absolute;margin-left:355.5pt;margin-top:30pt;width:69.75pt;height:39pt;z-index:25165827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" filled="f" stroked="f">
                      <o:lock v:ext="edit" grouping="t"/>
                      <v:textbox>
                        <w:txbxContent>
                          <w:p w14:paraId="0DF8422F" w14:textId="77777777" w:rsidR="00144866" w:rsidRDefault="00144866" w:rsidP="00144866">
                            <w:r>
                              <w:rPr>
                                <w:rFonts w:ascii="Calibri" w:hAnsi="Calibri" w:cs="Calibri"/>
                                <w:b/>
                                <w:bCs/>
                                <w:color w:val="404040"/>
                                <w:sz w:val="20"/>
                                <w:szCs w:val="20"/>
                              </w:rPr>
                              <w:t>2023</w:t>
                            </w:r>
                            <w:r>
                              <w:t xml:space="preserve"> </w:t>
                            </w:r>
                          </w:p>
                        </w:txbxContent>
                      </v:textbox>
                    </v:rect>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1" behindDoc="0" locked="0" layoutInCell="1" allowOverlap="1" wp14:anchorId="1C897EA1" wp14:editId="61CBA760">
                      <wp:simplePos x="0" y="0"/>
                      <wp:positionH relativeFrom="column">
                        <wp:posOffset>6286500</wp:posOffset>
                      </wp:positionH>
                      <wp:positionV relativeFrom="paragraph">
                        <wp:posOffset>809625</wp:posOffset>
                      </wp:positionV>
                      <wp:extent cx="76200" cy="95250"/>
                      <wp:effectExtent l="0" t="0" r="0" b="0"/>
                      <wp:wrapNone/>
                      <wp:docPr id="75779750" name="Oval 316">
                        <a:extLst xmlns:a="http://schemas.openxmlformats.org/drawingml/2006/main">
                          <a:ext uri="{FF2B5EF4-FFF2-40B4-BE49-F238E27FC236}">
                            <a16:creationId xmlns:a16="http://schemas.microsoft.com/office/drawing/2014/main" id="{6FE084A7-B7B5-1A27-B5A5-1AD13BB31587}"/>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200" cy="95250"/>
                              </a:xfrm>
                              <a:prstGeom prst="ellipse">
                                <a:avLst/>
                              </a:prstGeom>
                              <a:solidFill>
                                <a:schemeClr val="bg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oval w14:anchorId="226BCF40" id="Oval 316" o:spid="_x0000_s1026" style="position:absolute;margin-left:495pt;margin-top:63.75pt;width:6pt;height:7.5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" fillcolor="white [3212]" stroked="f">
                      <o:lock v:ext="edit" grouping="t"/>
                    </v:oval>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2" behindDoc="0" locked="0" layoutInCell="1" allowOverlap="1" wp14:anchorId="5CE0F340" wp14:editId="3CE0D53D">
                      <wp:simplePos x="0" y="0"/>
                      <wp:positionH relativeFrom="column">
                        <wp:posOffset>4581525</wp:posOffset>
                      </wp:positionH>
                      <wp:positionV relativeFrom="paragraph">
                        <wp:posOffset>76200</wp:posOffset>
                      </wp:positionV>
                      <wp:extent cx="47625" cy="723900"/>
                      <wp:effectExtent l="0" t="0" r="9525" b="0"/>
                      <wp:wrapNone/>
                      <wp:docPr id="603907822" name="Freeform: Shape 315">
                        <a:extLst xmlns:a="http://schemas.openxmlformats.org/drawingml/2006/main">
                          <a:ext uri="{FF2B5EF4-FFF2-40B4-BE49-F238E27FC236}">
                            <a16:creationId xmlns:a16="http://schemas.microsoft.com/office/drawing/2014/main" id="{5488CE58-C269-230E-C862-CB9AFEA3DFF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7625" cy="685800"/>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58C6E1C3" id="Freeform: Shape 315" o:spid="_x0000_s1026" style="position:absolute;margin-left:360.75pt;margin-top:6pt;width:3.75pt;height:57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" path="m29442,c45702,,58884,13182,58884,29442v,8130,-3295,15491,-8623,20819l34842,56647r,623143l24042,679790r,-623143l8624,50261c3296,44933,,37572,,29442,,13182,13182,,29442,xe" fillcolor="#156082 [3204]" stroked="f">
                      <v:path arrowok="t" o:connecttype="custom" o:connectlocs="23813,0;47625,29702;40651,50705;28180,57148;28180,685800;19445,685800;19445,57148;6975,50705;0,29702;23813,0" o:connectangles="0,0,0,0,0,0,0,0,0,0"/>
                      <o:lock v:ext="edit" grouping="t"/>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3" behindDoc="0" locked="0" layoutInCell="1" allowOverlap="1" wp14:anchorId="186149B9" wp14:editId="6755F966">
                      <wp:simplePos x="0" y="0"/>
                      <wp:positionH relativeFrom="column">
                        <wp:posOffset>6200775</wp:posOffset>
                      </wp:positionH>
                      <wp:positionV relativeFrom="paragraph">
                        <wp:posOffset>847725</wp:posOffset>
                      </wp:positionV>
                      <wp:extent cx="523875" cy="304800"/>
                      <wp:effectExtent l="0" t="0" r="0" b="0"/>
                      <wp:wrapNone/>
                      <wp:docPr id="1825600553" name="Rectangle 314"/>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23875"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80FB183" w14:textId="77777777" w:rsidR="00144866" w:rsidRDefault="00144866" w:rsidP="00144866">
                                  <w:r>
                                    <w:rPr>
                                      <w:rFonts w:ascii="Calibri" w:hAnsi="Calibri" w:cs="Calibri"/>
                                      <w:b/>
                                      <w:bCs/>
                                      <w:color w:val="404040"/>
                                      <w:sz w:val="20"/>
                                      <w:szCs w:val="20"/>
                                    </w:rPr>
                                    <w:t>2027</w:t>
                                  </w:r>
                                  <w:r>
                                    <w:t xml:space="preserve"> </w:t>
                                  </w:r>
                                </w:p>
                              </w:txbxContent>
                            </wps:txbx>
                            <wps:bodyPr rot="0" vert="horz" wrap="square" lIns="91440" tIns="45720" rIns="91440" bIns="4572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186149B9" id="Rectangle 314" o:spid="_x0000_s1059" style="position:absolute;margin-left:488.25pt;margin-top:66.75pt;width:41.25pt;height:24pt;z-index:25165827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" filled="f" stroked="f">
                      <o:lock v:ext="edit" grouping="t"/>
                      <v:textbox>
                        <w:txbxContent>
                          <w:p w14:paraId="080FB183" w14:textId="77777777" w:rsidR="00144866" w:rsidRDefault="00144866" w:rsidP="00144866">
                            <w:r>
                              <w:rPr>
                                <w:rFonts w:ascii="Calibri" w:hAnsi="Calibri" w:cs="Calibri"/>
                                <w:b/>
                                <w:bCs/>
                                <w:color w:val="404040"/>
                                <w:sz w:val="20"/>
                                <w:szCs w:val="20"/>
                              </w:rPr>
                              <w:t>2027</w:t>
                            </w:r>
                            <w:r>
                              <w:t xml:space="preserve"> </w:t>
                            </w:r>
                          </w:p>
                        </w:txbxContent>
                      </v:textbox>
                    </v:rect>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4" behindDoc="0" locked="0" layoutInCell="1" allowOverlap="1" wp14:anchorId="684DAAEC" wp14:editId="06A31D05">
                      <wp:simplePos x="0" y="0"/>
                      <wp:positionH relativeFrom="column">
                        <wp:posOffset>4800600</wp:posOffset>
                      </wp:positionH>
                      <wp:positionV relativeFrom="paragraph">
                        <wp:posOffset>752475</wp:posOffset>
                      </wp:positionV>
                      <wp:extent cx="47625" cy="714375"/>
                      <wp:effectExtent l="0" t="0" r="9525" b="9525"/>
                      <wp:wrapNone/>
                      <wp:docPr id="1613829687" name="Freeform: Shape 313">
                        <a:extLst xmlns:a="http://schemas.openxmlformats.org/drawingml/2006/main">
                          <a:ext uri="{FF2B5EF4-FFF2-40B4-BE49-F238E27FC236}">
                            <a16:creationId xmlns:a16="http://schemas.microsoft.com/office/drawing/2014/main" id="{21D4FD8F-249A-96F9-C1A6-6AA14ED8B173}"/>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flipV="1">
                                <a:off x="0" y="0"/>
                                <a:ext cx="57150" cy="676275"/>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2A078AD1" id="Freeform: Shape 313" o:spid="_x0000_s1026" style="position:absolute;margin-left:378pt;margin-top:59.25pt;width:3.75pt;height:56.25pt;flip:y;z-index:25165827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" path="m29442,c45702,,58884,13182,58884,29442v,8130,-3295,15491,-8623,20819l34842,56647r,623143l24042,679790r,-623143l8624,50261c3296,44933,,37572,,29442,,13182,13182,,29442,xe" fillcolor="#156082 [3204]" stroked="f">
                      <v:path arrowok="t" o:connecttype="custom" o:connectlocs="28575,0;57150,29290;48781,50001;33816,56354;33816,676275;23334,676275;23334,56354;8370,50001;0,29290;28575,0" o:connectangles="0,0,0,0,0,0,0,0,0,0"/>
                      <o:lock v:ext="edit" grouping="t"/>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5" behindDoc="0" locked="0" layoutInCell="1" allowOverlap="1" wp14:anchorId="3A9CF0E7" wp14:editId="31D2AE94">
                      <wp:simplePos x="0" y="0"/>
                      <wp:positionH relativeFrom="column">
                        <wp:posOffset>171450</wp:posOffset>
                      </wp:positionH>
                      <wp:positionV relativeFrom="paragraph">
                        <wp:posOffset>714375</wp:posOffset>
                      </wp:positionV>
                      <wp:extent cx="6829425" cy="47625"/>
                      <wp:effectExtent l="0" t="19050" r="47625" b="47625"/>
                      <wp:wrapNone/>
                      <wp:docPr id="978673754" name="Arrow: Right 312">
                        <a:extLst xmlns:a="http://schemas.openxmlformats.org/drawingml/2006/main">
                          <a:ext uri="{FF2B5EF4-FFF2-40B4-BE49-F238E27FC236}">
                            <a16:creationId xmlns:a16="http://schemas.microsoft.com/office/drawing/2014/main" id="{357DA828-8449-E89B-E3B1-B46680B79527}"/>
                          </a:ext>
                        </a:extLst>
                      </wp:docPr>
                      <wp:cNvGraphicFramePr/>
                      <a:graphic xmlns:a="http://schemas.openxmlformats.org/drawingml/2006/main">
                        <a:graphicData uri="http://schemas.microsoft.com/office/word/2010/wordprocessingShape">
                          <wps:wsp>
                            <wps:cNvSpPr/>
                            <wps:spPr>
                              <a:xfrm>
                                <a:off x="0" y="0"/>
                                <a:ext cx="9105900" cy="114300"/>
                              </a:xfrm>
                              <a:prstGeom prst="rightArrow">
                                <a:avLst/>
                              </a:prstGeom>
                              <a:ln w="19050">
                                <a:solidFill>
                                  <a:schemeClr val="accent6">
                                    <a:lumMod val="5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0DF776B"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12" o:spid="_x0000_s1026" type="#_x0000_t13" style="position:absolute;margin-left:13.5pt;margin-top:56.25pt;width:537.75pt;height:3.75pt;z-index:25165827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" adj="21464" fillcolor="#156082 [3204]" strokecolor="#265317 [1609]" strokeweight="1.5pt"/>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6" behindDoc="0" locked="0" layoutInCell="1" allowOverlap="1" wp14:anchorId="7A802360" wp14:editId="20DA223F">
                      <wp:simplePos x="0" y="0"/>
                      <wp:positionH relativeFrom="column">
                        <wp:posOffset>1609725</wp:posOffset>
                      </wp:positionH>
                      <wp:positionV relativeFrom="paragraph">
                        <wp:posOffset>638175</wp:posOffset>
                      </wp:positionV>
                      <wp:extent cx="190500" cy="200025"/>
                      <wp:effectExtent l="0" t="0" r="0" b="9525"/>
                      <wp:wrapNone/>
                      <wp:docPr id="1073863234" name="Multiplication Sign 311">
                        <a:extLst xmlns:a="http://schemas.openxmlformats.org/drawingml/2006/main">
                          <a:ext uri="{FF2B5EF4-FFF2-40B4-BE49-F238E27FC236}">
                            <a16:creationId xmlns:a16="http://schemas.microsoft.com/office/drawing/2014/main" id="{FC462D9F-C2D6-D4FF-D3D1-E5A18D760BD7}"/>
                          </a:ext>
                        </a:extLst>
                      </wp:docPr>
                      <wp:cNvGraphicFramePr/>
                      <a:graphic xmlns:a="http://schemas.openxmlformats.org/drawingml/2006/main">
                        <a:graphicData uri="http://schemas.microsoft.com/office/word/2010/wordprocessingShape">
                          <wps:wsp>
                            <wps:cNvSpPr/>
                            <wps:spPr>
                              <a:xfrm>
                                <a:off x="0" y="0"/>
                                <a:ext cx="190500"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D755493" id="Multiplication Sign 311" o:spid="_x0000_s1026" style="position:absolute;margin-left:126.75pt;margin-top:50.25pt;width:15pt;height:15.75pt;z-index:2516582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050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" path="m29912,61595l61595,29912,95250,63568,128905,29912r31683,31683l126932,95250r33656,33655l128905,160588,95250,126932,61595,160588,29912,128905,63568,95250,29912,61595xe" fillcolor="yellow" strokecolor="#030e13 [484]" strokeweight="1.5pt">
                      <v:stroke joinstyle="miter"/>
                      <v:path arrowok="t" o:connecttype="custom" o:connectlocs="29912,61595;61595,29912;95250,63568;128905,29912;160588,61595;126932,95250;160588,128905;128905,160588;95250,126932;61595,160588;29912,128905;63568,95250;29912,61595" o:connectangles="0,0,0,0,0,0,0,0,0,0,0,0,0"/>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7" behindDoc="0" locked="0" layoutInCell="1" allowOverlap="1" wp14:anchorId="6B6094D7" wp14:editId="733AE0A8">
                      <wp:simplePos x="0" y="0"/>
                      <wp:positionH relativeFrom="column">
                        <wp:posOffset>2000250</wp:posOffset>
                      </wp:positionH>
                      <wp:positionV relativeFrom="paragraph">
                        <wp:posOffset>685800</wp:posOffset>
                      </wp:positionV>
                      <wp:extent cx="200025" cy="200025"/>
                      <wp:effectExtent l="0" t="0" r="9525" b="9525"/>
                      <wp:wrapNone/>
                      <wp:docPr id="1861785489" name="Multiplication Sign 310">
                        <a:extLst xmlns:a="http://schemas.openxmlformats.org/drawingml/2006/main">
                          <a:ext uri="{FF2B5EF4-FFF2-40B4-BE49-F238E27FC236}">
                            <a16:creationId xmlns:a16="http://schemas.microsoft.com/office/drawing/2014/main" id="{F7C44D78-30B7-492A-924E-26DBE336F2E7}"/>
                          </a:ext>
                        </a:extLst>
                      </wp:docPr>
                      <wp:cNvGraphicFramePr/>
                      <a:graphic xmlns:a="http://schemas.openxmlformats.org/drawingml/2006/main">
                        <a:graphicData uri="http://schemas.microsoft.com/office/word/2010/wordprocessingShape">
                          <wps:wsp>
                            <wps:cNvSpPr/>
                            <wps:spPr>
                              <a:xfrm>
                                <a:off x="0" y="0"/>
                                <a:ext cx="200025"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D9E2321" id="Multiplication Sign 310" o:spid="_x0000_s1026" style="position:absolute;margin-left:157.5pt;margin-top:54pt;width:15.75pt;height:15.75pt;z-index:251658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00025,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" path="m32591,61976l63491,29531r36522,34782l136534,29531r30900,32445l132497,95250r34937,33274l136534,160969,100013,126187,63491,160969,32591,128524,67528,95250,32591,61976xe" fillcolor="yellow" strokecolor="#030e13 [484]" strokeweight="1.5pt">
                      <v:stroke joinstyle="miter"/>
                      <v:path arrowok="t" o:connecttype="custom" o:connectlocs="32591,61976;63491,29531;100013,64313;136534,29531;167434,61976;132497,95250;167434,128524;136534,160969;100013,126187;63491,160969;32591,128524;67528,95250;32591,61976" o:connectangles="0,0,0,0,0,0,0,0,0,0,0,0,0"/>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8" behindDoc="0" locked="0" layoutInCell="1" allowOverlap="1" wp14:anchorId="34C9843E" wp14:editId="31E31810">
                      <wp:simplePos x="0" y="0"/>
                      <wp:positionH relativeFrom="column">
                        <wp:posOffset>3848100</wp:posOffset>
                      </wp:positionH>
                      <wp:positionV relativeFrom="paragraph">
                        <wp:posOffset>695325</wp:posOffset>
                      </wp:positionV>
                      <wp:extent cx="161925" cy="190500"/>
                      <wp:effectExtent l="0" t="0" r="9525" b="0"/>
                      <wp:wrapNone/>
                      <wp:docPr id="310683229" name="Multiplication Sign 309">
                        <a:extLst xmlns:a="http://schemas.openxmlformats.org/drawingml/2006/main">
                          <a:ext uri="{FF2B5EF4-FFF2-40B4-BE49-F238E27FC236}">
                            <a16:creationId xmlns:a16="http://schemas.microsoft.com/office/drawing/2014/main" id="{867FD3F4-EE4D-4378-BD13-8C7EC291F539}"/>
                          </a:ext>
                        </a:extLst>
                      </wp:docPr>
                      <wp:cNvGraphicFramePr/>
                      <a:graphic xmlns:a="http://schemas.openxmlformats.org/drawingml/2006/main">
                        <a:graphicData uri="http://schemas.microsoft.com/office/word/2010/wordprocessingShape">
                          <wps:wsp>
                            <wps:cNvSpPr/>
                            <wps:spPr>
                              <a:xfrm>
                                <a:off x="0" y="0"/>
                                <a:ext cx="161925" cy="180975"/>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672679C" id="Multiplication Sign 309" o:spid="_x0000_s1026" style="position:absolute;margin-left:303pt;margin-top:54.75pt;width:12.75pt;height:15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61925,180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" path="m24699,56163l53082,30768,80963,61929,108843,30768r28383,25395l106514,90488r30712,34324l108843,150207,80963,119046,53082,150207,24699,124812,55411,90488,24699,56163xe" fillcolor="yellow" strokecolor="#030e13 [484]" strokeweight="1.5pt">
                      <v:stroke joinstyle="miter"/>
                      <v:path arrowok="t" o:connecttype="custom" o:connectlocs="24699,56163;53082,30768;80963,61929;108843,30768;137226,56163;106514,90488;137226,124812;108843,150207;80963,119046;53082,150207;24699,124812;55411,90488;24699,56163" o:connectangles="0,0,0,0,0,0,0,0,0,0,0,0,0"/>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79" behindDoc="0" locked="0" layoutInCell="1" allowOverlap="1" wp14:anchorId="701EF9F9" wp14:editId="6F68AF54">
                      <wp:simplePos x="0" y="0"/>
                      <wp:positionH relativeFrom="column">
                        <wp:posOffset>6048375</wp:posOffset>
                      </wp:positionH>
                      <wp:positionV relativeFrom="paragraph">
                        <wp:posOffset>657225</wp:posOffset>
                      </wp:positionV>
                      <wp:extent cx="190500" cy="209550"/>
                      <wp:effectExtent l="0" t="0" r="0" b="0"/>
                      <wp:wrapNone/>
                      <wp:docPr id="1702137775" name="Multiplication Sign 308">
                        <a:extLst xmlns:a="http://schemas.openxmlformats.org/drawingml/2006/main">
                          <a:ext uri="{FF2B5EF4-FFF2-40B4-BE49-F238E27FC236}">
                            <a16:creationId xmlns:a16="http://schemas.microsoft.com/office/drawing/2014/main" id="{9CF17B7A-E981-48BB-ACD6-9698A0D8A306}"/>
                          </a:ext>
                        </a:extLst>
                      </wp:docPr>
                      <wp:cNvGraphicFramePr/>
                      <a:graphic xmlns:a="http://schemas.openxmlformats.org/drawingml/2006/main">
                        <a:graphicData uri="http://schemas.microsoft.com/office/word/2010/wordprocessingShape">
                          <wps:wsp>
                            <wps:cNvSpPr/>
                            <wps:spPr>
                              <a:xfrm>
                                <a:off x="0" y="0"/>
                                <a:ext cx="190500" cy="200025"/>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0A35D33" id="Multiplication Sign 308" o:spid="_x0000_s1026" style="position:absolute;margin-left:476.25pt;margin-top:51.75pt;width:15pt;height:16.5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0500,2000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" path="m29531,63491l61976,32591,95250,67528,128524,32591r32445,30900l126187,100013r34782,36521l128524,167434,95250,132497,61976,167434,29531,136534,64313,100013,29531,63491xe" fillcolor="yellow" strokecolor="#030e13 [484]" strokeweight="1.5pt">
                      <v:stroke joinstyle="miter"/>
                      <v:path arrowok="t" o:connecttype="custom" o:connectlocs="29531,63491;61976,32591;95250,67528;128524,32591;160969,63491;126187,100013;160969,136534;128524,167434;95250,132497;61976,167434;29531,136534;64313,100013;29531,63491" o:connectangles="0,0,0,0,0,0,0,0,0,0,0,0,0"/>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80" behindDoc="0" locked="0" layoutInCell="1" allowOverlap="1" wp14:anchorId="1E1B1CAF" wp14:editId="11282019">
                      <wp:simplePos x="0" y="0"/>
                      <wp:positionH relativeFrom="column">
                        <wp:posOffset>4810125</wp:posOffset>
                      </wp:positionH>
                      <wp:positionV relativeFrom="paragraph">
                        <wp:posOffset>676275</wp:posOffset>
                      </wp:positionV>
                      <wp:extent cx="200025" cy="200025"/>
                      <wp:effectExtent l="0" t="0" r="9525" b="9525"/>
                      <wp:wrapNone/>
                      <wp:docPr id="2139511395" name="Multiplication Sign 307">
                        <a:extLst xmlns:a="http://schemas.openxmlformats.org/drawingml/2006/main">
                          <a:ext uri="{FF2B5EF4-FFF2-40B4-BE49-F238E27FC236}">
                            <a16:creationId xmlns:a16="http://schemas.microsoft.com/office/drawing/2014/main" id="{713B7FF5-8890-4184-9C63-5C9E37C9022C}"/>
                          </a:ext>
                        </a:extLst>
                      </wp:docPr>
                      <wp:cNvGraphicFramePr/>
                      <a:graphic xmlns:a="http://schemas.openxmlformats.org/drawingml/2006/main">
                        <a:graphicData uri="http://schemas.microsoft.com/office/word/2010/wordprocessingShape">
                          <wps:wsp>
                            <wps:cNvSpPr/>
                            <wps:spPr>
                              <a:xfrm>
                                <a:off x="0" y="0"/>
                                <a:ext cx="200025"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D253F1D" id="Multiplication Sign 307" o:spid="_x0000_s1026" style="position:absolute;margin-left:378.75pt;margin-top:53.25pt;width:15.75pt;height:15.75pt;z-index:251658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00025,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" path="m32591,61976l63491,29531r36522,34782l136534,29531r30900,32445l132497,95250r34937,33274l136534,160969,100013,126187,63491,160969,32591,128524,67528,95250,32591,61976xe" fillcolor="yellow" strokecolor="#030e13 [484]" strokeweight="1.5pt">
                      <v:stroke joinstyle="miter"/>
                      <v:path arrowok="t" o:connecttype="custom" o:connectlocs="32591,61976;63491,29531;100013,64313;136534,29531;167434,61976;132497,95250;167434,128524;136534,160969;100013,126187;63491,160969;32591,128524;67528,95250;32591,61976" o:connectangles="0,0,0,0,0,0,0,0,0,0,0,0,0"/>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81" behindDoc="0" locked="0" layoutInCell="1" allowOverlap="1" wp14:anchorId="4B640D3D" wp14:editId="585CB2CD">
                      <wp:simplePos x="0" y="0"/>
                      <wp:positionH relativeFrom="column">
                        <wp:posOffset>4533900</wp:posOffset>
                      </wp:positionH>
                      <wp:positionV relativeFrom="paragraph">
                        <wp:posOffset>666750</wp:posOffset>
                      </wp:positionV>
                      <wp:extent cx="171450" cy="180975"/>
                      <wp:effectExtent l="0" t="0" r="0" b="9525"/>
                      <wp:wrapNone/>
                      <wp:docPr id="1545960830" name="Multiplication Sign 306">
                        <a:extLst xmlns:a="http://schemas.openxmlformats.org/drawingml/2006/main">
                          <a:ext uri="{FF2B5EF4-FFF2-40B4-BE49-F238E27FC236}">
                            <a16:creationId xmlns:a16="http://schemas.microsoft.com/office/drawing/2014/main" id="{F1EBBA01-BA3F-472C-B761-982A6FDE4A58}"/>
                          </a:ext>
                        </a:extLst>
                      </wp:docPr>
                      <wp:cNvGraphicFramePr/>
                      <a:graphic xmlns:a="http://schemas.openxmlformats.org/drawingml/2006/main">
                        <a:graphicData uri="http://schemas.microsoft.com/office/word/2010/wordprocessingShape">
                          <wps:wsp>
                            <wps:cNvSpPr/>
                            <wps:spPr>
                              <a:xfrm>
                                <a:off x="0" y="0"/>
                                <a:ext cx="171450" cy="17145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2362751" id="Multiplication Sign 306" o:spid="_x0000_s1026" style="position:absolute;margin-left:357pt;margin-top:52.5pt;width:13.5pt;height:14.25pt;z-index:2516582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71450,1714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" path="m26921,55435l55435,26921,85725,57211,116015,26921r28514,28514l114239,85725r30290,30290l116015,144529,85725,114239,55435,144529,26921,116015,57211,85725,26921,55435xe" fillcolor="yellow" strokecolor="#030e13 [484]" strokeweight="1.5pt">
                      <v:stroke joinstyle="miter"/>
                      <v:path arrowok="t" o:connecttype="custom" o:connectlocs="26921,55435;55435,26921;85725,57211;116015,26921;144529,55435;114239,85725;144529,116015;116015,144529;85725,114239;55435,144529;26921,116015;57211,85725;26921,55435" o:connectangles="0,0,0,0,0,0,0,0,0,0,0,0,0"/>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82" behindDoc="0" locked="0" layoutInCell="1" allowOverlap="1" wp14:anchorId="774453E9" wp14:editId="13541200">
                      <wp:simplePos x="0" y="0"/>
                      <wp:positionH relativeFrom="column">
                        <wp:posOffset>2971800</wp:posOffset>
                      </wp:positionH>
                      <wp:positionV relativeFrom="paragraph">
                        <wp:posOffset>676275</wp:posOffset>
                      </wp:positionV>
                      <wp:extent cx="190500" cy="200025"/>
                      <wp:effectExtent l="0" t="0" r="0" b="9525"/>
                      <wp:wrapNone/>
                      <wp:docPr id="1038981175" name="Multiplication Sign 305">
                        <a:extLst xmlns:a="http://schemas.openxmlformats.org/drawingml/2006/main">
                          <a:ext uri="{FF2B5EF4-FFF2-40B4-BE49-F238E27FC236}">
                            <a16:creationId xmlns:a16="http://schemas.microsoft.com/office/drawing/2014/main" id="{7B1EC76F-B961-482B-A02C-7D1CACF3B821}"/>
                          </a:ext>
                        </a:extLst>
                      </wp:docPr>
                      <wp:cNvGraphicFramePr/>
                      <a:graphic xmlns:a="http://schemas.openxmlformats.org/drawingml/2006/main">
                        <a:graphicData uri="http://schemas.microsoft.com/office/word/2010/wordprocessingShape">
                          <wps:wsp>
                            <wps:cNvSpPr/>
                            <wps:spPr>
                              <a:xfrm>
                                <a:off x="0" y="0"/>
                                <a:ext cx="190500"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290D6FB" id="Multiplication Sign 305" o:spid="_x0000_s1026" style="position:absolute;margin-left:234pt;margin-top:53.25pt;width:15pt;height:15.75pt;z-index:2516582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050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" path="m29912,61595l61595,29912,95250,63568,128905,29912r31683,31683l126932,95250r33656,33655l128905,160588,95250,126932,61595,160588,29912,128905,63568,95250,29912,61595xe" fillcolor="yellow" strokecolor="#030e13 [484]" strokeweight="1.5pt">
                      <v:stroke joinstyle="miter"/>
                      <v:path arrowok="t" o:connecttype="custom" o:connectlocs="29912,61595;61595,29912;95250,63568;128905,29912;160588,61595;126932,95250;160588,128905;128905,160588;95250,126932;61595,160588;29912,128905;63568,95250;29912,61595" o:connectangles="0,0,0,0,0,0,0,0,0,0,0,0,0"/>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83" behindDoc="0" locked="0" layoutInCell="1" allowOverlap="1" wp14:anchorId="1B434353" wp14:editId="7E7A78E7">
                      <wp:simplePos x="0" y="0"/>
                      <wp:positionH relativeFrom="column">
                        <wp:posOffset>2657475</wp:posOffset>
                      </wp:positionH>
                      <wp:positionV relativeFrom="paragraph">
                        <wp:posOffset>666750</wp:posOffset>
                      </wp:positionV>
                      <wp:extent cx="190500" cy="200025"/>
                      <wp:effectExtent l="0" t="0" r="0" b="9525"/>
                      <wp:wrapNone/>
                      <wp:docPr id="757092759" name="Multiplication Sign 304">
                        <a:extLst xmlns:a="http://schemas.openxmlformats.org/drawingml/2006/main">
                          <a:ext uri="{FF2B5EF4-FFF2-40B4-BE49-F238E27FC236}">
                            <a16:creationId xmlns:a16="http://schemas.microsoft.com/office/drawing/2014/main" id="{7E04B766-4479-407B-A29D-CA7B29E4D792}"/>
                          </a:ext>
                        </a:extLst>
                      </wp:docPr>
                      <wp:cNvGraphicFramePr/>
                      <a:graphic xmlns:a="http://schemas.openxmlformats.org/drawingml/2006/main">
                        <a:graphicData uri="http://schemas.microsoft.com/office/word/2010/wordprocessingShape">
                          <wps:wsp>
                            <wps:cNvSpPr/>
                            <wps:spPr>
                              <a:xfrm>
                                <a:off x="0" y="0"/>
                                <a:ext cx="190500" cy="190500"/>
                              </a:xfrm>
                              <a:prstGeom prst="mathMultiply">
                                <a:avLst/>
                              </a:prstGeom>
                              <a:solidFill>
                                <a:srgbClr val="FFFF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clip" horzOverflow="clip"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D25E8A7" id="Multiplication Sign 304" o:spid="_x0000_s1026" style="position:absolute;margin-left:209.25pt;margin-top:52.5pt;width:15pt;height:15.75pt;z-index:25165828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0500,1905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" path="m29912,61595l61595,29912,95250,63568,128905,29912r31683,31683l126932,95250r33656,33655l128905,160588,95250,126932,61595,160588,29912,128905,63568,95250,29912,61595xe" fillcolor="yellow" strokecolor="#030e13 [484]" strokeweight="1.5pt">
                      <v:stroke joinstyle="miter"/>
                      <v:path arrowok="t" o:connecttype="custom" o:connectlocs="29912,61595;61595,29912;95250,63568;128905,29912;160588,61595;126932,95250;160588,128905;128905,160588;95250,126932;61595,160588;29912,128905;63568,95250;29912,61595" o:connectangles="0,0,0,0,0,0,0,0,0,0,0,0,0"/>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84" behindDoc="0" locked="0" layoutInCell="1" allowOverlap="1" wp14:anchorId="3B7D2723" wp14:editId="4B532EE0">
                      <wp:simplePos x="0" y="0"/>
                      <wp:positionH relativeFrom="column">
                        <wp:posOffset>5114925</wp:posOffset>
                      </wp:positionH>
                      <wp:positionV relativeFrom="paragraph">
                        <wp:posOffset>47625</wp:posOffset>
                      </wp:positionV>
                      <wp:extent cx="38100" cy="714375"/>
                      <wp:effectExtent l="0" t="0" r="0" b="9525"/>
                      <wp:wrapNone/>
                      <wp:docPr id="343503954" name="Freeform: Shape 303">
                        <a:extLst xmlns:a="http://schemas.openxmlformats.org/drawingml/2006/main">
                          <a:ext uri="{FF2B5EF4-FFF2-40B4-BE49-F238E27FC236}">
                            <a16:creationId xmlns:a16="http://schemas.microsoft.com/office/drawing/2014/main" id="{7A91C62B-9338-4B8F-AEEA-84529CE9D410}"/>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38100" cy="685800"/>
                              </a:xfrm>
                              <a:custGeom>
                                <a:avLst/>
                                <a:gdLst>
                                  <a:gd name="connsiteX0" fmla="*/ 29442 w 58884"/>
                                  <a:gd name="connsiteY0" fmla="*/ 0 h 679790"/>
                                  <a:gd name="connsiteX1" fmla="*/ 58884 w 58884"/>
                                  <a:gd name="connsiteY1" fmla="*/ 29442 h 679790"/>
                                  <a:gd name="connsiteX2" fmla="*/ 50261 w 58884"/>
                                  <a:gd name="connsiteY2" fmla="*/ 50261 h 679790"/>
                                  <a:gd name="connsiteX3" fmla="*/ 34842 w 58884"/>
                                  <a:gd name="connsiteY3" fmla="*/ 56647 h 679790"/>
                                  <a:gd name="connsiteX4" fmla="*/ 34842 w 58884"/>
                                  <a:gd name="connsiteY4" fmla="*/ 679790 h 679790"/>
                                  <a:gd name="connsiteX5" fmla="*/ 24042 w 58884"/>
                                  <a:gd name="connsiteY5" fmla="*/ 679790 h 679790"/>
                                  <a:gd name="connsiteX6" fmla="*/ 24042 w 58884"/>
                                  <a:gd name="connsiteY6" fmla="*/ 56647 h 679790"/>
                                  <a:gd name="connsiteX7" fmla="*/ 8624 w 58884"/>
                                  <a:gd name="connsiteY7" fmla="*/ 50261 h 679790"/>
                                  <a:gd name="connsiteX8" fmla="*/ 0 w 58884"/>
                                  <a:gd name="connsiteY8" fmla="*/ 29442 h 679790"/>
                                  <a:gd name="connsiteX9" fmla="*/ 29442 w 58884"/>
                                  <a:gd name="connsiteY9" fmla="*/ 0 h 6797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chemeClr val="accent1"/>
                              </a:solidFill>
                            </wps:spPr>
                            <wps:bodyPr vertOverflow="clip" horzOverflow="clip" vert="horz" wrap="square" lIns="91440" tIns="45720" rIns="91440" bIns="45720" rtlCol="0" anchor="b">
                              <a:noAutofit/>
                            </wps:bodyPr>
                          </wps:wsp>
                        </a:graphicData>
                      </a:graphic>
                      <wp14:sizeRelH relativeFrom="page">
                        <wp14:pctWidth>0</wp14:pctWidth>
                      </wp14:sizeRelH>
                      <wp14:sizeRelV relativeFrom="page">
                        <wp14:pctHeight>0</wp14:pctHeight>
                      </wp14:sizeRelV>
                    </wp:anchor>
                  </w:drawing>
                </mc:Choice>
                <mc:Fallback>
                  <w:pict>
                    <v:shape w14:anchorId="2636203F" id="Freeform: Shape 303" o:spid="_x0000_s1026" style="position:absolute;margin-left:402.75pt;margin-top:3.75pt;width:3pt;height:56.25pt;z-index:2516582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" path="m29442,c45702,,58884,13182,58884,29442v,8130,-3295,15491,-8623,20819l34842,56647r,623143l24042,679790r,-623143l8624,50261c3296,44933,,37572,,29442,,13182,13182,,29442,xe" fillcolor="#156082 [3204]" stroked="f">
                      <v:path arrowok="t" o:connecttype="custom" o:connectlocs="19050,0;38100,29702;32521,50705;22544,57148;22544,685800;15556,685800;15556,57148;5580,50705;0,29702;19050,0" o:connectangles="0,0,0,0,0,0,0,0,0,0"/>
                      <o:lock v:ext="edit" grouping="t"/>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85" behindDoc="0" locked="0" layoutInCell="1" allowOverlap="1" wp14:anchorId="513A13F3" wp14:editId="3C1C438B">
                      <wp:simplePos x="0" y="0"/>
                      <wp:positionH relativeFrom="column">
                        <wp:posOffset>5172075</wp:posOffset>
                      </wp:positionH>
                      <wp:positionV relativeFrom="paragraph">
                        <wp:posOffset>381000</wp:posOffset>
                      </wp:positionV>
                      <wp:extent cx="552450" cy="400050"/>
                      <wp:effectExtent l="0" t="0" r="0" b="0"/>
                      <wp:wrapNone/>
                      <wp:docPr id="1866034434" name="Rectangle 30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52450" cy="4000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19970D" w14:textId="77777777" w:rsidR="00144866" w:rsidRDefault="00144866" w:rsidP="00144866">
                                  <w:r>
                                    <w:rPr>
                                      <w:rFonts w:ascii="Calibri" w:hAnsi="Calibri" w:cs="Calibri"/>
                                      <w:b/>
                                      <w:bCs/>
                                      <w:color w:val="404040"/>
                                      <w:sz w:val="21"/>
                                      <w:szCs w:val="21"/>
                                    </w:rPr>
                                    <w:t>2024</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3A13F3" id="Rectangle 302" o:spid="_x0000_s1060" style="position:absolute;margin-left:407.25pt;margin-top:30pt;width:43.5pt;height:31.5pt;z-index:25165828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" filled="f" stroked="f">
                      <o:lock v:ext="edit" grouping="t"/>
                      <v:textbox>
                        <w:txbxContent>
                          <w:p w14:paraId="5D19970D" w14:textId="77777777" w:rsidR="00144866" w:rsidRDefault="00144866" w:rsidP="00144866">
                            <w:r>
                              <w:rPr>
                                <w:rFonts w:ascii="Calibri" w:hAnsi="Calibri" w:cs="Calibri"/>
                                <w:b/>
                                <w:bCs/>
                                <w:color w:val="404040"/>
                                <w:sz w:val="21"/>
                                <w:szCs w:val="21"/>
                              </w:rPr>
                              <w:t>2024</w:t>
                            </w:r>
                            <w:r>
                              <w:t xml:space="preserve"> </w:t>
                            </w:r>
                          </w:p>
                        </w:txbxContent>
                      </v:textbox>
                    </v:rect>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86" behindDoc="0" locked="0" layoutInCell="1" allowOverlap="1" wp14:anchorId="2358056A" wp14:editId="02D465CA">
                      <wp:simplePos x="0" y="0"/>
                      <wp:positionH relativeFrom="column">
                        <wp:posOffset>6153150</wp:posOffset>
                      </wp:positionH>
                      <wp:positionV relativeFrom="paragraph">
                        <wp:posOffset>742950</wp:posOffset>
                      </wp:positionV>
                      <wp:extent cx="47625" cy="714375"/>
                      <wp:effectExtent l="0" t="0" r="9525" b="9525"/>
                      <wp:wrapNone/>
                      <wp:docPr id="426934783" name="Freeform: Shape 301">
                        <a:extLst xmlns:a="http://schemas.openxmlformats.org/drawingml/2006/main">
                          <a:ext uri="{FF2B5EF4-FFF2-40B4-BE49-F238E27FC236}">
                            <a16:creationId xmlns:a16="http://schemas.microsoft.com/office/drawing/2014/main" id="{2A01DA07-1665-9665-CCFD-B5CD3A8D7B9D}"/>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flipV="1">
                                <a:off x="0" y="0"/>
                                <a:ext cx="47625" cy="676275"/>
                              </a:xfrm>
                              <a:custGeom>
                                <a:avLst/>
                                <a:gdLst>
                                  <a:gd name="T0" fmla="*/ 22082 w 58884"/>
                                  <a:gd name="T1" fmla="*/ 0 h 679790"/>
                                  <a:gd name="T2" fmla="*/ 44163 w 58884"/>
                                  <a:gd name="T3" fmla="*/ 29442 h 679790"/>
                                  <a:gd name="T4" fmla="*/ 37696 w 58884"/>
                                  <a:gd name="T5" fmla="*/ 50261 h 679790"/>
                                  <a:gd name="T6" fmla="*/ 26132 w 58884"/>
                                  <a:gd name="T7" fmla="*/ 56647 h 679790"/>
                                  <a:gd name="T8" fmla="*/ 26132 w 58884"/>
                                  <a:gd name="T9" fmla="*/ 679790 h 679790"/>
                                  <a:gd name="T10" fmla="*/ 18032 w 58884"/>
                                  <a:gd name="T11" fmla="*/ 679790 h 679790"/>
                                  <a:gd name="T12" fmla="*/ 18032 w 58884"/>
                                  <a:gd name="T13" fmla="*/ 56647 h 679790"/>
                                  <a:gd name="T14" fmla="*/ 6468 w 58884"/>
                                  <a:gd name="T15" fmla="*/ 50261 h 679790"/>
                                  <a:gd name="T16" fmla="*/ 0 w 58884"/>
                                  <a:gd name="T17" fmla="*/ 29442 h 679790"/>
                                  <a:gd name="T18" fmla="*/ 22082 w 58884"/>
                                  <a:gd name="T19" fmla="*/ 0 h 679790"/>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rgbClr val="4472C4"/>
                              </a:solidFill>
                              <a:ln>
                                <a:noFill/>
                              </a:ln>
                              <a:extLst>
                                <a:ext uri="{91240B29-F687-4F45-9708-019B960494DF}">
                                  <a14:hiddenLine xmlns:a14="http://schemas.microsoft.com/office/drawing/2010/main" w="9525">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shape w14:anchorId="0A712E05" id="Freeform: Shape 301" o:spid="_x0000_s1026" style="position:absolute;margin-left:484.5pt;margin-top:58.5pt;width:3.75pt;height:56.25pt;flip:y;z-index:2516582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" path="m29442,c45702,,58884,13182,58884,29442v,8130,-3295,15491,-8623,20819l34842,56647r,623143l24042,679790r,-623143l8624,50261c3296,44933,,37572,,29442,,13182,13182,,29442,xe" fillcolor="#4472c4" stroked="f">
                      <v:path arrowok="t" o:connecttype="custom" o:connectlocs="17860,0;35719,29290;30488,50001;21135,56354;21135,676275;14584,676275;14584,56354;5231,50001;0,29290;17860,0" o:connectangles="0,0,0,0,0,0,0,0,0,0"/>
                      <o:lock v:ext="edit" grouping="t"/>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87" behindDoc="0" locked="0" layoutInCell="1" allowOverlap="1" wp14:anchorId="2951A54A" wp14:editId="3C3ED67C">
                      <wp:simplePos x="0" y="0"/>
                      <wp:positionH relativeFrom="column">
                        <wp:posOffset>1714500</wp:posOffset>
                      </wp:positionH>
                      <wp:positionV relativeFrom="paragraph">
                        <wp:posOffset>742950</wp:posOffset>
                      </wp:positionV>
                      <wp:extent cx="19050" cy="704850"/>
                      <wp:effectExtent l="0" t="0" r="19050" b="0"/>
                      <wp:wrapNone/>
                      <wp:docPr id="1737884027" name="Freeform: Shape 300">
                        <a:extLst xmlns:a="http://schemas.openxmlformats.org/drawingml/2006/main">
                          <a:ext uri="{FF2B5EF4-FFF2-40B4-BE49-F238E27FC236}">
                            <a16:creationId xmlns:a16="http://schemas.microsoft.com/office/drawing/2014/main" id="{B8B9FF0E-0F1C-8E6C-E880-DE97EE79B7D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flipV="1">
                                <a:off x="0" y="0"/>
                                <a:ext cx="20197" cy="666750"/>
                              </a:xfrm>
                              <a:custGeom>
                                <a:avLst/>
                                <a:gdLst>
                                  <a:gd name="T0" fmla="*/ 22082 w 58884"/>
                                  <a:gd name="T1" fmla="*/ 0 h 679790"/>
                                  <a:gd name="T2" fmla="*/ 44163 w 58884"/>
                                  <a:gd name="T3" fmla="*/ 29442 h 679790"/>
                                  <a:gd name="T4" fmla="*/ 37696 w 58884"/>
                                  <a:gd name="T5" fmla="*/ 50261 h 679790"/>
                                  <a:gd name="T6" fmla="*/ 26132 w 58884"/>
                                  <a:gd name="T7" fmla="*/ 56647 h 679790"/>
                                  <a:gd name="T8" fmla="*/ 26132 w 58884"/>
                                  <a:gd name="T9" fmla="*/ 679790 h 679790"/>
                                  <a:gd name="T10" fmla="*/ 18032 w 58884"/>
                                  <a:gd name="T11" fmla="*/ 679790 h 679790"/>
                                  <a:gd name="T12" fmla="*/ 18032 w 58884"/>
                                  <a:gd name="T13" fmla="*/ 56647 h 679790"/>
                                  <a:gd name="T14" fmla="*/ 6468 w 58884"/>
                                  <a:gd name="T15" fmla="*/ 50261 h 679790"/>
                                  <a:gd name="T16" fmla="*/ 0 w 58884"/>
                                  <a:gd name="T17" fmla="*/ 29442 h 679790"/>
                                  <a:gd name="T18" fmla="*/ 22082 w 58884"/>
                                  <a:gd name="T19" fmla="*/ 0 h 679790"/>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rgbClr val="4472C4"/>
                              </a:solidFill>
                              <a:ln>
                                <a:noFill/>
                              </a:ln>
                              <a:extLst>
                                <a:ext uri="{91240B29-F687-4F45-9708-019B960494DF}">
                                  <a14:hiddenLine xmlns:a14="http://schemas.microsoft.com/office/drawing/2010/main" w="9525">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shape w14:anchorId="43AEE151" id="Freeform: Shape 300" o:spid="_x0000_s1026" style="position:absolute;margin-left:135pt;margin-top:58.5pt;width:1.5pt;height:55.5pt;flip:y;z-index:25165828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" path="m29442,c45702,,58884,13182,58884,29442v,8130,-3295,15491,-8623,20819l34842,56647r,623143l24042,679790r,-623143l8624,50261c3296,44933,,37572,,29442,,13182,13182,,29442,xe" fillcolor="#4472c4" stroked="f">
                      <v:path arrowok="t" o:connecttype="custom" o:connectlocs="7574,0;15148,28877;12930,49297;8963,55560;8963,666750;6185,666750;6185,55560;2219,49297;0,28877;7574,0" o:connectangles="0,0,0,0,0,0,0,0,0,0"/>
                      <o:lock v:ext="edit" grouping="t"/>
                    </v:shape>
                  </w:pict>
                </mc:Fallback>
              </mc:AlternateContent>
            </w:r>
          </w:p>
          <w:tbl>
            <w:tblPr>
              <w:tblW w:w="0" w:type="auto"/>
              <w:tblCellSpacing w:w="0" w:type="dxa"/>
              <w:tblCellMar>
                <w:left w:w="0" w:type="dxa"/>
                <w:right w:w="0" w:type="dxa"/>
              </w:tblCellMar>
              <w:tblLook w:val="04A0" w:firstRow="1" w:lastRow="0" w:firstColumn="1" w:lastColumn="0" w:noHBand="0" w:noVBand="1"/>
            </w:tblPr>
            <w:tblGrid>
              <w:gridCol w:w="741"/>
            </w:tblGrid>
            <w:tr w:rsidR="00144866" w:rsidRPr="0053182F" w14:paraId="2BCFD23D" w14:textId="77777777" w:rsidTr="00D20468">
              <w:trPr>
                <w:trHeight w:val="281"/>
                <w:tblCellSpacing w:w="0" w:type="dxa"/>
              </w:trPr>
              <w:tc>
                <w:tcPr>
                  <w:tcW w:w="741" w:type="dxa"/>
                  <w:tcBorders>
                    <w:top w:val="nil"/>
                    <w:left w:val="nil"/>
                    <w:bottom w:val="nil"/>
                    <w:right w:val="nil"/>
                  </w:tcBorders>
                  <w:noWrap/>
                  <w:vAlign w:val="bottom"/>
                  <w:hideMark/>
                </w:tcPr>
                <w:p w14:paraId="2B5660E4" w14:textId="77777777" w:rsidR="00144866" w:rsidRPr="0053182F" w:rsidRDefault="00144866" w:rsidP="00BE4742">
                  <w:pPr>
                    <w:framePr w:hSpace="180" w:wrap="around" w:vAnchor="text" w:hAnchor="margin" w:y="-44"/>
                    <w:spacing w:after="0" w:line="480" w:lineRule="auto"/>
                    <w:rPr>
                      <w:rFonts w:eastAsia="Times New Roman"/>
                      <w:color w:val="auto"/>
                      <w:sz w:val="20"/>
                      <w:szCs w:val="20"/>
                      <w:lang w:eastAsia="en-GB"/>
                    </w:rPr>
                  </w:pPr>
                </w:p>
              </w:tc>
            </w:tr>
          </w:tbl>
          <w:p w14:paraId="5EC1259B" w14:textId="77777777" w:rsidR="00144866" w:rsidRPr="0053182F" w:rsidRDefault="00144866" w:rsidP="00D20468">
            <w:pPr>
              <w:spacing w:after="0" w:line="480" w:lineRule="auto"/>
              <w:rPr>
                <w:rFonts w:eastAsia="Times New Roman"/>
                <w:color w:val="auto"/>
                <w:sz w:val="20"/>
                <w:szCs w:val="20"/>
                <w:lang w:eastAsia="en-GB"/>
              </w:rPr>
            </w:pPr>
            <w:r w:rsidRPr="0053182F">
              <w:rPr>
                <w:rFonts w:eastAsia="Times New Roman"/>
                <w:noProof/>
                <w:color w:val="auto"/>
                <w:sz w:val="20"/>
                <w:szCs w:val="20"/>
                <w:lang w:eastAsia="en-GB"/>
              </w:rPr>
              <mc:AlternateContent>
                <mc:Choice Requires="wps">
                  <w:drawing>
                    <wp:anchor distT="0" distB="0" distL="114300" distR="114300" simplePos="0" relativeHeight="251658269" behindDoc="0" locked="0" layoutInCell="1" allowOverlap="1" wp14:anchorId="51B73248" wp14:editId="7C10C8D2">
                      <wp:simplePos x="0" y="0"/>
                      <wp:positionH relativeFrom="column">
                        <wp:posOffset>4822190</wp:posOffset>
                      </wp:positionH>
                      <wp:positionV relativeFrom="paragraph">
                        <wp:posOffset>448945</wp:posOffset>
                      </wp:positionV>
                      <wp:extent cx="575310" cy="438150"/>
                      <wp:effectExtent l="0" t="0" r="0" b="0"/>
                      <wp:wrapNone/>
                      <wp:docPr id="1010528466" name="Rectangle 318"/>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75310" cy="4381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C4AADC" w14:textId="77777777" w:rsidR="00144866" w:rsidRDefault="00144866" w:rsidP="00144866">
                                  <w:r>
                                    <w:rPr>
                                      <w:rFonts w:ascii="Calibri" w:hAnsi="Calibri" w:cs="Calibri"/>
                                      <w:b/>
                                      <w:bCs/>
                                      <w:color w:val="404040"/>
                                      <w:sz w:val="20"/>
                                      <w:szCs w:val="20"/>
                                    </w:rPr>
                                    <w:t>2024</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1B73248" id="Rectangle 318" o:spid="_x0000_s1061" style="position:absolute;margin-left:379.7pt;margin-top:35.35pt;width:45.3pt;height:34.5pt;z-index:25165826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" filled="f" stroked="f">
                      <o:lock v:ext="edit" grouping="t"/>
                      <v:textbox>
                        <w:txbxContent>
                          <w:p w14:paraId="39C4AADC" w14:textId="77777777" w:rsidR="00144866" w:rsidRDefault="00144866" w:rsidP="00144866">
                            <w:r>
                              <w:rPr>
                                <w:rFonts w:ascii="Calibri" w:hAnsi="Calibri" w:cs="Calibri"/>
                                <w:b/>
                                <w:bCs/>
                                <w:color w:val="404040"/>
                                <w:sz w:val="20"/>
                                <w:szCs w:val="20"/>
                              </w:rPr>
                              <w:t>2024</w:t>
                            </w:r>
                            <w:r>
                              <w:t xml:space="preserve"> </w:t>
                            </w:r>
                          </w:p>
                        </w:txbxContent>
                      </v:textbox>
                    </v:rect>
                  </w:pict>
                </mc:Fallback>
              </mc:AlternateContent>
            </w:r>
          </w:p>
        </w:tc>
        <w:tc>
          <w:tcPr>
            <w:tcW w:w="1284" w:type="dxa"/>
            <w:tcBorders>
              <w:top w:val="nil"/>
              <w:left w:val="nil"/>
              <w:bottom w:val="nil"/>
              <w:right w:val="nil"/>
            </w:tcBorders>
            <w:noWrap/>
            <w:vAlign w:val="bottom"/>
            <w:hideMark/>
          </w:tcPr>
          <w:p w14:paraId="32CC9509" w14:textId="77777777" w:rsidR="00144866" w:rsidRPr="0053182F" w:rsidRDefault="00144866" w:rsidP="00D20468">
            <w:pPr>
              <w:spacing w:after="0" w:line="480" w:lineRule="auto"/>
              <w:rPr>
                <w:rFonts w:eastAsia="Times New Roman"/>
                <w:color w:val="auto"/>
                <w:sz w:val="20"/>
                <w:szCs w:val="20"/>
                <w:lang w:eastAsia="en-GB"/>
              </w:rPr>
            </w:pPr>
            <w:r w:rsidRPr="0053182F">
              <w:rPr>
                <w:rFonts w:eastAsia="Times New Roman"/>
                <w:noProof/>
                <w:color w:val="auto"/>
                <w:sz w:val="20"/>
                <w:szCs w:val="20"/>
                <w:lang w:eastAsia="en-GB"/>
              </w:rPr>
              <mc:AlternateContent>
                <mc:Choice Requires="wps">
                  <w:drawing>
                    <wp:anchor distT="0" distB="0" distL="114300" distR="114300" simplePos="0" relativeHeight="251658288" behindDoc="0" locked="0" layoutInCell="1" allowOverlap="1" wp14:anchorId="2AF52A3C" wp14:editId="1A6202B6">
                      <wp:simplePos x="0" y="0"/>
                      <wp:positionH relativeFrom="column">
                        <wp:posOffset>106680</wp:posOffset>
                      </wp:positionH>
                      <wp:positionV relativeFrom="paragraph">
                        <wp:posOffset>-4445</wp:posOffset>
                      </wp:positionV>
                      <wp:extent cx="28575" cy="714375"/>
                      <wp:effectExtent l="0" t="0" r="9525" b="9525"/>
                      <wp:wrapNone/>
                      <wp:docPr id="17052010" name="Freeform: Shape 299">
                        <a:extLst xmlns:a="http://schemas.openxmlformats.org/drawingml/2006/main">
                          <a:ext uri="{FF2B5EF4-FFF2-40B4-BE49-F238E27FC236}">
                            <a16:creationId xmlns:a16="http://schemas.microsoft.com/office/drawing/2014/main" id="{12009663-7C46-A054-5C42-246D0A14615B}"/>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a:off x="0" y="0"/>
                                <a:ext cx="28575" cy="714375"/>
                              </a:xfrm>
                              <a:custGeom>
                                <a:avLst/>
                                <a:gdLst>
                                  <a:gd name="T0" fmla="*/ 22082 w 58884"/>
                                  <a:gd name="T1" fmla="*/ 0 h 679790"/>
                                  <a:gd name="T2" fmla="*/ 44163 w 58884"/>
                                  <a:gd name="T3" fmla="*/ 29442 h 679790"/>
                                  <a:gd name="T4" fmla="*/ 37696 w 58884"/>
                                  <a:gd name="T5" fmla="*/ 50261 h 679790"/>
                                  <a:gd name="T6" fmla="*/ 26132 w 58884"/>
                                  <a:gd name="T7" fmla="*/ 56647 h 679790"/>
                                  <a:gd name="T8" fmla="*/ 26132 w 58884"/>
                                  <a:gd name="T9" fmla="*/ 679790 h 679790"/>
                                  <a:gd name="T10" fmla="*/ 18032 w 58884"/>
                                  <a:gd name="T11" fmla="*/ 679790 h 679790"/>
                                  <a:gd name="T12" fmla="*/ 18032 w 58884"/>
                                  <a:gd name="T13" fmla="*/ 56647 h 679790"/>
                                  <a:gd name="T14" fmla="*/ 6468 w 58884"/>
                                  <a:gd name="T15" fmla="*/ 50261 h 679790"/>
                                  <a:gd name="T16" fmla="*/ 0 w 58884"/>
                                  <a:gd name="T17" fmla="*/ 29442 h 679790"/>
                                  <a:gd name="T18" fmla="*/ 22082 w 58884"/>
                                  <a:gd name="T19" fmla="*/ 0 h 679790"/>
                                  <a:gd name="T20" fmla="*/ 0 60000 65536"/>
                                  <a:gd name="T21" fmla="*/ 0 60000 65536"/>
                                  <a:gd name="T22" fmla="*/ 0 60000 65536"/>
                                  <a:gd name="T23" fmla="*/ 0 60000 65536"/>
                                  <a:gd name="T24" fmla="*/ 0 60000 65536"/>
                                  <a:gd name="T25" fmla="*/ 0 60000 65536"/>
                                  <a:gd name="T26" fmla="*/ 0 60000 65536"/>
                                  <a:gd name="T27" fmla="*/ 0 60000 65536"/>
                                  <a:gd name="T28" fmla="*/ 0 60000 65536"/>
                                  <a:gd name="T29" fmla="*/ 0 60000 65536"/>
                                </a:gdLst>
                                <a:ahLst/>
                                <a:cxnLst>
                                  <a:cxn ang="T20">
                                    <a:pos x="T0" y="T1"/>
                                  </a:cxn>
                                  <a:cxn ang="T21">
                                    <a:pos x="T2" y="T3"/>
                                  </a:cxn>
                                  <a:cxn ang="T22">
                                    <a:pos x="T4" y="T5"/>
                                  </a:cxn>
                                  <a:cxn ang="T23">
                                    <a:pos x="T6" y="T7"/>
                                  </a:cxn>
                                  <a:cxn ang="T24">
                                    <a:pos x="T8" y="T9"/>
                                  </a:cxn>
                                  <a:cxn ang="T25">
                                    <a:pos x="T10" y="T11"/>
                                  </a:cxn>
                                  <a:cxn ang="T26">
                                    <a:pos x="T12" y="T13"/>
                                  </a:cxn>
                                  <a:cxn ang="T27">
                                    <a:pos x="T14" y="T15"/>
                                  </a:cxn>
                                  <a:cxn ang="T28">
                                    <a:pos x="T16" y="T17"/>
                                  </a:cxn>
                                  <a:cxn ang="T29">
                                    <a:pos x="T18" y="T19"/>
                                  </a:cxn>
                                </a:cxnLst>
                                <a:rect l="0" t="0" r="r" b="b"/>
                                <a:pathLst>
                                  <a:path w="58884" h="679790">
                                    <a:moveTo>
                                      <a:pt x="29442" y="0"/>
                                    </a:moveTo>
                                    <a:cubicBezTo>
                                      <a:pt x="45702" y="0"/>
                                      <a:pt x="58884" y="13182"/>
                                      <a:pt x="58884" y="29442"/>
                                    </a:cubicBezTo>
                                    <a:cubicBezTo>
                                      <a:pt x="58884" y="37572"/>
                                      <a:pt x="55589" y="44933"/>
                                      <a:pt x="50261" y="50261"/>
                                    </a:cubicBezTo>
                                    <a:lnTo>
                                      <a:pt x="34842" y="56647"/>
                                    </a:lnTo>
                                    <a:lnTo>
                                      <a:pt x="34842" y="679790"/>
                                    </a:lnTo>
                                    <a:lnTo>
                                      <a:pt x="24042" y="679790"/>
                                    </a:lnTo>
                                    <a:lnTo>
                                      <a:pt x="24042" y="56647"/>
                                    </a:lnTo>
                                    <a:lnTo>
                                      <a:pt x="8624" y="50261"/>
                                    </a:lnTo>
                                    <a:cubicBezTo>
                                      <a:pt x="3296" y="44933"/>
                                      <a:pt x="0" y="37572"/>
                                      <a:pt x="0" y="29442"/>
                                    </a:cubicBezTo>
                                    <a:cubicBezTo>
                                      <a:pt x="0" y="13182"/>
                                      <a:pt x="13182" y="0"/>
                                      <a:pt x="29442" y="0"/>
                                    </a:cubicBezTo>
                                    <a:close/>
                                  </a:path>
                                </a:pathLst>
                              </a:custGeom>
                              <a:solidFill>
                                <a:srgbClr val="4472C4"/>
                              </a:solidFill>
                              <a:ln>
                                <a:noFill/>
                              </a:ln>
                              <a:extLst>
                                <a:ext uri="{91240B29-F687-4F45-9708-019B960494DF}">
                                  <a14:hiddenLine xmlns:a14="http://schemas.microsoft.com/office/drawing/2010/main" w="9525">
                                    <a:solidFill>
                                      <a:srgbClr val="000000"/>
                                    </a:solidFill>
                                    <a:round/>
                                    <a:headEnd/>
                                    <a:tailEnd/>
                                  </a14:hiddenLine>
                                </a:ext>
                              </a:extLst>
                            </wps:spPr>
                            <wps:bodyPr/>
                          </wps:wsp>
                        </a:graphicData>
                      </a:graphic>
                      <wp14:sizeRelH relativeFrom="page">
                        <wp14:pctWidth>0</wp14:pctWidth>
                      </wp14:sizeRelH>
                      <wp14:sizeRelV relativeFrom="page">
                        <wp14:pctHeight>0</wp14:pctHeight>
                      </wp14:sizeRelV>
                    </wp:anchor>
                  </w:drawing>
                </mc:Choice>
                <mc:Fallback>
                  <w:pict>
                    <v:shape w14:anchorId="648FFEB7" id="Freeform: Shape 299" o:spid="_x0000_s1026" style="position:absolute;margin-left:8.4pt;margin-top:-.35pt;width:2.25pt;height:56.25pt;z-index:25165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58884,6797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" path="m29442,c45702,,58884,13182,58884,29442v,8130,-3295,15491,-8623,20819l34842,56647r,623143l24042,679790r,-623143l8624,50261c3296,44933,,37572,,29442,,13182,13182,,29442,xe" fillcolor="#4472c4" stroked="f">
                      <v:path arrowok="t" o:connecttype="custom" o:connectlocs="10716,0;21431,30940;18293,52818;12681,59529;12681,714375;8750,714375;8750,59529;3139,52818;0,30940;10716,0" o:connectangles="0,0,0,0,0,0,0,0,0,0"/>
                      <o:lock v:ext="edit" grouping="t"/>
                    </v:shape>
                  </w:pict>
                </mc:Fallback>
              </mc:AlternateContent>
            </w:r>
          </w:p>
        </w:tc>
        <w:tc>
          <w:tcPr>
            <w:tcW w:w="729" w:type="dxa"/>
            <w:tcBorders>
              <w:top w:val="nil"/>
              <w:left w:val="nil"/>
              <w:bottom w:val="nil"/>
              <w:right w:val="nil"/>
            </w:tcBorders>
            <w:noWrap/>
            <w:vAlign w:val="bottom"/>
            <w:hideMark/>
          </w:tcPr>
          <w:p w14:paraId="6D7E390F" w14:textId="77777777" w:rsidR="00144866" w:rsidRPr="0053182F" w:rsidRDefault="00144866" w:rsidP="00D20468">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1E5FD688" w14:textId="77777777" w:rsidR="00144866" w:rsidRPr="0053182F" w:rsidRDefault="00144866" w:rsidP="00D20468">
            <w:pPr>
              <w:spacing w:after="0" w:line="480" w:lineRule="auto"/>
              <w:ind w:left="-220"/>
              <w:jc w:val="center"/>
              <w:rPr>
                <w:rFonts w:eastAsia="Times New Roman"/>
                <w:color w:val="auto"/>
                <w:sz w:val="20"/>
                <w:szCs w:val="20"/>
                <w:lang w:eastAsia="en-GB"/>
              </w:rPr>
            </w:pPr>
          </w:p>
        </w:tc>
        <w:tc>
          <w:tcPr>
            <w:tcW w:w="533" w:type="dxa"/>
            <w:tcBorders>
              <w:top w:val="nil"/>
              <w:left w:val="nil"/>
              <w:bottom w:val="nil"/>
              <w:right w:val="nil"/>
            </w:tcBorders>
            <w:noWrap/>
            <w:vAlign w:val="bottom"/>
            <w:hideMark/>
          </w:tcPr>
          <w:p w14:paraId="5DB5F067" w14:textId="77777777" w:rsidR="00144866" w:rsidRPr="0053182F" w:rsidRDefault="00144866" w:rsidP="00D20468">
            <w:pPr>
              <w:spacing w:after="0" w:line="480" w:lineRule="auto"/>
              <w:rPr>
                <w:rFonts w:eastAsia="Times New Roman"/>
                <w:color w:val="auto"/>
                <w:sz w:val="20"/>
                <w:szCs w:val="20"/>
                <w:lang w:eastAsia="en-GB"/>
              </w:rPr>
            </w:pPr>
          </w:p>
        </w:tc>
        <w:tc>
          <w:tcPr>
            <w:tcW w:w="1146" w:type="dxa"/>
            <w:gridSpan w:val="4"/>
            <w:tcBorders>
              <w:top w:val="nil"/>
              <w:left w:val="nil"/>
              <w:bottom w:val="nil"/>
              <w:right w:val="nil"/>
            </w:tcBorders>
            <w:noWrap/>
            <w:vAlign w:val="bottom"/>
            <w:hideMark/>
          </w:tcPr>
          <w:p w14:paraId="27D486D2" w14:textId="77777777" w:rsidR="00144866" w:rsidRPr="0053182F" w:rsidRDefault="00144866" w:rsidP="00D20468">
            <w:pPr>
              <w:spacing w:after="0" w:line="480" w:lineRule="auto"/>
              <w:jc w:val="center"/>
              <w:rPr>
                <w:rFonts w:eastAsia="Times New Roman"/>
                <w:color w:val="auto"/>
                <w:sz w:val="20"/>
                <w:szCs w:val="20"/>
                <w:lang w:eastAsia="en-GB"/>
              </w:rPr>
            </w:pPr>
          </w:p>
        </w:tc>
        <w:tc>
          <w:tcPr>
            <w:tcW w:w="1467" w:type="dxa"/>
            <w:gridSpan w:val="6"/>
            <w:tcBorders>
              <w:top w:val="nil"/>
              <w:left w:val="nil"/>
              <w:bottom w:val="nil"/>
              <w:right w:val="nil"/>
            </w:tcBorders>
            <w:noWrap/>
            <w:vAlign w:val="bottom"/>
            <w:hideMark/>
          </w:tcPr>
          <w:p w14:paraId="1F44F33E" w14:textId="77777777" w:rsidR="00144866" w:rsidRPr="0053182F" w:rsidRDefault="00144866" w:rsidP="00D20468">
            <w:pPr>
              <w:spacing w:after="0" w:line="480" w:lineRule="auto"/>
              <w:rPr>
                <w:rFonts w:eastAsia="Times New Roman"/>
                <w:color w:val="auto"/>
                <w:sz w:val="20"/>
                <w:szCs w:val="20"/>
                <w:lang w:eastAsia="en-GB"/>
              </w:rPr>
            </w:pPr>
          </w:p>
        </w:tc>
        <w:tc>
          <w:tcPr>
            <w:tcW w:w="1226" w:type="dxa"/>
            <w:gridSpan w:val="6"/>
            <w:tcBorders>
              <w:top w:val="nil"/>
              <w:left w:val="nil"/>
              <w:bottom w:val="nil"/>
              <w:right w:val="nil"/>
            </w:tcBorders>
            <w:noWrap/>
            <w:vAlign w:val="bottom"/>
            <w:hideMark/>
          </w:tcPr>
          <w:p w14:paraId="333459E8" w14:textId="77777777" w:rsidR="00144866" w:rsidRPr="0053182F" w:rsidRDefault="00144866" w:rsidP="00D20468">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7A69DE96" w14:textId="77777777" w:rsidR="00144866" w:rsidRPr="0053182F" w:rsidRDefault="00144866" w:rsidP="00D20468">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4A8D215E" w14:textId="77777777" w:rsidR="00144866" w:rsidRPr="0053182F" w:rsidRDefault="00144866" w:rsidP="00D20468">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2345FD2D" w14:textId="77777777" w:rsidR="00144866" w:rsidRPr="0053182F" w:rsidRDefault="00144866" w:rsidP="00D20468">
            <w:pPr>
              <w:spacing w:after="0" w:line="480" w:lineRule="auto"/>
              <w:rPr>
                <w:rFonts w:eastAsia="Times New Roman"/>
                <w:color w:val="auto"/>
                <w:sz w:val="20"/>
                <w:szCs w:val="20"/>
                <w:lang w:eastAsia="en-GB"/>
              </w:rPr>
            </w:pPr>
          </w:p>
        </w:tc>
        <w:tc>
          <w:tcPr>
            <w:tcW w:w="742" w:type="dxa"/>
            <w:gridSpan w:val="4"/>
            <w:tcBorders>
              <w:top w:val="nil"/>
              <w:left w:val="nil"/>
              <w:bottom w:val="nil"/>
              <w:right w:val="nil"/>
            </w:tcBorders>
            <w:noWrap/>
            <w:vAlign w:val="bottom"/>
            <w:hideMark/>
          </w:tcPr>
          <w:p w14:paraId="4F0E5BA6" w14:textId="77777777" w:rsidR="00144866" w:rsidRPr="0053182F" w:rsidRDefault="00144866" w:rsidP="00D20468">
            <w:pPr>
              <w:spacing w:after="0" w:line="480" w:lineRule="auto"/>
              <w:rPr>
                <w:rFonts w:eastAsia="Times New Roman"/>
                <w:color w:val="auto"/>
                <w:sz w:val="20"/>
                <w:szCs w:val="20"/>
                <w:lang w:eastAsia="en-GB"/>
              </w:rPr>
            </w:pPr>
          </w:p>
        </w:tc>
      </w:tr>
      <w:tr w:rsidR="00144866" w:rsidRPr="0053182F" w14:paraId="6A562C35" w14:textId="77777777" w:rsidTr="00D20468">
        <w:trPr>
          <w:trHeight w:val="281"/>
        </w:trPr>
        <w:tc>
          <w:tcPr>
            <w:tcW w:w="1268" w:type="dxa"/>
            <w:tcBorders>
              <w:top w:val="nil"/>
              <w:left w:val="nil"/>
              <w:bottom w:val="nil"/>
              <w:right w:val="nil"/>
            </w:tcBorders>
            <w:noWrap/>
            <w:vAlign w:val="bottom"/>
            <w:hideMark/>
          </w:tcPr>
          <w:p w14:paraId="209B3057" w14:textId="77777777" w:rsidR="00144866" w:rsidRPr="0053182F" w:rsidRDefault="00144866" w:rsidP="00D20468">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7C9A4BF3" w14:textId="77777777" w:rsidR="00144866" w:rsidRPr="0053182F" w:rsidRDefault="00144866" w:rsidP="00D20468">
            <w:pPr>
              <w:spacing w:after="0" w:line="480" w:lineRule="auto"/>
              <w:rPr>
                <w:rFonts w:eastAsia="Times New Roman"/>
                <w:color w:val="auto"/>
                <w:sz w:val="20"/>
                <w:szCs w:val="20"/>
                <w:lang w:eastAsia="en-GB"/>
              </w:rPr>
            </w:pPr>
            <w:r w:rsidRPr="0053182F">
              <w:rPr>
                <w:rFonts w:eastAsia="Times New Roman"/>
                <w:noProof/>
                <w:color w:val="auto"/>
                <w:sz w:val="20"/>
                <w:szCs w:val="20"/>
                <w:lang w:eastAsia="en-GB"/>
              </w:rPr>
              <mc:AlternateContent>
                <mc:Choice Requires="wps">
                  <w:drawing>
                    <wp:anchor distT="0" distB="0" distL="114300" distR="114300" simplePos="0" relativeHeight="251658290" behindDoc="0" locked="0" layoutInCell="1" allowOverlap="1" wp14:anchorId="3D0EBB76" wp14:editId="793A724F">
                      <wp:simplePos x="0" y="0"/>
                      <wp:positionH relativeFrom="column">
                        <wp:posOffset>56515</wp:posOffset>
                      </wp:positionH>
                      <wp:positionV relativeFrom="paragraph">
                        <wp:posOffset>144780</wp:posOffset>
                      </wp:positionV>
                      <wp:extent cx="114300" cy="161925"/>
                      <wp:effectExtent l="0" t="0" r="19050" b="9525"/>
                      <wp:wrapNone/>
                      <wp:docPr id="323100713" name="Freeform: Shape 297">
                        <a:extLst xmlns:a="http://schemas.openxmlformats.org/drawingml/2006/main">
                          <a:ext uri="{FF2B5EF4-FFF2-40B4-BE49-F238E27FC236}">
                            <a16:creationId xmlns:a16="http://schemas.microsoft.com/office/drawing/2014/main" id="{FE28250D-E8DF-D5F5-2883-9DECFC43E9FE}"/>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4300" cy="161925"/>
                              </a:xfrm>
                              <a:custGeom>
                                <a:avLst/>
                                <a:gdLst>
                                  <a:gd name="T0" fmla="*/ 37390 w 238125"/>
                                  <a:gd name="T1" fmla="*/ 76993 h 238125"/>
                                  <a:gd name="T2" fmla="*/ 76993 w 238125"/>
                                  <a:gd name="T3" fmla="*/ 37390 h 238125"/>
                                  <a:gd name="T4" fmla="*/ 119063 w 238125"/>
                                  <a:gd name="T5" fmla="*/ 79460 h 238125"/>
                                  <a:gd name="T6" fmla="*/ 161132 w 238125"/>
                                  <a:gd name="T7" fmla="*/ 37390 h 238125"/>
                                  <a:gd name="T8" fmla="*/ 200735 w 238125"/>
                                  <a:gd name="T9" fmla="*/ 76993 h 238125"/>
                                  <a:gd name="T10" fmla="*/ 158665 w 238125"/>
                                  <a:gd name="T11" fmla="*/ 119063 h 238125"/>
                                  <a:gd name="T12" fmla="*/ 200735 w 238125"/>
                                  <a:gd name="T13" fmla="*/ 161132 h 238125"/>
                                  <a:gd name="T14" fmla="*/ 161132 w 238125"/>
                                  <a:gd name="T15" fmla="*/ 200735 h 238125"/>
                                  <a:gd name="T16" fmla="*/ 119063 w 238125"/>
                                  <a:gd name="T17" fmla="*/ 158665 h 238125"/>
                                  <a:gd name="T18" fmla="*/ 76993 w 238125"/>
                                  <a:gd name="T19" fmla="*/ 200735 h 238125"/>
                                  <a:gd name="T20" fmla="*/ 37390 w 238125"/>
                                  <a:gd name="T21" fmla="*/ 161132 h 238125"/>
                                  <a:gd name="T22" fmla="*/ 79460 w 238125"/>
                                  <a:gd name="T23" fmla="*/ 119063 h 238125"/>
                                  <a:gd name="T24" fmla="*/ 37390 w 238125"/>
                                  <a:gd name="T25" fmla="*/ 76993 h 238125"/>
                                  <a:gd name="T26" fmla="*/ 0 60000 65536"/>
                                  <a:gd name="T27" fmla="*/ 0 60000 65536"/>
                                  <a:gd name="T28" fmla="*/ 0 60000 65536"/>
                                  <a:gd name="T29" fmla="*/ 0 60000 65536"/>
                                  <a:gd name="T30" fmla="*/ 0 60000 65536"/>
                                  <a:gd name="T31" fmla="*/ 0 60000 65536"/>
                                  <a:gd name="T32" fmla="*/ 0 60000 65536"/>
                                  <a:gd name="T33" fmla="*/ 0 60000 65536"/>
                                  <a:gd name="T34" fmla="*/ 0 60000 65536"/>
                                  <a:gd name="T35" fmla="*/ 0 60000 65536"/>
                                  <a:gd name="T36" fmla="*/ 0 60000 65536"/>
                                  <a:gd name="T37" fmla="*/ 0 60000 65536"/>
                                  <a:gd name="T38" fmla="*/ 0 60000 65536"/>
                                </a:gdLst>
                                <a:ahLst/>
                                <a:cxnLst>
                                  <a:cxn ang="T26">
                                    <a:pos x="T0" y="T1"/>
                                  </a:cxn>
                                  <a:cxn ang="T27">
                                    <a:pos x="T2" y="T3"/>
                                  </a:cxn>
                                  <a:cxn ang="T28">
                                    <a:pos x="T4" y="T5"/>
                                  </a:cxn>
                                  <a:cxn ang="T29">
                                    <a:pos x="T6" y="T7"/>
                                  </a:cxn>
                                  <a:cxn ang="T30">
                                    <a:pos x="T8" y="T9"/>
                                  </a:cxn>
                                  <a:cxn ang="T31">
                                    <a:pos x="T10" y="T11"/>
                                  </a:cxn>
                                  <a:cxn ang="T32">
                                    <a:pos x="T12" y="T13"/>
                                  </a:cxn>
                                  <a:cxn ang="T33">
                                    <a:pos x="T14" y="T15"/>
                                  </a:cxn>
                                  <a:cxn ang="T34">
                                    <a:pos x="T16" y="T17"/>
                                  </a:cxn>
                                  <a:cxn ang="T35">
                                    <a:pos x="T18" y="T19"/>
                                  </a:cxn>
                                  <a:cxn ang="T36">
                                    <a:pos x="T20" y="T21"/>
                                  </a:cxn>
                                  <a:cxn ang="T37">
                                    <a:pos x="T22" y="T23"/>
                                  </a:cxn>
                                  <a:cxn ang="T38">
                                    <a:pos x="T24" y="T25"/>
                                  </a:cxn>
                                </a:cxnLst>
                                <a:rect l="0" t="0" r="r" b="b"/>
                                <a:pathLst>
                                  <a:path w="238125" h="238125">
                                    <a:moveTo>
                                      <a:pt x="37390" y="76993"/>
                                    </a:moveTo>
                                    <a:lnTo>
                                      <a:pt x="76993" y="37390"/>
                                    </a:lnTo>
                                    <a:lnTo>
                                      <a:pt x="119063" y="79460"/>
                                    </a:lnTo>
                                    <a:lnTo>
                                      <a:pt x="161132" y="37390"/>
                                    </a:lnTo>
                                    <a:lnTo>
                                      <a:pt x="200735" y="76993"/>
                                    </a:lnTo>
                                    <a:lnTo>
                                      <a:pt x="158665" y="119063"/>
                                    </a:lnTo>
                                    <a:lnTo>
                                      <a:pt x="200735" y="161132"/>
                                    </a:lnTo>
                                    <a:lnTo>
                                      <a:pt x="161132" y="200735"/>
                                    </a:lnTo>
                                    <a:lnTo>
                                      <a:pt x="119063" y="158665"/>
                                    </a:lnTo>
                                    <a:lnTo>
                                      <a:pt x="76993" y="200735"/>
                                    </a:lnTo>
                                    <a:lnTo>
                                      <a:pt x="37390" y="161132"/>
                                    </a:lnTo>
                                    <a:lnTo>
                                      <a:pt x="79460" y="119063"/>
                                    </a:lnTo>
                                    <a:lnTo>
                                      <a:pt x="37390" y="76993"/>
                                    </a:lnTo>
                                    <a:close/>
                                  </a:path>
                                </a:pathLst>
                              </a:custGeom>
                              <a:solidFill>
                                <a:srgbClr val="FFFF00"/>
                              </a:solidFill>
                              <a:ln w="12700">
                                <a:solidFill>
                                  <a:srgbClr val="09101D"/>
                                </a:solidFill>
                                <a:miter lim="800000"/>
                                <a:headEnd/>
                                <a:tailEnd/>
                              </a:ln>
                            </wps:spPr>
                            <wps:bodyPr/>
                          </wps:wsp>
                        </a:graphicData>
                      </a:graphic>
                      <wp14:sizeRelH relativeFrom="page">
                        <wp14:pctWidth>0</wp14:pctWidth>
                      </wp14:sizeRelH>
                      <wp14:sizeRelV relativeFrom="page">
                        <wp14:pctHeight>0</wp14:pctHeight>
                      </wp14:sizeRelV>
                    </wp:anchor>
                  </w:drawing>
                </mc:Choice>
                <mc:Fallback>
                  <w:pict>
                    <v:shape w14:anchorId="27979A94" id="Freeform: Shape 297" o:spid="_x0000_s1026" style="position:absolute;margin-left:4.45pt;margin-top:11.4pt;width:9pt;height:12.75pt;z-index:251658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38125,2381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" path="m37390,76993l76993,37390r42070,42070l161132,37390r39603,39603l158665,119063r42070,42069l161132,200735,119063,158665,76993,200735,37390,161132,79460,119063,37390,76993xe" fillcolor="yellow" strokecolor="#09101d" strokeweight="1pt">
                      <v:stroke joinstyle="miter"/>
                      <v:path arrowok="t" o:connecttype="custom" o:connectlocs="17947,52355;36957,25425;57150,54033;77343,25425;96353,52355;76159,80963;96353,109570;77343,136500;57150,107892;36957,136500;17947,109570;38141,80963;17947,52355" o:connectangles="0,0,0,0,0,0,0,0,0,0,0,0,0"/>
                    </v:shape>
                  </w:pict>
                </mc:Fallback>
              </mc:AlternateContent>
            </w:r>
            <w:r w:rsidRPr="0053182F">
              <w:rPr>
                <w:rFonts w:eastAsia="Times New Roman"/>
                <w:noProof/>
                <w:color w:val="auto"/>
                <w:sz w:val="20"/>
                <w:szCs w:val="20"/>
                <w:lang w:eastAsia="en-GB"/>
              </w:rPr>
              <mc:AlternateContent>
                <mc:Choice Requires="wps">
                  <w:drawing>
                    <wp:anchor distT="0" distB="0" distL="114300" distR="114300" simplePos="0" relativeHeight="251658289" behindDoc="0" locked="0" layoutInCell="1" allowOverlap="1" wp14:anchorId="524035BD" wp14:editId="045A6303">
                      <wp:simplePos x="0" y="0"/>
                      <wp:positionH relativeFrom="column">
                        <wp:posOffset>138430</wp:posOffset>
                      </wp:positionH>
                      <wp:positionV relativeFrom="paragraph">
                        <wp:posOffset>6985</wp:posOffset>
                      </wp:positionV>
                      <wp:extent cx="542925" cy="390525"/>
                      <wp:effectExtent l="0" t="0" r="0" b="9525"/>
                      <wp:wrapNone/>
                      <wp:docPr id="1877871413" name="Rectangle 298">
                        <a:extLst xmlns:a="http://schemas.openxmlformats.org/drawingml/2006/main">
                          <a:ext uri="{FF2B5EF4-FFF2-40B4-BE49-F238E27FC236}">
                            <a16:creationId xmlns:a16="http://schemas.microsoft.com/office/drawing/2014/main" id="{57876285-266D-1E8E-3A4A-739DACBF846E}"/>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542925" cy="3905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DB8B4B" w14:textId="77777777" w:rsidR="00144866" w:rsidRDefault="00144866" w:rsidP="00144866">
                                  <w:pPr>
                                    <w:textAlignment w:val="baseline"/>
                                    <w:rPr>
                                      <w:rFonts w:ascii="Calibri" w:eastAsia="Calibri" w:hAnsi="Calibri" w:cs="Calibri"/>
                                      <w:b/>
                                      <w:color w:val="404040"/>
                                      <w:sz w:val="20"/>
                                      <w:szCs w:val="20"/>
                                    </w:rPr>
                                  </w:pPr>
                                  <w:r>
                                    <w:rPr>
                                      <w:rFonts w:ascii="Calibri" w:eastAsia="Calibri" w:hAnsi="Calibri" w:cs="Calibri"/>
                                      <w:b/>
                                      <w:color w:val="404040"/>
                                      <w:sz w:val="20"/>
                                      <w:szCs w:val="20"/>
                                    </w:rPr>
                                    <w:t>2010</w:t>
                                  </w:r>
                                </w:p>
                              </w:txbxContent>
                            </wps:txbx>
                            <wps:bodyPr vertOverflow="clip" wrap="square" lIns="91440" tIns="45720" rIns="91440" bIns="45720" anchor="t" upright="1"/>
                          </wps:wsp>
                        </a:graphicData>
                      </a:graphic>
                      <wp14:sizeRelH relativeFrom="page">
                        <wp14:pctWidth>0</wp14:pctWidth>
                      </wp14:sizeRelH>
                      <wp14:sizeRelV relativeFrom="page">
                        <wp14:pctHeight>0</wp14:pctHeight>
                      </wp14:sizeRelV>
                    </wp:anchor>
                  </w:drawing>
                </mc:Choice>
                <mc:Fallback>
                  <w:pict>
                    <v:rect w14:anchorId="524035BD" id="Rectangle 298" o:spid="_x0000_s1062" style="position:absolute;margin-left:10.9pt;margin-top:.55pt;width:42.75pt;height:30.75pt;z-index:2516582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" filled="f" stroked="f">
                      <o:lock v:ext="edit" grouping="t"/>
                      <v:textbox>
                        <w:txbxContent>
                          <w:p w14:paraId="48DB8B4B" w14:textId="77777777" w:rsidR="00144866" w:rsidRDefault="00144866" w:rsidP="00144866">
                            <w:pPr>
                              <w:textAlignment w:val="baseline"/>
                              <w:rPr>
                                <w:rFonts w:ascii="Calibri" w:eastAsia="Calibri" w:hAnsi="Calibri" w:cs="Calibri"/>
                                <w:b/>
                                <w:color w:val="404040"/>
                                <w:sz w:val="20"/>
                                <w:szCs w:val="20"/>
                              </w:rPr>
                            </w:pPr>
                            <w:r>
                              <w:rPr>
                                <w:rFonts w:ascii="Calibri" w:eastAsia="Calibri" w:hAnsi="Calibri" w:cs="Calibri"/>
                                <w:b/>
                                <w:color w:val="404040"/>
                                <w:sz w:val="20"/>
                                <w:szCs w:val="20"/>
                              </w:rPr>
                              <w:t>2010</w:t>
                            </w:r>
                          </w:p>
                        </w:txbxContent>
                      </v:textbox>
                    </v:rect>
                  </w:pict>
                </mc:Fallback>
              </mc:AlternateContent>
            </w:r>
          </w:p>
        </w:tc>
        <w:tc>
          <w:tcPr>
            <w:tcW w:w="729" w:type="dxa"/>
            <w:tcBorders>
              <w:top w:val="nil"/>
              <w:left w:val="nil"/>
              <w:bottom w:val="nil"/>
              <w:right w:val="nil"/>
            </w:tcBorders>
            <w:noWrap/>
            <w:vAlign w:val="bottom"/>
            <w:hideMark/>
          </w:tcPr>
          <w:p w14:paraId="46609B05" w14:textId="77777777" w:rsidR="00144866" w:rsidRPr="0053182F" w:rsidRDefault="00144866" w:rsidP="00D20468">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0327DE78" w14:textId="77777777" w:rsidR="00144866" w:rsidRPr="0053182F" w:rsidRDefault="00144866" w:rsidP="00D20468">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2B8E584B" w14:textId="77777777" w:rsidR="00144866" w:rsidRPr="0053182F" w:rsidRDefault="00144866" w:rsidP="00D20468">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0EDDFFA8" w14:textId="77777777" w:rsidR="00144866" w:rsidRPr="0053182F" w:rsidRDefault="00144866" w:rsidP="00D20468">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75A5824E" w14:textId="77777777" w:rsidR="00144866" w:rsidRPr="0053182F" w:rsidRDefault="00144866" w:rsidP="00D20468">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6984E5F7" w14:textId="77777777" w:rsidR="00144866" w:rsidRPr="0053182F" w:rsidRDefault="00144866" w:rsidP="00D20468">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2A7729D8" w14:textId="77777777" w:rsidR="00144866" w:rsidRPr="0053182F" w:rsidRDefault="00144866" w:rsidP="00D20468">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388D19A3" w14:textId="77777777" w:rsidR="00144866" w:rsidRPr="0053182F" w:rsidRDefault="00144866" w:rsidP="00D20468">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181D57B6" w14:textId="77777777" w:rsidR="00144866" w:rsidRPr="0053182F" w:rsidRDefault="00144866" w:rsidP="00D20468">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38BA9E42" w14:textId="77777777" w:rsidR="00144866" w:rsidRPr="0053182F" w:rsidRDefault="00144866" w:rsidP="00D20468">
            <w:pPr>
              <w:spacing w:after="0" w:line="480" w:lineRule="auto"/>
              <w:rPr>
                <w:rFonts w:eastAsia="Times New Roman"/>
                <w:color w:val="auto"/>
                <w:sz w:val="20"/>
                <w:szCs w:val="20"/>
                <w:lang w:eastAsia="en-GB"/>
              </w:rPr>
            </w:pPr>
          </w:p>
        </w:tc>
      </w:tr>
      <w:tr w:rsidR="00144866" w:rsidRPr="0053182F" w14:paraId="066C5D0C" w14:textId="77777777" w:rsidTr="00D20468">
        <w:trPr>
          <w:trHeight w:val="281"/>
        </w:trPr>
        <w:tc>
          <w:tcPr>
            <w:tcW w:w="1268" w:type="dxa"/>
            <w:tcBorders>
              <w:top w:val="nil"/>
              <w:left w:val="nil"/>
              <w:bottom w:val="nil"/>
              <w:right w:val="nil"/>
            </w:tcBorders>
            <w:noWrap/>
            <w:vAlign w:val="bottom"/>
            <w:hideMark/>
          </w:tcPr>
          <w:p w14:paraId="06EACC1E" w14:textId="77777777" w:rsidR="00144866" w:rsidRPr="0053182F" w:rsidRDefault="00144866" w:rsidP="00D20468">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78A54CB9" w14:textId="77777777" w:rsidR="00144866" w:rsidRPr="0053182F" w:rsidRDefault="00144866" w:rsidP="00D20468">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787D4D64" w14:textId="77777777" w:rsidR="00144866" w:rsidRPr="0053182F" w:rsidRDefault="00144866" w:rsidP="00D20468">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7A0EDCA7" w14:textId="77777777" w:rsidR="00144866" w:rsidRPr="0053182F" w:rsidRDefault="00144866" w:rsidP="00D20468">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2733DF17" w14:textId="77777777" w:rsidR="00144866" w:rsidRPr="0053182F" w:rsidRDefault="00144866" w:rsidP="00D20468">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0C0248E7" w14:textId="77777777" w:rsidR="00144866" w:rsidRPr="0053182F" w:rsidRDefault="00144866" w:rsidP="00D20468">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4EB38DB3" w14:textId="77777777" w:rsidR="00144866" w:rsidRPr="0053182F" w:rsidRDefault="00144866" w:rsidP="00D20468">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594FE651" w14:textId="77777777" w:rsidR="00144866" w:rsidRPr="0053182F" w:rsidRDefault="00144866" w:rsidP="00D20468">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6943868B" w14:textId="77777777" w:rsidR="00144866" w:rsidRPr="0053182F" w:rsidRDefault="00144866" w:rsidP="00D20468">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5E8D6985" w14:textId="77777777" w:rsidR="00144866" w:rsidRPr="0053182F" w:rsidRDefault="00144866" w:rsidP="00D20468">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72160A26" w14:textId="77777777" w:rsidR="00144866" w:rsidRPr="0053182F" w:rsidRDefault="00144866" w:rsidP="00D20468">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52905727" w14:textId="77777777" w:rsidR="00144866" w:rsidRPr="0053182F" w:rsidRDefault="00144866" w:rsidP="00D20468">
            <w:pPr>
              <w:spacing w:after="0" w:line="480" w:lineRule="auto"/>
              <w:rPr>
                <w:rFonts w:eastAsia="Times New Roman"/>
                <w:color w:val="auto"/>
                <w:sz w:val="20"/>
                <w:szCs w:val="20"/>
                <w:lang w:eastAsia="en-GB"/>
              </w:rPr>
            </w:pPr>
          </w:p>
        </w:tc>
      </w:tr>
      <w:tr w:rsidR="00144866" w:rsidRPr="0053182F" w14:paraId="12DAD706" w14:textId="77777777" w:rsidTr="00D20468">
        <w:trPr>
          <w:trHeight w:val="281"/>
        </w:trPr>
        <w:tc>
          <w:tcPr>
            <w:tcW w:w="1268" w:type="dxa"/>
            <w:tcBorders>
              <w:top w:val="nil"/>
              <w:left w:val="nil"/>
              <w:bottom w:val="nil"/>
              <w:right w:val="nil"/>
            </w:tcBorders>
            <w:noWrap/>
            <w:vAlign w:val="bottom"/>
            <w:hideMark/>
          </w:tcPr>
          <w:p w14:paraId="063A3BBA" w14:textId="77777777" w:rsidR="00144866" w:rsidRPr="0053182F" w:rsidRDefault="00144866" w:rsidP="00D20468">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0312020D" w14:textId="77777777" w:rsidR="00144866" w:rsidRPr="0053182F" w:rsidRDefault="00144866" w:rsidP="00D20468">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64E55807" w14:textId="77777777" w:rsidR="00144866" w:rsidRPr="0053182F" w:rsidRDefault="00144866" w:rsidP="00D20468">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4D6F044C" w14:textId="77777777" w:rsidR="00144866" w:rsidRPr="0053182F" w:rsidRDefault="00144866" w:rsidP="00D20468">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3704BCD7" w14:textId="77777777" w:rsidR="00144866" w:rsidRPr="0053182F" w:rsidRDefault="00144866" w:rsidP="00D20468">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4BCD46CB" w14:textId="77777777" w:rsidR="00144866" w:rsidRPr="0053182F" w:rsidRDefault="00144866" w:rsidP="00D20468">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1D21A68D" w14:textId="77777777" w:rsidR="00144866" w:rsidRPr="0053182F" w:rsidRDefault="00144866" w:rsidP="00D20468">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2EFF29AB" w14:textId="77777777" w:rsidR="00144866" w:rsidRPr="0053182F" w:rsidRDefault="00144866" w:rsidP="00D20468">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0DEE52AD" w14:textId="77777777" w:rsidR="00144866" w:rsidRPr="0053182F" w:rsidRDefault="00144866" w:rsidP="00D20468">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0AE66A41" w14:textId="77777777" w:rsidR="00144866" w:rsidRPr="0053182F" w:rsidRDefault="00144866" w:rsidP="00D20468">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4486E3F4" w14:textId="77777777" w:rsidR="00144866" w:rsidRPr="0053182F" w:rsidRDefault="00144866" w:rsidP="00D20468">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05E3E528" w14:textId="77777777" w:rsidR="00144866" w:rsidRPr="0053182F" w:rsidRDefault="00144866" w:rsidP="00D20468">
            <w:pPr>
              <w:spacing w:after="0" w:line="480" w:lineRule="auto"/>
              <w:rPr>
                <w:rFonts w:eastAsia="Times New Roman"/>
                <w:color w:val="auto"/>
                <w:sz w:val="20"/>
                <w:szCs w:val="20"/>
                <w:lang w:eastAsia="en-GB"/>
              </w:rPr>
            </w:pPr>
          </w:p>
        </w:tc>
      </w:tr>
      <w:tr w:rsidR="00144866" w:rsidRPr="0053182F" w14:paraId="2022EA43" w14:textId="77777777" w:rsidTr="00D20468">
        <w:trPr>
          <w:trHeight w:val="281"/>
        </w:trPr>
        <w:tc>
          <w:tcPr>
            <w:tcW w:w="1268" w:type="dxa"/>
            <w:tcBorders>
              <w:top w:val="nil"/>
              <w:left w:val="nil"/>
              <w:bottom w:val="nil"/>
              <w:right w:val="nil"/>
            </w:tcBorders>
            <w:noWrap/>
            <w:vAlign w:val="bottom"/>
            <w:hideMark/>
          </w:tcPr>
          <w:p w14:paraId="7077AA17" w14:textId="77777777" w:rsidR="00144866" w:rsidRPr="0053182F" w:rsidRDefault="00144866" w:rsidP="00D20468">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39C514F0" w14:textId="77777777" w:rsidR="00144866" w:rsidRPr="0053182F" w:rsidRDefault="00144866" w:rsidP="00D20468">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58C11A45" w14:textId="77777777" w:rsidR="00144866" w:rsidRPr="0053182F" w:rsidRDefault="00144866" w:rsidP="00D20468">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0319B62B" w14:textId="77777777" w:rsidR="00144866" w:rsidRPr="0053182F" w:rsidRDefault="00144866" w:rsidP="00D20468">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0C6E2EB8" w14:textId="77777777" w:rsidR="00144866" w:rsidRPr="0053182F" w:rsidRDefault="00144866" w:rsidP="00D20468">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7A030AEE" w14:textId="77777777" w:rsidR="00144866" w:rsidRPr="0053182F" w:rsidRDefault="00144866" w:rsidP="00D20468">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61C7453C" w14:textId="77777777" w:rsidR="00144866" w:rsidRPr="0053182F" w:rsidRDefault="00144866" w:rsidP="00D20468">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34B7F85F" w14:textId="77777777" w:rsidR="00144866" w:rsidRPr="0053182F" w:rsidRDefault="00144866" w:rsidP="00D20468">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10C02BBB" w14:textId="77777777" w:rsidR="00144866" w:rsidRPr="0053182F" w:rsidRDefault="00144866" w:rsidP="00D20468">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375A68E5" w14:textId="77777777" w:rsidR="00144866" w:rsidRPr="0053182F" w:rsidRDefault="00144866" w:rsidP="00D20468">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2276E95E" w14:textId="77777777" w:rsidR="00144866" w:rsidRPr="0053182F" w:rsidRDefault="00144866" w:rsidP="00D20468">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46E37C43" w14:textId="77777777" w:rsidR="00144866" w:rsidRPr="0053182F" w:rsidRDefault="00144866" w:rsidP="00D20468">
            <w:pPr>
              <w:spacing w:after="0" w:line="480" w:lineRule="auto"/>
              <w:rPr>
                <w:rFonts w:eastAsia="Times New Roman"/>
                <w:color w:val="auto"/>
                <w:sz w:val="20"/>
                <w:szCs w:val="20"/>
                <w:lang w:eastAsia="en-GB"/>
              </w:rPr>
            </w:pPr>
          </w:p>
        </w:tc>
      </w:tr>
      <w:tr w:rsidR="00144866" w:rsidRPr="0053182F" w14:paraId="23DB9270" w14:textId="77777777" w:rsidTr="00D20468">
        <w:trPr>
          <w:trHeight w:val="281"/>
        </w:trPr>
        <w:tc>
          <w:tcPr>
            <w:tcW w:w="1268" w:type="dxa"/>
            <w:tcBorders>
              <w:top w:val="nil"/>
              <w:left w:val="nil"/>
              <w:bottom w:val="nil"/>
              <w:right w:val="nil"/>
            </w:tcBorders>
            <w:noWrap/>
            <w:vAlign w:val="bottom"/>
            <w:hideMark/>
          </w:tcPr>
          <w:p w14:paraId="7681D099" w14:textId="77777777" w:rsidR="00144866" w:rsidRPr="0053182F" w:rsidRDefault="00144866" w:rsidP="00D20468">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6D2C69A0" w14:textId="77777777" w:rsidR="00144866" w:rsidRPr="0053182F" w:rsidRDefault="00144866" w:rsidP="00D20468">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5BDD1CA1" w14:textId="77777777" w:rsidR="00144866" w:rsidRPr="0053182F" w:rsidRDefault="00144866" w:rsidP="00D20468">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4CA02FEB" w14:textId="77777777" w:rsidR="00144866" w:rsidRPr="0053182F" w:rsidRDefault="00144866" w:rsidP="00D20468">
            <w:pPr>
              <w:spacing w:after="0" w:line="480" w:lineRule="auto"/>
              <w:rPr>
                <w:rFonts w:eastAsia="Times New Roman"/>
                <w:color w:val="auto"/>
                <w:sz w:val="20"/>
                <w:szCs w:val="20"/>
                <w:lang w:eastAsia="en-GB"/>
              </w:rPr>
            </w:pPr>
          </w:p>
        </w:tc>
        <w:tc>
          <w:tcPr>
            <w:tcW w:w="1267" w:type="dxa"/>
            <w:gridSpan w:val="4"/>
            <w:tcBorders>
              <w:top w:val="nil"/>
              <w:left w:val="nil"/>
              <w:bottom w:val="nil"/>
              <w:right w:val="nil"/>
            </w:tcBorders>
            <w:noWrap/>
            <w:vAlign w:val="bottom"/>
            <w:hideMark/>
          </w:tcPr>
          <w:p w14:paraId="385B25A2" w14:textId="77777777" w:rsidR="00144866" w:rsidRPr="0053182F" w:rsidRDefault="00144866" w:rsidP="00D20468">
            <w:pPr>
              <w:spacing w:after="0" w:line="480" w:lineRule="auto"/>
              <w:rPr>
                <w:rFonts w:eastAsia="Times New Roman"/>
                <w:color w:val="auto"/>
                <w:sz w:val="20"/>
                <w:szCs w:val="20"/>
                <w:lang w:eastAsia="en-GB"/>
              </w:rPr>
            </w:pPr>
          </w:p>
        </w:tc>
        <w:tc>
          <w:tcPr>
            <w:tcW w:w="733" w:type="dxa"/>
            <w:gridSpan w:val="2"/>
            <w:tcBorders>
              <w:top w:val="nil"/>
              <w:left w:val="nil"/>
              <w:bottom w:val="nil"/>
              <w:right w:val="nil"/>
            </w:tcBorders>
            <w:noWrap/>
            <w:vAlign w:val="bottom"/>
            <w:hideMark/>
          </w:tcPr>
          <w:p w14:paraId="1BBF9AD6" w14:textId="77777777" w:rsidR="00144866" w:rsidRPr="0053182F" w:rsidRDefault="00144866" w:rsidP="00D20468">
            <w:pPr>
              <w:spacing w:after="0" w:line="480" w:lineRule="auto"/>
              <w:rPr>
                <w:rFonts w:eastAsia="Times New Roman"/>
                <w:color w:val="auto"/>
                <w:sz w:val="20"/>
                <w:szCs w:val="20"/>
                <w:lang w:eastAsia="en-GB"/>
              </w:rPr>
            </w:pPr>
          </w:p>
        </w:tc>
        <w:tc>
          <w:tcPr>
            <w:tcW w:w="1466" w:type="dxa"/>
            <w:gridSpan w:val="8"/>
            <w:tcBorders>
              <w:top w:val="nil"/>
              <w:left w:val="nil"/>
              <w:bottom w:val="nil"/>
              <w:right w:val="nil"/>
            </w:tcBorders>
            <w:noWrap/>
            <w:vAlign w:val="bottom"/>
            <w:hideMark/>
          </w:tcPr>
          <w:p w14:paraId="20A3B532" w14:textId="77777777" w:rsidR="00144866" w:rsidRPr="0053182F" w:rsidRDefault="00144866" w:rsidP="00D20468">
            <w:pPr>
              <w:spacing w:after="0" w:line="480" w:lineRule="auto"/>
              <w:rPr>
                <w:rFonts w:eastAsia="Times New Roman"/>
                <w:color w:val="auto"/>
                <w:sz w:val="20"/>
                <w:szCs w:val="20"/>
                <w:lang w:eastAsia="en-GB"/>
              </w:rPr>
            </w:pPr>
          </w:p>
        </w:tc>
        <w:tc>
          <w:tcPr>
            <w:tcW w:w="984" w:type="dxa"/>
            <w:gridSpan w:val="4"/>
            <w:tcBorders>
              <w:top w:val="nil"/>
              <w:left w:val="nil"/>
              <w:bottom w:val="nil"/>
              <w:right w:val="nil"/>
            </w:tcBorders>
            <w:noWrap/>
            <w:vAlign w:val="bottom"/>
            <w:hideMark/>
          </w:tcPr>
          <w:p w14:paraId="436B1482" w14:textId="77777777" w:rsidR="00144866" w:rsidRPr="0053182F" w:rsidRDefault="00144866" w:rsidP="00D20468">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7DFE94CB" w14:textId="77777777" w:rsidR="00144866" w:rsidRPr="0053182F" w:rsidRDefault="00144866" w:rsidP="00D20468">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2A9F1A39" w14:textId="77777777" w:rsidR="00144866" w:rsidRPr="0053182F" w:rsidRDefault="00144866" w:rsidP="00D20468">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34BDB488" w14:textId="77777777" w:rsidR="00144866" w:rsidRPr="0053182F" w:rsidRDefault="00144866" w:rsidP="00D20468">
            <w:pPr>
              <w:spacing w:after="0" w:line="480" w:lineRule="auto"/>
              <w:rPr>
                <w:rFonts w:eastAsia="Times New Roman"/>
                <w:color w:val="auto"/>
                <w:sz w:val="20"/>
                <w:szCs w:val="20"/>
                <w:lang w:eastAsia="en-GB"/>
              </w:rPr>
            </w:pPr>
          </w:p>
        </w:tc>
        <w:tc>
          <w:tcPr>
            <w:tcW w:w="784" w:type="dxa"/>
            <w:gridSpan w:val="4"/>
            <w:tcBorders>
              <w:top w:val="nil"/>
              <w:left w:val="nil"/>
              <w:bottom w:val="nil"/>
              <w:right w:val="nil"/>
            </w:tcBorders>
            <w:noWrap/>
            <w:vAlign w:val="bottom"/>
            <w:hideMark/>
          </w:tcPr>
          <w:p w14:paraId="6CC3853E" w14:textId="77777777" w:rsidR="00144866" w:rsidRPr="0053182F" w:rsidRDefault="00144866" w:rsidP="00D20468">
            <w:pPr>
              <w:spacing w:after="0" w:line="480" w:lineRule="auto"/>
              <w:rPr>
                <w:rFonts w:eastAsia="Times New Roman"/>
                <w:color w:val="auto"/>
                <w:sz w:val="20"/>
                <w:szCs w:val="20"/>
                <w:lang w:eastAsia="en-GB"/>
              </w:rPr>
            </w:pPr>
          </w:p>
        </w:tc>
      </w:tr>
      <w:tr w:rsidR="00144866" w:rsidRPr="0053182F" w14:paraId="28355A2E" w14:textId="77777777" w:rsidTr="00D20468">
        <w:trPr>
          <w:gridAfter w:val="2"/>
          <w:wAfter w:w="574" w:type="dxa"/>
          <w:trHeight w:val="281"/>
        </w:trPr>
        <w:tc>
          <w:tcPr>
            <w:tcW w:w="1268" w:type="dxa"/>
            <w:tcBorders>
              <w:top w:val="nil"/>
              <w:left w:val="nil"/>
              <w:bottom w:val="nil"/>
              <w:right w:val="nil"/>
            </w:tcBorders>
            <w:noWrap/>
            <w:vAlign w:val="bottom"/>
            <w:hideMark/>
          </w:tcPr>
          <w:p w14:paraId="398D905B" w14:textId="77777777" w:rsidR="00144866" w:rsidRPr="0053182F" w:rsidRDefault="00144866" w:rsidP="00D20468">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textDirection w:val="btLr"/>
            <w:vAlign w:val="bottom"/>
            <w:hideMark/>
          </w:tcPr>
          <w:p w14:paraId="06E7B958" w14:textId="77777777" w:rsidR="00144866" w:rsidRPr="0053182F" w:rsidRDefault="00144866" w:rsidP="00D20468">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02BE26FC" w14:textId="77777777" w:rsidR="00144866" w:rsidRPr="0053182F" w:rsidRDefault="00144866" w:rsidP="00D20468">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53EA45FF" w14:textId="77777777" w:rsidR="00144866" w:rsidRPr="0053182F" w:rsidRDefault="00144866" w:rsidP="00D20468">
            <w:pPr>
              <w:spacing w:after="0" w:line="480" w:lineRule="auto"/>
              <w:rPr>
                <w:rFonts w:eastAsia="Times New Roman"/>
                <w:color w:val="auto"/>
                <w:sz w:val="20"/>
                <w:szCs w:val="20"/>
                <w:lang w:eastAsia="en-GB"/>
              </w:rPr>
            </w:pPr>
          </w:p>
        </w:tc>
        <w:tc>
          <w:tcPr>
            <w:tcW w:w="731" w:type="dxa"/>
            <w:gridSpan w:val="2"/>
            <w:tcBorders>
              <w:top w:val="nil"/>
              <w:left w:val="nil"/>
              <w:bottom w:val="nil"/>
              <w:right w:val="nil"/>
            </w:tcBorders>
            <w:noWrap/>
            <w:vAlign w:val="bottom"/>
            <w:hideMark/>
          </w:tcPr>
          <w:p w14:paraId="5D8C272C" w14:textId="77777777" w:rsidR="00144866" w:rsidRPr="0053182F" w:rsidRDefault="00144866" w:rsidP="00D20468">
            <w:pPr>
              <w:spacing w:after="0" w:line="480" w:lineRule="auto"/>
              <w:rPr>
                <w:rFonts w:eastAsia="Times New Roman"/>
                <w:color w:val="auto"/>
                <w:sz w:val="20"/>
                <w:szCs w:val="20"/>
                <w:lang w:eastAsia="en-GB"/>
              </w:rPr>
            </w:pPr>
          </w:p>
        </w:tc>
        <w:tc>
          <w:tcPr>
            <w:tcW w:w="1471" w:type="dxa"/>
            <w:gridSpan w:val="6"/>
            <w:tcBorders>
              <w:top w:val="nil"/>
              <w:left w:val="nil"/>
              <w:bottom w:val="nil"/>
              <w:right w:val="nil"/>
            </w:tcBorders>
            <w:noWrap/>
            <w:vAlign w:val="bottom"/>
            <w:hideMark/>
          </w:tcPr>
          <w:p w14:paraId="64C7A42A" w14:textId="77777777" w:rsidR="00144866" w:rsidRPr="0053182F" w:rsidRDefault="00144866" w:rsidP="00D20468">
            <w:pPr>
              <w:spacing w:after="0" w:line="480" w:lineRule="auto"/>
              <w:rPr>
                <w:rFonts w:eastAsia="Times New Roman"/>
                <w:color w:val="auto"/>
                <w:sz w:val="20"/>
                <w:szCs w:val="20"/>
                <w:lang w:eastAsia="en-GB"/>
              </w:rPr>
            </w:pPr>
          </w:p>
        </w:tc>
        <w:tc>
          <w:tcPr>
            <w:tcW w:w="1022" w:type="dxa"/>
            <w:gridSpan w:val="4"/>
            <w:tcBorders>
              <w:top w:val="nil"/>
              <w:left w:val="nil"/>
              <w:bottom w:val="nil"/>
              <w:right w:val="nil"/>
            </w:tcBorders>
            <w:noWrap/>
            <w:vAlign w:val="bottom"/>
            <w:hideMark/>
          </w:tcPr>
          <w:p w14:paraId="59F1CFA6" w14:textId="77777777" w:rsidR="00144866" w:rsidRPr="0053182F" w:rsidRDefault="00144866" w:rsidP="00D20468">
            <w:pPr>
              <w:spacing w:after="0" w:line="480" w:lineRule="auto"/>
              <w:rPr>
                <w:rFonts w:eastAsia="Times New Roman"/>
                <w:color w:val="auto"/>
                <w:sz w:val="20"/>
                <w:szCs w:val="20"/>
                <w:lang w:eastAsia="en-GB"/>
              </w:rPr>
            </w:pPr>
          </w:p>
        </w:tc>
        <w:tc>
          <w:tcPr>
            <w:tcW w:w="694" w:type="dxa"/>
            <w:gridSpan w:val="4"/>
            <w:tcBorders>
              <w:top w:val="nil"/>
              <w:left w:val="nil"/>
              <w:bottom w:val="nil"/>
              <w:right w:val="nil"/>
            </w:tcBorders>
            <w:noWrap/>
            <w:vAlign w:val="bottom"/>
            <w:hideMark/>
          </w:tcPr>
          <w:p w14:paraId="2CB7FED4" w14:textId="77777777" w:rsidR="00144866" w:rsidRPr="0053182F" w:rsidRDefault="00144866" w:rsidP="00D20468">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29B7D798" w14:textId="77777777" w:rsidR="00144866" w:rsidRPr="0053182F" w:rsidRDefault="00144866" w:rsidP="00D20468">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0CD6AE20" w14:textId="77777777" w:rsidR="00144866" w:rsidRPr="0053182F" w:rsidRDefault="00144866" w:rsidP="00D20468">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22E2B52E" w14:textId="77777777" w:rsidR="00144866" w:rsidRPr="0053182F" w:rsidRDefault="00144866" w:rsidP="00D20468">
            <w:pPr>
              <w:spacing w:after="0" w:line="480" w:lineRule="auto"/>
              <w:rPr>
                <w:rFonts w:eastAsia="Times New Roman"/>
                <w:color w:val="auto"/>
                <w:sz w:val="20"/>
                <w:szCs w:val="20"/>
                <w:lang w:eastAsia="en-GB"/>
              </w:rPr>
            </w:pPr>
          </w:p>
        </w:tc>
        <w:tc>
          <w:tcPr>
            <w:tcW w:w="742" w:type="dxa"/>
            <w:gridSpan w:val="4"/>
            <w:tcBorders>
              <w:top w:val="nil"/>
              <w:left w:val="nil"/>
              <w:bottom w:val="nil"/>
              <w:right w:val="nil"/>
            </w:tcBorders>
            <w:noWrap/>
            <w:vAlign w:val="bottom"/>
            <w:hideMark/>
          </w:tcPr>
          <w:p w14:paraId="6E4D57FC" w14:textId="77777777" w:rsidR="00144866" w:rsidRPr="0053182F" w:rsidRDefault="00144866" w:rsidP="00D20468">
            <w:pPr>
              <w:spacing w:after="0" w:line="480" w:lineRule="auto"/>
              <w:rPr>
                <w:rFonts w:eastAsia="Times New Roman"/>
                <w:color w:val="auto"/>
                <w:sz w:val="20"/>
                <w:szCs w:val="20"/>
                <w:lang w:eastAsia="en-GB"/>
              </w:rPr>
            </w:pPr>
          </w:p>
        </w:tc>
      </w:tr>
      <w:tr w:rsidR="00144866" w:rsidRPr="0053182F" w14:paraId="41802B3D" w14:textId="77777777" w:rsidTr="00D20468">
        <w:trPr>
          <w:gridAfter w:val="2"/>
          <w:wAfter w:w="574" w:type="dxa"/>
          <w:trHeight w:val="272"/>
        </w:trPr>
        <w:tc>
          <w:tcPr>
            <w:tcW w:w="1268" w:type="dxa"/>
            <w:tcBorders>
              <w:top w:val="nil"/>
              <w:left w:val="nil"/>
              <w:bottom w:val="nil"/>
              <w:right w:val="nil"/>
            </w:tcBorders>
            <w:noWrap/>
            <w:vAlign w:val="bottom"/>
            <w:hideMark/>
          </w:tcPr>
          <w:p w14:paraId="21D16576" w14:textId="77777777" w:rsidR="00144866" w:rsidRPr="0053182F" w:rsidRDefault="00144866" w:rsidP="00D20468">
            <w:pPr>
              <w:spacing w:after="0" w:line="480" w:lineRule="auto"/>
              <w:rPr>
                <w:rFonts w:eastAsia="Times New Roman"/>
                <w:color w:val="auto"/>
                <w:sz w:val="20"/>
                <w:szCs w:val="20"/>
                <w:lang w:eastAsia="en-GB"/>
              </w:rPr>
            </w:pPr>
          </w:p>
        </w:tc>
        <w:tc>
          <w:tcPr>
            <w:tcW w:w="1284" w:type="dxa"/>
            <w:tcBorders>
              <w:top w:val="nil"/>
              <w:left w:val="nil"/>
              <w:bottom w:val="nil"/>
              <w:right w:val="nil"/>
            </w:tcBorders>
            <w:noWrap/>
            <w:vAlign w:val="bottom"/>
            <w:hideMark/>
          </w:tcPr>
          <w:p w14:paraId="792E3608" w14:textId="77777777" w:rsidR="00144866" w:rsidRPr="0053182F" w:rsidRDefault="00144866" w:rsidP="00D20468">
            <w:pPr>
              <w:spacing w:after="0" w:line="480" w:lineRule="auto"/>
              <w:rPr>
                <w:rFonts w:eastAsia="Times New Roman"/>
                <w:color w:val="auto"/>
                <w:sz w:val="20"/>
                <w:szCs w:val="20"/>
                <w:lang w:eastAsia="en-GB"/>
              </w:rPr>
            </w:pPr>
          </w:p>
        </w:tc>
        <w:tc>
          <w:tcPr>
            <w:tcW w:w="729" w:type="dxa"/>
            <w:tcBorders>
              <w:top w:val="nil"/>
              <w:left w:val="nil"/>
              <w:bottom w:val="nil"/>
              <w:right w:val="nil"/>
            </w:tcBorders>
            <w:noWrap/>
            <w:vAlign w:val="bottom"/>
            <w:hideMark/>
          </w:tcPr>
          <w:p w14:paraId="7CDBCCC2" w14:textId="77777777" w:rsidR="00144866" w:rsidRPr="0053182F" w:rsidRDefault="00144866" w:rsidP="00D20468">
            <w:pPr>
              <w:spacing w:after="0" w:line="480" w:lineRule="auto"/>
              <w:rPr>
                <w:rFonts w:eastAsia="Times New Roman"/>
                <w:color w:val="auto"/>
                <w:sz w:val="20"/>
                <w:szCs w:val="20"/>
                <w:lang w:eastAsia="en-GB"/>
              </w:rPr>
            </w:pPr>
          </w:p>
        </w:tc>
        <w:tc>
          <w:tcPr>
            <w:tcW w:w="731" w:type="dxa"/>
            <w:tcBorders>
              <w:top w:val="nil"/>
              <w:left w:val="nil"/>
              <w:bottom w:val="nil"/>
              <w:right w:val="nil"/>
            </w:tcBorders>
            <w:noWrap/>
            <w:vAlign w:val="bottom"/>
            <w:hideMark/>
          </w:tcPr>
          <w:p w14:paraId="174B386C" w14:textId="77777777" w:rsidR="00144866" w:rsidRPr="0053182F" w:rsidRDefault="00144866" w:rsidP="00D20468">
            <w:pPr>
              <w:spacing w:after="0" w:line="480" w:lineRule="auto"/>
              <w:rPr>
                <w:rFonts w:eastAsia="Times New Roman"/>
                <w:color w:val="auto"/>
                <w:sz w:val="20"/>
                <w:szCs w:val="20"/>
                <w:lang w:eastAsia="en-GB"/>
              </w:rPr>
            </w:pPr>
          </w:p>
        </w:tc>
        <w:tc>
          <w:tcPr>
            <w:tcW w:w="731" w:type="dxa"/>
            <w:gridSpan w:val="2"/>
            <w:tcBorders>
              <w:top w:val="nil"/>
              <w:left w:val="nil"/>
              <w:bottom w:val="nil"/>
              <w:right w:val="nil"/>
            </w:tcBorders>
            <w:noWrap/>
            <w:vAlign w:val="bottom"/>
            <w:hideMark/>
          </w:tcPr>
          <w:p w14:paraId="3BC04A25" w14:textId="77777777" w:rsidR="00144866" w:rsidRPr="0053182F" w:rsidRDefault="00144866" w:rsidP="00D20468">
            <w:pPr>
              <w:spacing w:after="0" w:line="480" w:lineRule="auto"/>
              <w:rPr>
                <w:rFonts w:eastAsia="Times New Roman"/>
                <w:color w:val="auto"/>
                <w:sz w:val="20"/>
                <w:szCs w:val="20"/>
                <w:lang w:eastAsia="en-GB"/>
              </w:rPr>
            </w:pPr>
          </w:p>
        </w:tc>
        <w:tc>
          <w:tcPr>
            <w:tcW w:w="1471" w:type="dxa"/>
            <w:gridSpan w:val="6"/>
            <w:tcBorders>
              <w:top w:val="nil"/>
              <w:left w:val="nil"/>
              <w:bottom w:val="nil"/>
              <w:right w:val="nil"/>
            </w:tcBorders>
            <w:noWrap/>
            <w:vAlign w:val="bottom"/>
            <w:hideMark/>
          </w:tcPr>
          <w:p w14:paraId="5AE94F26" w14:textId="77777777" w:rsidR="00144866" w:rsidRPr="0053182F" w:rsidRDefault="00144866" w:rsidP="00D20468">
            <w:pPr>
              <w:spacing w:after="0" w:line="480" w:lineRule="auto"/>
              <w:rPr>
                <w:rFonts w:eastAsia="Times New Roman"/>
                <w:color w:val="auto"/>
                <w:sz w:val="20"/>
                <w:szCs w:val="20"/>
                <w:lang w:eastAsia="en-GB"/>
              </w:rPr>
            </w:pPr>
          </w:p>
        </w:tc>
        <w:tc>
          <w:tcPr>
            <w:tcW w:w="1022" w:type="dxa"/>
            <w:gridSpan w:val="4"/>
            <w:tcBorders>
              <w:top w:val="nil"/>
              <w:left w:val="nil"/>
              <w:bottom w:val="nil"/>
              <w:right w:val="nil"/>
            </w:tcBorders>
            <w:noWrap/>
            <w:vAlign w:val="bottom"/>
            <w:hideMark/>
          </w:tcPr>
          <w:p w14:paraId="438E3940" w14:textId="77777777" w:rsidR="00144866" w:rsidRPr="0053182F" w:rsidRDefault="00144866" w:rsidP="00D20468">
            <w:pPr>
              <w:spacing w:after="0" w:line="480" w:lineRule="auto"/>
              <w:rPr>
                <w:rFonts w:eastAsia="Times New Roman"/>
                <w:color w:val="auto"/>
                <w:sz w:val="20"/>
                <w:szCs w:val="20"/>
                <w:lang w:eastAsia="en-GB"/>
              </w:rPr>
            </w:pPr>
          </w:p>
        </w:tc>
        <w:tc>
          <w:tcPr>
            <w:tcW w:w="694" w:type="dxa"/>
            <w:gridSpan w:val="4"/>
            <w:tcBorders>
              <w:top w:val="nil"/>
              <w:left w:val="nil"/>
              <w:bottom w:val="nil"/>
              <w:right w:val="nil"/>
            </w:tcBorders>
            <w:noWrap/>
            <w:vAlign w:val="bottom"/>
            <w:hideMark/>
          </w:tcPr>
          <w:p w14:paraId="42371AED" w14:textId="77777777" w:rsidR="00144866" w:rsidRPr="0053182F" w:rsidRDefault="00144866" w:rsidP="00D20468">
            <w:pPr>
              <w:spacing w:after="0" w:line="480" w:lineRule="auto"/>
              <w:rPr>
                <w:rFonts w:eastAsia="Times New Roman"/>
                <w:color w:val="auto"/>
                <w:sz w:val="20"/>
                <w:szCs w:val="20"/>
                <w:lang w:eastAsia="en-GB"/>
              </w:rPr>
            </w:pPr>
          </w:p>
        </w:tc>
        <w:tc>
          <w:tcPr>
            <w:tcW w:w="1209" w:type="dxa"/>
            <w:gridSpan w:val="5"/>
            <w:tcBorders>
              <w:top w:val="nil"/>
              <w:left w:val="nil"/>
              <w:bottom w:val="nil"/>
              <w:right w:val="nil"/>
            </w:tcBorders>
            <w:noWrap/>
            <w:vAlign w:val="bottom"/>
            <w:hideMark/>
          </w:tcPr>
          <w:p w14:paraId="5710C54C" w14:textId="77777777" w:rsidR="00144866" w:rsidRPr="0053182F" w:rsidRDefault="00144866" w:rsidP="00D20468">
            <w:pPr>
              <w:spacing w:after="0" w:line="480" w:lineRule="auto"/>
              <w:rPr>
                <w:rFonts w:eastAsia="Times New Roman"/>
                <w:color w:val="auto"/>
                <w:sz w:val="20"/>
                <w:szCs w:val="20"/>
                <w:lang w:eastAsia="en-GB"/>
              </w:rPr>
            </w:pPr>
          </w:p>
        </w:tc>
        <w:tc>
          <w:tcPr>
            <w:tcW w:w="1039" w:type="dxa"/>
            <w:gridSpan w:val="5"/>
            <w:tcBorders>
              <w:top w:val="nil"/>
              <w:left w:val="nil"/>
              <w:bottom w:val="nil"/>
              <w:right w:val="nil"/>
            </w:tcBorders>
            <w:noWrap/>
            <w:vAlign w:val="bottom"/>
            <w:hideMark/>
          </w:tcPr>
          <w:p w14:paraId="396DCE39" w14:textId="77777777" w:rsidR="00144866" w:rsidRPr="0053182F" w:rsidRDefault="00144866" w:rsidP="00D20468">
            <w:pPr>
              <w:spacing w:after="0" w:line="480" w:lineRule="auto"/>
              <w:rPr>
                <w:rFonts w:eastAsia="Times New Roman"/>
                <w:color w:val="auto"/>
                <w:sz w:val="20"/>
                <w:szCs w:val="20"/>
                <w:lang w:eastAsia="en-GB"/>
              </w:rPr>
            </w:pPr>
          </w:p>
        </w:tc>
        <w:tc>
          <w:tcPr>
            <w:tcW w:w="1291" w:type="dxa"/>
            <w:gridSpan w:val="5"/>
            <w:tcBorders>
              <w:top w:val="nil"/>
              <w:left w:val="nil"/>
              <w:bottom w:val="nil"/>
              <w:right w:val="nil"/>
            </w:tcBorders>
            <w:noWrap/>
            <w:vAlign w:val="bottom"/>
            <w:hideMark/>
          </w:tcPr>
          <w:p w14:paraId="448D43D6" w14:textId="77777777" w:rsidR="00144866" w:rsidRPr="0053182F" w:rsidRDefault="00144866" w:rsidP="00D20468">
            <w:pPr>
              <w:spacing w:after="0" w:line="480" w:lineRule="auto"/>
              <w:rPr>
                <w:rFonts w:eastAsia="Times New Roman"/>
                <w:color w:val="auto"/>
                <w:sz w:val="20"/>
                <w:szCs w:val="20"/>
                <w:lang w:eastAsia="en-GB"/>
              </w:rPr>
            </w:pPr>
          </w:p>
        </w:tc>
        <w:tc>
          <w:tcPr>
            <w:tcW w:w="742" w:type="dxa"/>
            <w:gridSpan w:val="4"/>
            <w:tcBorders>
              <w:top w:val="nil"/>
              <w:left w:val="nil"/>
              <w:bottom w:val="nil"/>
              <w:right w:val="nil"/>
            </w:tcBorders>
            <w:noWrap/>
            <w:vAlign w:val="bottom"/>
            <w:hideMark/>
          </w:tcPr>
          <w:p w14:paraId="7A704E7E" w14:textId="77777777" w:rsidR="00144866" w:rsidRPr="0053182F" w:rsidRDefault="00144866" w:rsidP="00D20468">
            <w:pPr>
              <w:spacing w:after="0" w:line="480" w:lineRule="auto"/>
              <w:rPr>
                <w:rFonts w:eastAsia="Times New Roman"/>
                <w:color w:val="auto"/>
                <w:sz w:val="20"/>
                <w:szCs w:val="20"/>
                <w:lang w:eastAsia="en-GB"/>
              </w:rPr>
            </w:pPr>
          </w:p>
        </w:tc>
      </w:tr>
      <w:tr w:rsidR="00144866" w:rsidRPr="0053182F" w14:paraId="1F4FD8E5" w14:textId="77777777" w:rsidTr="00D20468">
        <w:trPr>
          <w:gridAfter w:val="8"/>
          <w:wAfter w:w="1894" w:type="dxa"/>
          <w:trHeight w:val="2299"/>
        </w:trPr>
        <w:tc>
          <w:tcPr>
            <w:tcW w:w="1268" w:type="dxa"/>
            <w:tcBorders>
              <w:top w:val="nil"/>
              <w:left w:val="nil"/>
              <w:bottom w:val="nil"/>
              <w:right w:val="nil"/>
            </w:tcBorders>
            <w:noWrap/>
            <w:vAlign w:val="bottom"/>
            <w:hideMark/>
          </w:tcPr>
          <w:p w14:paraId="6D07998D" w14:textId="77777777" w:rsidR="00144866" w:rsidRPr="0053182F" w:rsidRDefault="00144866" w:rsidP="00D20468">
            <w:pPr>
              <w:spacing w:after="0" w:line="480" w:lineRule="auto"/>
              <w:rPr>
                <w:rFonts w:eastAsia="Times New Roman"/>
                <w:color w:val="auto"/>
                <w:sz w:val="20"/>
                <w:szCs w:val="20"/>
                <w:lang w:eastAsia="en-GB"/>
              </w:rPr>
            </w:pPr>
          </w:p>
        </w:tc>
        <w:tc>
          <w:tcPr>
            <w:tcW w:w="1284" w:type="dxa"/>
            <w:tcBorders>
              <w:top w:val="nil"/>
              <w:left w:val="nil"/>
              <w:bottom w:val="nil"/>
              <w:right w:val="nil"/>
            </w:tcBorders>
            <w:textDirection w:val="btLr"/>
            <w:vAlign w:val="bottom"/>
            <w:hideMark/>
          </w:tcPr>
          <w:p w14:paraId="579AA09F" w14:textId="77777777" w:rsidR="00144866" w:rsidRPr="0053182F" w:rsidRDefault="00144866" w:rsidP="00D20468">
            <w:pPr>
              <w:spacing w:after="0" w:line="480" w:lineRule="auto"/>
              <w:rPr>
                <w:rFonts w:eastAsia="Times New Roman"/>
                <w:color w:val="auto"/>
                <w:sz w:val="20"/>
                <w:szCs w:val="20"/>
                <w:lang w:eastAsia="en-GB"/>
              </w:rPr>
            </w:pPr>
          </w:p>
        </w:tc>
        <w:tc>
          <w:tcPr>
            <w:tcW w:w="729" w:type="dxa"/>
            <w:tcBorders>
              <w:top w:val="nil"/>
              <w:left w:val="nil"/>
              <w:bottom w:val="nil"/>
              <w:right w:val="nil"/>
            </w:tcBorders>
            <w:textDirection w:val="btLr"/>
            <w:vAlign w:val="bottom"/>
            <w:hideMark/>
          </w:tcPr>
          <w:p w14:paraId="6210CAE7" w14:textId="77777777" w:rsidR="00144866" w:rsidRPr="0053182F" w:rsidRDefault="00144866" w:rsidP="00D20468">
            <w:pPr>
              <w:spacing w:after="0" w:line="480" w:lineRule="auto"/>
              <w:rPr>
                <w:rFonts w:eastAsia="Times New Roman"/>
                <w:color w:val="auto"/>
                <w:sz w:val="20"/>
                <w:szCs w:val="20"/>
                <w:lang w:eastAsia="en-GB"/>
              </w:rPr>
            </w:pPr>
            <w:r w:rsidRPr="0053182F">
              <w:rPr>
                <w:rFonts w:eastAsia="Times New Roman"/>
                <w:color w:val="auto"/>
                <w:sz w:val="20"/>
                <w:szCs w:val="20"/>
                <w:lang w:eastAsia="en-GB"/>
              </w:rPr>
              <w:t>ILO Forced Labour Protocol</w:t>
            </w:r>
          </w:p>
        </w:tc>
        <w:tc>
          <w:tcPr>
            <w:tcW w:w="731" w:type="dxa"/>
            <w:tcBorders>
              <w:top w:val="nil"/>
              <w:left w:val="nil"/>
              <w:bottom w:val="nil"/>
              <w:right w:val="nil"/>
            </w:tcBorders>
            <w:textDirection w:val="btLr"/>
            <w:vAlign w:val="bottom"/>
            <w:hideMark/>
          </w:tcPr>
          <w:p w14:paraId="3944E346" w14:textId="77777777" w:rsidR="00144866" w:rsidRPr="0053182F" w:rsidRDefault="00144866" w:rsidP="00D20468">
            <w:pPr>
              <w:spacing w:after="0" w:line="480" w:lineRule="auto"/>
              <w:rPr>
                <w:rFonts w:eastAsia="Times New Roman"/>
                <w:color w:val="auto"/>
                <w:sz w:val="20"/>
                <w:szCs w:val="20"/>
                <w:lang w:eastAsia="en-GB"/>
              </w:rPr>
            </w:pPr>
          </w:p>
        </w:tc>
        <w:tc>
          <w:tcPr>
            <w:tcW w:w="970" w:type="dxa"/>
            <w:gridSpan w:val="3"/>
            <w:tcBorders>
              <w:top w:val="nil"/>
              <w:left w:val="nil"/>
              <w:bottom w:val="nil"/>
              <w:right w:val="nil"/>
            </w:tcBorders>
            <w:textDirection w:val="btLr"/>
            <w:vAlign w:val="bottom"/>
            <w:hideMark/>
          </w:tcPr>
          <w:p w14:paraId="22CFC8BA" w14:textId="77777777" w:rsidR="00144866" w:rsidRPr="0053182F" w:rsidRDefault="00144866" w:rsidP="00D20468">
            <w:pPr>
              <w:spacing w:after="0" w:line="480" w:lineRule="auto"/>
              <w:rPr>
                <w:rFonts w:eastAsia="Times New Roman"/>
                <w:color w:val="auto"/>
                <w:sz w:val="20"/>
                <w:szCs w:val="20"/>
                <w:lang w:eastAsia="en-GB"/>
              </w:rPr>
            </w:pPr>
            <w:r w:rsidRPr="0053182F">
              <w:rPr>
                <w:rFonts w:eastAsia="Times New Roman"/>
                <w:color w:val="auto"/>
                <w:sz w:val="20"/>
                <w:szCs w:val="20"/>
                <w:lang w:eastAsia="en-GB"/>
              </w:rPr>
              <w:t xml:space="preserve">France Duty of Vigilance Law </w:t>
            </w:r>
          </w:p>
        </w:tc>
        <w:tc>
          <w:tcPr>
            <w:tcW w:w="1134" w:type="dxa"/>
            <w:gridSpan w:val="4"/>
            <w:tcBorders>
              <w:top w:val="nil"/>
              <w:left w:val="nil"/>
              <w:bottom w:val="nil"/>
              <w:right w:val="nil"/>
            </w:tcBorders>
            <w:textDirection w:val="btLr"/>
            <w:vAlign w:val="bottom"/>
            <w:hideMark/>
          </w:tcPr>
          <w:p w14:paraId="18544850" w14:textId="77777777" w:rsidR="00144866" w:rsidRPr="0053182F" w:rsidRDefault="00144866" w:rsidP="00D20468">
            <w:pPr>
              <w:spacing w:after="0" w:line="480" w:lineRule="auto"/>
              <w:rPr>
                <w:rFonts w:eastAsia="Times New Roman"/>
                <w:color w:val="auto"/>
                <w:sz w:val="20"/>
                <w:szCs w:val="20"/>
                <w:lang w:eastAsia="en-GB"/>
              </w:rPr>
            </w:pPr>
          </w:p>
        </w:tc>
        <w:tc>
          <w:tcPr>
            <w:tcW w:w="1025" w:type="dxa"/>
            <w:gridSpan w:val="3"/>
            <w:tcBorders>
              <w:top w:val="nil"/>
              <w:left w:val="nil"/>
              <w:bottom w:val="nil"/>
              <w:right w:val="nil"/>
            </w:tcBorders>
            <w:textDirection w:val="btLr"/>
            <w:vAlign w:val="bottom"/>
            <w:hideMark/>
          </w:tcPr>
          <w:p w14:paraId="7466D623" w14:textId="77777777" w:rsidR="00144866" w:rsidRPr="0053182F" w:rsidRDefault="00144866" w:rsidP="00D20468">
            <w:pPr>
              <w:spacing w:after="0" w:line="480" w:lineRule="auto"/>
              <w:rPr>
                <w:rFonts w:eastAsia="Times New Roman"/>
                <w:color w:val="auto"/>
                <w:sz w:val="20"/>
                <w:szCs w:val="20"/>
                <w:lang w:eastAsia="en-GB"/>
              </w:rPr>
            </w:pPr>
            <w:r w:rsidRPr="0053182F">
              <w:rPr>
                <w:rFonts w:eastAsia="Times New Roman"/>
                <w:color w:val="auto"/>
                <w:sz w:val="20"/>
                <w:szCs w:val="20"/>
                <w:lang w:eastAsia="en-GB"/>
              </w:rPr>
              <w:t>US Uyghur Forced Labor Prevention Act</w:t>
            </w:r>
          </w:p>
        </w:tc>
        <w:tc>
          <w:tcPr>
            <w:tcW w:w="251" w:type="dxa"/>
            <w:gridSpan w:val="3"/>
            <w:tcBorders>
              <w:top w:val="nil"/>
              <w:left w:val="nil"/>
              <w:bottom w:val="nil"/>
              <w:right w:val="nil"/>
            </w:tcBorders>
            <w:textDirection w:val="btLr"/>
            <w:vAlign w:val="bottom"/>
            <w:hideMark/>
          </w:tcPr>
          <w:p w14:paraId="2831FBF2" w14:textId="77777777" w:rsidR="00144866" w:rsidRPr="0053182F" w:rsidRDefault="00144866" w:rsidP="00D20468">
            <w:pPr>
              <w:spacing w:after="0" w:line="480" w:lineRule="auto"/>
              <w:rPr>
                <w:rFonts w:eastAsia="Times New Roman"/>
                <w:color w:val="auto"/>
                <w:sz w:val="20"/>
                <w:szCs w:val="20"/>
                <w:lang w:eastAsia="en-GB"/>
              </w:rPr>
            </w:pPr>
          </w:p>
        </w:tc>
        <w:tc>
          <w:tcPr>
            <w:tcW w:w="992" w:type="dxa"/>
            <w:gridSpan w:val="4"/>
            <w:tcBorders>
              <w:top w:val="nil"/>
              <w:left w:val="nil"/>
              <w:bottom w:val="nil"/>
              <w:right w:val="nil"/>
            </w:tcBorders>
            <w:textDirection w:val="btLr"/>
            <w:vAlign w:val="bottom"/>
            <w:hideMark/>
          </w:tcPr>
          <w:p w14:paraId="209B36E0" w14:textId="77777777" w:rsidR="00144866" w:rsidRPr="0053182F" w:rsidRDefault="00144866" w:rsidP="00D20468">
            <w:pPr>
              <w:spacing w:after="0" w:line="480" w:lineRule="auto"/>
              <w:rPr>
                <w:rFonts w:eastAsia="Times New Roman"/>
                <w:color w:val="auto"/>
                <w:sz w:val="20"/>
                <w:szCs w:val="20"/>
                <w:lang w:eastAsia="en-GB"/>
              </w:rPr>
            </w:pPr>
            <w:r w:rsidRPr="0053182F">
              <w:rPr>
                <w:rFonts w:eastAsia="Times New Roman"/>
                <w:color w:val="auto"/>
                <w:sz w:val="20"/>
                <w:szCs w:val="20"/>
                <w:lang w:eastAsia="en-GB"/>
              </w:rPr>
              <w:t xml:space="preserve">Canada Forced Labour Act </w:t>
            </w:r>
          </w:p>
        </w:tc>
        <w:tc>
          <w:tcPr>
            <w:tcW w:w="474" w:type="dxa"/>
            <w:gridSpan w:val="2"/>
            <w:tcBorders>
              <w:top w:val="nil"/>
              <w:left w:val="nil"/>
              <w:bottom w:val="nil"/>
              <w:right w:val="nil"/>
            </w:tcBorders>
            <w:textDirection w:val="btLr"/>
            <w:vAlign w:val="bottom"/>
            <w:hideMark/>
          </w:tcPr>
          <w:p w14:paraId="7D94FF8B" w14:textId="77777777" w:rsidR="00144866" w:rsidRPr="0053182F" w:rsidRDefault="00144866" w:rsidP="00D20468">
            <w:pPr>
              <w:spacing w:after="0" w:line="480" w:lineRule="auto"/>
              <w:rPr>
                <w:rFonts w:eastAsia="Times New Roman"/>
                <w:color w:val="auto"/>
                <w:sz w:val="20"/>
                <w:szCs w:val="20"/>
                <w:lang w:eastAsia="en-GB"/>
              </w:rPr>
            </w:pPr>
          </w:p>
        </w:tc>
        <w:tc>
          <w:tcPr>
            <w:tcW w:w="1291" w:type="dxa"/>
            <w:gridSpan w:val="6"/>
            <w:tcBorders>
              <w:top w:val="nil"/>
              <w:left w:val="nil"/>
              <w:bottom w:val="nil"/>
              <w:right w:val="nil"/>
            </w:tcBorders>
            <w:textDirection w:val="btLr"/>
            <w:vAlign w:val="bottom"/>
            <w:hideMark/>
          </w:tcPr>
          <w:p w14:paraId="581C8556" w14:textId="77777777" w:rsidR="00144866" w:rsidRPr="0053182F" w:rsidRDefault="00144866" w:rsidP="00D20468">
            <w:pPr>
              <w:spacing w:after="0" w:line="480" w:lineRule="auto"/>
              <w:rPr>
                <w:rFonts w:eastAsia="Times New Roman"/>
                <w:color w:val="auto"/>
                <w:sz w:val="20"/>
                <w:szCs w:val="20"/>
                <w:lang w:eastAsia="en-GB"/>
              </w:rPr>
            </w:pPr>
            <w:r w:rsidRPr="0053182F">
              <w:rPr>
                <w:rFonts w:eastAsia="Times New Roman"/>
                <w:color w:val="auto"/>
                <w:sz w:val="20"/>
                <w:szCs w:val="20"/>
                <w:lang w:eastAsia="en-GB"/>
              </w:rPr>
              <w:t xml:space="preserve">EU Corporate Sustainability Directive Effective </w:t>
            </w:r>
          </w:p>
        </w:tc>
        <w:tc>
          <w:tcPr>
            <w:tcW w:w="742" w:type="dxa"/>
            <w:gridSpan w:val="4"/>
            <w:tcBorders>
              <w:top w:val="nil"/>
              <w:left w:val="nil"/>
              <w:bottom w:val="nil"/>
              <w:right w:val="nil"/>
            </w:tcBorders>
            <w:noWrap/>
            <w:vAlign w:val="bottom"/>
            <w:hideMark/>
          </w:tcPr>
          <w:p w14:paraId="5934083C" w14:textId="77777777" w:rsidR="00144866" w:rsidRPr="0053182F" w:rsidRDefault="00144866" w:rsidP="00D20468">
            <w:pPr>
              <w:spacing w:after="0" w:line="480" w:lineRule="auto"/>
              <w:rPr>
                <w:rFonts w:eastAsia="Times New Roman"/>
                <w:color w:val="auto"/>
                <w:sz w:val="20"/>
                <w:szCs w:val="20"/>
                <w:lang w:eastAsia="en-GB"/>
              </w:rPr>
            </w:pPr>
          </w:p>
          <w:p w14:paraId="3C2CD764" w14:textId="77777777" w:rsidR="00144866" w:rsidRPr="0053182F" w:rsidRDefault="00144866" w:rsidP="00D20468">
            <w:pPr>
              <w:spacing w:after="0" w:line="480" w:lineRule="auto"/>
              <w:rPr>
                <w:rFonts w:eastAsia="Times New Roman"/>
                <w:color w:val="auto"/>
                <w:sz w:val="20"/>
                <w:szCs w:val="20"/>
                <w:lang w:eastAsia="en-GB"/>
              </w:rPr>
            </w:pPr>
          </w:p>
        </w:tc>
      </w:tr>
    </w:tbl>
    <w:p w14:paraId="55407A32" w14:textId="77777777" w:rsidR="00144866" w:rsidRPr="0053182F" w:rsidRDefault="00144866" w:rsidP="00144866">
      <w:pPr>
        <w:pStyle w:val="Caption"/>
      </w:pPr>
    </w:p>
    <w:p w14:paraId="259CA210" w14:textId="77777777" w:rsidR="00144866" w:rsidRPr="0053182F" w:rsidRDefault="00144866" w:rsidP="00144866">
      <w:pPr>
        <w:pStyle w:val="Caption"/>
      </w:pPr>
    </w:p>
    <w:p w14:paraId="050207BF" w14:textId="77777777" w:rsidR="00144866" w:rsidRPr="0053182F" w:rsidRDefault="00144866" w:rsidP="00144866">
      <w:pPr>
        <w:pStyle w:val="Caption"/>
      </w:pPr>
    </w:p>
    <w:p w14:paraId="39EFEC40" w14:textId="77777777" w:rsidR="00144866" w:rsidRPr="0053182F" w:rsidRDefault="00144866" w:rsidP="00144866">
      <w:pPr>
        <w:pStyle w:val="Caption"/>
      </w:pPr>
    </w:p>
    <w:p w14:paraId="44472020" w14:textId="77777777" w:rsidR="00144866" w:rsidRPr="0053182F" w:rsidRDefault="00144866" w:rsidP="00144866">
      <w:pPr>
        <w:pStyle w:val="Caption"/>
      </w:pPr>
    </w:p>
    <w:p w14:paraId="77A85366" w14:textId="77777777" w:rsidR="00144866" w:rsidRPr="0053182F" w:rsidRDefault="00144866" w:rsidP="00144866">
      <w:pPr>
        <w:pStyle w:val="Caption"/>
      </w:pPr>
    </w:p>
    <w:p w14:paraId="0F945FDA" w14:textId="77777777" w:rsidR="00144866" w:rsidRPr="0053182F" w:rsidRDefault="00144866" w:rsidP="00144866">
      <w:pPr>
        <w:pStyle w:val="Caption"/>
      </w:pPr>
    </w:p>
    <w:p w14:paraId="4A2DE1F8" w14:textId="77777777" w:rsidR="00144866" w:rsidRPr="0053182F" w:rsidRDefault="00144866" w:rsidP="00144866">
      <w:pPr>
        <w:pStyle w:val="Caption"/>
      </w:pPr>
    </w:p>
    <w:p w14:paraId="5D42D4A3" w14:textId="77777777" w:rsidR="00144866" w:rsidRPr="0053182F" w:rsidRDefault="00144866" w:rsidP="00144866">
      <w:pPr>
        <w:pStyle w:val="Caption"/>
      </w:pPr>
    </w:p>
    <w:p w14:paraId="67E4607B" w14:textId="77777777" w:rsidR="00144866" w:rsidRPr="0053182F" w:rsidRDefault="00144866" w:rsidP="00144866">
      <w:pPr>
        <w:pStyle w:val="Caption"/>
      </w:pPr>
    </w:p>
    <w:p w14:paraId="3F5644C5" w14:textId="77777777" w:rsidR="00144866" w:rsidRPr="0053182F" w:rsidRDefault="00144866" w:rsidP="00144866">
      <w:pPr>
        <w:pStyle w:val="Caption"/>
      </w:pPr>
    </w:p>
    <w:p w14:paraId="6B991D98" w14:textId="77777777" w:rsidR="00144866" w:rsidRPr="0053182F" w:rsidRDefault="00144866" w:rsidP="00144866">
      <w:pPr>
        <w:pStyle w:val="Caption"/>
      </w:pPr>
    </w:p>
    <w:p w14:paraId="6C113CDD" w14:textId="77777777" w:rsidR="00144866" w:rsidRPr="0053182F" w:rsidRDefault="00144866" w:rsidP="00144866">
      <w:pPr>
        <w:pStyle w:val="Caption"/>
      </w:pPr>
    </w:p>
    <w:p w14:paraId="6C58D2CF" w14:textId="77777777" w:rsidR="00144866" w:rsidRPr="0053182F" w:rsidRDefault="00144866" w:rsidP="00144866">
      <w:pPr>
        <w:pStyle w:val="Caption"/>
      </w:pPr>
    </w:p>
    <w:p w14:paraId="269C3807" w14:textId="77777777" w:rsidR="00144866" w:rsidRPr="0053182F" w:rsidRDefault="00144866" w:rsidP="00144866">
      <w:pPr>
        <w:pStyle w:val="Caption"/>
      </w:pPr>
    </w:p>
    <w:p w14:paraId="521E1C83" w14:textId="77777777" w:rsidR="00144866" w:rsidRPr="0053182F" w:rsidRDefault="00144866" w:rsidP="00144866">
      <w:pPr>
        <w:pStyle w:val="Caption"/>
      </w:pPr>
    </w:p>
    <w:p w14:paraId="6838C1BA" w14:textId="77777777" w:rsidR="00144866" w:rsidRPr="0053182F" w:rsidRDefault="00144866" w:rsidP="00144866">
      <w:pPr>
        <w:pStyle w:val="Caption"/>
      </w:pPr>
    </w:p>
    <w:p w14:paraId="60F52A7A" w14:textId="77777777" w:rsidR="00144866" w:rsidRPr="0053182F" w:rsidRDefault="00144866" w:rsidP="00144866">
      <w:pPr>
        <w:pStyle w:val="Caption"/>
      </w:pPr>
      <w:r w:rsidRPr="0053182F">
        <w:rPr>
          <w:b/>
          <w:bCs/>
        </w:rPr>
        <w:t>Figure 2:</w:t>
      </w:r>
      <w:r w:rsidR="001B7F3B" w:rsidRPr="0053182F">
        <w:rPr>
          <w:b/>
          <w:bCs/>
        </w:rPr>
        <w:t>8</w:t>
      </w:r>
      <w:r w:rsidRPr="0053182F">
        <w:rPr>
          <w:b/>
          <w:bCs/>
        </w:rPr>
        <w:t>:</w:t>
      </w:r>
      <w:r w:rsidRPr="0053182F">
        <w:t xml:space="preserve"> Timeline of the Modern Slavery Regulation Development</w:t>
      </w:r>
    </w:p>
    <w:p w14:paraId="646CEB3D" w14:textId="2764C8AC" w:rsidR="001B7F3B" w:rsidRPr="0053182F" w:rsidRDefault="001B7F3B" w:rsidP="001B7F3B">
      <w:pPr>
        <w:jc w:val="center"/>
        <w:sectPr w:rsidR="001B7F3B" w:rsidRPr="0053182F" w:rsidSect="00144866">
          <w:pgSz w:w="16838" w:h="11906" w:orient="landscape"/>
          <w:pgMar w:top="1440" w:right="1440" w:bottom="1440" w:left="1440" w:header="709" w:footer="709" w:gutter="0"/>
          <w:cols w:space="708"/>
          <w:docGrid w:linePitch="360"/>
        </w:sectPr>
      </w:pPr>
      <w:r w:rsidRPr="0053182F">
        <w:rPr>
          <w:b/>
          <w:bCs/>
        </w:rPr>
        <w:t>Source:</w:t>
      </w:r>
      <w:r w:rsidRPr="0053182F">
        <w:t xml:space="preserve"> Author’s own work</w:t>
      </w:r>
    </w:p>
    <w:p w14:paraId="418967DD" w14:textId="6F1B0592" w:rsidR="00144866" w:rsidRPr="0053182F" w:rsidRDefault="00144866" w:rsidP="00144866">
      <w:pPr>
        <w:pStyle w:val="Caption"/>
        <w:keepNext/>
      </w:pPr>
      <w:r w:rsidRPr="0053182F">
        <w:rPr>
          <w:b/>
          <w:bCs/>
        </w:rPr>
        <w:t>Table 2</w:t>
      </w:r>
      <w:r w:rsidR="001B7F3B" w:rsidRPr="0053182F">
        <w:rPr>
          <w:b/>
          <w:bCs/>
        </w:rPr>
        <w:t>.2:</w:t>
      </w:r>
      <w:r w:rsidRPr="0053182F">
        <w:t xml:space="preserve"> Summ</w:t>
      </w:r>
      <w:r w:rsidR="00853E5A" w:rsidRPr="0053182F">
        <w:t>a</w:t>
      </w:r>
      <w:r w:rsidRPr="0053182F">
        <w:t>ry of Anti-Modern Slavery Legislation Development</w:t>
      </w:r>
    </w:p>
    <w:tbl>
      <w:tblPr>
        <w:tblW w:w="14667" w:type="dxa"/>
        <w:tblCellSpacing w:w="15" w:type="dxa"/>
        <w:tblBorders>
          <w:bottom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989"/>
        <w:gridCol w:w="1988"/>
        <w:gridCol w:w="1119"/>
        <w:gridCol w:w="170"/>
        <w:gridCol w:w="2255"/>
        <w:gridCol w:w="316"/>
        <w:gridCol w:w="2377"/>
        <w:gridCol w:w="317"/>
        <w:gridCol w:w="3461"/>
        <w:gridCol w:w="497"/>
        <w:gridCol w:w="1085"/>
        <w:gridCol w:w="93"/>
      </w:tblGrid>
      <w:tr w:rsidR="00144866" w:rsidRPr="0053182F" w14:paraId="2D846A1C" w14:textId="77777777" w:rsidTr="00D20468">
        <w:trPr>
          <w:tblHeader/>
          <w:tblCellSpacing w:w="15" w:type="dxa"/>
        </w:trPr>
        <w:tc>
          <w:tcPr>
            <w:tcW w:w="944" w:type="dxa"/>
            <w:tcBorders>
              <w:top w:val="single" w:sz="4" w:space="0" w:color="auto"/>
              <w:bottom w:val="single" w:sz="4" w:space="0" w:color="auto"/>
            </w:tcBorders>
            <w:vAlign w:val="center"/>
            <w:hideMark/>
          </w:tcPr>
          <w:p w14:paraId="4F6267EB" w14:textId="77777777" w:rsidR="00144866" w:rsidRPr="0053182F" w:rsidRDefault="00144866" w:rsidP="00D20468">
            <w:pPr>
              <w:spacing w:after="0" w:line="240" w:lineRule="auto"/>
              <w:jc w:val="center"/>
              <w:rPr>
                <w:rFonts w:eastAsia="Times New Roman"/>
                <w:b/>
                <w:bCs/>
                <w:sz w:val="22"/>
                <w:szCs w:val="22"/>
                <w:lang w:eastAsia="en-GB"/>
              </w:rPr>
            </w:pPr>
            <w:r w:rsidRPr="0053182F">
              <w:rPr>
                <w:rFonts w:eastAsia="Times New Roman"/>
                <w:b/>
                <w:bCs/>
                <w:sz w:val="22"/>
                <w:szCs w:val="22"/>
                <w:lang w:eastAsia="en-GB"/>
              </w:rPr>
              <w:t>Year</w:t>
            </w:r>
          </w:p>
        </w:tc>
        <w:tc>
          <w:tcPr>
            <w:tcW w:w="1958" w:type="dxa"/>
            <w:tcBorders>
              <w:top w:val="single" w:sz="4" w:space="0" w:color="auto"/>
              <w:bottom w:val="single" w:sz="4" w:space="0" w:color="auto"/>
            </w:tcBorders>
            <w:vAlign w:val="center"/>
            <w:hideMark/>
          </w:tcPr>
          <w:p w14:paraId="0D398C06" w14:textId="77777777" w:rsidR="00144866" w:rsidRPr="0053182F" w:rsidRDefault="00144866" w:rsidP="00D20468">
            <w:pPr>
              <w:spacing w:after="0" w:line="240" w:lineRule="auto"/>
              <w:jc w:val="center"/>
              <w:rPr>
                <w:rFonts w:eastAsia="Times New Roman"/>
                <w:b/>
                <w:bCs/>
                <w:sz w:val="22"/>
                <w:szCs w:val="22"/>
                <w:lang w:eastAsia="en-GB"/>
              </w:rPr>
            </w:pPr>
            <w:r w:rsidRPr="0053182F">
              <w:rPr>
                <w:rFonts w:eastAsia="Times New Roman"/>
                <w:b/>
                <w:bCs/>
                <w:sz w:val="22"/>
                <w:szCs w:val="22"/>
                <w:lang w:eastAsia="en-GB"/>
              </w:rPr>
              <w:t>Legislation/ Initiative</w:t>
            </w:r>
          </w:p>
        </w:tc>
        <w:tc>
          <w:tcPr>
            <w:tcW w:w="1259" w:type="dxa"/>
            <w:gridSpan w:val="2"/>
            <w:tcBorders>
              <w:top w:val="single" w:sz="4" w:space="0" w:color="auto"/>
              <w:bottom w:val="single" w:sz="4" w:space="0" w:color="auto"/>
            </w:tcBorders>
            <w:vAlign w:val="center"/>
            <w:hideMark/>
          </w:tcPr>
          <w:p w14:paraId="73BD7A00" w14:textId="77777777" w:rsidR="00144866" w:rsidRPr="0053182F" w:rsidRDefault="00144866" w:rsidP="00D20468">
            <w:pPr>
              <w:spacing w:after="0" w:line="240" w:lineRule="auto"/>
              <w:jc w:val="center"/>
              <w:rPr>
                <w:rFonts w:eastAsia="Times New Roman"/>
                <w:b/>
                <w:bCs/>
                <w:sz w:val="22"/>
                <w:szCs w:val="22"/>
                <w:lang w:eastAsia="en-GB"/>
              </w:rPr>
            </w:pPr>
            <w:r w:rsidRPr="0053182F">
              <w:rPr>
                <w:rFonts w:eastAsia="Times New Roman"/>
                <w:b/>
                <w:bCs/>
                <w:sz w:val="22"/>
                <w:szCs w:val="22"/>
                <w:lang w:eastAsia="en-GB"/>
              </w:rPr>
              <w:t>Country/ Region</w:t>
            </w:r>
          </w:p>
        </w:tc>
        <w:tc>
          <w:tcPr>
            <w:tcW w:w="2541" w:type="dxa"/>
            <w:gridSpan w:val="2"/>
            <w:tcBorders>
              <w:top w:val="single" w:sz="4" w:space="0" w:color="auto"/>
              <w:bottom w:val="single" w:sz="4" w:space="0" w:color="auto"/>
            </w:tcBorders>
            <w:vAlign w:val="center"/>
            <w:hideMark/>
          </w:tcPr>
          <w:p w14:paraId="46FE3834" w14:textId="77777777" w:rsidR="00144866" w:rsidRPr="0053182F" w:rsidRDefault="00144866" w:rsidP="00D20468">
            <w:pPr>
              <w:spacing w:after="0" w:line="240" w:lineRule="auto"/>
              <w:jc w:val="center"/>
              <w:rPr>
                <w:rFonts w:eastAsia="Times New Roman"/>
                <w:b/>
                <w:bCs/>
                <w:sz w:val="22"/>
                <w:szCs w:val="22"/>
                <w:lang w:eastAsia="en-GB"/>
              </w:rPr>
            </w:pPr>
            <w:r w:rsidRPr="0053182F">
              <w:rPr>
                <w:rFonts w:eastAsia="Times New Roman"/>
                <w:b/>
                <w:bCs/>
                <w:sz w:val="22"/>
                <w:szCs w:val="22"/>
                <w:lang w:eastAsia="en-GB"/>
              </w:rPr>
              <w:t>Applicability</w:t>
            </w:r>
          </w:p>
        </w:tc>
        <w:tc>
          <w:tcPr>
            <w:tcW w:w="2664" w:type="dxa"/>
            <w:gridSpan w:val="2"/>
            <w:tcBorders>
              <w:top w:val="single" w:sz="4" w:space="0" w:color="auto"/>
              <w:bottom w:val="single" w:sz="4" w:space="0" w:color="auto"/>
            </w:tcBorders>
          </w:tcPr>
          <w:p w14:paraId="21BEF371" w14:textId="77777777" w:rsidR="00144866" w:rsidRPr="0053182F" w:rsidRDefault="00144866" w:rsidP="00D20468">
            <w:pPr>
              <w:spacing w:after="0" w:line="240" w:lineRule="auto"/>
              <w:rPr>
                <w:rFonts w:eastAsia="Times New Roman"/>
                <w:b/>
                <w:bCs/>
                <w:sz w:val="22"/>
                <w:szCs w:val="22"/>
                <w:lang w:eastAsia="en-GB"/>
              </w:rPr>
            </w:pPr>
            <w:r w:rsidRPr="0053182F">
              <w:rPr>
                <w:rFonts w:eastAsia="Times New Roman"/>
                <w:b/>
                <w:bCs/>
                <w:sz w:val="22"/>
                <w:szCs w:val="22"/>
                <w:lang w:eastAsia="en-GB"/>
              </w:rPr>
              <w:t>Key Obligations</w:t>
            </w:r>
          </w:p>
        </w:tc>
        <w:tc>
          <w:tcPr>
            <w:tcW w:w="3928" w:type="dxa"/>
            <w:gridSpan w:val="2"/>
            <w:tcBorders>
              <w:top w:val="single" w:sz="4" w:space="0" w:color="auto"/>
              <w:bottom w:val="single" w:sz="4" w:space="0" w:color="auto"/>
            </w:tcBorders>
            <w:vAlign w:val="center"/>
            <w:hideMark/>
          </w:tcPr>
          <w:p w14:paraId="358DF3A5" w14:textId="77777777" w:rsidR="00144866" w:rsidRPr="0053182F" w:rsidRDefault="00144866" w:rsidP="00D20468">
            <w:pPr>
              <w:spacing w:after="0" w:line="240" w:lineRule="auto"/>
              <w:jc w:val="center"/>
              <w:rPr>
                <w:rFonts w:eastAsia="Times New Roman"/>
                <w:b/>
                <w:bCs/>
                <w:sz w:val="22"/>
                <w:szCs w:val="22"/>
                <w:lang w:eastAsia="en-GB"/>
              </w:rPr>
            </w:pPr>
            <w:r w:rsidRPr="0053182F">
              <w:rPr>
                <w:rFonts w:eastAsia="Times New Roman"/>
                <w:b/>
                <w:bCs/>
                <w:sz w:val="22"/>
                <w:szCs w:val="22"/>
                <w:lang w:eastAsia="en-GB"/>
              </w:rPr>
              <w:t>Key Focus</w:t>
            </w:r>
          </w:p>
        </w:tc>
        <w:tc>
          <w:tcPr>
            <w:tcW w:w="1133" w:type="dxa"/>
            <w:gridSpan w:val="2"/>
            <w:tcBorders>
              <w:top w:val="single" w:sz="4" w:space="0" w:color="auto"/>
              <w:bottom w:val="single" w:sz="4" w:space="0" w:color="auto"/>
            </w:tcBorders>
            <w:vAlign w:val="center"/>
            <w:hideMark/>
          </w:tcPr>
          <w:p w14:paraId="21C8C042" w14:textId="77777777" w:rsidR="00144866" w:rsidRPr="0053182F" w:rsidRDefault="00144866" w:rsidP="00D20468">
            <w:pPr>
              <w:spacing w:after="0" w:line="240" w:lineRule="auto"/>
              <w:jc w:val="center"/>
              <w:rPr>
                <w:rFonts w:eastAsia="Times New Roman"/>
                <w:b/>
                <w:bCs/>
                <w:sz w:val="22"/>
                <w:szCs w:val="22"/>
                <w:lang w:eastAsia="en-GB"/>
              </w:rPr>
            </w:pPr>
            <w:r w:rsidRPr="0053182F">
              <w:rPr>
                <w:rFonts w:eastAsia="Times New Roman"/>
                <w:b/>
                <w:bCs/>
                <w:sz w:val="22"/>
                <w:szCs w:val="22"/>
                <w:lang w:eastAsia="en-GB"/>
              </w:rPr>
              <w:t>Source</w:t>
            </w:r>
          </w:p>
        </w:tc>
      </w:tr>
      <w:tr w:rsidR="00144866" w:rsidRPr="0053182F" w14:paraId="52BCD20B" w14:textId="77777777" w:rsidTr="00D20468">
        <w:trPr>
          <w:gridAfter w:val="1"/>
          <w:wAfter w:w="48" w:type="dxa"/>
          <w:tblCellSpacing w:w="15" w:type="dxa"/>
        </w:trPr>
        <w:tc>
          <w:tcPr>
            <w:tcW w:w="944" w:type="dxa"/>
            <w:vAlign w:val="center"/>
          </w:tcPr>
          <w:p w14:paraId="4BE78E9C" w14:textId="77777777" w:rsidR="00144866" w:rsidRPr="0053182F" w:rsidRDefault="00144866" w:rsidP="00D20468">
            <w:pPr>
              <w:spacing w:after="0" w:line="240" w:lineRule="auto"/>
              <w:rPr>
                <w:rFonts w:eastAsia="Times New Roman"/>
                <w:b/>
                <w:bCs/>
                <w:sz w:val="22"/>
                <w:szCs w:val="22"/>
                <w:lang w:eastAsia="en-GB"/>
              </w:rPr>
            </w:pPr>
            <w:r w:rsidRPr="0053182F">
              <w:rPr>
                <w:rFonts w:eastAsia="Times New Roman"/>
                <w:b/>
                <w:bCs/>
                <w:sz w:val="22"/>
                <w:szCs w:val="22"/>
                <w:lang w:eastAsia="en-GB"/>
              </w:rPr>
              <w:t>2010 (effective 2012)</w:t>
            </w:r>
          </w:p>
        </w:tc>
        <w:tc>
          <w:tcPr>
            <w:tcW w:w="1958" w:type="dxa"/>
            <w:tcBorders>
              <w:top w:val="nil"/>
              <w:bottom w:val="single" w:sz="4" w:space="0" w:color="auto"/>
            </w:tcBorders>
            <w:vAlign w:val="center"/>
          </w:tcPr>
          <w:p w14:paraId="0D56D9BB" w14:textId="77777777" w:rsidR="00144866" w:rsidRPr="0053182F" w:rsidRDefault="00144866" w:rsidP="00D20468">
            <w:pPr>
              <w:spacing w:after="0" w:line="240" w:lineRule="auto"/>
              <w:rPr>
                <w:rFonts w:eastAsia="Times New Roman"/>
                <w:b/>
                <w:bCs/>
                <w:sz w:val="22"/>
                <w:szCs w:val="22"/>
                <w:lang w:eastAsia="en-GB"/>
              </w:rPr>
            </w:pPr>
            <w:r w:rsidRPr="0053182F">
              <w:rPr>
                <w:rFonts w:eastAsia="Times New Roman"/>
                <w:b/>
                <w:bCs/>
                <w:sz w:val="22"/>
                <w:szCs w:val="22"/>
                <w:lang w:eastAsia="en-GB"/>
              </w:rPr>
              <w:t>California Transparency in Supply Chains Act (CTSCA)</w:t>
            </w:r>
          </w:p>
        </w:tc>
        <w:tc>
          <w:tcPr>
            <w:tcW w:w="1089" w:type="dxa"/>
            <w:tcBorders>
              <w:top w:val="nil"/>
              <w:bottom w:val="single" w:sz="4" w:space="0" w:color="auto"/>
            </w:tcBorders>
            <w:vAlign w:val="center"/>
          </w:tcPr>
          <w:p w14:paraId="57EB935A"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United States (California)</w:t>
            </w:r>
          </w:p>
        </w:tc>
        <w:tc>
          <w:tcPr>
            <w:tcW w:w="2395" w:type="dxa"/>
            <w:gridSpan w:val="2"/>
            <w:tcBorders>
              <w:top w:val="nil"/>
              <w:bottom w:val="single" w:sz="4" w:space="0" w:color="auto"/>
            </w:tcBorders>
            <w:vAlign w:val="center"/>
          </w:tcPr>
          <w:p w14:paraId="0380DB49" w14:textId="3A351835"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 xml:space="preserve">Retailers and manufacturers doing business in California with annual worldwide gross receipts </w:t>
            </w:r>
            <w:r w:rsidR="00853E5A" w:rsidRPr="0053182F">
              <w:rPr>
                <w:rFonts w:eastAsia="Times New Roman"/>
                <w:sz w:val="22"/>
                <w:szCs w:val="22"/>
                <w:lang w:eastAsia="en-GB"/>
              </w:rPr>
              <w:t xml:space="preserve">of  </w:t>
            </w:r>
            <w:r w:rsidRPr="0053182F">
              <w:rPr>
                <w:rFonts w:eastAsia="Times New Roman"/>
                <w:sz w:val="22"/>
                <w:szCs w:val="22"/>
                <w:lang w:eastAsia="en-GB"/>
              </w:rPr>
              <w:t>≥ $100 million</w:t>
            </w:r>
          </w:p>
        </w:tc>
        <w:tc>
          <w:tcPr>
            <w:tcW w:w="2663" w:type="dxa"/>
            <w:gridSpan w:val="2"/>
            <w:tcBorders>
              <w:top w:val="nil"/>
              <w:bottom w:val="single" w:sz="4" w:space="0" w:color="auto"/>
            </w:tcBorders>
          </w:tcPr>
          <w:p w14:paraId="01692F1A"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Companies must disclose on their websites efforts to eliminate human trafficking and slavery in supply chains, addressing five specific areas:</w:t>
            </w:r>
          </w:p>
          <w:p w14:paraId="3B40B909"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1. Verification of supply chains</w:t>
            </w:r>
          </w:p>
          <w:p w14:paraId="3D0757C7"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2. Audits of suppliers</w:t>
            </w:r>
          </w:p>
          <w:p w14:paraId="5DBF3380"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3. Certification of materials’ compliance with laws</w:t>
            </w:r>
          </w:p>
          <w:p w14:paraId="0B2796E9"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4. Internal accountability standards</w:t>
            </w:r>
          </w:p>
          <w:p w14:paraId="08D52138"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5. Training for relevant staff</w:t>
            </w:r>
          </w:p>
        </w:tc>
        <w:tc>
          <w:tcPr>
            <w:tcW w:w="3748" w:type="dxa"/>
            <w:gridSpan w:val="2"/>
            <w:tcBorders>
              <w:top w:val="nil"/>
              <w:bottom w:val="single" w:sz="4" w:space="0" w:color="auto"/>
            </w:tcBorders>
            <w:vAlign w:val="center"/>
          </w:tcPr>
          <w:p w14:paraId="73681A23"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Promoting supply chain transparency to combat slavery and human trafficking</w:t>
            </w:r>
          </w:p>
        </w:tc>
        <w:tc>
          <w:tcPr>
            <w:tcW w:w="1552" w:type="dxa"/>
            <w:gridSpan w:val="2"/>
            <w:tcBorders>
              <w:top w:val="nil"/>
              <w:bottom w:val="single" w:sz="4" w:space="0" w:color="auto"/>
            </w:tcBorders>
            <w:vAlign w:val="center"/>
          </w:tcPr>
          <w:p w14:paraId="7BBFA4C7" w14:textId="77777777" w:rsidR="00144866" w:rsidRPr="0053182F" w:rsidRDefault="00144866" w:rsidP="00D20468">
            <w:pPr>
              <w:spacing w:after="0" w:line="240" w:lineRule="auto"/>
              <w:rPr>
                <w:rFonts w:eastAsia="Times New Roman"/>
                <w:color w:val="0000FF"/>
                <w:sz w:val="22"/>
                <w:szCs w:val="22"/>
                <w:u w:val="single"/>
                <w:lang w:eastAsia="en-GB"/>
              </w:rPr>
            </w:pPr>
            <w:hyperlink r:id="rId23" w:history="1">
              <w:r w:rsidRPr="0053182F">
                <w:rPr>
                  <w:rFonts w:eastAsia="Times New Roman"/>
                  <w:color w:val="0000FF"/>
                  <w:sz w:val="22"/>
                  <w:szCs w:val="22"/>
                  <w:u w:val="single"/>
                  <w:lang w:eastAsia="en-GB"/>
                </w:rPr>
                <w:t>California DOJ</w:t>
              </w:r>
            </w:hyperlink>
          </w:p>
          <w:p w14:paraId="02214E13" w14:textId="77777777" w:rsidR="00144866" w:rsidRPr="0053182F" w:rsidRDefault="00144866" w:rsidP="00D20468">
            <w:pPr>
              <w:spacing w:after="0" w:line="240" w:lineRule="auto"/>
              <w:rPr>
                <w:rFonts w:eastAsia="Times New Roman"/>
                <w:color w:val="0000FF"/>
                <w:sz w:val="22"/>
                <w:szCs w:val="22"/>
                <w:u w:val="single"/>
                <w:lang w:eastAsia="en-GB"/>
              </w:rPr>
            </w:pPr>
          </w:p>
        </w:tc>
      </w:tr>
      <w:tr w:rsidR="00144866" w:rsidRPr="0053182F" w14:paraId="2DDA8993" w14:textId="77777777" w:rsidTr="00D20468">
        <w:trPr>
          <w:gridAfter w:val="1"/>
          <w:wAfter w:w="48" w:type="dxa"/>
          <w:tblCellSpacing w:w="15" w:type="dxa"/>
        </w:trPr>
        <w:tc>
          <w:tcPr>
            <w:tcW w:w="944" w:type="dxa"/>
            <w:vAlign w:val="center"/>
            <w:hideMark/>
          </w:tcPr>
          <w:p w14:paraId="30D2D11B"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2014</w:t>
            </w:r>
          </w:p>
        </w:tc>
        <w:tc>
          <w:tcPr>
            <w:tcW w:w="1958" w:type="dxa"/>
            <w:tcBorders>
              <w:top w:val="nil"/>
              <w:bottom w:val="single" w:sz="4" w:space="0" w:color="auto"/>
            </w:tcBorders>
            <w:vAlign w:val="center"/>
            <w:hideMark/>
          </w:tcPr>
          <w:p w14:paraId="22ACD2E0"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ILO Forced Labour Protocol</w:t>
            </w:r>
          </w:p>
        </w:tc>
        <w:tc>
          <w:tcPr>
            <w:tcW w:w="1089" w:type="dxa"/>
            <w:tcBorders>
              <w:top w:val="nil"/>
              <w:bottom w:val="single" w:sz="4" w:space="0" w:color="auto"/>
            </w:tcBorders>
            <w:vAlign w:val="center"/>
            <w:hideMark/>
          </w:tcPr>
          <w:p w14:paraId="5B229B96"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Global</w:t>
            </w:r>
          </w:p>
          <w:p w14:paraId="59B7BCE1"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./302 (ILO)</w:t>
            </w:r>
          </w:p>
        </w:tc>
        <w:tc>
          <w:tcPr>
            <w:tcW w:w="2395" w:type="dxa"/>
            <w:gridSpan w:val="2"/>
            <w:tcBorders>
              <w:top w:val="nil"/>
              <w:bottom w:val="single" w:sz="4" w:space="0" w:color="auto"/>
            </w:tcBorders>
            <w:vAlign w:val="center"/>
            <w:hideMark/>
          </w:tcPr>
          <w:p w14:paraId="78D5F973"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All ILO member states that ratify it</w:t>
            </w:r>
          </w:p>
        </w:tc>
        <w:tc>
          <w:tcPr>
            <w:tcW w:w="2663" w:type="dxa"/>
            <w:gridSpan w:val="2"/>
            <w:tcBorders>
              <w:top w:val="nil"/>
              <w:bottom w:val="single" w:sz="4" w:space="0" w:color="auto"/>
            </w:tcBorders>
          </w:tcPr>
          <w:p w14:paraId="43CF9854"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National action plans, victim protection, and enforcement against forced labour.</w:t>
            </w:r>
          </w:p>
        </w:tc>
        <w:tc>
          <w:tcPr>
            <w:tcW w:w="3748" w:type="dxa"/>
            <w:gridSpan w:val="2"/>
            <w:tcBorders>
              <w:top w:val="nil"/>
              <w:bottom w:val="single" w:sz="4" w:space="0" w:color="auto"/>
            </w:tcBorders>
            <w:vAlign w:val="center"/>
            <w:hideMark/>
          </w:tcPr>
          <w:p w14:paraId="0E13A98F" w14:textId="21EE6E31"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 xml:space="preserve">Updates </w:t>
            </w:r>
            <w:r w:rsidR="00853E5A" w:rsidRPr="0053182F">
              <w:rPr>
                <w:rFonts w:eastAsia="Times New Roman"/>
                <w:sz w:val="22"/>
                <w:szCs w:val="22"/>
                <w:lang w:eastAsia="en-GB"/>
              </w:rPr>
              <w:t xml:space="preserve">the </w:t>
            </w:r>
            <w:r w:rsidRPr="0053182F">
              <w:rPr>
                <w:rFonts w:eastAsia="Times New Roman"/>
                <w:sz w:val="22"/>
                <w:szCs w:val="22"/>
                <w:lang w:eastAsia="en-GB"/>
              </w:rPr>
              <w:t xml:space="preserve">1930 Convention to address trafficking and MS; requires national action plans. </w:t>
            </w:r>
          </w:p>
        </w:tc>
        <w:tc>
          <w:tcPr>
            <w:tcW w:w="1552" w:type="dxa"/>
            <w:gridSpan w:val="2"/>
            <w:tcBorders>
              <w:top w:val="nil"/>
              <w:bottom w:val="single" w:sz="4" w:space="0" w:color="auto"/>
            </w:tcBorders>
            <w:vAlign w:val="center"/>
            <w:hideMark/>
          </w:tcPr>
          <w:p w14:paraId="235C7AAA" w14:textId="77777777" w:rsidR="00144866" w:rsidRPr="0053182F" w:rsidRDefault="00144866" w:rsidP="00D20468">
            <w:pPr>
              <w:spacing w:after="0" w:line="240" w:lineRule="auto"/>
              <w:rPr>
                <w:rFonts w:eastAsia="Times New Roman"/>
                <w:sz w:val="22"/>
                <w:szCs w:val="22"/>
                <w:lang w:eastAsia="en-GB"/>
              </w:rPr>
            </w:pPr>
            <w:hyperlink r:id="rId24" w:history="1">
              <w:r w:rsidRPr="0053182F">
                <w:rPr>
                  <w:rFonts w:eastAsia="Times New Roman"/>
                  <w:color w:val="0000FF"/>
                  <w:sz w:val="22"/>
                  <w:szCs w:val="22"/>
                  <w:u w:val="single"/>
                  <w:lang w:eastAsia="en-GB"/>
                </w:rPr>
                <w:t>ILO</w:t>
              </w:r>
            </w:hyperlink>
          </w:p>
        </w:tc>
      </w:tr>
      <w:tr w:rsidR="00144866" w:rsidRPr="0053182F" w14:paraId="62700E52" w14:textId="77777777" w:rsidTr="00D20468">
        <w:trPr>
          <w:gridAfter w:val="1"/>
          <w:wAfter w:w="48" w:type="dxa"/>
          <w:tblCellSpacing w:w="15" w:type="dxa"/>
        </w:trPr>
        <w:tc>
          <w:tcPr>
            <w:tcW w:w="944" w:type="dxa"/>
            <w:vAlign w:val="center"/>
            <w:hideMark/>
          </w:tcPr>
          <w:p w14:paraId="33DCA09F"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2015</w:t>
            </w:r>
          </w:p>
        </w:tc>
        <w:tc>
          <w:tcPr>
            <w:tcW w:w="1958" w:type="dxa"/>
            <w:vAlign w:val="center"/>
            <w:hideMark/>
          </w:tcPr>
          <w:p w14:paraId="320AD3E5"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UK MS Act</w:t>
            </w:r>
          </w:p>
        </w:tc>
        <w:tc>
          <w:tcPr>
            <w:tcW w:w="1089" w:type="dxa"/>
            <w:vAlign w:val="center"/>
            <w:hideMark/>
          </w:tcPr>
          <w:p w14:paraId="646FD3C0"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United Kingdom</w:t>
            </w:r>
          </w:p>
        </w:tc>
        <w:tc>
          <w:tcPr>
            <w:tcW w:w="2395" w:type="dxa"/>
            <w:gridSpan w:val="2"/>
            <w:vAlign w:val="center"/>
            <w:hideMark/>
          </w:tcPr>
          <w:p w14:paraId="311B6B9B" w14:textId="381445B0"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 xml:space="preserve">All businesses operating in </w:t>
            </w:r>
            <w:r w:rsidR="00853E5A" w:rsidRPr="0053182F">
              <w:rPr>
                <w:rFonts w:eastAsia="Times New Roman"/>
                <w:sz w:val="22"/>
                <w:szCs w:val="22"/>
                <w:lang w:eastAsia="en-GB"/>
              </w:rPr>
              <w:t xml:space="preserve">the </w:t>
            </w:r>
            <w:r w:rsidRPr="0053182F">
              <w:rPr>
                <w:rFonts w:eastAsia="Times New Roman"/>
                <w:sz w:val="22"/>
                <w:szCs w:val="22"/>
                <w:lang w:eastAsia="en-GB"/>
              </w:rPr>
              <w:t xml:space="preserve">UK with </w:t>
            </w:r>
            <w:r w:rsidR="00AA5BB3" w:rsidRPr="0053182F">
              <w:rPr>
                <w:rFonts w:eastAsia="Times New Roman"/>
                <w:sz w:val="22"/>
                <w:szCs w:val="22"/>
                <w:lang w:eastAsia="en-GB"/>
              </w:rPr>
              <w:t>a turnover of</w:t>
            </w:r>
            <w:r w:rsidRPr="0053182F">
              <w:rPr>
                <w:rFonts w:eastAsia="Times New Roman"/>
                <w:sz w:val="22"/>
                <w:szCs w:val="22"/>
                <w:lang w:eastAsia="en-GB"/>
              </w:rPr>
              <w:t>≥</w:t>
            </w:r>
            <w:r w:rsidR="00853E5A" w:rsidRPr="0053182F">
              <w:rPr>
                <w:rFonts w:eastAsia="Times New Roman"/>
                <w:sz w:val="22"/>
                <w:szCs w:val="22"/>
                <w:lang w:eastAsia="en-GB"/>
              </w:rPr>
              <w:t xml:space="preserve"> </w:t>
            </w:r>
            <w:r w:rsidRPr="0053182F">
              <w:rPr>
                <w:rFonts w:eastAsia="Times New Roman"/>
                <w:sz w:val="22"/>
                <w:szCs w:val="22"/>
                <w:lang w:eastAsia="en-GB"/>
              </w:rPr>
              <w:t>£36 million turnover</w:t>
            </w:r>
          </w:p>
        </w:tc>
        <w:tc>
          <w:tcPr>
            <w:tcW w:w="2663" w:type="dxa"/>
            <w:gridSpan w:val="2"/>
          </w:tcPr>
          <w:p w14:paraId="03FBE0A5"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Annual slavery statements: criminal offences for trafficking and forced labour.</w:t>
            </w:r>
          </w:p>
        </w:tc>
        <w:tc>
          <w:tcPr>
            <w:tcW w:w="3748" w:type="dxa"/>
            <w:gridSpan w:val="2"/>
            <w:vAlign w:val="center"/>
            <w:hideMark/>
          </w:tcPr>
          <w:p w14:paraId="70E5CA6B"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No penalties for non-compliance; relies on transparency and public accountability.</w:t>
            </w:r>
          </w:p>
          <w:p w14:paraId="3A9358B7" w14:textId="32EF8E2D" w:rsidR="00144866" w:rsidRPr="0053182F" w:rsidRDefault="00853E5A" w:rsidP="00D20468">
            <w:pPr>
              <w:spacing w:after="0" w:line="240" w:lineRule="auto"/>
              <w:jc w:val="both"/>
              <w:rPr>
                <w:rFonts w:eastAsia="Times New Roman"/>
                <w:sz w:val="22"/>
                <w:szCs w:val="22"/>
                <w:lang w:eastAsia="en-GB"/>
              </w:rPr>
            </w:pPr>
            <w:r w:rsidRPr="0053182F">
              <w:rPr>
                <w:rFonts w:eastAsia="Times New Roman"/>
                <w:sz w:val="22"/>
                <w:szCs w:val="22"/>
                <w:lang w:eastAsia="en-GB"/>
              </w:rPr>
              <w:t xml:space="preserve">The </w:t>
            </w:r>
            <w:r w:rsidR="00144866" w:rsidRPr="0053182F">
              <w:rPr>
                <w:rFonts w:eastAsia="Times New Roman"/>
                <w:sz w:val="22"/>
                <w:szCs w:val="22"/>
                <w:lang w:eastAsia="en-GB"/>
              </w:rPr>
              <w:t>2024 House of Lords report proposed stronger enforcement and monitoring.</w:t>
            </w:r>
          </w:p>
        </w:tc>
        <w:tc>
          <w:tcPr>
            <w:tcW w:w="1552" w:type="dxa"/>
            <w:gridSpan w:val="2"/>
            <w:vAlign w:val="center"/>
            <w:hideMark/>
          </w:tcPr>
          <w:p w14:paraId="41BF4969" w14:textId="77777777" w:rsidR="00144866" w:rsidRPr="0053182F" w:rsidRDefault="00144866" w:rsidP="00D20468">
            <w:pPr>
              <w:spacing w:after="0" w:line="240" w:lineRule="auto"/>
              <w:rPr>
                <w:rFonts w:eastAsia="Times New Roman"/>
                <w:sz w:val="22"/>
                <w:szCs w:val="22"/>
                <w:lang w:eastAsia="en-GB"/>
              </w:rPr>
            </w:pPr>
            <w:hyperlink r:id="rId25" w:history="1">
              <w:r w:rsidRPr="0053182F">
                <w:rPr>
                  <w:rFonts w:eastAsia="Times New Roman"/>
                  <w:color w:val="0000FF"/>
                  <w:sz w:val="22"/>
                  <w:szCs w:val="22"/>
                  <w:u w:val="single"/>
                  <w:lang w:eastAsia="en-GB"/>
                </w:rPr>
                <w:t>UK Legislation</w:t>
              </w:r>
            </w:hyperlink>
          </w:p>
        </w:tc>
      </w:tr>
      <w:tr w:rsidR="00144866" w:rsidRPr="0053182F" w14:paraId="249E0540" w14:textId="77777777" w:rsidTr="00D20468">
        <w:trPr>
          <w:gridAfter w:val="1"/>
          <w:wAfter w:w="48" w:type="dxa"/>
          <w:tblCellSpacing w:w="15" w:type="dxa"/>
        </w:trPr>
        <w:tc>
          <w:tcPr>
            <w:tcW w:w="944" w:type="dxa"/>
            <w:vAlign w:val="center"/>
            <w:hideMark/>
          </w:tcPr>
          <w:p w14:paraId="7FE23D12"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2017</w:t>
            </w:r>
          </w:p>
        </w:tc>
        <w:tc>
          <w:tcPr>
            <w:tcW w:w="1958" w:type="dxa"/>
            <w:tcBorders>
              <w:top w:val="single" w:sz="4" w:space="0" w:color="auto"/>
              <w:bottom w:val="nil"/>
            </w:tcBorders>
            <w:vAlign w:val="center"/>
            <w:hideMark/>
          </w:tcPr>
          <w:p w14:paraId="254DE137"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France Corporate</w:t>
            </w:r>
            <w:r w:rsidRPr="0053182F">
              <w:rPr>
                <w:color w:val="425D86"/>
                <w:sz w:val="22"/>
                <w:szCs w:val="22"/>
                <w:shd w:val="clear" w:color="auto" w:fill="FFFFFF"/>
              </w:rPr>
              <w:t> </w:t>
            </w:r>
            <w:r w:rsidRPr="0053182F">
              <w:rPr>
                <w:rFonts w:eastAsia="Times New Roman"/>
                <w:b/>
                <w:bCs/>
                <w:sz w:val="22"/>
                <w:szCs w:val="22"/>
                <w:lang w:eastAsia="en-GB"/>
              </w:rPr>
              <w:t>Duty of Vigilance Law</w:t>
            </w:r>
          </w:p>
        </w:tc>
        <w:tc>
          <w:tcPr>
            <w:tcW w:w="1089" w:type="dxa"/>
            <w:tcBorders>
              <w:top w:val="single" w:sz="4" w:space="0" w:color="auto"/>
              <w:bottom w:val="nil"/>
            </w:tcBorders>
            <w:vAlign w:val="center"/>
            <w:hideMark/>
          </w:tcPr>
          <w:p w14:paraId="37C5B041"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France</w:t>
            </w:r>
          </w:p>
        </w:tc>
        <w:tc>
          <w:tcPr>
            <w:tcW w:w="2395" w:type="dxa"/>
            <w:gridSpan w:val="2"/>
            <w:tcBorders>
              <w:top w:val="single" w:sz="4" w:space="0" w:color="auto"/>
              <w:bottom w:val="nil"/>
            </w:tcBorders>
            <w:vAlign w:val="center"/>
            <w:hideMark/>
          </w:tcPr>
          <w:p w14:paraId="36078D13"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French companies with ≥5,000 employees in France or ≥10,000 globally</w:t>
            </w:r>
          </w:p>
        </w:tc>
        <w:tc>
          <w:tcPr>
            <w:tcW w:w="2663" w:type="dxa"/>
            <w:gridSpan w:val="2"/>
            <w:tcBorders>
              <w:top w:val="single" w:sz="4" w:space="0" w:color="auto"/>
              <w:bottom w:val="nil"/>
            </w:tcBorders>
          </w:tcPr>
          <w:p w14:paraId="5ABBD51D"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Vigilance plans cover risk assessment, prevention, and monitoring.</w:t>
            </w:r>
          </w:p>
        </w:tc>
        <w:tc>
          <w:tcPr>
            <w:tcW w:w="3748" w:type="dxa"/>
            <w:gridSpan w:val="2"/>
            <w:tcBorders>
              <w:top w:val="single" w:sz="4" w:space="0" w:color="auto"/>
              <w:bottom w:val="nil"/>
            </w:tcBorders>
            <w:vAlign w:val="center"/>
            <w:hideMark/>
          </w:tcPr>
          <w:p w14:paraId="72EB90C0" w14:textId="53244009" w:rsidR="00144866" w:rsidRPr="0053182F" w:rsidRDefault="00144866" w:rsidP="00D20468">
            <w:pPr>
              <w:spacing w:after="0" w:line="240" w:lineRule="auto"/>
              <w:jc w:val="both"/>
              <w:rPr>
                <w:rFonts w:eastAsia="Times New Roman"/>
                <w:sz w:val="22"/>
                <w:szCs w:val="22"/>
                <w:lang w:eastAsia="en-GB"/>
              </w:rPr>
            </w:pPr>
            <w:r w:rsidRPr="0053182F">
              <w:rPr>
                <w:sz w:val="22"/>
                <w:szCs w:val="22"/>
              </w:rPr>
              <w:t>French Commercial Code, the vigilance plan has to include: 1. A mapping that identifies, analyses and ranks risks; 2. Procedures to regularly assess, in accordance with the risk mapping, the situation of subsidiaries, subcontractors or suppliers with whom the company maintains an established commercial relationship; 3</w:t>
            </w:r>
            <w:r w:rsidR="00AA5BB3" w:rsidRPr="0053182F">
              <w:rPr>
                <w:sz w:val="22"/>
                <w:szCs w:val="22"/>
              </w:rPr>
              <w:t>—a</w:t>
            </w:r>
            <w:r w:rsidRPr="0053182F">
              <w:rPr>
                <w:sz w:val="22"/>
                <w:szCs w:val="22"/>
              </w:rPr>
              <w:t xml:space="preserve">ppropriate actions to mitigate risks or prevent serious violations; 4. An alert mechanism that collects potential or actual risks, developed in </w:t>
            </w:r>
            <w:r w:rsidR="00AA5BB3" w:rsidRPr="0053182F">
              <w:rPr>
                <w:sz w:val="22"/>
                <w:szCs w:val="22"/>
              </w:rPr>
              <w:t xml:space="preserve">a </w:t>
            </w:r>
            <w:r w:rsidRPr="0053182F">
              <w:rPr>
                <w:sz w:val="22"/>
                <w:szCs w:val="22"/>
              </w:rPr>
              <w:t>working partnership with the trade union organisations</w:t>
            </w:r>
            <w:r w:rsidR="00AA5BB3" w:rsidRPr="0053182F">
              <w:rPr>
                <w:sz w:val="22"/>
                <w:szCs w:val="22"/>
              </w:rPr>
              <w:t>,</w:t>
            </w:r>
            <w:r w:rsidRPr="0053182F">
              <w:rPr>
                <w:sz w:val="22"/>
                <w:szCs w:val="22"/>
              </w:rPr>
              <w:t xml:space="preserve"> representatives of the company concerned 5. A monitoring scheme to follow up on the measures implemented and assess their efficiency.</w:t>
            </w:r>
          </w:p>
          <w:p w14:paraId="521D0013"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Civil liability for non-compliance; enforcement via court orders.</w:t>
            </w:r>
          </w:p>
        </w:tc>
        <w:tc>
          <w:tcPr>
            <w:tcW w:w="1552" w:type="dxa"/>
            <w:gridSpan w:val="2"/>
            <w:tcBorders>
              <w:top w:val="single" w:sz="4" w:space="0" w:color="auto"/>
              <w:bottom w:val="nil"/>
            </w:tcBorders>
            <w:vAlign w:val="center"/>
            <w:hideMark/>
          </w:tcPr>
          <w:p w14:paraId="3D98A927" w14:textId="77777777" w:rsidR="00144866" w:rsidRPr="0053182F" w:rsidRDefault="00144866" w:rsidP="00D20468">
            <w:pPr>
              <w:spacing w:after="0" w:line="240" w:lineRule="auto"/>
              <w:rPr>
                <w:rFonts w:eastAsia="Times New Roman"/>
                <w:sz w:val="22"/>
                <w:szCs w:val="22"/>
                <w:lang w:eastAsia="en-GB"/>
              </w:rPr>
            </w:pPr>
            <w:hyperlink r:id="rId26" w:history="1">
              <w:r w:rsidRPr="0053182F">
                <w:rPr>
                  <w:rFonts w:eastAsia="Times New Roman"/>
                  <w:color w:val="0000FF"/>
                  <w:sz w:val="22"/>
                  <w:szCs w:val="22"/>
                  <w:u w:val="single"/>
                  <w:lang w:eastAsia="en-GB"/>
                </w:rPr>
                <w:t>RESPECT</w:t>
              </w:r>
            </w:hyperlink>
          </w:p>
        </w:tc>
      </w:tr>
      <w:tr w:rsidR="00144866" w:rsidRPr="0053182F" w14:paraId="08922E9A" w14:textId="77777777" w:rsidTr="00D20468">
        <w:trPr>
          <w:gridAfter w:val="1"/>
          <w:wAfter w:w="48" w:type="dxa"/>
          <w:tblCellSpacing w:w="15" w:type="dxa"/>
        </w:trPr>
        <w:tc>
          <w:tcPr>
            <w:tcW w:w="944" w:type="dxa"/>
            <w:vAlign w:val="center"/>
            <w:hideMark/>
          </w:tcPr>
          <w:p w14:paraId="5D3C380C"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2018</w:t>
            </w:r>
          </w:p>
        </w:tc>
        <w:tc>
          <w:tcPr>
            <w:tcW w:w="1958" w:type="dxa"/>
            <w:tcBorders>
              <w:top w:val="single" w:sz="4" w:space="0" w:color="auto"/>
              <w:bottom w:val="nil"/>
            </w:tcBorders>
            <w:vAlign w:val="center"/>
            <w:hideMark/>
          </w:tcPr>
          <w:p w14:paraId="6A3F0F5B"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Australia MS Act</w:t>
            </w:r>
          </w:p>
        </w:tc>
        <w:tc>
          <w:tcPr>
            <w:tcW w:w="1089" w:type="dxa"/>
            <w:tcBorders>
              <w:top w:val="single" w:sz="4" w:space="0" w:color="auto"/>
              <w:bottom w:val="nil"/>
            </w:tcBorders>
            <w:vAlign w:val="center"/>
            <w:hideMark/>
          </w:tcPr>
          <w:p w14:paraId="103CFE96"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Australia</w:t>
            </w:r>
          </w:p>
        </w:tc>
        <w:tc>
          <w:tcPr>
            <w:tcW w:w="2395" w:type="dxa"/>
            <w:gridSpan w:val="2"/>
            <w:tcBorders>
              <w:top w:val="single" w:sz="4" w:space="0" w:color="auto"/>
              <w:bottom w:val="nil"/>
            </w:tcBorders>
            <w:vAlign w:val="center"/>
            <w:hideMark/>
          </w:tcPr>
          <w:p w14:paraId="0EFF82E2"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Entities with annual consolidated revenue ≥AUD 100 million</w:t>
            </w:r>
          </w:p>
        </w:tc>
        <w:tc>
          <w:tcPr>
            <w:tcW w:w="2663" w:type="dxa"/>
            <w:gridSpan w:val="2"/>
            <w:tcBorders>
              <w:top w:val="single" w:sz="4" w:space="0" w:color="auto"/>
              <w:bottom w:val="nil"/>
            </w:tcBorders>
          </w:tcPr>
          <w:p w14:paraId="7B4CC907" w14:textId="1C645781"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Initially</w:t>
            </w:r>
            <w:r w:rsidR="00AA5BB3" w:rsidRPr="0053182F">
              <w:rPr>
                <w:rFonts w:eastAsia="Times New Roman"/>
                <w:sz w:val="22"/>
                <w:szCs w:val="22"/>
                <w:lang w:eastAsia="en-GB"/>
              </w:rPr>
              <w:t>,</w:t>
            </w:r>
            <w:r w:rsidRPr="0053182F">
              <w:rPr>
                <w:rFonts w:eastAsia="Times New Roman"/>
                <w:sz w:val="22"/>
                <w:szCs w:val="22"/>
                <w:lang w:eastAsia="en-GB"/>
              </w:rPr>
              <w:t xml:space="preserve"> no penalties; reforms introduce</w:t>
            </w:r>
            <w:r w:rsidR="00AA5BB3" w:rsidRPr="0053182F">
              <w:rPr>
                <w:rFonts w:eastAsia="Times New Roman"/>
                <w:sz w:val="22"/>
                <w:szCs w:val="22"/>
                <w:lang w:eastAsia="en-GB"/>
              </w:rPr>
              <w:t>d</w:t>
            </w:r>
            <w:r w:rsidRPr="0053182F">
              <w:rPr>
                <w:rFonts w:eastAsia="Times New Roman"/>
                <w:sz w:val="22"/>
                <w:szCs w:val="22"/>
                <w:lang w:eastAsia="en-GB"/>
              </w:rPr>
              <w:t xml:space="preserve"> fines and </w:t>
            </w:r>
            <w:r w:rsidR="00AA5BB3" w:rsidRPr="0053182F">
              <w:rPr>
                <w:rFonts w:eastAsia="Times New Roman"/>
                <w:sz w:val="22"/>
                <w:szCs w:val="22"/>
                <w:lang w:eastAsia="en-GB"/>
              </w:rPr>
              <w:t xml:space="preserve">an </w:t>
            </w:r>
            <w:r w:rsidRPr="0053182F">
              <w:rPr>
                <w:rFonts w:eastAsia="Times New Roman"/>
                <w:sz w:val="22"/>
                <w:szCs w:val="22"/>
                <w:lang w:eastAsia="en-GB"/>
              </w:rPr>
              <w:t>oversight body.</w:t>
            </w:r>
          </w:p>
        </w:tc>
        <w:tc>
          <w:tcPr>
            <w:tcW w:w="3748" w:type="dxa"/>
            <w:gridSpan w:val="2"/>
            <w:tcBorders>
              <w:top w:val="single" w:sz="4" w:space="0" w:color="auto"/>
              <w:bottom w:val="nil"/>
            </w:tcBorders>
            <w:vAlign w:val="center"/>
            <w:hideMark/>
          </w:tcPr>
          <w:p w14:paraId="4BC902D6"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Requires annual reporting on MS risks and mitigation</w:t>
            </w:r>
          </w:p>
        </w:tc>
        <w:tc>
          <w:tcPr>
            <w:tcW w:w="1552" w:type="dxa"/>
            <w:gridSpan w:val="2"/>
            <w:tcBorders>
              <w:top w:val="single" w:sz="4" w:space="0" w:color="auto"/>
              <w:bottom w:val="nil"/>
            </w:tcBorders>
            <w:vAlign w:val="center"/>
            <w:hideMark/>
          </w:tcPr>
          <w:p w14:paraId="797E97CB" w14:textId="77777777" w:rsidR="00144866" w:rsidRPr="0053182F" w:rsidRDefault="00144866" w:rsidP="00D20468">
            <w:pPr>
              <w:spacing w:after="0" w:line="240" w:lineRule="auto"/>
              <w:rPr>
                <w:rFonts w:eastAsia="Times New Roman"/>
                <w:sz w:val="22"/>
                <w:szCs w:val="22"/>
                <w:lang w:eastAsia="en-GB"/>
              </w:rPr>
            </w:pPr>
            <w:hyperlink r:id="rId27" w:history="1">
              <w:r w:rsidRPr="0053182F">
                <w:rPr>
                  <w:rFonts w:eastAsia="Times New Roman"/>
                  <w:color w:val="0000FF"/>
                  <w:sz w:val="22"/>
                  <w:szCs w:val="22"/>
                  <w:u w:val="single"/>
                  <w:lang w:eastAsia="en-GB"/>
                </w:rPr>
                <w:t>AGD Review</w:t>
              </w:r>
            </w:hyperlink>
          </w:p>
        </w:tc>
      </w:tr>
      <w:tr w:rsidR="00144866" w:rsidRPr="0053182F" w14:paraId="3634F6BA" w14:textId="77777777" w:rsidTr="00D20468">
        <w:trPr>
          <w:gridAfter w:val="1"/>
          <w:wAfter w:w="48" w:type="dxa"/>
          <w:tblCellSpacing w:w="15" w:type="dxa"/>
        </w:trPr>
        <w:tc>
          <w:tcPr>
            <w:tcW w:w="944" w:type="dxa"/>
            <w:vAlign w:val="center"/>
            <w:hideMark/>
          </w:tcPr>
          <w:p w14:paraId="6B127421"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2021</w:t>
            </w:r>
          </w:p>
        </w:tc>
        <w:tc>
          <w:tcPr>
            <w:tcW w:w="1958" w:type="dxa"/>
            <w:tcBorders>
              <w:top w:val="single" w:sz="4" w:space="0" w:color="auto"/>
              <w:bottom w:val="nil"/>
            </w:tcBorders>
            <w:vAlign w:val="center"/>
            <w:hideMark/>
          </w:tcPr>
          <w:p w14:paraId="3DFDF9F1" w14:textId="16D23DBF"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US Uyghur Forced Labo</w:t>
            </w:r>
            <w:r w:rsidR="00ED37BE" w:rsidRPr="0053182F">
              <w:rPr>
                <w:rFonts w:eastAsia="Times New Roman"/>
                <w:b/>
                <w:bCs/>
                <w:sz w:val="22"/>
                <w:szCs w:val="22"/>
                <w:lang w:eastAsia="en-GB"/>
              </w:rPr>
              <w:t>u</w:t>
            </w:r>
            <w:r w:rsidRPr="0053182F">
              <w:rPr>
                <w:rFonts w:eastAsia="Times New Roman"/>
                <w:b/>
                <w:bCs/>
                <w:sz w:val="22"/>
                <w:szCs w:val="22"/>
                <w:lang w:eastAsia="en-GB"/>
              </w:rPr>
              <w:t>r Prevention Act (UFLPA)</w:t>
            </w:r>
          </w:p>
        </w:tc>
        <w:tc>
          <w:tcPr>
            <w:tcW w:w="1089" w:type="dxa"/>
            <w:tcBorders>
              <w:top w:val="single" w:sz="4" w:space="0" w:color="auto"/>
              <w:bottom w:val="nil"/>
            </w:tcBorders>
            <w:vAlign w:val="center"/>
            <w:hideMark/>
          </w:tcPr>
          <w:p w14:paraId="536A7861"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United States</w:t>
            </w:r>
          </w:p>
        </w:tc>
        <w:tc>
          <w:tcPr>
            <w:tcW w:w="2395" w:type="dxa"/>
            <w:gridSpan w:val="2"/>
            <w:tcBorders>
              <w:top w:val="single" w:sz="4" w:space="0" w:color="auto"/>
              <w:bottom w:val="nil"/>
            </w:tcBorders>
            <w:vAlign w:val="center"/>
            <w:hideMark/>
          </w:tcPr>
          <w:p w14:paraId="3698F54F"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All importers of goods from China’s Xinjiang region</w:t>
            </w:r>
          </w:p>
        </w:tc>
        <w:tc>
          <w:tcPr>
            <w:tcW w:w="2663" w:type="dxa"/>
            <w:gridSpan w:val="2"/>
            <w:tcBorders>
              <w:top w:val="single" w:sz="4" w:space="0" w:color="auto"/>
              <w:bottom w:val="nil"/>
            </w:tcBorders>
          </w:tcPr>
          <w:p w14:paraId="2507A9E6"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Prohibits imports unless proven not made with forced labour.</w:t>
            </w:r>
          </w:p>
        </w:tc>
        <w:tc>
          <w:tcPr>
            <w:tcW w:w="3748" w:type="dxa"/>
            <w:gridSpan w:val="2"/>
            <w:tcBorders>
              <w:top w:val="single" w:sz="4" w:space="0" w:color="auto"/>
              <w:bottom w:val="nil"/>
            </w:tcBorders>
            <w:vAlign w:val="center"/>
            <w:hideMark/>
          </w:tcPr>
          <w:p w14:paraId="320D99FF"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Presumes goods made in Xinjiang involve forced labour unless proven otherwise</w:t>
            </w:r>
          </w:p>
          <w:p w14:paraId="4ED9A361"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Strict customs enforcement; detentions and rejections.</w:t>
            </w:r>
          </w:p>
        </w:tc>
        <w:tc>
          <w:tcPr>
            <w:tcW w:w="1552" w:type="dxa"/>
            <w:gridSpan w:val="2"/>
            <w:tcBorders>
              <w:top w:val="single" w:sz="4" w:space="0" w:color="auto"/>
              <w:bottom w:val="nil"/>
            </w:tcBorders>
            <w:vAlign w:val="center"/>
            <w:hideMark/>
          </w:tcPr>
          <w:p w14:paraId="0E5D8E9E" w14:textId="77777777" w:rsidR="00144866" w:rsidRPr="0053182F" w:rsidRDefault="00144866" w:rsidP="00D20468">
            <w:pPr>
              <w:spacing w:after="0" w:line="240" w:lineRule="auto"/>
              <w:rPr>
                <w:rFonts w:eastAsia="Times New Roman"/>
                <w:sz w:val="22"/>
                <w:szCs w:val="22"/>
                <w:lang w:eastAsia="en-GB"/>
              </w:rPr>
            </w:pPr>
            <w:hyperlink r:id="rId28" w:history="1">
              <w:r w:rsidRPr="0053182F">
                <w:rPr>
                  <w:rFonts w:eastAsia="Times New Roman"/>
                  <w:color w:val="0000FF"/>
                  <w:sz w:val="22"/>
                  <w:szCs w:val="22"/>
                  <w:u w:val="single"/>
                  <w:lang w:eastAsia="en-GB"/>
                </w:rPr>
                <w:t>CBP</w:t>
              </w:r>
            </w:hyperlink>
          </w:p>
        </w:tc>
      </w:tr>
      <w:tr w:rsidR="00144866" w:rsidRPr="0053182F" w14:paraId="74784719" w14:textId="77777777" w:rsidTr="00D20468">
        <w:trPr>
          <w:gridAfter w:val="1"/>
          <w:wAfter w:w="48" w:type="dxa"/>
          <w:tblCellSpacing w:w="15" w:type="dxa"/>
        </w:trPr>
        <w:tc>
          <w:tcPr>
            <w:tcW w:w="944" w:type="dxa"/>
            <w:vAlign w:val="center"/>
            <w:hideMark/>
          </w:tcPr>
          <w:p w14:paraId="28EA014F"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2023</w:t>
            </w:r>
          </w:p>
        </w:tc>
        <w:tc>
          <w:tcPr>
            <w:tcW w:w="1958" w:type="dxa"/>
            <w:tcBorders>
              <w:top w:val="single" w:sz="4" w:space="0" w:color="auto"/>
              <w:bottom w:val="nil"/>
            </w:tcBorders>
            <w:vAlign w:val="center"/>
            <w:hideMark/>
          </w:tcPr>
          <w:p w14:paraId="3440EEF8"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Germany Supply Chain Act (LkSG)</w:t>
            </w:r>
          </w:p>
        </w:tc>
        <w:tc>
          <w:tcPr>
            <w:tcW w:w="1089" w:type="dxa"/>
            <w:tcBorders>
              <w:top w:val="single" w:sz="4" w:space="0" w:color="auto"/>
              <w:bottom w:val="nil"/>
            </w:tcBorders>
            <w:vAlign w:val="center"/>
            <w:hideMark/>
          </w:tcPr>
          <w:p w14:paraId="3A1C6D92"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Germany</w:t>
            </w:r>
          </w:p>
        </w:tc>
        <w:tc>
          <w:tcPr>
            <w:tcW w:w="2395" w:type="dxa"/>
            <w:gridSpan w:val="2"/>
            <w:tcBorders>
              <w:top w:val="single" w:sz="4" w:space="0" w:color="auto"/>
              <w:bottom w:val="nil"/>
            </w:tcBorders>
            <w:vAlign w:val="center"/>
            <w:hideMark/>
          </w:tcPr>
          <w:p w14:paraId="6FA44CD5"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From 2023: companies with ≥3,000 employees in Germany; from 2024: ≥1,000 employees</w:t>
            </w:r>
          </w:p>
        </w:tc>
        <w:tc>
          <w:tcPr>
            <w:tcW w:w="2663" w:type="dxa"/>
            <w:gridSpan w:val="2"/>
            <w:tcBorders>
              <w:top w:val="single" w:sz="4" w:space="0" w:color="auto"/>
              <w:bottom w:val="nil"/>
            </w:tcBorders>
          </w:tcPr>
          <w:p w14:paraId="0D247C92"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Fines up to Euro 8M or 2% of turnover; public procurement bans.</w:t>
            </w:r>
          </w:p>
        </w:tc>
        <w:tc>
          <w:tcPr>
            <w:tcW w:w="3748" w:type="dxa"/>
            <w:gridSpan w:val="2"/>
            <w:tcBorders>
              <w:top w:val="single" w:sz="4" w:space="0" w:color="auto"/>
              <w:bottom w:val="nil"/>
            </w:tcBorders>
            <w:vAlign w:val="center"/>
            <w:hideMark/>
          </w:tcPr>
          <w:p w14:paraId="4BCBA3D0"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Requires due diligence across supply chains for human rights/environmental risks,</w:t>
            </w:r>
          </w:p>
          <w:p w14:paraId="5E5833EF"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Calls for reform; possible merger with EU rules.</w:t>
            </w:r>
          </w:p>
        </w:tc>
        <w:tc>
          <w:tcPr>
            <w:tcW w:w="1552" w:type="dxa"/>
            <w:gridSpan w:val="2"/>
            <w:tcBorders>
              <w:top w:val="single" w:sz="4" w:space="0" w:color="auto"/>
              <w:bottom w:val="nil"/>
            </w:tcBorders>
            <w:vAlign w:val="center"/>
            <w:hideMark/>
          </w:tcPr>
          <w:p w14:paraId="78CD3BB3" w14:textId="77777777" w:rsidR="00144866" w:rsidRPr="0053182F" w:rsidRDefault="00144866" w:rsidP="00D20468">
            <w:pPr>
              <w:spacing w:after="0" w:line="240" w:lineRule="auto"/>
              <w:rPr>
                <w:rFonts w:eastAsia="Times New Roman"/>
                <w:sz w:val="22"/>
                <w:szCs w:val="22"/>
                <w:lang w:eastAsia="en-GB"/>
              </w:rPr>
            </w:pPr>
            <w:hyperlink r:id="rId29" w:history="1">
              <w:r w:rsidRPr="0053182F">
                <w:rPr>
                  <w:rFonts w:eastAsia="Times New Roman"/>
                  <w:color w:val="0000FF"/>
                  <w:sz w:val="22"/>
                  <w:szCs w:val="22"/>
                  <w:u w:val="single"/>
                  <w:lang w:eastAsia="en-GB"/>
                </w:rPr>
                <w:t>CSR Germany</w:t>
              </w:r>
            </w:hyperlink>
          </w:p>
        </w:tc>
      </w:tr>
      <w:tr w:rsidR="00144866" w:rsidRPr="0053182F" w14:paraId="7BBC4CB1" w14:textId="77777777" w:rsidTr="00D20468">
        <w:trPr>
          <w:gridAfter w:val="1"/>
          <w:wAfter w:w="48" w:type="dxa"/>
          <w:tblCellSpacing w:w="15" w:type="dxa"/>
        </w:trPr>
        <w:tc>
          <w:tcPr>
            <w:tcW w:w="944" w:type="dxa"/>
            <w:vAlign w:val="center"/>
            <w:hideMark/>
          </w:tcPr>
          <w:p w14:paraId="454C7AB3"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2024</w:t>
            </w:r>
          </w:p>
        </w:tc>
        <w:tc>
          <w:tcPr>
            <w:tcW w:w="1958" w:type="dxa"/>
            <w:tcBorders>
              <w:top w:val="single" w:sz="4" w:space="0" w:color="auto"/>
              <w:bottom w:val="single" w:sz="4" w:space="0" w:color="auto"/>
            </w:tcBorders>
            <w:vAlign w:val="center"/>
            <w:hideMark/>
          </w:tcPr>
          <w:p w14:paraId="220BFF2B"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Canada Forced Labour Act</w:t>
            </w:r>
          </w:p>
        </w:tc>
        <w:tc>
          <w:tcPr>
            <w:tcW w:w="1089" w:type="dxa"/>
            <w:tcBorders>
              <w:top w:val="single" w:sz="4" w:space="0" w:color="auto"/>
              <w:bottom w:val="single" w:sz="4" w:space="0" w:color="auto"/>
            </w:tcBorders>
            <w:vAlign w:val="center"/>
            <w:hideMark/>
          </w:tcPr>
          <w:p w14:paraId="4148DBCE"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Canada</w:t>
            </w:r>
          </w:p>
        </w:tc>
        <w:tc>
          <w:tcPr>
            <w:tcW w:w="2395" w:type="dxa"/>
            <w:gridSpan w:val="2"/>
            <w:tcBorders>
              <w:top w:val="single" w:sz="4" w:space="0" w:color="auto"/>
              <w:bottom w:val="single" w:sz="4" w:space="0" w:color="auto"/>
            </w:tcBorders>
            <w:vAlign w:val="center"/>
            <w:hideMark/>
          </w:tcPr>
          <w:p w14:paraId="232536BE"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Entities with ≥CAD 20 million in assets, ≥CAD 40 million in revenue, or ≥250 employees</w:t>
            </w:r>
          </w:p>
        </w:tc>
        <w:tc>
          <w:tcPr>
            <w:tcW w:w="2663" w:type="dxa"/>
            <w:gridSpan w:val="2"/>
            <w:tcBorders>
              <w:top w:val="single" w:sz="4" w:space="0" w:color="auto"/>
              <w:bottom w:val="single" w:sz="4" w:space="0" w:color="auto"/>
            </w:tcBorders>
          </w:tcPr>
          <w:p w14:paraId="65B1E6BF"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Fines up to CAD 250,000 for false or missing reports.</w:t>
            </w:r>
          </w:p>
        </w:tc>
        <w:tc>
          <w:tcPr>
            <w:tcW w:w="3748" w:type="dxa"/>
            <w:gridSpan w:val="2"/>
            <w:tcBorders>
              <w:top w:val="single" w:sz="4" w:space="0" w:color="auto"/>
              <w:bottom w:val="single" w:sz="4" w:space="0" w:color="auto"/>
            </w:tcBorders>
            <w:vAlign w:val="center"/>
            <w:hideMark/>
          </w:tcPr>
          <w:p w14:paraId="74EE116A"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Requires annual reports on steps to address forced and child labour in supply chains. May 2024: First disclosures filed; compliance review ongoing.</w:t>
            </w:r>
          </w:p>
        </w:tc>
        <w:tc>
          <w:tcPr>
            <w:tcW w:w="1552" w:type="dxa"/>
            <w:gridSpan w:val="2"/>
            <w:tcBorders>
              <w:top w:val="single" w:sz="4" w:space="0" w:color="auto"/>
              <w:bottom w:val="single" w:sz="4" w:space="0" w:color="auto"/>
            </w:tcBorders>
            <w:vAlign w:val="center"/>
            <w:hideMark/>
          </w:tcPr>
          <w:p w14:paraId="6C1EFC27" w14:textId="77777777" w:rsidR="00144866" w:rsidRPr="0053182F" w:rsidRDefault="00144866" w:rsidP="00D20468">
            <w:pPr>
              <w:spacing w:after="0" w:line="240" w:lineRule="auto"/>
              <w:rPr>
                <w:rFonts w:eastAsia="Times New Roman"/>
                <w:sz w:val="22"/>
                <w:szCs w:val="22"/>
                <w:lang w:eastAsia="en-GB"/>
              </w:rPr>
            </w:pPr>
            <w:hyperlink r:id="rId30" w:history="1">
              <w:r w:rsidRPr="0053182F">
                <w:rPr>
                  <w:rFonts w:eastAsia="Times New Roman"/>
                  <w:color w:val="0000FF"/>
                  <w:sz w:val="22"/>
                  <w:szCs w:val="22"/>
                  <w:u w:val="single"/>
                  <w:lang w:eastAsia="en-GB"/>
                </w:rPr>
                <w:t>Justice Canada</w:t>
              </w:r>
            </w:hyperlink>
          </w:p>
        </w:tc>
      </w:tr>
      <w:tr w:rsidR="00144866" w:rsidRPr="0053182F" w14:paraId="724EC1EA" w14:textId="77777777" w:rsidTr="00D20468">
        <w:trPr>
          <w:gridAfter w:val="1"/>
          <w:wAfter w:w="48" w:type="dxa"/>
          <w:tblCellSpacing w:w="15" w:type="dxa"/>
        </w:trPr>
        <w:tc>
          <w:tcPr>
            <w:tcW w:w="944" w:type="dxa"/>
            <w:vAlign w:val="center"/>
            <w:hideMark/>
          </w:tcPr>
          <w:p w14:paraId="01D70B21"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2024</w:t>
            </w:r>
          </w:p>
        </w:tc>
        <w:tc>
          <w:tcPr>
            <w:tcW w:w="1958" w:type="dxa"/>
            <w:vAlign w:val="center"/>
            <w:hideMark/>
          </w:tcPr>
          <w:p w14:paraId="31D2A8F6"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EU Corporate Sustainability Due Diligence Directive (CSDDD)</w:t>
            </w:r>
          </w:p>
        </w:tc>
        <w:tc>
          <w:tcPr>
            <w:tcW w:w="1089" w:type="dxa"/>
            <w:vAlign w:val="center"/>
            <w:hideMark/>
          </w:tcPr>
          <w:p w14:paraId="79A8B324"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European Union</w:t>
            </w:r>
          </w:p>
        </w:tc>
        <w:tc>
          <w:tcPr>
            <w:tcW w:w="2395" w:type="dxa"/>
            <w:gridSpan w:val="2"/>
            <w:vAlign w:val="center"/>
            <w:hideMark/>
          </w:tcPr>
          <w:p w14:paraId="57ED71C0" w14:textId="7578B2AF"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 xml:space="preserve">Large EU limited liability companies </w:t>
            </w:r>
            <w:r w:rsidR="005355C0" w:rsidRPr="0053182F">
              <w:rPr>
                <w:rFonts w:eastAsia="Times New Roman"/>
                <w:sz w:val="22"/>
                <w:szCs w:val="22"/>
                <w:lang w:eastAsia="en-GB"/>
              </w:rPr>
              <w:t>and</w:t>
            </w:r>
            <w:r w:rsidRPr="0053182F">
              <w:rPr>
                <w:rFonts w:eastAsia="Times New Roman"/>
                <w:sz w:val="22"/>
                <w:szCs w:val="22"/>
                <w:lang w:eastAsia="en-GB"/>
              </w:rPr>
              <w:t xml:space="preserve"> partnerships: </w:t>
            </w:r>
          </w:p>
          <w:p w14:paraId="4B31AE63"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+/- 6,000 companies - &gt;1000 employees and &gt;EUR 450 million turnover (net) worldwide.</w:t>
            </w:r>
          </w:p>
          <w:p w14:paraId="4BFBEB6C"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 Large non–EU companies: </w:t>
            </w:r>
          </w:p>
          <w:p w14:paraId="1A8377D0" w14:textId="202C0722"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+/- 900 companies - &gt; EUR 450 million turnover (net) in </w:t>
            </w:r>
            <w:r w:rsidR="00F80CC8" w:rsidRPr="0053182F">
              <w:rPr>
                <w:rFonts w:eastAsia="Times New Roman"/>
                <w:sz w:val="22"/>
                <w:szCs w:val="22"/>
                <w:lang w:eastAsia="en-GB"/>
              </w:rPr>
              <w:t xml:space="preserve">the </w:t>
            </w:r>
            <w:r w:rsidRPr="0053182F">
              <w:rPr>
                <w:rFonts w:eastAsia="Times New Roman"/>
                <w:sz w:val="22"/>
                <w:szCs w:val="22"/>
                <w:lang w:eastAsia="en-GB"/>
              </w:rPr>
              <w:t>EU</w:t>
            </w:r>
            <w:r w:rsidRPr="0053182F">
              <w:rPr>
                <w:rFonts w:eastAsia="Times New Roman"/>
                <w:b/>
                <w:bCs/>
                <w:sz w:val="22"/>
                <w:szCs w:val="22"/>
                <w:lang w:eastAsia="en-GB"/>
              </w:rPr>
              <w:t>.</w:t>
            </w:r>
          </w:p>
          <w:p w14:paraId="4098176B"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The Directive contains provisions to facilitate compliance and limit the burden on companies, both in scope and in the value chain.</w:t>
            </w:r>
          </w:p>
          <w:p w14:paraId="25C727D5" w14:textId="77777777" w:rsidR="00144866" w:rsidRPr="0053182F" w:rsidRDefault="00144866" w:rsidP="00D20468">
            <w:pPr>
              <w:spacing w:after="0" w:line="240" w:lineRule="auto"/>
              <w:rPr>
                <w:rFonts w:eastAsia="Times New Roman"/>
                <w:sz w:val="22"/>
                <w:szCs w:val="22"/>
                <w:lang w:eastAsia="en-GB"/>
              </w:rPr>
            </w:pPr>
          </w:p>
        </w:tc>
        <w:tc>
          <w:tcPr>
            <w:tcW w:w="2663" w:type="dxa"/>
            <w:gridSpan w:val="2"/>
          </w:tcPr>
          <w:p w14:paraId="644FE68D" w14:textId="038A9D42"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 xml:space="preserve">This Directive establishes a corporate due diligence duty. The core elements of this duty are identifying and addressing potential and actual adverse human rights and environmental impacts in the company’s own operations, </w:t>
            </w:r>
            <w:r w:rsidR="00AA5BB3" w:rsidRPr="0053182F">
              <w:rPr>
                <w:rFonts w:eastAsia="Times New Roman"/>
                <w:sz w:val="22"/>
                <w:szCs w:val="22"/>
                <w:lang w:eastAsia="en-GB"/>
              </w:rPr>
              <w:t>its subsidiaries, and, where related to its value chain(s), those of its</w:t>
            </w:r>
            <w:r w:rsidRPr="0053182F">
              <w:rPr>
                <w:rFonts w:eastAsia="Times New Roman"/>
                <w:sz w:val="22"/>
                <w:szCs w:val="22"/>
                <w:lang w:eastAsia="en-GB"/>
              </w:rPr>
              <w:t xml:space="preserve"> business partners.</w:t>
            </w:r>
          </w:p>
          <w:p w14:paraId="684C96B2"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Fines up to 5% of global turnover; civil liability possible.</w:t>
            </w:r>
          </w:p>
        </w:tc>
        <w:tc>
          <w:tcPr>
            <w:tcW w:w="3748" w:type="dxa"/>
            <w:gridSpan w:val="2"/>
            <w:vAlign w:val="center"/>
            <w:hideMark/>
          </w:tcPr>
          <w:p w14:paraId="5D3E24F2"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 xml:space="preserve">Mandates due diligence across value chains; includes climate transition planning. </w:t>
            </w:r>
          </w:p>
          <w:p w14:paraId="341C428A" w14:textId="4549180A"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The Omnibus proposal to amend the Corporate Sustainability Due Diligence Directive (CSDDD) aims to simplify compan</w:t>
            </w:r>
            <w:r w:rsidR="00F80CC8" w:rsidRPr="0053182F">
              <w:rPr>
                <w:rFonts w:eastAsia="Times New Roman"/>
                <w:sz w:val="22"/>
                <w:szCs w:val="22"/>
                <w:lang w:eastAsia="en-GB"/>
              </w:rPr>
              <w:t>ies' obligations and reduce regulatory burden while</w:t>
            </w:r>
            <w:r w:rsidRPr="0053182F">
              <w:rPr>
                <w:rFonts w:eastAsia="Times New Roman"/>
                <w:sz w:val="22"/>
                <w:szCs w:val="22"/>
                <w:lang w:eastAsia="en-GB"/>
              </w:rPr>
              <w:t xml:space="preserve"> maintaining the Directive’s core goals. It now awaits approval by the European Parliament and Council. Once adopted and published in the EU Official Journal, Member States must transpose it into national law by 26 July 2027. The rules will </w:t>
            </w:r>
            <w:r w:rsidR="00F80CC8" w:rsidRPr="0053182F">
              <w:rPr>
                <w:rFonts w:eastAsia="Times New Roman"/>
                <w:sz w:val="22"/>
                <w:szCs w:val="22"/>
                <w:lang w:eastAsia="en-GB"/>
              </w:rPr>
              <w:t>apply from 26 July 2028 to</w:t>
            </w:r>
            <w:r w:rsidRPr="0053182F">
              <w:rPr>
                <w:rFonts w:eastAsia="Times New Roman"/>
                <w:sz w:val="22"/>
                <w:szCs w:val="22"/>
                <w:lang w:eastAsia="en-GB"/>
              </w:rPr>
              <w:t xml:space="preserve"> the first group of companies, with full implementation by 26 July 2029.</w:t>
            </w:r>
          </w:p>
        </w:tc>
        <w:tc>
          <w:tcPr>
            <w:tcW w:w="1552" w:type="dxa"/>
            <w:gridSpan w:val="2"/>
            <w:vAlign w:val="center"/>
            <w:hideMark/>
          </w:tcPr>
          <w:p w14:paraId="3B316DD1" w14:textId="77777777" w:rsidR="00144866" w:rsidRPr="0053182F" w:rsidRDefault="00144866" w:rsidP="00D20468">
            <w:pPr>
              <w:spacing w:after="0" w:line="240" w:lineRule="auto"/>
              <w:rPr>
                <w:rFonts w:eastAsia="Times New Roman"/>
                <w:sz w:val="22"/>
                <w:szCs w:val="22"/>
                <w:lang w:eastAsia="en-GB"/>
              </w:rPr>
            </w:pPr>
            <w:hyperlink r:id="rId31" w:history="1">
              <w:r w:rsidRPr="0053182F">
                <w:rPr>
                  <w:rFonts w:eastAsia="Times New Roman"/>
                  <w:color w:val="0000FF"/>
                  <w:sz w:val="22"/>
                  <w:szCs w:val="22"/>
                  <w:u w:val="single"/>
                  <w:lang w:eastAsia="en-GB"/>
                </w:rPr>
                <w:t>EC CSDDD</w:t>
              </w:r>
            </w:hyperlink>
          </w:p>
        </w:tc>
      </w:tr>
      <w:tr w:rsidR="00144866" w:rsidRPr="0053182F" w14:paraId="5E07D104" w14:textId="77777777" w:rsidTr="00D20468">
        <w:trPr>
          <w:gridAfter w:val="1"/>
          <w:wAfter w:w="48" w:type="dxa"/>
          <w:tblCellSpacing w:w="15" w:type="dxa"/>
        </w:trPr>
        <w:tc>
          <w:tcPr>
            <w:tcW w:w="944" w:type="dxa"/>
            <w:vAlign w:val="center"/>
            <w:hideMark/>
          </w:tcPr>
          <w:p w14:paraId="527229CA"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2027</w:t>
            </w:r>
          </w:p>
        </w:tc>
        <w:tc>
          <w:tcPr>
            <w:tcW w:w="1958" w:type="dxa"/>
            <w:tcBorders>
              <w:top w:val="single" w:sz="4" w:space="0" w:color="auto"/>
              <w:bottom w:val="nil"/>
            </w:tcBorders>
            <w:vAlign w:val="center"/>
            <w:hideMark/>
          </w:tcPr>
          <w:p w14:paraId="00BA06EC"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b/>
                <w:bCs/>
                <w:sz w:val="22"/>
                <w:szCs w:val="22"/>
                <w:lang w:eastAsia="en-GB"/>
              </w:rPr>
              <w:t>CSDDD Implementation Deadline</w:t>
            </w:r>
          </w:p>
        </w:tc>
        <w:tc>
          <w:tcPr>
            <w:tcW w:w="1089" w:type="dxa"/>
            <w:tcBorders>
              <w:top w:val="single" w:sz="4" w:space="0" w:color="auto"/>
              <w:bottom w:val="nil"/>
            </w:tcBorders>
            <w:vAlign w:val="center"/>
            <w:hideMark/>
          </w:tcPr>
          <w:p w14:paraId="7BA84BB8"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European Union</w:t>
            </w:r>
          </w:p>
        </w:tc>
        <w:tc>
          <w:tcPr>
            <w:tcW w:w="2395" w:type="dxa"/>
            <w:gridSpan w:val="2"/>
            <w:tcBorders>
              <w:top w:val="single" w:sz="4" w:space="0" w:color="auto"/>
              <w:bottom w:val="nil"/>
            </w:tcBorders>
            <w:vAlign w:val="center"/>
            <w:hideMark/>
          </w:tcPr>
          <w:p w14:paraId="026DD6B2"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Full application: ≥1,000 employees and €450M turnover (EU/non-EU)</w:t>
            </w:r>
          </w:p>
        </w:tc>
        <w:tc>
          <w:tcPr>
            <w:tcW w:w="2663" w:type="dxa"/>
            <w:gridSpan w:val="2"/>
            <w:tcBorders>
              <w:top w:val="single" w:sz="4" w:space="0" w:color="auto"/>
              <w:bottom w:val="nil"/>
            </w:tcBorders>
          </w:tcPr>
          <w:p w14:paraId="4AD22BA0" w14:textId="77777777" w:rsidR="00144866" w:rsidRPr="0053182F" w:rsidRDefault="00144866" w:rsidP="00D20468">
            <w:pPr>
              <w:spacing w:after="0" w:line="240" w:lineRule="auto"/>
              <w:rPr>
                <w:rFonts w:eastAsia="Times New Roman"/>
                <w:sz w:val="22"/>
                <w:szCs w:val="22"/>
                <w:lang w:eastAsia="en-GB"/>
              </w:rPr>
            </w:pPr>
            <w:r w:rsidRPr="0053182F">
              <w:rPr>
                <w:rFonts w:eastAsia="Times New Roman"/>
                <w:sz w:val="22"/>
                <w:szCs w:val="22"/>
                <w:lang w:eastAsia="en-GB"/>
              </w:rPr>
              <w:t>National supervisory bodies begin enforcement.</w:t>
            </w:r>
          </w:p>
        </w:tc>
        <w:tc>
          <w:tcPr>
            <w:tcW w:w="3748" w:type="dxa"/>
            <w:gridSpan w:val="2"/>
            <w:tcBorders>
              <w:top w:val="single" w:sz="4" w:space="0" w:color="auto"/>
              <w:bottom w:val="nil"/>
            </w:tcBorders>
            <w:vAlign w:val="center"/>
            <w:hideMark/>
          </w:tcPr>
          <w:p w14:paraId="7BE08578"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Final year for member state transposition and full company compliance</w:t>
            </w:r>
          </w:p>
          <w:p w14:paraId="6F6D5676" w14:textId="77777777" w:rsidR="00144866" w:rsidRPr="0053182F" w:rsidRDefault="00144866" w:rsidP="00D20468">
            <w:pPr>
              <w:spacing w:after="0" w:line="240" w:lineRule="auto"/>
              <w:jc w:val="both"/>
              <w:rPr>
                <w:rFonts w:eastAsia="Times New Roman"/>
                <w:sz w:val="22"/>
                <w:szCs w:val="22"/>
                <w:lang w:eastAsia="en-GB"/>
              </w:rPr>
            </w:pPr>
            <w:r w:rsidRPr="0053182F">
              <w:rPr>
                <w:rFonts w:eastAsia="Times New Roman"/>
                <w:sz w:val="22"/>
                <w:szCs w:val="22"/>
                <w:lang w:eastAsia="en-GB"/>
              </w:rPr>
              <w:t>Adopted in 2024; full implementation phased by 2029.</w:t>
            </w:r>
          </w:p>
        </w:tc>
        <w:tc>
          <w:tcPr>
            <w:tcW w:w="1552" w:type="dxa"/>
            <w:gridSpan w:val="2"/>
            <w:tcBorders>
              <w:top w:val="single" w:sz="4" w:space="0" w:color="auto"/>
              <w:bottom w:val="nil"/>
            </w:tcBorders>
            <w:vAlign w:val="center"/>
            <w:hideMark/>
          </w:tcPr>
          <w:p w14:paraId="509ACF19" w14:textId="77777777" w:rsidR="00144866" w:rsidRPr="0053182F" w:rsidRDefault="00144866" w:rsidP="00D20468">
            <w:pPr>
              <w:spacing w:after="0" w:line="240" w:lineRule="auto"/>
              <w:rPr>
                <w:rFonts w:eastAsia="Times New Roman"/>
                <w:sz w:val="22"/>
                <w:szCs w:val="22"/>
                <w:lang w:eastAsia="en-GB"/>
              </w:rPr>
            </w:pPr>
            <w:hyperlink r:id="rId32" w:history="1">
              <w:r w:rsidRPr="0053182F">
                <w:rPr>
                  <w:rFonts w:eastAsia="Times New Roman"/>
                  <w:color w:val="0000FF"/>
                  <w:sz w:val="22"/>
                  <w:szCs w:val="22"/>
                  <w:u w:val="single"/>
                  <w:lang w:eastAsia="en-GB"/>
                </w:rPr>
                <w:t>Reed Smith</w:t>
              </w:r>
            </w:hyperlink>
          </w:p>
        </w:tc>
      </w:tr>
    </w:tbl>
    <w:p w14:paraId="6CEA659C" w14:textId="367F7D64" w:rsidR="00ED37BE" w:rsidRPr="0053182F" w:rsidRDefault="00ED37BE" w:rsidP="00ED37BE">
      <w:pPr>
        <w:tabs>
          <w:tab w:val="left" w:pos="4579"/>
        </w:tabs>
        <w:sectPr w:rsidR="00ED37BE" w:rsidRPr="0053182F" w:rsidSect="00144866">
          <w:pgSz w:w="16838" w:h="11906" w:orient="landscape"/>
          <w:pgMar w:top="1440" w:right="1440" w:bottom="1440" w:left="1440" w:header="709" w:footer="709" w:gutter="0"/>
          <w:cols w:space="708"/>
          <w:docGrid w:linePitch="360"/>
        </w:sectPr>
      </w:pPr>
      <w:r w:rsidRPr="0053182F">
        <w:tab/>
      </w:r>
    </w:p>
    <w:p w14:paraId="774905BC" w14:textId="77777777" w:rsidR="00144866" w:rsidRPr="0053182F" w:rsidRDefault="00144866" w:rsidP="00FE0C7D">
      <w:pPr>
        <w:pStyle w:val="Heading3"/>
        <w:rPr>
          <w:rStyle w:val="Strong"/>
          <w:b/>
          <w:bCs w:val="0"/>
        </w:rPr>
      </w:pPr>
      <w:bookmarkStart w:id="77" w:name="_Toc215651793"/>
      <w:bookmarkStart w:id="78" w:name="_Toc218357089"/>
      <w:r w:rsidRPr="0053182F">
        <w:rPr>
          <w:rStyle w:val="Strong"/>
          <w:b/>
          <w:bCs w:val="0"/>
        </w:rPr>
        <w:t>2.5.4 Towards a Dual Reality Governance Framework</w:t>
      </w:r>
      <w:bookmarkEnd w:id="77"/>
      <w:bookmarkEnd w:id="78"/>
    </w:p>
    <w:p w14:paraId="476DE513" w14:textId="77777777" w:rsidR="00144866" w:rsidRPr="0053182F" w:rsidRDefault="00144866" w:rsidP="00FE0C7D">
      <w:pPr>
        <w:pStyle w:val="NormalWeb"/>
        <w:spacing w:before="0" w:beforeAutospacing="0" w:after="0" w:afterAutospacing="0" w:line="480" w:lineRule="auto"/>
        <w:jc w:val="both"/>
        <w:rPr>
          <w:color w:val="auto"/>
        </w:rPr>
      </w:pPr>
      <w:r w:rsidRPr="0053182F">
        <w:rPr>
          <w:color w:val="auto"/>
        </w:rPr>
        <w:t xml:space="preserve">Building on these insights, this study introduces the concept of Dual Reality Governance to describe the coexistence of two institutional realities in corporate responses to MS. The </w:t>
      </w:r>
      <w:r w:rsidRPr="0053182F">
        <w:rPr>
          <w:rStyle w:val="Emphasis"/>
          <w:rFonts w:eastAsiaTheme="majorEastAsia"/>
          <w:color w:val="auto"/>
        </w:rPr>
        <w:t>formal reality</w:t>
      </w:r>
      <w:r w:rsidRPr="0053182F">
        <w:rPr>
          <w:color w:val="auto"/>
        </w:rPr>
        <w:t xml:space="preserve"> consists of the visible architecture of compliance—policies, disclosures, audits, and certifications—constructed to signal legitimacy. The </w:t>
      </w:r>
      <w:r w:rsidRPr="0053182F">
        <w:rPr>
          <w:rStyle w:val="Emphasis"/>
          <w:rFonts w:eastAsiaTheme="majorEastAsia"/>
          <w:color w:val="auto"/>
        </w:rPr>
        <w:t>substantive reality</w:t>
      </w:r>
      <w:r w:rsidRPr="0053182F">
        <w:rPr>
          <w:color w:val="auto"/>
        </w:rPr>
        <w:t>, however, encompasses the hidden persistence of exploitation within global production systems, driven by structural incentives for cost reduction, competitive advantage, and supply chain opacity.</w:t>
      </w:r>
    </w:p>
    <w:p w14:paraId="5DF9D368" w14:textId="766F0E42" w:rsidR="00144866" w:rsidRPr="0053182F" w:rsidRDefault="00144866" w:rsidP="00144866">
      <w:pPr>
        <w:pStyle w:val="NormalWeb"/>
        <w:spacing w:before="0" w:beforeAutospacing="0" w:after="0" w:afterAutospacing="0" w:line="480" w:lineRule="auto"/>
        <w:ind w:firstLine="720"/>
        <w:jc w:val="both"/>
        <w:rPr>
          <w:color w:val="auto"/>
        </w:rPr>
      </w:pPr>
      <w:r w:rsidRPr="0053182F">
        <w:rPr>
          <w:color w:val="auto"/>
        </w:rPr>
        <w:t xml:space="preserve">Dual Reality Governance emerges as a by-product of institutional complexity, in which organisations must balance the demands of legitimacy with </w:t>
      </w:r>
      <w:r w:rsidRPr="0053182F">
        <w:rPr>
          <w:rStyle w:val="Emphasis"/>
          <w:rFonts w:eastAsiaTheme="majorEastAsia"/>
          <w:i w:val="0"/>
          <w:iCs w:val="0"/>
          <w:color w:val="auto"/>
        </w:rPr>
        <w:t>the imperatives of profitability</w:t>
      </w:r>
      <w:r w:rsidRPr="0053182F">
        <w:rPr>
          <w:i/>
          <w:iCs/>
          <w:color w:val="auto"/>
        </w:rPr>
        <w:t>.</w:t>
      </w:r>
      <w:r w:rsidRPr="0053182F">
        <w:rPr>
          <w:color w:val="auto"/>
        </w:rPr>
        <w:t xml:space="preserve"> From an NIT perspective, this duality exemplifies how isomorphic conformity and decoupling function as adaptive strategies to manage competing demands from regulators, markets, and civil society </w:t>
      </w:r>
      <w:sdt>
        <w:sdtPr>
          <w:tag w:val="MENDELEY_CITATION_v3_eyJjaXRhdGlvbklEIjoiTUVOREVMRVlfQ0lUQVRJT05fYzM2YTE5ODAtYjMzNS00YzViLWJiZDUtMmMyN2JhOTQ1NzEyIiwicHJvcGVydGllcyI6eyJub3RlSW5kZXgiOjB9LCJpc0VkaXRlZCI6ZmFsc2UsIm1hbnVhbE92ZXJyaWRlIjp7ImlzTWFudWFsbHlPdmVycmlkZGVuIjpmYWxzZSwiY2l0ZXByb2NUZXh0IjoiKEhlbGZheWEgPGk+ZXQgYWwuPC9pPiwgMjAyNTsgTnRpbSBhbmQgU29vYmFyb3llbiwgMjAxMykiLCJtYW51YWxPdmVycmlkZVRleHQiOiIifSwiY2l0YXRpb25JdGVtcyI6W3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
          <w:id w:val="-1586681089"/>
          <w:placeholder>
            <w:docPart w:val="12344855235E4292B075B769CAA03393"/>
          </w:placeholder>
        </w:sdtPr>
        <w:sdtContent>
          <w:r w:rsidR="00CC19F4" w:rsidRPr="0053182F">
            <w:t xml:space="preserve">(Helfaya </w:t>
          </w:r>
          <w:r w:rsidR="00CC19F4" w:rsidRPr="0053182F">
            <w:rPr>
              <w:i/>
              <w:iCs/>
            </w:rPr>
            <w:t>et al.</w:t>
          </w:r>
          <w:r w:rsidR="00CC19F4" w:rsidRPr="0053182F">
            <w:t>, 2025; Ntim and Soobaroyen, 2013)</w:t>
          </w:r>
        </w:sdtContent>
      </w:sdt>
      <w:r w:rsidRPr="0053182F">
        <w:rPr>
          <w:color w:val="auto"/>
        </w:rPr>
        <w:t xml:space="preserve">. Integrating NIT with global governance and CSR frameworks thus provides a nuanced theoretical lens for analysing CMS. It highlights that eradicating MS is not solely a matter of regulation or ethics but an </w:t>
      </w:r>
      <w:r w:rsidRPr="0053182F">
        <w:rPr>
          <w:rStyle w:val="Emphasis"/>
          <w:rFonts w:eastAsiaTheme="majorEastAsia"/>
          <w:color w:val="auto"/>
        </w:rPr>
        <w:t>institutional challenge</w:t>
      </w:r>
      <w:r w:rsidRPr="0053182F">
        <w:rPr>
          <w:color w:val="auto"/>
        </w:rPr>
        <w:t>—one that demands reconfiguring the structures of organisational legitimacy, accountability, and governance.</w:t>
      </w:r>
    </w:p>
    <w:p w14:paraId="54301DE3" w14:textId="77777777" w:rsidR="00144866" w:rsidRPr="0053182F" w:rsidRDefault="00144866" w:rsidP="00144866">
      <w:pPr>
        <w:pStyle w:val="Heading2"/>
      </w:pPr>
      <w:bookmarkStart w:id="79" w:name="_Toc215651795"/>
      <w:bookmarkStart w:id="80" w:name="_Toc218357090"/>
      <w:r w:rsidRPr="0053182F">
        <w:t>2.6 Summery</w:t>
      </w:r>
      <w:bookmarkEnd w:id="79"/>
      <w:bookmarkEnd w:id="80"/>
      <w:r w:rsidRPr="0053182F">
        <w:t xml:space="preserve"> </w:t>
      </w:r>
    </w:p>
    <w:p w14:paraId="54F776E3" w14:textId="772A3C11" w:rsidR="00144866" w:rsidRPr="0053182F" w:rsidRDefault="00144866" w:rsidP="00144866">
      <w:pPr>
        <w:spacing w:line="480" w:lineRule="auto"/>
        <w:jc w:val="both"/>
        <w:rPr>
          <w:color w:val="auto"/>
        </w:rPr>
      </w:pPr>
      <w:r w:rsidRPr="0053182F">
        <w:rPr>
          <w:color w:val="auto"/>
        </w:rPr>
        <w:t>This chapter established the historical, conceptual, and institutional foundations for understanding MS as a systemic feature of contemporary capitalism rather than a residual anomaly. It traced the shift from ownership-based slavery to modern forms of economic coercion embedded in global supply chains, showing how poverty, inequality, weak governance, and fragmented production sustain exploitation. The chapter clarified definitional complexities, introduced</w:t>
      </w:r>
      <w:r w:rsidR="00F80CC8" w:rsidRPr="0053182F">
        <w:rPr>
          <w:color w:val="auto"/>
        </w:rPr>
        <w:t xml:space="preserve"> and used</w:t>
      </w:r>
      <w:r w:rsidRPr="0053182F">
        <w:rPr>
          <w:color w:val="auto"/>
        </w:rPr>
        <w:t xml:space="preserve"> CMS as the business manifestation of MS, and mapped the evolving governance landscape—from ILO conventions and the UNGPs to national legislation (UK MSA 2015, Australia MSA 2018) and emerging mandatory due diligence (e.g., EU CSDDD). Despite these advances, implementation frequently remains symbolic, producing a gap between formal compliance and workplace reality. To explain this paradox, the chapter proposed Dual Reality Governance—the coexistence of visible accountability architectures and hidden exploitation. These insights motivate Chapter 3, which discusses the literature on MS and CMS in detail. </w:t>
      </w:r>
    </w:p>
    <w:bookmarkEnd w:id="32"/>
    <w:p w14:paraId="3498D21C" w14:textId="77777777" w:rsidR="00144866" w:rsidRPr="0053182F" w:rsidRDefault="00144866" w:rsidP="00144866">
      <w:pPr>
        <w:spacing w:line="480" w:lineRule="auto"/>
        <w:jc w:val="both"/>
        <w:rPr>
          <w:color w:val="auto"/>
        </w:rPr>
      </w:pPr>
    </w:p>
    <w:p w14:paraId="65C1485F" w14:textId="77777777" w:rsidR="00144866" w:rsidRPr="0053182F" w:rsidRDefault="00144866" w:rsidP="00144866">
      <w:pPr>
        <w:spacing w:line="480" w:lineRule="auto"/>
        <w:jc w:val="both"/>
        <w:rPr>
          <w:color w:val="auto"/>
        </w:rPr>
      </w:pPr>
    </w:p>
    <w:p w14:paraId="43025A4D" w14:textId="77777777" w:rsidR="00144866" w:rsidRPr="0053182F" w:rsidRDefault="00144866" w:rsidP="00144866">
      <w:pPr>
        <w:spacing w:line="480" w:lineRule="auto"/>
        <w:jc w:val="both"/>
        <w:rPr>
          <w:color w:val="auto"/>
        </w:rPr>
      </w:pPr>
    </w:p>
    <w:p w14:paraId="4C4F0421" w14:textId="77777777" w:rsidR="00144866" w:rsidRPr="0053182F" w:rsidRDefault="00144866" w:rsidP="00144866">
      <w:pPr>
        <w:spacing w:line="480" w:lineRule="auto"/>
        <w:jc w:val="both"/>
        <w:rPr>
          <w:color w:val="auto"/>
        </w:rPr>
      </w:pPr>
    </w:p>
    <w:p w14:paraId="0E5E3CC2" w14:textId="77777777" w:rsidR="00144866" w:rsidRPr="0053182F" w:rsidRDefault="00144866" w:rsidP="00144866">
      <w:pPr>
        <w:spacing w:line="480" w:lineRule="auto"/>
        <w:jc w:val="both"/>
        <w:rPr>
          <w:color w:val="auto"/>
        </w:rPr>
      </w:pPr>
    </w:p>
    <w:p w14:paraId="504D9EFD" w14:textId="77777777" w:rsidR="00144866" w:rsidRPr="0053182F" w:rsidRDefault="00144866" w:rsidP="00144866">
      <w:pPr>
        <w:spacing w:line="480" w:lineRule="auto"/>
        <w:jc w:val="both"/>
        <w:rPr>
          <w:color w:val="auto"/>
        </w:rPr>
      </w:pPr>
    </w:p>
    <w:p w14:paraId="4CD938CF" w14:textId="77777777" w:rsidR="00144866" w:rsidRPr="0053182F" w:rsidRDefault="00144866" w:rsidP="00144866">
      <w:pPr>
        <w:spacing w:line="480" w:lineRule="auto"/>
        <w:jc w:val="both"/>
        <w:rPr>
          <w:color w:val="auto"/>
        </w:rPr>
      </w:pPr>
    </w:p>
    <w:p w14:paraId="4465426D" w14:textId="77777777" w:rsidR="00144866" w:rsidRPr="0053182F" w:rsidRDefault="00144866" w:rsidP="00144866">
      <w:pPr>
        <w:spacing w:line="480" w:lineRule="auto"/>
        <w:jc w:val="both"/>
        <w:rPr>
          <w:color w:val="auto"/>
        </w:rPr>
      </w:pPr>
    </w:p>
    <w:p w14:paraId="7BB238A5" w14:textId="77777777" w:rsidR="00144866" w:rsidRPr="0053182F" w:rsidRDefault="00144866" w:rsidP="00144866">
      <w:pPr>
        <w:spacing w:line="480" w:lineRule="auto"/>
        <w:jc w:val="both"/>
        <w:rPr>
          <w:color w:val="auto"/>
        </w:rPr>
      </w:pPr>
    </w:p>
    <w:p w14:paraId="7F34051A" w14:textId="77777777" w:rsidR="00144866" w:rsidRPr="0053182F" w:rsidRDefault="00144866" w:rsidP="00144866">
      <w:pPr>
        <w:spacing w:line="480" w:lineRule="auto"/>
        <w:jc w:val="both"/>
        <w:rPr>
          <w:color w:val="auto"/>
        </w:rPr>
      </w:pPr>
    </w:p>
    <w:p w14:paraId="09B4BDB2" w14:textId="77777777" w:rsidR="00144866" w:rsidRPr="0053182F" w:rsidRDefault="00144866" w:rsidP="00144866">
      <w:pPr>
        <w:spacing w:line="480" w:lineRule="auto"/>
        <w:jc w:val="both"/>
        <w:rPr>
          <w:color w:val="auto"/>
        </w:rPr>
      </w:pPr>
    </w:p>
    <w:p w14:paraId="75DE03E4" w14:textId="77777777" w:rsidR="00144866" w:rsidRPr="0053182F" w:rsidRDefault="00144866" w:rsidP="00144866">
      <w:pPr>
        <w:spacing w:line="480" w:lineRule="auto"/>
        <w:jc w:val="both"/>
        <w:rPr>
          <w:color w:val="auto"/>
        </w:rPr>
      </w:pPr>
    </w:p>
    <w:p w14:paraId="614844CD" w14:textId="77777777" w:rsidR="00144866" w:rsidRPr="0053182F" w:rsidRDefault="00144866" w:rsidP="00144866">
      <w:pPr>
        <w:pStyle w:val="Heading1"/>
        <w:rPr>
          <w:rFonts w:cs="Times New Roman"/>
        </w:rPr>
      </w:pPr>
      <w:bookmarkStart w:id="81" w:name="_Toc215651796"/>
      <w:bookmarkEnd w:id="33"/>
      <w:r w:rsidRPr="0053182F">
        <w:rPr>
          <w:rFonts w:cs="Times New Roman"/>
        </w:rPr>
        <w:br w:type="page"/>
      </w:r>
    </w:p>
    <w:p w14:paraId="2C8459CB" w14:textId="4B8EE678" w:rsidR="00144866" w:rsidRPr="0053182F" w:rsidRDefault="00144866" w:rsidP="00C06F5B">
      <w:pPr>
        <w:pStyle w:val="Heading1"/>
        <w:rPr>
          <w:rFonts w:cs="Times New Roman"/>
        </w:rPr>
      </w:pPr>
      <w:bookmarkStart w:id="82" w:name="_Toc218357091"/>
      <w:r w:rsidRPr="0053182F">
        <w:rPr>
          <w:rFonts w:cs="Times New Roman"/>
        </w:rPr>
        <w:t>Chapter 3 Literature review</w:t>
      </w:r>
      <w:bookmarkEnd w:id="82"/>
      <w:r w:rsidRPr="0053182F">
        <w:rPr>
          <w:rFonts w:cs="Times New Roman"/>
        </w:rPr>
        <w:t xml:space="preserve"> </w:t>
      </w:r>
      <w:bookmarkEnd w:id="81"/>
    </w:p>
    <w:p w14:paraId="6C759B1B" w14:textId="77777777" w:rsidR="00144866" w:rsidRPr="0053182F" w:rsidRDefault="00144866" w:rsidP="00144866">
      <w:pPr>
        <w:pStyle w:val="Heading2"/>
      </w:pPr>
      <w:bookmarkStart w:id="83" w:name="_Toc215651797"/>
      <w:bookmarkStart w:id="84" w:name="_Toc218357092"/>
      <w:r w:rsidRPr="0053182F">
        <w:t>3.1. Introduction</w:t>
      </w:r>
      <w:bookmarkEnd w:id="83"/>
      <w:bookmarkEnd w:id="84"/>
    </w:p>
    <w:p w14:paraId="76CC5D41" w14:textId="77777777" w:rsidR="00144866" w:rsidRPr="0053182F" w:rsidRDefault="00144866" w:rsidP="00144866">
      <w:pPr>
        <w:spacing w:line="480" w:lineRule="auto"/>
        <w:jc w:val="both"/>
      </w:pPr>
      <w:bookmarkStart w:id="85" w:name="_Toc158293211"/>
      <w:r w:rsidRPr="0053182F">
        <w:t>Building upon the conceptual and contextual foundations established in Chapter 2, this chapter extends the literature review by examining the institutional, governance, and corporate dimensions of MS within the global business environment. Whereas the previous chapter explored the global prevalence, historical evolution, and drivers of MS, the present chapter (Part II) focuses on how institutional governance systems, sustainability initiatives, and corporate governance mechanisms influence the persistence, management, and reporting of MS within multinational enterprises and global supply chains.</w:t>
      </w:r>
    </w:p>
    <w:p w14:paraId="19228FF6" w14:textId="77777777" w:rsidR="00144866" w:rsidRPr="0053182F" w:rsidRDefault="00144866" w:rsidP="00144866">
      <w:pPr>
        <w:spacing w:line="480" w:lineRule="auto"/>
        <w:ind w:firstLine="720"/>
        <w:jc w:val="both"/>
      </w:pPr>
      <w:r w:rsidRPr="0053182F">
        <w:t>MS is increasingly recognised as a governance and accountability challenge, rather than merely a human rights or labour issue. Despite the introduction of regulatory frameworks such as the UK MSA (2015), the Australian MSA (2018), and the proposed EU-CSDDD, evidence shows that exploitative practices remain deeply embedded in business operations and transnational supply networks. These persistent issues are sustained by institutional weaknesses, market pressures, and fragmented global governance, which limit the effectiveness of corporate compliance and sustainability commitments.</w:t>
      </w:r>
    </w:p>
    <w:p w14:paraId="5DF981E5" w14:textId="77777777" w:rsidR="00144866" w:rsidRPr="0053182F" w:rsidRDefault="00144866" w:rsidP="00144866">
      <w:pPr>
        <w:spacing w:line="480" w:lineRule="auto"/>
        <w:ind w:firstLine="720"/>
        <w:jc w:val="both"/>
      </w:pPr>
      <w:r w:rsidRPr="0053182F">
        <w:t>To analyse these dynamics, this chapter adopts NIT as its guiding theoretical framework. NIT provides an analytical foundation for understanding how organisational behaviour and corporate responses to MS are shaped by institutional pressures—coercive, normative, and mimetic—and how firms pursue legitimacy within the broader institutional environment. Through this perspective, the chapter explores how corporations respond to governance demands and societal expectations, often balancing symbolic compliance with substantive ethical action.</w:t>
      </w:r>
    </w:p>
    <w:p w14:paraId="47F90A81" w14:textId="77777777" w:rsidR="00144866" w:rsidRPr="0053182F" w:rsidRDefault="00144866" w:rsidP="00144866">
      <w:pPr>
        <w:spacing w:line="480" w:lineRule="auto"/>
        <w:ind w:firstLine="720"/>
        <w:jc w:val="both"/>
      </w:pPr>
      <w:r w:rsidRPr="0053182F">
        <w:t>The discussion unfolds through an analysis of key themes: global demand and the structural drivers of CMS; alignment of MS eradication with the UN-SDGs (particularly SDG 8.7); the influence of SGIs and corporate governance mechanisms; and the role of institutional and country-level governance systems in shaping business accountability. Special attention is given to corporate reporting and assurance practices, which represent both progress and continuing gaps in transparency and ethical accountability.</w:t>
      </w:r>
    </w:p>
    <w:p w14:paraId="3814C850" w14:textId="77777777" w:rsidR="00144866" w:rsidRPr="0053182F" w:rsidRDefault="00144866" w:rsidP="00144866">
      <w:pPr>
        <w:spacing w:line="480" w:lineRule="auto"/>
        <w:ind w:firstLine="720"/>
        <w:jc w:val="both"/>
      </w:pPr>
      <w:r w:rsidRPr="0053182F">
        <w:t>The chapter concludes by identifying critical gaps in existing scholarship, particularly the limited integration between sustainability governance, institutional quality, and CMS outcomes. This synthesis establishes NIT as the central analytical lens guiding the empirical investigation in the following chapter. To achieve these objectives, this chapter is structured around eleven sections. It begins by examining the demand and structural drivers of CMS (Section 3.2) and its alignment with the UN-SDGs, notably Target 8.7 (Section 3.3). The discussion then analyses the impact of sustainability governance initiatives, including CSR, ESG, and SGIs, on corporate strategies and disclosure practices (Section 3.4), followed by an overview of government responses and global governance frameworks (Section 3.5). Subsequent sections address industry-specific vulnerabilities in the  A&amp;TI sector (Section 3.6) and the influence of country-level governance factors, such as legal systems, IEQ, and HDI (Section 3.7). The chapter then explores accounting, legal, and reporting mechanisms (Sections 3.8–3.9), before considering examples of ethical leadership and proactive corporate responses (Section 3.10). Finally, Section 3.11 synthesises the key insights and identifies research gaps, establishing the theoretical and empirical direction for Chapter 4, which presents the study’s methodological framework.</w:t>
      </w:r>
    </w:p>
    <w:p w14:paraId="1055698D" w14:textId="415C16EC" w:rsidR="00144866" w:rsidRPr="0053182F" w:rsidRDefault="00144866" w:rsidP="00144866">
      <w:pPr>
        <w:pStyle w:val="Heading2"/>
        <w:rPr>
          <w:rStyle w:val="Heading2Char"/>
          <w:b/>
        </w:rPr>
      </w:pPr>
      <w:bookmarkStart w:id="86" w:name="_Toc131356292"/>
      <w:bookmarkStart w:id="87" w:name="_Toc139533349"/>
      <w:bookmarkStart w:id="88" w:name="_Toc151541454"/>
      <w:bookmarkStart w:id="89" w:name="_Toc215651798"/>
      <w:bookmarkStart w:id="90" w:name="_Toc218357093"/>
      <w:bookmarkEnd w:id="85"/>
      <w:r w:rsidRPr="0053182F">
        <w:rPr>
          <w:rStyle w:val="normaltextrun"/>
        </w:rPr>
        <w:t xml:space="preserve">3.2 </w:t>
      </w:r>
      <w:r w:rsidRPr="0053182F">
        <w:rPr>
          <w:rStyle w:val="Heading2Char"/>
          <w:b/>
        </w:rPr>
        <w:t xml:space="preserve">Modern Slavery and the </w:t>
      </w:r>
      <w:r w:rsidR="00C06F5B" w:rsidRPr="0053182F">
        <w:rPr>
          <w:rStyle w:val="Heading2Char"/>
          <w:b/>
        </w:rPr>
        <w:t>R</w:t>
      </w:r>
      <w:r w:rsidRPr="0053182F">
        <w:rPr>
          <w:rStyle w:val="Heading2Char"/>
          <w:b/>
        </w:rPr>
        <w:t xml:space="preserve">ole of </w:t>
      </w:r>
      <w:r w:rsidR="00C06F5B" w:rsidRPr="0053182F">
        <w:rPr>
          <w:rStyle w:val="Heading2Char"/>
          <w:b/>
        </w:rPr>
        <w:t xml:space="preserve">the </w:t>
      </w:r>
      <w:r w:rsidRPr="0053182F">
        <w:rPr>
          <w:rStyle w:val="Heading2Char"/>
          <w:b/>
        </w:rPr>
        <w:t>UN Sustainable Development Goals</w:t>
      </w:r>
      <w:bookmarkEnd w:id="86"/>
      <w:bookmarkEnd w:id="87"/>
      <w:bookmarkEnd w:id="88"/>
      <w:bookmarkEnd w:id="89"/>
      <w:bookmarkEnd w:id="90"/>
    </w:p>
    <w:p w14:paraId="37BEFA73" w14:textId="68F772B0" w:rsidR="00144866" w:rsidRPr="0053182F" w:rsidRDefault="00144866" w:rsidP="00144866">
      <w:pPr>
        <w:spacing w:after="0" w:line="480" w:lineRule="auto"/>
        <w:jc w:val="both"/>
        <w:rPr>
          <w:rStyle w:val="normaltextrun"/>
          <w:rFonts w:eastAsia="Times New Roman"/>
        </w:rPr>
      </w:pPr>
      <w:r w:rsidRPr="0053182F">
        <w:rPr>
          <w:rFonts w:eastAsia="Times New Roman"/>
        </w:rPr>
        <w:t>Wealthy economies use developing economies as a tool for profit generation, exploiting cheap labour and inhumane working conditions as part of MNCs' supply chain</w:t>
      </w:r>
      <w:r w:rsidR="00C11B5D" w:rsidRPr="0053182F">
        <w:rPr>
          <w:rFonts w:eastAsia="Times New Roman"/>
        </w:rPr>
        <w:t xml:space="preserve"> </w:t>
      </w:r>
      <w:sdt>
        <w:sdtPr>
          <w:rPr>
            <w:rFonts w:eastAsia="Palatino Linotype"/>
          </w:rPr>
          <w:tag w:val="MENDELEY_CITATION_v3_eyJjaXRhdGlvbklEIjoiTUVOREVMRVlfQ0lUQVRJT05fNDQ1MWY3NzctYjk2ZC00YjVjLWIxMTEtM2RkMGRkZmNkMWMyIiwicHJvcGVydGllcyI6eyJub3RlSW5kZXgiOjB9LCJpc0VkaXRlZCI6ZmFsc2UsIm1hbnVhbE92ZXJyaWRlIjp7ImlzTWFudWFsbHlPdmVycmlkZGVuIjpmYWxzZSwiY2l0ZXByb2NUZXh0IjoiKE1vdXNzYSA8aT5ldCBhbC48L2k+LCAyMDIyOyBNdXRodXRoYW50cmlnZSA8aT5ldCBhbC48L2k+LCAyMDI2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fSwiaXNUZW1wb3JhcnkiOmZhbHNlfV19"/>
          <w:id w:val="418161079"/>
          <w:placeholder>
            <w:docPart w:val="445386BCCA75462BAD78A4BABC41B416"/>
          </w:placeholder>
        </w:sdtPr>
        <w:sdtContent>
          <w:r w:rsidR="0099190C" w:rsidRPr="0053182F">
            <w:rPr>
              <w:rFonts w:eastAsia="Times New Roman"/>
            </w:rPr>
            <w:t xml:space="preserve">(Moussa </w:t>
          </w:r>
          <w:r w:rsidR="0099190C" w:rsidRPr="0053182F">
            <w:rPr>
              <w:rFonts w:eastAsia="Times New Roman"/>
              <w:i/>
              <w:iCs/>
            </w:rPr>
            <w:t>et al.</w:t>
          </w:r>
          <w:r w:rsidR="0099190C" w:rsidRPr="0053182F">
            <w:rPr>
              <w:rFonts w:eastAsia="Times New Roman"/>
            </w:rPr>
            <w:t xml:space="preserve">, 2022; Muthuthantrige </w:t>
          </w:r>
          <w:r w:rsidR="0099190C" w:rsidRPr="0053182F">
            <w:rPr>
              <w:rFonts w:eastAsia="Times New Roman"/>
              <w:i/>
              <w:iCs/>
            </w:rPr>
            <w:t>et al.</w:t>
          </w:r>
          <w:r w:rsidR="0099190C" w:rsidRPr="0053182F">
            <w:rPr>
              <w:rFonts w:eastAsia="Times New Roman"/>
            </w:rPr>
            <w:t>, 2026)</w:t>
          </w:r>
        </w:sdtContent>
      </w:sdt>
      <w:r w:rsidRPr="0053182F">
        <w:rPr>
          <w:rFonts w:eastAsia="Palatino Linotype"/>
        </w:rPr>
        <w:t>.</w:t>
      </w:r>
      <w:r w:rsidRPr="0053182F">
        <w:rPr>
          <w:rFonts w:eastAsia="Times New Roman"/>
        </w:rPr>
        <w:t xml:space="preserve">  Therefore, MNCs have substantial contributions to rooted CMS practices. With the determination to promote global social, economic, and environmental sustainability, in September 2015, 193 UN members met in New York and adopted 17 UN-SDGs and 169 targets as an agenda (United Nations, 2015). These goals address sustainable development priorities that came into effect on 1st January 2016, aiming to achieve them by 2030 </w:t>
      </w:r>
      <w:sdt>
        <w:sdtPr>
          <w:rPr>
            <w:rFonts w:eastAsia="Palatino Linotype"/>
          </w:rPr>
          <w:tag w:val="MENDELEY_CITATION_v3_eyJjaXRhdGlvbklEIjoiTUVOREVMRVlfQ0lUQVRJT05fZTRiYmVhY2UtYzg3NS00NDZhLWFiOTktYjM0NDVlODdhODIwIiwicHJvcGVydGllcyI6eyJub3RlSW5kZXgiOjB9LCJpc0VkaXRlZCI6ZmFsc2UsIm1hbnVhbE92ZXJyaWRlIjp7ImlzTWFudWFsbHlPdmVycmlkZGVuIjpmYWxzZSwiY2l0ZXByb2NUZXh0IjoiKE1vdXNzYSA8aT5ldCBhbC48L2k+LCAyMDIyOyBVbml0ZWQgTmF0aW9ucywgMjAxNW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aXNzdWVkIjp7ImRhdGUtcGFydHMiOltbMjAyMl1dfS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"/>
          <w:id w:val="1123905548"/>
          <w:placeholder>
            <w:docPart w:val="8718E5FB15164247A5887309319B2569"/>
          </w:placeholder>
        </w:sdtPr>
        <w:sdtContent>
          <w:r w:rsidR="00CC19F4" w:rsidRPr="0053182F">
            <w:rPr>
              <w:rFonts w:eastAsia="Times New Roman"/>
            </w:rPr>
            <w:t xml:space="preserve">(Moussa </w:t>
          </w:r>
          <w:r w:rsidR="00CC19F4" w:rsidRPr="0053182F">
            <w:rPr>
              <w:rFonts w:eastAsia="Times New Roman"/>
              <w:i/>
              <w:iCs/>
            </w:rPr>
            <w:t>et al.</w:t>
          </w:r>
          <w:r w:rsidR="00CC19F4" w:rsidRPr="0053182F">
            <w:rPr>
              <w:rFonts w:eastAsia="Times New Roman"/>
            </w:rPr>
            <w:t>, 2022; United Nations, 2015b)</w:t>
          </w:r>
        </w:sdtContent>
      </w:sdt>
      <w:r w:rsidRPr="0053182F">
        <w:rPr>
          <w:rFonts w:eastAsia="Palatino Linotype"/>
        </w:rPr>
        <w:t>.</w:t>
      </w:r>
      <w:r w:rsidRPr="0053182F">
        <w:rPr>
          <w:rFonts w:eastAsia="Times New Roman"/>
        </w:rPr>
        <w:t xml:space="preserve">  These 17 UN-SDGs are implicitly interrelated</w:t>
      </w:r>
      <w:r w:rsidR="006B44B6" w:rsidRPr="0053182F">
        <w:rPr>
          <w:rFonts w:eastAsia="Times New Roman"/>
        </w:rPr>
        <w:t>, and among them, UN-SDG1, UN-SDG3, UN-SDG8, and UN-SDG10 are explicitly related to MS p</w:t>
      </w:r>
      <w:r w:rsidRPr="0053182F">
        <w:rPr>
          <w:rFonts w:eastAsia="Times New Roman"/>
        </w:rPr>
        <w:t xml:space="preserve">ractices </w:t>
      </w:r>
      <w:sdt>
        <w:sdtPr>
          <w:rPr>
            <w:rFonts w:eastAsia="Times New Roman"/>
          </w:rPr>
          <w:tag w:val="MENDELEY_CITATION_v3_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"/>
          <w:id w:val="-49000994"/>
          <w:placeholder>
            <w:docPart w:val="0BCAA41CF62A4BC48C02322959644058"/>
          </w:placeholder>
        </w:sdtPr>
        <w:sdtContent>
          <w:r w:rsidR="00CC19F4" w:rsidRPr="0053182F">
            <w:rPr>
              <w:rFonts w:eastAsia="Times New Roman"/>
            </w:rPr>
            <w:t>(Schaper and Pollach, 2021)</w:t>
          </w:r>
        </w:sdtContent>
      </w:sdt>
      <w:r w:rsidRPr="0053182F">
        <w:rPr>
          <w:rFonts w:eastAsia="Times New Roman"/>
        </w:rPr>
        <w:t>.</w:t>
      </w:r>
    </w:p>
    <w:p w14:paraId="349AD868" w14:textId="7235D483" w:rsidR="00144866" w:rsidRPr="0053182F" w:rsidRDefault="00144866" w:rsidP="00144866">
      <w:pPr>
        <w:spacing w:after="0" w:line="480" w:lineRule="auto"/>
        <w:ind w:firstLine="720"/>
        <w:jc w:val="both"/>
        <w:rPr>
          <w:rStyle w:val="Strong"/>
          <w:rFonts w:eastAsia="Times New Roman"/>
          <w:b w:val="0"/>
        </w:rPr>
      </w:pPr>
      <w:r w:rsidRPr="0053182F">
        <w:rPr>
          <w:rFonts w:eastAsia="Times New Roman"/>
        </w:rPr>
        <w:t xml:space="preserve">Mainly, UN-SDG 8 and target 8.7 </w:t>
      </w:r>
      <w:r w:rsidR="00D62735" w:rsidRPr="0053182F">
        <w:rPr>
          <w:rFonts w:eastAsia="Times New Roman"/>
        </w:rPr>
        <w:t>aim to eliminate MS</w:t>
      </w:r>
      <w:r w:rsidR="00D92F11" w:rsidRPr="0053182F">
        <w:rPr>
          <w:rFonts w:eastAsia="Times New Roman"/>
        </w:rPr>
        <w:t xml:space="preserve"> b</w:t>
      </w:r>
      <w:r w:rsidRPr="0053182F">
        <w:rPr>
          <w:rFonts w:eastAsia="Times New Roman"/>
        </w:rPr>
        <w:t xml:space="preserve">y 2030 </w:t>
      </w:r>
      <w:sdt>
        <w:sdtPr>
          <w:rPr>
            <w:rFonts w:eastAsia="Palatino Linotype"/>
          </w:rPr>
          <w:tag w:val="MENDELEY_CITATION_v3_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"/>
          <w:id w:val="1357396770"/>
          <w:placeholder>
            <w:docPart w:val="81CBF39B0F45416C8F9D859766A48277"/>
          </w:placeholder>
        </w:sdtPr>
        <w:sdtContent>
          <w:r w:rsidR="00CC19F4" w:rsidRPr="0053182F">
            <w:rPr>
              <w:rFonts w:eastAsia="Times New Roman"/>
            </w:rPr>
            <w:t>(United Nations, 2015b)</w:t>
          </w:r>
        </w:sdtContent>
      </w:sdt>
      <w:r w:rsidRPr="0053182F">
        <w:rPr>
          <w:rFonts w:eastAsia="Palatino Linotype"/>
        </w:rPr>
        <w:t>.</w:t>
      </w:r>
      <w:r w:rsidRPr="0053182F">
        <w:rPr>
          <w:rFonts w:eastAsia="Times New Roman"/>
        </w:rPr>
        <w:t xml:space="preserve"> UN has identified </w:t>
      </w:r>
      <w:r w:rsidRPr="0053182F">
        <w:rPr>
          <w:rStyle w:val="QuoteChar"/>
        </w:rPr>
        <w:t>"UN-SGD Target 8.7 calls on all to take immediate and effective measures to eradicate forced labour, end MS  and human trafficking and secure the prohibition and elimination of all forms of child labour as an essential step to achieving decent work for all, full and productive employment and inclusive and sustained economic growth"</w:t>
      </w:r>
      <w:r w:rsidRPr="0053182F">
        <w:rPr>
          <w:rFonts w:eastAsia="Times New Roman"/>
          <w:i/>
        </w:rPr>
        <w:t xml:space="preserve"> </w:t>
      </w:r>
      <w:sdt>
        <w:sdtPr>
          <w:rPr>
            <w:rFonts w:eastAsia="Palatino Linotype"/>
          </w:rPr>
          <w:tag w:val="MENDELEY_CITATION_v3_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"/>
          <w:id w:val="1577049416"/>
          <w:placeholder>
            <w:docPart w:val="CEFC275C17314A90ADC351AA2AE8268E"/>
          </w:placeholder>
        </w:sdtPr>
        <w:sdtContent>
          <w:r w:rsidR="00CC19F4" w:rsidRPr="0053182F">
            <w:rPr>
              <w:rFonts w:eastAsia="Times New Roman"/>
            </w:rPr>
            <w:t>(ILO, 2016, p. 2)</w:t>
          </w:r>
        </w:sdtContent>
      </w:sdt>
      <w:r w:rsidRPr="0053182F">
        <w:rPr>
          <w:rFonts w:eastAsia="Times New Roman"/>
        </w:rPr>
        <w:t>. Accordingly, the target is explicitly significant for corporations, governance</w:t>
      </w:r>
      <w:r w:rsidR="00D62735" w:rsidRPr="0053182F">
        <w:rPr>
          <w:rFonts w:eastAsia="Times New Roman"/>
        </w:rPr>
        <w:t xml:space="preserve"> bodies, regulatory bodies, and other stakeholders, as it provides a framework for developing an actionable plan to tackle the MS</w:t>
      </w:r>
      <w:r w:rsidR="00C14C8A" w:rsidRPr="0053182F">
        <w:rPr>
          <w:rFonts w:eastAsia="Times New Roman"/>
        </w:rPr>
        <w:t xml:space="preserve"> t</w:t>
      </w:r>
      <w:r w:rsidRPr="0053182F">
        <w:rPr>
          <w:rFonts w:eastAsia="Times New Roman"/>
        </w:rPr>
        <w:t xml:space="preserve">arget by 2030 </w:t>
      </w:r>
      <w:sdt>
        <w:sdtPr>
          <w:rPr>
            <w:rFonts w:eastAsia="Palatino Linotype"/>
          </w:rPr>
          <w:tag w:val="MENDELEY_CITATION_v3_eyJjaXRhdGlvbklEIjoiTUVOREVMRVlfQ0lUQVRJT05fNjYwZjdmZmItMWQ5Yi00ODgzLTgxZTQtOTAyMjVmMTIwYTI4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lzc3VlZCI6eyJkYXRlLXBhcnRzIjpbWzIwMjJdXX0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NvbnRhaW5lci10aXRsZS1zaG9ydCI6IkJ1cyBTdHJhdGVneSBFbnZpcm9uIn0sImlzVGVtcG9yYXJ5IjpmYWxzZX1dfQ=="/>
          <w:id w:val="58417070"/>
          <w:placeholder>
            <w:docPart w:val="CEFC275C17314A90ADC351AA2AE8268E"/>
          </w:placeholder>
        </w:sdtPr>
        <w:sdtContent>
          <w:r w:rsidR="00CC19F4" w:rsidRPr="0053182F">
            <w:rPr>
              <w:rFonts w:eastAsia="Times New Roman"/>
            </w:rPr>
            <w:t xml:space="preserve">(Moussa </w:t>
          </w:r>
          <w:r w:rsidR="00CC19F4" w:rsidRPr="0053182F">
            <w:rPr>
              <w:rFonts w:eastAsia="Times New Roman"/>
              <w:i/>
              <w:iCs/>
            </w:rPr>
            <w:t>et al.</w:t>
          </w:r>
          <w:r w:rsidR="00CC19F4" w:rsidRPr="0053182F">
            <w:rPr>
              <w:rFonts w:eastAsia="Times New Roman"/>
            </w:rPr>
            <w:t>, 2022)</w:t>
          </w:r>
        </w:sdtContent>
      </w:sdt>
      <w:r w:rsidRPr="0053182F">
        <w:rPr>
          <w:rFonts w:eastAsia="Palatino Linotype"/>
        </w:rPr>
        <w:t>.</w:t>
      </w:r>
      <w:r w:rsidRPr="0053182F">
        <w:rPr>
          <w:rFonts w:eastAsia="Times New Roman"/>
        </w:rPr>
        <w:t xml:space="preserve">  Also, these UN-SDGs goals are used as governmental guidance to achieve sustainability targets. Target 8.8</w:t>
      </w:r>
      <w:r w:rsidR="00686617" w:rsidRPr="0053182F">
        <w:rPr>
          <w:rFonts w:eastAsia="Times New Roman"/>
        </w:rPr>
        <w:t>, combined with target 8.7, f</w:t>
      </w:r>
      <w:r w:rsidRPr="0053182F">
        <w:rPr>
          <w:rFonts w:eastAsia="Times New Roman"/>
        </w:rPr>
        <w:t xml:space="preserve">ocuses on </w:t>
      </w:r>
      <w:r w:rsidRPr="0053182F">
        <w:rPr>
          <w:rStyle w:val="QuoteChar"/>
        </w:rPr>
        <w:t>"Protect labour rights and promote safe and secure working environments for all workers, including migrant workers, particularly women migrants, and those in precarious employment"</w:t>
      </w:r>
      <w:r w:rsidRPr="0053182F">
        <w:rPr>
          <w:rFonts w:eastAsia="Times New Roman"/>
        </w:rPr>
        <w:t xml:space="preserve"> </w:t>
      </w:r>
      <w:sdt>
        <w:sdtPr>
          <w:rPr>
            <w:rFonts w:eastAsia="Palatino Linotype"/>
          </w:rPr>
          <w:tag w:val="MENDELEY_CITATION_v3_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"/>
          <w:id w:val="451023433"/>
          <w:placeholder>
            <w:docPart w:val="0C4DD26A0A7F42468185921BDC009093"/>
          </w:placeholder>
        </w:sdtPr>
        <w:sdtContent>
          <w:r w:rsidR="00CC19F4" w:rsidRPr="0053182F">
            <w:rPr>
              <w:rFonts w:eastAsia="Times New Roman"/>
            </w:rPr>
            <w:t>(United Nations, 2015, p. 20)</w:t>
          </w:r>
        </w:sdtContent>
      </w:sdt>
      <w:r w:rsidRPr="0053182F">
        <w:rPr>
          <w:rFonts w:eastAsia="Times New Roman"/>
        </w:rPr>
        <w:t xml:space="preserve">. Comprehensive guidance and direction help firms decide and modify their strategies and targets </w:t>
      </w:r>
      <w:sdt>
        <w:sdtPr>
          <w:rPr>
            <w:rFonts w:eastAsia="Palatino Linotype"/>
          </w:rPr>
          <w:tag w:val="MENDELEY_CITATION_v3_eyJjaXRhdGlvbklEIjoiTUVOREVMRVlfQ0lUQVRJT05fNzgxOGVmNjYtMDZhOC00ZDlkLWEzMjUtMzRkNjAxYTM1ODI2IiwicHJvcGVydGllcyI6eyJub3RlSW5kZXgiOjB9LCJpc0VkaXRlZCI6ZmFsc2UsIm1hbnVhbE92ZXJyaWRlIjp7ImlzTWFudWFsbHlPdmVycmlkZGVuIjpmYWxzZSwiY2l0ZXByb2NUZXh0IjoiKENocmlzdCA8aT5ldCBhbC48L2k+LCAyMDE5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1521327072"/>
          <w:placeholder>
            <w:docPart w:val="654692A50B8D4989AB50D53457F40582"/>
          </w:placeholder>
        </w:sdtPr>
        <w:sdtContent>
          <w:r w:rsidR="00CC19F4" w:rsidRPr="0053182F">
            <w:rPr>
              <w:rFonts w:eastAsia="Times New Roman"/>
            </w:rPr>
            <w:t xml:space="preserve">(Christ </w:t>
          </w:r>
          <w:r w:rsidR="00CC19F4" w:rsidRPr="0053182F">
            <w:rPr>
              <w:rFonts w:eastAsia="Times New Roman"/>
              <w:i/>
              <w:iCs/>
            </w:rPr>
            <w:t>et al.</w:t>
          </w:r>
          <w:r w:rsidR="00CC19F4" w:rsidRPr="0053182F">
            <w:rPr>
              <w:rFonts w:eastAsia="Times New Roman"/>
            </w:rPr>
            <w:t>, 2019)</w:t>
          </w:r>
        </w:sdtContent>
      </w:sdt>
      <w:r w:rsidRPr="0053182F">
        <w:rPr>
          <w:rFonts w:eastAsia="Palatino Linotype"/>
        </w:rPr>
        <w:t>.</w:t>
      </w:r>
    </w:p>
    <w:p w14:paraId="336CE453" w14:textId="6FEE12AB" w:rsidR="00144866" w:rsidRPr="0053182F" w:rsidRDefault="00144866" w:rsidP="00144866">
      <w:pPr>
        <w:spacing w:after="0" w:line="480" w:lineRule="auto"/>
        <w:ind w:firstLine="720"/>
        <w:jc w:val="both"/>
        <w:rPr>
          <w:rFonts w:eastAsia="Times New Roman"/>
        </w:rPr>
      </w:pPr>
      <w:r w:rsidRPr="0053182F">
        <w:rPr>
          <w:rFonts w:eastAsia="Times New Roman"/>
        </w:rPr>
        <w:t xml:space="preserve">Introducing new annual corporate reporting and disclosure requirements regarding </w:t>
      </w:r>
      <w:r w:rsidR="0042646F" w:rsidRPr="0053182F">
        <w:rPr>
          <w:rFonts w:eastAsia="Times New Roman"/>
        </w:rPr>
        <w:t>MS risk</w:t>
      </w:r>
      <w:r w:rsidRPr="0053182F">
        <w:rPr>
          <w:rFonts w:eastAsia="Times New Roman"/>
        </w:rPr>
        <w:t xml:space="preserve"> associated with their direct business and supply chain has somewhat improved corporate accountability </w:t>
      </w:r>
      <w:sdt>
        <w:sdtPr>
          <w:rPr>
            <w:rFonts w:eastAsia="Palatino Linotype"/>
          </w:rPr>
          <w:tag w:val="MENDELEY_CITATION_v3_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"/>
          <w:id w:val="1044186938"/>
          <w:placeholder>
            <w:docPart w:val="DE23AAF2C5374FA49509F1D0EF1365C4"/>
          </w:placeholder>
        </w:sdtPr>
        <w:sdtContent>
          <w:r w:rsidR="00CC19F4" w:rsidRPr="0053182F">
            <w:rPr>
              <w:rFonts w:eastAsia="Times New Roman"/>
            </w:rPr>
            <w:t xml:space="preserve">(Burritt and Christ, 2021; Voss </w:t>
          </w:r>
          <w:r w:rsidR="00CC19F4" w:rsidRPr="0053182F">
            <w:rPr>
              <w:rFonts w:eastAsia="Times New Roman"/>
              <w:i/>
              <w:iCs/>
            </w:rPr>
            <w:t>et al.</w:t>
          </w:r>
          <w:r w:rsidR="00CC19F4" w:rsidRPr="0053182F">
            <w:rPr>
              <w:rFonts w:eastAsia="Times New Roman"/>
            </w:rPr>
            <w:t>, 2019)</w:t>
          </w:r>
        </w:sdtContent>
      </w:sdt>
      <w:r w:rsidRPr="0053182F">
        <w:rPr>
          <w:rFonts w:eastAsia="Palatino Linotype"/>
        </w:rPr>
        <w:t>.</w:t>
      </w:r>
      <w:r w:rsidRPr="0053182F">
        <w:rPr>
          <w:rFonts w:eastAsia="Times New Roman"/>
        </w:rPr>
        <w:t xml:space="preserve">  Nevertheless, the implementation of the UN-SDGs has slowed due to the COVID-19 pandemic, global financial and energy crises, the Russia-Ukraine war, the Israel–Palestine conflict, and India-Pakistan skirmishes, which have significantly impacted the achievement of UN-SDG</w:t>
      </w:r>
      <w:r w:rsidR="00CA4DCD" w:rsidRPr="0053182F">
        <w:rPr>
          <w:rFonts w:eastAsia="Times New Roman"/>
        </w:rPr>
        <w:t>s</w:t>
      </w:r>
      <w:r w:rsidRPr="0053182F">
        <w:rPr>
          <w:rFonts w:eastAsia="Times New Roman"/>
        </w:rPr>
        <w:t xml:space="preserve"> targets. Unfortunately, achieving UN-SDG 8.7 may not be a realistic target by 2030 unless there is a significant global contribution to the elimination process </w:t>
      </w:r>
      <w:sdt>
        <w:sdtPr>
          <w:rPr>
            <w:rFonts w:eastAsia="Times New Roman"/>
          </w:rPr>
          <w:tag w:val="MENDELEY_CITATION_v3_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"/>
          <w:id w:val="-815177687"/>
          <w:placeholder>
            <w:docPart w:val="B1C8617CFC3D4BBEA060DA340278BCE5"/>
          </w:placeholder>
        </w:sdtPr>
        <w:sdtContent>
          <w:r w:rsidR="00CC19F4" w:rsidRPr="0053182F">
            <w:rPr>
              <w:rFonts w:eastAsia="Times New Roman"/>
            </w:rPr>
            <w:t>(United Nations, 2022c; United Nations- Economic and Social Council, 2022).</w:t>
          </w:r>
        </w:sdtContent>
      </w:sdt>
    </w:p>
    <w:p w14:paraId="7380161F" w14:textId="79360E8C" w:rsidR="00144866" w:rsidRPr="0053182F" w:rsidRDefault="00144866" w:rsidP="00144866">
      <w:pPr>
        <w:spacing w:line="480" w:lineRule="auto"/>
        <w:ind w:firstLine="720"/>
        <w:jc w:val="both"/>
      </w:pPr>
      <w:r w:rsidRPr="0053182F">
        <w:t xml:space="preserve">Most governments remain ineffective, offering rhetorical commitments to sustainability rather than implementing meaningful action. For instance, despite the global target to eradicate child labour by 2025, recent estimates indicate that approximately 137 million children were still engaged in child labour as of 2024 </w:t>
      </w:r>
      <w:sdt>
        <w:sdtPr>
          <w:tag w:val="MENDELEY_CITATION_v3_eyJjaXRhdGlvbklEIjoiTUVOREVMRVlfQ0lUQVRJT05fMGI4ZDY0NjctYWM4Yy00MmVhLWE0ZmUtNmU1MWZiNDUyMWYxIiwicHJvcGVydGllcyI6eyJub3RlSW5kZXgiOjB9LCJpc0VkaXRlZCI6ZmFsc2UsIm1hbnVhbE92ZXJyaWRlIjp7ImlzTWFudWFsbHlPdmVycmlkZGVuIjpmYWxzZSwiY2l0ZXByb2NUZXh0IjoiKElMTywgMjAyNSkiLCJtYW51YWxPdmVycmlkZVRleHQiOiI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
          <w:id w:val="327717306"/>
          <w:placeholder>
            <w:docPart w:val="1703E6203B7841ED9C7EB199F84FE7A0"/>
          </w:placeholder>
        </w:sdtPr>
        <w:sdtContent>
          <w:r w:rsidR="00CC19F4" w:rsidRPr="0053182F">
            <w:t>(ILO, 2025)</w:t>
          </w:r>
        </w:sdtContent>
      </w:sdt>
      <w:r w:rsidRPr="0053182F">
        <w:t xml:space="preserve">. This demonstrates that achieving the target is unrealistic within the current global legal framework, compounded by weak enforcement mechanisms and inadequate governmental intervention </w:t>
      </w:r>
      <w:sdt>
        <w:sdtPr>
          <w:tag w:val="MENDELEY_CITATION_v3_eyJjaXRhdGlvbklEIjoiTUVOREVMRVlfQ0lUQVRJT05fN2VhMGYwZjQtMDlkOS00ZTEwLWFhMjUtMjFiNTkwM2NiZmVjIiwicHJvcGVydGllcyI6eyJub3RlSW5kZXgiOjB9LCJpc0VkaXRlZCI6ZmFsc2UsIm1hbnVhbE92ZXJyaWRlIjp7ImlzTWFudWFsbHlPdmVycmlkZGVuIjpmYWxzZSwiY2l0ZXByb2NUZXh0IjoiKElMTywgMjAyNSkiLCJtYW51YWxPdmVycmlkZVRleHQiOiI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
          <w:id w:val="-2099941416"/>
          <w:placeholder>
            <w:docPart w:val="5F4C410D901347C3A16C67B48A595378"/>
          </w:placeholder>
        </w:sdtPr>
        <w:sdtContent>
          <w:r w:rsidR="00CC19F4" w:rsidRPr="0053182F">
            <w:t>(ILO, 2025)</w:t>
          </w:r>
        </w:sdtContent>
      </w:sdt>
      <w:r w:rsidRPr="0053182F">
        <w:t>.</w:t>
      </w:r>
      <w:r w:rsidRPr="0053182F">
        <w:rPr>
          <w:rFonts w:eastAsia="Times New Roman"/>
        </w:rPr>
        <w:t xml:space="preserve"> Accordingly, policymakers and governance need urgent attention to develop a strong, effective strategic plan to probe the phenomenon </w:t>
      </w:r>
      <w:sdt>
        <w:sdtPr>
          <w:tag w:val="MENDELEY_CITATION_v3_eyJjaXRhdGlvbklEIjoiTUVOREVMRVlfQ0lUQVRJT05fNjYyOTdkZmQtMjJhOS00ZjkyLThjMmItZjk1OWQwYWQ1NjNlIiwicHJvcGVydGllcyI6eyJub3RlSW5kZXgiOjB9LCJpc0VkaXRlZCI6ZmFsc2UsIm1hbnVhbE92ZXJyaWRlIjp7ImlzTWFudWFsbHlPdmVycmlkZGVuIjpmYWxzZSwiY2l0ZXByb2NUZXh0IjoiKEFsYml0YXIgPGk+ZXQgYWwuPC9pPiwgMjAyNTsgTW91c3NhIDxpPmV0IGFsLjwvaT4sIDIwMjIpIiwibWFudWFsT3ZlcnJpZGVUZXh0IjoiIn0sImNpdGF0aW9uSXRlbXMiOlt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1818377376"/>
          <w:placeholder>
            <w:docPart w:val="07AA05CE7AAB45D1B1BB58EA4F3E24F7"/>
          </w:placeholder>
        </w:sdtPr>
        <w:sdtContent>
          <w:r w:rsidR="00CC19F4" w:rsidRPr="0053182F">
            <w:rPr>
              <w:rFonts w:eastAsia="Times New Roman"/>
            </w:rPr>
            <w:t xml:space="preserve">(Albitar </w:t>
          </w:r>
          <w:r w:rsidR="00CC19F4" w:rsidRPr="0053182F">
            <w:rPr>
              <w:rFonts w:eastAsia="Times New Roman"/>
              <w:i/>
              <w:iCs/>
            </w:rPr>
            <w:t>et al.</w:t>
          </w:r>
          <w:r w:rsidR="00CC19F4" w:rsidRPr="0053182F">
            <w:rPr>
              <w:rFonts w:eastAsia="Times New Roman"/>
            </w:rPr>
            <w:t xml:space="preserve">, 2025; Moussa </w:t>
          </w:r>
          <w:r w:rsidR="00CC19F4" w:rsidRPr="0053182F">
            <w:rPr>
              <w:rFonts w:eastAsia="Times New Roman"/>
              <w:i/>
              <w:iCs/>
            </w:rPr>
            <w:t>et al.</w:t>
          </w:r>
          <w:r w:rsidR="00CC19F4" w:rsidRPr="0053182F">
            <w:rPr>
              <w:rFonts w:eastAsia="Times New Roman"/>
            </w:rPr>
            <w:t>, 2022)</w:t>
          </w:r>
        </w:sdtContent>
      </w:sdt>
      <w:r w:rsidRPr="0053182F">
        <w:rPr>
          <w:rFonts w:eastAsia="Times New Roman"/>
        </w:rPr>
        <w:t xml:space="preserve">. In addition, </w:t>
      </w:r>
      <w:r w:rsidR="00686617" w:rsidRPr="0053182F">
        <w:rPr>
          <w:rFonts w:eastAsia="Times New Roman"/>
        </w:rPr>
        <w:t>corporations must make a more significant contribution to global sustainability and</w:t>
      </w:r>
      <w:r w:rsidRPr="0053182F">
        <w:rPr>
          <w:rFonts w:eastAsia="Times New Roman"/>
        </w:rPr>
        <w:t xml:space="preserve"> develop an actionable plan aligned with the macro–level UN–SDG</w:t>
      </w:r>
      <w:r w:rsidR="00CE276F" w:rsidRPr="0053182F">
        <w:rPr>
          <w:rFonts w:eastAsia="Times New Roman"/>
        </w:rPr>
        <w:t>s</w:t>
      </w:r>
      <w:r w:rsidRPr="0053182F">
        <w:rPr>
          <w:rFonts w:eastAsia="Times New Roman"/>
        </w:rPr>
        <w:t xml:space="preserve"> targets.</w:t>
      </w:r>
    </w:p>
    <w:p w14:paraId="13DD9887" w14:textId="79A33F73" w:rsidR="00144866" w:rsidRPr="0053182F" w:rsidRDefault="00144866" w:rsidP="00144866">
      <w:pPr>
        <w:spacing w:after="0" w:line="480" w:lineRule="auto"/>
        <w:ind w:firstLine="720"/>
        <w:jc w:val="both"/>
        <w:rPr>
          <w:rFonts w:eastAsia="Times New Roman"/>
        </w:rPr>
      </w:pPr>
      <w:r w:rsidRPr="0053182F">
        <w:rPr>
          <w:rFonts w:eastAsia="Times New Roman"/>
        </w:rPr>
        <w:t xml:space="preserve">This policy–practice gap reflects the limitations of global governance in transforming institutional norms into enforceable accountability mechanisms. While many MNCs have incorporated UN-SDG-related language into their CSR and sustainability reports, such alignment often remains rhetorical, reflecting symbolic adoption rather than genuine transformation </w:t>
      </w:r>
      <w:sdt>
        <w:sdtPr>
          <w:rPr>
            <w:rFonts w:eastAsia="Times New Roman"/>
          </w:rPr>
          <w:tag w:val="MENDELEY_CITATION_v3_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"/>
          <w:id w:val="2055891022"/>
          <w:placeholder>
            <w:docPart w:val="93485DDCDDD84390A37FAAA16FB06D67"/>
          </w:placeholder>
        </w:sdtPr>
        <w:sdtContent>
          <w:r w:rsidR="00CC19F4" w:rsidRPr="0053182F">
            <w:rPr>
              <w:rFonts w:eastAsia="Times New Roman"/>
            </w:rPr>
            <w:t xml:space="preserve">(Crane </w:t>
          </w:r>
          <w:r w:rsidR="00CC19F4" w:rsidRPr="0053182F">
            <w:rPr>
              <w:rFonts w:eastAsia="Times New Roman"/>
              <w:i/>
              <w:iCs/>
            </w:rPr>
            <w:t>et al.</w:t>
          </w:r>
          <w:r w:rsidR="00CC19F4" w:rsidRPr="0053182F">
            <w:rPr>
              <w:rFonts w:eastAsia="Times New Roman"/>
            </w:rPr>
            <w:t>, 2022; LeBaron, 2021a)</w:t>
          </w:r>
        </w:sdtContent>
      </w:sdt>
      <w:r w:rsidRPr="0053182F">
        <w:rPr>
          <w:rFonts w:eastAsia="Times New Roman"/>
        </w:rPr>
        <w:t>. The voluntary and non-binding nature of UN-SDG</w:t>
      </w:r>
      <w:r w:rsidR="0084712F" w:rsidRPr="0053182F">
        <w:rPr>
          <w:rFonts w:eastAsia="Times New Roman"/>
        </w:rPr>
        <w:t>s</w:t>
      </w:r>
      <w:r w:rsidRPr="0053182F">
        <w:rPr>
          <w:rFonts w:eastAsia="Times New Roman"/>
        </w:rPr>
        <w:t xml:space="preserve"> implementation allows firms to project legitimacy without substantially reforming supply-chain practices </w:t>
      </w:r>
      <w:sdt>
        <w:sdtPr>
          <w:rPr>
            <w:rFonts w:eastAsia="Times New Roman"/>
          </w:rPr>
          <w:tag w:val="MENDELEY_CITATION_v3_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"/>
          <w:id w:val="682864565"/>
          <w:placeholder>
            <w:docPart w:val="93485DDCDDD84390A37FAAA16FB06D67"/>
          </w:placeholder>
        </w:sdtPr>
        <w:sdtContent>
          <w:r w:rsidR="00B85634" w:rsidRPr="0053182F">
            <w:rPr>
              <w:rFonts w:eastAsia="Times New Roman"/>
            </w:rPr>
            <w:t>(Gold et al., 2015a; New, 2015)</w:t>
          </w:r>
        </w:sdtContent>
      </w:sdt>
      <w:r w:rsidRPr="0053182F">
        <w:rPr>
          <w:rFonts w:eastAsia="Times New Roman"/>
        </w:rPr>
        <w:t>.</w:t>
      </w:r>
    </w:p>
    <w:p w14:paraId="373130DC" w14:textId="5E0A9363" w:rsidR="00144866" w:rsidRPr="0053182F" w:rsidRDefault="00144866" w:rsidP="00144866">
      <w:pPr>
        <w:spacing w:after="0" w:line="480" w:lineRule="auto"/>
        <w:ind w:firstLine="720"/>
        <w:jc w:val="both"/>
        <w:rPr>
          <w:rFonts w:eastAsia="Times New Roman"/>
        </w:rPr>
      </w:pPr>
      <w:r w:rsidRPr="0053182F">
        <w:rPr>
          <w:rFonts w:eastAsia="Times New Roman"/>
        </w:rPr>
        <w:t xml:space="preserve">From </w:t>
      </w:r>
      <w:r w:rsidR="00110573" w:rsidRPr="0053182F">
        <w:rPr>
          <w:rFonts w:eastAsia="Times New Roman"/>
        </w:rPr>
        <w:t>NIT's perspective, the UN-SDGs serve</w:t>
      </w:r>
      <w:r w:rsidRPr="0053182F">
        <w:rPr>
          <w:rFonts w:eastAsia="Times New Roman"/>
        </w:rPr>
        <w:t xml:space="preserve"> as normative institutional pressure, shaping corporate legitimacy and behaviour. Global sustainability frameworks create shared social expectations that influence how firms define acceptable conduct within their organisational fields </w:t>
      </w:r>
      <w:sdt>
        <w:sdtPr>
          <w:rPr>
            <w:rFonts w:eastAsia="Times New Roman"/>
          </w:rPr>
          <w:tag w:val="MENDELEY_CITATION_v3_eyJjaXRhdGlvbklEIjoiTUVOREVMRVlfQ0lUQVRJT05fODZjYzE4ZmUtN2VhZi00YzRkLTgzMDItYmQ0NzY3MjBkYzRi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815713130"/>
          <w:placeholder>
            <w:docPart w:val="93485DDCDDD84390A37FAAA16FB06D67"/>
          </w:placeholder>
        </w:sdtPr>
        <w:sdtContent>
          <w:r w:rsidR="003A67DF" w:rsidRPr="0053182F">
            <w:rPr>
              <w:rFonts w:eastAsia="Times New Roman"/>
            </w:rPr>
            <w:t>(DiMaggio and Powell, 1983; Scott, 2013)</w:t>
          </w:r>
        </w:sdtContent>
      </w:sdt>
      <w:r w:rsidRPr="0053182F">
        <w:rPr>
          <w:rFonts w:eastAsia="Times New Roman"/>
        </w:rPr>
        <w:t>. Firms respond to these pressures by mimicking peer practices and embedding UN-SDG</w:t>
      </w:r>
      <w:r w:rsidR="00D578FA" w:rsidRPr="0053182F">
        <w:rPr>
          <w:rFonts w:eastAsia="Times New Roman"/>
        </w:rPr>
        <w:t>s</w:t>
      </w:r>
      <w:r w:rsidRPr="0053182F">
        <w:rPr>
          <w:rFonts w:eastAsia="Times New Roman"/>
        </w:rPr>
        <w:t xml:space="preserve"> commitments into their governance and reporting systems to demonstrate compliance and social responsibility </w:t>
      </w:r>
      <w:sdt>
        <w:sdtPr>
          <w:rPr>
            <w:rFonts w:eastAsia="Times New Roman"/>
          </w:rPr>
          <w:tag w:val="MENDELEY_CITATION_v3_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
          <w:id w:val="2066297707"/>
          <w:placeholder>
            <w:docPart w:val="93485DDCDDD84390A37FAAA16FB06D67"/>
          </w:placeholder>
        </w:sdtPr>
        <w:sdtContent>
          <w:r w:rsidR="00CC19F4" w:rsidRPr="0053182F">
            <w:rPr>
              <w:rFonts w:eastAsia="Times New Roman"/>
            </w:rPr>
            <w:t xml:space="preserve">(Albitar </w:t>
          </w:r>
          <w:r w:rsidR="00CC19F4" w:rsidRPr="0053182F">
            <w:rPr>
              <w:rFonts w:eastAsia="Times New Roman"/>
              <w:i/>
              <w:iCs/>
            </w:rPr>
            <w:t>et al.</w:t>
          </w:r>
          <w:r w:rsidR="00CC19F4" w:rsidRPr="0053182F">
            <w:rPr>
              <w:rFonts w:eastAsia="Times New Roman"/>
            </w:rPr>
            <w:t xml:space="preserve">, 2025; Brammer </w:t>
          </w:r>
          <w:r w:rsidR="00CC19F4" w:rsidRPr="0053182F">
            <w:rPr>
              <w:rFonts w:eastAsia="Times New Roman"/>
              <w:i/>
              <w:iCs/>
            </w:rPr>
            <w:t>et al.</w:t>
          </w:r>
          <w:r w:rsidR="00CC19F4" w:rsidRPr="0053182F">
            <w:rPr>
              <w:rFonts w:eastAsia="Times New Roman"/>
            </w:rPr>
            <w:t>, 2012)</w:t>
          </w:r>
        </w:sdtContent>
      </w:sdt>
      <w:r w:rsidRPr="0053182F">
        <w:rPr>
          <w:rFonts w:eastAsia="Times New Roman"/>
        </w:rPr>
        <w:t>. However, these responses often result in mimetic or symbolic conformity—what Meyer and Rowan (1977) describe as “decoupling”—where formal adherence to institutional norms is prioritised over substantive organisational change.</w:t>
      </w:r>
    </w:p>
    <w:p w14:paraId="752C3C23" w14:textId="57066A5C" w:rsidR="00144866" w:rsidRPr="0053182F" w:rsidRDefault="00144866" w:rsidP="00144866">
      <w:pPr>
        <w:spacing w:after="0" w:line="480" w:lineRule="auto"/>
        <w:ind w:firstLine="720"/>
        <w:jc w:val="both"/>
        <w:rPr>
          <w:rFonts w:eastAsia="Times New Roman"/>
        </w:rPr>
      </w:pPr>
      <w:r w:rsidRPr="0053182F">
        <w:rPr>
          <w:rFonts w:eastAsia="Times New Roman"/>
        </w:rPr>
        <w:t xml:space="preserve">Thus, although the UN-SDGs have established a global normative framework to address MS, their effectiveness depends on translating voluntary commitments into enforceable mechanisms. Achieving the ambitions of Target 8.7 requires greater institutional coherence, cross-sectoral collaboration, and transparency in corporate reporting, ensuring that global normative pressures translate into meaningful action and accountability </w:t>
      </w:r>
      <w:sdt>
        <w:sdtPr>
          <w:rPr>
            <w:rFonts w:eastAsia="Times New Roman"/>
          </w:rPr>
          <w:tag w:val="MENDELEY_CITATION_v3_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"/>
          <w:id w:val="2069914376"/>
          <w:placeholder>
            <w:docPart w:val="93485DDCDDD84390A37FAAA16FB06D67"/>
          </w:placeholder>
        </w:sdtPr>
        <w:sdtContent>
          <w:r w:rsidR="00CC19F4" w:rsidRPr="0053182F">
            <w:rPr>
              <w:rFonts w:eastAsia="Times New Roman"/>
            </w:rPr>
            <w:t xml:space="preserve">(LeBaron, 2021a; Sustainable Stock Exchanges </w:t>
          </w:r>
          <w:r w:rsidR="00CC19F4" w:rsidRPr="0053182F">
            <w:rPr>
              <w:rFonts w:eastAsia="Times New Roman"/>
              <w:i/>
              <w:iCs/>
            </w:rPr>
            <w:t>et al.</w:t>
          </w:r>
          <w:r w:rsidR="00CC19F4" w:rsidRPr="0053182F">
            <w:rPr>
              <w:rFonts w:eastAsia="Times New Roman"/>
            </w:rPr>
            <w:t>, 2023)</w:t>
          </w:r>
        </w:sdtContent>
      </w:sdt>
      <w:r w:rsidRPr="0053182F">
        <w:rPr>
          <w:rFonts w:eastAsia="Times New Roman"/>
        </w:rPr>
        <w:t>.</w:t>
      </w:r>
    </w:p>
    <w:p w14:paraId="3D0C1136" w14:textId="77777777" w:rsidR="00144866" w:rsidRPr="0053182F" w:rsidRDefault="00144866" w:rsidP="00144866">
      <w:pPr>
        <w:pStyle w:val="Heading2"/>
        <w:jc w:val="both"/>
        <w:rPr>
          <w:b w:val="0"/>
          <w:sz w:val="24"/>
        </w:rPr>
      </w:pPr>
      <w:bookmarkStart w:id="91" w:name="_Toc131356295"/>
      <w:bookmarkStart w:id="92" w:name="_Toc139533352"/>
      <w:bookmarkStart w:id="93" w:name="_Toc151541458"/>
      <w:bookmarkStart w:id="94" w:name="_Toc215651799"/>
      <w:bookmarkStart w:id="95" w:name="_Toc218357094"/>
      <w:r w:rsidRPr="0053182F">
        <w:rPr>
          <w:sz w:val="24"/>
        </w:rPr>
        <w:t xml:space="preserve">3.3 Impact of Country Governance Factors on the Elimination of </w:t>
      </w:r>
      <w:bookmarkEnd w:id="91"/>
      <w:r w:rsidRPr="0053182F">
        <w:rPr>
          <w:sz w:val="24"/>
        </w:rPr>
        <w:t>Corporate Modern Slavery</w:t>
      </w:r>
      <w:bookmarkEnd w:id="92"/>
      <w:bookmarkEnd w:id="93"/>
      <w:bookmarkEnd w:id="94"/>
      <w:bookmarkEnd w:id="95"/>
    </w:p>
    <w:p w14:paraId="12FD2042" w14:textId="0A922D72" w:rsidR="00144866" w:rsidRPr="0053182F" w:rsidRDefault="00144866" w:rsidP="00144866">
      <w:pPr>
        <w:spacing w:after="0" w:line="480" w:lineRule="auto"/>
        <w:ind w:firstLine="720"/>
        <w:jc w:val="both"/>
        <w:rPr>
          <w:rFonts w:eastAsia="Times New Roman"/>
          <w:lang w:eastAsia="en-GB"/>
        </w:rPr>
      </w:pPr>
      <w:r w:rsidRPr="0053182F">
        <w:rPr>
          <w:rFonts w:eastAsia="Times New Roman"/>
          <w:lang w:eastAsia="en-GB"/>
        </w:rPr>
        <w:t xml:space="preserve">The issue of </w:t>
      </w:r>
      <w:r w:rsidR="00984D07" w:rsidRPr="0053182F">
        <w:rPr>
          <w:rFonts w:eastAsia="Times New Roman"/>
          <w:lang w:eastAsia="en-GB"/>
        </w:rPr>
        <w:t>MS is</w:t>
      </w:r>
      <w:r w:rsidRPr="0053182F">
        <w:rPr>
          <w:rFonts w:eastAsia="Times New Roman"/>
          <w:lang w:eastAsia="en-GB"/>
        </w:rPr>
        <w:t xml:space="preserve"> a global challenge that requires a multi-faceted approach involving governments, businesses, and civil society </w:t>
      </w:r>
      <w:sdt>
        <w:sdtPr>
          <w:rPr>
            <w:rFonts w:eastAsia="Times New Roman"/>
            <w:lang w:eastAsia="en-GB"/>
          </w:rPr>
          <w:tag w:val="MENDELEY_CITATION_v3_eyJjaXRhdGlvbklEIjoiTUVOREVMRVlfQ0lUQVRJT05fNjU5ZWJiZTUtNDAyOS00MTRiLWIyODMtMmRhNTkzNzVhZjgy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780620890"/>
          <w:placeholder>
            <w:docPart w:val="8E59515890FE460A84F4F6731BC940A0"/>
          </w:placeholder>
        </w:sdtPr>
        <w:sdtContent>
          <w:r w:rsidR="00CC19F4" w:rsidRPr="0053182F">
            <w:rPr>
              <w:rFonts w:eastAsia="Times New Roman"/>
              <w:lang w:eastAsia="en-GB"/>
            </w:rPr>
            <w:t>(Walk Free, 2023)</w:t>
          </w:r>
        </w:sdtContent>
      </w:sdt>
      <w:r w:rsidRPr="0053182F">
        <w:rPr>
          <w:rFonts w:eastAsia="Times New Roman"/>
          <w:lang w:eastAsia="en-GB"/>
        </w:rPr>
        <w:t xml:space="preserve">. While businesses have a responsibility to ensure ethical practices within their operations and supply chains, the role of country governance factors cannot be overlooked. Hence, the growing recognition of CMS has shed light on BHR violations in business and the complex contemporary supply chain </w:t>
      </w:r>
      <w:sdt>
        <w:sdtPr>
          <w:rPr>
            <w:rFonts w:eastAsia="Times New Roman"/>
            <w:lang w:eastAsia="en-GB"/>
          </w:rPr>
          <w:tag w:val="MENDELEY_CITATION_v3_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"/>
          <w:id w:val="-451326472"/>
          <w:placeholder>
            <w:docPart w:val="69AA5895340B47ECB3CCC4870648E1FA"/>
          </w:placeholder>
        </w:sdtPr>
        <w:sdtContent>
          <w:r w:rsidR="00CC19F4" w:rsidRPr="0053182F">
            <w:rPr>
              <w:rFonts w:eastAsia="Times New Roman"/>
            </w:rPr>
            <w:t xml:space="preserve">(Wilhelm </w:t>
          </w:r>
          <w:r w:rsidR="00CC19F4" w:rsidRPr="0053182F">
            <w:rPr>
              <w:rFonts w:eastAsia="Times New Roman"/>
              <w:i/>
              <w:iCs/>
            </w:rPr>
            <w:t>et al.</w:t>
          </w:r>
          <w:r w:rsidR="00CC19F4" w:rsidRPr="0053182F">
            <w:rPr>
              <w:rFonts w:eastAsia="Times New Roman"/>
            </w:rPr>
            <w:t>, 2020)</w:t>
          </w:r>
        </w:sdtContent>
      </w:sdt>
      <w:r w:rsidRPr="0053182F">
        <w:rPr>
          <w:rFonts w:eastAsia="Times New Roman"/>
          <w:lang w:eastAsia="en-GB"/>
        </w:rPr>
        <w:t xml:space="preserve">. A robust governance mechanism is essential for developing socio-friendly policies to promote social well-being and discourage CMS practices </w:t>
      </w:r>
      <w:sdt>
        <w:sdtPr>
          <w:rPr>
            <w:rFonts w:eastAsia="Times New Roman"/>
            <w:lang w:eastAsia="en-GB"/>
          </w:rPr>
          <w:tag w:val="MENDELEY_CITATION_v3_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"/>
          <w:id w:val="335658409"/>
          <w:placeholder>
            <w:docPart w:val="8E59515890FE460A84F4F6731BC940A0"/>
          </w:placeholder>
        </w:sdtPr>
        <w:sdtContent>
          <w:r w:rsidR="00CC19F4" w:rsidRPr="0053182F">
            <w:rPr>
              <w:rFonts w:eastAsia="Times New Roman"/>
              <w:lang w:eastAsia="en-GB"/>
            </w:rPr>
            <w:t>(Siddiqui and Uddin, 2016)</w:t>
          </w:r>
        </w:sdtContent>
      </w:sdt>
      <w:r w:rsidRPr="0053182F">
        <w:rPr>
          <w:rFonts w:eastAsia="Times New Roman"/>
          <w:lang w:eastAsia="en-GB"/>
        </w:rPr>
        <w:t xml:space="preserve">.  A country governance system is a multifaceted concept that covers all aspects of the authority exercised by the government and non-government institutions through the formal and informal management of a government's resource endowment </w:t>
      </w:r>
      <w:sdt>
        <w:sdtPr>
          <w:rPr>
            <w:rFonts w:eastAsia="Times New Roman"/>
            <w:lang w:eastAsia="en-GB"/>
          </w:rPr>
          <w:tag w:val="MENDELEY_CITATION_v3_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"/>
          <w:id w:val="656354355"/>
          <w:placeholder>
            <w:docPart w:val="38223B4B2A8543ED9238D65FFD9B8C10"/>
          </w:placeholder>
        </w:sdtPr>
        <w:sdtContent>
          <w:r w:rsidR="00CC19F4" w:rsidRPr="0053182F">
            <w:rPr>
              <w:rFonts w:eastAsia="Times New Roman"/>
            </w:rPr>
            <w:t xml:space="preserve">(Garcia-Sanchez </w:t>
          </w:r>
          <w:r w:rsidR="00CC19F4" w:rsidRPr="0053182F">
            <w:rPr>
              <w:rFonts w:eastAsia="Times New Roman"/>
              <w:i/>
              <w:iCs/>
            </w:rPr>
            <w:t>et al.</w:t>
          </w:r>
          <w:r w:rsidR="00CC19F4" w:rsidRPr="0053182F">
            <w:rPr>
              <w:rFonts w:eastAsia="Times New Roman"/>
            </w:rPr>
            <w:t>, 2013)</w:t>
          </w:r>
        </w:sdtContent>
      </w:sdt>
      <w:r w:rsidRPr="0053182F">
        <w:rPr>
          <w:rFonts w:eastAsia="Times New Roman"/>
          <w:lang w:eastAsia="en-GB"/>
        </w:rPr>
        <w:t>.</w:t>
      </w:r>
    </w:p>
    <w:p w14:paraId="13CB3D13" w14:textId="65B33076" w:rsidR="00144866" w:rsidRPr="0053182F" w:rsidRDefault="00144866" w:rsidP="00144866">
      <w:pPr>
        <w:spacing w:after="0" w:line="480" w:lineRule="auto"/>
        <w:ind w:firstLine="720"/>
        <w:jc w:val="both"/>
        <w:rPr>
          <w:rFonts w:eastAsia="Times New Roman"/>
          <w:lang w:eastAsia="en-GB"/>
        </w:rPr>
      </w:pPr>
      <w:r w:rsidRPr="0053182F">
        <w:rPr>
          <w:rFonts w:eastAsia="Times New Roman"/>
          <w:lang w:eastAsia="en-GB"/>
        </w:rPr>
        <w:t xml:space="preserve"> In practice, government effectiveness refers to the extent to which public administration actions, procedures, and output help achieve organisational and public objectives and mission </w:t>
      </w:r>
      <w:sdt>
        <w:sdtPr>
          <w:rPr>
            <w:rFonts w:eastAsia="Times New Roman"/>
            <w:lang w:eastAsia="en-GB"/>
          </w:rPr>
          <w:tag w:val="MENDELEY_CITATION_v3_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"/>
          <w:id w:val="401802180"/>
          <w:placeholder>
            <w:docPart w:val="8E59515890FE460A84F4F6731BC940A0"/>
          </w:placeholder>
        </w:sdtPr>
        <w:sdtContent>
          <w:r w:rsidR="00CC19F4" w:rsidRPr="0053182F">
            <w:rPr>
              <w:rFonts w:eastAsia="Times New Roman"/>
            </w:rPr>
            <w:t xml:space="preserve">(Kaufmann, 2021; Mastruzzi </w:t>
          </w:r>
          <w:r w:rsidR="00CC19F4" w:rsidRPr="0053182F">
            <w:rPr>
              <w:rFonts w:eastAsia="Times New Roman"/>
              <w:i/>
              <w:iCs/>
            </w:rPr>
            <w:t>et al.</w:t>
          </w:r>
          <w:r w:rsidR="00CC19F4" w:rsidRPr="0053182F">
            <w:rPr>
              <w:rFonts w:eastAsia="Times New Roman"/>
            </w:rPr>
            <w:t xml:space="preserve">, 2007; Mooneeapen </w:t>
          </w:r>
          <w:r w:rsidR="00CC19F4" w:rsidRPr="0053182F">
            <w:rPr>
              <w:rFonts w:eastAsia="Times New Roman"/>
              <w:i/>
              <w:iCs/>
            </w:rPr>
            <w:t>et al.</w:t>
          </w:r>
          <w:r w:rsidR="00CC19F4" w:rsidRPr="0053182F">
            <w:rPr>
              <w:rFonts w:eastAsia="Times New Roman"/>
            </w:rPr>
            <w:t>, 2022)</w:t>
          </w:r>
        </w:sdtContent>
      </w:sdt>
      <w:r w:rsidRPr="0053182F">
        <w:rPr>
          <w:rFonts w:eastAsia="Times New Roman"/>
          <w:lang w:eastAsia="en-GB"/>
        </w:rPr>
        <w:t xml:space="preserve">. While many scholars focus on country governance indicators across different environmental and social aspects, the literature lacks discussion of indicators that address MS practices </w:t>
      </w:r>
      <w:sdt>
        <w:sdtPr>
          <w:rPr>
            <w:rFonts w:eastAsia="Times New Roman"/>
            <w:lang w:eastAsia="en-GB"/>
          </w:rPr>
          <w:tag w:val="MENDELEY_CITATION_v3_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JiBHb3Zlcm5hbmNlIiwiY29udGFpbmVyLXRpdGxlLXNob3J0IjoiUmVndWwgR292IiwiYWNjZXNzZWQiOnsiZGF0ZS1wYXJ0cyI6W1syMDIzLDIsNF1dfS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pvaG4gV2lsZXkgJiBTb25zLCBMdGQiLCJpc3N1ZSI6IjEiLCJ2b2x1bWUiOiIxMyJ9LCJpc1RlbXBvcmFyeSI6ZmFsc2V9LH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"/>
          <w:id w:val="923139531"/>
          <w:placeholder>
            <w:docPart w:val="8E59515890FE460A84F4F6731BC940A0"/>
          </w:placeholder>
        </w:sdtPr>
        <w:sdtContent>
          <w:r w:rsidR="00CC19F4" w:rsidRPr="0053182F">
            <w:rPr>
              <w:rFonts w:eastAsia="Times New Roman"/>
            </w:rPr>
            <w:t>(Crane et al., 2019; LeBaron and Rühmkorf, 2017)</w:t>
          </w:r>
        </w:sdtContent>
      </w:sdt>
      <w:r w:rsidRPr="0053182F">
        <w:rPr>
          <w:rFonts w:eastAsia="Times New Roman"/>
          <w:lang w:eastAsia="en-GB"/>
        </w:rPr>
        <w:t xml:space="preserve">. </w:t>
      </w:r>
    </w:p>
    <w:p w14:paraId="76F2C51C" w14:textId="7FDB9097" w:rsidR="00144866" w:rsidRPr="0053182F" w:rsidRDefault="00144866" w:rsidP="00144866">
      <w:pPr>
        <w:spacing w:after="0" w:line="480" w:lineRule="auto"/>
        <w:ind w:firstLine="720"/>
        <w:jc w:val="both"/>
        <w:rPr>
          <w:rFonts w:eastAsia="Times New Roman"/>
          <w:lang w:eastAsia="en-GB"/>
        </w:rPr>
      </w:pPr>
      <w:r w:rsidRPr="0053182F">
        <w:rPr>
          <w:rFonts w:eastAsia="Times New Roman"/>
          <w:lang w:eastAsia="en-GB"/>
        </w:rPr>
        <w:t xml:space="preserve">Country governance systems can be significantly influenced to eliminate </w:t>
      </w:r>
      <w:r w:rsidR="009E77ED" w:rsidRPr="0053182F">
        <w:rPr>
          <w:rFonts w:eastAsia="Times New Roman"/>
          <w:lang w:eastAsia="en-GB"/>
        </w:rPr>
        <w:t>MS practices</w:t>
      </w:r>
      <w:r w:rsidRPr="0053182F">
        <w:rPr>
          <w:rFonts w:eastAsia="Times New Roman"/>
          <w:lang w:eastAsia="en-GB"/>
        </w:rPr>
        <w:t xml:space="preserve"> </w:t>
      </w:r>
      <w:sdt>
        <w:sdtPr>
          <w:rPr>
            <w:rFonts w:eastAsia="Times New Roman"/>
            <w:lang w:eastAsia="en-GB"/>
          </w:rPr>
          <w:tag w:val="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"/>
          <w:id w:val="-1035501945"/>
          <w:placeholder>
            <w:docPart w:val="0E0B8C37B9C24FD5903B91ABBF295515"/>
          </w:placeholder>
        </w:sdtPr>
        <w:sdtContent>
          <w:r w:rsidR="00CC19F4" w:rsidRPr="0053182F">
            <w:rPr>
              <w:rFonts w:eastAsia="Times New Roman"/>
            </w:rPr>
            <w:t xml:space="preserve">(Jain </w:t>
          </w:r>
          <w:r w:rsidR="00CC19F4" w:rsidRPr="0053182F">
            <w:rPr>
              <w:rFonts w:eastAsia="Times New Roman"/>
              <w:i/>
              <w:iCs/>
            </w:rPr>
            <w:t>et al.</w:t>
          </w:r>
          <w:r w:rsidR="00CC19F4" w:rsidRPr="0053182F">
            <w:rPr>
              <w:rFonts w:eastAsia="Times New Roman"/>
            </w:rPr>
            <w:t xml:space="preserve">, 2017; Mooneeapen </w:t>
          </w:r>
          <w:r w:rsidR="00CC19F4" w:rsidRPr="0053182F">
            <w:rPr>
              <w:rFonts w:eastAsia="Times New Roman"/>
              <w:i/>
              <w:iCs/>
            </w:rPr>
            <w:t>et al.</w:t>
          </w:r>
          <w:r w:rsidR="00CC19F4" w:rsidRPr="0053182F">
            <w:rPr>
              <w:rFonts w:eastAsia="Times New Roman"/>
            </w:rPr>
            <w:t xml:space="preserve">, 2022; Pyng </w:t>
          </w:r>
          <w:r w:rsidR="00CC19F4" w:rsidRPr="0053182F">
            <w:rPr>
              <w:rFonts w:eastAsia="Times New Roman"/>
              <w:i/>
              <w:iCs/>
            </w:rPr>
            <w:t>et al.</w:t>
          </w:r>
          <w:r w:rsidR="00CC19F4" w:rsidRPr="0053182F">
            <w:rPr>
              <w:rFonts w:eastAsia="Times New Roman"/>
            </w:rPr>
            <w:t>, 2021)</w:t>
          </w:r>
        </w:sdtContent>
      </w:sdt>
      <w:r w:rsidRPr="0053182F">
        <w:rPr>
          <w:rFonts w:eastAsia="Times New Roman"/>
          <w:lang w:eastAsia="en-GB"/>
        </w:rPr>
        <w:t xml:space="preserve">. For several reasons, understanding country characteristics is important for contemporary corporations and vice versa. First, insight into the country’s global potential and capability to achieve the UN-SDGs is an essential factor for modern investors. The second capability of international intermediation is to develop and support new policies and initiatives </w:t>
      </w:r>
      <w:sdt>
        <w:sdtPr>
          <w:rPr>
            <w:rFonts w:eastAsia="Times New Roman"/>
            <w:lang w:eastAsia="en-GB"/>
          </w:rPr>
          <w:tag w:val="MENDELEY_CITATION_v3_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"/>
          <w:id w:val="-1933810741"/>
          <w:placeholder>
            <w:docPart w:val="8E59515890FE460A84F4F6731BC940A0"/>
          </w:placeholder>
        </w:sdtPr>
        <w:sdtContent>
          <w:r w:rsidR="00CC19F4" w:rsidRPr="0053182F">
            <w:rPr>
              <w:rFonts w:eastAsia="Times New Roman"/>
              <w:lang w:eastAsia="en-GB"/>
            </w:rPr>
            <w:t>(Brown, 1996; International Council on Human Rights Policy, 2002; LeBaron and Rühmkorf, 2017)</w:t>
          </w:r>
        </w:sdtContent>
      </w:sdt>
      <w:r w:rsidRPr="0053182F">
        <w:rPr>
          <w:rFonts w:eastAsia="Times New Roman"/>
          <w:lang w:eastAsia="en-GB"/>
        </w:rPr>
        <w:t xml:space="preserve">. For example, the entry and exit of international business vary depending on the governance systems </w:t>
      </w:r>
      <w:sdt>
        <w:sdtPr>
          <w:rPr>
            <w:rFonts w:eastAsia="Times New Roman"/>
            <w:lang w:eastAsia="en-GB"/>
          </w:rPr>
          <w:tag w:val="MENDELEY_CITATION_v3_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"/>
          <w:id w:val="1662736355"/>
          <w:placeholder>
            <w:docPart w:val="0E0B8C37B9C24FD5903B91ABBF295515"/>
          </w:placeholder>
        </w:sdtPr>
        <w:sdtContent>
          <w:r w:rsidR="00CC19F4" w:rsidRPr="0053182F">
            <w:rPr>
              <w:rFonts w:eastAsia="Times New Roman"/>
            </w:rPr>
            <w:t xml:space="preserve">(Wettstein </w:t>
          </w:r>
          <w:r w:rsidR="00CC19F4" w:rsidRPr="0053182F">
            <w:rPr>
              <w:rFonts w:eastAsia="Times New Roman"/>
              <w:i/>
              <w:iCs/>
            </w:rPr>
            <w:t>et al.</w:t>
          </w:r>
          <w:r w:rsidR="00CC19F4" w:rsidRPr="0053182F">
            <w:rPr>
              <w:rFonts w:eastAsia="Times New Roman"/>
            </w:rPr>
            <w:t>, 2019)</w:t>
          </w:r>
        </w:sdtContent>
      </w:sdt>
      <w:r w:rsidRPr="0053182F">
        <w:rPr>
          <w:rFonts w:eastAsia="Times New Roman"/>
          <w:lang w:eastAsia="en-GB"/>
        </w:rPr>
        <w:t xml:space="preserve">. The third identifies the impact of differences in transnational standards and capital market rules and regulations on BHR practices </w:t>
      </w:r>
      <w:sdt>
        <w:sdtPr>
          <w:rPr>
            <w:rFonts w:eastAsia="Times New Roman"/>
            <w:lang w:eastAsia="en-GB"/>
          </w:rPr>
          <w:tag w:val="MENDELEY_CITATION_v3_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"/>
          <w:id w:val="931394764"/>
          <w:placeholder>
            <w:docPart w:val="9F336D5B24884FC08EE1805C8AF8B1C4"/>
          </w:placeholder>
        </w:sdtPr>
        <w:sdtContent>
          <w:r w:rsidR="00CC19F4" w:rsidRPr="0053182F">
            <w:rPr>
              <w:rFonts w:eastAsia="Times New Roman"/>
              <w:lang w:eastAsia="en-GB"/>
            </w:rPr>
            <w:t>(Mardini and Lahyani, 2021)</w:t>
          </w:r>
        </w:sdtContent>
      </w:sdt>
      <w:r w:rsidRPr="0053182F">
        <w:rPr>
          <w:rFonts w:eastAsia="Times New Roman"/>
          <w:lang w:eastAsia="en-GB"/>
        </w:rPr>
        <w:t xml:space="preserve">. </w:t>
      </w:r>
    </w:p>
    <w:p w14:paraId="5A80C0C0" w14:textId="2BAEDAA7" w:rsidR="00144866" w:rsidRPr="0053182F" w:rsidRDefault="00144866" w:rsidP="00144866">
      <w:pPr>
        <w:spacing w:after="0" w:line="480" w:lineRule="auto"/>
        <w:ind w:firstLine="720"/>
        <w:jc w:val="both"/>
        <w:rPr>
          <w:rFonts w:eastAsia="Times New Roman"/>
          <w:lang w:eastAsia="en-GB"/>
        </w:rPr>
      </w:pPr>
      <w:r w:rsidRPr="0053182F">
        <w:rPr>
          <w:rFonts w:eastAsia="Times New Roman"/>
          <w:lang w:eastAsia="en-GB"/>
        </w:rPr>
        <w:t>Strong legal frameworks and their effective enforcement are critical in combating CMS practices. Countries with comprehensive legislation that criminali</w:t>
      </w:r>
      <w:r w:rsidR="00110573" w:rsidRPr="0053182F">
        <w:rPr>
          <w:rFonts w:eastAsia="Times New Roman"/>
          <w:lang w:eastAsia="en-GB"/>
        </w:rPr>
        <w:t>s</w:t>
      </w:r>
      <w:r w:rsidRPr="0053182F">
        <w:rPr>
          <w:rFonts w:eastAsia="Times New Roman"/>
          <w:lang w:eastAsia="en-GB"/>
        </w:rPr>
        <w:t xml:space="preserve">es CMS practices, such as forced labour, child labour, and human trafficking, create a deterrent for businesses engaging in such practices </w:t>
      </w:r>
      <w:sdt>
        <w:sdtPr>
          <w:rPr>
            <w:rFonts w:eastAsia="Times New Roman"/>
            <w:lang w:eastAsia="en-GB"/>
          </w:rPr>
          <w:tag w:val="MENDELEY_CITATION_v3_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"/>
          <w:id w:val="-1929176563"/>
          <w:placeholder>
            <w:docPart w:val="4A44370264C049A3B7C5194F9500479B"/>
          </w:placeholder>
        </w:sdtPr>
        <w:sdtContent>
          <w:r w:rsidR="00B85634" w:rsidRPr="0053182F">
            <w:rPr>
              <w:rFonts w:eastAsia="Times New Roman"/>
              <w:lang w:eastAsia="en-GB"/>
            </w:rPr>
            <w:t>(Islam and McPhail, 2011)</w:t>
          </w:r>
        </w:sdtContent>
      </w:sdt>
      <w:r w:rsidRPr="0053182F">
        <w:rPr>
          <w:rFonts w:eastAsia="Times New Roman"/>
          <w:lang w:eastAsia="en-GB"/>
        </w:rPr>
        <w:t>. Additionally, effective enforcement mechanisms, including investigative agencies, speciali</w:t>
      </w:r>
      <w:r w:rsidR="00110573" w:rsidRPr="0053182F">
        <w:rPr>
          <w:rFonts w:eastAsia="Times New Roman"/>
          <w:lang w:eastAsia="en-GB"/>
        </w:rPr>
        <w:t>s</w:t>
      </w:r>
      <w:r w:rsidRPr="0053182F">
        <w:rPr>
          <w:rFonts w:eastAsia="Times New Roman"/>
          <w:lang w:eastAsia="en-GB"/>
        </w:rPr>
        <w:t xml:space="preserve">ed units, and strong judicial systems, play a crucial role in ensuring that perpetrators are held accountable. Furthermore, strong country governance factors highlight and enhance better BHR practices. For example, Evidence exists in civil law countries, which are usually stakeholder-oriented and disclose more information than common law countries </w:t>
      </w:r>
      <w:sdt>
        <w:sdtPr>
          <w:rPr>
            <w:rFonts w:eastAsia="Times New Roman"/>
            <w:lang w:eastAsia="en-GB"/>
          </w:rPr>
          <w:tag w:val="MENDELEY_CITATION_v3_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"/>
          <w:id w:val="-1443457413"/>
          <w:placeholder>
            <w:docPart w:val="9F336D5B24884FC08EE1805C8AF8B1C4"/>
          </w:placeholder>
        </w:sdtPr>
        <w:sdtContent>
          <w:r w:rsidR="00CC19F4" w:rsidRPr="0053182F">
            <w:rPr>
              <w:rFonts w:eastAsia="Times New Roman"/>
            </w:rPr>
            <w:t xml:space="preserve">(Ball </w:t>
          </w:r>
          <w:r w:rsidR="00CC19F4" w:rsidRPr="0053182F">
            <w:rPr>
              <w:rFonts w:eastAsia="Times New Roman"/>
              <w:i/>
              <w:iCs/>
            </w:rPr>
            <w:t>et al.</w:t>
          </w:r>
          <w:r w:rsidR="00CC19F4" w:rsidRPr="0053182F">
            <w:rPr>
              <w:rFonts w:eastAsia="Times New Roman"/>
            </w:rPr>
            <w:t>, 2000)</w:t>
          </w:r>
        </w:sdtContent>
      </w:sdt>
      <w:r w:rsidRPr="0053182F">
        <w:rPr>
          <w:rFonts w:eastAsia="Times New Roman"/>
          <w:lang w:eastAsia="en-GB"/>
        </w:rPr>
        <w:t xml:space="preserve">.  </w:t>
      </w:r>
      <w:sdt>
        <w:sdtPr>
          <w:rPr>
            <w:rFonts w:eastAsia="Times New Roman"/>
            <w:lang w:eastAsia="en-GB"/>
          </w:rPr>
          <w:tag w:val="MENDELEY_CITATION_v3_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"/>
          <w:id w:val="965076998"/>
          <w:placeholder>
            <w:docPart w:val="9F336D5B24884FC08EE1805C8AF8B1C4"/>
          </w:placeholder>
        </w:sdtPr>
        <w:sdtContent>
          <w:r w:rsidR="00CC19F4" w:rsidRPr="0053182F">
            <w:rPr>
              <w:rFonts w:eastAsia="Times New Roman"/>
              <w:lang w:eastAsia="en-GB"/>
            </w:rPr>
            <w:t>La Porta et al. (1999)</w:t>
          </w:r>
        </w:sdtContent>
      </w:sdt>
      <w:r w:rsidRPr="0053182F">
        <w:rPr>
          <w:rFonts w:eastAsia="Times New Roman"/>
          <w:lang w:eastAsia="en-GB"/>
        </w:rPr>
        <w:t xml:space="preserve"> argue that shareholder protection is more pronounced in common law countries than in civil law countries. </w:t>
      </w:r>
    </w:p>
    <w:p w14:paraId="186F7013" w14:textId="03C03659" w:rsidR="00144866" w:rsidRPr="0053182F" w:rsidRDefault="00144866" w:rsidP="00144866">
      <w:pPr>
        <w:spacing w:after="0" w:line="480" w:lineRule="auto"/>
        <w:ind w:firstLine="720"/>
        <w:jc w:val="both"/>
        <w:rPr>
          <w:rFonts w:eastAsia="Times New Roman"/>
          <w:lang w:eastAsia="en-GB"/>
        </w:rPr>
      </w:pPr>
      <w:r w:rsidRPr="0053182F">
        <w:rPr>
          <w:rFonts w:eastAsia="Times New Roman"/>
          <w:lang w:eastAsia="en-GB"/>
        </w:rPr>
        <w:t>With the acceptance of neoliberal policies (shifting production to low-cost countries), MNCs are shifting their BHR responsibilities from home-country requirements to self-determining appropriate governance standards, thereby escaping the state (home country) '</w:t>
      </w:r>
      <w:r w:rsidR="00BC6507" w:rsidRPr="0053182F">
        <w:rPr>
          <w:rFonts w:eastAsia="Times New Roman"/>
          <w:lang w:eastAsia="en-GB"/>
        </w:rPr>
        <w:t xml:space="preserve">s </w:t>
      </w:r>
      <w:r w:rsidRPr="0053182F">
        <w:rPr>
          <w:rFonts w:eastAsia="Times New Roman"/>
          <w:lang w:eastAsia="en-GB"/>
        </w:rPr>
        <w:t xml:space="preserve">mandatory legal requirements </w:t>
      </w:r>
      <w:sdt>
        <w:sdtPr>
          <w:rPr>
            <w:rFonts w:eastAsia="Palatino Linotype"/>
          </w:rPr>
          <w:tag w:val="MENDELEY_CITATION_v3_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"/>
          <w:id w:val="1756432300"/>
          <w:placeholder>
            <w:docPart w:val="1EB7ADEC620747E8B8A7F4D93B13329B"/>
          </w:placeholder>
        </w:sdtPr>
        <w:sdtContent>
          <w:r w:rsidR="00CC19F4" w:rsidRPr="0053182F">
            <w:rPr>
              <w:rFonts w:eastAsia="Times New Roman"/>
            </w:rPr>
            <w:t xml:space="preserve">(Islam </w:t>
          </w:r>
          <w:r w:rsidR="00CC19F4" w:rsidRPr="0053182F">
            <w:rPr>
              <w:rFonts w:eastAsia="Times New Roman"/>
              <w:i/>
              <w:iCs/>
            </w:rPr>
            <w:t>et al.</w:t>
          </w:r>
          <w:r w:rsidR="00CC19F4" w:rsidRPr="0053182F">
            <w:rPr>
              <w:rFonts w:eastAsia="Times New Roman"/>
            </w:rPr>
            <w:t>, 2021)</w:t>
          </w:r>
        </w:sdtContent>
      </w:sdt>
      <w:r w:rsidRPr="0053182F">
        <w:rPr>
          <w:rFonts w:eastAsia="Palatino Linotype"/>
        </w:rPr>
        <w:t>.</w:t>
      </w:r>
      <w:r w:rsidRPr="0053182F">
        <w:rPr>
          <w:rFonts w:eastAsia="Times New Roman"/>
          <w:lang w:eastAsia="en-GB"/>
        </w:rPr>
        <w:t xml:space="preserve"> The lack of government policies and regulations adversely impacts BHR protection—for example, the Rana Plaza tragedy in Bangladesh. MNCs are using cheap child labour and forced labour to make illegal profits. For example,</w:t>
      </w:r>
      <w:r w:rsidR="00CC2D32" w:rsidRPr="0053182F">
        <w:rPr>
          <w:rFonts w:eastAsia="Times New Roman"/>
          <w:lang w:eastAsia="en-GB"/>
        </w:rPr>
        <w:t xml:space="preserve"> </w:t>
      </w:r>
      <w:sdt>
        <w:sdtPr>
          <w:rPr>
            <w:rFonts w:eastAsia="Times New Roman"/>
            <w:lang w:eastAsia="en-GB"/>
          </w:rPr>
          <w:tag w:val="MENDELEY_CITATION_v3_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"/>
          <w:id w:val="-1567864535"/>
          <w:placeholder>
            <w:docPart w:val="DefaultPlaceholder_-1854013440"/>
          </w:placeholder>
        </w:sdtPr>
        <w:sdtContent>
          <w:r w:rsidR="00CC19F4" w:rsidRPr="0053182F">
            <w:rPr>
              <w:rFonts w:eastAsia="Times New Roman"/>
              <w:lang w:eastAsia="en-GB"/>
            </w:rPr>
            <w:t>ILO (2014)</w:t>
          </w:r>
        </w:sdtContent>
      </w:sdt>
      <w:r w:rsidRPr="0053182F">
        <w:rPr>
          <w:rFonts w:eastAsia="Times New Roman"/>
          <w:lang w:eastAsia="en-GB"/>
        </w:rPr>
        <w:t xml:space="preserve"> says that US$150 bn in illegal profits is generated each year. Effective collaboration and cooperation between governments, businesses, and civil society organi</w:t>
      </w:r>
      <w:r w:rsidR="00110573" w:rsidRPr="0053182F">
        <w:rPr>
          <w:rFonts w:eastAsia="Times New Roman"/>
          <w:lang w:eastAsia="en-GB"/>
        </w:rPr>
        <w:t>s</w:t>
      </w:r>
      <w:r w:rsidRPr="0053182F">
        <w:rPr>
          <w:rFonts w:eastAsia="Times New Roman"/>
          <w:lang w:eastAsia="en-GB"/>
        </w:rPr>
        <w:t xml:space="preserve">ations are crucial in combating CMS practices </w:t>
      </w:r>
      <w:sdt>
        <w:sdtPr>
          <w:rPr>
            <w:rFonts w:eastAsia="Times New Roman"/>
            <w:lang w:eastAsia="en-GB"/>
          </w:rPr>
          <w:tag w:val="MENDELEY_CITATION_v3_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"/>
          <w:id w:val="1306123116"/>
          <w:placeholder>
            <w:docPart w:val="8E59515890FE460A84F4F6731BC940A0"/>
          </w:placeholder>
        </w:sdtPr>
        <w:sdtContent>
          <w:r w:rsidR="00CC19F4" w:rsidRPr="0053182F">
            <w:rPr>
              <w:rFonts w:eastAsia="Times New Roman"/>
            </w:rPr>
            <w:t xml:space="preserve">(McCorquodale and Simons, 2009; Sikka, 2011; Smit </w:t>
          </w:r>
          <w:r w:rsidR="00CC19F4" w:rsidRPr="0053182F">
            <w:rPr>
              <w:rFonts w:eastAsia="Times New Roman"/>
              <w:i/>
              <w:iCs/>
            </w:rPr>
            <w:t>et al.</w:t>
          </w:r>
          <w:r w:rsidR="00CC19F4" w:rsidRPr="0053182F">
            <w:rPr>
              <w:rFonts w:eastAsia="Times New Roman"/>
            </w:rPr>
            <w:t>, 2021)</w:t>
          </w:r>
        </w:sdtContent>
      </w:sdt>
      <w:r w:rsidRPr="0053182F">
        <w:rPr>
          <w:rFonts w:eastAsia="Times New Roman"/>
          <w:lang w:eastAsia="en-GB"/>
        </w:rPr>
        <w:t>. Governments can create platforms for dialogue and partnerships that facilitate knowledge sharing, capacity building, and coordinated efforts to address CMS. Collaboration among di</w:t>
      </w:r>
      <w:r w:rsidR="00110573" w:rsidRPr="0053182F">
        <w:rPr>
          <w:rFonts w:eastAsia="Times New Roman"/>
          <w:lang w:eastAsia="en-GB"/>
        </w:rPr>
        <w:t>verse stakeholders can lead to the development of joint initiatives, guidelines, and best practices that are more impactful in tackling MS than isolated efforts (</w:t>
      </w:r>
      <w:sdt>
        <w:sdtPr>
          <w:rPr>
            <w:rFonts w:eastAsia="Times New Roman"/>
            <w:lang w:eastAsia="en-GB"/>
          </w:rPr>
          <w:tag w:val="MENDELEY_CITATION_v3_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"/>
          <w:id w:val="1570309180"/>
          <w:placeholder>
            <w:docPart w:val="DefaultPlaceholder_-1854013440"/>
          </w:placeholder>
        </w:sdtPr>
        <w:sdtContent>
          <w:r w:rsidR="00B85634" w:rsidRPr="0053182F">
            <w:rPr>
              <w:rFonts w:eastAsia="Times New Roman"/>
              <w:lang w:eastAsia="en-GB"/>
            </w:rPr>
            <w:t>United Nations, 2017)</w:t>
          </w:r>
        </w:sdtContent>
      </w:sdt>
      <w:r w:rsidR="00FA380F" w:rsidRPr="0053182F">
        <w:rPr>
          <w:rFonts w:eastAsia="Times New Roman"/>
          <w:lang w:eastAsia="en-GB"/>
        </w:rPr>
        <w:t>.</w:t>
      </w:r>
    </w:p>
    <w:p w14:paraId="062B5914" w14:textId="27CBD67C" w:rsidR="00144866" w:rsidRPr="0053182F" w:rsidRDefault="00144866" w:rsidP="00144866">
      <w:pPr>
        <w:spacing w:after="0" w:line="480" w:lineRule="auto"/>
        <w:ind w:firstLine="720"/>
        <w:jc w:val="both"/>
        <w:rPr>
          <w:rFonts w:eastAsia="Times New Roman"/>
          <w:lang w:eastAsia="en-GB"/>
        </w:rPr>
      </w:pPr>
      <w:r w:rsidRPr="0053182F">
        <w:rPr>
          <w:rFonts w:eastAsia="Times New Roman"/>
          <w:lang w:eastAsia="en-GB"/>
        </w:rPr>
        <w:t xml:space="preserve">The complex nature of CMS practices often obscures their visibility, making them difficult to identify and address effectively. It thrives within supply chains, where businesses source goods and services from entities </w:t>
      </w:r>
      <w:r w:rsidR="007E782F" w:rsidRPr="0053182F">
        <w:rPr>
          <w:rFonts w:eastAsia="Times New Roman"/>
          <w:lang w:eastAsia="en-GB"/>
        </w:rPr>
        <w:t>that exploit</w:t>
      </w:r>
      <w:r w:rsidRPr="0053182F">
        <w:rPr>
          <w:rFonts w:eastAsia="Times New Roman"/>
          <w:lang w:eastAsia="en-GB"/>
        </w:rPr>
        <w:t xml:space="preserve"> vulnerable workers. Transparency and reporting requirements compel businesses to disclose their efforts in addressing CMS risks. When countries impose clear guidelines and regulations on corporate reporting, businesses are incentivi</w:t>
      </w:r>
      <w:r w:rsidR="00110573" w:rsidRPr="0053182F">
        <w:rPr>
          <w:rFonts w:eastAsia="Times New Roman"/>
          <w:lang w:eastAsia="en-GB"/>
        </w:rPr>
        <w:t>s</w:t>
      </w:r>
      <w:r w:rsidRPr="0053182F">
        <w:rPr>
          <w:rFonts w:eastAsia="Times New Roman"/>
          <w:lang w:eastAsia="en-GB"/>
        </w:rPr>
        <w:t xml:space="preserve">ed to conduct due diligence and disclose information on their supply chains, including efforts to combat CMS. This transparency allows stakeholders, including investors and consumers, to make informed decisions and exert pressure on businesses to eliminate </w:t>
      </w:r>
      <w:r w:rsidR="004A17DF" w:rsidRPr="0053182F">
        <w:rPr>
          <w:rFonts w:eastAsia="Times New Roman"/>
          <w:lang w:eastAsia="en-GB"/>
        </w:rPr>
        <w:t>MS practices</w:t>
      </w:r>
      <w:r w:rsidRPr="0053182F">
        <w:rPr>
          <w:rFonts w:eastAsia="Times New Roman"/>
          <w:lang w:eastAsia="en-GB"/>
        </w:rPr>
        <w:t xml:space="preserve"> </w:t>
      </w:r>
      <w:sdt>
        <w:sdtPr>
          <w:rPr>
            <w:rFonts w:eastAsia="Times New Roman"/>
            <w:lang w:eastAsia="en-GB"/>
          </w:rPr>
          <w:tag w:val="MENDELEY_CITATION_v3_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"/>
          <w:id w:val="-1970971671"/>
          <w:placeholder>
            <w:docPart w:val="ECC1D92ED40040009AE469B451080672"/>
          </w:placeholder>
        </w:sdtPr>
        <w:sdtContent>
          <w:r w:rsidR="00CC19F4" w:rsidRPr="0053182F">
            <w:rPr>
              <w:rFonts w:eastAsia="Times New Roman"/>
              <w:lang w:eastAsia="en-GB"/>
            </w:rPr>
            <w:t>(United Nations Global Compact, 2017)</w:t>
          </w:r>
        </w:sdtContent>
      </w:sdt>
      <w:r w:rsidRPr="0053182F">
        <w:rPr>
          <w:rFonts w:eastAsia="Times New Roman"/>
          <w:lang w:eastAsia="en-GB"/>
        </w:rPr>
        <w:t xml:space="preserve">. In fact, some developed countries (the UK and the USA) have introduced rules to control MNCS behaviour in their supply chains, particularly in developing countries. The absence </w:t>
      </w:r>
      <w:r w:rsidR="004A17DF" w:rsidRPr="0053182F">
        <w:rPr>
          <w:rFonts w:eastAsia="Times New Roman"/>
          <w:lang w:eastAsia="en-GB"/>
        </w:rPr>
        <w:t>of</w:t>
      </w:r>
      <w:r w:rsidRPr="0053182F">
        <w:rPr>
          <w:rFonts w:eastAsia="Times New Roman"/>
          <w:lang w:eastAsia="en-GB"/>
        </w:rPr>
        <w:t xml:space="preserve"> </w:t>
      </w:r>
      <w:r w:rsidR="00BE28E0" w:rsidRPr="0053182F">
        <w:rPr>
          <w:rFonts w:eastAsia="Times New Roman"/>
          <w:lang w:eastAsia="en-GB"/>
        </w:rPr>
        <w:t>an adequate</w:t>
      </w:r>
      <w:r w:rsidRPr="0053182F">
        <w:rPr>
          <w:rFonts w:eastAsia="Times New Roman"/>
          <w:lang w:eastAsia="en-GB"/>
        </w:rPr>
        <w:t xml:space="preserve"> supply chain and regulatory framework negatively affects human rights protection </w:t>
      </w:r>
      <w:sdt>
        <w:sdtPr>
          <w:rPr>
            <w:rFonts w:eastAsia="Times New Roman"/>
            <w:lang w:eastAsia="en-GB"/>
          </w:rPr>
          <w:tag w:val="MENDELEY_CITATION_v3_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V19"/>
          <w:id w:val="1450833257"/>
          <w:placeholder>
            <w:docPart w:val="72B12BB3DD62401C8B9CD0484C0E48A9"/>
          </w:placeholder>
        </w:sdtPr>
        <w:sdtContent>
          <w:r w:rsidR="00CC19F4" w:rsidRPr="0053182F">
            <w:rPr>
              <w:rFonts w:eastAsia="Times New Roman"/>
            </w:rPr>
            <w:t xml:space="preserve">(Bodendorf </w:t>
          </w:r>
          <w:r w:rsidR="00CC19F4" w:rsidRPr="0053182F">
            <w:rPr>
              <w:rFonts w:eastAsia="Times New Roman"/>
              <w:i/>
              <w:iCs/>
            </w:rPr>
            <w:t>et al.</w:t>
          </w:r>
          <w:r w:rsidR="00CC19F4" w:rsidRPr="0053182F">
            <w:rPr>
              <w:rFonts w:eastAsia="Times New Roman"/>
            </w:rPr>
            <w:t>, 2022; Crane, 2013)</w:t>
          </w:r>
        </w:sdtContent>
      </w:sdt>
      <w:r w:rsidRPr="0053182F">
        <w:rPr>
          <w:rFonts w:eastAsia="Times New Roman"/>
          <w:lang w:eastAsia="en-GB"/>
        </w:rPr>
        <w:t>.</w:t>
      </w:r>
    </w:p>
    <w:p w14:paraId="48051561" w14:textId="456F7F10" w:rsidR="00144866" w:rsidRPr="0053182F" w:rsidRDefault="00144866" w:rsidP="00144866">
      <w:pPr>
        <w:spacing w:after="0" w:line="480" w:lineRule="auto"/>
        <w:ind w:firstLine="720"/>
        <w:jc w:val="both"/>
        <w:rPr>
          <w:rFonts w:eastAsia="Times New Roman"/>
          <w:lang w:eastAsia="en-GB"/>
        </w:rPr>
      </w:pPr>
      <w:r w:rsidRPr="0053182F">
        <w:rPr>
          <w:rFonts w:eastAsia="Times New Roman"/>
          <w:lang w:eastAsia="en-GB"/>
        </w:rPr>
        <w:t xml:space="preserve">CMS practices are interrelated with the global economy. For example, </w:t>
      </w:r>
      <w:sdt>
        <w:sdtPr>
          <w:rPr>
            <w:rFonts w:eastAsia="Times New Roman"/>
            <w:lang w:eastAsia="en-GB"/>
          </w:rPr>
          <w:tag w:val="MENDELEY_CITATION_v3_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"/>
          <w:id w:val="435297773"/>
          <w:placeholder>
            <w:docPart w:val="721076E3981440DE85E230A7998FB39E"/>
          </w:placeholder>
        </w:sdtPr>
        <w:sdtContent>
          <w:r w:rsidR="00CC19F4" w:rsidRPr="0053182F">
            <w:rPr>
              <w:rFonts w:eastAsia="Times New Roman"/>
            </w:rPr>
            <w:t>Mehmood et al. (2022)</w:t>
          </w:r>
        </w:sdtContent>
      </w:sdt>
      <w:r w:rsidRPr="0053182F">
        <w:rPr>
          <w:rFonts w:eastAsia="Times New Roman"/>
          <w:lang w:eastAsia="en-GB"/>
        </w:rPr>
        <w:t xml:space="preserve"> argued that a greater prevalence of CMS practices could significantly negatively impact global economic development. In addition, fighting against</w:t>
      </w:r>
      <w:r w:rsidRPr="0053182F">
        <w:t xml:space="preserve"> </w:t>
      </w:r>
      <w:r w:rsidRPr="0053182F">
        <w:rPr>
          <w:rFonts w:eastAsia="Times New Roman"/>
          <w:lang w:eastAsia="en-GB"/>
        </w:rPr>
        <w:t xml:space="preserve">CMS has greater potential to improve market efficiency and establish better economic transparency and quality in the country. Also, it boosts social protection and quality of life </w:t>
      </w:r>
      <w:sdt>
        <w:sdtPr>
          <w:rPr>
            <w:rFonts w:eastAsia="Times New Roman"/>
            <w:lang w:eastAsia="en-GB"/>
          </w:rPr>
          <w:tag w:val="MENDELEY_CITATION_v3_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"/>
          <w:id w:val="2106464564"/>
          <w:placeholder>
            <w:docPart w:val="721076E3981440DE85E230A7998FB39E"/>
          </w:placeholder>
        </w:sdtPr>
        <w:sdtContent>
          <w:r w:rsidR="00CC19F4" w:rsidRPr="0053182F">
            <w:rPr>
              <w:rFonts w:eastAsia="Times New Roman"/>
            </w:rPr>
            <w:t xml:space="preserve">(Mehmood </w:t>
          </w:r>
          <w:r w:rsidR="00CC19F4" w:rsidRPr="0053182F">
            <w:rPr>
              <w:rFonts w:eastAsia="Times New Roman"/>
              <w:i/>
              <w:iCs/>
            </w:rPr>
            <w:t>et al.</w:t>
          </w:r>
          <w:r w:rsidR="00CC19F4" w:rsidRPr="0053182F">
            <w:rPr>
              <w:rFonts w:eastAsia="Times New Roman"/>
            </w:rPr>
            <w:t>, 2022)</w:t>
          </w:r>
        </w:sdtContent>
      </w:sdt>
      <w:r w:rsidRPr="0053182F">
        <w:rPr>
          <w:rFonts w:eastAsia="Times New Roman"/>
          <w:lang w:eastAsia="en-GB"/>
        </w:rPr>
        <w:t xml:space="preserve">. Furthermore, most scholars revealed that country-level characteristics shape and reshape firm characteristics </w:t>
      </w:r>
      <w:sdt>
        <w:sdtPr>
          <w:rPr>
            <w:rFonts w:eastAsia="Times New Roman"/>
            <w:lang w:eastAsia="en-GB"/>
          </w:rPr>
          <w:tag w:val="MENDELEY_CITATION_v3_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AmIEdvdmVybmFuY2UiLCJjb250YWluZXItdGl0bGUtc2hvcnQiOiJSZWd1bCBHb3YiLCJhY2Nlc3NlZCI6eyJkYXRlLXBhcnRzIjpbWzIwMjMsMiw0XV19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"/>
          <w:id w:val="119644017"/>
          <w:placeholder>
            <w:docPart w:val="81D7AD92CA66479D9943B44E9E05F4F0"/>
          </w:placeholder>
        </w:sdtPr>
        <w:sdtContent>
          <w:r w:rsidR="00CC19F4" w:rsidRPr="0053182F">
            <w:rPr>
              <w:rFonts w:eastAsia="Times New Roman"/>
            </w:rPr>
            <w:t>(La Porta et al., 1999; Crane et al., 2019; Mooneeapen et al., 2022)</w:t>
          </w:r>
        </w:sdtContent>
      </w:sdt>
      <w:r w:rsidRPr="0053182F">
        <w:rPr>
          <w:rFonts w:eastAsia="Times New Roman"/>
          <w:lang w:eastAsia="en-GB"/>
        </w:rPr>
        <w:t xml:space="preserve">. Also, corporations have greater responsibilities to enable the country to achieve the UN-SDGs </w:t>
      </w:r>
      <w:sdt>
        <w:sdtPr>
          <w:rPr>
            <w:rFonts w:eastAsia="Times New Roman"/>
            <w:lang w:eastAsia="en-GB"/>
          </w:rPr>
          <w:tag w:val="MENDELEY_CITATION_v3_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"/>
          <w:id w:val="299861869"/>
          <w:placeholder>
            <w:docPart w:val="721076E3981440DE85E230A7998FB39E"/>
          </w:placeholder>
        </w:sdtPr>
        <w:sdtContent>
          <w:r w:rsidR="00CC19F4" w:rsidRPr="0053182F">
            <w:rPr>
              <w:rFonts w:eastAsia="Times New Roman"/>
            </w:rPr>
            <w:t xml:space="preserve">(Mooneeapen </w:t>
          </w:r>
          <w:r w:rsidR="00CC19F4" w:rsidRPr="0053182F">
            <w:rPr>
              <w:rFonts w:eastAsia="Times New Roman"/>
              <w:i/>
              <w:iCs/>
            </w:rPr>
            <w:t>et al.</w:t>
          </w:r>
          <w:r w:rsidR="00CC19F4" w:rsidRPr="0053182F">
            <w:rPr>
              <w:rFonts w:eastAsia="Times New Roman"/>
            </w:rPr>
            <w:t>, 2022)</w:t>
          </w:r>
        </w:sdtContent>
      </w:sdt>
      <w:r w:rsidRPr="0053182F">
        <w:rPr>
          <w:rFonts w:eastAsia="Times New Roman"/>
          <w:lang w:eastAsia="en-GB"/>
        </w:rPr>
        <w:t xml:space="preserve">. </w:t>
      </w:r>
    </w:p>
    <w:p w14:paraId="0611FE29" w14:textId="7F6CB505" w:rsidR="00144866" w:rsidRPr="0053182F" w:rsidRDefault="00144866" w:rsidP="00144866">
      <w:pPr>
        <w:spacing w:after="0" w:line="480" w:lineRule="auto"/>
        <w:jc w:val="both"/>
        <w:rPr>
          <w:rFonts w:eastAsia="Times New Roman"/>
          <w:lang w:eastAsia="en-GB"/>
        </w:rPr>
      </w:pPr>
      <w:r w:rsidRPr="0053182F">
        <w:tab/>
      </w:r>
      <w:r w:rsidRPr="0053182F">
        <w:rPr>
          <w:rFonts w:eastAsia="Times New Roman"/>
          <w:lang w:eastAsia="en-GB"/>
        </w:rPr>
        <w:t xml:space="preserve">Some countries have considerable differences in their governance system. For example, legal systems differ significantly between Arabic-speaking countries and civil law or common law countries. Governance can be defined as </w:t>
      </w:r>
      <w:r w:rsidRPr="0053182F">
        <w:rPr>
          <w:rStyle w:val="QuoteChar"/>
        </w:rPr>
        <w:t>“the traditions and institutions by which authority in a country is exercised; this includes (a) the process by which governments are selected, monitored, and replaced; (b) the capacity of the government to effectively formulate and implement sound policies; and (c) the respect of citizens and the state for the institutions that govern economic and social interactions among them”</w:t>
      </w:r>
      <w:r w:rsidRPr="0053182F">
        <w:rPr>
          <w:rFonts w:eastAsia="Times New Roman"/>
          <w:lang w:eastAsia="en-GB"/>
        </w:rPr>
        <w:t xml:space="preserve"> </w:t>
      </w:r>
      <w:sdt>
        <w:sdtPr>
          <w:rPr>
            <w:rFonts w:eastAsia="Times New Roman"/>
            <w:lang w:eastAsia="en-GB"/>
          </w:rPr>
          <w:tag w:val="MENDELEY_CITATION_v3_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"/>
          <w:id w:val="498113513"/>
          <w:placeholder>
            <w:docPart w:val="0E0B8C37B9C24FD5903B91ABBF295515"/>
          </w:placeholder>
        </w:sdtPr>
        <w:sdtContent>
          <w:r w:rsidR="00CC19F4" w:rsidRPr="0053182F">
            <w:rPr>
              <w:rFonts w:eastAsia="Times New Roman"/>
              <w:lang w:eastAsia="en-GB"/>
            </w:rPr>
            <w:t>(Kaufmann et al., 2011, p.222)</w:t>
          </w:r>
        </w:sdtContent>
      </w:sdt>
      <w:r w:rsidRPr="0053182F">
        <w:rPr>
          <w:rFonts w:eastAsia="Times New Roman"/>
          <w:lang w:eastAsia="en-GB"/>
        </w:rPr>
        <w:t xml:space="preserve">. The UN human rights principle clarifies the State’s duty to protect human rights and the corporate duty to respect and remedy abuses </w:t>
      </w:r>
      <w:sdt>
        <w:sdtPr>
          <w:rPr>
            <w:rFonts w:eastAsia="Times New Roman"/>
            <w:lang w:eastAsia="en-GB"/>
          </w:rPr>
          <w:tag w:val="MENDELEY_CITATION_v3_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"/>
          <w:id w:val="1943823131"/>
          <w:placeholder>
            <w:docPart w:val="9B78A1B0A58049E79CB978A6D1A47AB2"/>
          </w:placeholder>
        </w:sdtPr>
        <w:sdtContent>
          <w:r w:rsidR="00B85634" w:rsidRPr="0053182F">
            <w:rPr>
              <w:rFonts w:eastAsia="Times New Roman"/>
              <w:lang w:eastAsia="en-GB"/>
            </w:rPr>
            <w:t>(Muchlinski, 2012)</w:t>
          </w:r>
        </w:sdtContent>
      </w:sdt>
      <w:r w:rsidRPr="0053182F">
        <w:rPr>
          <w:rFonts w:eastAsia="Times New Roman"/>
          <w:lang w:eastAsia="en-GB"/>
        </w:rPr>
        <w:t xml:space="preserve">. It is argued that macro-level governance </w:t>
      </w:r>
      <w:r w:rsidR="00E12C84" w:rsidRPr="0053182F">
        <w:rPr>
          <w:rFonts w:eastAsia="Times New Roman"/>
          <w:lang w:eastAsia="en-GB"/>
        </w:rPr>
        <w:t>affects</w:t>
      </w:r>
      <w:r w:rsidRPr="0053182F">
        <w:rPr>
          <w:rFonts w:eastAsia="Times New Roman"/>
          <w:lang w:eastAsia="en-GB"/>
        </w:rPr>
        <w:t xml:space="preserve"> the delivery of better human rights practices. Also, it shapes and reshapes corporate-level practices.</w:t>
      </w:r>
    </w:p>
    <w:p w14:paraId="7B502F27" w14:textId="195CCF07" w:rsidR="00144866" w:rsidRPr="0053182F" w:rsidRDefault="00144866" w:rsidP="00144866">
      <w:pPr>
        <w:spacing w:after="0" w:line="480" w:lineRule="auto"/>
        <w:ind w:firstLine="720"/>
        <w:jc w:val="both"/>
        <w:rPr>
          <w:rFonts w:eastAsia="Times New Roman"/>
          <w:lang w:eastAsia="en-GB"/>
        </w:rPr>
      </w:pPr>
      <w:r w:rsidRPr="0053182F">
        <w:rPr>
          <w:rFonts w:eastAsia="Times New Roman"/>
          <w:lang w:eastAsia="en-GB"/>
        </w:rPr>
        <w:t xml:space="preserve">In the late 1990s, the World Bank initiated six dimensions of governance that can be used to measure governance accountability </w:t>
      </w:r>
      <w:sdt>
        <w:sdtPr>
          <w:rPr>
            <w:rFonts w:eastAsia="Times New Roman"/>
            <w:lang w:eastAsia="en-GB"/>
          </w:rPr>
          <w:tag w:val="MENDELEY_CITATION_v3_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"/>
          <w:id w:val="-2112418609"/>
          <w:placeholder>
            <w:docPart w:val="FAE127A155FA4F6D8F0002FBACD0A23E"/>
          </w:placeholder>
        </w:sdtPr>
        <w:sdtContent>
          <w:r w:rsidR="00CC19F4" w:rsidRPr="0053182F">
            <w:rPr>
              <w:rFonts w:eastAsia="Times New Roman"/>
              <w:lang w:eastAsia="en-GB"/>
            </w:rPr>
            <w:t>(Kaufmann, 2021)</w:t>
          </w:r>
        </w:sdtContent>
      </w:sdt>
      <w:r w:rsidRPr="0053182F">
        <w:rPr>
          <w:rStyle w:val="FootnoteReference"/>
          <w:rFonts w:eastAsia="Times New Roman"/>
          <w:lang w:eastAsia="en-GB"/>
        </w:rPr>
        <w:footnoteReference w:id="5"/>
      </w:r>
      <w:r w:rsidRPr="0053182F">
        <w:rPr>
          <w:rFonts w:eastAsia="Times New Roman"/>
          <w:lang w:eastAsia="en-GB"/>
        </w:rPr>
        <w:t>. These factors are used to measure the quality of the institutional environment</w:t>
      </w:r>
      <w:sdt>
        <w:sdtPr>
          <w:rPr>
            <w:rFonts w:eastAsia="Times New Roman"/>
            <w:lang w:eastAsia="en-GB"/>
          </w:rPr>
          <w:tag w:val="MENDELEY_CITATION_v3_eyJjaXRhdGlvbklEIjoiTUVOREVMRVlfQ0lUQVRJT05fOWRkMDk3NjUtNjZmOC00OTM0LThhYWEtMjZlNjQxNGFiMmYz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lzc3VlZCI6eyJkYXRlLXBhcnRzIjpbWzIwMjJdXX0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NvbnRhaW5lci10aXRsZS1zaG9ydCI6IkJ1cyBTdHJhdGVneSBFbnZpcm9uIn0sImlzVGVtcG9yYXJ5IjpmYWxzZX1dfQ=="/>
          <w:id w:val="653031583"/>
          <w:placeholder>
            <w:docPart w:val="B57781914B0B4CD8A5FB21C59DA03E85"/>
          </w:placeholder>
        </w:sdtPr>
        <w:sdtContent>
          <w:r w:rsidR="00CC19F4" w:rsidRPr="0053182F">
            <w:rPr>
              <w:rFonts w:eastAsia="Times New Roman"/>
            </w:rPr>
            <w:t xml:space="preserve">(Moussa </w:t>
          </w:r>
          <w:r w:rsidR="00CC19F4" w:rsidRPr="0053182F">
            <w:rPr>
              <w:rFonts w:eastAsia="Times New Roman"/>
              <w:i/>
              <w:iCs/>
            </w:rPr>
            <w:t>et al.</w:t>
          </w:r>
          <w:r w:rsidR="00CC19F4" w:rsidRPr="0053182F">
            <w:rPr>
              <w:rFonts w:eastAsia="Times New Roman"/>
            </w:rPr>
            <w:t>, 2022)</w:t>
          </w:r>
        </w:sdtContent>
      </w:sdt>
      <w:r w:rsidRPr="0053182F">
        <w:rPr>
          <w:rFonts w:eastAsia="Times New Roman"/>
          <w:lang w:eastAsia="en-GB"/>
        </w:rPr>
        <w:t xml:space="preserve">. Also, these are the fundamental aspects of governance that can shape corporate practices. The corporation’s relationship with stakeholders is implicit in the corporate governance structure. Also, country characteristics are explicit in corporations, shaping the corporation's accountability. For example, stakeholder-oriented countries have more active sustainability committees and prefer to provide assured reports than shareholder-oriented ones </w:t>
      </w:r>
      <w:sdt>
        <w:sdtPr>
          <w:rPr>
            <w:rFonts w:eastAsia="Times New Roman"/>
            <w:lang w:eastAsia="en-GB"/>
          </w:rPr>
          <w:tag w:val="MENDELEY_CITATION_v3_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"/>
          <w:id w:val="-1854877851"/>
          <w:placeholder>
            <w:docPart w:val="0E0B8C37B9C24FD5903B91ABBF295515"/>
          </w:placeholder>
        </w:sdtPr>
        <w:sdtContent>
          <w:r w:rsidR="00CC19F4" w:rsidRPr="0053182F">
            <w:rPr>
              <w:rFonts w:eastAsia="Times New Roman"/>
              <w:lang w:eastAsia="en-GB"/>
            </w:rPr>
            <w:t>(Martínez-Ferrero and García-Sánchez, 2016)</w:t>
          </w:r>
        </w:sdtContent>
      </w:sdt>
      <w:r w:rsidRPr="0053182F">
        <w:rPr>
          <w:rFonts w:eastAsia="Times New Roman"/>
          <w:lang w:eastAsia="en-GB"/>
        </w:rPr>
        <w:t xml:space="preserve">. </w:t>
      </w:r>
    </w:p>
    <w:p w14:paraId="4E2DD737" w14:textId="5E2E5BBA" w:rsidR="00144866" w:rsidRPr="0053182F" w:rsidRDefault="00144866" w:rsidP="00144866">
      <w:pPr>
        <w:spacing w:after="0" w:line="480" w:lineRule="auto"/>
        <w:ind w:firstLine="720"/>
        <w:jc w:val="both"/>
      </w:pPr>
      <w:r w:rsidRPr="0053182F">
        <w:rPr>
          <w:rFonts w:eastAsia="Palatino Linotype"/>
        </w:rPr>
        <w:t xml:space="preserve">Given significant differences in the corporate macro environment, control corporate entry and exit, and regulate market boundaries and operational constraints </w:t>
      </w:r>
      <w:sdt>
        <w:sdtPr>
          <w:rPr>
            <w:rFonts w:eastAsia="Palatino Linotype"/>
          </w:rPr>
          <w:tag w:val="MENDELEY_CITATION_v3_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"/>
          <w:id w:val="1664107643"/>
          <w:placeholder>
            <w:docPart w:val="59BA04AB3CDF450EBD3A954FC563992C"/>
          </w:placeholder>
        </w:sdtPr>
        <w:sdtContent>
          <w:r w:rsidR="00CC19F4" w:rsidRPr="0053182F">
            <w:rPr>
              <w:rFonts w:eastAsia="Times New Roman"/>
            </w:rPr>
            <w:t xml:space="preserve">(Wettstein </w:t>
          </w:r>
          <w:r w:rsidR="00CC19F4" w:rsidRPr="0053182F">
            <w:rPr>
              <w:rFonts w:eastAsia="Times New Roman"/>
              <w:i/>
              <w:iCs/>
            </w:rPr>
            <w:t>et al.</w:t>
          </w:r>
          <w:r w:rsidR="00CC19F4" w:rsidRPr="0053182F">
            <w:rPr>
              <w:rFonts w:eastAsia="Times New Roman"/>
            </w:rPr>
            <w:t>, 2019; Whitley, 1999)</w:t>
          </w:r>
        </w:sdtContent>
      </w:sdt>
      <w:r w:rsidRPr="0053182F">
        <w:rPr>
          <w:rFonts w:eastAsia="Palatino Linotype"/>
        </w:rPr>
        <w:t xml:space="preserve">. In addition, significant differences are embedded in corporate operations across the same industry. For example, </w:t>
      </w:r>
      <w:sdt>
        <w:sdtPr>
          <w:rPr>
            <w:rFonts w:eastAsia="Palatino Linotype"/>
          </w:rPr>
          <w:tag w:val="MENDELEY_CITATION_v3_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"/>
          <w:id w:val="479612254"/>
          <w:placeholder>
            <w:docPart w:val="6DC1F00A87A14D35AB45924398B00261"/>
          </w:placeholder>
        </w:sdtPr>
        <w:sdtContent>
          <w:r w:rsidR="00CC19F4" w:rsidRPr="0053182F">
            <w:rPr>
              <w:rFonts w:eastAsia="Palatino Linotype"/>
            </w:rPr>
            <w:t>Ioannis Ioannou and Serafeim (2012)</w:t>
          </w:r>
        </w:sdtContent>
      </w:sdt>
      <w:r w:rsidRPr="0053182F">
        <w:rPr>
          <w:rFonts w:eastAsia="Palatino Linotype"/>
        </w:rPr>
        <w:t xml:space="preserve"> identified a significant difference in the corporate social performance of German automakers Daimler and BMW, which was considerably higher than that of Japanese automakers (Daihatsu and Kawasaki), due to differences in legal, educational, financial, political, and cultural factors. </w:t>
      </w:r>
      <w:r w:rsidRPr="0053182F">
        <w:rPr>
          <w:rFonts w:eastAsia="Times New Roman"/>
          <w:lang w:eastAsia="en-GB"/>
        </w:rPr>
        <w:t>MNCs are taking advantage of developing countries' low levels of democracy to profit unethically</w:t>
      </w:r>
      <w:r w:rsidR="00292847" w:rsidRPr="0053182F">
        <w:rPr>
          <w:rFonts w:eastAsia="Times New Roman"/>
          <w:lang w:eastAsia="en-GB"/>
        </w:rPr>
        <w:t xml:space="preserve"> </w:t>
      </w:r>
      <w:sdt>
        <w:sdtPr>
          <w:rPr>
            <w:rFonts w:eastAsia="Times New Roman"/>
            <w:lang w:eastAsia="en-GB"/>
          </w:rPr>
          <w:tag w:val="MENDELEY_CITATION_v3_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"/>
          <w:id w:val="-1285890689"/>
          <w:placeholder>
            <w:docPart w:val="610EB411EB634FD582E313207A5790D7"/>
          </w:placeholder>
        </w:sdtPr>
        <w:sdtContent>
          <w:r w:rsidR="00CC19F4" w:rsidRPr="0053182F">
            <w:rPr>
              <w:rFonts w:eastAsia="Times New Roman"/>
            </w:rPr>
            <w:t xml:space="preserve">(Mooneeapen </w:t>
          </w:r>
          <w:r w:rsidR="00CC19F4" w:rsidRPr="0053182F">
            <w:rPr>
              <w:rFonts w:eastAsia="Times New Roman"/>
              <w:i/>
              <w:iCs/>
            </w:rPr>
            <w:t>et al.</w:t>
          </w:r>
          <w:r w:rsidR="00CC19F4" w:rsidRPr="0053182F">
            <w:rPr>
              <w:rFonts w:eastAsia="Times New Roman"/>
            </w:rPr>
            <w:t>, 2022)</w:t>
          </w:r>
        </w:sdtContent>
      </w:sdt>
      <w:r w:rsidRPr="0053182F">
        <w:rPr>
          <w:rFonts w:eastAsia="Times New Roman"/>
          <w:lang w:eastAsia="en-GB"/>
        </w:rPr>
        <w:t xml:space="preserve">. For example, employee working conditions, minimum wage, and workers' health and safety are often ignored in MNCs in developing countries with high corruption and political instability (Akhter et al., 2019), where </w:t>
      </w:r>
      <w:r w:rsidR="007E782F" w:rsidRPr="0053182F">
        <w:rPr>
          <w:rFonts w:eastAsia="Times New Roman"/>
          <w:lang w:eastAsia="en-GB"/>
        </w:rPr>
        <w:t>political instability is unlikely to lead to the establishment of</w:t>
      </w:r>
      <w:r w:rsidRPr="0053182F">
        <w:rPr>
          <w:rFonts w:eastAsia="Times New Roman"/>
          <w:lang w:eastAsia="en-GB"/>
        </w:rPr>
        <w:t xml:space="preserve"> rules and regulations to eliminate MS</w:t>
      </w:r>
      <w:r w:rsidRPr="0053182F">
        <w:rPr>
          <w:rStyle w:val="normaltextrun"/>
        </w:rPr>
        <w:t xml:space="preserve"> practices.</w:t>
      </w:r>
    </w:p>
    <w:p w14:paraId="0DA48F2A" w14:textId="77777777" w:rsidR="00CC1788" w:rsidRPr="0053182F" w:rsidRDefault="00144866" w:rsidP="00144866">
      <w:pPr>
        <w:spacing w:after="0" w:line="480" w:lineRule="auto"/>
        <w:ind w:firstLine="720"/>
        <w:jc w:val="both"/>
        <w:rPr>
          <w:rFonts w:eastAsia="Palatino Linotype"/>
        </w:rPr>
      </w:pPr>
      <w:r w:rsidRPr="0053182F">
        <w:rPr>
          <w:rFonts w:eastAsia="Palatino Linotype"/>
        </w:rPr>
        <w:t xml:space="preserve">Given the concentration of indirect and direct power held by MNCs to control the state of the supply chain, CMS practices remain hidden behind the screen </w:t>
      </w:r>
      <w:sdt>
        <w:sdtPr>
          <w:rPr>
            <w:rFonts w:eastAsia="Palatino Linotype"/>
          </w:rPr>
          <w:tag w:val="MENDELEY_CITATION_v3_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"/>
          <w:id w:val="466939365"/>
          <w:placeholder>
            <w:docPart w:val="8E59515890FE460A84F4F6731BC940A0"/>
          </w:placeholder>
        </w:sdtPr>
        <w:sdtContent>
          <w:r w:rsidR="00CC19F4" w:rsidRPr="0053182F">
            <w:rPr>
              <w:rFonts w:eastAsia="Times New Roman"/>
            </w:rPr>
            <w:t xml:space="preserve">(Abeysekara </w:t>
          </w:r>
          <w:r w:rsidR="00CC19F4" w:rsidRPr="0053182F">
            <w:rPr>
              <w:rFonts w:eastAsia="Times New Roman"/>
              <w:i/>
              <w:iCs/>
            </w:rPr>
            <w:t>et al.</w:t>
          </w:r>
          <w:r w:rsidR="00CC19F4" w:rsidRPr="0053182F">
            <w:rPr>
              <w:rFonts w:eastAsia="Times New Roman"/>
            </w:rPr>
            <w:t xml:space="preserve">, 2019; Alexander </w:t>
          </w:r>
          <w:r w:rsidR="00CC19F4" w:rsidRPr="0053182F">
            <w:rPr>
              <w:rFonts w:eastAsia="Times New Roman"/>
              <w:i/>
              <w:iCs/>
            </w:rPr>
            <w:t>et al.</w:t>
          </w:r>
          <w:r w:rsidR="00CC19F4" w:rsidRPr="0053182F">
            <w:rPr>
              <w:rFonts w:eastAsia="Times New Roman"/>
            </w:rPr>
            <w:t>, 2022)</w:t>
          </w:r>
        </w:sdtContent>
      </w:sdt>
      <w:r w:rsidRPr="0053182F">
        <w:rPr>
          <w:rFonts w:eastAsia="Palatino Linotype"/>
        </w:rPr>
        <w:t xml:space="preserve">. Less developed countries invite and facilitate MNCs to establish operations in host countries to address their adverse economic conditions </w:t>
      </w:r>
      <w:sdt>
        <w:sdtPr>
          <w:rPr>
            <w:rFonts w:eastAsia="Palatino Linotype"/>
          </w:rPr>
          <w:tag w:val="MENDELEY_CITATION_v3_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"/>
          <w:id w:val="-1108121357"/>
          <w:placeholder>
            <w:docPart w:val="8E59515890FE460A84F4F6731BC940A0"/>
          </w:placeholder>
        </w:sdtPr>
        <w:sdtContent>
          <w:r w:rsidR="00CC19F4" w:rsidRPr="0053182F">
            <w:rPr>
              <w:rFonts w:eastAsia="Palatino Linotype"/>
            </w:rPr>
            <w:t>(Sikka, 2011; Uddin and Hopper, 2001)</w:t>
          </w:r>
        </w:sdtContent>
      </w:sdt>
      <w:r w:rsidRPr="0053182F">
        <w:rPr>
          <w:rFonts w:eastAsia="Palatino Linotype"/>
        </w:rPr>
        <w:t xml:space="preserve">. Notably, in retaliation for the invitation, today's MNCs operate their business in developing countries by controlling their economic and political stability </w:t>
      </w:r>
      <w:sdt>
        <w:sdtPr>
          <w:rPr>
            <w:rFonts w:eastAsia="Palatino Linotype"/>
          </w:rPr>
          <w:tag w:val="MENDELEY_CITATION_v3_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"/>
          <w:id w:val="-98026075"/>
          <w:placeholder>
            <w:docPart w:val="CEAAAA01D05B421089669952377AEF44"/>
          </w:placeholder>
        </w:sdtPr>
        <w:sdtContent>
          <w:r w:rsidR="00CC19F4" w:rsidRPr="0053182F">
            <w:rPr>
              <w:rFonts w:eastAsia="Palatino Linotype"/>
            </w:rPr>
            <w:t>(Ahmed and Uddin, 2021)</w:t>
          </w:r>
        </w:sdtContent>
      </w:sdt>
      <w:r w:rsidRPr="0053182F">
        <w:rPr>
          <w:rFonts w:eastAsia="Palatino Linotype"/>
        </w:rPr>
        <w:t xml:space="preserve">. As a result, host countries are serving as MNCs' puppets rather than imposing burdensome regulations and conditions on businesses operating in their countries.  </w:t>
      </w:r>
    </w:p>
    <w:p w14:paraId="4FA6301F" w14:textId="31FE8E44" w:rsidR="00144866" w:rsidRPr="0053182F" w:rsidRDefault="00144866" w:rsidP="00144866">
      <w:pPr>
        <w:spacing w:after="0" w:line="480" w:lineRule="auto"/>
        <w:ind w:firstLine="720"/>
        <w:jc w:val="both"/>
        <w:rPr>
          <w:rFonts w:eastAsia="Palatino Linotype"/>
        </w:rPr>
      </w:pPr>
      <w:r w:rsidRPr="0053182F">
        <w:rPr>
          <w:rFonts w:eastAsia="Palatino Linotype"/>
        </w:rPr>
        <w:t>Crane (2013) states that CMS can be present when barriers to fighting corruption and to freedom of expression are present. Regulators and the country's governors are responsible for establishing anti-slavery laws to protect workers’ rights.  Also, governance needs to take proactive action to minimise corruption and protect workers. In sum, countries can utilise economic incentives and trade policies to encourage businesses to eliminate CMS practices. By linking trade benefits and preferential treatment to responsible business practices, governments can incentivise businesses to take proactive measures to eradicate MS. Trade policies that promote transparency and responsible sourcing can also help reduce the risk of MS in global supply chains.</w:t>
      </w:r>
    </w:p>
    <w:p w14:paraId="3590F89E" w14:textId="21F1B76E" w:rsidR="00144866" w:rsidRPr="0053182F" w:rsidRDefault="00144866" w:rsidP="00144866">
      <w:pPr>
        <w:spacing w:after="0" w:line="480" w:lineRule="auto"/>
        <w:ind w:firstLine="720"/>
        <w:jc w:val="both"/>
        <w:rPr>
          <w:rFonts w:eastAsia="Palatino Linotype"/>
        </w:rPr>
      </w:pPr>
      <w:r w:rsidRPr="0053182F">
        <w:rPr>
          <w:rFonts w:eastAsia="Palatino Linotype"/>
        </w:rPr>
        <w:t xml:space="preserve">Over the last few years, people have been suffering from the pandemic, the Ukraine war, and the economic and financial crisis  </w:t>
      </w:r>
      <w:sdt>
        <w:sdtPr>
          <w:rPr>
            <w:rFonts w:eastAsia="Palatino Linotype"/>
          </w:rPr>
          <w:tag w:val="MENDELEY_CITATION_v3_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"/>
          <w:id w:val="-1620216965"/>
          <w:placeholder>
            <w:docPart w:val="4A16213DB60B417FBB61C2F18214D2AF"/>
          </w:placeholder>
        </w:sdtPr>
        <w:sdtContent>
          <w:r w:rsidR="00CC19F4" w:rsidRPr="0053182F">
            <w:rPr>
              <w:rFonts w:eastAsia="Palatino Linotype"/>
            </w:rPr>
            <w:t>(UNDP, 2022)</w:t>
          </w:r>
        </w:sdtContent>
      </w:sdt>
      <w:r w:rsidRPr="0053182F">
        <w:rPr>
          <w:rFonts w:eastAsia="Palatino Linotype"/>
        </w:rPr>
        <w:t xml:space="preserve">. The United Nations introduced the Human Development Index (HDI), which measures a country's social and economic development, has significantly fallen and adversely impacts CMS </w:t>
      </w:r>
      <w:sdt>
        <w:sdtPr>
          <w:rPr>
            <w:rFonts w:eastAsia="Palatino Linotype"/>
          </w:rPr>
          <w:tag w:val="MENDELEY_CITATION_v3_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aXNzdWVkIjp7ImRhdGUtcGFydHMiOltbMjAyMl1dfS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Y29udGFpbmVyLXRpdGxlLXNob3J0IjoiQnVzIFN0cmF0ZWd5IEVudmlyb24ifSwiaXNUZW1wb3JhcnkiOmZhbHNlfV19"/>
          <w:id w:val="-598030144"/>
          <w:placeholder>
            <w:docPart w:val="8E59515890FE460A84F4F6731BC940A0"/>
          </w:placeholder>
        </w:sdtPr>
        <w:sdtContent>
          <w:r w:rsidR="00CC19F4" w:rsidRPr="0053182F">
            <w:rPr>
              <w:rFonts w:eastAsia="Times New Roman"/>
            </w:rPr>
            <w:t xml:space="preserve">(Moussa </w:t>
          </w:r>
          <w:r w:rsidR="00CC19F4" w:rsidRPr="0053182F">
            <w:rPr>
              <w:rFonts w:eastAsia="Times New Roman"/>
              <w:i/>
              <w:iCs/>
            </w:rPr>
            <w:t>et al.</w:t>
          </w:r>
          <w:r w:rsidR="00CC19F4" w:rsidRPr="0053182F">
            <w:rPr>
              <w:rFonts w:eastAsia="Times New Roman"/>
            </w:rPr>
            <w:t xml:space="preserve">, 2022; Ranis </w:t>
          </w:r>
          <w:r w:rsidR="00CC19F4" w:rsidRPr="0053182F">
            <w:rPr>
              <w:rFonts w:eastAsia="Times New Roman"/>
              <w:i/>
              <w:iCs/>
            </w:rPr>
            <w:t>et al.</w:t>
          </w:r>
          <w:r w:rsidR="00CC19F4" w:rsidRPr="0053182F">
            <w:rPr>
              <w:rFonts w:eastAsia="Times New Roman"/>
            </w:rPr>
            <w:t>, 2011; UNDP, 2022)</w:t>
          </w:r>
        </w:sdtContent>
      </w:sdt>
      <w:r w:rsidRPr="0053182F">
        <w:rPr>
          <w:rFonts w:eastAsia="Palatino Linotype"/>
        </w:rPr>
        <w:t xml:space="preserve">. The COVID-19 pandemic reduced visibility into CMS practices and reduced opportunities to track and trace them, particularly in the supply chain </w:t>
      </w:r>
      <w:sdt>
        <w:sdtPr>
          <w:rPr>
            <w:rFonts w:eastAsia="Palatino Linotype"/>
          </w:rPr>
          <w:tag w:val="MENDELEY_CITATION_v3_eyJjaXRhdGlvbklEIjoiTUVOREVMRVlfQ0lUQVRJT05fODMxZDljNWUtNzcyMy00YzMxLTk2ZGEtODZiNWUyNTI4MzIy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
          <w:id w:val="784156712"/>
          <w:placeholder>
            <w:docPart w:val="8E59515890FE460A84F4F6731BC940A0"/>
          </w:placeholder>
        </w:sdtPr>
        <w:sdtContent>
          <w:r w:rsidR="00CC19F4" w:rsidRPr="0053182F">
            <w:rPr>
              <w:rFonts w:eastAsia="Palatino Linotype"/>
            </w:rPr>
            <w:t>(Christ and Burritt, 2021)</w:t>
          </w:r>
        </w:sdtContent>
      </w:sdt>
      <w:r w:rsidRPr="0053182F">
        <w:rPr>
          <w:rFonts w:eastAsia="Palatino Linotype"/>
        </w:rPr>
        <w:t xml:space="preserve">. Guy Ryder, ILO’s director-general, mention that covid pandemic is “no longer only a global health crisis, it is also a major labour market and economic crisis that is having a huge impact on people" because it has increased the social inequality, protection and BHR (e.g., less job protection, low-paid work, fire, unpaid leave) </w:t>
      </w:r>
      <w:sdt>
        <w:sdtPr>
          <w:rPr>
            <w:rFonts w:eastAsia="Palatino Linotype"/>
          </w:rPr>
          <w:tag w:val="MENDELEY_CITATION_v3_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"/>
          <w:id w:val="2027830888"/>
          <w:placeholder>
            <w:docPart w:val="7ABD3D7CC06C4047AC84EB89D1C3952C"/>
          </w:placeholder>
        </w:sdtPr>
        <w:sdtContent>
          <w:r w:rsidR="00CC19F4" w:rsidRPr="0053182F">
            <w:rPr>
              <w:rFonts w:eastAsia="Palatino Linotype"/>
            </w:rPr>
            <w:t>(Anner, 2020; ILO, 2020b)</w:t>
          </w:r>
        </w:sdtContent>
      </w:sdt>
      <w:r w:rsidRPr="0053182F">
        <w:rPr>
          <w:rFonts w:eastAsia="Palatino Linotype"/>
        </w:rPr>
        <w:t>.</w:t>
      </w:r>
    </w:p>
    <w:p w14:paraId="159E99B2" w14:textId="77777777" w:rsidR="00144866" w:rsidRPr="0053182F" w:rsidRDefault="00144866" w:rsidP="00144866">
      <w:pPr>
        <w:spacing w:after="0" w:line="480" w:lineRule="auto"/>
        <w:ind w:firstLine="720"/>
        <w:jc w:val="both"/>
        <w:rPr>
          <w:rFonts w:eastAsia="Palatino Linotype"/>
        </w:rPr>
      </w:pPr>
      <w:r w:rsidRPr="0053182F">
        <w:rPr>
          <w:rFonts w:eastAsia="Palatino Linotype"/>
        </w:rPr>
        <w:t>Eliminating CMS practices requires a comprehensive, collaborative approach. Country governance factors play a crucial role in creating an environment that deters businesses from engaging in CMS practices and encourages them to adopt responsible practices. Through robust legal frameworks, transparency requirements, collaboration, and strategic trade policies, countries can make significant contributions to combating CMS and fostering a global business environment grounded in ethical and responsible practices.</w:t>
      </w:r>
    </w:p>
    <w:p w14:paraId="007B0268" w14:textId="2DCC901A" w:rsidR="00144866" w:rsidRPr="0053182F" w:rsidRDefault="00144866" w:rsidP="00144866">
      <w:pPr>
        <w:pStyle w:val="Heading2"/>
        <w:jc w:val="both"/>
        <w:rPr>
          <w:b w:val="0"/>
          <w:sz w:val="24"/>
        </w:rPr>
      </w:pPr>
      <w:bookmarkStart w:id="96" w:name="_Toc218357095"/>
      <w:r w:rsidRPr="0053182F">
        <w:rPr>
          <w:sz w:val="24"/>
        </w:rPr>
        <w:t>3.4 Government Response to Fighting Corporate Modern Slavery (Macro-level</w:t>
      </w:r>
      <w:bookmarkStart w:id="97" w:name="_Toc131356291"/>
      <w:bookmarkStart w:id="98" w:name="_Toc139533351"/>
      <w:bookmarkStart w:id="99" w:name="_Toc151541456"/>
      <w:bookmarkStart w:id="100" w:name="_Toc215651800"/>
      <w:r w:rsidRPr="0053182F">
        <w:rPr>
          <w:sz w:val="24"/>
        </w:rPr>
        <w:t>)</w:t>
      </w:r>
      <w:bookmarkEnd w:id="96"/>
      <w:bookmarkEnd w:id="97"/>
      <w:bookmarkEnd w:id="98"/>
      <w:bookmarkEnd w:id="99"/>
      <w:bookmarkEnd w:id="100"/>
    </w:p>
    <w:p w14:paraId="0A1800DD" w14:textId="77A9AFAF" w:rsidR="00144866" w:rsidRPr="0053182F" w:rsidRDefault="00144866" w:rsidP="00144866">
      <w:pPr>
        <w:spacing w:after="0" w:line="480" w:lineRule="auto"/>
        <w:ind w:firstLine="720"/>
        <w:jc w:val="both"/>
        <w:rPr>
          <w:rStyle w:val="normaltextrun"/>
          <w:rFonts w:eastAsiaTheme="minorEastAsia"/>
        </w:rPr>
      </w:pPr>
      <w:r w:rsidRPr="0053182F">
        <w:rPr>
          <w:rStyle w:val="normaltextrun"/>
          <w:rFonts w:eastAsiaTheme="minorEastAsia"/>
        </w:rPr>
        <w:t xml:space="preserve">CMS demands macro-level, multi-actor action. Governments shape outcomes through coercive instruments (laws, enforcement, sanctions), coordination tools (national action plans), and transnational initiatives (SDG 8.7). Key legislative anchors include the UK MSA (2015), Australia’s MSA (2018), California’s Transparency in Supply Chains Act (2012), and Germany’s Supply Chain Due Diligence Act (2023). Refer to </w:t>
      </w:r>
      <w:r w:rsidR="004A17DF" w:rsidRPr="0053182F">
        <w:rPr>
          <w:rStyle w:val="normaltextrun"/>
          <w:rFonts w:eastAsiaTheme="minorEastAsia"/>
        </w:rPr>
        <w:t>Table 2.2</w:t>
      </w:r>
      <w:r w:rsidR="00337339" w:rsidRPr="0053182F">
        <w:rPr>
          <w:rStyle w:val="normaltextrun"/>
          <w:rFonts w:eastAsiaTheme="minorEastAsia"/>
        </w:rPr>
        <w:t xml:space="preserve"> </w:t>
      </w:r>
      <w:r w:rsidRPr="0053182F">
        <w:rPr>
          <w:rStyle w:val="normaltextrun"/>
          <w:rFonts w:eastAsiaTheme="minorEastAsia"/>
        </w:rPr>
        <w:t xml:space="preserve">for more details. </w:t>
      </w:r>
    </w:p>
    <w:p w14:paraId="55E5D0C9" w14:textId="74331B16" w:rsidR="00144866" w:rsidRPr="0053182F" w:rsidRDefault="00144866" w:rsidP="00144866">
      <w:pPr>
        <w:spacing w:after="0" w:line="480" w:lineRule="auto"/>
        <w:ind w:firstLine="720"/>
        <w:jc w:val="both"/>
        <w:rPr>
          <w:rStyle w:val="normaltextrun"/>
          <w:rFonts w:eastAsiaTheme="minorEastAsia"/>
        </w:rPr>
      </w:pPr>
      <w:r w:rsidRPr="0053182F">
        <w:rPr>
          <w:rStyle w:val="normaltextrun"/>
          <w:rFonts w:eastAsiaTheme="minorEastAsia"/>
        </w:rPr>
        <w:t>Governments are allocating resources and strengthening law enforcement agencies to enhance efforts to combat MS The GSI highlights the importance of specialised units and task forces dedicated to investigating and prosecuting MS cases. Governments are also focusing on capacity-building and training for law enforcement personnel to effectively identify, investigate, and dismantle criminal networks involved in MS</w:t>
      </w:r>
      <w:r w:rsidR="00CC1788" w:rsidRPr="0053182F">
        <w:rPr>
          <w:rStyle w:val="normaltextrun"/>
          <w:rFonts w:eastAsiaTheme="minorEastAsia"/>
        </w:rPr>
        <w:t xml:space="preserve"> </w:t>
      </w:r>
      <w:sdt>
        <w:sdtPr>
          <w:rPr>
            <w:rStyle w:val="normaltextrun"/>
            <w:rFonts w:eastAsiaTheme="minorEastAsia"/>
          </w:rPr>
          <w:tag w:val="MENDELEY_CITATION_v3_eyJjaXRhdGlvbklEIjoiTUVOREVMRVlfQ0lUQVRJT05fMDFhODA1MmUtYjEzOC00OGE2LTljMzMtNGI5MTE3YTJmNTdh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34775828"/>
          <w:placeholder>
            <w:docPart w:val="345ABC4C05A04C4384A983F0C719DB9C"/>
          </w:placeholder>
        </w:sdtPr>
        <w:sdtContent>
          <w:r w:rsidR="00CC19F4" w:rsidRPr="0053182F">
            <w:rPr>
              <w:rStyle w:val="normaltextrun"/>
              <w:rFonts w:eastAsiaTheme="minorEastAsia"/>
            </w:rPr>
            <w:t>(Walk Free, 2023)</w:t>
          </w:r>
        </w:sdtContent>
      </w:sdt>
      <w:r w:rsidRPr="0053182F">
        <w:rPr>
          <w:rStyle w:val="normaltextrun"/>
          <w:rFonts w:eastAsiaTheme="minorEastAsia"/>
        </w:rPr>
        <w:t xml:space="preserve">. Further, GSI emphasises the need for government responses to eradicate MS. Moreover, the Strongest </w:t>
      </w:r>
      <w:r w:rsidRPr="0053182F">
        <w:rPr>
          <w:rFonts w:eastAsia="Times New Roman"/>
        </w:rPr>
        <w:t xml:space="preserve">government response to </w:t>
      </w:r>
      <w:r w:rsidR="004A17DF" w:rsidRPr="0053182F">
        <w:rPr>
          <w:rFonts w:eastAsia="Times New Roman"/>
        </w:rPr>
        <w:t>MS as</w:t>
      </w:r>
      <w:r w:rsidRPr="0053182F">
        <w:rPr>
          <w:rFonts w:eastAsia="Times New Roman"/>
        </w:rPr>
        <w:t xml:space="preserve"> a percentage</w:t>
      </w:r>
      <w:r w:rsidRPr="0053182F">
        <w:rPr>
          <w:rStyle w:val="normaltextrun"/>
          <w:rFonts w:eastAsiaTheme="minorEastAsia"/>
        </w:rPr>
        <w:t xml:space="preserve"> can be visible in the UK (68); Australia, the Netherlands, Portugal, and the United States' response rate was 67; Ireland, Spain, Sweden, and Norway's response rate was 63  </w:t>
      </w:r>
      <w:sdt>
        <w:sdtPr>
          <w:rPr>
            <w:rStyle w:val="normaltextrun"/>
            <w:rFonts w:eastAsiaTheme="minorEastAsia"/>
          </w:rPr>
          <w:tag w:val="MENDELEY_CITATION_v3_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V19"/>
          <w:id w:val="-583371736"/>
          <w:placeholder>
            <w:docPart w:val="E89775460A774F7DBA23B52BCE4564E9"/>
          </w:placeholder>
        </w:sdtPr>
        <w:sdtContent>
          <w:r w:rsidR="00B85634" w:rsidRPr="0053182F">
            <w:rPr>
              <w:rStyle w:val="normaltextrun"/>
              <w:rFonts w:eastAsiaTheme="minorEastAsia"/>
            </w:rPr>
            <w:t>(Walk Free, 2023, p. 29)</w:t>
          </w:r>
        </w:sdtContent>
      </w:sdt>
      <w:r w:rsidRPr="0053182F">
        <w:rPr>
          <w:rStyle w:val="normaltextrun"/>
          <w:rFonts w:eastAsiaTheme="minorEastAsia"/>
        </w:rPr>
        <w:t>.</w:t>
      </w:r>
    </w:p>
    <w:p w14:paraId="6C87A4B1" w14:textId="6AB9854F" w:rsidR="00144866" w:rsidRPr="0053182F" w:rsidRDefault="00144866" w:rsidP="00144866">
      <w:pPr>
        <w:spacing w:after="0" w:line="480" w:lineRule="auto"/>
        <w:ind w:firstLine="720"/>
        <w:jc w:val="both"/>
        <w:rPr>
          <w:rStyle w:val="normaltextrun"/>
          <w:rFonts w:eastAsiaTheme="minorEastAsia"/>
        </w:rPr>
      </w:pPr>
      <w:r w:rsidRPr="0053182F">
        <w:rPr>
          <w:rStyle w:val="normaltextrun"/>
          <w:rFonts w:eastAsiaTheme="minorEastAsia"/>
        </w:rPr>
        <w:t xml:space="preserve">Governments engage in international collaborations to address </w:t>
      </w:r>
      <w:r w:rsidR="004A17DF" w:rsidRPr="0053182F">
        <w:rPr>
          <w:rStyle w:val="normaltextrun"/>
          <w:rFonts w:eastAsiaTheme="minorEastAsia"/>
        </w:rPr>
        <w:t>MS at</w:t>
      </w:r>
      <w:r w:rsidRPr="0053182F">
        <w:rPr>
          <w:rStyle w:val="normaltextrun"/>
          <w:rFonts w:eastAsiaTheme="minorEastAsia"/>
        </w:rPr>
        <w:t xml:space="preserve"> a global scale. One notable initiative is the Alliance 8.7, a global partnership dedicated to achieving UN-SDGs target 8.7, which aims to eradicate all forms of CMS practices </w:t>
      </w:r>
      <w:sdt>
        <w:sdtPr>
          <w:rPr>
            <w:rStyle w:val="normaltextrun"/>
            <w:rFonts w:eastAsiaTheme="minorEastAsia"/>
          </w:rPr>
          <w:tag w:val="MENDELEY_CITATION_v3_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"/>
          <w:id w:val="-518312137"/>
          <w:placeholder>
            <w:docPart w:val="E46DCF7B53144463A95B371E6D96ED59"/>
          </w:placeholder>
        </w:sdtPr>
        <w:sdtContent>
          <w:r w:rsidR="00CC19F4" w:rsidRPr="0053182F">
            <w:rPr>
              <w:rStyle w:val="normaltextrun"/>
              <w:rFonts w:eastAsiaTheme="minorEastAsia"/>
            </w:rPr>
            <w:t>(ILO, 2016)</w:t>
          </w:r>
        </w:sdtContent>
      </w:sdt>
      <w:r w:rsidRPr="0053182F">
        <w:rPr>
          <w:rStyle w:val="normaltextrun"/>
          <w:rFonts w:eastAsiaTheme="minorEastAsia"/>
        </w:rPr>
        <w:t>. Through collaboration, governments can share best practices, exchange information, and collectively work towards common goals, strengthening the global fight against CMS practices. While government responses to combat CMS practices have made significant strides, challenges persist. One challenge is the need for greater enforcement of existing legislation. Also, governments must ensure adequate resources and mechanisms are in place to monitor and enforce compliance with AMS laws effectively. Additionally, coordination and information-sharing between governments, law enforcement agencies, and other stakeholders need to be enhanced to facilitate a more robust response.</w:t>
      </w:r>
    </w:p>
    <w:p w14:paraId="2AC61197" w14:textId="47AAAC71" w:rsidR="00144866" w:rsidRPr="0053182F" w:rsidRDefault="00144866" w:rsidP="00144866">
      <w:pPr>
        <w:spacing w:line="480" w:lineRule="auto"/>
        <w:ind w:firstLine="720"/>
        <w:jc w:val="both"/>
        <w:rPr>
          <w:rStyle w:val="normaltextrun"/>
          <w:rFonts w:eastAsiaTheme="minorEastAsia"/>
        </w:rPr>
      </w:pPr>
      <w:r w:rsidRPr="0053182F">
        <w:rPr>
          <w:rStyle w:val="normaltextrun"/>
          <w:rFonts w:eastAsiaTheme="minorEastAsia"/>
        </w:rPr>
        <w:t xml:space="preserve">Corruption is one factor in the reversal of progress toward eliminating CMS practices. According to the GSI, countries with higher levels of corruption tend to have higher levels of CMS </w:t>
      </w:r>
      <w:sdt>
        <w:sdtPr>
          <w:rPr>
            <w:rStyle w:val="normaltextrun"/>
            <w:rFonts w:eastAsiaTheme="minorEastAsia"/>
          </w:rPr>
          <w:tag w:val="MENDELEY_CITATION_v3_eyJjaXRhdGlvbklEIjoiTUVOREVMRVlfQ0lUQVRJT05fZmM1NTY3ZjQtZDBmNC00NDUxLTk0Y2EtMjY3MWFmYTVhMmNjIiwicHJvcGVydGllcyI6eyJub3RlSW5kZXgiOjB9LCJpc0VkaXRlZCI6ZmFsc2UsIm1hbnVhbE92ZXJyaWRlIjp7ImlzTWFudWFsbHlPdmVycmlkZGVuIjp0cnVlLCJjaXRlcHJvY1RleHQiOiIoV2FsayBGcmVlIEZvdW5kYXRpb24sIDIwMTgpIiwibWFudWFsT3ZlcnJpZGVUZXh0IjoiKFdhbGsgRnJlZSwgMjAxOGIpIn0sImNpdGF0aW9uSXRlbXMiOlt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
          <w:id w:val="618030557"/>
          <w:placeholder>
            <w:docPart w:val="D1E05A4A794B4EE8AE0B5C4EE32F1E8F"/>
          </w:placeholder>
        </w:sdtPr>
        <w:sdtContent>
          <w:r w:rsidR="00CC19F4" w:rsidRPr="0053182F">
            <w:rPr>
              <w:rStyle w:val="normaltextrun"/>
              <w:rFonts w:eastAsiaTheme="minorEastAsia"/>
            </w:rPr>
            <w:t>(Walk Free, 2018b)</w:t>
          </w:r>
        </w:sdtContent>
      </w:sdt>
      <w:r w:rsidRPr="0053182F">
        <w:rPr>
          <w:rStyle w:val="normaltextrun"/>
          <w:rFonts w:eastAsiaTheme="minorEastAsia"/>
        </w:rPr>
        <w:t xml:space="preserve">. Corruption can enable human trafficking networks and allow businesses to exploit workers without fear of repercussions. In addition, corrupt officials may be complicit in using forced labour or turn a blind eye to labour abuses. Also, countries with weak legal frameworks and ineffective enforcement mechanisms are more likely to have higher rates of MS. A study by the </w:t>
      </w:r>
      <w:sdt>
        <w:sdtPr>
          <w:tag w:val="MENDELEY_CITATION_v3_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"/>
          <w:id w:val="878048609"/>
          <w:placeholder>
            <w:docPart w:val="ADF859263B674A21B94721E6895F2993"/>
          </w:placeholder>
        </w:sdtPr>
        <w:sdtContent>
          <w:r w:rsidR="00CC19F4" w:rsidRPr="0053182F">
            <w:t>ILO (2014)</w:t>
          </w:r>
        </w:sdtContent>
      </w:sdt>
      <w:r w:rsidRPr="0053182F">
        <w:rPr>
          <w:rStyle w:val="normaltextrun"/>
          <w:rFonts w:eastAsiaTheme="minorEastAsia"/>
        </w:rPr>
        <w:t xml:space="preserve"> found that weak labour laws and poor enforcement were key drivers of forced labour in the agriculture sector in Thailand. In contrast, countries with stronger labour protections and better enforcement mechanisms may be more effective at preventing MS.</w:t>
      </w:r>
    </w:p>
    <w:p w14:paraId="0B9D87EE" w14:textId="725C3FD9" w:rsidR="00144866" w:rsidRPr="0053182F" w:rsidRDefault="00144866" w:rsidP="00144866">
      <w:pPr>
        <w:spacing w:line="480" w:lineRule="auto"/>
        <w:ind w:firstLine="720"/>
        <w:jc w:val="both"/>
      </w:pPr>
      <w:r w:rsidRPr="0053182F">
        <w:rPr>
          <w:rFonts w:eastAsia="Times New Roman"/>
        </w:rPr>
        <w:t xml:space="preserve">Political stability is also an essential factor in preventing CMS practices. Countries experiencing conflict or instability may be more vulnerable to forced labour, child labour, poor health and working conditions, or trafficking to generate illegal profit in their business. For example, a study by </w:t>
      </w:r>
      <w:sdt>
        <w:sdtPr>
          <w:rPr>
            <w:rFonts w:eastAsia="Times New Roman"/>
          </w:rPr>
          <w:tag w:val="MENDELEY_CITATION_v3_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"/>
          <w:id w:val="1570608913"/>
          <w:placeholder>
            <w:docPart w:val="FBD59FA121914D428DF914360DE78D0A"/>
          </w:placeholder>
        </w:sdtPr>
        <w:sdtContent>
          <w:r w:rsidR="00CC19F4" w:rsidRPr="0053182F">
            <w:t>Walk Free and Minderoo (2018)</w:t>
          </w:r>
        </w:sdtContent>
      </w:sdt>
      <w:r w:rsidRPr="0053182F">
        <w:t xml:space="preserve"> </w:t>
      </w:r>
      <w:r w:rsidRPr="0053182F">
        <w:rPr>
          <w:rFonts w:eastAsia="Times New Roman"/>
        </w:rPr>
        <w:t>found that armed conflict in Yemen has increased child soldiers and forced labour use. In contrast, countries with stable governments and effective governance structures may be better equipped to prevent and address CMS practices.</w:t>
      </w:r>
    </w:p>
    <w:p w14:paraId="3574602C" w14:textId="14049A35" w:rsidR="00144866" w:rsidRPr="0053182F" w:rsidRDefault="00144866" w:rsidP="00144866">
      <w:pPr>
        <w:spacing w:after="0" w:line="480" w:lineRule="auto"/>
        <w:ind w:firstLine="720"/>
        <w:jc w:val="both"/>
        <w:rPr>
          <w:rFonts w:eastAsia="Times New Roman"/>
        </w:rPr>
      </w:pPr>
      <w:r w:rsidRPr="0053182F">
        <w:rPr>
          <w:rFonts w:eastAsia="Times New Roman"/>
        </w:rPr>
        <w:t>The Government Response Index</w:t>
      </w:r>
      <w:r w:rsidRPr="0053182F">
        <w:t xml:space="preserve"> measures the </w:t>
      </w:r>
      <w:r w:rsidRPr="0053182F">
        <w:rPr>
          <w:rFonts w:eastAsia="Times New Roman"/>
        </w:rPr>
        <w:t xml:space="preserve">effectiveness of the government's response to MS  </w:t>
      </w:r>
      <w:sdt>
        <w:sdtPr>
          <w:rPr>
            <w:rFonts w:eastAsia="Times New Roman"/>
          </w:rPr>
          <w:tag w:val="MENDELEY_CITATION_v3_eyJjaXRhdGlvbklEIjoiTUVOREVMRVlfQ0lUQVRJT05fMjRmYWM0MTYtOTRmZC00YjEyLWE2NmMtMjA1NmZhYzZjYjc0IiwicHJvcGVydGllcyI6eyJub3RlSW5kZXgiOjB9LCJpc0VkaXRlZCI6ZmFsc2UsIm1hbnVhbE92ZXJyaWRlIjp7ImlzTWFudWFsbHlPdmVycmlkZGVuIjp0cnVlLCJjaXRlcHJvY1RleHQiOiIoV2FsayBGcmVlIEZvdW5kYXRpb24sIDIwMTgpIiwibWFudWFsT3ZlcnJpZGVUZXh0IjoiKFdhbGsgRnJlZSwgMjAxOGIpIn0sImNpdGF0aW9uSXRlbXMiOlt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
          <w:id w:val="-1474372002"/>
          <w:placeholder>
            <w:docPart w:val="84943662176C422E83140CDF7E262D10"/>
          </w:placeholder>
        </w:sdtPr>
        <w:sdtContent>
          <w:r w:rsidR="00CC19F4" w:rsidRPr="0053182F">
            <w:rPr>
              <w:rFonts w:eastAsia="Times New Roman"/>
            </w:rPr>
            <w:t>(Walk Free, 2018b)</w:t>
          </w:r>
        </w:sdtContent>
      </w:sdt>
      <w:r w:rsidRPr="0053182F">
        <w:rPr>
          <w:rStyle w:val="FootnoteReference"/>
          <w:rFonts w:eastAsia="Times New Roman"/>
        </w:rPr>
        <w:footnoteReference w:id="6"/>
      </w:r>
      <w:r w:rsidRPr="0053182F">
        <w:rPr>
          <w:rFonts w:eastAsia="Times New Roman"/>
        </w:rPr>
        <w:t xml:space="preserve">.  The government can establish new indices and enact strong legislation to combat CMS practices and improve governmental accountability. Furthermore, a solid legal system and legislation help to minimise adverse actions. For example, the High Court fined £1 million for severe labour exploitation of several Lithuanian workers who worked on chicken farms supplying eggs to the egg supply chains of a leading British supermarket in 2016 (FRA - European Union Agency for Fundamental Rights, 2019). </w:t>
      </w:r>
    </w:p>
    <w:p w14:paraId="4C9A3FFD" w14:textId="6712408B" w:rsidR="00144866" w:rsidRPr="0053182F" w:rsidRDefault="00144866" w:rsidP="00144866">
      <w:pPr>
        <w:spacing w:after="0" w:line="480" w:lineRule="auto"/>
        <w:ind w:firstLine="720"/>
        <w:jc w:val="both"/>
        <w:rPr>
          <w:rFonts w:eastAsia="Times New Roman"/>
        </w:rPr>
      </w:pPr>
      <w:r w:rsidRPr="0053182F">
        <w:rPr>
          <w:rFonts w:eastAsia="Times New Roman"/>
        </w:rPr>
        <w:t xml:space="preserve">Governors </w:t>
      </w:r>
      <w:r w:rsidR="005C78B2" w:rsidRPr="0053182F">
        <w:rPr>
          <w:rFonts w:eastAsia="Times New Roman"/>
        </w:rPr>
        <w:t>and the government are prominent players who determine how to address and effectively eradicate MS. Indeed, Simic and Blitz (2019) and Christ and Burritt (2021) highlighted that transparency is not only a means</w:t>
      </w:r>
      <w:r w:rsidRPr="0053182F">
        <w:rPr>
          <w:rFonts w:eastAsia="Times New Roman"/>
        </w:rPr>
        <w:t xml:space="preserve"> to eliminate CMS but also requires immediate action to fill the governance gap. For example, in response to the United Nations </w:t>
      </w:r>
      <w:r w:rsidRPr="0053182F">
        <w:rPr>
          <w:color w:val="auto"/>
        </w:rPr>
        <w:t>Guiding Principles (</w:t>
      </w:r>
      <w:r w:rsidRPr="0053182F">
        <w:rPr>
          <w:rFonts w:eastAsia="Times New Roman"/>
        </w:rPr>
        <w:t>UNGP) on MS, the Commonwealth MS</w:t>
      </w:r>
      <w:r w:rsidR="0071325B" w:rsidRPr="0053182F">
        <w:rPr>
          <w:rFonts w:eastAsia="Times New Roman"/>
        </w:rPr>
        <w:t xml:space="preserve">A </w:t>
      </w:r>
      <w:r w:rsidRPr="0053182F">
        <w:rPr>
          <w:rFonts w:eastAsia="Times New Roman"/>
        </w:rPr>
        <w:t xml:space="preserve">2018 </w:t>
      </w:r>
      <w:r w:rsidR="0071325B" w:rsidRPr="0053182F">
        <w:rPr>
          <w:rFonts w:eastAsia="Times New Roman"/>
        </w:rPr>
        <w:t>provides guidance to</w:t>
      </w:r>
      <w:r w:rsidRPr="0053182F">
        <w:rPr>
          <w:rFonts w:eastAsia="Times New Roman"/>
        </w:rPr>
        <w:t xml:space="preserve"> reporting entities. This guidance emphasises that "The Act only requires you to explain how you assess the effectiveness of an entity's actions. The Act does not ask you to determine whether an entity's actions are effective" </w:t>
      </w:r>
      <w:sdt>
        <w:sdtPr>
          <w:rPr>
            <w:rFonts w:eastAsia="Palatino Linotype"/>
          </w:rPr>
          <w:tag w:val="MENDELEY_CITATION_v3_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"/>
          <w:id w:val="1254382112"/>
          <w:placeholder>
            <w:docPart w:val="FC7D176566CA402E9D802B1226F0A2E1"/>
          </w:placeholder>
        </w:sdtPr>
        <w:sdtContent>
          <w:r w:rsidR="00B85634" w:rsidRPr="0053182F">
            <w:rPr>
              <w:rFonts w:eastAsia="Times New Roman"/>
            </w:rPr>
            <w:t>(Australian Border Force, 2018, p.54)</w:t>
          </w:r>
        </w:sdtContent>
      </w:sdt>
      <w:r w:rsidRPr="0053182F">
        <w:rPr>
          <w:rFonts w:eastAsia="Times New Roman"/>
        </w:rPr>
        <w:t xml:space="preserve">. In essence, this Act required </w:t>
      </w:r>
      <w:r w:rsidR="005C78B2" w:rsidRPr="0053182F">
        <w:rPr>
          <w:rFonts w:eastAsia="Times New Roman"/>
        </w:rPr>
        <w:t xml:space="preserve">only reporting </w:t>
      </w:r>
      <w:r w:rsidR="0071325B" w:rsidRPr="0053182F">
        <w:rPr>
          <w:rFonts w:eastAsia="Times New Roman"/>
        </w:rPr>
        <w:t>on management plans, not on the</w:t>
      </w:r>
      <w:r w:rsidR="00E850DF" w:rsidRPr="0053182F">
        <w:rPr>
          <w:rFonts w:eastAsia="Times New Roman"/>
        </w:rPr>
        <w:t>ir effectivenes</w:t>
      </w:r>
      <w:r w:rsidR="00CC1788" w:rsidRPr="0053182F">
        <w:rPr>
          <w:rFonts w:eastAsia="Times New Roman"/>
        </w:rPr>
        <w:t>s in addressing</w:t>
      </w:r>
      <w:r w:rsidR="0071325B" w:rsidRPr="0053182F">
        <w:rPr>
          <w:rFonts w:eastAsia="Times New Roman"/>
        </w:rPr>
        <w:t xml:space="preserve"> MS, as stated</w:t>
      </w:r>
      <w:r w:rsidR="005C78B2" w:rsidRPr="0053182F">
        <w:rPr>
          <w:rFonts w:eastAsia="Times New Roman"/>
        </w:rPr>
        <w:t xml:space="preserve"> i</w:t>
      </w:r>
      <w:r w:rsidRPr="0053182F">
        <w:rPr>
          <w:rFonts w:eastAsia="Times New Roman"/>
        </w:rPr>
        <w:t xml:space="preserve">n their statements. This governance gap </w:t>
      </w:r>
      <w:r w:rsidR="005C78B2" w:rsidRPr="0053182F">
        <w:rPr>
          <w:rFonts w:eastAsia="Times New Roman"/>
        </w:rPr>
        <w:t>creates opportunities for the firm to misuse its reporting flexibility</w:t>
      </w:r>
      <w:r w:rsidRPr="0053182F">
        <w:rPr>
          <w:rFonts w:eastAsia="Times New Roman"/>
        </w:rPr>
        <w:t xml:space="preserve">. Furthermore, the critical part of reporting will be how effectively the firm tackles </w:t>
      </w:r>
      <w:r w:rsidR="00620AD0" w:rsidRPr="0053182F">
        <w:rPr>
          <w:rFonts w:eastAsia="Times New Roman"/>
        </w:rPr>
        <w:t>MS and</w:t>
      </w:r>
      <w:r w:rsidRPr="0053182F">
        <w:rPr>
          <w:rFonts w:eastAsia="Times New Roman"/>
        </w:rPr>
        <w:t xml:space="preserve"> the practical implications of these plans.</w:t>
      </w:r>
    </w:p>
    <w:p w14:paraId="5495BC1A" w14:textId="21D19178" w:rsidR="00144866" w:rsidRPr="0053182F" w:rsidRDefault="00144866" w:rsidP="00144866">
      <w:pPr>
        <w:spacing w:after="0" w:line="480" w:lineRule="auto"/>
        <w:ind w:firstLine="720"/>
        <w:jc w:val="both"/>
        <w:rPr>
          <w:rFonts w:eastAsia="Times New Roman"/>
        </w:rPr>
      </w:pPr>
      <w:r w:rsidRPr="0053182F">
        <w:rPr>
          <w:rFonts w:eastAsia="Times New Roman"/>
        </w:rPr>
        <w:t>Moreover, in 2017, 90 governments</w:t>
      </w:r>
      <w:r w:rsidRPr="0053182F">
        <w:rPr>
          <w:vertAlign w:val="superscript"/>
        </w:rPr>
        <w:footnoteReference w:id="7"/>
      </w:r>
      <w:r w:rsidRPr="0053182F">
        <w:rPr>
          <w:rFonts w:eastAsia="Times New Roman"/>
        </w:rPr>
        <w:t xml:space="preserve">, together with powerful and developed economies, launched and endorsed a "Call to Action" aiming to achieve UN-SDGs target 8.7 by eradicating </w:t>
      </w:r>
      <w:r w:rsidR="00620AD0" w:rsidRPr="0053182F">
        <w:rPr>
          <w:rFonts w:eastAsia="Times New Roman"/>
        </w:rPr>
        <w:t>MS and</w:t>
      </w:r>
      <w:r w:rsidRPr="0053182F">
        <w:rPr>
          <w:rFonts w:eastAsia="Times New Roman"/>
        </w:rPr>
        <w:t xml:space="preserve"> human trafficking from their economies and their supply chain by 2019 </w:t>
      </w:r>
      <w:sdt>
        <w:sdtPr>
          <w:rPr>
            <w:rFonts w:eastAsia="Times New Roman"/>
          </w:rPr>
          <w:tag w:val="MENDELEY_CITATION_v3_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"/>
          <w:id w:val="1273369297"/>
          <w:placeholder>
            <w:docPart w:val="2CAD563FC7D14E17B6327F9F6BAAFB15"/>
          </w:placeholder>
        </w:sdtPr>
        <w:sdtContent>
          <w:r w:rsidR="00CC19F4" w:rsidRPr="0053182F">
            <w:rPr>
              <w:rFonts w:eastAsia="Times New Roman"/>
            </w:rPr>
            <w:t>(Delta 8.7, 2017; Global Reporting Initiative (GRI) and RLI, 2019)</w:t>
          </w:r>
        </w:sdtContent>
      </w:sdt>
      <w:r w:rsidRPr="0053182F">
        <w:rPr>
          <w:rFonts w:eastAsia="Times New Roman"/>
        </w:rPr>
        <w:t xml:space="preserve">. Introducing government incentive schemes </w:t>
      </w:r>
      <w:r w:rsidR="005A5F5B" w:rsidRPr="0053182F">
        <w:rPr>
          <w:rFonts w:eastAsia="Times New Roman"/>
        </w:rPr>
        <w:t>to promote MS-free products can motivate cooperation in adopting</w:t>
      </w:r>
      <w:r w:rsidRPr="0053182F">
        <w:rPr>
          <w:rFonts w:eastAsia="Times New Roman"/>
        </w:rPr>
        <w:t xml:space="preserve"> zero CMS policies. Precisely, </w:t>
      </w:r>
      <w:sdt>
        <w:sdtPr>
          <w:rPr>
            <w:rFonts w:eastAsia="Times New Roman"/>
          </w:rPr>
          <w:tag w:val="MENDELEY_CITATION_v3_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"/>
          <w:id w:val="166105866"/>
          <w:placeholder>
            <w:docPart w:val="E8153493EF7A4B84BC3B034D74FDA0C4"/>
          </w:placeholder>
        </w:sdtPr>
        <w:sdtContent>
          <w:r w:rsidR="00CC19F4" w:rsidRPr="0053182F">
            <w:rPr>
              <w:rFonts w:eastAsia="Times New Roman"/>
            </w:rPr>
            <w:t>Deloitte (2020)</w:t>
          </w:r>
        </w:sdtContent>
      </w:sdt>
      <w:r w:rsidRPr="0053182F">
        <w:rPr>
          <w:rFonts w:eastAsia="Times New Roman"/>
        </w:rPr>
        <w:t xml:space="preserve"> proposed a child labour-fre</w:t>
      </w:r>
      <w:r w:rsidR="005A5F5B" w:rsidRPr="0053182F">
        <w:rPr>
          <w:rFonts w:eastAsia="Times New Roman"/>
        </w:rPr>
        <w:t>e agreement that would substantially help minimise child labour, as most corporations use child labour to reduce labour costs</w:t>
      </w:r>
      <w:r w:rsidRPr="0053182F">
        <w:rPr>
          <w:rFonts w:eastAsia="Times New Roman"/>
        </w:rPr>
        <w:t xml:space="preserve">. Nevertheless, child-labour-free tariffs facilitate MNCs </w:t>
      </w:r>
      <w:r w:rsidR="005A5F5B" w:rsidRPr="0053182F">
        <w:rPr>
          <w:rFonts w:eastAsia="Times New Roman"/>
        </w:rPr>
        <w:t>in reducing their total production costs</w:t>
      </w:r>
      <w:r w:rsidRPr="0053182F">
        <w:rPr>
          <w:rFonts w:eastAsia="Times New Roman"/>
        </w:rPr>
        <w:t>. It is a win-win situation that simultaneously reaches macro and micro-level targets.</w:t>
      </w:r>
    </w:p>
    <w:p w14:paraId="0F5E2091" w14:textId="10FDDDB1" w:rsidR="00144866" w:rsidRPr="0053182F" w:rsidRDefault="00144866" w:rsidP="00144866">
      <w:pPr>
        <w:spacing w:after="0" w:line="480" w:lineRule="auto"/>
        <w:ind w:firstLine="720"/>
        <w:jc w:val="both"/>
        <w:rPr>
          <w:rFonts w:eastAsia="Times New Roman"/>
        </w:rPr>
      </w:pPr>
      <w:r w:rsidRPr="0053182F">
        <w:rPr>
          <w:rFonts w:eastAsia="Times New Roman"/>
        </w:rPr>
        <w:t xml:space="preserve">In addition, the introduction of new legislation that enforces worldwide and strengthens current legislation from voluntary to mandatory requirements to ensure positive contributions against CMS practices </w:t>
      </w:r>
      <w:sdt>
        <w:sdtPr>
          <w:rPr>
            <w:rFonts w:eastAsia="Times New Roman"/>
          </w:rPr>
          <w:tag w:val="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"/>
          <w:id w:val="39177907"/>
          <w:placeholder>
            <w:docPart w:val="44B59C69A3284FA1BC297F5FB6E0AD93"/>
          </w:placeholder>
        </w:sdtPr>
        <w:sdtContent>
          <w:r w:rsidR="00B85634" w:rsidRPr="0053182F">
            <w:rPr>
              <w:rFonts w:eastAsia="Times New Roman"/>
            </w:rPr>
            <w:t>(Garcia-Torres, Rey-Garcia and Albareda-Vivo, 2017; Kirton and Trebilcock, 2017; Knudsen, 2018; Rogerson et al., 2020; BHRRC, 2023)</w:t>
          </w:r>
        </w:sdtContent>
      </w:sdt>
      <w:r w:rsidRPr="0053182F">
        <w:rPr>
          <w:rFonts w:eastAsia="Times New Roman"/>
        </w:rPr>
        <w:t xml:space="preserve">. Some governments continued to promote and started drafting new legislation to improve the due diligence of their business activities. According to the </w:t>
      </w:r>
      <w:r w:rsidR="006B6EAD" w:rsidRPr="0053182F">
        <w:rPr>
          <w:rFonts w:eastAsia="Times New Roman"/>
        </w:rPr>
        <w:t>MS reports</w:t>
      </w:r>
      <w:r w:rsidRPr="0053182F">
        <w:rPr>
          <w:rFonts w:eastAsia="Times New Roman"/>
        </w:rPr>
        <w:t xml:space="preserve">, some countries have actively acted against MS  </w:t>
      </w:r>
      <w:sdt>
        <w:sdtPr>
          <w:rPr>
            <w:rFonts w:eastAsia="Palatino Linotype"/>
          </w:rPr>
          <w:tag w:val="MENDELEY_CITATION_v3_eyJjaXRhdGlvbklEIjoiTUVOREVMRVlfQ0lUQVRJT05fZmU3ZThhYzQtMTViNS00NzgwLWI0ZGUtYzQyY2FhOGE5MGY2IiwicHJvcGVydGllcyI6eyJub3RlSW5kZXgiOjB9LCJpc0VkaXRlZCI6ZmFsc2UsIm1hbnVhbE92ZXJyaWRlIjp7ImlzTWFudWFsbHlPdmVycmlkZGVuIjp0cnVlLCJjaXRlcHJvY1RleHQiOiIoV2FsayBGcmVlLCAyMDE2OyBXYWxrIEZyZWUgRm91bmRhdGlvbiwgMjAxOCkiLCJtYW51YWxPdmVycmlkZVRleHQiOiIoV2FsayBGcmVlLCAyMDE2LCAyMDE4Yik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LHsiaWQiOiI1ZDZkNWU1My1jMTFlLTM3YTktYjNiNS03MjE5MDllNzc2M2YiLCJpdGVtRGF0YSI6eyJ0eXBlIjoicmVwb3J0IiwiaWQiOiI1ZDZkNWU1My1jMTFlLTM3YTktYjNiNS03MjE5MDllNzc2M2YiLCJ0aXRsZSI6IlRoZSBnbG9iYWwgc2xhdmVyeSBpbmRleCIsImF1dGhvciI6W3siZmFtaWx5IjoiV2FsayBGcmVlIEZvdW5kYXRpb24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Y29udGFpbmVyLXRpdGxlLXNob3J0IjoiIn0sImlzVGVtcG9yYXJ5IjpmYWxzZX1dfQ=="/>
          <w:id w:val="-480768774"/>
          <w:placeholder>
            <w:docPart w:val="9247D291C8CE41B68E672BFF301D57B7"/>
          </w:placeholder>
        </w:sdtPr>
        <w:sdtContent>
          <w:r w:rsidR="00CC19F4" w:rsidRPr="0053182F">
            <w:rPr>
              <w:rFonts w:eastAsia="Times New Roman"/>
            </w:rPr>
            <w:t>(Walk Free, 2016, 2018b)</w:t>
          </w:r>
        </w:sdtContent>
      </w:sdt>
      <w:r w:rsidRPr="0053182F">
        <w:rPr>
          <w:rStyle w:val="FootnoteReference"/>
          <w:rFonts w:eastAsia="Times New Roman"/>
        </w:rPr>
        <w:footnoteReference w:id="8"/>
      </w:r>
      <w:r w:rsidRPr="0053182F">
        <w:rPr>
          <w:rFonts w:eastAsia="Times New Roman"/>
        </w:rPr>
        <w:t xml:space="preserve">. </w:t>
      </w:r>
    </w:p>
    <w:p w14:paraId="29141C77" w14:textId="4D587D88" w:rsidR="00144866" w:rsidRPr="0053182F" w:rsidRDefault="00144866" w:rsidP="00144866">
      <w:pPr>
        <w:spacing w:after="0" w:line="480" w:lineRule="auto"/>
        <w:ind w:firstLine="720"/>
        <w:jc w:val="both"/>
        <w:rPr>
          <w:rFonts w:eastAsia="Times New Roman"/>
        </w:rPr>
      </w:pPr>
      <w:r w:rsidRPr="0053182F">
        <w:rPr>
          <w:rFonts w:eastAsia="Times New Roman"/>
        </w:rPr>
        <w:t xml:space="preserve">It is an arguable grey area </w:t>
      </w:r>
      <w:r w:rsidR="00803A92" w:rsidRPr="0053182F">
        <w:rPr>
          <w:rFonts w:eastAsia="Times New Roman"/>
        </w:rPr>
        <w:t>in labour standards and the strength of those standards across</w:t>
      </w:r>
      <w:r w:rsidRPr="0053182F">
        <w:rPr>
          <w:rFonts w:eastAsia="Times New Roman"/>
        </w:rPr>
        <w:t xml:space="preserve"> different countries. Lowering the minimum employment age will significantly </w:t>
      </w:r>
      <w:r w:rsidR="00803A92" w:rsidRPr="0053182F">
        <w:rPr>
          <w:rFonts w:eastAsia="Times New Roman"/>
        </w:rPr>
        <w:t xml:space="preserve">affect the development of unskilled labour and reduce the productivity of future generations, particularly in developing countries </w:t>
      </w:r>
      <w:sdt>
        <w:sdtPr>
          <w:rPr>
            <w:rFonts w:eastAsia="Times New Roman"/>
          </w:rPr>
          <w:tag w:val="MENDELEY_CITATION_v3_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"/>
          <w:id w:val="-1585902326"/>
          <w:placeholder>
            <w:docPart w:val="2CAD563FC7D14E17B6327F9F6BAAFB15"/>
          </w:placeholder>
        </w:sdtPr>
        <w:sdtContent>
          <w:r w:rsidR="000A32FF" w:rsidRPr="0053182F">
            <w:rPr>
              <w:rFonts w:eastAsia="Times New Roman"/>
            </w:rPr>
            <w:t>(Patrinos and Psacharopoulos, 1997)</w:t>
          </w:r>
        </w:sdtContent>
      </w:sdt>
      <w:r w:rsidRPr="0053182F">
        <w:rPr>
          <w:rFonts w:eastAsia="Times New Roman"/>
        </w:rPr>
        <w:t xml:space="preserve">. labour standards depend on income, sociocultural differences, politics, and governing mechanisms </w:t>
      </w:r>
      <w:sdt>
        <w:sdtPr>
          <w:rPr>
            <w:rFonts w:eastAsia="Times New Roman"/>
          </w:rPr>
          <w:tag w:val="MENDELEY_CITATION_v3_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"/>
          <w:id w:val="-242331987"/>
          <w:placeholder>
            <w:docPart w:val="2CAD563FC7D14E17B6327F9F6BAAFB15"/>
          </w:placeholder>
        </w:sdtPr>
        <w:sdtContent>
          <w:r w:rsidR="00CC1788" w:rsidRPr="0053182F">
            <w:rPr>
              <w:rFonts w:eastAsia="Times New Roman"/>
            </w:rPr>
            <w:t>(Brown, 1996)</w:t>
          </w:r>
        </w:sdtContent>
      </w:sdt>
      <w:r w:rsidRPr="0053182F">
        <w:rPr>
          <w:rFonts w:eastAsia="Times New Roman"/>
        </w:rPr>
        <w:t>. For example, the USA trade policy of the McKinley Act of 1980 prohibited imports from convict labour.</w:t>
      </w:r>
    </w:p>
    <w:p w14:paraId="0394C725" w14:textId="716E2054" w:rsidR="00144866" w:rsidRPr="0053182F" w:rsidRDefault="00144866" w:rsidP="00144866">
      <w:pPr>
        <w:spacing w:after="0" w:line="480" w:lineRule="auto"/>
        <w:ind w:firstLine="720"/>
        <w:jc w:val="both"/>
        <w:rPr>
          <w:rFonts w:eastAsia="Times New Roman"/>
        </w:rPr>
      </w:pPr>
      <w:r w:rsidRPr="0053182F">
        <w:rPr>
          <w:rFonts w:eastAsia="Times New Roman"/>
        </w:rPr>
        <w:t>Another critical aspect of th</w:t>
      </w:r>
      <w:r w:rsidR="00524CB2" w:rsidRPr="0053182F">
        <w:rPr>
          <w:rFonts w:eastAsia="Times New Roman"/>
        </w:rPr>
        <w:t>is legislation</w:t>
      </w:r>
      <w:r w:rsidRPr="0053182F">
        <w:rPr>
          <w:rFonts w:eastAsia="Times New Roman"/>
        </w:rPr>
        <w:t xml:space="preserve"> is transparency. Growing awareness of ethical considerations of business activities increases the risk of business, and firms need to be more transparent with stakeholders to survive this challenging world </w:t>
      </w:r>
      <w:sdt>
        <w:sdtPr>
          <w:rPr>
            <w:rFonts w:eastAsia="Times New Roman"/>
          </w:rPr>
          <w:tag w:val="MENDELEY_CITATION_v3_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"/>
          <w:id w:val="2016806476"/>
          <w:placeholder>
            <w:docPart w:val="93485DDCDDD84390A37FAAA16FB06D67"/>
          </w:placeholder>
        </w:sdtPr>
        <w:sdtContent>
          <w:r w:rsidR="00CC1788" w:rsidRPr="0053182F">
            <w:rPr>
              <w:rFonts w:eastAsia="Times New Roman"/>
            </w:rPr>
            <w:t>(Global Reporting Initiative (GRI) and Responsible Labour Initiative (RLI), 2019)</w:t>
          </w:r>
        </w:sdtContent>
      </w:sdt>
      <w:r w:rsidRPr="0053182F">
        <w:rPr>
          <w:rFonts w:eastAsia="Times New Roman"/>
        </w:rPr>
        <w:t xml:space="preserve">. Because CMS risk can </w:t>
      </w:r>
      <w:r w:rsidR="009C11E1" w:rsidRPr="0053182F">
        <w:rPr>
          <w:rFonts w:eastAsia="Times New Roman"/>
        </w:rPr>
        <w:t>cause significant damage to the firm's reputation and adversely affect the firm's</w:t>
      </w:r>
      <w:r w:rsidRPr="0053182F">
        <w:rPr>
          <w:rFonts w:eastAsia="Times New Roman"/>
        </w:rPr>
        <w:t xml:space="preserve"> share price, which is highly sensitive to social and environmental matters. </w:t>
      </w:r>
      <w:r w:rsidR="009C11E1" w:rsidRPr="0053182F">
        <w:rPr>
          <w:rFonts w:eastAsia="Times New Roman"/>
        </w:rPr>
        <w:t>Greater transparency in business activities and supply chains</w:t>
      </w:r>
      <w:r w:rsidRPr="0053182F">
        <w:rPr>
          <w:rFonts w:eastAsia="Times New Roman"/>
        </w:rPr>
        <w:t xml:space="preserve"> positively impacts firms and society. For example, workers' job satisfaction enhanced satisfaction</w:t>
      </w:r>
      <w:r w:rsidR="009C11E1" w:rsidRPr="0053182F">
        <w:rPr>
          <w:rFonts w:eastAsia="Times New Roman"/>
        </w:rPr>
        <w:t>, had a positive impact on stakeholders, and enabled the company to gain a</w:t>
      </w:r>
      <w:r w:rsidRPr="0053182F">
        <w:rPr>
          <w:rFonts w:eastAsia="Times New Roman"/>
        </w:rPr>
        <w:t xml:space="preserve"> competitive advantage. </w:t>
      </w:r>
    </w:p>
    <w:p w14:paraId="7DA8759C" w14:textId="4036FC1E" w:rsidR="00144866" w:rsidRPr="0053182F" w:rsidRDefault="00144866" w:rsidP="00144866">
      <w:pPr>
        <w:spacing w:after="0" w:line="480" w:lineRule="auto"/>
        <w:ind w:firstLine="720"/>
        <w:jc w:val="both"/>
        <w:rPr>
          <w:rFonts w:eastAsia="Times New Roman"/>
        </w:rPr>
      </w:pPr>
      <w:r w:rsidRPr="0053182F">
        <w:rPr>
          <w:rFonts w:eastAsia="Times New Roman"/>
        </w:rPr>
        <w:t xml:space="preserve">In addition, due to the high demand for research on sustainability issues, researchers have extensively studied the impact of various country governance and sustainability indicators </w:t>
      </w:r>
      <w:sdt>
        <w:sdtPr>
          <w:rPr>
            <w:rFonts w:eastAsia="Times New Roman"/>
          </w:rPr>
          <w:tag w:val="MENDELEY_CITATION_v3_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"/>
          <w:id w:val="1435228879"/>
          <w:placeholder>
            <w:docPart w:val="E8153493EF7A4B84BC3B034D74FDA0C4"/>
          </w:placeholder>
        </w:sdtPr>
        <w:sdtContent>
          <w:r w:rsidR="00CC1788" w:rsidRPr="0053182F">
            <w:rPr>
              <w:rFonts w:eastAsia="Times New Roman"/>
            </w:rPr>
            <w:t>(Schneider and Scherer, 2019)</w:t>
          </w:r>
        </w:sdtContent>
      </w:sdt>
      <w:r w:rsidRPr="0053182F">
        <w:rPr>
          <w:rFonts w:eastAsia="Times New Roman"/>
        </w:rPr>
        <w:t xml:space="preserve">. Despite that, emerging economies used </w:t>
      </w:r>
      <w:r w:rsidR="009C11E1" w:rsidRPr="0053182F">
        <w:rPr>
          <w:rFonts w:eastAsia="Times New Roman"/>
        </w:rPr>
        <w:t>investment by multinational companies as a remedy for their adverse economic conditions</w:t>
      </w:r>
      <w:r w:rsidRPr="0053182F">
        <w:rPr>
          <w:rFonts w:eastAsia="Times New Roman"/>
        </w:rPr>
        <w:t xml:space="preserve"> as a strategy for economic growth </w:t>
      </w:r>
      <w:sdt>
        <w:sdtPr>
          <w:rPr>
            <w:rFonts w:eastAsia="Times New Roman"/>
          </w:rPr>
          <w:tag w:val="MENDELEY_CITATION_v3_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"/>
          <w:id w:val="389286147"/>
          <w:placeholder>
            <w:docPart w:val="E8153493EF7A4B84BC3B034D74FDA0C4"/>
          </w:placeholder>
        </w:sdtPr>
        <w:sdtContent>
          <w:r w:rsidR="00CC1788" w:rsidRPr="0053182F">
            <w:rPr>
              <w:rFonts w:eastAsia="Times New Roman"/>
            </w:rPr>
            <w:t>(Clarke and Boersma, 2017)</w:t>
          </w:r>
        </w:sdtContent>
      </w:sdt>
      <w:r w:rsidRPr="0053182F">
        <w:rPr>
          <w:rFonts w:eastAsia="Times New Roman"/>
        </w:rPr>
        <w:t xml:space="preserve">. As a result, some governments are </w:t>
      </w:r>
      <w:r w:rsidR="000B006F" w:rsidRPr="0053182F">
        <w:rPr>
          <w:rFonts w:eastAsia="Times New Roman"/>
        </w:rPr>
        <w:t>unable to establish better BHR practices and robust l</w:t>
      </w:r>
      <w:r w:rsidRPr="0053182F">
        <w:rPr>
          <w:rFonts w:eastAsia="Times New Roman"/>
        </w:rPr>
        <w:t>egislation to protect human rights (</w:t>
      </w:r>
      <w:sdt>
        <w:sdtPr>
          <w:rPr>
            <w:rFonts w:eastAsia="Times New Roman"/>
          </w:rPr>
          <w:tag w:val="MENDELEY_CITATION_v3_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"/>
          <w:id w:val="1011044263"/>
          <w:placeholder>
            <w:docPart w:val="E8153493EF7A4B84BC3B034D74FDA0C4"/>
          </w:placeholder>
        </w:sdtPr>
        <w:sdtContent>
          <w:r w:rsidR="00CC1788" w:rsidRPr="0053182F">
            <w:rPr>
              <w:rFonts w:eastAsia="Times New Roman"/>
            </w:rPr>
            <w:t>Islam, Deegan and Haque, 2021)</w:t>
          </w:r>
        </w:sdtContent>
      </w:sdt>
      <w:r w:rsidRPr="0053182F">
        <w:rPr>
          <w:rFonts w:eastAsia="Times New Roman"/>
        </w:rPr>
        <w:t xml:space="preserve">. However, global CMS governance can influence or support its supply chain </w:t>
      </w:r>
      <w:r w:rsidR="00696AB6" w:rsidRPr="0053182F">
        <w:rPr>
          <w:rFonts w:eastAsia="Times New Roman"/>
        </w:rPr>
        <w:t>in developing robust rules and policies when the government is incapable or ineffective in developing its own policies or is unaware of</w:t>
      </w:r>
      <w:r w:rsidRPr="0053182F">
        <w:rPr>
          <w:rFonts w:eastAsia="Times New Roman"/>
        </w:rPr>
        <w:t xml:space="preserve"> regulatory and legal issues. In addition, establishing a global action plan will </w:t>
      </w:r>
      <w:r w:rsidR="00696AB6" w:rsidRPr="0053182F">
        <w:rPr>
          <w:rFonts w:eastAsia="Times New Roman"/>
        </w:rPr>
        <w:t>raise government</w:t>
      </w:r>
      <w:r w:rsidR="00CC1788" w:rsidRPr="0053182F">
        <w:rPr>
          <w:rFonts w:eastAsia="Times New Roman"/>
        </w:rPr>
        <w:t xml:space="preserve"> awareness of the need to eliminate</w:t>
      </w:r>
      <w:r w:rsidR="00696AB6" w:rsidRPr="0053182F">
        <w:rPr>
          <w:rFonts w:eastAsia="Times New Roman"/>
        </w:rPr>
        <w:t xml:space="preserve"> MS</w:t>
      </w:r>
      <w:r w:rsidRPr="0053182F">
        <w:rPr>
          <w:rFonts w:eastAsia="Times New Roman"/>
        </w:rPr>
        <w:t xml:space="preserve"> practices.</w:t>
      </w:r>
      <w:r w:rsidRPr="0053182F">
        <w:t xml:space="preserve"> </w:t>
      </w:r>
      <w:sdt>
        <w:sdtPr>
          <w:tag w:val="MENDELEY_CITATION_v3_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"/>
          <w:id w:val="-562177223"/>
          <w:placeholder>
            <w:docPart w:val="44B59C69A3284FA1BC297F5FB6E0AD93"/>
          </w:placeholder>
        </w:sdtPr>
        <w:sdtEndPr>
          <w:rPr>
            <w:rFonts w:eastAsia="Times New Roman"/>
          </w:rPr>
        </w:sdtEndPr>
        <w:sdtContent>
          <w:r w:rsidR="00B85634" w:rsidRPr="0053182F">
            <w:rPr>
              <w:rFonts w:eastAsia="Times New Roman"/>
            </w:rPr>
            <w:t>Ahmad et al. (2023)</w:t>
          </w:r>
        </w:sdtContent>
      </w:sdt>
      <w:r w:rsidR="005E702A" w:rsidRPr="0053182F">
        <w:rPr>
          <w:rFonts w:eastAsia="Times New Roman"/>
        </w:rPr>
        <w:t xml:space="preserve"> </w:t>
      </w:r>
      <w:r w:rsidR="00CC1788" w:rsidRPr="0053182F">
        <w:rPr>
          <w:rFonts w:eastAsia="Times New Roman"/>
        </w:rPr>
        <w:t>offer valuable insights into the drafting and enactment of MS disclosure regulations, which are deemed important for stakeholders and policymakers working to tackle MS, and highlight</w:t>
      </w:r>
      <w:r w:rsidRPr="0053182F">
        <w:rPr>
          <w:rFonts w:eastAsia="Times New Roman"/>
        </w:rPr>
        <w:t xml:space="preserve"> the </w:t>
      </w:r>
      <w:r w:rsidR="00CC1788" w:rsidRPr="0053182F">
        <w:rPr>
          <w:rFonts w:eastAsia="Times New Roman"/>
        </w:rPr>
        <w:t>need to address</w:t>
      </w:r>
      <w:r w:rsidRPr="0053182F">
        <w:rPr>
          <w:rFonts w:eastAsia="Times New Roman"/>
        </w:rPr>
        <w:t xml:space="preserve"> non-compliance, ambiguity, and crisis in evolving social and environmental disclosure regulations.</w:t>
      </w:r>
    </w:p>
    <w:p w14:paraId="42B4D117" w14:textId="23EFA390" w:rsidR="00144866" w:rsidRPr="0053182F" w:rsidRDefault="00144866" w:rsidP="00144866">
      <w:pPr>
        <w:spacing w:after="0" w:line="480" w:lineRule="auto"/>
        <w:ind w:firstLine="720"/>
        <w:jc w:val="both"/>
        <w:rPr>
          <w:rFonts w:eastAsia="Times New Roman"/>
        </w:rPr>
      </w:pPr>
      <w:r w:rsidRPr="0053182F">
        <w:rPr>
          <w:rFonts w:eastAsia="Times New Roman"/>
        </w:rPr>
        <w:t xml:space="preserve">CMS practices remain a pervasive issue, with significant contributions from industries such as apparel, mining, fishing, and the cotton sector. </w:t>
      </w:r>
      <w:r w:rsidR="00713159" w:rsidRPr="0053182F">
        <w:rPr>
          <w:rFonts w:eastAsia="Times New Roman"/>
        </w:rPr>
        <w:t xml:space="preserve">The </w:t>
      </w:r>
      <w:r w:rsidR="008D187B" w:rsidRPr="0053182F">
        <w:rPr>
          <w:rFonts w:eastAsia="Times New Roman"/>
        </w:rPr>
        <w:t>following</w:t>
      </w:r>
      <w:r w:rsidRPr="0053182F">
        <w:rPr>
          <w:rFonts w:eastAsia="Times New Roman"/>
        </w:rPr>
        <w:t xml:space="preserve"> section explores and summarise</w:t>
      </w:r>
      <w:r w:rsidR="00713159" w:rsidRPr="0053182F">
        <w:rPr>
          <w:rFonts w:eastAsia="Times New Roman"/>
        </w:rPr>
        <w:t>s</w:t>
      </w:r>
      <w:r w:rsidRPr="0053182F">
        <w:rPr>
          <w:rFonts w:eastAsia="Times New Roman"/>
        </w:rPr>
        <w:t xml:space="preserve"> the literature on A&amp;TI</w:t>
      </w:r>
      <w:r w:rsidR="00713159" w:rsidRPr="0053182F">
        <w:rPr>
          <w:rFonts w:eastAsia="Times New Roman"/>
        </w:rPr>
        <w:t xml:space="preserve"> and whether unique industry characteristics facilitate</w:t>
      </w:r>
      <w:r w:rsidRPr="0053182F">
        <w:rPr>
          <w:rFonts w:eastAsia="Times New Roman"/>
        </w:rPr>
        <w:t xml:space="preserve"> CMS practices. This sector's intricate global supply chains, labour-intensive production processes, cost pressures, and reliance on informal labour have made it a focal point for exploitation. Investigating the specific dynamics within the apparel industry offers valuable insights into the root causes of CMS, enabling targeted strategies to address and eradicate these practices effectively.</w:t>
      </w:r>
    </w:p>
    <w:p w14:paraId="2DC63D18" w14:textId="5D266119" w:rsidR="00144866" w:rsidRPr="0053182F" w:rsidRDefault="00144866" w:rsidP="00144866">
      <w:pPr>
        <w:pStyle w:val="Heading2"/>
        <w:jc w:val="both"/>
        <w:rPr>
          <w:sz w:val="24"/>
        </w:rPr>
      </w:pPr>
      <w:bookmarkStart w:id="101" w:name="_Toc215651801"/>
      <w:bookmarkStart w:id="102" w:name="_Toc218357096"/>
      <w:r w:rsidRPr="0053182F">
        <w:rPr>
          <w:sz w:val="24"/>
        </w:rPr>
        <w:t xml:space="preserve">3.5 Impact of </w:t>
      </w:r>
      <w:r w:rsidR="00713159" w:rsidRPr="0053182F">
        <w:rPr>
          <w:sz w:val="24"/>
        </w:rPr>
        <w:t xml:space="preserve">the </w:t>
      </w:r>
      <w:r w:rsidRPr="0053182F">
        <w:rPr>
          <w:sz w:val="24"/>
        </w:rPr>
        <w:t xml:space="preserve">Sustainability Governance Initiative on Fighting </w:t>
      </w:r>
      <w:r w:rsidR="00C55C09" w:rsidRPr="0053182F">
        <w:rPr>
          <w:sz w:val="24"/>
        </w:rPr>
        <w:t>C</w:t>
      </w:r>
      <w:r w:rsidRPr="0053182F">
        <w:rPr>
          <w:sz w:val="24"/>
        </w:rPr>
        <w:t xml:space="preserve">orporate </w:t>
      </w:r>
      <w:r w:rsidR="00C55C09" w:rsidRPr="0053182F">
        <w:rPr>
          <w:sz w:val="24"/>
        </w:rPr>
        <w:t>M</w:t>
      </w:r>
      <w:r w:rsidRPr="0053182F">
        <w:rPr>
          <w:sz w:val="24"/>
        </w:rPr>
        <w:t xml:space="preserve">odern </w:t>
      </w:r>
      <w:bookmarkEnd w:id="101"/>
      <w:r w:rsidR="00C55C09" w:rsidRPr="0053182F">
        <w:rPr>
          <w:sz w:val="24"/>
        </w:rPr>
        <w:t>Slavery Practices</w:t>
      </w:r>
      <w:bookmarkEnd w:id="102"/>
    </w:p>
    <w:p w14:paraId="29227E1D" w14:textId="3890E15B" w:rsidR="00144866" w:rsidRPr="0053182F" w:rsidRDefault="00144866" w:rsidP="00144866">
      <w:pPr>
        <w:spacing w:line="480" w:lineRule="auto"/>
        <w:jc w:val="both"/>
      </w:pPr>
      <w:r w:rsidRPr="0053182F">
        <w:t xml:space="preserve">Sustainability governance frameworks—encompassing CSR, ESG criteria, and broader SGIs—have become central to contemporary efforts to address CMS and related human rights abuses. These frameworks promote ethical conduct, stakeholder accountability, and transparency across global supply chains, reinforcing the expectation that corporations act as responsible global citizens </w:t>
      </w:r>
      <w:sdt>
        <w:sdtPr>
          <w:tag w:val="MENDELEY_CITATION_v3_eyJjaXRhdGlvbklEIjoiTUVOREVMRVlfQ0lUQVRJT05fZDdmMTZiNjQtM2E0MS00NzZjLThjYWYtMmEwYzUxOGU3NDdmIiwicHJvcGVydGllcyI6eyJub3RlSW5kZXgiOjB9LCJpc0VkaXRlZCI6ZmFsc2UsIm1hbnVhbE92ZXJyaWRlIjp7ImlzTWFudWFsbHlPdmVycmlkZGVuIjpmYWxzZSwiY2l0ZXByb2NUZXh0IjoiKEFsYml0YXIgPGk+ZXQgYWwuPC9pPiwgMjAyNTsgQ3JhbmUgPGk+ZXQgYWwuPC9pPiwgMjAyMjsgTXV0aHV0aGFudHJpZ2UgPGk+ZXQgYWwuPC9pPiwgMjAyNi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I3YzllNDBjYi1mMjU3LTM1MzgtYWNkMy00MzJhNTgwOGU5ZTgiLCJpdGVtRGF0YSI6eyJ0eXBlIjoiYXJ0aWNsZS1qb3VybmFsIiwiaWQiOiI3YzllNDBjYi1mMjU3LTM1MzgtYWNkMy00MzJhNTgwOGU5ZTgiLCJ0aXRsZSI6IkNvbmZyb250aW5nIHRoZSBCdXNpbmVzcyBNb2RlbHMgb2YgTW9kZXJuIFNsYXZlcnk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756175032"/>
          <w:placeholder>
            <w:docPart w:val="93485DDCDDD84390A37FAAA16FB06D67"/>
          </w:placeholder>
        </w:sdtPr>
        <w:sdtContent>
          <w:r w:rsidR="00CC1788" w:rsidRPr="0053182F">
            <w:rPr>
              <w:rFonts w:eastAsia="Times New Roman"/>
            </w:rPr>
            <w:t xml:space="preserve">(Albitar </w:t>
          </w:r>
          <w:r w:rsidR="00CC1788" w:rsidRPr="0053182F">
            <w:rPr>
              <w:rFonts w:eastAsia="Times New Roman"/>
              <w:i/>
              <w:iCs/>
            </w:rPr>
            <w:t>et al.</w:t>
          </w:r>
          <w:r w:rsidR="00CC1788" w:rsidRPr="0053182F">
            <w:rPr>
              <w:rFonts w:eastAsia="Times New Roman"/>
            </w:rPr>
            <w:t xml:space="preserve">, 2025; Crane </w:t>
          </w:r>
          <w:r w:rsidR="00CC1788" w:rsidRPr="0053182F">
            <w:rPr>
              <w:rFonts w:eastAsia="Times New Roman"/>
              <w:i/>
              <w:iCs/>
            </w:rPr>
            <w:t>et al.</w:t>
          </w:r>
          <w:r w:rsidR="00CC1788" w:rsidRPr="0053182F">
            <w:rPr>
              <w:rFonts w:eastAsia="Times New Roman"/>
            </w:rPr>
            <w:t xml:space="preserve">, 2022; Muthuthantrige </w:t>
          </w:r>
          <w:r w:rsidR="00CC1788" w:rsidRPr="0053182F">
            <w:rPr>
              <w:rFonts w:eastAsia="Times New Roman"/>
              <w:i/>
              <w:iCs/>
            </w:rPr>
            <w:t>et al.</w:t>
          </w:r>
          <w:r w:rsidR="00CC1788" w:rsidRPr="0053182F">
            <w:rPr>
              <w:rFonts w:eastAsia="Times New Roman"/>
            </w:rPr>
            <w:t>, 2026)</w:t>
          </w:r>
        </w:sdtContent>
      </w:sdt>
      <w:r w:rsidRPr="0053182F">
        <w:t>. In theory, CSR and ESG practices should align corporate objectives with social welfare, thereby reducing the institutional and operational conditions that enable forced labour and exploitation. However, empirical evidence suggests that the outcomes of these initiatives remain mixed, often reflecting symbolic compliance rather than substantive change (LeBaron and Crane, 2021; New, 2015).</w:t>
      </w:r>
    </w:p>
    <w:p w14:paraId="2B4CE173" w14:textId="22FD3910" w:rsidR="00144866" w:rsidRPr="0053182F" w:rsidRDefault="00144866" w:rsidP="00144866">
      <w:pPr>
        <w:spacing w:line="480" w:lineRule="auto"/>
        <w:ind w:firstLine="720"/>
        <w:jc w:val="both"/>
      </w:pPr>
      <w:r w:rsidRPr="0053182F">
        <w:t xml:space="preserve">The evolution of sustainability governance has created multiple entry points for addressing MS risks. CSR frameworks encourage firms to incorporate human rights principles into their operations and reporting practices, whereas ESG standards link corporate ethics and social performance to investment decisions </w:t>
      </w:r>
      <w:sdt>
        <w:sdtPr>
          <w:tag w:val="MENDELEY_CITATION_v3_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V19"/>
          <w:id w:val="-1466195095"/>
          <w:placeholder>
            <w:docPart w:val="93485DDCDDD84390A37FAAA16FB06D67"/>
          </w:placeholder>
        </w:sdtPr>
        <w:sdtContent>
          <w:r w:rsidR="00CC1788" w:rsidRPr="0053182F">
            <w:rPr>
              <w:rFonts w:eastAsia="Times New Roman"/>
            </w:rPr>
            <w:t xml:space="preserve">(Alkhadra </w:t>
          </w:r>
          <w:r w:rsidR="00CC1788" w:rsidRPr="0053182F">
            <w:rPr>
              <w:rFonts w:eastAsia="Times New Roman"/>
              <w:i/>
              <w:iCs/>
            </w:rPr>
            <w:t>et al.</w:t>
          </w:r>
          <w:r w:rsidR="00CC1788" w:rsidRPr="0053182F">
            <w:rPr>
              <w:rFonts w:eastAsia="Times New Roman"/>
            </w:rPr>
            <w:t xml:space="preserve">, 2023; Allam </w:t>
          </w:r>
          <w:r w:rsidR="00CC1788" w:rsidRPr="0053182F">
            <w:rPr>
              <w:rFonts w:eastAsia="Times New Roman"/>
              <w:i/>
              <w:iCs/>
            </w:rPr>
            <w:t>et al.</w:t>
          </w:r>
          <w:r w:rsidR="00CC1788" w:rsidRPr="0053182F">
            <w:rPr>
              <w:rFonts w:eastAsia="Times New Roman"/>
            </w:rPr>
            <w:t xml:space="preserve">, 2024; Moussa </w:t>
          </w:r>
          <w:r w:rsidR="00CC1788" w:rsidRPr="0053182F">
            <w:rPr>
              <w:rFonts w:eastAsia="Times New Roman"/>
              <w:i/>
              <w:iCs/>
            </w:rPr>
            <w:t>et al.</w:t>
          </w:r>
          <w:r w:rsidR="00CC1788" w:rsidRPr="0053182F">
            <w:rPr>
              <w:rFonts w:eastAsia="Times New Roman"/>
            </w:rPr>
            <w:t>, 2022)</w:t>
          </w:r>
        </w:sdtContent>
      </w:sdt>
      <w:r w:rsidRPr="0053182F">
        <w:t xml:space="preserve">. Likewise, SGIs, such as the GRI, UN Global Compact, and OECD Guidelines for MNCs, have established guidelines for ethical sourcing, due diligence, and AMS reporting. Collectively, these instruments have created a global normative infrastructure that influences how corporations identify, disclose, and mitigate MS within supply chains </w:t>
      </w:r>
      <w:sdt>
        <w:sdtPr>
          <w:tag w:val="MENDELEY_CITATION_v3_eyJjaXRhdGlvbklEIjoiTUVOREVMRVlfQ0lUQVRJT05fOTQ1MDFjMzMtNWViNi00NWU1LWExNDMtMTY4YTY2ZjNhOThmIiwicHJvcGVydGllcyI6eyJub3RlSW5kZXgiOjB9LCJpc0VkaXRlZCI6ZmFsc2UsIm1hbnVhbE92ZXJyaWRlIjp7ImlzTWFudWFsbHlPdmVycmlkZGVuIjpmYWxzZSwiY2l0ZXByb2NUZXh0IjoiKENyYW5lIDxpPmV0IGFsLjwvaT4sIDIwMTliOyBHb2xkIDxpPmV0IGFsLjwvaT4sIDIwMTU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lmZDYzYjlkLWNjZTItM2M5Mi1iNjlhLTI3MjAyYTMyNTVkMSIsIml0ZW1EYXRhIjp7InR5cGUiOiJhcnRpY2xlLWpvdXJuYWwiLCJpZCI6IjlmZDYzYjlkLWNjZTItM2M5Mi1iNjlhLTI3MjAyYTMyNTVkMSIsInRpdGxlIjoiTW9kZXJuIHNsYXZlcnkgY2hhbGxlbmdlcyB0byBzdXBwbHkgY2hhaW4gbWFuYWdlbWVudCIsImF1dGhvciI6W3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"/>
          <w:id w:val="-371840703"/>
          <w:placeholder>
            <w:docPart w:val="93485DDCDDD84390A37FAAA16FB06D67"/>
          </w:placeholder>
        </w:sdtPr>
        <w:sdtContent>
          <w:r w:rsidR="00CC1788" w:rsidRPr="0053182F">
            <w:rPr>
              <w:rFonts w:eastAsia="Times New Roman"/>
            </w:rPr>
            <w:t xml:space="preserve">(Crane </w:t>
          </w:r>
          <w:r w:rsidR="00CC1788" w:rsidRPr="0053182F">
            <w:rPr>
              <w:rFonts w:eastAsia="Times New Roman"/>
              <w:i/>
              <w:iCs/>
            </w:rPr>
            <w:t>et al.</w:t>
          </w:r>
          <w:r w:rsidR="00CC1788" w:rsidRPr="0053182F">
            <w:rPr>
              <w:rFonts w:eastAsia="Times New Roman"/>
            </w:rPr>
            <w:t xml:space="preserve">, 2019b; Gold </w:t>
          </w:r>
          <w:r w:rsidR="00CC1788" w:rsidRPr="0053182F">
            <w:rPr>
              <w:rFonts w:eastAsia="Times New Roman"/>
              <w:i/>
              <w:iCs/>
            </w:rPr>
            <w:t>et al.</w:t>
          </w:r>
          <w:r w:rsidR="00CC1788" w:rsidRPr="0053182F">
            <w:rPr>
              <w:rFonts w:eastAsia="Times New Roman"/>
            </w:rPr>
            <w:t>, 2015)</w:t>
          </w:r>
        </w:sdtContent>
      </w:sdt>
      <w:r w:rsidRPr="0053182F">
        <w:t>.</w:t>
      </w:r>
    </w:p>
    <w:p w14:paraId="3F71B41F" w14:textId="6D65758E" w:rsidR="00144866" w:rsidRPr="0053182F" w:rsidRDefault="00144866" w:rsidP="00144866">
      <w:pPr>
        <w:spacing w:line="480" w:lineRule="auto"/>
        <w:ind w:firstLine="720"/>
        <w:jc w:val="both"/>
      </w:pPr>
      <w:r w:rsidRPr="0053182F">
        <w:t>Despite this progress, sustainability governance has often failed to translate into genuine behavioural transformation. Numerous studies highlight the decoupling between corporate commitments and actual practices, particularly in sectors dependent on complex, multi-tier supply chains such as textiles, constr</w:t>
      </w:r>
      <w:r w:rsidR="004340ED" w:rsidRPr="0053182F">
        <w:t>u</w:t>
      </w:r>
      <w:r w:rsidRPr="0053182F">
        <w:t xml:space="preserve">ction, agriculture, and electronics </w:t>
      </w:r>
      <w:sdt>
        <w:sdtPr>
          <w:tag w:val="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"/>
          <w:id w:val="1063142822"/>
          <w:placeholder>
            <w:docPart w:val="564899AA0EC64C7EBE0D6CA11D553D06"/>
          </w:placeholder>
        </w:sdtPr>
        <w:sdtContent>
          <w:r w:rsidR="00CC1788" w:rsidRPr="0053182F">
            <w:rPr>
              <w:rFonts w:eastAsia="Times New Roman"/>
            </w:rPr>
            <w:t>(LeBaron, 2021a; Pesterfield and Rogerson, 2024)</w:t>
          </w:r>
        </w:sdtContent>
      </w:sdt>
      <w:r w:rsidRPr="0053182F">
        <w:t xml:space="preserve">. The persistence of exploitative conditions reflects a pattern of symbolic adoption—where firms adopt sustainability rhetoric to enhance legitimacy and reputation without substantially altering underlying business models </w:t>
      </w:r>
      <w:sdt>
        <w:sdtPr>
          <w:tag w:val="MENDELEY_CITATION_v3_eyJjaXRhdGlvbklEIjoiTUVOREVMRVlfQ0lUQVRJT05fNjg0ZmRjM2EtMmMzYS00ODRmLWFmNjQtYTA3MWZlZDRkYmIyIiwicHJvcGVydGllcyI6eyJub3RlSW5kZXgiOjB9LCJpc0VkaXRlZCI6ZmFsc2UsIm1hbnVhbE92ZXJyaWRlIjp7ImlzTWFudWFsbHlPdmVycmlkZGVuIjp0cnVlLCJjaXRlcHJvY1RleHQiOiIoTWV5ZXIgYW5kIFJvd2FuLCAxOTc3KSIsIm1hbnVhbE92ZXJyaWRlVGV4dCI6IihNZXllciBhbmQgUm93YW4sIDE5Nzc7IE11dGh1dGhhbnRyaWdlIGV0IGFsLiwgMjAyNik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182486076"/>
          <w:placeholder>
            <w:docPart w:val="93485DDCDDD84390A37FAAA16FB06D67"/>
          </w:placeholder>
        </w:sdtPr>
        <w:sdtContent>
          <w:r w:rsidR="00CC1788" w:rsidRPr="0053182F">
            <w:rPr>
              <w:rFonts w:eastAsia="Times New Roman"/>
            </w:rPr>
            <w:t>(Meyer and Rowan, 1977; Muthuthantrige et al., 2026)</w:t>
          </w:r>
        </w:sdtContent>
      </w:sdt>
      <w:r w:rsidRPr="0053182F">
        <w:t xml:space="preserve">. Greenwashing and selective disclosure remain pervasive, undermining the credibility of corporate efforts to address CMS </w:t>
      </w:r>
      <w:sdt>
        <w:sdtPr>
          <w:rPr>
            <w:rStyle w:val="normaltextrun"/>
            <w:rFonts w:eastAsiaTheme="minorEastAsia"/>
          </w:rPr>
          <w:tag w:val="MENDELEY_CITATION_v3_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"/>
          <w:id w:val="-1862580507"/>
          <w:placeholder>
            <w:docPart w:val="CA38D173784E45369114AD1DC13AAC1D"/>
          </w:placeholder>
        </w:sdtPr>
        <w:sdtContent>
          <w:r w:rsidR="00CC1788" w:rsidRPr="0053182F">
            <w:rPr>
              <w:rStyle w:val="normaltextrun"/>
              <w:rFonts w:eastAsiaTheme="minorEastAsia"/>
            </w:rPr>
            <w:t>(Michelon et al., 2015; Maher, Neumann and Slot Lykke, 2022)</w:t>
          </w:r>
        </w:sdtContent>
      </w:sdt>
      <w:r w:rsidRPr="0053182F">
        <w:t>.</w:t>
      </w:r>
    </w:p>
    <w:p w14:paraId="0817DDB6" w14:textId="283A422A" w:rsidR="00144866" w:rsidRPr="0053182F" w:rsidRDefault="00144866" w:rsidP="00144866">
      <w:pPr>
        <w:spacing w:line="480" w:lineRule="auto"/>
        <w:ind w:firstLine="720"/>
        <w:jc w:val="both"/>
      </w:pPr>
      <w:r w:rsidRPr="0053182F">
        <w:t xml:space="preserve">Empirical research further demonstrates that </w:t>
      </w:r>
      <w:r w:rsidR="00CC19F4" w:rsidRPr="0053182F">
        <w:t>SGI's effectiveness</w:t>
      </w:r>
      <w:r w:rsidRPr="0053182F">
        <w:t xml:space="preserve"> depends on internal corporate structures and stakeholder engagement mechanisms. Factors such as board diversity, union presence, and stakeholder participation have been shown to influence the depth of firms’ social and labour rights disclosures </w:t>
      </w:r>
      <w:sdt>
        <w:sdtPr>
          <w:rPr>
            <w:highlight w:val="yellow"/>
          </w:rPr>
          <w:tag w:val="MENDELEY_CITATION_v3_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"/>
          <w:id w:val="270752687"/>
          <w:placeholder>
            <w:docPart w:val="6C2CBDECB7BF4BFFA5535D06AC149ADF"/>
          </w:placeholder>
        </w:sdtPr>
        <w:sdtContent>
          <w:r w:rsidR="00CC1788" w:rsidRPr="0053182F">
            <w:rPr>
              <w:rFonts w:eastAsia="Times New Roman"/>
            </w:rPr>
            <w:t xml:space="preserve">(Burritt and Christ, 2023; Crane </w:t>
          </w:r>
          <w:r w:rsidR="00CC1788" w:rsidRPr="0053182F">
            <w:rPr>
              <w:rFonts w:eastAsia="Times New Roman"/>
              <w:i/>
              <w:iCs/>
            </w:rPr>
            <w:t>et al.</w:t>
          </w:r>
          <w:r w:rsidR="00CC1788" w:rsidRPr="0053182F">
            <w:rPr>
              <w:rFonts w:eastAsia="Times New Roman"/>
            </w:rPr>
            <w:t xml:space="preserve">, 2022; Lee Park </w:t>
          </w:r>
          <w:r w:rsidR="00CC1788" w:rsidRPr="0053182F">
            <w:rPr>
              <w:rFonts w:eastAsia="Times New Roman"/>
              <w:i/>
              <w:iCs/>
            </w:rPr>
            <w:t>et al.</w:t>
          </w:r>
          <w:r w:rsidR="00CC1788" w:rsidRPr="0053182F">
            <w:rPr>
              <w:rFonts w:eastAsia="Times New Roman"/>
            </w:rPr>
            <w:t>, 2023)</w:t>
          </w:r>
        </w:sdtContent>
      </w:sdt>
      <w:r w:rsidRPr="0053182F">
        <w:t xml:space="preserve">. Firms with more diverse boards and stronger stakeholder linkages tend to exhibit greater commitment to sustainability and ethical compliance, whereas firms with homogenous leadership structures often prioritise financial performance over social accountability </w:t>
      </w:r>
      <w:sdt>
        <w:sdtPr>
          <w:tag w:val="MENDELEY_CITATION_v3_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"/>
          <w:id w:val="314850972"/>
          <w:placeholder>
            <w:docPart w:val="93485DDCDDD84390A37FAAA16FB06D67"/>
          </w:placeholder>
        </w:sdtPr>
        <w:sdtContent>
          <w:r w:rsidR="00CC1788" w:rsidRPr="0053182F">
            <w:rPr>
              <w:rFonts w:eastAsia="Times New Roman"/>
            </w:rPr>
            <w:t xml:space="preserve">(Deloitte Global, 2022; Mechkova </w:t>
          </w:r>
          <w:r w:rsidR="00CC1788" w:rsidRPr="0053182F">
            <w:rPr>
              <w:rFonts w:eastAsia="Times New Roman"/>
              <w:i/>
              <w:iCs/>
            </w:rPr>
            <w:t>et al.</w:t>
          </w:r>
          <w:r w:rsidR="00CC1788" w:rsidRPr="0053182F">
            <w:rPr>
              <w:rFonts w:eastAsia="Times New Roman"/>
            </w:rPr>
            <w:t>, 2024)</w:t>
          </w:r>
        </w:sdtContent>
      </w:sdt>
      <w:r w:rsidRPr="0053182F">
        <w:t xml:space="preserve">. However, even within progressive organisations, the absence of robust external monitoring and enforcement mechanisms limits the potential of sustainability governance to address systemic labour exploitation effectively </w:t>
      </w:r>
      <w:sdt>
        <w:sdtPr>
          <w:tag w:val="MENDELEY_CITATION_v3_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"/>
          <w:id w:val="769586697"/>
          <w:placeholder>
            <w:docPart w:val="93485DDCDDD84390A37FAAA16FB06D67"/>
          </w:placeholder>
        </w:sdtPr>
        <w:sdtContent>
          <w:r w:rsidR="00B85634" w:rsidRPr="0053182F">
            <w:t>(Gray et al., 1996; Islam, 2018)</w:t>
          </w:r>
        </w:sdtContent>
      </w:sdt>
      <w:r w:rsidR="004B1969" w:rsidRPr="0053182F">
        <w:t>.</w:t>
      </w:r>
    </w:p>
    <w:p w14:paraId="16A1376E" w14:textId="7EFEACCB" w:rsidR="00144866" w:rsidRPr="0053182F" w:rsidRDefault="00144866" w:rsidP="00D867C2">
      <w:pPr>
        <w:spacing w:line="480" w:lineRule="auto"/>
        <w:ind w:firstLine="720"/>
        <w:jc w:val="both"/>
        <w:rPr>
          <w:rStyle w:val="normaltextrun"/>
        </w:rPr>
      </w:pPr>
      <w:r w:rsidRPr="0053182F">
        <w:rPr>
          <w:rStyle w:val="normaltextrun"/>
          <w:rFonts w:eastAsiaTheme="minorEastAsia"/>
        </w:rPr>
        <w:t>Moreover, Firms with complex</w:t>
      </w:r>
      <w:r w:rsidR="00CC19F4" w:rsidRPr="0053182F">
        <w:rPr>
          <w:rStyle w:val="normaltextrun"/>
          <w:rFonts w:eastAsiaTheme="minorEastAsia"/>
        </w:rPr>
        <w:t>, globalised supply chains face challenges in monitoring and auditing labour conditions, thereby increasing the risk of MS. Long, f</w:t>
      </w:r>
      <w:r w:rsidRPr="0053182F">
        <w:rPr>
          <w:rStyle w:val="normaltextrun"/>
          <w:rFonts w:eastAsiaTheme="minorEastAsia"/>
        </w:rPr>
        <w:t xml:space="preserve">ragmented supply chains create opportunities for exploitative practices to go undetected </w:t>
      </w:r>
      <w:sdt>
        <w:sdtPr>
          <w:rPr>
            <w:rStyle w:val="normaltextrun"/>
            <w:rFonts w:eastAsiaTheme="minorEastAsia"/>
          </w:rPr>
          <w:tag w:val="MENDELEY_CITATION_v3_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"/>
          <w:id w:val="-1435053553"/>
          <w:placeholder>
            <w:docPart w:val="1F0A4E5D5F474D3F928971A50C9B4610"/>
          </w:placeholder>
        </w:sdtPr>
        <w:sdtContent>
          <w:r w:rsidR="00CC1788" w:rsidRPr="0053182F">
            <w:rPr>
              <w:rStyle w:val="normaltextrun"/>
              <w:rFonts w:eastAsiaTheme="minorEastAsia"/>
            </w:rPr>
            <w:t>(Kolk, 2016)</w:t>
          </w:r>
        </w:sdtContent>
      </w:sdt>
      <w:r w:rsidRPr="0053182F">
        <w:rPr>
          <w:rStyle w:val="normaltextrun"/>
          <w:rFonts w:eastAsiaTheme="minorEastAsia"/>
        </w:rPr>
        <w:t xml:space="preserve">. Also, MNCs that rely extensively on subcontracting and outsourcing may face difficulties ensuring transparency and accountability throughout their supply chains. This can create vulnerabilities and enable CMS practices to occur in lower tiers of the supply chain </w:t>
      </w:r>
      <w:sdt>
        <w:sdtPr>
          <w:rPr>
            <w:rStyle w:val="normaltextrun"/>
            <w:rFonts w:eastAsiaTheme="minorEastAsia"/>
          </w:rPr>
          <w:tag w:val="MENDELEY_CITATION_v3_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"/>
          <w:id w:val="-1342388400"/>
          <w:placeholder>
            <w:docPart w:val="1F0A4E5D5F474D3F928971A50C9B4610"/>
          </w:placeholder>
        </w:sdtPr>
        <w:sdtContent>
          <w:r w:rsidR="00CC1788" w:rsidRPr="0053182F">
            <w:rPr>
              <w:rFonts w:eastAsia="Times New Roman"/>
            </w:rPr>
            <w:t xml:space="preserve">(Alexander </w:t>
          </w:r>
          <w:r w:rsidR="00CC1788" w:rsidRPr="0053182F">
            <w:rPr>
              <w:rFonts w:eastAsia="Times New Roman"/>
              <w:i/>
              <w:iCs/>
            </w:rPr>
            <w:t>et al.</w:t>
          </w:r>
          <w:r w:rsidR="00CC1788" w:rsidRPr="0053182F">
            <w:rPr>
              <w:rFonts w:eastAsia="Times New Roman"/>
            </w:rPr>
            <w:t xml:space="preserve">, 2022; LeBaron </w:t>
          </w:r>
          <w:r w:rsidR="00CC1788" w:rsidRPr="0053182F">
            <w:rPr>
              <w:rFonts w:eastAsia="Times New Roman"/>
              <w:i/>
              <w:iCs/>
            </w:rPr>
            <w:t>et al.</w:t>
          </w:r>
          <w:r w:rsidR="00CC1788" w:rsidRPr="0053182F">
            <w:rPr>
              <w:rFonts w:eastAsia="Times New Roman"/>
            </w:rPr>
            <w:t>, 2018)</w:t>
          </w:r>
        </w:sdtContent>
      </w:sdt>
      <w:r w:rsidRPr="0053182F">
        <w:rPr>
          <w:rStyle w:val="normaltextrun"/>
          <w:rFonts w:eastAsiaTheme="minorEastAsia"/>
        </w:rPr>
        <w:t>. Many SGIs emphasi</w:t>
      </w:r>
      <w:r w:rsidR="00CC19F4" w:rsidRPr="0053182F">
        <w:rPr>
          <w:rStyle w:val="normaltextrun"/>
          <w:rFonts w:eastAsiaTheme="minorEastAsia"/>
        </w:rPr>
        <w:t>s</w:t>
      </w:r>
      <w:r w:rsidRPr="0053182F">
        <w:rPr>
          <w:rStyle w:val="normaltextrun"/>
          <w:rFonts w:eastAsiaTheme="minorEastAsia"/>
        </w:rPr>
        <w:t xml:space="preserve">e the need for supply chain transparency. By implementing robust supply chain monitoring and auditing systems, companies can identify and address potential </w:t>
      </w:r>
      <w:r w:rsidR="00CC19F4" w:rsidRPr="0053182F">
        <w:rPr>
          <w:rStyle w:val="normaltextrun"/>
          <w:rFonts w:eastAsiaTheme="minorEastAsia"/>
        </w:rPr>
        <w:t>MS risks</w:t>
      </w:r>
      <w:r w:rsidR="00B85F5A" w:rsidRPr="0053182F">
        <w:rPr>
          <w:rStyle w:val="normaltextrun"/>
          <w:rFonts w:eastAsiaTheme="minorEastAsia"/>
        </w:rPr>
        <w:t xml:space="preserve"> </w:t>
      </w:r>
      <w:sdt>
        <w:sdtPr>
          <w:tag w:val="MENDELEY_CITATION_v3_eyJjaXRhdGlvbklEIjoiTUVOREVMRVlfQ0lUQVRJT05fYzM4M2QzZmUtN2E3Zi00MGJjLWFmZjgtMGUwMmQ4NWU0NDBl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742000824"/>
          <w:placeholder>
            <w:docPart w:val="6C00AFF4500842D48E09B033AC839F05"/>
          </w:placeholder>
        </w:sdtPr>
        <w:sdtContent>
          <w:r w:rsidR="00D867C2" w:rsidRPr="0053182F">
            <w:rPr>
              <w:rFonts w:eastAsia="Times New Roman"/>
            </w:rPr>
            <w:t xml:space="preserve">(Muthuthantrige </w:t>
          </w:r>
          <w:r w:rsidR="00D867C2" w:rsidRPr="0053182F">
            <w:rPr>
              <w:rFonts w:eastAsia="Times New Roman"/>
              <w:i/>
              <w:iCs/>
            </w:rPr>
            <w:t>et al.</w:t>
          </w:r>
          <w:r w:rsidR="00D867C2" w:rsidRPr="0053182F">
            <w:rPr>
              <w:rFonts w:eastAsia="Times New Roman"/>
            </w:rPr>
            <w:t>, 2026)</w:t>
          </w:r>
        </w:sdtContent>
      </w:sdt>
      <w:r w:rsidRPr="0053182F">
        <w:rPr>
          <w:rStyle w:val="normaltextrun"/>
          <w:rFonts w:eastAsiaTheme="minorEastAsia"/>
        </w:rPr>
        <w:t xml:space="preserve">. This increased transparency helps in uncovering instances of forced labour, human trafficking, and other forms of CMS practices, enabling companies to take appropriate action </w:t>
      </w:r>
      <w:sdt>
        <w:sdtPr>
          <w:rPr>
            <w:rStyle w:val="normaltextrun"/>
            <w:rFonts w:eastAsiaTheme="minorEastAsia"/>
          </w:rPr>
          <w:tag w:val="MENDELEY_CITATION_v3_eyJjaXRhdGlvbklEIjoiTUVOREVMRVlfQ0lUQVRJT05fMDI1ODBjZTEtMzhkNy00YThiLThhM2QtODIxMTQ2ZjQ5MDc3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
          <w:id w:val="1317537291"/>
          <w:placeholder>
            <w:docPart w:val="576335ACF8964973992D84006C151039"/>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w:t>
          </w:r>
        </w:sdtContent>
      </w:sdt>
      <w:r w:rsidRPr="0053182F">
        <w:rPr>
          <w:rStyle w:val="normaltextrun"/>
          <w:rFonts w:eastAsiaTheme="minorEastAsia"/>
        </w:rPr>
        <w:t>.</w:t>
      </w:r>
    </w:p>
    <w:p w14:paraId="41D84629" w14:textId="14E915D4" w:rsidR="00144866" w:rsidRPr="0053182F" w:rsidRDefault="00144866" w:rsidP="00144866">
      <w:pPr>
        <w:pStyle w:val="NormalWeb"/>
        <w:spacing w:before="0" w:beforeAutospacing="0" w:after="0" w:afterAutospacing="0" w:line="480" w:lineRule="auto"/>
        <w:ind w:firstLine="720"/>
        <w:jc w:val="both"/>
        <w:rPr>
          <w:rFonts w:eastAsiaTheme="minorEastAsia"/>
          <w:lang w:eastAsia="en-US"/>
        </w:rPr>
      </w:pPr>
      <w:r w:rsidRPr="0053182F">
        <w:rPr>
          <w:rStyle w:val="normaltextrun"/>
          <w:rFonts w:eastAsiaTheme="minorEastAsia"/>
          <w:lang w:eastAsia="en-US"/>
        </w:rPr>
        <w:t xml:space="preserve"> SGIs commonly include the development and implementation of a code of conduct for suppliers </w:t>
      </w:r>
      <w:sdt>
        <w:sdtPr>
          <w:rPr>
            <w:rStyle w:val="normaltextrun"/>
            <w:rFonts w:eastAsiaTheme="minorEastAsia"/>
            <w:lang w:eastAsia="en-US"/>
          </w:rPr>
          <w:tag w:val="MENDELEY_CITATION_v3_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"/>
          <w:id w:val="-1102337849"/>
          <w:placeholder>
            <w:docPart w:val="26830A70943F45A0B539767B85CB533A"/>
          </w:placeholder>
        </w:sdtPr>
        <w:sdtContent>
          <w:r w:rsidR="00CC1788" w:rsidRPr="0053182F">
            <w:rPr>
              <w:rStyle w:val="normaltextrun"/>
              <w:rFonts w:eastAsiaTheme="minorEastAsia"/>
              <w:lang w:eastAsia="en-US"/>
            </w:rPr>
            <w:t>(LeBaron and Rühmkorf, 2017; Lu and Wang, 2021)</w:t>
          </w:r>
        </w:sdtContent>
      </w:sdt>
      <w:r w:rsidRPr="0053182F">
        <w:rPr>
          <w:rStyle w:val="normaltextrun"/>
          <w:rFonts w:eastAsiaTheme="minorEastAsia"/>
          <w:lang w:eastAsia="en-US"/>
        </w:rPr>
        <w:t xml:space="preserve">. These codes establish clear expectations regarding labour practices, including a prohibition on CMS practices. Companies can require their suppliers to comply with these codes and conduct regular audits to ensure compliance. By holding suppliers accountable, organisations can exert pressure to eliminate CMS practices from their supply chains </w:t>
      </w:r>
      <w:sdt>
        <w:sdtPr>
          <w:rPr>
            <w:rStyle w:val="normaltextrun"/>
            <w:rFonts w:eastAsiaTheme="minorEastAsia"/>
            <w:lang w:eastAsia="en-US"/>
          </w:rPr>
          <w:tag w:val="MENDELEY_CITATION_v3_eyJjaXRhdGlvbklEIjoiTUVOREVMRVlfQ0lUQVRJT05fNTBjZDQyZTEtYmZkYS00NzkzLWIxODQtZjQwMDlmZjQzMGMx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
          <w:id w:val="-2032559749"/>
          <w:placeholder>
            <w:docPart w:val="26830A70943F45A0B539767B85CB533A"/>
          </w:placeholder>
        </w:sdtPr>
        <w:sdtContent>
          <w:r w:rsidR="00CC1788" w:rsidRPr="0053182F">
            <w:t xml:space="preserve">(Christ </w:t>
          </w:r>
          <w:r w:rsidR="00CC1788" w:rsidRPr="0053182F">
            <w:rPr>
              <w:i/>
              <w:iCs/>
            </w:rPr>
            <w:t>et al.</w:t>
          </w:r>
          <w:r w:rsidR="00CC1788" w:rsidRPr="0053182F">
            <w:t>, 2020)</w:t>
          </w:r>
        </w:sdtContent>
      </w:sdt>
      <w:r w:rsidRPr="0053182F">
        <w:rPr>
          <w:rStyle w:val="normaltextrun"/>
          <w:rFonts w:eastAsiaTheme="minorEastAsia"/>
          <w:lang w:eastAsia="en-US"/>
        </w:rPr>
        <w:t>. It can be noticed that trade union activists are a p</w:t>
      </w:r>
      <w:r w:rsidR="00CC19F4" w:rsidRPr="0053182F">
        <w:rPr>
          <w:rStyle w:val="normaltextrun"/>
          <w:rFonts w:eastAsiaTheme="minorEastAsia"/>
          <w:lang w:eastAsia="en-US"/>
        </w:rPr>
        <w:t>ot</w:t>
      </w:r>
      <w:r w:rsidRPr="0053182F">
        <w:rPr>
          <w:rStyle w:val="normaltextrun"/>
          <w:rFonts w:eastAsiaTheme="minorEastAsia"/>
          <w:lang w:eastAsia="en-US"/>
        </w:rPr>
        <w:t>ent tool against MS.</w:t>
      </w:r>
    </w:p>
    <w:p w14:paraId="21086C83" w14:textId="78F42CEA" w:rsidR="00144866" w:rsidRPr="0053182F" w:rsidRDefault="00144866" w:rsidP="00144866">
      <w:pPr>
        <w:pStyle w:val="NormalWeb"/>
        <w:spacing w:before="0" w:beforeAutospacing="0" w:after="0" w:afterAutospacing="0" w:line="480" w:lineRule="auto"/>
        <w:ind w:firstLine="720"/>
        <w:jc w:val="both"/>
        <w:rPr>
          <w:rStyle w:val="normaltextrun"/>
          <w:rFonts w:eastAsiaTheme="minorEastAsia"/>
          <w:lang w:eastAsia="en-US"/>
        </w:rPr>
      </w:pPr>
      <w:r w:rsidRPr="0053182F">
        <w:rPr>
          <w:rStyle w:val="normaltextrun"/>
          <w:rFonts w:eastAsiaTheme="minorEastAsia"/>
          <w:lang w:eastAsia="en-US"/>
        </w:rPr>
        <w:t>Collective bargaining rights can play a crucial role in combating CMS practices by empowering workers to negotiate better working conditions, fair wages, and improved labour protections (</w:t>
      </w:r>
      <w:sdt>
        <w:sdtPr>
          <w:rPr>
            <w:rStyle w:val="normaltextrun"/>
            <w:rFonts w:eastAsiaTheme="minorEastAsia"/>
            <w:lang w:eastAsia="en-US"/>
          </w:rPr>
          <w:tag w:val="MENDELEY_CITATION_v3_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"/>
          <w:id w:val="1251621178"/>
          <w:placeholder>
            <w:docPart w:val="217A5ED73C454082A27639B4ACA29D15"/>
          </w:placeholder>
        </w:sdtPr>
        <w:sdtContent>
          <w:r w:rsidR="00CC1788" w:rsidRPr="0053182F">
            <w:rPr>
              <w:rStyle w:val="normaltextrun"/>
              <w:rFonts w:eastAsiaTheme="minorEastAsia"/>
              <w:lang w:eastAsia="en-US"/>
            </w:rPr>
            <w:t>Kuruvilla and Li, 2021)</w:t>
          </w:r>
        </w:sdtContent>
      </w:sdt>
      <w:r w:rsidRPr="0053182F">
        <w:rPr>
          <w:rStyle w:val="normaltextrun"/>
          <w:rFonts w:eastAsiaTheme="minorEastAsia"/>
          <w:lang w:eastAsia="en-US"/>
        </w:rPr>
        <w:t xml:space="preserve">. Also, freedom of association and collective bargaining can be considered fundamental tools </w:t>
      </w:r>
      <w:r w:rsidR="00CC19F4" w:rsidRPr="0053182F">
        <w:rPr>
          <w:rStyle w:val="normaltextrun"/>
          <w:rFonts w:eastAsiaTheme="minorEastAsia"/>
          <w:lang w:eastAsia="en-US"/>
        </w:rPr>
        <w:t>for achieving UN-SDG 8:</w:t>
      </w:r>
      <w:r w:rsidRPr="0053182F">
        <w:rPr>
          <w:rStyle w:val="normaltextrun"/>
          <w:rFonts w:eastAsiaTheme="minorEastAsia"/>
          <w:lang w:eastAsia="en-US"/>
        </w:rPr>
        <w:t xml:space="preserve">ecent work </w:t>
      </w:r>
      <w:sdt>
        <w:sdtPr>
          <w:rPr>
            <w:rStyle w:val="normaltextrun"/>
            <w:rFonts w:eastAsiaTheme="minorEastAsia"/>
            <w:lang w:eastAsia="en-US"/>
          </w:rPr>
          <w:tag w:val="MENDELEY_CITATION_v3_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"/>
          <w:id w:val="-709946400"/>
          <w:placeholder>
            <w:docPart w:val="AA013CA411AB4567B19B9C071162A3FB"/>
          </w:placeholder>
        </w:sdtPr>
        <w:sdtContent>
          <w:r w:rsidR="00CC1788" w:rsidRPr="0053182F">
            <w:rPr>
              <w:rStyle w:val="normaltextrun"/>
              <w:rFonts w:eastAsiaTheme="minorEastAsia"/>
              <w:lang w:eastAsia="en-US"/>
            </w:rPr>
            <w:t>(Kuruvilla and Li, 2021)</w:t>
          </w:r>
        </w:sdtContent>
      </w:sdt>
      <w:r w:rsidRPr="0053182F">
        <w:rPr>
          <w:rStyle w:val="normaltextrun"/>
          <w:rFonts w:eastAsiaTheme="minorEastAsia"/>
          <w:lang w:eastAsia="en-US"/>
        </w:rPr>
        <w:t xml:space="preserve">. The Global Rights Index created by the International Trade Union Confederation provides an overview of workers' rights worldwide. It assesses countries based on indicators such as collective bargaining rights, freedom of association, and the extent of labour exploitation. The report sheds light on the value of substantial collective bargaining rights in preventing CMS </w:t>
      </w:r>
      <w:sdt>
        <w:sdtPr>
          <w:rPr>
            <w:rStyle w:val="normaltextrun"/>
            <w:rFonts w:eastAsiaTheme="minorEastAsia"/>
            <w:lang w:eastAsia="en-US"/>
          </w:rPr>
          <w:tag w:val="MENDELEY_CITATION_v3_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"/>
          <w:id w:val="929852562"/>
          <w:placeholder>
            <w:docPart w:val="1A49F1A1721244F8A8A1EE2C9D7374A5"/>
          </w:placeholder>
        </w:sdtPr>
        <w:sdtContent>
          <w:r w:rsidR="00CC1788" w:rsidRPr="0053182F">
            <w:rPr>
              <w:rStyle w:val="normaltextrun"/>
              <w:rFonts w:eastAsiaTheme="minorEastAsia"/>
              <w:lang w:eastAsia="en-US"/>
            </w:rPr>
            <w:t>(International Trade Union Confederation (ITUC), 2022)</w:t>
          </w:r>
        </w:sdtContent>
      </w:sdt>
      <w:r w:rsidRPr="0053182F">
        <w:rPr>
          <w:rStyle w:val="normaltextrun"/>
          <w:rFonts w:eastAsiaTheme="minorEastAsia"/>
          <w:lang w:eastAsia="en-US"/>
        </w:rPr>
        <w:t>. Also, t</w:t>
      </w:r>
      <w:r w:rsidR="00D235EB" w:rsidRPr="0053182F">
        <w:rPr>
          <w:rStyle w:val="normaltextrun"/>
          <w:rFonts w:eastAsiaTheme="minorEastAsia"/>
          <w:lang w:eastAsia="en-US"/>
        </w:rPr>
        <w:t>rade unions' role in opposing CMS is vital,</w:t>
      </w:r>
      <w:r w:rsidRPr="0053182F">
        <w:rPr>
          <w:rStyle w:val="normaltextrun"/>
          <w:rFonts w:eastAsiaTheme="minorEastAsia"/>
          <w:lang w:eastAsia="en-US"/>
        </w:rPr>
        <w:t xml:space="preserve"> as they have a solid understanding of these practices. Therefore, it can be argued that trade unions have the power and ability to discuss the strategies to address CMS practices and utilise their collective bargaining rights to secure working conditions and protection against exploitation </w:t>
      </w:r>
      <w:sdt>
        <w:sdtPr>
          <w:rPr>
            <w:rStyle w:val="normaltextrun"/>
            <w:rFonts w:eastAsiaTheme="minorEastAsia"/>
            <w:lang w:eastAsia="en-US"/>
          </w:rPr>
          <w:tag w:val="MENDELEY_CITATION_v3_eyJjaXRhdGlvbklEIjoiTUVOREVMRVlfQ0lUQVRJT05fZTA0MmRjMjEtOTI4Yi00YThmLWI5OWQtZmRhNTNhYzY3YmJj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V19"/>
          <w:id w:val="-230317173"/>
          <w:placeholder>
            <w:docPart w:val="320557B9148F400D983F1E54B57D3696"/>
          </w:placeholder>
        </w:sdtPr>
        <w:sdtContent>
          <w:r w:rsidR="00CC1788" w:rsidRPr="0053182F">
            <w:rPr>
              <w:rStyle w:val="normaltextrun"/>
              <w:rFonts w:eastAsiaTheme="minorEastAsia"/>
              <w:lang w:eastAsia="en-US"/>
            </w:rPr>
            <w:t>(Crane, 2013)</w:t>
          </w:r>
        </w:sdtContent>
      </w:sdt>
      <w:r w:rsidRPr="0053182F">
        <w:rPr>
          <w:rStyle w:val="normaltextrun"/>
          <w:rFonts w:eastAsiaTheme="minorEastAsia"/>
          <w:lang w:eastAsia="en-US"/>
        </w:rPr>
        <w:t>.</w:t>
      </w:r>
    </w:p>
    <w:p w14:paraId="5B379A5B" w14:textId="55D64CB5" w:rsidR="00144866" w:rsidRPr="0053182F" w:rsidRDefault="00144866" w:rsidP="00144866">
      <w:pPr>
        <w:pStyle w:val="NormalWeb"/>
        <w:spacing w:before="0" w:beforeAutospacing="0" w:after="0" w:afterAutospacing="0" w:line="480" w:lineRule="auto"/>
        <w:ind w:firstLine="720"/>
        <w:jc w:val="both"/>
        <w:rPr>
          <w:rStyle w:val="normaltextrun"/>
          <w:rFonts w:eastAsiaTheme="minorEastAsia"/>
          <w:lang w:eastAsia="en-US"/>
        </w:rPr>
      </w:pPr>
      <w:r w:rsidRPr="0053182F">
        <w:rPr>
          <w:rStyle w:val="normaltextrun"/>
          <w:rFonts w:eastAsiaTheme="minorEastAsia"/>
          <w:lang w:eastAsia="en-US"/>
        </w:rPr>
        <w:t xml:space="preserve">The growing trend of enhancing female representation on corporate boards has become increasingly visible worldwide </w:t>
      </w:r>
      <w:sdt>
        <w:sdtPr>
          <w:rPr>
            <w:rStyle w:val="normaltextrun"/>
            <w:rFonts w:eastAsiaTheme="minorEastAsia"/>
            <w:lang w:eastAsia="en-US"/>
          </w:rPr>
          <w:tag w:val="MENDELEY_CITATION_v3_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"/>
          <w:id w:val="106619784"/>
          <w:placeholder>
            <w:docPart w:val="1D650EFBC49C4B17A03A97BFCED9979A"/>
          </w:placeholder>
        </w:sdtPr>
        <w:sdtContent>
          <w:r w:rsidR="00CC1788" w:rsidRPr="0053182F">
            <w:rPr>
              <w:rStyle w:val="normaltextrun"/>
              <w:rFonts w:eastAsiaTheme="minorEastAsia"/>
              <w:lang w:eastAsia="en-US"/>
            </w:rPr>
            <w:t>(Adams, 2016; Deloitte Global, 2022)</w:t>
          </w:r>
        </w:sdtContent>
      </w:sdt>
      <w:r w:rsidRPr="0053182F">
        <w:rPr>
          <w:rStyle w:val="normaltextrun"/>
          <w:rFonts w:eastAsiaTheme="minorEastAsia"/>
          <w:lang w:eastAsia="en-US"/>
        </w:rPr>
        <w:t xml:space="preserve">. It has been gradually increasing during </w:t>
      </w:r>
      <w:r w:rsidR="00D235EB" w:rsidRPr="0053182F">
        <w:rPr>
          <w:rStyle w:val="normaltextrun"/>
          <w:rFonts w:eastAsiaTheme="minorEastAsia"/>
          <w:lang w:eastAsia="en-US"/>
        </w:rPr>
        <w:t xml:space="preserve">the </w:t>
      </w:r>
      <w:r w:rsidRPr="0053182F">
        <w:rPr>
          <w:rStyle w:val="normaltextrun"/>
          <w:rFonts w:eastAsiaTheme="minorEastAsia"/>
          <w:lang w:eastAsia="en-US"/>
        </w:rPr>
        <w:t>last few years. Moreover, gender diversity in corporate leadership has garnered significant attention in recent years, with many organi</w:t>
      </w:r>
      <w:r w:rsidR="00D235EB" w:rsidRPr="0053182F">
        <w:rPr>
          <w:rStyle w:val="normaltextrun"/>
          <w:rFonts w:eastAsiaTheme="minorEastAsia"/>
          <w:lang w:eastAsia="en-US"/>
        </w:rPr>
        <w:t>s</w:t>
      </w:r>
      <w:r w:rsidRPr="0053182F">
        <w:rPr>
          <w:rStyle w:val="normaltextrun"/>
          <w:rFonts w:eastAsiaTheme="minorEastAsia"/>
          <w:lang w:eastAsia="en-US"/>
        </w:rPr>
        <w:t>ations and policymakers recogni</w:t>
      </w:r>
      <w:r w:rsidR="00D235EB" w:rsidRPr="0053182F">
        <w:rPr>
          <w:rStyle w:val="normaltextrun"/>
          <w:rFonts w:eastAsiaTheme="minorEastAsia"/>
          <w:lang w:eastAsia="en-US"/>
        </w:rPr>
        <w:t>s</w:t>
      </w:r>
      <w:r w:rsidRPr="0053182F">
        <w:rPr>
          <w:rStyle w:val="normaltextrun"/>
          <w:rFonts w:eastAsiaTheme="minorEastAsia"/>
          <w:lang w:eastAsia="en-US"/>
        </w:rPr>
        <w:t xml:space="preserve">ing </w:t>
      </w:r>
      <w:r w:rsidR="00D235EB" w:rsidRPr="0053182F">
        <w:rPr>
          <w:rStyle w:val="normaltextrun"/>
          <w:rFonts w:eastAsiaTheme="minorEastAsia"/>
          <w:lang w:eastAsia="en-US"/>
        </w:rPr>
        <w:t>its potential benefits</w:t>
      </w:r>
      <w:r w:rsidRPr="0053182F">
        <w:rPr>
          <w:rStyle w:val="normaltextrun"/>
          <w:rFonts w:eastAsiaTheme="minorEastAsia"/>
          <w:lang w:eastAsia="en-US"/>
        </w:rPr>
        <w:t xml:space="preserve">. Gender diversity on boards is often regarded as an essential component of CSR and </w:t>
      </w:r>
      <w:r w:rsidR="00D235EB" w:rsidRPr="0053182F">
        <w:rPr>
          <w:rStyle w:val="normaltextrun"/>
          <w:rFonts w:eastAsiaTheme="minorEastAsia"/>
          <w:lang w:eastAsia="en-US"/>
        </w:rPr>
        <w:t>as a step towards addressing g</w:t>
      </w:r>
      <w:r w:rsidRPr="0053182F">
        <w:rPr>
          <w:rStyle w:val="normaltextrun"/>
          <w:rFonts w:eastAsiaTheme="minorEastAsia"/>
          <w:lang w:eastAsia="en-US"/>
        </w:rPr>
        <w:t xml:space="preserve">ender inequality in the business world </w:t>
      </w:r>
      <w:sdt>
        <w:sdtPr>
          <w:rPr>
            <w:rStyle w:val="normaltextrun"/>
            <w:rFonts w:eastAsiaTheme="minorEastAsia"/>
            <w:lang w:eastAsia="en-US"/>
          </w:rPr>
          <w:tag w:val="MENDELEY_CITATION_v3_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"/>
          <w:id w:val="-1104339138"/>
          <w:placeholder>
            <w:docPart w:val="26830A70943F45A0B539767B85CB533A"/>
          </w:placeholder>
        </w:sdtPr>
        <w:sdtContent>
          <w:r w:rsidR="00CC1788" w:rsidRPr="0053182F">
            <w:t xml:space="preserve">(European Union, 2022; Kyaw </w:t>
          </w:r>
          <w:r w:rsidR="00CC1788" w:rsidRPr="0053182F">
            <w:rPr>
              <w:i/>
              <w:iCs/>
            </w:rPr>
            <w:t>et al.</w:t>
          </w:r>
          <w:r w:rsidR="00CC1788" w:rsidRPr="0053182F">
            <w:t xml:space="preserve">, 2022; Pini </w:t>
          </w:r>
          <w:r w:rsidR="00CC1788" w:rsidRPr="0053182F">
            <w:rPr>
              <w:i/>
              <w:iCs/>
            </w:rPr>
            <w:t>et al.</w:t>
          </w:r>
          <w:r w:rsidR="00CC1788" w:rsidRPr="0053182F">
            <w:t>, 2010; Villesèche and Sinani Evis, 2021)</w:t>
          </w:r>
        </w:sdtContent>
      </w:sdt>
      <w:r w:rsidRPr="0053182F">
        <w:rPr>
          <w:rStyle w:val="normaltextrun"/>
          <w:rFonts w:eastAsiaTheme="minorEastAsia"/>
          <w:lang w:eastAsia="en-US"/>
        </w:rPr>
        <w:t xml:space="preserve">. </w:t>
      </w:r>
    </w:p>
    <w:p w14:paraId="7F297ACF" w14:textId="64E55984" w:rsidR="00144866" w:rsidRPr="0053182F" w:rsidRDefault="00144866" w:rsidP="00144866">
      <w:pPr>
        <w:pStyle w:val="NormalWeb"/>
        <w:spacing w:before="0" w:beforeAutospacing="0" w:after="0" w:afterAutospacing="0" w:line="480" w:lineRule="auto"/>
        <w:ind w:firstLine="720"/>
        <w:jc w:val="both"/>
        <w:rPr>
          <w:rStyle w:val="normaltextrun"/>
          <w:rFonts w:eastAsiaTheme="minorEastAsia"/>
          <w:lang w:eastAsia="en-US"/>
        </w:rPr>
      </w:pPr>
      <w:r w:rsidRPr="0053182F">
        <w:rPr>
          <w:rStyle w:val="normaltextrun"/>
          <w:rFonts w:eastAsiaTheme="minorEastAsia"/>
          <w:lang w:eastAsia="en-US"/>
        </w:rPr>
        <w:t xml:space="preserve">Concurrently, increasing the representation of women on corporate boards has gained significant momentum globally as part of sustainability efforts </w:t>
      </w:r>
      <w:r w:rsidR="00003B6D" w:rsidRPr="0053182F">
        <w:rPr>
          <w:rStyle w:val="normaltextrun"/>
          <w:rFonts w:eastAsiaTheme="minorEastAsia"/>
          <w:lang w:eastAsia="en-US"/>
        </w:rPr>
        <w:t>to address</w:t>
      </w:r>
      <w:r w:rsidRPr="0053182F">
        <w:rPr>
          <w:rStyle w:val="normaltextrun"/>
          <w:rFonts w:eastAsiaTheme="minorEastAsia"/>
          <w:lang w:eastAsia="en-US"/>
        </w:rPr>
        <w:t xml:space="preserve"> gender inequality </w:t>
      </w:r>
      <w:sdt>
        <w:sdtPr>
          <w:rPr>
            <w:rStyle w:val="normaltextrun"/>
            <w:rFonts w:eastAsiaTheme="minorEastAsia"/>
            <w:lang w:eastAsia="en-US"/>
          </w:rPr>
          <w:tag w:val="MENDELEY_CITATION_v3_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"/>
          <w:id w:val="-1847243707"/>
          <w:placeholder>
            <w:docPart w:val="26830A70943F45A0B539767B85CB533A"/>
          </w:placeholder>
        </w:sdtPr>
        <w:sdtContent>
          <w:r w:rsidR="00CC1788" w:rsidRPr="0053182F">
            <w:t xml:space="preserve">(Beji </w:t>
          </w:r>
          <w:r w:rsidR="00CC1788" w:rsidRPr="0053182F">
            <w:rPr>
              <w:i/>
              <w:iCs/>
            </w:rPr>
            <w:t>et al.</w:t>
          </w:r>
          <w:r w:rsidR="00CC1788" w:rsidRPr="0053182F">
            <w:t>, 2021)</w:t>
          </w:r>
        </w:sdtContent>
      </w:sdt>
      <w:r w:rsidRPr="0053182F">
        <w:rPr>
          <w:rStyle w:val="normaltextrun"/>
          <w:rFonts w:eastAsiaTheme="minorEastAsia"/>
          <w:lang w:eastAsia="en-US"/>
        </w:rPr>
        <w:t xml:space="preserve">. According to the </w:t>
      </w:r>
      <w:sdt>
        <w:sdtPr>
          <w:rPr>
            <w:rStyle w:val="normaltextrun"/>
            <w:rFonts w:eastAsiaTheme="minorEastAsia"/>
            <w:lang w:eastAsia="en-US"/>
          </w:rPr>
          <w:tag w:val="MENDELEY_CITATION_v3_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"/>
          <w:id w:val="947665746"/>
          <w:placeholder>
            <w:docPart w:val="26830A70943F45A0B539767B85CB533A"/>
          </w:placeholder>
        </w:sdtPr>
        <w:sdtContent>
          <w:r w:rsidR="000A32FF" w:rsidRPr="0053182F">
            <w:rPr>
              <w:rStyle w:val="normaltextrun"/>
              <w:rFonts w:eastAsiaTheme="minorEastAsia"/>
              <w:lang w:eastAsia="en-US"/>
            </w:rPr>
            <w:t>Deloitte Global (2022)</w:t>
          </w:r>
        </w:sdtContent>
      </w:sdt>
      <w:r w:rsidRPr="0053182F">
        <w:rPr>
          <w:rStyle w:val="normaltextrun"/>
          <w:rFonts w:eastAsiaTheme="minorEastAsia"/>
          <w:lang w:eastAsia="en-US"/>
        </w:rPr>
        <w:t xml:space="preserve"> report, </w:t>
      </w:r>
      <w:r w:rsidR="00D235EB" w:rsidRPr="0053182F">
        <w:rPr>
          <w:rStyle w:val="normaltextrun"/>
          <w:rFonts w:eastAsiaTheme="minorEastAsia"/>
          <w:lang w:eastAsia="en-US"/>
        </w:rPr>
        <w:t xml:space="preserve">the number of </w:t>
      </w:r>
      <w:r w:rsidRPr="0053182F">
        <w:rPr>
          <w:rStyle w:val="normaltextrun"/>
          <w:rFonts w:eastAsiaTheme="minorEastAsia"/>
          <w:lang w:eastAsia="en-US"/>
        </w:rPr>
        <w:t>board seat</w:t>
      </w:r>
      <w:r w:rsidR="00D235EB" w:rsidRPr="0053182F">
        <w:rPr>
          <w:rStyle w:val="normaltextrun"/>
          <w:rFonts w:eastAsiaTheme="minorEastAsia"/>
          <w:lang w:eastAsia="en-US"/>
        </w:rPr>
        <w:t>s</w:t>
      </w:r>
      <w:r w:rsidRPr="0053182F">
        <w:rPr>
          <w:rStyle w:val="normaltextrun"/>
          <w:rFonts w:eastAsiaTheme="minorEastAsia"/>
          <w:lang w:eastAsia="en-US"/>
        </w:rPr>
        <w:t xml:space="preserve"> held by women has gradually increased from 15 per</w:t>
      </w:r>
      <w:r w:rsidR="00D235EB" w:rsidRPr="0053182F">
        <w:rPr>
          <w:rStyle w:val="normaltextrun"/>
          <w:rFonts w:eastAsiaTheme="minorEastAsia"/>
          <w:lang w:eastAsia="en-US"/>
        </w:rPr>
        <w:t xml:space="preserve"> </w:t>
      </w:r>
      <w:r w:rsidRPr="0053182F">
        <w:rPr>
          <w:rStyle w:val="normaltextrun"/>
          <w:rFonts w:eastAsiaTheme="minorEastAsia"/>
          <w:lang w:eastAsia="en-US"/>
        </w:rPr>
        <w:t xml:space="preserve">cent in 2016 to 19.7 </w:t>
      </w:r>
      <w:r w:rsidR="00B4639C" w:rsidRPr="0053182F">
        <w:rPr>
          <w:rStyle w:val="normaltextrun"/>
          <w:rFonts w:eastAsiaTheme="minorEastAsia"/>
          <w:lang w:eastAsia="en-US"/>
        </w:rPr>
        <w:t xml:space="preserve">per cent </w:t>
      </w:r>
      <w:r w:rsidRPr="0053182F">
        <w:rPr>
          <w:rStyle w:val="normaltextrun"/>
          <w:rFonts w:eastAsiaTheme="minorEastAsia"/>
          <w:lang w:eastAsia="en-US"/>
        </w:rPr>
        <w:t xml:space="preserve">in 2021. Also, this report revealed that women in </w:t>
      </w:r>
      <w:r w:rsidR="00B4639C" w:rsidRPr="0053182F">
        <w:rPr>
          <w:rStyle w:val="normaltextrun"/>
          <w:rFonts w:eastAsiaTheme="minorEastAsia"/>
          <w:lang w:eastAsia="en-US"/>
        </w:rPr>
        <w:t xml:space="preserve">the C-suite have increased slowly from 3.9 per cent (2016) to 5 per </w:t>
      </w:r>
      <w:r w:rsidRPr="0053182F">
        <w:rPr>
          <w:rStyle w:val="normaltextrun"/>
          <w:rFonts w:eastAsiaTheme="minorEastAsia"/>
          <w:lang w:eastAsia="en-US"/>
        </w:rPr>
        <w:t>cent (2021). However, gender diversity on boards is not directly related to MS</w:t>
      </w:r>
      <w:r w:rsidR="00B4639C" w:rsidRPr="0053182F">
        <w:rPr>
          <w:rStyle w:val="normaltextrun"/>
          <w:rFonts w:eastAsiaTheme="minorEastAsia"/>
          <w:lang w:eastAsia="en-US"/>
        </w:rPr>
        <w:t>;</w:t>
      </w:r>
      <w:r w:rsidRPr="0053182F">
        <w:rPr>
          <w:rStyle w:val="normaltextrun"/>
          <w:rFonts w:eastAsiaTheme="minorEastAsia"/>
          <w:lang w:eastAsia="en-US"/>
        </w:rPr>
        <w:t xml:space="preserve"> it shares the broader objective of promoting ethical practices and responsible corporate behaviour </w:t>
      </w:r>
      <w:sdt>
        <w:sdtPr>
          <w:rPr>
            <w:rStyle w:val="normaltextrun"/>
            <w:rFonts w:eastAsiaTheme="minorEastAsia"/>
            <w:lang w:eastAsia="en-US"/>
          </w:rPr>
          <w:tag w:val="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"/>
          <w:id w:val="-1354335929"/>
          <w:placeholder>
            <w:docPart w:val="26830A70943F45A0B539767B85CB533A"/>
          </w:placeholder>
        </w:sdtPr>
        <w:sdtContent>
          <w:r w:rsidR="00CC1788" w:rsidRPr="0053182F">
            <w:t xml:space="preserve">(Kuzey </w:t>
          </w:r>
          <w:r w:rsidR="00CC1788" w:rsidRPr="0053182F">
            <w:rPr>
              <w:i/>
              <w:iCs/>
            </w:rPr>
            <w:t>et al.</w:t>
          </w:r>
          <w:r w:rsidR="00CC1788" w:rsidRPr="0053182F">
            <w:t xml:space="preserve">, 2022; Nadeem </w:t>
          </w:r>
          <w:r w:rsidR="00CC1788" w:rsidRPr="0053182F">
            <w:rPr>
              <w:i/>
              <w:iCs/>
            </w:rPr>
            <w:t>et al.</w:t>
          </w:r>
          <w:r w:rsidR="00CC1788" w:rsidRPr="0053182F">
            <w:t>, 2017; S&amp;P Global, 2021; Yadav and Prashar, 2022)</w:t>
          </w:r>
        </w:sdtContent>
      </w:sdt>
      <w:r w:rsidRPr="0053182F">
        <w:rPr>
          <w:rStyle w:val="normaltextrun"/>
          <w:rFonts w:eastAsiaTheme="minorEastAsia"/>
          <w:lang w:eastAsia="en-US"/>
        </w:rPr>
        <w:t xml:space="preserve">. The push for gender diversity on boards reflects a commitment to gender equality and is one facet of fostering a socially responsible corporate culture, which aligns with broader sustainability objectives </w:t>
      </w:r>
      <w:sdt>
        <w:sdtPr>
          <w:rPr>
            <w:rStyle w:val="normaltextrun"/>
            <w:rFonts w:eastAsiaTheme="minorEastAsia"/>
            <w:lang w:eastAsia="en-US"/>
          </w:rPr>
          <w:tag w:val="MENDELEY_CITATION_v3_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"/>
          <w:id w:val="-593940012"/>
          <w:placeholder>
            <w:docPart w:val="26830A70943F45A0B539767B85CB533A"/>
          </w:placeholder>
        </w:sdtPr>
        <w:sdtContent>
          <w:r w:rsidR="00CC1788" w:rsidRPr="0053182F">
            <w:t xml:space="preserve">(Kuzey </w:t>
          </w:r>
          <w:r w:rsidR="00CC1788" w:rsidRPr="0053182F">
            <w:rPr>
              <w:i/>
              <w:iCs/>
            </w:rPr>
            <w:t>et al.</w:t>
          </w:r>
          <w:r w:rsidR="00CC1788" w:rsidRPr="0053182F">
            <w:t xml:space="preserve">, 2022; Nadeem </w:t>
          </w:r>
          <w:r w:rsidR="00CC1788" w:rsidRPr="0053182F">
            <w:rPr>
              <w:i/>
              <w:iCs/>
            </w:rPr>
            <w:t>et al.</w:t>
          </w:r>
          <w:r w:rsidR="00CC1788" w:rsidRPr="0053182F">
            <w:t>, 2017)</w:t>
          </w:r>
        </w:sdtContent>
      </w:sdt>
      <w:r w:rsidRPr="0053182F">
        <w:rPr>
          <w:rStyle w:val="normaltextrun"/>
          <w:rFonts w:eastAsiaTheme="minorEastAsia"/>
          <w:lang w:eastAsia="en-US"/>
        </w:rPr>
        <w:t>.</w:t>
      </w:r>
    </w:p>
    <w:p w14:paraId="6179DFC5" w14:textId="4C4F3511" w:rsidR="001052EC" w:rsidRPr="0053182F" w:rsidRDefault="00B4639C" w:rsidP="001052EC">
      <w:pPr>
        <w:spacing w:line="480" w:lineRule="auto"/>
        <w:ind w:firstLine="720"/>
        <w:jc w:val="both"/>
      </w:pPr>
      <w:r w:rsidRPr="0053182F">
        <w:rPr>
          <w:rStyle w:val="normaltextrun"/>
          <w:rFonts w:eastAsiaTheme="minorEastAsia"/>
        </w:rPr>
        <w:t>There</w:t>
      </w:r>
      <w:r w:rsidR="00144866" w:rsidRPr="0053182F">
        <w:rPr>
          <w:rStyle w:val="normaltextrun"/>
          <w:rFonts w:eastAsiaTheme="minorEastAsia"/>
        </w:rPr>
        <w:t xml:space="preserve"> is </w:t>
      </w:r>
      <w:r w:rsidRPr="0053182F">
        <w:rPr>
          <w:rStyle w:val="normaltextrun"/>
          <w:rFonts w:eastAsiaTheme="minorEastAsia"/>
        </w:rPr>
        <w:t xml:space="preserve">a </w:t>
      </w:r>
      <w:r w:rsidR="00144866" w:rsidRPr="0053182F">
        <w:rPr>
          <w:rStyle w:val="normaltextrun"/>
          <w:rFonts w:eastAsiaTheme="minorEastAsia"/>
        </w:rPr>
        <w:t xml:space="preserve">noticeable gap </w:t>
      </w:r>
      <w:r w:rsidRPr="0053182F">
        <w:rPr>
          <w:rStyle w:val="normaltextrun"/>
          <w:rFonts w:eastAsiaTheme="minorEastAsia"/>
        </w:rPr>
        <w:t>i</w:t>
      </w:r>
      <w:r w:rsidR="00144866" w:rsidRPr="0053182F">
        <w:rPr>
          <w:rStyle w:val="normaltextrun"/>
          <w:rFonts w:eastAsiaTheme="minorEastAsia"/>
        </w:rPr>
        <w:t xml:space="preserve">n </w:t>
      </w:r>
      <w:r w:rsidRPr="0053182F">
        <w:rPr>
          <w:rStyle w:val="normaltextrun"/>
          <w:rFonts w:eastAsiaTheme="minorEastAsia"/>
        </w:rPr>
        <w:t xml:space="preserve">the </w:t>
      </w:r>
      <w:r w:rsidR="00144866" w:rsidRPr="0053182F">
        <w:rPr>
          <w:rStyle w:val="normaltextrun"/>
          <w:rFonts w:eastAsiaTheme="minorEastAsia"/>
        </w:rPr>
        <w:t xml:space="preserve">literature </w:t>
      </w:r>
      <w:r w:rsidR="00717A16" w:rsidRPr="0053182F">
        <w:rPr>
          <w:rStyle w:val="normaltextrun"/>
          <w:rFonts w:eastAsiaTheme="minorEastAsia"/>
        </w:rPr>
        <w:t>on the relationship between board independence and MS,</w:t>
      </w:r>
      <w:r w:rsidRPr="0053182F">
        <w:rPr>
          <w:rStyle w:val="normaltextrun"/>
          <w:rFonts w:eastAsiaTheme="minorEastAsia"/>
        </w:rPr>
        <w:t xml:space="preserve"> an important aspect of corporate governance and sustainability (New Steve, 2015)</w:t>
      </w:r>
      <w:r w:rsidR="00144866" w:rsidRPr="0053182F">
        <w:rPr>
          <w:rStyle w:val="normaltextrun"/>
          <w:rFonts w:eastAsiaTheme="minorEastAsia"/>
        </w:rPr>
        <w:t xml:space="preserve">. Only </w:t>
      </w:r>
      <w:r w:rsidRPr="0053182F">
        <w:rPr>
          <w:rStyle w:val="normaltextrun"/>
          <w:rFonts w:eastAsiaTheme="minorEastAsia"/>
        </w:rPr>
        <w:t xml:space="preserve">a </w:t>
      </w:r>
      <w:r w:rsidR="00144866" w:rsidRPr="0053182F">
        <w:rPr>
          <w:rStyle w:val="normaltextrun"/>
          <w:rFonts w:eastAsiaTheme="minorEastAsia"/>
        </w:rPr>
        <w:t xml:space="preserve">limited </w:t>
      </w:r>
      <w:r w:rsidRPr="0053182F">
        <w:rPr>
          <w:rStyle w:val="normaltextrun"/>
          <w:rFonts w:eastAsiaTheme="minorEastAsia"/>
        </w:rPr>
        <w:t xml:space="preserve">number of scholars have explored the connection in the context of combating MS within businesses and supply chains </w:t>
      </w:r>
      <w:sdt>
        <w:sdtPr>
          <w:rPr>
            <w:rStyle w:val="normaltextrun"/>
            <w:rFonts w:eastAsiaTheme="minorEastAsia"/>
          </w:rPr>
          <w:tag w:val="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"/>
          <w:id w:val="-1681111426"/>
          <w:placeholder>
            <w:docPart w:val="5EF52824B00B4D7DADEC9F8A9B2EADDF"/>
          </w:placeholder>
        </w:sdtPr>
        <w:sdtContent>
          <w:r w:rsidR="00CC1788" w:rsidRPr="0053182F">
            <w:rPr>
              <w:rStyle w:val="normaltextrun"/>
              <w:rFonts w:eastAsiaTheme="minorEastAsia"/>
            </w:rPr>
            <w:t>(Flynn, 2020; LeBaron and Rühmkorf, 2017; New, 2015)</w:t>
          </w:r>
        </w:sdtContent>
      </w:sdt>
      <w:r w:rsidR="0072081D" w:rsidRPr="0053182F">
        <w:rPr>
          <w:rStyle w:val="normaltextrun"/>
          <w:rFonts w:eastAsiaTheme="minorEastAsia"/>
        </w:rPr>
        <w:t xml:space="preserve">. </w:t>
      </w:r>
      <w:r w:rsidR="00E2753F" w:rsidRPr="0053182F">
        <w:rPr>
          <w:rStyle w:val="normaltextrun"/>
          <w:rFonts w:eastAsiaTheme="minorEastAsia"/>
        </w:rPr>
        <w:t>Board independence</w:t>
      </w:r>
      <w:r w:rsidR="00097DA3" w:rsidRPr="0053182F">
        <w:rPr>
          <w:rStyle w:val="normaltextrun"/>
          <w:rFonts w:eastAsiaTheme="minorEastAsia"/>
        </w:rPr>
        <w:t>, defined as h</w:t>
      </w:r>
      <w:r w:rsidR="00E2753F" w:rsidRPr="0053182F">
        <w:rPr>
          <w:rStyle w:val="normaltextrun"/>
          <w:rFonts w:eastAsiaTheme="minorEastAsia"/>
        </w:rPr>
        <w:t>aving at least half of the board composed of independent non‑executive directors (outside directors with no material ties to the company)</w:t>
      </w:r>
      <w:r w:rsidR="00092A0A" w:rsidRPr="0053182F">
        <w:rPr>
          <w:rStyle w:val="normaltextrun"/>
          <w:rFonts w:eastAsiaTheme="minorEastAsia"/>
        </w:rPr>
        <w:t xml:space="preserve">, </w:t>
      </w:r>
      <w:r w:rsidR="00097DA3" w:rsidRPr="0053182F">
        <w:rPr>
          <w:rStyle w:val="normaltextrun"/>
          <w:rFonts w:eastAsiaTheme="minorEastAsia"/>
        </w:rPr>
        <w:t>ha</w:t>
      </w:r>
      <w:r w:rsidR="00144866" w:rsidRPr="0053182F">
        <w:rPr>
          <w:rStyle w:val="normaltextrun"/>
          <w:rFonts w:eastAsiaTheme="minorEastAsia"/>
        </w:rPr>
        <w:t xml:space="preserve">s been examined for its potential impact on addressing MS issues </w:t>
      </w:r>
      <w:sdt>
        <w:sdtPr>
          <w:rPr>
            <w:rStyle w:val="normaltextrun"/>
            <w:rFonts w:eastAsiaTheme="minorEastAsia"/>
          </w:rPr>
          <w:tag w:val="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"/>
          <w:id w:val="479893883"/>
          <w:placeholder>
            <w:docPart w:val="7800812E7FB84436A0678D5A11374ECF"/>
          </w:placeholder>
        </w:sdtPr>
        <w:sdtContent>
          <w:r w:rsidR="00CC1788" w:rsidRPr="0053182F">
            <w:rPr>
              <w:rFonts w:eastAsia="Times New Roman"/>
            </w:rPr>
            <w:t xml:space="preserve">(Helfaya and Moussa, 2017; Qiu </w:t>
          </w:r>
          <w:r w:rsidR="00CC1788" w:rsidRPr="0053182F">
            <w:rPr>
              <w:rFonts w:eastAsia="Times New Roman"/>
              <w:i/>
              <w:iCs/>
            </w:rPr>
            <w:t>et al.</w:t>
          </w:r>
          <w:r w:rsidR="00CC1788" w:rsidRPr="0053182F">
            <w:rPr>
              <w:rFonts w:eastAsia="Times New Roman"/>
            </w:rPr>
            <w:t xml:space="preserve">, 2016; Shaukat </w:t>
          </w:r>
          <w:r w:rsidR="00CC1788" w:rsidRPr="0053182F">
            <w:rPr>
              <w:rFonts w:eastAsia="Times New Roman"/>
              <w:i/>
              <w:iCs/>
            </w:rPr>
            <w:t>et al.</w:t>
          </w:r>
          <w:r w:rsidR="00CC1788" w:rsidRPr="0053182F">
            <w:rPr>
              <w:rFonts w:eastAsia="Times New Roman"/>
            </w:rPr>
            <w:t>, 2016)</w:t>
          </w:r>
        </w:sdtContent>
      </w:sdt>
      <w:r w:rsidR="00144866" w:rsidRPr="0053182F">
        <w:rPr>
          <w:rStyle w:val="normaltextrun"/>
          <w:rFonts w:eastAsiaTheme="minorEastAsia"/>
        </w:rPr>
        <w:t xml:space="preserve">. Moreover, </w:t>
      </w:r>
      <w:r w:rsidR="00D81C3B" w:rsidRPr="0053182F">
        <w:rPr>
          <w:rStyle w:val="normaltextrun"/>
          <w:rFonts w:eastAsiaTheme="minorEastAsia"/>
        </w:rPr>
        <w:t xml:space="preserve">the study by </w:t>
      </w:r>
      <w:sdt>
        <w:sdtPr>
          <w:tag w:val="MENDELEY_CITATION_v3_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"/>
          <w:id w:val="-237406041"/>
          <w:placeholder>
            <w:docPart w:val="6BEC7F0892DF4FC79AA103F8AC34DE5C"/>
          </w:placeholder>
        </w:sdtPr>
        <w:sdtContent>
          <w:r w:rsidR="000A32FF" w:rsidRPr="0053182F">
            <w:rPr>
              <w:rFonts w:eastAsia="Times New Roman"/>
            </w:rPr>
            <w:t>Shaukat et al  (2016)</w:t>
          </w:r>
        </w:sdtContent>
      </w:sdt>
    </w:p>
    <w:p w14:paraId="75594AA9" w14:textId="1B8A6242" w:rsidR="00144866" w:rsidRPr="0053182F" w:rsidRDefault="00717A16" w:rsidP="001052EC">
      <w:pPr>
        <w:spacing w:line="480" w:lineRule="auto"/>
        <w:jc w:val="both"/>
        <w:rPr>
          <w:rStyle w:val="normaltextrun"/>
          <w:rFonts w:eastAsiaTheme="minorEastAsia"/>
        </w:rPr>
      </w:pPr>
      <w:r w:rsidRPr="0053182F">
        <w:rPr>
          <w:rStyle w:val="normaltextrun"/>
          <w:rFonts w:eastAsiaTheme="minorEastAsia"/>
        </w:rPr>
        <w:t>found</w:t>
      </w:r>
      <w:r w:rsidR="00144866" w:rsidRPr="0053182F">
        <w:rPr>
          <w:rStyle w:val="normaltextrun"/>
          <w:rFonts w:eastAsiaTheme="minorEastAsia"/>
        </w:rPr>
        <w:t xml:space="preserve"> that board independence can enhance a company's ethical and socially responsible practices. Independent directors often bring diverse perspectives and a focus on compliance and ethical considerations, making them valuable in addressing social and environmental concerns </w:t>
      </w:r>
      <w:sdt>
        <w:sdtPr>
          <w:rPr>
            <w:rStyle w:val="normaltextrun"/>
            <w:rFonts w:eastAsiaTheme="minorEastAsia"/>
          </w:rPr>
          <w:tag w:val="MENDELEY_CITATION_v3_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"/>
          <w:id w:val="-139353675"/>
          <w:placeholder>
            <w:docPart w:val="7800812E7FB84436A0678D5A11374ECF"/>
          </w:placeholder>
        </w:sdtPr>
        <w:sdtContent>
          <w:r w:rsidR="00CC1788" w:rsidRPr="0053182F">
            <w:rPr>
              <w:rFonts w:eastAsia="Times New Roman"/>
            </w:rPr>
            <w:t xml:space="preserve">(Cuadrado-Ballesteros </w:t>
          </w:r>
          <w:r w:rsidR="00CC1788" w:rsidRPr="0053182F">
            <w:rPr>
              <w:rFonts w:eastAsia="Times New Roman"/>
              <w:i/>
              <w:iCs/>
            </w:rPr>
            <w:t>et al.</w:t>
          </w:r>
          <w:r w:rsidR="00CC1788" w:rsidRPr="0053182F">
            <w:rPr>
              <w:rFonts w:eastAsia="Times New Roman"/>
            </w:rPr>
            <w:t>, 2015; Helfaya and Moussa, 2017)</w:t>
          </w:r>
        </w:sdtContent>
      </w:sdt>
      <w:r w:rsidR="00144866" w:rsidRPr="0053182F">
        <w:rPr>
          <w:rStyle w:val="normaltextrun"/>
          <w:rFonts w:eastAsiaTheme="minorEastAsia"/>
        </w:rPr>
        <w:t xml:space="preserve">. </w:t>
      </w:r>
    </w:p>
    <w:p w14:paraId="7D923226" w14:textId="654B28BA" w:rsidR="00144866" w:rsidRPr="0053182F" w:rsidRDefault="00144866" w:rsidP="00144866">
      <w:pPr>
        <w:pStyle w:val="NormalWeb"/>
        <w:spacing w:before="0" w:beforeAutospacing="0" w:after="0" w:afterAutospacing="0" w:line="480" w:lineRule="auto"/>
        <w:ind w:firstLine="720"/>
        <w:jc w:val="both"/>
        <w:rPr>
          <w:rStyle w:val="normaltextrun"/>
          <w:rFonts w:eastAsiaTheme="minorEastAsia"/>
          <w:lang w:eastAsia="en-US"/>
        </w:rPr>
      </w:pPr>
      <w:r w:rsidRPr="0053182F">
        <w:rPr>
          <w:rStyle w:val="normaltextrun"/>
          <w:rFonts w:eastAsiaTheme="minorEastAsia"/>
          <w:lang w:eastAsia="en-US"/>
        </w:rPr>
        <w:t xml:space="preserve">Nevertheless, relatively little academic attention </w:t>
      </w:r>
      <w:r w:rsidR="00FA70C1" w:rsidRPr="0053182F">
        <w:rPr>
          <w:rStyle w:val="normaltextrun"/>
          <w:rFonts w:eastAsiaTheme="minorEastAsia"/>
          <w:lang w:eastAsia="en-US"/>
        </w:rPr>
        <w:t>has been paid to MNCs' CMS obligations regarding c</w:t>
      </w:r>
      <w:r w:rsidRPr="0053182F">
        <w:rPr>
          <w:rStyle w:val="normaltextrun"/>
          <w:rFonts w:eastAsiaTheme="minorEastAsia"/>
          <w:lang w:eastAsia="en-US"/>
        </w:rPr>
        <w:t xml:space="preserve">orporate reporting </w:t>
      </w:r>
      <w:sdt>
        <w:sdtPr>
          <w:rPr>
            <w:rStyle w:val="normaltextrun"/>
            <w:rFonts w:eastAsiaTheme="minorEastAsia"/>
            <w:lang w:eastAsia="en-US"/>
          </w:rPr>
          <w:tag w:val="MENDELEY_CITATION_v3_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"/>
          <w:id w:val="1506856615"/>
          <w:placeholder>
            <w:docPart w:val="CA3E233CDCE64245B99CC5E739A0F853"/>
          </w:placeholder>
        </w:sdtPr>
        <w:sdtContent>
          <w:r w:rsidR="000A32FF" w:rsidRPr="0053182F">
            <w:rPr>
              <w:rStyle w:val="normaltextrun"/>
              <w:rFonts w:eastAsiaTheme="minorEastAsia"/>
              <w:lang w:eastAsia="en-US"/>
            </w:rPr>
            <w:t>(Islam and McPhail, 2011; Obara and Peattie, 2018)</w:t>
          </w:r>
        </w:sdtContent>
      </w:sdt>
      <w:r w:rsidRPr="0053182F">
        <w:rPr>
          <w:rStyle w:val="normaltextrun"/>
          <w:rFonts w:eastAsiaTheme="minorEastAsia"/>
          <w:lang w:eastAsia="en-US"/>
        </w:rPr>
        <w:t>.</w:t>
      </w:r>
      <w:r w:rsidRPr="0053182F">
        <w:t xml:space="preserve"> </w:t>
      </w:r>
      <w:r w:rsidRPr="0053182F">
        <w:rPr>
          <w:rStyle w:val="normaltextrun"/>
          <w:rFonts w:eastAsiaTheme="minorEastAsia"/>
          <w:lang w:eastAsia="en-US"/>
        </w:rPr>
        <w:t>Many sustainability governance initiatives emphasi</w:t>
      </w:r>
      <w:r w:rsidR="00097DA3" w:rsidRPr="0053182F">
        <w:rPr>
          <w:rStyle w:val="normaltextrun"/>
          <w:rFonts w:eastAsiaTheme="minorEastAsia"/>
          <w:lang w:eastAsia="en-US"/>
        </w:rPr>
        <w:t>s</w:t>
      </w:r>
      <w:r w:rsidRPr="0053182F">
        <w:rPr>
          <w:rStyle w:val="normaltextrun"/>
          <w:rFonts w:eastAsiaTheme="minorEastAsia"/>
          <w:lang w:eastAsia="en-US"/>
        </w:rPr>
        <w:t>e the importance of training and capacity building. Companies can provide training to their employees and suppliers on recogni</w:t>
      </w:r>
      <w:r w:rsidR="00FA70C1" w:rsidRPr="0053182F">
        <w:rPr>
          <w:rStyle w:val="normaltextrun"/>
          <w:rFonts w:eastAsiaTheme="minorEastAsia"/>
          <w:lang w:eastAsia="en-US"/>
        </w:rPr>
        <w:t>s</w:t>
      </w:r>
      <w:r w:rsidRPr="0053182F">
        <w:rPr>
          <w:rStyle w:val="normaltextrun"/>
          <w:rFonts w:eastAsiaTheme="minorEastAsia"/>
          <w:lang w:eastAsia="en-US"/>
        </w:rPr>
        <w:t xml:space="preserve">ing and addressing CMS issues </w:t>
      </w:r>
      <w:sdt>
        <w:sdtPr>
          <w:rPr>
            <w:rStyle w:val="normaltextrun"/>
            <w:rFonts w:eastAsiaTheme="minorEastAsia"/>
            <w:lang w:eastAsia="en-US"/>
          </w:rPr>
          <w:tag w:val="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"/>
          <w:id w:val="-1889323070"/>
          <w:placeholder>
            <w:docPart w:val="26830A70943F45A0B539767B85CB533A"/>
          </w:placeholder>
        </w:sdtPr>
        <w:sdtContent>
          <w:r w:rsidR="00CC1788" w:rsidRPr="0053182F">
            <w:rPr>
              <w:rStyle w:val="normaltextrun"/>
              <w:rFonts w:eastAsiaTheme="minorEastAsia"/>
              <w:lang w:eastAsia="en-US"/>
            </w:rPr>
            <w:t>(Emeseh and Songi, 2014; Lu and Wang, 2021; Wettstein, 2012)</w:t>
          </w:r>
        </w:sdtContent>
      </w:sdt>
      <w:r w:rsidRPr="0053182F">
        <w:rPr>
          <w:rStyle w:val="normaltextrun"/>
          <w:rFonts w:eastAsiaTheme="minorEastAsia"/>
          <w:lang w:eastAsia="en-US"/>
        </w:rPr>
        <w:t xml:space="preserve">. This education </w:t>
      </w:r>
      <w:r w:rsidR="00FA70C1" w:rsidRPr="0053182F">
        <w:rPr>
          <w:rStyle w:val="normaltextrun"/>
          <w:rFonts w:eastAsiaTheme="minorEastAsia"/>
          <w:lang w:eastAsia="en-US"/>
        </w:rPr>
        <w:t>raises awareness, builds capacity, and empowers</w:t>
      </w:r>
      <w:r w:rsidRPr="0053182F">
        <w:rPr>
          <w:rStyle w:val="normaltextrun"/>
          <w:rFonts w:eastAsiaTheme="minorEastAsia"/>
          <w:lang w:eastAsia="en-US"/>
        </w:rPr>
        <w:t xml:space="preserve"> individuals to identify and report potential instances of CMS practices. Some businesses use CSR or sustainability reporting to communicate their non-financial activities to the stakeholders to gain a competitive advantage. Therefore, scholars argue that the quality of CSR or sustainability reporting is high on the agenda among social and environmental researchers </w:t>
      </w:r>
      <w:sdt>
        <w:sdtPr>
          <w:rPr>
            <w:rStyle w:val="normaltextrun"/>
            <w:rFonts w:eastAsiaTheme="minorEastAsia"/>
            <w:lang w:eastAsia="en-US"/>
          </w:rPr>
          <w:tag w:val="MENDELEY_CITATION_v3_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"/>
          <w:id w:val="1115251597"/>
          <w:placeholder>
            <w:docPart w:val="209A24FE1FE140838FFAB40FBDA9CD74"/>
          </w:placeholder>
        </w:sdtPr>
        <w:sdtContent>
          <w:r w:rsidR="00CC1788" w:rsidRPr="0053182F">
            <w:rPr>
              <w:rStyle w:val="normaltextrun"/>
              <w:rFonts w:eastAsiaTheme="minorEastAsia"/>
              <w:lang w:eastAsia="en-US"/>
            </w:rPr>
            <w:t>(Helfaya and Moussa, 2017; Gillan, Koch, and Starks, 2021; Hamed et al., 2022)</w:t>
          </w:r>
        </w:sdtContent>
      </w:sdt>
      <w:r w:rsidRPr="0053182F">
        <w:rPr>
          <w:rStyle w:val="normaltextrun"/>
          <w:rFonts w:eastAsiaTheme="minorEastAsia"/>
          <w:lang w:eastAsia="en-US"/>
        </w:rPr>
        <w:t xml:space="preserve">. </w:t>
      </w:r>
      <w:sdt>
        <w:sdtPr>
          <w:rPr>
            <w:rStyle w:val="normaltextrun"/>
            <w:rFonts w:eastAsiaTheme="minorEastAsia"/>
            <w:lang w:eastAsia="en-US"/>
          </w:rPr>
          <w:tag w:val="MENDELEY_CITATION_v3_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"/>
          <w:id w:val="-260998055"/>
          <w:placeholder>
            <w:docPart w:val="FEF2568509794F8EA998C52423CD2122"/>
          </w:placeholder>
        </w:sdtPr>
        <w:sdtContent>
          <w:r w:rsidR="00CC1788" w:rsidRPr="0053182F">
            <w:rPr>
              <w:rStyle w:val="normaltextrun"/>
              <w:rFonts w:eastAsiaTheme="minorEastAsia"/>
              <w:lang w:eastAsia="en-US"/>
            </w:rPr>
            <w:t>Hamed et al. (2022)found that mandatory CSR reporting significantly improved its quality</w:t>
          </w:r>
        </w:sdtContent>
      </w:sdt>
      <w:r w:rsidRPr="0053182F">
        <w:rPr>
          <w:rStyle w:val="normaltextrun"/>
          <w:rFonts w:eastAsiaTheme="minorEastAsia"/>
          <w:lang w:eastAsia="en-US"/>
        </w:rPr>
        <w:t>. Correspond</w:t>
      </w:r>
      <w:r w:rsidR="00FA70C1" w:rsidRPr="0053182F">
        <w:rPr>
          <w:rStyle w:val="normaltextrun"/>
          <w:rFonts w:eastAsiaTheme="minorEastAsia"/>
          <w:lang w:eastAsia="en-US"/>
        </w:rPr>
        <w:t>ing</w:t>
      </w:r>
      <w:r w:rsidRPr="0053182F">
        <w:rPr>
          <w:rStyle w:val="normaltextrun"/>
          <w:rFonts w:eastAsiaTheme="minorEastAsia"/>
          <w:lang w:eastAsia="en-US"/>
        </w:rPr>
        <w:t>ly</w:t>
      </w:r>
      <w:r w:rsidR="0072081D" w:rsidRPr="0053182F">
        <w:rPr>
          <w:rStyle w:val="normaltextrun"/>
          <w:rFonts w:eastAsiaTheme="minorEastAsia"/>
          <w:lang w:eastAsia="en-US"/>
        </w:rPr>
        <w:t>,</w:t>
      </w:r>
      <w:r w:rsidRPr="0053182F">
        <w:rPr>
          <w:rStyle w:val="normaltextrun"/>
          <w:rFonts w:eastAsiaTheme="minorEastAsia"/>
          <w:lang w:eastAsia="en-US"/>
        </w:rPr>
        <w:t xml:space="preserve"> they argued that better CSR performance and quality reporting create a positive image on the market and enhance investment opportunities. However, most </w:t>
      </w:r>
      <w:r w:rsidR="007862E8" w:rsidRPr="0053182F">
        <w:rPr>
          <w:rStyle w:val="normaltextrun"/>
          <w:rFonts w:eastAsiaTheme="minorEastAsia"/>
          <w:lang w:eastAsia="en-US"/>
        </w:rPr>
        <w:t>mandatory CSR reporting occur</w:t>
      </w:r>
      <w:r w:rsidRPr="0053182F">
        <w:rPr>
          <w:rStyle w:val="normaltextrun"/>
          <w:rFonts w:eastAsiaTheme="minorEastAsia"/>
          <w:lang w:eastAsia="en-US"/>
        </w:rPr>
        <w:t>s in developed countries.</w:t>
      </w:r>
    </w:p>
    <w:p w14:paraId="6C9AC647" w14:textId="535A79A7" w:rsidR="00144866" w:rsidRPr="0053182F" w:rsidRDefault="00144866" w:rsidP="00144866">
      <w:pPr>
        <w:pStyle w:val="NormalWeb"/>
        <w:spacing w:before="0" w:beforeAutospacing="0" w:after="0" w:afterAutospacing="0" w:line="480" w:lineRule="auto"/>
        <w:ind w:firstLine="720"/>
        <w:jc w:val="both"/>
        <w:rPr>
          <w:rStyle w:val="normaltextrun"/>
          <w:rFonts w:eastAsiaTheme="minorEastAsia"/>
          <w:lang w:eastAsia="en-US"/>
        </w:rPr>
      </w:pPr>
      <w:r w:rsidRPr="0053182F">
        <w:rPr>
          <w:rStyle w:val="normaltextrun"/>
          <w:rFonts w:eastAsiaTheme="minorEastAsia"/>
          <w:lang w:eastAsia="en-US"/>
        </w:rPr>
        <w:t xml:space="preserve">Sustainability governance initiatives often require companies to </w:t>
      </w:r>
      <w:r w:rsidR="007862E8" w:rsidRPr="0053182F">
        <w:rPr>
          <w:rStyle w:val="normaltextrun"/>
          <w:rFonts w:eastAsiaTheme="minorEastAsia"/>
          <w:lang w:eastAsia="en-US"/>
        </w:rPr>
        <w:t>report their efforts to combat CMS practices publicly</w:t>
      </w:r>
      <w:r w:rsidRPr="0053182F">
        <w:rPr>
          <w:rStyle w:val="normaltextrun"/>
          <w:rFonts w:eastAsiaTheme="minorEastAsia"/>
          <w:lang w:eastAsia="en-US"/>
        </w:rPr>
        <w:t xml:space="preserve">. For instance, </w:t>
      </w:r>
      <w:r w:rsidR="0072081D" w:rsidRPr="0053182F">
        <w:rPr>
          <w:rStyle w:val="normaltextrun"/>
          <w:rFonts w:eastAsiaTheme="minorEastAsia"/>
          <w:lang w:eastAsia="en-US"/>
        </w:rPr>
        <w:t xml:space="preserve">the </w:t>
      </w:r>
      <w:r w:rsidRPr="0053182F">
        <w:rPr>
          <w:rStyle w:val="normaltextrun"/>
          <w:rFonts w:eastAsiaTheme="minorEastAsia"/>
          <w:lang w:eastAsia="en-US"/>
        </w:rPr>
        <w:t>UK's MSS, by disclosing relevant information</w:t>
      </w:r>
      <w:r w:rsidR="007862E8" w:rsidRPr="0053182F">
        <w:rPr>
          <w:rStyle w:val="normaltextrun"/>
          <w:rFonts w:eastAsiaTheme="minorEastAsia"/>
          <w:lang w:eastAsia="en-US"/>
        </w:rPr>
        <w:t xml:space="preserve"> such as policies, procedures, and progress made, makes organisations</w:t>
      </w:r>
      <w:r w:rsidRPr="0053182F">
        <w:rPr>
          <w:rStyle w:val="normaltextrun"/>
          <w:rFonts w:eastAsiaTheme="minorEastAsia"/>
          <w:lang w:eastAsia="en-US"/>
        </w:rPr>
        <w:t xml:space="preserve"> more accountable to their stakeholders. Public reporting fosters transparency and facilitates benchmarking, enabling stakeholders to assess a company's commitment to eradicating CMS practices. However, the quality of the CSR or sustainability reporting depends on the attribute</w:t>
      </w:r>
      <w:r w:rsidR="0072081D" w:rsidRPr="0053182F">
        <w:rPr>
          <w:rStyle w:val="normaltextrun"/>
          <w:rFonts w:eastAsiaTheme="minorEastAsia"/>
          <w:lang w:eastAsia="en-US"/>
        </w:rPr>
        <w:t>s</w:t>
      </w:r>
      <w:r w:rsidRPr="0053182F">
        <w:rPr>
          <w:rStyle w:val="normaltextrun"/>
          <w:rFonts w:eastAsiaTheme="minorEastAsia"/>
          <w:lang w:eastAsia="en-US"/>
        </w:rPr>
        <w:t xml:space="preserve"> of both the report writer and the reader or users.</w:t>
      </w:r>
    </w:p>
    <w:p w14:paraId="19B725AC" w14:textId="3F1CA1AE" w:rsidR="002438AD" w:rsidRPr="0053182F" w:rsidRDefault="00144866" w:rsidP="00144866">
      <w:pPr>
        <w:pStyle w:val="NormalWeb"/>
        <w:spacing w:before="0" w:beforeAutospacing="0" w:after="0" w:afterAutospacing="0" w:line="480" w:lineRule="auto"/>
        <w:ind w:firstLine="720"/>
        <w:jc w:val="both"/>
        <w:rPr>
          <w:rStyle w:val="normaltextrun"/>
          <w:rFonts w:eastAsiaTheme="minorEastAsia"/>
          <w:lang w:eastAsia="en-US"/>
        </w:rPr>
      </w:pPr>
      <w:r w:rsidRPr="0053182F">
        <w:rPr>
          <w:rStyle w:val="normaltextrun"/>
          <w:rFonts w:eastAsiaTheme="minorEastAsia"/>
          <w:lang w:eastAsia="en-US"/>
        </w:rPr>
        <w:t xml:space="preserve">Corporate social irresponsibility (CSIR) has been identified as a significant </w:t>
      </w:r>
      <w:r w:rsidR="00417238" w:rsidRPr="0053182F">
        <w:rPr>
          <w:rStyle w:val="normaltextrun"/>
          <w:rFonts w:eastAsiaTheme="minorEastAsia"/>
          <w:lang w:eastAsia="en-US"/>
        </w:rPr>
        <w:t xml:space="preserve">concern in the literature due to its substantial negative impact on stakeholder expectations and on </w:t>
      </w:r>
      <w:r w:rsidRPr="0053182F">
        <w:rPr>
          <w:rStyle w:val="normaltextrun"/>
          <w:rFonts w:eastAsiaTheme="minorEastAsia"/>
          <w:lang w:eastAsia="en-US"/>
        </w:rPr>
        <w:t>revers</w:t>
      </w:r>
      <w:r w:rsidR="007862E8" w:rsidRPr="0053182F">
        <w:rPr>
          <w:rStyle w:val="normaltextrun"/>
          <w:rFonts w:eastAsiaTheme="minorEastAsia"/>
          <w:lang w:eastAsia="en-US"/>
        </w:rPr>
        <w:t>ing</w:t>
      </w:r>
      <w:r w:rsidRPr="0053182F">
        <w:rPr>
          <w:rStyle w:val="normaltextrun"/>
          <w:rFonts w:eastAsiaTheme="minorEastAsia"/>
          <w:lang w:eastAsia="en-US"/>
        </w:rPr>
        <w:t xml:space="preserve"> the global progress of sustainability </w:t>
      </w:r>
      <w:sdt>
        <w:sdtPr>
          <w:rPr>
            <w:rStyle w:val="normaltextrun"/>
            <w:rFonts w:eastAsiaTheme="minorEastAsia"/>
            <w:lang w:eastAsia="en-US"/>
          </w:rPr>
          <w:tag w:val="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"/>
          <w:id w:val="1421376538"/>
          <w:placeholder>
            <w:docPart w:val="0D1931EE70B14E1CADF496D631B812D6"/>
          </w:placeholder>
        </w:sdtPr>
        <w:sdtContent>
          <w:r w:rsidR="00CC1788" w:rsidRPr="0053182F">
            <w:rPr>
              <w:rStyle w:val="normaltextrun"/>
              <w:rFonts w:eastAsiaTheme="minorEastAsia"/>
              <w:lang w:eastAsia="en-US"/>
            </w:rPr>
            <w:t>(Nardella, Brammer and Surdu, 2020; Brammer, Nardella and Surdu, 2021).</w:t>
          </w:r>
        </w:sdtContent>
      </w:sdt>
      <w:r w:rsidRPr="0053182F">
        <w:rPr>
          <w:rStyle w:val="normaltextrun"/>
          <w:rFonts w:eastAsiaTheme="minorEastAsia"/>
          <w:lang w:eastAsia="en-US"/>
        </w:rPr>
        <w:t xml:space="preserve"> The repercussions of CSIR extend beyond immediate stakeholders to include negative externalities that can inflict damage on a corporation's reputation and result in legal consequences </w:t>
      </w:r>
      <w:sdt>
        <w:sdtPr>
          <w:rPr>
            <w:rStyle w:val="normaltextrun"/>
            <w:rFonts w:eastAsiaTheme="minorEastAsia"/>
            <w:lang w:eastAsia="en-US"/>
          </w:rPr>
          <w:tag w:val="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"/>
          <w:id w:val="-671026313"/>
          <w:placeholder>
            <w:docPart w:val="0D1931EE70B14E1CADF496D631B812D6"/>
          </w:placeholder>
        </w:sdtPr>
        <w:sdtContent>
          <w:r w:rsidR="00CC1788" w:rsidRPr="0053182F">
            <w:t xml:space="preserve">(Bailey and Bonifield, 2010; Brammer </w:t>
          </w:r>
          <w:r w:rsidR="00CC1788" w:rsidRPr="0053182F">
            <w:rPr>
              <w:i/>
              <w:iCs/>
            </w:rPr>
            <w:t>et al.</w:t>
          </w:r>
          <w:r w:rsidR="00CC1788" w:rsidRPr="0053182F">
            <w:t>, 2021; Kolk, 2016)</w:t>
          </w:r>
        </w:sdtContent>
      </w:sdt>
      <w:r w:rsidRPr="0053182F">
        <w:rPr>
          <w:rStyle w:val="normaltextrun"/>
          <w:rFonts w:eastAsiaTheme="minorEastAsia"/>
          <w:lang w:eastAsia="en-US"/>
        </w:rPr>
        <w:t>. Scholars emphasi</w:t>
      </w:r>
      <w:r w:rsidR="007862E8" w:rsidRPr="0053182F">
        <w:rPr>
          <w:rStyle w:val="normaltextrun"/>
          <w:rFonts w:eastAsiaTheme="minorEastAsia"/>
          <w:lang w:eastAsia="en-US"/>
        </w:rPr>
        <w:t>s</w:t>
      </w:r>
      <w:r w:rsidRPr="0053182F">
        <w:rPr>
          <w:rStyle w:val="normaltextrun"/>
          <w:rFonts w:eastAsiaTheme="minorEastAsia"/>
          <w:lang w:eastAsia="en-US"/>
        </w:rPr>
        <w:t xml:space="preserve">e that the adverse effects of CSIR are not limited to the short term but also pose a threat to the long-term survival of businesses </w:t>
      </w:r>
      <w:sdt>
        <w:sdtPr>
          <w:rPr>
            <w:rStyle w:val="normaltextrun"/>
            <w:rFonts w:eastAsiaTheme="minorEastAsia"/>
            <w:lang w:eastAsia="en-US"/>
          </w:rPr>
          <w:tag w:val="MENDELEY_CITATION_v3_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"/>
          <w:id w:val="-390723035"/>
          <w:placeholder>
            <w:docPart w:val="04014411562C40CDB16743066262FC81"/>
          </w:placeholder>
        </w:sdtPr>
        <w:sdtContent>
          <w:r w:rsidR="000A32FF" w:rsidRPr="0053182F">
            <w:rPr>
              <w:rStyle w:val="normaltextrun"/>
              <w:rFonts w:eastAsiaTheme="minorEastAsia"/>
              <w:lang w:eastAsia="en-US"/>
            </w:rPr>
            <w:t>(Islam and McPhail, 2011; McPhail and McKernan, 2011; Ahmed and Uddin, 2021)</w:t>
          </w:r>
        </w:sdtContent>
      </w:sdt>
      <w:r w:rsidRPr="0053182F">
        <w:rPr>
          <w:rStyle w:val="normaltextrun"/>
          <w:rFonts w:eastAsiaTheme="minorEastAsia"/>
          <w:lang w:eastAsia="en-US"/>
        </w:rPr>
        <w:t xml:space="preserve">. Historical evidence shows </w:t>
      </w:r>
      <w:r w:rsidR="002401A6" w:rsidRPr="0053182F">
        <w:rPr>
          <w:rStyle w:val="normaltextrun"/>
          <w:rFonts w:eastAsiaTheme="minorEastAsia"/>
          <w:lang w:eastAsia="en-US"/>
        </w:rPr>
        <w:t>numerous instances of MNCs' corporate social irresponsibility</w:t>
      </w:r>
      <w:sdt>
        <w:sdtPr>
          <w:rPr>
            <w:rStyle w:val="normaltextrun"/>
            <w:rFonts w:eastAsiaTheme="minorEastAsia"/>
            <w:lang w:eastAsia="en-US"/>
          </w:rPr>
          <w:tag w:val="MENDELEY_CITATION_v3_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"/>
          <w:id w:val="1009259301"/>
          <w:placeholder>
            <w:docPart w:val="7CAA416F81F84F60A1FFF8FAA25E4346"/>
          </w:placeholder>
        </w:sdtPr>
        <w:sdtContent>
          <w:r w:rsidR="00CC1788" w:rsidRPr="0053182F">
            <w:rPr>
              <w:rStyle w:val="normaltextrun"/>
              <w:rFonts w:eastAsiaTheme="minorEastAsia"/>
              <w:lang w:eastAsia="en-US"/>
            </w:rPr>
            <w:t>(Ullah et al., 2021).</w:t>
          </w:r>
        </w:sdtContent>
      </w:sdt>
      <w:r w:rsidRPr="0053182F">
        <w:rPr>
          <w:rStyle w:val="normaltextrun"/>
          <w:rFonts w:eastAsiaTheme="minorEastAsia"/>
          <w:lang w:eastAsia="en-US"/>
        </w:rPr>
        <w:t xml:space="preserve"> For example, the UK fashion brand “Boohoo” for BHR violates working conditions </w:t>
      </w:r>
      <w:sdt>
        <w:sdtPr>
          <w:rPr>
            <w:rStyle w:val="normaltextrun"/>
            <w:rFonts w:eastAsiaTheme="minorEastAsia"/>
            <w:lang w:eastAsia="en-US"/>
          </w:rPr>
          <w:tag w:val="MENDELEY_CITATION_v3_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"/>
          <w:id w:val="-359355376"/>
          <w:placeholder>
            <w:docPart w:val="7CAA416F81F84F60A1FFF8FAA25E4346"/>
          </w:placeholder>
        </w:sdtPr>
        <w:sdtContent>
          <w:r w:rsidR="00CC1788" w:rsidRPr="0053182F">
            <w:t xml:space="preserve">(Nardella </w:t>
          </w:r>
          <w:r w:rsidR="00CC1788" w:rsidRPr="0053182F">
            <w:rPr>
              <w:i/>
              <w:iCs/>
            </w:rPr>
            <w:t>et al.</w:t>
          </w:r>
          <w:r w:rsidR="00CC1788" w:rsidRPr="0053182F">
            <w:t>, 2020)</w:t>
          </w:r>
        </w:sdtContent>
      </w:sdt>
      <w:r w:rsidRPr="0053182F">
        <w:rPr>
          <w:rStyle w:val="normaltextrun"/>
          <w:rFonts w:eastAsiaTheme="minorEastAsia"/>
          <w:lang w:eastAsia="en-US"/>
        </w:rPr>
        <w:t xml:space="preserve">. </w:t>
      </w:r>
    </w:p>
    <w:p w14:paraId="08B56FFB" w14:textId="17B55CB6" w:rsidR="00144866" w:rsidRPr="0053182F" w:rsidRDefault="00144866" w:rsidP="00144866">
      <w:pPr>
        <w:pStyle w:val="NormalWeb"/>
        <w:spacing w:before="0" w:beforeAutospacing="0" w:after="0" w:afterAutospacing="0" w:line="480" w:lineRule="auto"/>
        <w:ind w:firstLine="720"/>
        <w:jc w:val="both"/>
        <w:rPr>
          <w:rStyle w:val="normaltextrun"/>
          <w:rFonts w:eastAsiaTheme="minorEastAsia"/>
          <w:lang w:eastAsia="en-US"/>
        </w:rPr>
      </w:pPr>
      <w:r w:rsidRPr="0053182F">
        <w:rPr>
          <w:rStyle w:val="normaltextrun"/>
          <w:rFonts w:eastAsiaTheme="minorEastAsia"/>
          <w:lang w:eastAsia="en-US"/>
        </w:rPr>
        <w:t xml:space="preserve">However, </w:t>
      </w:r>
      <w:sdt>
        <w:sdtPr>
          <w:rPr>
            <w:rStyle w:val="normaltextrun"/>
            <w:rFonts w:eastAsiaTheme="minorEastAsia"/>
            <w:lang w:eastAsia="en-US"/>
          </w:rPr>
          <w:tag w:val="MENDELEY_CITATION_v3_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"/>
          <w:id w:val="-643035103"/>
          <w:placeholder>
            <w:docPart w:val="0D1931EE70B14E1CADF496D631B812D6"/>
          </w:placeholder>
        </w:sdtPr>
        <w:sdtEndPr>
          <w:rPr>
            <w:rStyle w:val="DefaultParagraphFont"/>
            <w:rFonts w:eastAsia="Times New Roman"/>
            <w:i/>
            <w:iCs/>
            <w:lang w:eastAsia="en-GB"/>
          </w:rPr>
        </w:sdtEndPr>
        <w:sdtContent>
          <w:r w:rsidR="000A32FF" w:rsidRPr="0053182F">
            <w:rPr>
              <w:rStyle w:val="normaltextrun"/>
              <w:rFonts w:eastAsiaTheme="minorEastAsia"/>
              <w:lang w:eastAsia="en-US"/>
            </w:rPr>
            <w:t>Gillan et al. (2021)</w:t>
          </w:r>
        </w:sdtContent>
      </w:sdt>
      <w:r w:rsidRPr="0053182F">
        <w:rPr>
          <w:rStyle w:val="normaltextrun"/>
          <w:rFonts w:eastAsiaTheme="minorEastAsia"/>
          <w:lang w:eastAsia="en-US"/>
        </w:rPr>
        <w:t xml:space="preserve"> </w:t>
      </w:r>
      <w:r w:rsidR="00E41AE2" w:rsidRPr="0053182F">
        <w:t xml:space="preserve">argued that CSR activities vary across organisations' </w:t>
      </w:r>
      <w:r w:rsidR="006C5112" w:rsidRPr="0053182F">
        <w:t xml:space="preserve">geographical locations </w:t>
      </w:r>
      <w:r w:rsidRPr="0053182F">
        <w:rPr>
          <w:rStyle w:val="normaltextrun"/>
          <w:rFonts w:eastAsiaTheme="minorEastAsia"/>
          <w:lang w:eastAsia="en-US"/>
        </w:rPr>
        <w:t>and country characteristics. Most well-known ESG and CSR rating frameworks were built</w:t>
      </w:r>
      <w:r w:rsidR="00E046CC" w:rsidRPr="0053182F">
        <w:rPr>
          <w:rStyle w:val="normaltextrun"/>
          <w:rFonts w:eastAsiaTheme="minorEastAsia"/>
          <w:lang w:eastAsia="en-US"/>
        </w:rPr>
        <w:t xml:space="preserve"> with high-income countries in mind</w:t>
      </w:r>
      <w:r w:rsidRPr="0053182F">
        <w:rPr>
          <w:rStyle w:val="normaltextrun"/>
          <w:rFonts w:eastAsiaTheme="minorEastAsia"/>
          <w:lang w:eastAsia="en-US"/>
        </w:rPr>
        <w:t xml:space="preserve">. Thus, it has created </w:t>
      </w:r>
      <w:r w:rsidR="003D612B" w:rsidRPr="0053182F">
        <w:rPr>
          <w:rStyle w:val="normaltextrun"/>
          <w:rFonts w:eastAsiaTheme="minorEastAsia"/>
          <w:lang w:eastAsia="en-US"/>
        </w:rPr>
        <w:t xml:space="preserve">issues with the framework's adaptability in middle- and low-income countries, as </w:t>
      </w:r>
      <w:r w:rsidR="002401A6" w:rsidRPr="0053182F">
        <w:rPr>
          <w:rStyle w:val="normaltextrun"/>
          <w:rFonts w:eastAsiaTheme="minorEastAsia"/>
          <w:lang w:eastAsia="en-US"/>
        </w:rPr>
        <w:t xml:space="preserve">significant differences exist </w:t>
      </w:r>
      <w:r w:rsidR="003D612B" w:rsidRPr="0053182F">
        <w:rPr>
          <w:rStyle w:val="normaltextrun"/>
          <w:rFonts w:eastAsiaTheme="minorEastAsia"/>
          <w:lang w:eastAsia="en-US"/>
        </w:rPr>
        <w:t xml:space="preserve">in their economic, social, and environmental structures </w:t>
      </w:r>
      <w:sdt>
        <w:sdtPr>
          <w:rPr>
            <w:rStyle w:val="normaltextrun"/>
            <w:rFonts w:eastAsiaTheme="minorEastAsia"/>
            <w:lang w:eastAsia="en-US"/>
          </w:rPr>
          <w:tag w:val="MENDELEY_CITATION_v3_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"/>
          <w:id w:val="911283010"/>
          <w:placeholder>
            <w:docPart w:val="AB8FDEDB7B6E4A1496285057E80F1E3B"/>
          </w:placeholder>
        </w:sdtPr>
        <w:sdtContent>
          <w:r w:rsidR="00CC1788" w:rsidRPr="0053182F">
            <w:rPr>
              <w:rStyle w:val="normaltextrun"/>
              <w:rFonts w:eastAsiaTheme="minorEastAsia"/>
              <w:lang w:eastAsia="en-US"/>
            </w:rPr>
            <w:t>(Linnenluecke, 2022).</w:t>
          </w:r>
        </w:sdtContent>
      </w:sdt>
    </w:p>
    <w:p w14:paraId="3395B019" w14:textId="524AF4EA" w:rsidR="00144866" w:rsidRPr="0053182F" w:rsidRDefault="00144866" w:rsidP="00144866">
      <w:pPr>
        <w:pStyle w:val="NormalWeb"/>
        <w:spacing w:before="0" w:beforeAutospacing="0" w:after="0" w:afterAutospacing="0" w:line="480" w:lineRule="auto"/>
        <w:ind w:firstLine="720"/>
        <w:jc w:val="both"/>
        <w:rPr>
          <w:rStyle w:val="normaltextrun"/>
          <w:rFonts w:eastAsiaTheme="minorEastAsia"/>
          <w:lang w:eastAsia="en-US"/>
        </w:rPr>
      </w:pPr>
      <w:r w:rsidRPr="0053182F">
        <w:rPr>
          <w:rStyle w:val="normaltextrun"/>
          <w:rFonts w:eastAsiaTheme="minorEastAsia"/>
          <w:lang w:eastAsia="en-US"/>
        </w:rPr>
        <w:t xml:space="preserve">These impacts are supported by various studies and reports on the effectiveness of sustainability governance initiatives in fighting CMS practices. For instance, the 2018 KnowTheChain benchmarking report assessed the efforts of 43 global companies in addressing forced labour risks in their supply chains </w:t>
      </w:r>
      <w:sdt>
        <w:sdtPr>
          <w:rPr>
            <w:rStyle w:val="normaltextrun"/>
            <w:rFonts w:eastAsiaTheme="minorEastAsia"/>
            <w:lang w:eastAsia="en-US"/>
          </w:rPr>
          <w:tag w:val="MENDELEY_CITATION_v3_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"/>
          <w:id w:val="2089116311"/>
          <w:placeholder>
            <w:docPart w:val="26830A70943F45A0B539767B85CB533A"/>
          </w:placeholder>
        </w:sdtPr>
        <w:sdtContent>
          <w:r w:rsidR="00CC1788" w:rsidRPr="0053182F">
            <w:t>(BHRRC, 2020)</w:t>
          </w:r>
        </w:sdtContent>
      </w:sdt>
      <w:r w:rsidRPr="0053182F">
        <w:rPr>
          <w:rStyle w:val="normaltextrun"/>
          <w:rFonts w:eastAsiaTheme="minorEastAsia"/>
          <w:lang w:eastAsia="en-US"/>
        </w:rPr>
        <w:t>. The report highlighted that companies with stronger sustainability governance systems performed better in identifying and addressing CMS risks.</w:t>
      </w:r>
    </w:p>
    <w:p w14:paraId="1091869A" w14:textId="6A08EA72" w:rsidR="00144866" w:rsidRPr="0053182F" w:rsidRDefault="00144866" w:rsidP="00144866">
      <w:pPr>
        <w:pStyle w:val="NormalWeb"/>
        <w:spacing w:before="0" w:beforeAutospacing="0" w:after="0" w:afterAutospacing="0" w:line="480" w:lineRule="auto"/>
        <w:ind w:firstLine="720"/>
        <w:jc w:val="both"/>
        <w:rPr>
          <w:rStyle w:val="normaltextrun"/>
          <w:rFonts w:eastAsiaTheme="minorEastAsia"/>
          <w:lang w:eastAsia="en-US"/>
        </w:rPr>
      </w:pPr>
      <w:r w:rsidRPr="0053182F">
        <w:rPr>
          <w:rStyle w:val="normaltextrun"/>
          <w:rFonts w:eastAsiaTheme="minorEastAsia"/>
          <w:lang w:eastAsia="en-US"/>
        </w:rPr>
        <w:t>Due to the high demand for research on sustainability issues, researchers have extensively studied the impact of various countr</w:t>
      </w:r>
      <w:r w:rsidR="00BE28E0" w:rsidRPr="0053182F">
        <w:rPr>
          <w:rStyle w:val="normaltextrun"/>
          <w:rFonts w:eastAsiaTheme="minorEastAsia"/>
          <w:lang w:eastAsia="en-US"/>
        </w:rPr>
        <w:t>ies'</w:t>
      </w:r>
      <w:r w:rsidRPr="0053182F">
        <w:rPr>
          <w:rStyle w:val="normaltextrun"/>
          <w:rFonts w:eastAsiaTheme="minorEastAsia"/>
          <w:lang w:eastAsia="en-US"/>
        </w:rPr>
        <w:t xml:space="preserve"> governance and sustainability indicators </w:t>
      </w:r>
      <w:sdt>
        <w:sdtPr>
          <w:rPr>
            <w:rStyle w:val="normaltextrun"/>
            <w:rFonts w:eastAsiaTheme="minorEastAsia"/>
            <w:lang w:eastAsia="en-US"/>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ag w:val="MENDELEY_CITATION_v3_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"/>
          <w:id w:val="1204219866"/>
          <w:placeholder>
            <w:docPart w:val="7CAA416F81F84F60A1FFF8FAA25E4346"/>
          </w:placeholder>
        </w:sdtPr>
        <w:sdtContent>
          <w:r w:rsidR="00CC1788" w:rsidRPr="0053182F">
            <w:rPr>
              <w:rStyle w:val="normaltextrun"/>
              <w:rFonts w:eastAsiaTheme="minorEastAsia"/>
              <w:lang w:eastAsia="en-US"/>
            </w:rPr>
            <w:t>(Schneider and Scherer, 2019)</w:t>
          </w:r>
        </w:sdtContent>
      </w:sdt>
      <w:r w:rsidRPr="0053182F">
        <w:rPr>
          <w:rStyle w:val="normaltextrun"/>
          <w:rFonts w:eastAsiaTheme="minorEastAsia"/>
          <w:lang w:eastAsia="en-US"/>
        </w:rPr>
        <w:t xml:space="preserve">. Despite that, emerging economies used </w:t>
      </w:r>
      <w:r w:rsidR="00E046CC" w:rsidRPr="0053182F">
        <w:rPr>
          <w:rStyle w:val="normaltextrun"/>
          <w:rFonts w:eastAsiaTheme="minorEastAsia"/>
          <w:lang w:eastAsia="en-US"/>
        </w:rPr>
        <w:t>MNC investment as a remedy for their adverse economic conditions</w:t>
      </w:r>
      <w:r w:rsidRPr="0053182F">
        <w:rPr>
          <w:rStyle w:val="normaltextrun"/>
          <w:rFonts w:eastAsiaTheme="minorEastAsia"/>
          <w:lang w:eastAsia="en-US"/>
        </w:rPr>
        <w:t xml:space="preserve"> as a strategy for economic growth </w:t>
      </w:r>
      <w:sdt>
        <w:sdtPr>
          <w:rPr>
            <w:rStyle w:val="normaltextrun"/>
            <w:rFonts w:eastAsiaTheme="minorEastAsia"/>
            <w:lang w:eastAsia="en-US"/>
          </w:rPr>
          <w:tag w:val="MENDELEY_CITATION_v3_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"/>
          <w:id w:val="166652057"/>
          <w:placeholder>
            <w:docPart w:val="7CAA416F81F84F60A1FFF8FAA25E4346"/>
          </w:placeholder>
        </w:sdtPr>
        <w:sdtContent>
          <w:r w:rsidR="00CC1788" w:rsidRPr="0053182F">
            <w:rPr>
              <w:rStyle w:val="normaltextrun"/>
              <w:rFonts w:eastAsiaTheme="minorEastAsia"/>
              <w:lang w:eastAsia="en-US"/>
            </w:rPr>
            <w:t>(Clarke and Boersma, 2017)</w:t>
          </w:r>
        </w:sdtContent>
      </w:sdt>
      <w:r w:rsidRPr="0053182F">
        <w:rPr>
          <w:rStyle w:val="normaltextrun"/>
          <w:rFonts w:eastAsiaTheme="minorEastAsia"/>
          <w:lang w:eastAsia="en-US"/>
        </w:rPr>
        <w:t xml:space="preserve">. As a result, some governments are </w:t>
      </w:r>
      <w:r w:rsidR="00E046CC" w:rsidRPr="0053182F">
        <w:rPr>
          <w:rStyle w:val="normaltextrun"/>
          <w:rFonts w:eastAsiaTheme="minorEastAsia"/>
          <w:lang w:eastAsia="en-US"/>
        </w:rPr>
        <w:t>unable to establish</w:t>
      </w:r>
      <w:r w:rsidRPr="0053182F">
        <w:rPr>
          <w:rStyle w:val="normaltextrun"/>
          <w:rFonts w:eastAsiaTheme="minorEastAsia"/>
          <w:lang w:eastAsia="en-US"/>
        </w:rPr>
        <w:t xml:space="preserve"> better BHR practices </w:t>
      </w:r>
      <w:sdt>
        <w:sdtPr>
          <w:rPr>
            <w:rStyle w:val="normaltextrun"/>
            <w:rFonts w:eastAsiaTheme="minorEastAsia"/>
            <w:lang w:eastAsia="en-US"/>
          </w:rPr>
          <w:tag w:val="MENDELEY_CITATION_v3_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"/>
          <w:id w:val="367362759"/>
          <w:placeholder>
            <w:docPart w:val="7CAA416F81F84F60A1FFF8FAA25E4346"/>
          </w:placeholder>
        </w:sdtPr>
        <w:sdtContent>
          <w:r w:rsidR="00CC1788" w:rsidRPr="0053182F">
            <w:rPr>
              <w:rStyle w:val="normaltextrun"/>
              <w:rFonts w:eastAsiaTheme="minorEastAsia"/>
              <w:lang w:eastAsia="en-US"/>
            </w:rPr>
            <w:t>(Islam, Deegan and Haque, 2021).</w:t>
          </w:r>
        </w:sdtContent>
      </w:sdt>
      <w:r w:rsidRPr="0053182F">
        <w:rPr>
          <w:rStyle w:val="normaltextrun"/>
          <w:rFonts w:eastAsiaTheme="minorEastAsia"/>
          <w:lang w:eastAsia="en-US"/>
        </w:rPr>
        <w:t xml:space="preserve"> Moreover, this study focuses on how global sustainability governance can influence its supply chain to develop UN-SDGs and CSR policies whe</w:t>
      </w:r>
      <w:r w:rsidR="00E601A0" w:rsidRPr="0053182F">
        <w:rPr>
          <w:rStyle w:val="normaltextrun"/>
          <w:rFonts w:eastAsiaTheme="minorEastAsia"/>
          <w:lang w:eastAsia="en-US"/>
        </w:rPr>
        <w:t>n the government is incapable or ineffective in developing its own policies or is unaware of</w:t>
      </w:r>
      <w:r w:rsidRPr="0053182F">
        <w:rPr>
          <w:rStyle w:val="normaltextrun"/>
          <w:rFonts w:eastAsiaTheme="minorEastAsia"/>
          <w:lang w:eastAsia="en-US"/>
        </w:rPr>
        <w:t xml:space="preserve"> regulatory and legal issues. This action plan will </w:t>
      </w:r>
      <w:r w:rsidR="00E601A0" w:rsidRPr="0053182F">
        <w:rPr>
          <w:rStyle w:val="normaltextrun"/>
          <w:rFonts w:eastAsiaTheme="minorEastAsia"/>
          <w:lang w:eastAsia="en-US"/>
        </w:rPr>
        <w:t>raise awareness and improve sustainable zero CMS practices across</w:t>
      </w:r>
      <w:r w:rsidRPr="0053182F">
        <w:rPr>
          <w:rStyle w:val="normaltextrun"/>
          <w:rFonts w:eastAsiaTheme="minorEastAsia"/>
          <w:lang w:eastAsia="en-US"/>
        </w:rPr>
        <w:t xml:space="preserve"> the supply chain.  Previous studies </w:t>
      </w:r>
      <w:r w:rsidR="00734F53" w:rsidRPr="0053182F">
        <w:rPr>
          <w:rStyle w:val="normaltextrun"/>
          <w:rFonts w:eastAsiaTheme="minorEastAsia"/>
          <w:lang w:eastAsia="en-US"/>
        </w:rPr>
        <w:t xml:space="preserve">have explored the importance of publishing MSS annually to communicate their actions and minimise the MS risk to </w:t>
      </w:r>
      <w:r w:rsidRPr="0053182F">
        <w:rPr>
          <w:rStyle w:val="normaltextrun"/>
          <w:rFonts w:eastAsiaTheme="minorEastAsia"/>
          <w:lang w:eastAsia="en-US"/>
        </w:rPr>
        <w:t xml:space="preserve">their business, including its supply chain </w:t>
      </w:r>
      <w:sdt>
        <w:sdtPr>
          <w:rPr>
            <w:rStyle w:val="normaltextrun"/>
            <w:rFonts w:eastAsiaTheme="minorEastAsia"/>
            <w:lang w:eastAsia="en-US"/>
          </w:rPr>
          <w:tag w:val="MENDELEY_CITATION_v3_eyJjaXRhdGlvbklEIjoiTUVOREVMRVlfQ0lUQVRJT05fNzk2Mzc0YWItMWIzZC00N2MxLWI2NTktMmM5NjMyZjUwMGJiIiwicHJvcGVydGllcyI6eyJub3RlSW5kZXgiOjB9LCJpc0VkaXRlZCI6ZmFsc2UsIm1hbnVhbE92ZXJyaWRlIjp7ImlzTWFudWFsbHlPdmVycmlkZGVuIjp0cnVlLCJjaXRlcHJvY1RleHQiOiIoQ3JhbmUsIDIwMTMpIiwibWFudWFsT3ZlcnJpZGVUZXh0IjoiKENyYW5lLCAyMDEzKS4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1dfQ=="/>
          <w:id w:val="1216640838"/>
          <w:placeholder>
            <w:docPart w:val="7CAA416F81F84F60A1FFF8FAA25E4346"/>
          </w:placeholder>
        </w:sdtPr>
        <w:sdtContent>
          <w:r w:rsidR="00CC1788" w:rsidRPr="0053182F">
            <w:rPr>
              <w:rStyle w:val="normaltextrun"/>
              <w:rFonts w:eastAsiaTheme="minorEastAsia"/>
              <w:lang w:eastAsia="en-US"/>
            </w:rPr>
            <w:t>(Crane, 2013).</w:t>
          </w:r>
        </w:sdtContent>
      </w:sdt>
      <w:r w:rsidRPr="0053182F">
        <w:rPr>
          <w:rStyle w:val="normaltextrun"/>
          <w:rFonts w:eastAsiaTheme="minorEastAsia"/>
          <w:lang w:eastAsia="en-US"/>
        </w:rPr>
        <w:t xml:space="preserve"> In line with the above literature, it can be argued that country</w:t>
      </w:r>
      <w:r w:rsidR="00E601A0" w:rsidRPr="0053182F">
        <w:rPr>
          <w:rStyle w:val="normaltextrun"/>
          <w:rFonts w:eastAsiaTheme="minorEastAsia"/>
          <w:lang w:eastAsia="en-US"/>
        </w:rPr>
        <w:t>- and global-governance mechanisms are</w:t>
      </w:r>
      <w:r w:rsidRPr="0053182F">
        <w:rPr>
          <w:rStyle w:val="normaltextrun"/>
          <w:rFonts w:eastAsiaTheme="minorEastAsia"/>
          <w:lang w:eastAsia="en-US"/>
        </w:rPr>
        <w:t xml:space="preserve"> essential for sustainable development.  </w:t>
      </w:r>
    </w:p>
    <w:p w14:paraId="39E57B6A" w14:textId="77777777" w:rsidR="00144866" w:rsidRPr="0053182F" w:rsidRDefault="00144866" w:rsidP="00144866">
      <w:pPr>
        <w:pStyle w:val="Heading2"/>
        <w:jc w:val="both"/>
        <w:rPr>
          <w:b w:val="0"/>
          <w:sz w:val="24"/>
        </w:rPr>
      </w:pPr>
      <w:bookmarkStart w:id="103" w:name="_Toc139533354"/>
      <w:bookmarkStart w:id="104" w:name="_Toc151541460"/>
      <w:bookmarkStart w:id="105" w:name="_Toc215651802"/>
      <w:bookmarkStart w:id="106" w:name="_Toc218357097"/>
      <w:r w:rsidRPr="0053182F">
        <w:rPr>
          <w:sz w:val="24"/>
        </w:rPr>
        <w:t>3.5 Eliminating CMS Practices</w:t>
      </w:r>
      <w:bookmarkEnd w:id="103"/>
      <w:r w:rsidRPr="0053182F">
        <w:rPr>
          <w:sz w:val="24"/>
        </w:rPr>
        <w:t>: Accounting and Legal Perspective.</w:t>
      </w:r>
      <w:bookmarkEnd w:id="104"/>
      <w:bookmarkEnd w:id="105"/>
      <w:bookmarkEnd w:id="106"/>
    </w:p>
    <w:p w14:paraId="33BC7790" w14:textId="46C864F0" w:rsidR="00144866" w:rsidRPr="0053182F" w:rsidRDefault="00144866" w:rsidP="00144866">
      <w:pPr>
        <w:spacing w:after="0" w:line="480" w:lineRule="auto"/>
        <w:ind w:firstLine="720"/>
        <w:jc w:val="both"/>
      </w:pPr>
      <w:r w:rsidRPr="0053182F">
        <w:t>Accounting for BHR p</w:t>
      </w:r>
      <w:r w:rsidR="00734F53" w:rsidRPr="0053182F">
        <w:t xml:space="preserve">oses a multifaceted and intricate challenge, requiring the active involvement of the accounting profession to address it effectively </w:t>
      </w:r>
      <w:sdt>
        <w:sdtPr>
          <w:tag w:val="MENDELEY_CITATION_v3_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"/>
          <w:id w:val="2092347662"/>
          <w:placeholder>
            <w:docPart w:val="F1F76228775D4BDC93FA55EA6892C43D"/>
          </w:placeholder>
        </w:sdtPr>
        <w:sdtContent>
          <w:r w:rsidR="00734F53" w:rsidRPr="0053182F">
            <w:rPr>
              <w:rFonts w:eastAsia="Times New Roman"/>
            </w:rPr>
            <w:t xml:space="preserve">(Gray </w:t>
          </w:r>
          <w:r w:rsidR="00734F53" w:rsidRPr="0053182F">
            <w:rPr>
              <w:rFonts w:eastAsia="Times New Roman"/>
              <w:i/>
              <w:iCs/>
            </w:rPr>
            <w:t>et al.</w:t>
          </w:r>
          <w:r w:rsidR="00734F53" w:rsidRPr="0053182F">
            <w:rPr>
              <w:rFonts w:eastAsia="Times New Roman"/>
            </w:rPr>
            <w:t xml:space="preserve">, 1996; Parsa </w:t>
          </w:r>
          <w:r w:rsidR="00734F53" w:rsidRPr="0053182F">
            <w:rPr>
              <w:rFonts w:eastAsia="Times New Roman"/>
              <w:i/>
              <w:iCs/>
            </w:rPr>
            <w:t>et al.</w:t>
          </w:r>
          <w:r w:rsidR="00734F53" w:rsidRPr="0053182F">
            <w:rPr>
              <w:rFonts w:eastAsia="Times New Roman"/>
            </w:rPr>
            <w:t>, 2018; Walker, 2021)</w:t>
          </w:r>
        </w:sdtContent>
      </w:sdt>
      <w:r w:rsidR="00734F53" w:rsidRPr="0053182F">
        <w:t xml:space="preserve">. </w:t>
      </w:r>
      <w:r w:rsidRPr="0053182F">
        <w:t xml:space="preserve">Transparency, accountability, and the promotion of ethical business practices are crucial responsibilities that the accounting profession undertakes in this context </w:t>
      </w:r>
      <w:sdt>
        <w:sdtPr>
          <w:tag w:val="MENDELEY_CITATION_v3_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284936304"/>
          <w:placeholder>
            <w:docPart w:val="BE4C34C7498845409CE466B8D53DA14B"/>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2019; McPhail and McKernan, 2011)</w:t>
          </w:r>
        </w:sdtContent>
      </w:sdt>
      <w:r w:rsidRPr="0053182F">
        <w:t xml:space="preserve">. Also, non-financial reporting serves as a valuable platform for corporations to disclose both direct and indirect externalities to a diverse range of stakeholders </w:t>
      </w:r>
      <w:sdt>
        <w:sdtPr>
          <w:tag w:val="MENDELEY_CITATION_v3_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"/>
          <w:id w:val="553590129"/>
          <w:placeholder>
            <w:docPart w:val="E263C017CD754C8FA2EC632B2A6980EF"/>
          </w:placeholder>
        </w:sdtPr>
        <w:sdtContent>
          <w:r w:rsidR="00CC1788" w:rsidRPr="0053182F">
            <w:t>(Iswati W, 2020; Owen, 2014)</w:t>
          </w:r>
        </w:sdtContent>
      </w:sdt>
      <w:r w:rsidRPr="0053182F">
        <w:t xml:space="preserve">. Moreover, corporate social disclosures offer a means to communicate corporate aspirations and cultivate a positive public image by highlighting social and environmental initiatives </w:t>
      </w:r>
      <w:sdt>
        <w:sdtPr>
          <w:tag w:val="MENDELEY_CITATION_v3_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"/>
          <w:id w:val="-269629692"/>
          <w:placeholder>
            <w:docPart w:val="9D0B1B2F0C66475E9C3B34C104CEAEA4"/>
          </w:placeholder>
        </w:sdtPr>
        <w:sdtContent>
          <w:r w:rsidR="00CC1788" w:rsidRPr="0053182F">
            <w:rPr>
              <w:rFonts w:eastAsia="Times New Roman"/>
            </w:rPr>
            <w:t xml:space="preserve">(van der Laan Smith </w:t>
          </w:r>
          <w:r w:rsidR="00CC1788" w:rsidRPr="0053182F">
            <w:rPr>
              <w:rFonts w:eastAsia="Times New Roman"/>
              <w:i/>
              <w:iCs/>
            </w:rPr>
            <w:t>et al.</w:t>
          </w:r>
          <w:r w:rsidR="00CC1788" w:rsidRPr="0053182F">
            <w:rPr>
              <w:rFonts w:eastAsia="Times New Roman"/>
            </w:rPr>
            <w:t>, 2005)</w:t>
          </w:r>
        </w:sdtContent>
      </w:sdt>
      <w:r w:rsidRPr="0053182F">
        <w:t xml:space="preserve">. Despite a gradual increase in Business and Human Rights-related studies, a comprehensive examination within a broader scope remains lacking </w:t>
      </w:r>
      <w:sdt>
        <w:sdtPr>
          <w:tag w:val="MENDELEY_CITATION_v3_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"/>
          <w:id w:val="-2070958024"/>
          <w:placeholder>
            <w:docPart w:val="A017B7D2E2934227BCC3DCA34238F16C"/>
          </w:placeholder>
        </w:sdtPr>
        <w:sdtContent>
          <w:r w:rsidR="00CC1788" w:rsidRPr="0053182F">
            <w:rPr>
              <w:rFonts w:eastAsia="Times New Roman"/>
            </w:rPr>
            <w:t xml:space="preserve">(Caruana </w:t>
          </w:r>
          <w:r w:rsidR="00CC1788" w:rsidRPr="0053182F">
            <w:rPr>
              <w:rFonts w:eastAsia="Times New Roman"/>
              <w:i/>
              <w:iCs/>
            </w:rPr>
            <w:t>et al.</w:t>
          </w:r>
          <w:r w:rsidR="00CC1788" w:rsidRPr="0053182F">
            <w:rPr>
              <w:rFonts w:eastAsia="Times New Roman"/>
            </w:rPr>
            <w:t>, 2021)</w:t>
          </w:r>
        </w:sdtContent>
      </w:sdt>
      <w:r w:rsidRPr="0053182F">
        <w:t>.</w:t>
      </w:r>
    </w:p>
    <w:p w14:paraId="604391EC" w14:textId="7FA7ABB1" w:rsidR="00144866" w:rsidRPr="0053182F" w:rsidRDefault="00144866" w:rsidP="00144866">
      <w:pPr>
        <w:spacing w:after="0" w:line="480" w:lineRule="auto"/>
        <w:ind w:firstLine="720"/>
        <w:jc w:val="both"/>
        <w:rPr>
          <w:b/>
        </w:rPr>
      </w:pPr>
      <w:r w:rsidRPr="0053182F">
        <w:t>In addition, MNCs face government</w:t>
      </w:r>
      <w:r w:rsidR="00734F53" w:rsidRPr="0053182F">
        <w:t xml:space="preserve"> pressure to </w:t>
      </w:r>
      <w:r w:rsidR="001E7DC2" w:rsidRPr="0053182F">
        <w:t>understand better</w:t>
      </w:r>
      <w:r w:rsidR="00734F53" w:rsidRPr="0053182F">
        <w:t xml:space="preserve"> CMS risks </w:t>
      </w:r>
      <w:r w:rsidR="00FA6D77" w:rsidRPr="0053182F">
        <w:t>in t</w:t>
      </w:r>
      <w:r w:rsidRPr="0053182F">
        <w:t xml:space="preserve">heir supply chains </w:t>
      </w:r>
      <w:sdt>
        <w:sdtPr>
          <w:tag w:val="MENDELEY_CITATION_v3_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XX0="/>
          <w:id w:val="1959605201"/>
          <w:placeholder>
            <w:docPart w:val="A0305A58491D4FB2B34019333EADF4B1"/>
          </w:placeholder>
        </w:sdtPr>
        <w:sdtContent>
          <w:r w:rsidR="00CC1788" w:rsidRPr="0053182F">
            <w:t>(Flynn and Walker, 2021b)</w:t>
          </w:r>
        </w:sdtContent>
      </w:sdt>
      <w:r w:rsidRPr="0053182F">
        <w:t xml:space="preserve">. These risks, </w:t>
      </w:r>
      <w:r w:rsidR="00FA6D77" w:rsidRPr="0053182F">
        <w:t>spanning various aspects of the supply chain, pose a significant threat to the reputation</w:t>
      </w:r>
      <w:r w:rsidRPr="0053182F">
        <w:t xml:space="preserve"> </w:t>
      </w:r>
      <w:r w:rsidR="00FA6D77" w:rsidRPr="0053182F">
        <w:t xml:space="preserve">of </w:t>
      </w:r>
      <w:r w:rsidRPr="0053182F">
        <w:t xml:space="preserve">the brands involved </w:t>
      </w:r>
      <w:sdt>
        <w:sdtPr>
          <w:tag w:val="MENDELEY_CITATION_v3_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"/>
          <w:id w:val="-1710863736"/>
          <w:placeholder>
            <w:docPart w:val="52352AF76007418DAF6B6068265BCD64"/>
          </w:placeholder>
        </w:sdtPr>
        <w:sdtContent>
          <w:r w:rsidR="00C11B5D" w:rsidRPr="0053182F">
            <w:t>(Stevenson and Cole, 2018)</w:t>
          </w:r>
        </w:sdtContent>
      </w:sdt>
      <w:r w:rsidRPr="0053182F">
        <w:t xml:space="preserve">. A notable example is the reputational risk </w:t>
      </w:r>
      <w:r w:rsidR="00FA6D77" w:rsidRPr="0053182F">
        <w:t>Apple faces</w:t>
      </w:r>
      <w:r w:rsidRPr="0053182F">
        <w:t xml:space="preserve"> due to the unethical CMS practices of its supplier, Foxconn </w:t>
      </w:r>
      <w:sdt>
        <w:sdtPr>
          <w:tag w:val="MENDELEY_CITATION_v3_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"/>
          <w:id w:val="-932975124"/>
          <w:placeholder>
            <w:docPart w:val="D1C68B3955334CC59C856CB3D3810BF0"/>
          </w:placeholder>
        </w:sdtPr>
        <w:sdtContent>
          <w:r w:rsidR="00CC1788" w:rsidRPr="0053182F">
            <w:rPr>
              <w:rFonts w:eastAsia="Times New Roman"/>
            </w:rPr>
            <w:t xml:space="preserve">(Brammer </w:t>
          </w:r>
          <w:r w:rsidR="00CC1788" w:rsidRPr="0053182F">
            <w:rPr>
              <w:rFonts w:eastAsia="Times New Roman"/>
              <w:i/>
              <w:iCs/>
            </w:rPr>
            <w:t>et al.</w:t>
          </w:r>
          <w:r w:rsidR="00CC1788" w:rsidRPr="0053182F">
            <w:rPr>
              <w:rFonts w:eastAsia="Times New Roman"/>
            </w:rPr>
            <w:t>, 2021)</w:t>
          </w:r>
        </w:sdtContent>
      </w:sdt>
      <w:r w:rsidRPr="0053182F">
        <w:t xml:space="preserve">.  Furthermore, countries such as the UK, Australia, and Canada have recognised the importance of developing and reporting CMS risks </w:t>
      </w:r>
      <w:sdt>
        <w:sdtPr>
          <w:tag w:val="MENDELEY_CITATION_v3_eyJjaXRhdGlvbklEIjoiTUVOREVMRVlfQ0lUQVRJT05fZWNhODBmYjQtMzdjMi00NDZhLTk1MDItZjMwMTEwMmYxMWMyIiwicHJvcGVydGllcyI6eyJub3RlSW5kZXgiOjB9LCJpc0VkaXRlZCI6ZmFsc2UsIm1hbnVhbE92ZXJyaWRlIjp7ImlzTWFudWFsbHlPdmVycmlkZGVuIjpmYWxzZSwiY2l0ZXByb2NUZXh0IjoiKENocmlzdCA8aT5ldCBhbC48L2k+LCAyMDE5OyBDaHJpc3QgYW5kIEJ1cnJpdHQsIDIwMjEpIiwibWFudWFsT3ZlcnJpZGVUZXh0Ijoi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
          <w:id w:val="-977224054"/>
          <w:placeholder>
            <w:docPart w:val="47B6B4090F284EBC9F3B8103DB023D75"/>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2019; Christ and Burritt, 2021)</w:t>
          </w:r>
        </w:sdtContent>
      </w:sdt>
      <w:r w:rsidRPr="0053182F">
        <w:t xml:space="preserve">. The emergence of legislation and initiatives </w:t>
      </w:r>
      <w:r w:rsidR="00FA6D77" w:rsidRPr="0053182F">
        <w:t>to address these concerns reflects the growing recognition</w:t>
      </w:r>
      <w:r w:rsidRPr="0053182F">
        <w:t xml:space="preserve"> </w:t>
      </w:r>
      <w:r w:rsidR="00FA6D77" w:rsidRPr="0053182F">
        <w:t xml:space="preserve">of </w:t>
      </w:r>
      <w:r w:rsidRPr="0053182F">
        <w:t xml:space="preserve">the severity of CMS practices as a global challenge for both firms and society </w:t>
      </w:r>
      <w:sdt>
        <w:sdtPr>
          <w:tag w:val="MENDELEY_CITATION_v3_eyJjaXRhdGlvbklEIjoiTUVOREVMRVlfQ0lUQVRJT05fNmQ1NGY0ZDktMjliMC00OWZiLTgyNWUtODY4NzFmZGQ2ZmNm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
          <w:id w:val="1046490504"/>
          <w:placeholder>
            <w:docPart w:val="C679C201CD374B95A864EEAB754E8D51"/>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w:t>
          </w:r>
        </w:sdtContent>
      </w:sdt>
      <w:r w:rsidRPr="0053182F">
        <w:t>. Additionally, these countries have also emphasi</w:t>
      </w:r>
      <w:r w:rsidR="00FA6D77" w:rsidRPr="0053182F">
        <w:t>s</w:t>
      </w:r>
      <w:r w:rsidRPr="0053182F">
        <w:t xml:space="preserve">ed the significance of developing and reporting MS risks </w:t>
      </w:r>
      <w:sdt>
        <w:sdtPr>
          <w:tag w:val="MENDELEY_CITATION_v3_eyJjaXRhdGlvbklEIjoiTUVOREVMRVlfQ0lUQVRJT05fNGNkZTQ4YTMtMDQ0Yy00Y2UwLWFmYzgtM2IwMDExN2JlMGJlIiwicHJvcGVydGllcyI6eyJub3RlSW5kZXgiOjB9LCJpc0VkaXRlZCI6ZmFsc2UsIm1hbnVhbE92ZXJyaWRlIjp7ImlzTWFudWFsbHlPdmVycmlkZGVuIjpmYWxzZSwiY2l0ZXByb2NUZXh0IjoiKENocmlzdCA8aT5ldCBhbC48L2k+LCAyMDE5OyBDaHJpc3QgYW5kIEJ1cnJpdHQsIDIwMjEpIiwibWFudWFsT3ZlcnJpZGVUZXh0Ijoi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
          <w:id w:val="276299228"/>
          <w:placeholder>
            <w:docPart w:val="5B683AC1F8A54A6AB6621E99C2D6063C"/>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2019; Christ and Burritt, 2021)</w:t>
          </w:r>
        </w:sdtContent>
      </w:sdt>
      <w:r w:rsidRPr="0053182F">
        <w:t xml:space="preserve">. Despite the existence of well-articulated frameworks for BHR practices, certain MNCs still adhere to a normative theory </w:t>
      </w:r>
      <w:sdt>
        <w:sdtPr>
          <w:tag w:val="MENDELEY_CITATION_v3_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"/>
          <w:id w:val="-1508445957"/>
          <w:placeholder>
            <w:docPart w:val="04F48D2856A742418BEAE29888A1ADCE"/>
          </w:placeholder>
        </w:sdtPr>
        <w:sdtContent>
          <w:r w:rsidR="00C11B5D" w:rsidRPr="0053182F">
            <w:t>(McPhail and Adams, 2016; Obara and Peattie, 2018)</w:t>
          </w:r>
        </w:sdtContent>
      </w:sdt>
      <w:r w:rsidRPr="0053182F">
        <w:t>.</w:t>
      </w:r>
      <w:r w:rsidRPr="0053182F">
        <w:rPr>
          <w:rStyle w:val="normaltextrun"/>
          <w:rFonts w:eastAsiaTheme="minorEastAsia"/>
        </w:rPr>
        <w:t xml:space="preserve"> </w:t>
      </w:r>
    </w:p>
    <w:p w14:paraId="1B41F6EF" w14:textId="4226EABB" w:rsidR="00144866" w:rsidRPr="0053182F" w:rsidRDefault="00144866" w:rsidP="00144866">
      <w:pPr>
        <w:spacing w:after="0" w:line="480" w:lineRule="auto"/>
        <w:ind w:firstLine="720"/>
        <w:jc w:val="both"/>
      </w:pPr>
      <w:r w:rsidRPr="0053182F">
        <w:t xml:space="preserve">Traditional accounting is mainly based on only economic or financial information </w:t>
      </w:r>
      <w:sdt>
        <w:sdtPr>
          <w:tag w:val="MENDELEY_CITATION_v3_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"/>
          <w:id w:val="89827818"/>
          <w:placeholder>
            <w:docPart w:val="83DBC89A5A8E4EE1ABB6B7A7878C44E9"/>
          </w:placeholder>
        </w:sdtPr>
        <w:sdtContent>
          <w:r w:rsidR="00CC1788" w:rsidRPr="0053182F">
            <w:t>(Laughlin, 2011)</w:t>
          </w:r>
        </w:sdtContent>
      </w:sdt>
      <w:r w:rsidRPr="0053182F">
        <w:t xml:space="preserve">. It is defined as a functional term that highlights providing information that guides the rational allocation of scarce resources and informs accountability evaluations" </w:t>
      </w:r>
      <w:sdt>
        <w:sdtPr>
          <w:tag w:val="MENDELEY_CITATION_v3_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"/>
          <w:id w:val="1850361700"/>
          <w:placeholder>
            <w:docPart w:val="83DBC89A5A8E4EE1ABB6B7A7878C44E9"/>
          </w:placeholder>
        </w:sdtPr>
        <w:sdtContent>
          <w:r w:rsidR="00CC1788" w:rsidRPr="0053182F">
            <w:t>(Pinto and West, 2017, p. 143)</w:t>
          </w:r>
        </w:sdtContent>
      </w:sdt>
      <w:r w:rsidRPr="0053182F">
        <w:t xml:space="preserve">. In contrast, contemporary accounting has a broader view and extends beyond traditional accounting. </w:t>
      </w:r>
      <w:r w:rsidR="00FA6D77" w:rsidRPr="0053182F">
        <w:t>The m</w:t>
      </w:r>
      <w:r w:rsidRPr="0053182F">
        <w:t xml:space="preserve">odern accounting profession differs from traditional accounting as it is more concerned with policy, practice, and accounting research </w:t>
      </w:r>
      <w:sdt>
        <w:sdtPr>
          <w:tag w:val="MENDELEY_CITATION_v3_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1dfQ=="/>
          <w:id w:val="-1835441151"/>
          <w:placeholder>
            <w:docPart w:val="92E7E5D61FA84BF2A2386C10D1CE614D"/>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xml:space="preserve">, 2023; Deegan, 2017; Laughlin, 2011; Parsa </w:t>
          </w:r>
          <w:r w:rsidR="00CC1788" w:rsidRPr="0053182F">
            <w:rPr>
              <w:rFonts w:eastAsia="Times New Roman"/>
              <w:i/>
              <w:iCs/>
            </w:rPr>
            <w:t>et al.</w:t>
          </w:r>
          <w:r w:rsidR="00CC1788" w:rsidRPr="0053182F">
            <w:rPr>
              <w:rFonts w:eastAsia="Times New Roman"/>
            </w:rPr>
            <w:t>, 2018)</w:t>
          </w:r>
        </w:sdtContent>
      </w:sdt>
      <w:r w:rsidRPr="0053182F">
        <w:t xml:space="preserve">. </w:t>
      </w:r>
      <w:r w:rsidRPr="0053182F">
        <w:rPr>
          <w:rFonts w:eastAsia="Palatino Linotype"/>
        </w:rPr>
        <w:t xml:space="preserve">Evidence </w:t>
      </w:r>
      <w:r w:rsidR="00551647" w:rsidRPr="0053182F">
        <w:rPr>
          <w:rFonts w:eastAsia="Palatino Linotype"/>
        </w:rPr>
        <w:t>from</w:t>
      </w:r>
      <w:r w:rsidRPr="0053182F">
        <w:rPr>
          <w:rFonts w:eastAsia="Palatino Linotype"/>
        </w:rPr>
        <w:t xml:space="preserve"> literature emphasises that slavery </w:t>
      </w:r>
      <w:r w:rsidR="00EB3A99" w:rsidRPr="0053182F">
        <w:rPr>
          <w:rFonts w:eastAsia="Palatino Linotype"/>
        </w:rPr>
        <w:t>ha</w:t>
      </w:r>
      <w:r w:rsidRPr="0053182F">
        <w:rPr>
          <w:rFonts w:eastAsia="Palatino Linotype"/>
        </w:rPr>
        <w:t xml:space="preserve">s not ended; the practice is continued in the black market under the label of illegal practice </w:t>
      </w:r>
      <w:sdt>
        <w:sdtPr>
          <w:rPr>
            <w:rFonts w:eastAsia="Palatino Linotype"/>
          </w:rPr>
          <w:tag w:val="MENDELEY_CITATION_v3_eyJjaXRhdGlvbklEIjoiTUVOREVMRVlfQ0lUQVRJT05fMTg3NzM2ZTAtZTkzNy00OTU1LTgwMmYtOWQzNzQ2OTUxZjM1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
          <w:id w:val="16141736"/>
          <w:placeholder>
            <w:docPart w:val="5450FA87A0AC4D85884471E35CDA4837"/>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2020)</w:t>
          </w:r>
        </w:sdtContent>
      </w:sdt>
      <w:r w:rsidRPr="0053182F">
        <w:rPr>
          <w:rFonts w:eastAsia="Palatino Linotype"/>
        </w:rPr>
        <w:t xml:space="preserve">. CMS is planned to be eliminated by 2030 </w:t>
      </w:r>
      <w:sdt>
        <w:sdtPr>
          <w:rPr>
            <w:rFonts w:eastAsia="Palatino Linotype"/>
          </w:rPr>
          <w:tag w:val="MENDELEY_CITATION_v3_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"/>
          <w:id w:val="1900355214"/>
          <w:placeholder>
            <w:docPart w:val="5450FA87A0AC4D85884471E35CDA4837"/>
          </w:placeholder>
        </w:sdtPr>
        <w:sdtContent>
          <w:r w:rsidR="00CC1788" w:rsidRPr="0053182F">
            <w:rPr>
              <w:rFonts w:eastAsia="Palatino Linotype"/>
            </w:rPr>
            <w:t>(United Nations, 2015);</w:t>
          </w:r>
        </w:sdtContent>
      </w:sdt>
      <w:r w:rsidRPr="0053182F">
        <w:rPr>
          <w:rFonts w:eastAsia="Palatino Linotype"/>
        </w:rPr>
        <w:t xml:space="preserve"> however, it is doubt</w:t>
      </w:r>
      <w:r w:rsidR="00551647" w:rsidRPr="0053182F">
        <w:rPr>
          <w:rFonts w:eastAsia="Palatino Linotype"/>
        </w:rPr>
        <w:t>ful whether</w:t>
      </w:r>
      <w:r w:rsidRPr="0053182F">
        <w:rPr>
          <w:rFonts w:eastAsia="Palatino Linotype"/>
        </w:rPr>
        <w:t xml:space="preserve"> these goals </w:t>
      </w:r>
      <w:r w:rsidR="00551647" w:rsidRPr="0053182F">
        <w:rPr>
          <w:rFonts w:eastAsia="Palatino Linotype"/>
        </w:rPr>
        <w:t xml:space="preserve">can be achieved </w:t>
      </w:r>
      <w:r w:rsidRPr="0053182F">
        <w:rPr>
          <w:rFonts w:eastAsia="Palatino Linotype"/>
        </w:rPr>
        <w:t xml:space="preserve">within this limited period </w:t>
      </w:r>
      <w:sdt>
        <w:sdtPr>
          <w:rPr>
            <w:rFonts w:eastAsia="Palatino Linotype"/>
          </w:rPr>
          <w:tag w:val="MENDELEY_CITATION_v3_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"/>
          <w:id w:val="831260602"/>
          <w:placeholder>
            <w:docPart w:val="5450FA87A0AC4D85884471E35CDA4837"/>
          </w:placeholder>
        </w:sdtPr>
        <w:sdtContent>
          <w:r w:rsidR="00C11B5D" w:rsidRPr="0053182F">
            <w:rPr>
              <w:rFonts w:eastAsia="Palatino Linotype"/>
            </w:rPr>
            <w:t>(United Nations, 2022)</w:t>
          </w:r>
        </w:sdtContent>
      </w:sdt>
      <w:r w:rsidRPr="0053182F">
        <w:rPr>
          <w:rFonts w:eastAsia="Palatino Linotype"/>
        </w:rPr>
        <w:t xml:space="preserve">. Hence, it needs urgent attention </w:t>
      </w:r>
      <w:r w:rsidR="00EB3A99" w:rsidRPr="0053182F">
        <w:rPr>
          <w:rFonts w:eastAsia="Palatino Linotype"/>
        </w:rPr>
        <w:t>in accounting for CMS, as it is an essential tool for recognising, measuring, and disclosing</w:t>
      </w:r>
      <w:r w:rsidRPr="0053182F">
        <w:rPr>
          <w:rFonts w:eastAsia="Palatino Linotype"/>
        </w:rPr>
        <w:t xml:space="preserve"> to enhance corporate accountability. </w:t>
      </w:r>
    </w:p>
    <w:p w14:paraId="4CAAED64" w14:textId="4B976BFB" w:rsidR="00144866" w:rsidRPr="0053182F" w:rsidRDefault="00144866" w:rsidP="00144866">
      <w:pPr>
        <w:spacing w:after="0" w:line="480" w:lineRule="auto"/>
        <w:ind w:firstLine="720"/>
        <w:jc w:val="both"/>
        <w:rPr>
          <w:rFonts w:eastAsia="Palatino Linotype"/>
        </w:rPr>
      </w:pPr>
      <w:r w:rsidRPr="0053182F">
        <w:t xml:space="preserve">Moreover, BHR as an accounting profession is still in </w:t>
      </w:r>
      <w:r w:rsidR="00DF2588" w:rsidRPr="0053182F">
        <w:t xml:space="preserve">its early stages, even in developed countries, and has limited reporting legislation </w:t>
      </w:r>
      <w:sdt>
        <w:sdtPr>
          <w:tag w:val="MENDELEY_CITATION_v3_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"/>
          <w:id w:val="-1792971468"/>
          <w:placeholder>
            <w:docPart w:val="97090AE9D5DD4FF58A5FAD07CB306C20"/>
          </w:placeholder>
        </w:sdtPr>
        <w:sdtContent>
          <w:r w:rsidR="00DF2588" w:rsidRPr="0053182F">
            <w:t>(</w:t>
          </w:r>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2020, 2023; McPhail and McKernan, 2011)</w:t>
          </w:r>
        </w:sdtContent>
      </w:sdt>
      <w:r w:rsidRPr="0053182F">
        <w:rPr>
          <w:rFonts w:eastAsia="Palatino Linotype"/>
        </w:rPr>
        <w:t xml:space="preserve">. In addition, BHR accounting is not limited to producing </w:t>
      </w:r>
      <w:r w:rsidRPr="0053182F">
        <w:t>MSS</w:t>
      </w:r>
      <w:r w:rsidRPr="0053182F">
        <w:rPr>
          <w:rFonts w:eastAsia="Palatino Linotype"/>
        </w:rPr>
        <w:t xml:space="preserve"> for legal compliance </w:t>
      </w:r>
      <w:sdt>
        <w:sdtPr>
          <w:rPr>
            <w:rFonts w:eastAsia="Palatino Linotype"/>
          </w:rPr>
          <w:tag w:val="MENDELEY_CITATION_v3_eyJjaXRhdGlvbklEIjoiTUVOREVMRVlfQ0lUQVRJT05fMzMyODZhODUtOGEyZC00YjQ3LTgxMzEtMjBlNzkzNmU2ZjE2IiwicHJvcGVydGllcyI6eyJub3RlSW5kZXgiOjB9LCJpc0VkaXRlZCI6ZmFsc2UsIm1hbnVhbE92ZXJyaWRlIjp7ImlzTWFudWFsbHlPdmVycmlkZGVuIjpmYWxzZSwiY2l0ZXByb2NUZXh0IjoiKFlvdW5nIGFuZCBHYWQsIDIwMjIpIiwibWFudWFsT3ZlcnJpZGVUZXh0IjoiIn0sImNpdGF0aW9uSXRlbXMiOlt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XX0="/>
          <w:id w:val="1073085728"/>
          <w:placeholder>
            <w:docPart w:val="97090AE9D5DD4FF58A5FAD07CB306C20"/>
          </w:placeholder>
        </w:sdtPr>
        <w:sdtContent>
          <w:r w:rsidR="00CC1788" w:rsidRPr="0053182F">
            <w:rPr>
              <w:rFonts w:eastAsia="Palatino Linotype"/>
            </w:rPr>
            <w:t>(Young and Gad, 2022)</w:t>
          </w:r>
        </w:sdtContent>
      </w:sdt>
      <w:r w:rsidRPr="0053182F">
        <w:rPr>
          <w:rFonts w:eastAsia="Palatino Linotype"/>
        </w:rPr>
        <w:t xml:space="preserve">. It should go beyond the primary consideration to build awareness of CMS practices and use modern technology to inspect and assess them accurately </w:t>
      </w:r>
      <w:sdt>
        <w:sdtPr>
          <w:rPr>
            <w:rFonts w:eastAsia="Palatino Linotype"/>
          </w:rPr>
          <w:tag w:val="MENDELEY_CITATION_v3_eyJjaXRhdGlvbklEIjoiTUVOREVMRVlfQ0lUQVRJT05fNTQ4NTM1ZDYtMGRhZS00YjQzLWEwYWItMWM1MjgwZDJmMjhh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
          <w:id w:val="1946740406"/>
          <w:placeholder>
            <w:docPart w:val="2F4463DB0A0E44778069BD08FFFBFC9F"/>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2020)</w:t>
          </w:r>
        </w:sdtContent>
      </w:sdt>
      <w:r w:rsidRPr="0053182F">
        <w:rPr>
          <w:rFonts w:eastAsia="Palatino Linotype"/>
        </w:rPr>
        <w:t xml:space="preserve">. For example, spy drones to explore unethical labour practices </w:t>
      </w:r>
      <w:sdt>
        <w:sdtPr>
          <w:rPr>
            <w:rFonts w:eastAsia="Palatino Linotype"/>
          </w:rPr>
          <w:tag w:val="MENDELEY_CITATION_v3_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"/>
          <w:id w:val="-1232764030"/>
          <w:placeholder>
            <w:docPart w:val="97090AE9D5DD4FF58A5FAD07CB306C20"/>
          </w:placeholder>
        </w:sdtPr>
        <w:sdtContent>
          <w:r w:rsidR="00CC1788" w:rsidRPr="0053182F">
            <w:rPr>
              <w:rFonts w:eastAsia="Palatino Linotype"/>
            </w:rPr>
            <w:t>(Katherine, 2022)</w:t>
          </w:r>
        </w:sdtContent>
      </w:sdt>
      <w:r w:rsidRPr="0053182F">
        <w:rPr>
          <w:rFonts w:eastAsia="Palatino Linotype"/>
        </w:rPr>
        <w:t xml:space="preserve">. Some jurisdictions have introduced legislation </w:t>
      </w:r>
      <w:r w:rsidR="00DF2588" w:rsidRPr="0053182F">
        <w:rPr>
          <w:rFonts w:eastAsia="Palatino Linotype"/>
        </w:rPr>
        <w:t>requiring companies to provide specific disclosures regarding their efforts to address MS—for example, the</w:t>
      </w:r>
      <w:r w:rsidRPr="0053182F">
        <w:rPr>
          <w:rFonts w:eastAsia="Palatino Linotype"/>
        </w:rPr>
        <w:t xml:space="preserve"> UK </w:t>
      </w:r>
      <w:r w:rsidRPr="0053182F">
        <w:t>MSS</w:t>
      </w:r>
      <w:r w:rsidRPr="0053182F">
        <w:rPr>
          <w:rFonts w:eastAsia="Palatino Linotype"/>
        </w:rPr>
        <w:t xml:space="preserve">. Corporations should disclose their efforts to identify and address CMS risks in their operations, including supply chains, which includes reporting on policies, due diligence processes, and actions taken to combat CMS practices </w:t>
      </w:r>
      <w:sdt>
        <w:sdtPr>
          <w:rPr>
            <w:rFonts w:eastAsia="Palatino Linotype"/>
          </w:rPr>
          <w:tag w:val="MENDELEY_CITATION_v3_eyJjaXRhdGlvbklEIjoiTUVOREVMRVlfQ0lUQVRJT05fZjJjMDcyYWEtYjc2Ni00YWYyLWI3N2YtODkwY2EzNjdjNDQzIiwicHJvcGVydGllcyI6eyJub3RlSW5kZXgiOjB9LCJpc0VkaXRlZCI6ZmFsc2UsIm1hbnVhbE92ZXJyaWRlIjp7ImlzTWFudWFsbHlPdmVycmlkZGVuIjp0cnVlLCJjaXRlcHJvY1RleHQiOiIoQ2hyaXN0IDxpPmV0IGFsLjwvaT4sIDIwMTk7IFJvZ2Vyc29uIDxpPmV0IGFsLjwvaT4sIDIwMjBhKSIsIm1hbnVhbE92ZXJyaWRlVGV4dCI6IihDaHJpc3QgZXQgYWwuLCAyMDE5OyBSb2dlcnNvbiBldCBhbC4sIDIwMjAp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"/>
          <w:id w:val="1431472791"/>
          <w:placeholder>
            <w:docPart w:val="91F0B3BFEDC6464EAA8EA453F2B629A1"/>
          </w:placeholder>
        </w:sdtPr>
        <w:sdtContent>
          <w:r w:rsidR="00C11B5D" w:rsidRPr="0053182F">
            <w:rPr>
              <w:rFonts w:eastAsia="Times New Roman"/>
            </w:rPr>
            <w:t>(Christ et al., 2019; Rogerson et al., 2020)</w:t>
          </w:r>
        </w:sdtContent>
      </w:sdt>
      <w:r w:rsidRPr="0053182F">
        <w:rPr>
          <w:rFonts w:eastAsia="Palatino Linotype"/>
        </w:rPr>
        <w:t xml:space="preserve"> </w:t>
      </w:r>
    </w:p>
    <w:p w14:paraId="5461E281" w14:textId="3CCF173F" w:rsidR="00144866" w:rsidRPr="0053182F" w:rsidRDefault="00144866" w:rsidP="00144866">
      <w:pPr>
        <w:spacing w:after="0" w:line="480" w:lineRule="auto"/>
        <w:ind w:firstLine="720"/>
        <w:jc w:val="both"/>
        <w:rPr>
          <w:rFonts w:eastAsia="Palatino Linotype"/>
        </w:rPr>
      </w:pPr>
      <w:r w:rsidRPr="0053182F">
        <w:rPr>
          <w:rFonts w:eastAsia="Palatino Linotype"/>
        </w:rPr>
        <w:t xml:space="preserve">Introducing new legislation and initiatives </w:t>
      </w:r>
      <w:r w:rsidR="00DF2588" w:rsidRPr="0053182F">
        <w:rPr>
          <w:rFonts w:eastAsia="Palatino Linotype"/>
        </w:rPr>
        <w:t xml:space="preserve">to encourage </w:t>
      </w:r>
      <w:r w:rsidR="002177E4" w:rsidRPr="0053182F">
        <w:rPr>
          <w:rFonts w:eastAsia="Palatino Linotype"/>
        </w:rPr>
        <w:t>disclosure of</w:t>
      </w:r>
      <w:r w:rsidR="00DF2588" w:rsidRPr="0053182F">
        <w:rPr>
          <w:rFonts w:eastAsia="Palatino Linotype"/>
        </w:rPr>
        <w:t xml:space="preserve"> CMS practices in its activities encourages businesses to make strategic management decisions to identify CMS practices in their supply chains, including sub-contractors, to end</w:t>
      </w:r>
      <w:r w:rsidR="000F08DB" w:rsidRPr="0053182F">
        <w:rPr>
          <w:rFonts w:eastAsia="Palatino Linotype"/>
        </w:rPr>
        <w:t xml:space="preserve"> </w:t>
      </w:r>
      <w:r w:rsidRPr="0053182F">
        <w:rPr>
          <w:rFonts w:eastAsia="Palatino Linotype"/>
        </w:rPr>
        <w:t xml:space="preserve">MS </w:t>
      </w:r>
      <w:sdt>
        <w:sdtPr>
          <w:rPr>
            <w:rFonts w:eastAsia="Palatino Linotype"/>
          </w:rPr>
          <w:tag w:val="MENDELEY_CITATION_v3_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"/>
          <w:id w:val="-911935399"/>
          <w:placeholder>
            <w:docPart w:val="93E4FF3F1D194534AA70F8EBE46B1BF3"/>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2022)</w:t>
          </w:r>
        </w:sdtContent>
      </w:sdt>
      <w:r w:rsidRPr="0053182F">
        <w:rPr>
          <w:rFonts w:eastAsia="Palatino Linotype"/>
        </w:rPr>
        <w:t>. In sum, the best practice of CMS reporting requires MNCs</w:t>
      </w:r>
      <w:r w:rsidR="002177E4" w:rsidRPr="0053182F">
        <w:rPr>
          <w:rFonts w:eastAsia="Palatino Linotype"/>
        </w:rPr>
        <w:t xml:space="preserve"> to engage more closely with their ground-level supplier chains to identify risks and undertak</w:t>
      </w:r>
      <w:r w:rsidRPr="0053182F">
        <w:rPr>
          <w:rFonts w:eastAsia="Palatino Linotype"/>
        </w:rPr>
        <w:t xml:space="preserve">e </w:t>
      </w:r>
      <w:r w:rsidR="002177E4" w:rsidRPr="0053182F">
        <w:rPr>
          <w:rFonts w:eastAsia="Palatino Linotype"/>
        </w:rPr>
        <w:t xml:space="preserve">due </w:t>
      </w:r>
      <w:r w:rsidRPr="0053182F">
        <w:rPr>
          <w:rFonts w:eastAsia="Palatino Linotype"/>
        </w:rPr>
        <w:t xml:space="preserve">diligence </w:t>
      </w:r>
      <w:sdt>
        <w:sdtPr>
          <w:rPr>
            <w:rFonts w:eastAsia="Palatino Linotype"/>
          </w:rPr>
          <w:tag w:val="MENDELEY_CITATION_v3_eyJjaXRhdGlvbklEIjoiTUVOREVMRVlfQ0lUQVRJT05fMjhlMzIxODItZmM1MC00MzI3LWE2YWYtYTgyOWQ4NDQ4NGY1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
          <w:id w:val="-1463883101"/>
          <w:placeholder>
            <w:docPart w:val="EF1F2445835D4525B5A067F7B40AEA42"/>
          </w:placeholder>
        </w:sdtPr>
        <w:sdtContent>
          <w:r w:rsidR="00CC1788" w:rsidRPr="0053182F">
            <w:rPr>
              <w:rFonts w:eastAsia="Palatino Linotype"/>
            </w:rPr>
            <w:t>(Christ and Burritt, 2021)</w:t>
          </w:r>
        </w:sdtContent>
      </w:sdt>
      <w:r w:rsidRPr="0053182F">
        <w:rPr>
          <w:rFonts w:eastAsia="Palatino Linotype"/>
        </w:rPr>
        <w:t>. Also, it is essential to disclose the effort</w:t>
      </w:r>
      <w:r w:rsidR="002177E4" w:rsidRPr="0053182F">
        <w:rPr>
          <w:rFonts w:eastAsia="Palatino Linotype"/>
        </w:rPr>
        <w:t>s and strategies of the CMS eradication process rather than a tick-box approach to r</w:t>
      </w:r>
      <w:r w:rsidRPr="0053182F">
        <w:rPr>
          <w:rFonts w:eastAsia="Palatino Linotype"/>
        </w:rPr>
        <w:t xml:space="preserve">egulatory compliance </w:t>
      </w:r>
      <w:sdt>
        <w:sdtPr>
          <w:rPr>
            <w:rFonts w:eastAsia="Palatino Linotype"/>
          </w:rPr>
          <w:tag w:val="MENDELEY_CITATION_v3_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"/>
          <w:id w:val="1274288060"/>
          <w:placeholder>
            <w:docPart w:val="97090AE9D5DD4FF58A5FAD07CB306C20"/>
          </w:placeholder>
        </w:sdtPr>
        <w:sdtContent>
          <w:r w:rsidR="00C11B5D" w:rsidRPr="0053182F">
            <w:rPr>
              <w:rFonts w:eastAsia="Times New Roman"/>
            </w:rPr>
            <w:t>(Rogerson et al., 2020)</w:t>
          </w:r>
        </w:sdtContent>
      </w:sdt>
      <w:r w:rsidRPr="0053182F">
        <w:rPr>
          <w:rFonts w:eastAsia="Palatino Linotype"/>
        </w:rPr>
        <w:t xml:space="preserve">. </w:t>
      </w:r>
    </w:p>
    <w:p w14:paraId="4A3B4C26" w14:textId="099564C0" w:rsidR="00144866" w:rsidRPr="0053182F" w:rsidRDefault="00144866" w:rsidP="0056373F">
      <w:pPr>
        <w:pStyle w:val="Heading3"/>
      </w:pPr>
      <w:bookmarkStart w:id="107" w:name="_Toc139533355"/>
      <w:bookmarkStart w:id="108" w:name="_Toc151541461"/>
      <w:bookmarkStart w:id="109" w:name="_Toc215651803"/>
      <w:bookmarkStart w:id="110" w:name="_Toc218357098"/>
      <w:r w:rsidRPr="0053182F">
        <w:rPr>
          <w:rFonts w:eastAsia="Times New Roman"/>
        </w:rPr>
        <w:t>3.5.1</w:t>
      </w:r>
      <w:r w:rsidRPr="0053182F">
        <w:t xml:space="preserve"> Why is Corporate Modern </w:t>
      </w:r>
      <w:r w:rsidR="002177E4" w:rsidRPr="0053182F">
        <w:t>S</w:t>
      </w:r>
      <w:r w:rsidRPr="0053182F">
        <w:t xml:space="preserve">lavery a </w:t>
      </w:r>
      <w:r w:rsidR="002177E4" w:rsidRPr="0053182F">
        <w:t>P</w:t>
      </w:r>
      <w:r w:rsidRPr="0053182F">
        <w:t xml:space="preserve">ressing </w:t>
      </w:r>
      <w:r w:rsidR="002177E4" w:rsidRPr="0053182F">
        <w:t>I</w:t>
      </w:r>
      <w:r w:rsidRPr="0053182F">
        <w:t xml:space="preserve">ssue for </w:t>
      </w:r>
      <w:bookmarkEnd w:id="107"/>
      <w:r w:rsidR="002177E4" w:rsidRPr="0053182F">
        <w:t>B</w:t>
      </w:r>
      <w:r w:rsidRPr="0053182F">
        <w:t>usiness</w:t>
      </w:r>
      <w:bookmarkEnd w:id="108"/>
      <w:r w:rsidRPr="0053182F">
        <w:t>?</w:t>
      </w:r>
      <w:bookmarkEnd w:id="109"/>
      <w:bookmarkEnd w:id="110"/>
    </w:p>
    <w:p w14:paraId="5FE52D1D" w14:textId="1A6B78B2" w:rsidR="00144866" w:rsidRPr="0053182F" w:rsidRDefault="00144866" w:rsidP="0056373F">
      <w:pPr>
        <w:spacing w:after="0" w:line="480" w:lineRule="auto"/>
        <w:ind w:firstLine="720"/>
        <w:jc w:val="both"/>
        <w:rPr>
          <w:rFonts w:eastAsia="Palatino Linotype"/>
        </w:rPr>
      </w:pPr>
      <w:r w:rsidRPr="0053182F">
        <w:rPr>
          <w:rFonts w:eastAsia="Palatino Linotype"/>
        </w:rPr>
        <w:t xml:space="preserve">MS is a material business risk because it is pervasive, often hidden in complex, multi-tier supply chains, and frequently under-detected where regulation and enforcement are weak </w:t>
      </w:r>
      <w:sdt>
        <w:sdtPr>
          <w:rPr>
            <w:rFonts w:eastAsia="Palatino Linotype"/>
          </w:rPr>
          <w:tag w:val="MENDELEY_CITATION_v3_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"/>
          <w:id w:val="-171646600"/>
          <w:placeholder>
            <w:docPart w:val="97090AE9D5DD4FF58A5FAD07CB306C20"/>
          </w:placeholder>
        </w:sdtPr>
        <w:sdtContent>
          <w:r w:rsidR="00C11B5D" w:rsidRPr="0053182F">
            <w:rPr>
              <w:rFonts w:eastAsia="Times New Roman"/>
            </w:rPr>
            <w:t>(LeBaron et al., 2018; Meehan and Pinnington, 2021)</w:t>
          </w:r>
        </w:sdtContent>
      </w:sdt>
      <w:r w:rsidRPr="0053182F">
        <w:rPr>
          <w:rFonts w:eastAsia="Palatino Linotype"/>
        </w:rPr>
        <w:t xml:space="preserve">. Disclosure regimes in core economies (e.g., California, UK, Australia) have expanded transparency, yet evidence suggests they often serve corporate interests more than worker protection, leaving policy–practice gaps across peripheral supplier countries </w:t>
      </w:r>
      <w:sdt>
        <w:sdtPr>
          <w:rPr>
            <w:rFonts w:eastAsia="Palatino Linotype"/>
          </w:rPr>
          <w:tag w:val="MENDELEY_CITATION_v3_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"/>
          <w:id w:val="1512875558"/>
          <w:placeholder>
            <w:docPart w:val="93485DDCDDD84390A37FAAA16FB06D67"/>
          </w:placeholder>
        </w:sdtPr>
        <w:sdtContent>
          <w:r w:rsidR="00CC1788" w:rsidRPr="0053182F">
            <w:rPr>
              <w:rFonts w:eastAsia="Times New Roman"/>
            </w:rPr>
            <w:t xml:space="preserve">(Ahmad </w:t>
          </w:r>
          <w:r w:rsidR="00CC1788" w:rsidRPr="0053182F">
            <w:rPr>
              <w:rFonts w:eastAsia="Times New Roman"/>
              <w:i/>
              <w:iCs/>
            </w:rPr>
            <w:t>et al.</w:t>
          </w:r>
          <w:r w:rsidR="00CC1788" w:rsidRPr="0053182F">
            <w:rPr>
              <w:rFonts w:eastAsia="Times New Roman"/>
            </w:rPr>
            <w:t>, 2023)</w:t>
          </w:r>
        </w:sdtContent>
      </w:sdt>
      <w:r w:rsidRPr="0053182F">
        <w:rPr>
          <w:rFonts w:eastAsia="Palatino Linotype"/>
        </w:rPr>
        <w:t xml:space="preserve">. Limited regulatory clarity and fragmented oversight reduce firms’ visibility of lower tiers, increasing the chance of unknowing complicity </w:t>
      </w:r>
      <w:sdt>
        <w:sdtPr>
          <w:rPr>
            <w:rFonts w:eastAsia="Palatino Linotype"/>
          </w:rPr>
          <w:tag w:val="MENDELEY_CITATION_v3_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"/>
          <w:id w:val="-4587275"/>
          <w:placeholder>
            <w:docPart w:val="6673BD4979EA4C0EB0A7E4376B063063"/>
          </w:placeholder>
        </w:sdtPr>
        <w:sdtContent>
          <w:r w:rsidR="00CC1788" w:rsidRPr="0053182F">
            <w:rPr>
              <w:rFonts w:eastAsia="Times New Roman"/>
            </w:rPr>
            <w:t>(GRI and RLI, 2019; Voss et al., 2019; LeBaron, 2021a)</w:t>
          </w:r>
        </w:sdtContent>
      </w:sdt>
      <w:r w:rsidRPr="0053182F">
        <w:rPr>
          <w:rFonts w:eastAsia="Palatino Linotype"/>
        </w:rPr>
        <w:t>.</w:t>
      </w:r>
    </w:p>
    <w:p w14:paraId="76008D2B" w14:textId="561AB427" w:rsidR="00144866" w:rsidRPr="0053182F" w:rsidRDefault="00144866" w:rsidP="00144866">
      <w:pPr>
        <w:spacing w:after="0" w:line="480" w:lineRule="auto"/>
        <w:ind w:firstLine="720"/>
        <w:jc w:val="both"/>
        <w:rPr>
          <w:rFonts w:eastAsia="Palatino Linotype"/>
        </w:rPr>
      </w:pPr>
      <w:r w:rsidRPr="0053182F">
        <w:rPr>
          <w:rFonts w:eastAsia="Palatino Linotype"/>
        </w:rPr>
        <w:t xml:space="preserve"> Furthermore, CMS can be </w:t>
      </w:r>
      <w:r w:rsidR="002177E4" w:rsidRPr="0053182F">
        <w:rPr>
          <w:rFonts w:eastAsia="Palatino Linotype"/>
        </w:rPr>
        <w:t xml:space="preserve">complex and hidden, </w:t>
      </w:r>
      <w:r w:rsidRPr="0053182F">
        <w:rPr>
          <w:rFonts w:eastAsia="Palatino Linotype"/>
        </w:rPr>
        <w:t>often involving intricate networks of subcontractors and suppliers operating across different jurisdictions (</w:t>
      </w:r>
      <w:sdt>
        <w:sdtPr>
          <w:rPr>
            <w:rFonts w:eastAsia="Palatino Linotype"/>
          </w:rPr>
          <w:tag w:val="MENDELEY_CITATION_v3_eyJjaXRhdGlvbklEIjoiTUVOREVMRVlfQ0lUQVRJT05fMDJjODljNDAtMGUzNy00NmI1LTg3ZmItMjNmYjA4YWU4ZWQ5IiwicHJvcGVydGllcyI6eyJub3RlSW5kZXgiOjB9LCJpc0VkaXRlZCI6ZmFsc2UsIm1hbnVhbE92ZXJyaWRlIjp7ImlzTWFudWFsbHlPdmVycmlkZGVuIjp0cnVlLCJjaXRlcHJvY1RleHQiOiIoU2NoYXBlciBhbmQgUG9sbGFjaCwgMjAyMTsgVm9zcyA8aT5ldCBhbC48L2k+LCAyMDE5KSIsIm1hbnVhbE92ZXJyaWRlVGV4dCI6IlZvc3MgZXQgYWwuLCAyMDE5OyBTY2hhcGVyIGFuZCBQb2xsYWNoLCAyMDIxKSJ9LCJjaXRhdGlvbkl0ZW1zIjpb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"/>
          <w:id w:val="-1628076682"/>
          <w:placeholder>
            <w:docPart w:val="97090AE9D5DD4FF58A5FAD07CB306C20"/>
          </w:placeholder>
        </w:sdtPr>
        <w:sdtContent>
          <w:r w:rsidR="00CC1788" w:rsidRPr="0053182F">
            <w:rPr>
              <w:rFonts w:eastAsia="Times New Roman"/>
            </w:rPr>
            <w:t>Voss et al., 2019; Schaper and Pollach, 2021)</w:t>
          </w:r>
        </w:sdtContent>
      </w:sdt>
      <w:r w:rsidRPr="0053182F">
        <w:rPr>
          <w:rFonts w:eastAsia="Palatino Linotype"/>
        </w:rPr>
        <w:t xml:space="preserve">. These complexities make it challenging for businesses to trace the origin of their goods and determine whether forced labour or child labour was involved in their production </w:t>
      </w:r>
      <w:sdt>
        <w:sdtPr>
          <w:rPr>
            <w:rFonts w:eastAsia="Palatino Linotype"/>
          </w:rPr>
          <w:tag w:val="MENDELEY_CITATION_v3_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CYgR292ZXJuYW5jZSIsImNvbnRhaW5lci10aXRsZS1zaG9ydCI6IlJlZ3VsIEdvdiIsImFjY2Vzc2VkIjp7ImRhdGUtcGFydHMiOltbMjAyMywyLDRdXX0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"/>
          <w:id w:val="-1607736318"/>
          <w:placeholder>
            <w:docPart w:val="97090AE9D5DD4FF58A5FAD07CB306C20"/>
          </w:placeholder>
        </w:sdtPr>
        <w:sdtContent>
          <w:r w:rsidR="00CC1788" w:rsidRPr="0053182F">
            <w:rPr>
              <w:rFonts w:eastAsia="Times New Roman"/>
            </w:rPr>
            <w:t>(Crane et al., 2019b; LeBaron, 2021)</w:t>
          </w:r>
        </w:sdtContent>
      </w:sdt>
      <w:r w:rsidRPr="0053182F">
        <w:rPr>
          <w:rFonts w:eastAsia="Palatino Linotype"/>
        </w:rPr>
        <w:t xml:space="preserve">. In such cases, businesses may unknowingly become complicit in perpetuating CMS due to their limited knowledge of </w:t>
      </w:r>
      <w:r w:rsidR="002177E4" w:rsidRPr="0053182F">
        <w:rPr>
          <w:rFonts w:eastAsia="Palatino Linotype"/>
        </w:rPr>
        <w:t>conditions and practices i</w:t>
      </w:r>
      <w:r w:rsidRPr="0053182F">
        <w:rPr>
          <w:rFonts w:eastAsia="Palatino Linotype"/>
        </w:rPr>
        <w:t>n their supply chains.</w:t>
      </w:r>
    </w:p>
    <w:p w14:paraId="0E34B072" w14:textId="166E0F04" w:rsidR="00144866" w:rsidRPr="0053182F" w:rsidRDefault="00144866" w:rsidP="00144866">
      <w:pPr>
        <w:spacing w:after="0" w:line="480" w:lineRule="auto"/>
        <w:ind w:firstLine="720"/>
        <w:jc w:val="both"/>
        <w:rPr>
          <w:rFonts w:eastAsia="Palatino Linotype"/>
        </w:rPr>
      </w:pPr>
      <w:r w:rsidRPr="0053182F">
        <w:rPr>
          <w:rFonts w:eastAsia="Palatino Linotype"/>
        </w:rPr>
        <w:t xml:space="preserve">The consequence of this unawareness is twofold. Firstly, it perpetuates the problem of MS, allowing exploitative practices to persist without being addressed. Secondly, it results in missed opportunities for businesses to utilise their significant potential to </w:t>
      </w:r>
      <w:r w:rsidR="007E6025" w:rsidRPr="0053182F">
        <w:rPr>
          <w:rFonts w:eastAsia="Palatino Linotype"/>
        </w:rPr>
        <w:t>help eliminate</w:t>
      </w:r>
      <w:r w:rsidRPr="0053182F">
        <w:rPr>
          <w:rFonts w:eastAsia="Palatino Linotype"/>
        </w:rPr>
        <w:t xml:space="preserve"> the issue. By recognising the existence of CMS and taking proactive measures to combat it, businesses can make a substantial positive impact on the lives of affected individuals and contribute to the </w:t>
      </w:r>
      <w:r w:rsidR="007E6025" w:rsidRPr="0053182F">
        <w:rPr>
          <w:rFonts w:eastAsia="Palatino Linotype"/>
        </w:rPr>
        <w:t>broa</w:t>
      </w:r>
      <w:r w:rsidRPr="0053182F">
        <w:rPr>
          <w:rFonts w:eastAsia="Palatino Linotype"/>
        </w:rPr>
        <w:t xml:space="preserve">der global effort to eradicate this grave labour rights violation </w:t>
      </w:r>
      <w:r w:rsidRPr="0053182F">
        <w:rPr>
          <w:rFonts w:eastAsia="Times New Roman"/>
        </w:rPr>
        <w:t>(GRI and RLI, 2019).</w:t>
      </w:r>
    </w:p>
    <w:p w14:paraId="1661C8C7" w14:textId="261FA71C" w:rsidR="00144866" w:rsidRPr="0053182F" w:rsidRDefault="00144866" w:rsidP="00144866">
      <w:pPr>
        <w:spacing w:after="0" w:line="480" w:lineRule="auto"/>
        <w:ind w:firstLine="720"/>
        <w:jc w:val="both"/>
        <w:rPr>
          <w:rFonts w:eastAsia="Palatino Linotype"/>
        </w:rPr>
      </w:pPr>
      <w:r w:rsidRPr="0053182F">
        <w:rPr>
          <w:rFonts w:eastAsia="Palatino Linotype"/>
        </w:rPr>
        <w:t>The extent of CMS in supply chains is alarming, as confirmed by the US Department of Labour</w:t>
      </w:r>
      <w:r w:rsidR="00FE0C7D" w:rsidRPr="0053182F">
        <w:rPr>
          <w:rFonts w:eastAsia="Palatino Linotype"/>
        </w:rPr>
        <w:t xml:space="preserve"> </w:t>
      </w:r>
      <w:sdt>
        <w:sdtPr>
          <w:rPr>
            <w:rFonts w:eastAsia="Palatino Linotype"/>
          </w:rPr>
          <w:tag w:val="MENDELEY_CITATION_v3_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"/>
          <w:id w:val="1561829687"/>
          <w:placeholder>
            <w:docPart w:val="97090AE9D5DD4FF58A5FAD07CB306C20"/>
          </w:placeholder>
        </w:sdtPr>
        <w:sdtContent>
          <w:r w:rsidR="00C11B5D" w:rsidRPr="0053182F">
            <w:rPr>
              <w:rFonts w:eastAsia="Palatino Linotype"/>
            </w:rPr>
            <w:t>(2022)</w:t>
          </w:r>
        </w:sdtContent>
      </w:sdt>
      <w:r w:rsidR="0030704C" w:rsidRPr="0053182F">
        <w:rPr>
          <w:rFonts w:eastAsia="Palatino Linotype"/>
        </w:rPr>
        <w:t xml:space="preserve"> finding</w:t>
      </w:r>
      <w:r w:rsidR="000213A2" w:rsidRPr="0053182F">
        <w:rPr>
          <w:rFonts w:eastAsia="Palatino Linotype"/>
        </w:rPr>
        <w:t xml:space="preserve">s. </w:t>
      </w:r>
      <w:r w:rsidRPr="0053182F">
        <w:rPr>
          <w:rFonts w:eastAsia="Palatino Linotype"/>
        </w:rPr>
        <w:t xml:space="preserve"> Their report reveals that 148 commodities and goods, ranging from timber to electronics to flowers, produced or imported to the United States</w:t>
      </w:r>
      <w:r w:rsidR="00BE28E0" w:rsidRPr="0053182F">
        <w:rPr>
          <w:rFonts w:eastAsia="Palatino Linotype"/>
        </w:rPr>
        <w:t>,</w:t>
      </w:r>
      <w:r w:rsidRPr="0053182F">
        <w:rPr>
          <w:rFonts w:eastAsia="Palatino Linotype"/>
        </w:rPr>
        <w:t xml:space="preserve"> are tainted by forced labour or child labour. This statistic highlights the widespread nature of the problem, not limited to specific industries or geographic regions. It emphasises the urgent need for businesses to </w:t>
      </w:r>
      <w:r w:rsidR="004C3F5F" w:rsidRPr="0053182F">
        <w:rPr>
          <w:rFonts w:eastAsia="Palatino Linotype"/>
        </w:rPr>
        <w:t xml:space="preserve">raise awareness of risks </w:t>
      </w:r>
      <w:r w:rsidRPr="0053182F">
        <w:rPr>
          <w:rFonts w:eastAsia="Palatino Linotype"/>
        </w:rPr>
        <w:t>in their supply chains, conduct thorough due diligence, and implement effective measures to identify and eliminate any instances of CMS.</w:t>
      </w:r>
    </w:p>
    <w:p w14:paraId="40603915" w14:textId="391F3F02" w:rsidR="00144866" w:rsidRPr="0053182F" w:rsidRDefault="00144866" w:rsidP="00144866">
      <w:pPr>
        <w:spacing w:after="0" w:line="480" w:lineRule="auto"/>
        <w:ind w:firstLine="720"/>
        <w:jc w:val="both"/>
        <w:rPr>
          <w:rFonts w:eastAsia="Palatino Linotype"/>
        </w:rPr>
      </w:pPr>
      <w:r w:rsidRPr="0053182F">
        <w:rPr>
          <w:rFonts w:eastAsia="Palatino Linotype"/>
        </w:rPr>
        <w:t xml:space="preserve">In addition, </w:t>
      </w:r>
      <w:r w:rsidR="006E0900" w:rsidRPr="0053182F">
        <w:rPr>
          <w:rFonts w:eastAsia="Palatino Linotype"/>
        </w:rPr>
        <w:t>the literature provid</w:t>
      </w:r>
      <w:r w:rsidR="004C3F5F" w:rsidRPr="0053182F">
        <w:rPr>
          <w:rFonts w:eastAsia="Palatino Linotype"/>
        </w:rPr>
        <w:t>es several compelling reasons why organisations should prioritis</w:t>
      </w:r>
      <w:r w:rsidRPr="0053182F">
        <w:rPr>
          <w:rFonts w:eastAsia="Palatino Linotype"/>
        </w:rPr>
        <w:t>e CMS due diligence and disclose their efforts. These reasons include increasing pressure from society, expanding legislation, business case for transparency, competitive advantage</w:t>
      </w:r>
      <w:r w:rsidR="004C3F5F" w:rsidRPr="0053182F">
        <w:rPr>
          <w:rFonts w:eastAsia="Palatino Linotype"/>
        </w:rPr>
        <w:t>,</w:t>
      </w:r>
      <w:r w:rsidRPr="0053182F">
        <w:rPr>
          <w:rFonts w:eastAsia="Palatino Linotype"/>
        </w:rPr>
        <w:t xml:space="preserve"> stakeholder trust and supply-chain visibility </w:t>
      </w:r>
      <w:r w:rsidRPr="0053182F">
        <w:rPr>
          <w:rFonts w:eastAsia="Palatino Linotype"/>
          <w:highlight w:val="yellow"/>
        </w:rPr>
        <w:t xml:space="preserve">(Refer </w:t>
      </w:r>
      <w:r w:rsidR="004C3F5F" w:rsidRPr="0053182F">
        <w:rPr>
          <w:rFonts w:eastAsia="Palatino Linotype"/>
          <w:highlight w:val="yellow"/>
        </w:rPr>
        <w:t xml:space="preserve">to </w:t>
      </w:r>
      <w:r w:rsidRPr="0053182F">
        <w:rPr>
          <w:rFonts w:eastAsia="Palatino Linotype"/>
          <w:highlight w:val="yellow"/>
        </w:rPr>
        <w:t>Appendix Table A</w:t>
      </w:r>
      <w:r w:rsidR="00A60679" w:rsidRPr="0053182F">
        <w:rPr>
          <w:rFonts w:eastAsia="Palatino Linotype"/>
          <w:highlight w:val="yellow"/>
        </w:rPr>
        <w:t>2</w:t>
      </w:r>
      <w:r w:rsidRPr="0053182F">
        <w:rPr>
          <w:rFonts w:eastAsia="Palatino Linotype"/>
          <w:highlight w:val="yellow"/>
        </w:rPr>
        <w:t xml:space="preserve"> for more information)</w:t>
      </w:r>
      <w:r w:rsidR="00CB0218" w:rsidRPr="0053182F">
        <w:rPr>
          <w:rFonts w:eastAsia="Palatino Linotype"/>
          <w:highlight w:val="yellow"/>
        </w:rPr>
        <w:t>.</w:t>
      </w:r>
    </w:p>
    <w:p w14:paraId="467ABCB6" w14:textId="649E5D0B" w:rsidR="00144866" w:rsidRPr="0053182F" w:rsidRDefault="00144866" w:rsidP="00144866">
      <w:pPr>
        <w:spacing w:after="0" w:line="480" w:lineRule="auto"/>
        <w:ind w:firstLine="720"/>
        <w:jc w:val="both"/>
        <w:rPr>
          <w:rFonts w:eastAsia="Palatino Linotype"/>
        </w:rPr>
      </w:pPr>
      <w:r w:rsidRPr="0053182F">
        <w:rPr>
          <w:rFonts w:eastAsia="Palatino Linotype"/>
        </w:rPr>
        <w:t xml:space="preserve">Despite the emergence of regulations, legislative initiatives, and some pioneering companies, tackling CMS and reporting on </w:t>
      </w:r>
      <w:r w:rsidR="006E0900" w:rsidRPr="0053182F">
        <w:rPr>
          <w:rFonts w:eastAsia="Palatino Linotype"/>
        </w:rPr>
        <w:t>it remain</w:t>
      </w:r>
      <w:r w:rsidRPr="0053182F">
        <w:rPr>
          <w:rFonts w:eastAsia="Palatino Linotype"/>
        </w:rPr>
        <w:t xml:space="preserve"> emerging practices within the business sector. However, there is a growing recognition of the need for greater transparency and more comprehensive measures to address adverse impacts and compliance risks. Companies that take steps towards transparency in their supply chains can not only mitigate risks but also gain </w:t>
      </w:r>
      <w:r w:rsidR="000213A2" w:rsidRPr="0053182F">
        <w:rPr>
          <w:rFonts w:eastAsia="Palatino Linotype"/>
        </w:rPr>
        <w:t>stakeholder trust</w:t>
      </w:r>
      <w:r w:rsidRPr="0053182F">
        <w:rPr>
          <w:rFonts w:eastAsia="Palatino Linotype"/>
        </w:rPr>
        <w:t xml:space="preserve"> and strengthen their competitive position in the market.</w:t>
      </w:r>
    </w:p>
    <w:p w14:paraId="6DA6630A" w14:textId="5EC56E6E" w:rsidR="00144866" w:rsidRPr="0053182F" w:rsidRDefault="00144866" w:rsidP="00144866">
      <w:pPr>
        <w:pStyle w:val="Heading3"/>
      </w:pPr>
      <w:bookmarkStart w:id="111" w:name="_Toc139533356"/>
      <w:bookmarkStart w:id="112" w:name="_Toc151541462"/>
      <w:bookmarkStart w:id="113" w:name="_Toc215651804"/>
      <w:bookmarkStart w:id="114" w:name="_Toc218357099"/>
      <w:r w:rsidRPr="0053182F">
        <w:t xml:space="preserve">3.5.2 </w:t>
      </w:r>
      <w:r w:rsidR="004C3F5F" w:rsidRPr="0053182F">
        <w:t>W</w:t>
      </w:r>
      <w:r w:rsidRPr="0053182F">
        <w:t xml:space="preserve">hy is Business </w:t>
      </w:r>
      <w:r w:rsidR="00316497" w:rsidRPr="0053182F">
        <w:t>MS a</w:t>
      </w:r>
      <w:r w:rsidRPr="0053182F">
        <w:t xml:space="preserve"> material topic for an </w:t>
      </w:r>
      <w:bookmarkStart w:id="115" w:name="_Toc131356297"/>
      <w:bookmarkEnd w:id="111"/>
      <w:r w:rsidRPr="0053182F">
        <w:t>organi</w:t>
      </w:r>
      <w:r w:rsidR="004C3F5F" w:rsidRPr="0053182F">
        <w:t>s</w:t>
      </w:r>
      <w:r w:rsidRPr="0053182F">
        <w:t>ation</w:t>
      </w:r>
      <w:bookmarkEnd w:id="112"/>
      <w:r w:rsidRPr="0053182F">
        <w:t>?</w:t>
      </w:r>
      <w:bookmarkEnd w:id="113"/>
      <w:bookmarkEnd w:id="114"/>
    </w:p>
    <w:p w14:paraId="23325711" w14:textId="060F3E77" w:rsidR="00144866" w:rsidRPr="0053182F" w:rsidRDefault="00144866" w:rsidP="00144866">
      <w:pPr>
        <w:spacing w:after="0" w:line="480" w:lineRule="auto"/>
        <w:ind w:firstLine="720"/>
        <w:jc w:val="both"/>
        <w:rPr>
          <w:rFonts w:eastAsia="Palatino Linotype"/>
        </w:rPr>
      </w:pPr>
      <w:r w:rsidRPr="0053182F">
        <w:rPr>
          <w:rFonts w:eastAsia="Palatino Linotype"/>
        </w:rPr>
        <w:t xml:space="preserve">The concept of materiality plays a crucial role in sustainability reporting </w:t>
      </w:r>
      <w:sdt>
        <w:sdtPr>
          <w:rPr>
            <w:rFonts w:eastAsia="Palatino Linotype"/>
          </w:rPr>
          <w:tag w:val="MENDELEY_CITATION_v3_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"/>
          <w:id w:val="562529323"/>
          <w:placeholder>
            <w:docPart w:val="97090AE9D5DD4FF58A5FAD07CB306C20"/>
          </w:placeholder>
        </w:sdtPr>
        <w:sdtContent>
          <w:r w:rsidR="00CC1788" w:rsidRPr="0053182F">
            <w:rPr>
              <w:rFonts w:eastAsia="Times New Roman"/>
            </w:rPr>
            <w:t xml:space="preserve">(Thoradeniya </w:t>
          </w:r>
          <w:r w:rsidR="00CC1788" w:rsidRPr="0053182F">
            <w:rPr>
              <w:rFonts w:eastAsia="Times New Roman"/>
              <w:i/>
              <w:iCs/>
            </w:rPr>
            <w:t>et al.</w:t>
          </w:r>
          <w:r w:rsidR="00CC1788" w:rsidRPr="0053182F">
            <w:rPr>
              <w:rFonts w:eastAsia="Times New Roman"/>
            </w:rPr>
            <w:t>, 2015)</w:t>
          </w:r>
        </w:sdtContent>
      </w:sdt>
      <w:r w:rsidRPr="0053182F">
        <w:rPr>
          <w:rFonts w:eastAsia="Palatino Linotype"/>
        </w:rPr>
        <w:t xml:space="preserve">. Stakeholders are interested in receiving information from companies about their sustainability activities that are relevant and significant to them </w:t>
      </w:r>
      <w:sdt>
        <w:sdtPr>
          <w:rPr>
            <w:rFonts w:eastAsia="Palatino Linotype"/>
          </w:rPr>
          <w:tag w:val="MENDELEY_CITATION_v3_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"/>
          <w:id w:val="-1330133299"/>
          <w:placeholder>
            <w:docPart w:val="97090AE9D5DD4FF58A5FAD07CB306C20"/>
          </w:placeholder>
        </w:sdtPr>
        <w:sdtContent>
          <w:r w:rsidR="00CC1788" w:rsidRPr="0053182F">
            <w:rPr>
              <w:rFonts w:eastAsia="Palatino Linotype"/>
            </w:rPr>
            <w:t>(EU Sustainability Developments and EY, 2022; Iswati W, 2020)</w:t>
          </w:r>
        </w:sdtContent>
      </w:sdt>
      <w:r w:rsidRPr="0053182F">
        <w:rPr>
          <w:rFonts w:eastAsia="Palatino Linotype"/>
        </w:rPr>
        <w:t xml:space="preserve">. At the same time, companies aim to focus their reporting efforts on disclosing information that aligns with stakeholders' needs. The Materiality principle, established within the GRI Sustainability Reporting Standards (GRI Standards), helps companies determine which topics are material and should be included in their reports </w:t>
      </w:r>
      <w:r w:rsidRPr="0053182F">
        <w:rPr>
          <w:rFonts w:eastAsia="Times New Roman"/>
        </w:rPr>
        <w:t>(GRI and RLI, 2019).</w:t>
      </w:r>
    </w:p>
    <w:p w14:paraId="5D42F852" w14:textId="0A34BC94" w:rsidR="00144866" w:rsidRPr="0053182F" w:rsidRDefault="00144866" w:rsidP="00144866">
      <w:pPr>
        <w:spacing w:after="0" w:line="480" w:lineRule="auto"/>
        <w:ind w:firstLine="720"/>
        <w:jc w:val="both"/>
        <w:rPr>
          <w:rFonts w:eastAsia="Palatino Linotype"/>
        </w:rPr>
      </w:pPr>
      <w:r w:rsidRPr="0053182F">
        <w:rPr>
          <w:rFonts w:eastAsia="Palatino Linotype"/>
        </w:rPr>
        <w:t xml:space="preserve">In CMS, the Materiality principle can guide companies in </w:t>
      </w:r>
      <w:r w:rsidR="00922B66" w:rsidRPr="0053182F">
        <w:rPr>
          <w:rFonts w:eastAsia="Palatino Linotype"/>
        </w:rPr>
        <w:t>determining whether a topic is material to</w:t>
      </w:r>
      <w:r w:rsidRPr="0053182F">
        <w:rPr>
          <w:rFonts w:eastAsia="Palatino Linotype"/>
        </w:rPr>
        <w:t xml:space="preserve"> their organi</w:t>
      </w:r>
      <w:r w:rsidR="00922B66" w:rsidRPr="0053182F">
        <w:rPr>
          <w:rFonts w:eastAsia="Palatino Linotype"/>
        </w:rPr>
        <w:t>s</w:t>
      </w:r>
      <w:r w:rsidRPr="0053182F">
        <w:rPr>
          <w:rFonts w:eastAsia="Palatino Linotype"/>
        </w:rPr>
        <w:t>ation. Terms such as "</w:t>
      </w:r>
      <w:r w:rsidRPr="0053182F">
        <w:rPr>
          <w:rStyle w:val="QuoteChar"/>
        </w:rPr>
        <w:t>forced labour</w:t>
      </w:r>
      <w:r w:rsidRPr="0053182F">
        <w:rPr>
          <w:rFonts w:eastAsia="Palatino Linotype"/>
        </w:rPr>
        <w:t xml:space="preserve">," </w:t>
      </w:r>
      <w:r w:rsidRPr="0053182F">
        <w:rPr>
          <w:rStyle w:val="QuoteChar"/>
        </w:rPr>
        <w:t>"human trafficking</w:t>
      </w:r>
      <w:r w:rsidRPr="0053182F">
        <w:rPr>
          <w:rFonts w:eastAsia="Palatino Linotype"/>
        </w:rPr>
        <w:t xml:space="preserve">," </w:t>
      </w:r>
      <w:r w:rsidRPr="0053182F">
        <w:rPr>
          <w:rStyle w:val="QuoteChar"/>
        </w:rPr>
        <w:t>"bonded labour</w:t>
      </w:r>
      <w:r w:rsidRPr="0053182F">
        <w:rPr>
          <w:rFonts w:eastAsia="Palatino Linotype"/>
        </w:rPr>
        <w:t>," and "</w:t>
      </w:r>
      <w:r w:rsidRPr="0053182F">
        <w:rPr>
          <w:rStyle w:val="QuoteChar"/>
        </w:rPr>
        <w:t>worst forms of child labour</w:t>
      </w:r>
      <w:r w:rsidRPr="0053182F">
        <w:rPr>
          <w:rFonts w:eastAsia="Palatino Linotype"/>
        </w:rPr>
        <w:t xml:space="preserve">" are commonly used to describe the material topics associated with </w:t>
      </w:r>
      <w:r w:rsidR="00316497" w:rsidRPr="0053182F">
        <w:rPr>
          <w:rFonts w:eastAsia="Palatino Linotype"/>
        </w:rPr>
        <w:t>MS in</w:t>
      </w:r>
      <w:r w:rsidRPr="0053182F">
        <w:rPr>
          <w:rFonts w:eastAsia="Palatino Linotype"/>
        </w:rPr>
        <w:t xml:space="preserve"> reporting practices </w:t>
      </w:r>
      <w:r w:rsidRPr="0053182F">
        <w:rPr>
          <w:rFonts w:eastAsia="Times New Roman"/>
        </w:rPr>
        <w:t>(GRI and RLI, 2019)</w:t>
      </w:r>
      <w:r w:rsidRPr="0053182F">
        <w:rPr>
          <w:rFonts w:eastAsia="Palatino Linotype"/>
        </w:rPr>
        <w:t xml:space="preserve">. The GRI Standards provide a framework for organisations to identify material topics, </w:t>
      </w:r>
      <w:r w:rsidR="00316497" w:rsidRPr="0053182F">
        <w:rPr>
          <w:rFonts w:eastAsia="Palatino Linotype"/>
        </w:rPr>
        <w:t>considering</w:t>
      </w:r>
      <w:r w:rsidRPr="0053182F">
        <w:rPr>
          <w:rFonts w:eastAsia="Palatino Linotype"/>
        </w:rPr>
        <w:t xml:space="preserve"> the significant economic, environmental, and social impacts of the reporting organisation, as well as the influence of those topics on stakeholders' assessments and decisions </w:t>
      </w:r>
      <w:sdt>
        <w:sdtPr>
          <w:rPr>
            <w:rFonts w:eastAsia="Palatino Linotype"/>
          </w:rPr>
          <w:tag w:val="MENDELEY_CITATION_v3_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"/>
          <w:id w:val="894694784"/>
          <w:placeholder>
            <w:docPart w:val="2E0BC84FF0AA44E8B3197FFB5EB20203"/>
          </w:placeholder>
        </w:sdtPr>
        <w:sdtContent>
          <w:r w:rsidR="00CC1788" w:rsidRPr="0053182F">
            <w:rPr>
              <w:rFonts w:eastAsia="Palatino Linotype"/>
            </w:rPr>
            <w:t>(GRI and GSSB 2016)</w:t>
          </w:r>
        </w:sdtContent>
      </w:sdt>
      <w:r w:rsidRPr="0053182F">
        <w:rPr>
          <w:rFonts w:eastAsia="Palatino Linotype"/>
        </w:rPr>
        <w:t>.</w:t>
      </w:r>
    </w:p>
    <w:p w14:paraId="6D3D5720" w14:textId="5D8610B9" w:rsidR="00144866" w:rsidRPr="0053182F" w:rsidRDefault="00144866" w:rsidP="000213A2">
      <w:pPr>
        <w:spacing w:after="0" w:line="480" w:lineRule="auto"/>
        <w:ind w:firstLine="720"/>
        <w:jc w:val="both"/>
        <w:rPr>
          <w:rFonts w:eastAsia="Palatino Linotype"/>
        </w:rPr>
      </w:pPr>
      <w:r w:rsidRPr="0053182F">
        <w:rPr>
          <w:rFonts w:eastAsia="Palatino Linotype"/>
        </w:rPr>
        <w:t xml:space="preserve">According to the </w:t>
      </w:r>
      <w:sdt>
        <w:sdtPr>
          <w:rPr>
            <w:rFonts w:eastAsia="Palatino Linotype"/>
          </w:rPr>
          <w:tag w:val="MENDELEY_CITATION_v3_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"/>
          <w:id w:val="2058893946"/>
          <w:placeholder>
            <w:docPart w:val="2B1DDC09D3E540CCAA6791025F6963F4"/>
          </w:placeholder>
        </w:sdtPr>
        <w:sdtContent>
          <w:r w:rsidR="00CC1788" w:rsidRPr="0053182F">
            <w:rPr>
              <w:rFonts w:eastAsia="Palatino Linotype"/>
            </w:rPr>
            <w:t>GRI and RLI (2019),</w:t>
          </w:r>
        </w:sdtContent>
      </w:sdt>
      <w:r w:rsidRPr="0053182F">
        <w:rPr>
          <w:rFonts w:eastAsia="Palatino Linotype"/>
        </w:rPr>
        <w:t xml:space="preserve"> CMS can be considered a material topic based on any one of these dimensions, as depicted in the Materiality Matrix (Figure 3.1). The matrix allows organisations to visually illustrate the significance of </w:t>
      </w:r>
      <w:r w:rsidR="00316497" w:rsidRPr="0053182F">
        <w:rPr>
          <w:rFonts w:eastAsia="Palatino Linotype"/>
        </w:rPr>
        <w:t>MS compared</w:t>
      </w:r>
      <w:r w:rsidRPr="0053182F">
        <w:rPr>
          <w:rFonts w:eastAsia="Palatino Linotype"/>
        </w:rPr>
        <w:t xml:space="preserve"> to other sustainability topics, based on its influence on stakeholders' decisions and the impacts on the economy, environment, and society. It</w:t>
      </w:r>
      <w:r w:rsidR="006B7058" w:rsidRPr="0053182F">
        <w:rPr>
          <w:rFonts w:eastAsia="Palatino Linotype"/>
        </w:rPr>
        <w:t xml:space="preserve"> i</w:t>
      </w:r>
      <w:r w:rsidRPr="0053182F">
        <w:rPr>
          <w:rFonts w:eastAsia="Palatino Linotype"/>
        </w:rPr>
        <w:t xml:space="preserve">s important to note that when discussing sustainability impacts related to CMS, the term "impact" is defined within the GRI Standards as the effect an organisation has on the economy, environment, and/or society </w:t>
      </w:r>
      <w:sdt>
        <w:sdtPr>
          <w:rPr>
            <w:rFonts w:eastAsia="Palatino Linotype"/>
          </w:rPr>
          <w:tag w:val="MENDELEY_CITATION_v3_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"/>
          <w:id w:val="201534633"/>
          <w:placeholder>
            <w:docPart w:val="CEA08CEBF9E24B60B56F49977B97594E"/>
          </w:placeholder>
        </w:sdtPr>
        <w:sdtContent>
          <w:r w:rsidR="00CC1788" w:rsidRPr="0053182F">
            <w:rPr>
              <w:rFonts w:eastAsia="Palatino Linotype"/>
            </w:rPr>
            <w:t>(GRI and GSSB, 2016;</w:t>
          </w:r>
        </w:sdtContent>
      </w:sdt>
      <w:r w:rsidRPr="0053182F">
        <w:rPr>
          <w:rFonts w:eastAsia="Palatino Linotype"/>
        </w:rPr>
        <w:t xml:space="preserve"> </w:t>
      </w:r>
      <w:r w:rsidRPr="0053182F">
        <w:rPr>
          <w:rFonts w:eastAsia="Times New Roman"/>
        </w:rPr>
        <w:t>GRI and RLI, 2019)</w:t>
      </w:r>
      <w:r w:rsidRPr="0053182F">
        <w:rPr>
          <w:rFonts w:eastAsia="Palatino Linotype"/>
        </w:rPr>
        <w:t xml:space="preserve">. This effect can be positive or negative and can indicate the organisation's contribution to sustainable development. The impact can manifest in various ways, including direct or indirect, short-term or long-term, intended or unintended. </w:t>
      </w:r>
    </w:p>
    <w:p w14:paraId="654451B2" w14:textId="77777777" w:rsidR="00144866" w:rsidRPr="0053182F" w:rsidRDefault="00144866" w:rsidP="00144866">
      <w:pPr>
        <w:spacing w:after="0" w:line="480" w:lineRule="auto"/>
        <w:jc w:val="center"/>
        <w:rPr>
          <w:highlight w:val="yellow"/>
        </w:rPr>
      </w:pPr>
      <w:r w:rsidRPr="0053182F">
        <w:rPr>
          <w:noProof/>
        </w:rPr>
        <w:drawing>
          <wp:inline distT="0" distB="0" distL="0" distR="0" wp14:anchorId="1A952B48" wp14:editId="51525DBD">
            <wp:extent cx="2924288" cy="1670918"/>
            <wp:effectExtent l="0" t="0" r="0" b="5715"/>
            <wp:docPr id="1343101801" name="Picture 1343101801" descr="A diagram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3101801" name="Picture 1343101801" descr="A diagram of a graph&#10;&#10;AI-generated content may be incorrect."/>
                    <pic:cNvPicPr/>
                  </pic:nvPicPr>
                  <pic:blipFill>
                    <a:blip r:embed="rId33"/>
                    <a:stretch>
                      <a:fillRect/>
                    </a:stretch>
                  </pic:blipFill>
                  <pic:spPr>
                    <a:xfrm>
                      <a:off x="0" y="0"/>
                      <a:ext cx="3086339" cy="1763513"/>
                    </a:xfrm>
                    <a:prstGeom prst="rect">
                      <a:avLst/>
                    </a:prstGeom>
                  </pic:spPr>
                </pic:pic>
              </a:graphicData>
            </a:graphic>
          </wp:inline>
        </w:drawing>
      </w:r>
    </w:p>
    <w:p w14:paraId="08FF093C" w14:textId="77777777" w:rsidR="00144866" w:rsidRPr="0053182F" w:rsidRDefault="00144866" w:rsidP="0056373F">
      <w:pPr>
        <w:spacing w:after="0" w:line="240" w:lineRule="auto"/>
        <w:jc w:val="center"/>
      </w:pPr>
      <w:r w:rsidRPr="0053182F">
        <w:rPr>
          <w:rFonts w:eastAsia="Palatino Linotype"/>
          <w:b/>
          <w:bCs/>
        </w:rPr>
        <w:t>Figure 3.</w:t>
      </w:r>
      <w:r w:rsidRPr="0053182F">
        <w:rPr>
          <w:b/>
          <w:bCs/>
        </w:rPr>
        <w:t xml:space="preserve">1: </w:t>
      </w:r>
      <w:r w:rsidRPr="0053182F">
        <w:t>A matrix with the two dimensions of materiality</w:t>
      </w:r>
    </w:p>
    <w:p w14:paraId="3B120808" w14:textId="4379B880" w:rsidR="00144866" w:rsidRPr="0053182F" w:rsidRDefault="0056373F" w:rsidP="0056373F">
      <w:pPr>
        <w:spacing w:after="0" w:line="240" w:lineRule="auto"/>
        <w:jc w:val="center"/>
      </w:pPr>
      <w:r w:rsidRPr="0053182F">
        <w:rPr>
          <w:b/>
          <w:bCs/>
        </w:rPr>
        <w:t>Source:</w:t>
      </w:r>
      <w:r w:rsidR="00144866" w:rsidRPr="0053182F">
        <w:rPr>
          <w:b/>
          <w:bCs/>
        </w:rPr>
        <w:t xml:space="preserve"> </w:t>
      </w:r>
      <w:sdt>
        <w:sdtPr>
          <w:rPr>
            <w:bCs/>
          </w:rPr>
          <w:tag w:val="MENDELEY_CITATION_v3_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"/>
          <w:id w:val="-1387565190"/>
          <w:placeholder>
            <w:docPart w:val="3ECEA7BCCF304760A49E065E7BB3B73D"/>
          </w:placeholder>
        </w:sdtPr>
        <w:sdtContent>
          <w:r w:rsidR="00CC1788" w:rsidRPr="0053182F">
            <w:rPr>
              <w:bCs/>
            </w:rPr>
            <w:t>(GRI and RLI, 2019, p 18)</w:t>
          </w:r>
        </w:sdtContent>
      </w:sdt>
    </w:p>
    <w:p w14:paraId="2D2A9FEC" w14:textId="51F7361B" w:rsidR="00144866" w:rsidRPr="0053182F" w:rsidRDefault="00144866" w:rsidP="00144866">
      <w:pPr>
        <w:spacing w:after="0" w:line="480" w:lineRule="auto"/>
        <w:ind w:firstLine="720"/>
        <w:jc w:val="both"/>
        <w:rPr>
          <w:highlight w:val="yellow"/>
        </w:rPr>
      </w:pPr>
      <w:r w:rsidRPr="0053182F">
        <w:t>The Materiality principle of the GRI Standards encompasses a broad range of stakeholders, reflecting the interests of not only financial stakeholders such as “employees, shareholders, suppliers, vulnerable groups, local communities, and NGOs or other civil society organi</w:t>
      </w:r>
      <w:r w:rsidR="0056373F" w:rsidRPr="0053182F">
        <w:t>s</w:t>
      </w:r>
      <w:r w:rsidRPr="0053182F">
        <w:t xml:space="preserve">ations, among others” </w:t>
      </w:r>
      <w:sdt>
        <w:sdtPr>
          <w:tag w:val="MENDELEY_CITATION_v3_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"/>
          <w:id w:val="1203827410"/>
          <w:placeholder>
            <w:docPart w:val="F675C0C86AFC467C9C7DFAC9C47EEE14"/>
          </w:placeholder>
        </w:sdtPr>
        <w:sdtContent>
          <w:r w:rsidR="00CC1788" w:rsidRPr="0053182F">
            <w:t>(GRI and GSSB, 2016, p. 8)</w:t>
          </w:r>
        </w:sdtContent>
      </w:sdt>
      <w:r w:rsidRPr="0053182F">
        <w:t>. This inclusive approach recogni</w:t>
      </w:r>
      <w:r w:rsidR="00875792" w:rsidRPr="0053182F">
        <w:t>s</w:t>
      </w:r>
      <w:r w:rsidRPr="0053182F">
        <w:t xml:space="preserve">es that sustainability reporting </w:t>
      </w:r>
      <w:r w:rsidR="00875792" w:rsidRPr="0053182F">
        <w:t>extends beyond financial accounting standards such as I</w:t>
      </w:r>
      <w:r w:rsidRPr="0053182F">
        <w:t xml:space="preserve">FRS and GAAP, which primarily target stakeholders with financial interests </w:t>
      </w:r>
      <w:sdt>
        <w:sdtPr>
          <w:tag w:val="MENDELEY_CITATION_v3_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"/>
          <w:id w:val="-1392655583"/>
          <w:placeholder>
            <w:docPart w:val="0609E8DE78EA4761AD71D8B9AD9D79A1"/>
          </w:placeholder>
        </w:sdtPr>
        <w:sdtContent>
          <w:r w:rsidR="00CC1788" w:rsidRPr="0053182F">
            <w:t>(IFRS, 2018)</w:t>
          </w:r>
        </w:sdtContent>
      </w:sdt>
      <w:r w:rsidRPr="0053182F">
        <w:t>.</w:t>
      </w:r>
    </w:p>
    <w:p w14:paraId="5745FB06" w14:textId="789B42A5" w:rsidR="00144866" w:rsidRPr="0053182F" w:rsidRDefault="00144866" w:rsidP="00144866">
      <w:pPr>
        <w:spacing w:after="0" w:line="480" w:lineRule="auto"/>
        <w:jc w:val="both"/>
      </w:pPr>
      <w:r w:rsidRPr="0053182F">
        <w:t xml:space="preserve">The sustainability impacts associated with CMS are diverse and </w:t>
      </w:r>
      <w:r w:rsidR="00875792" w:rsidRPr="0053182F">
        <w:t>span social, economic, and related dimension</w:t>
      </w:r>
      <w:r w:rsidRPr="0053182F">
        <w:t xml:space="preserve">s. Understanding and addressing these impacts is crucial for reporting on CMS </w:t>
      </w:r>
      <w:sdt>
        <w:sdtPr>
          <w:tag w:val="MENDELEY_CITATION_v3_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"/>
          <w:id w:val="769968727"/>
          <w:placeholder>
            <w:docPart w:val="8AD51CD2522F4023AE922E8CAB3F26AD"/>
          </w:placeholder>
        </w:sdtPr>
        <w:sdtContent>
          <w:r w:rsidR="00CC1788" w:rsidRPr="0053182F">
            <w:t>(GRI and GSSB, 2016; GRI and RLI, 2019)</w:t>
          </w:r>
        </w:sdtContent>
      </w:sdt>
      <w:r w:rsidRPr="0053182F">
        <w:t>.</w:t>
      </w:r>
    </w:p>
    <w:p w14:paraId="23171C52" w14:textId="77777777" w:rsidR="00101A22" w:rsidRPr="0053182F" w:rsidRDefault="00144866" w:rsidP="00101A22">
      <w:pPr>
        <w:pStyle w:val="ListParagraph"/>
        <w:numPr>
          <w:ilvl w:val="0"/>
          <w:numId w:val="22"/>
        </w:numPr>
        <w:spacing w:after="0" w:line="480" w:lineRule="auto"/>
        <w:jc w:val="both"/>
      </w:pPr>
      <w:r w:rsidRPr="0053182F">
        <w:rPr>
          <w:b/>
          <w:bCs/>
        </w:rPr>
        <w:t>Social Impacts:</w:t>
      </w:r>
      <w:r w:rsidRPr="0053182F">
        <w:t xml:space="preserve"> CMS is recognised as a violation of </w:t>
      </w:r>
      <w:r w:rsidR="0056373F" w:rsidRPr="0053182F">
        <w:t>fundamental</w:t>
      </w:r>
      <w:r w:rsidRPr="0053182F">
        <w:t xml:space="preserve"> human rights, as stated in the Universal Declaration of Human Rights. It encompasses issues such as forced labour, human trafficking, child labour, and other forms of exploitation </w:t>
      </w:r>
      <w:sdt>
        <w:sdtPr>
          <w:tag w:val="MENDELEY_CITATION_v3_eyJjaXRhdGlvbklEIjoiTUVOREVMRVlfQ0lUQVRJT05fM2FkNDlkYzctMjBlYS00NDk3LWIxZmUtNWRhN2I4MDM5YWUx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
          <w:id w:val="-1828595196"/>
          <w:placeholder>
            <w:docPart w:val="149DA51EDACD42C693FA85E0109C9F2B"/>
          </w:placeholder>
        </w:sdtPr>
        <w:sdtContent>
          <w:r w:rsidR="00CC1788" w:rsidRPr="0053182F">
            <w:t>(Walk Free, 2023)</w:t>
          </w:r>
        </w:sdtContent>
      </w:sdt>
      <w:r w:rsidRPr="0053182F">
        <w:t xml:space="preserve">. Women and girls are disproportionately affected, particularly in the commercial sex industry. Addressing CMS is essential for upholding labour rights and promoting social justice </w:t>
      </w:r>
      <w:r w:rsidRPr="0053182F">
        <w:rPr>
          <w:rFonts w:eastAsia="Times New Roman"/>
        </w:rPr>
        <w:t>(GRI and RLI, 2019)</w:t>
      </w:r>
      <w:r w:rsidRPr="0053182F">
        <w:t>.</w:t>
      </w:r>
    </w:p>
    <w:p w14:paraId="1E85C905" w14:textId="3F57F9D2" w:rsidR="00101A22" w:rsidRPr="0053182F" w:rsidRDefault="00144866" w:rsidP="00101A22">
      <w:pPr>
        <w:pStyle w:val="ListParagraph"/>
        <w:numPr>
          <w:ilvl w:val="0"/>
          <w:numId w:val="22"/>
        </w:numPr>
        <w:spacing w:after="0" w:line="480" w:lineRule="auto"/>
        <w:jc w:val="both"/>
      </w:pPr>
      <w:r w:rsidRPr="0053182F">
        <w:rPr>
          <w:b/>
          <w:bCs/>
        </w:rPr>
        <w:t>Economic Impacts:</w:t>
      </w:r>
      <w:r w:rsidRPr="0053182F">
        <w:t xml:space="preserve"> While businesses engaged in CMS practices may generate profits, these practices can harm total economic output and social development </w:t>
      </w:r>
      <w:sdt>
        <w:sdtPr>
          <w:tag w:val="MENDELEY_CITATION_v3_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"/>
          <w:id w:val="-1747720446"/>
          <w:placeholder>
            <w:docPart w:val="FBAE9C562A1048DFB3AE52253ADDD82F"/>
          </w:placeholder>
        </w:sdtPr>
        <w:sdtContent>
          <w:r w:rsidR="00C11B5D" w:rsidRPr="0053182F">
            <w:t>(ILO, 2014)</w:t>
          </w:r>
        </w:sdtContent>
      </w:sdt>
      <w:r w:rsidR="00101A22" w:rsidRPr="0053182F">
        <w:t>.</w:t>
      </w:r>
    </w:p>
    <w:p w14:paraId="6E184CA2" w14:textId="064EF7D1" w:rsidR="00144866" w:rsidRPr="0053182F" w:rsidRDefault="00144866" w:rsidP="00101A22">
      <w:pPr>
        <w:pStyle w:val="ListParagraph"/>
        <w:numPr>
          <w:ilvl w:val="0"/>
          <w:numId w:val="22"/>
        </w:numPr>
        <w:spacing w:after="0" w:line="480" w:lineRule="auto"/>
        <w:jc w:val="both"/>
      </w:pPr>
      <w:r w:rsidRPr="0053182F">
        <w:t xml:space="preserve"> Slave labour can </w:t>
      </w:r>
      <w:r w:rsidR="00875792" w:rsidRPr="0053182F">
        <w:t>depress wages of free labour, leading to economic stagnation and lower</w:t>
      </w:r>
      <w:r w:rsidRPr="0053182F">
        <w:t xml:space="preserve"> aggregate disposable income for those not subjected to CMS. This results in limited participation in the local economy, contributing to economic inequality </w:t>
      </w:r>
      <w:r w:rsidRPr="0053182F">
        <w:rPr>
          <w:rFonts w:eastAsia="Times New Roman"/>
        </w:rPr>
        <w:t>(GRI and RLI, 2019)</w:t>
      </w:r>
      <w:r w:rsidRPr="0053182F">
        <w:t>.</w:t>
      </w:r>
    </w:p>
    <w:p w14:paraId="3540D9B0" w14:textId="77777777" w:rsidR="00144866" w:rsidRPr="0053182F" w:rsidRDefault="00144866" w:rsidP="00144866">
      <w:pPr>
        <w:pStyle w:val="ListParagraph"/>
        <w:numPr>
          <w:ilvl w:val="0"/>
          <w:numId w:val="22"/>
        </w:numPr>
        <w:spacing w:after="0" w:line="480" w:lineRule="auto"/>
        <w:jc w:val="both"/>
      </w:pPr>
      <w:r w:rsidRPr="0053182F">
        <w:rPr>
          <w:b/>
          <w:bCs/>
        </w:rPr>
        <w:t>Other Impacts:</w:t>
      </w:r>
      <w:r w:rsidRPr="0053182F">
        <w:t xml:space="preserve"> The presence of CMS in certain operations may indicate adverse sustainability impacts beyond social and economic aspects. For example, environmental degradation can occur due to practices linked to civil conflicts, such as the pollution and destruction of forests and rivers in regions where armed groups exploit enslaved individuals to mine resources for global supply chains </w:t>
      </w:r>
      <w:r w:rsidRPr="0053182F">
        <w:rPr>
          <w:rFonts w:eastAsia="Times New Roman"/>
        </w:rPr>
        <w:t>(GRI and RLI, 2019).</w:t>
      </w:r>
    </w:p>
    <w:p w14:paraId="13EC1214" w14:textId="7D634108" w:rsidR="00144866" w:rsidRPr="0053182F" w:rsidRDefault="00144866" w:rsidP="00B05255">
      <w:pPr>
        <w:spacing w:after="0" w:line="480" w:lineRule="auto"/>
        <w:ind w:firstLine="360"/>
        <w:jc w:val="both"/>
      </w:pPr>
      <w:r w:rsidRPr="0053182F">
        <w:t>Organi</w:t>
      </w:r>
      <w:r w:rsidR="00101A22" w:rsidRPr="0053182F">
        <w:t>s</w:t>
      </w:r>
      <w:r w:rsidRPr="0053182F">
        <w:t xml:space="preserve">ations may be unaware of CMS in their operations and supply chains, </w:t>
      </w:r>
      <w:r w:rsidR="00875792" w:rsidRPr="0053182F">
        <w:t xml:space="preserve">yet it is pervasive across industries </w:t>
      </w:r>
      <w:sdt>
        <w:sdtPr>
          <w:rPr>
            <w:highlight w:val="yellow"/>
          </w:rPr>
          <w:tag w:val="MENDELEY_CITATION_v3_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kRPSSI6IjEwLjEwMTYvai5jcGEuMjAxMS4wNy4wMDMiLCJJU1NOIjoiMTA0NTIzNTQ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XX0="/>
          <w:id w:val="-486395582"/>
          <w:placeholder>
            <w:docPart w:val="22A3BFA73A5042848F2C4F3E15F6A004"/>
          </w:placeholder>
        </w:sdtPr>
        <w:sdtContent>
          <w:r w:rsidR="00C11B5D" w:rsidRPr="0053182F">
            <w:rPr>
              <w:rFonts w:eastAsia="Times New Roman"/>
              <w:color w:val="1B3C70"/>
              <w:kern w:val="0"/>
              <w:lang w:eastAsia="en-GB"/>
              <w14:ligatures w14:val="none"/>
            </w:rPr>
            <w:t>(Coumans, 2017; Islam and McPhail, 2011; The Guardian, 2023)</w:t>
          </w:r>
        </w:sdtContent>
      </w:sdt>
      <w:r w:rsidRPr="0053182F">
        <w:t>. The findings of</w:t>
      </w:r>
      <w:r w:rsidR="00101A22" w:rsidRPr="0053182F">
        <w:t xml:space="preserve"> </w:t>
      </w:r>
      <w:r w:rsidRPr="0053182F">
        <w:t xml:space="preserve"> </w:t>
      </w:r>
      <w:sdt>
        <w:sdtPr>
          <w:tag w:val="MENDELEY_CITATION_v3_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"/>
          <w:id w:val="-1059397209"/>
          <w:placeholder>
            <w:docPart w:val="97090AE9D5DD4FF58A5FAD07CB306C20"/>
          </w:placeholder>
        </w:sdtPr>
        <w:sdtContent>
          <w:sdt>
            <w:sdtPr>
              <w:tag w:val="MENDELEY_CITATION_v3_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"/>
              <w:id w:val="1638613466"/>
              <w:placeholder>
                <w:docPart w:val="BDA0437C05644E7E955DB557BD16F4E9"/>
              </w:placeholder>
            </w:sdtPr>
            <w:sdtContent>
              <w:sdt>
                <w:sdtPr>
                  <w:tag w:val="MENDELEY_CITATION_v3_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"/>
                  <w:id w:val="-1380936954"/>
                  <w:placeholder>
                    <w:docPart w:val="ABA542DE28694934A42C688B41543419"/>
                  </w:placeholder>
                </w:sdtPr>
                <w:sdtContent>
                  <w:r w:rsidR="005B3416" w:rsidRPr="0053182F">
                    <w:rPr>
                      <w:rFonts w:eastAsia="Times New Roman"/>
                    </w:rPr>
                    <w:t xml:space="preserve">Ahmad </w:t>
                  </w:r>
                  <w:r w:rsidR="005B3416" w:rsidRPr="0053182F">
                    <w:rPr>
                      <w:rFonts w:eastAsia="Times New Roman"/>
                      <w:i/>
                      <w:iCs/>
                    </w:rPr>
                    <w:t>et al (</w:t>
                  </w:r>
                  <w:r w:rsidR="005B3416" w:rsidRPr="0053182F">
                    <w:rPr>
                      <w:rFonts w:eastAsia="Times New Roman"/>
                    </w:rPr>
                    <w:t>2023)</w:t>
                  </w:r>
                </w:sdtContent>
              </w:sdt>
            </w:sdtContent>
          </w:sdt>
        </w:sdtContent>
      </w:sdt>
      <w:r w:rsidRPr="0053182F">
        <w:t xml:space="preserve"> </w:t>
      </w:r>
      <w:r w:rsidR="00875792" w:rsidRPr="0053182F">
        <w:t xml:space="preserve">suggest that core countries maintain economic supremacy by dominating peripheral countries through policies such as MS </w:t>
      </w:r>
      <w:r w:rsidRPr="0053182F">
        <w:t xml:space="preserve">disclosure regulations. Moreover, they emphasised </w:t>
      </w:r>
      <w:r w:rsidR="00875792" w:rsidRPr="0053182F">
        <w:t xml:space="preserve">that </w:t>
      </w:r>
      <w:r w:rsidRPr="0053182F">
        <w:t>the regulations are seen as symbolic, legitimi</w:t>
      </w:r>
      <w:r w:rsidR="00101A22" w:rsidRPr="0053182F">
        <w:t>s</w:t>
      </w:r>
      <w:r w:rsidRPr="0053182F">
        <w:t xml:space="preserve">ing the global order rather than actively ending slavery in peripheral countries' supply chains. Furthermore, reporting on CMS should consider both actual impacts and potential risks, as well as the societal, economic, and environmental implications </w:t>
      </w:r>
      <w:r w:rsidRPr="0053182F">
        <w:rPr>
          <w:rFonts w:eastAsia="Times New Roman"/>
        </w:rPr>
        <w:t>(GRI and RLI, 2019)</w:t>
      </w:r>
      <w:r w:rsidRPr="0053182F">
        <w:t>.</w:t>
      </w:r>
    </w:p>
    <w:p w14:paraId="627E3446" w14:textId="324A02F1" w:rsidR="00144866" w:rsidRPr="0053182F" w:rsidRDefault="00144866" w:rsidP="001D2514">
      <w:pPr>
        <w:pStyle w:val="Heading3"/>
      </w:pPr>
      <w:bookmarkStart w:id="116" w:name="_Toc139533357"/>
      <w:bookmarkStart w:id="117" w:name="_Toc151541463"/>
      <w:bookmarkStart w:id="118" w:name="_Toc215651805"/>
      <w:bookmarkStart w:id="119" w:name="_Toc218357100"/>
      <w:r w:rsidRPr="0053182F">
        <w:t xml:space="preserve">3.5.3 Reporting on Business Modern </w:t>
      </w:r>
      <w:bookmarkEnd w:id="115"/>
      <w:bookmarkEnd w:id="116"/>
      <w:bookmarkEnd w:id="117"/>
      <w:bookmarkEnd w:id="118"/>
      <w:r w:rsidR="008457B4" w:rsidRPr="0053182F">
        <w:t>Slavery Practices</w:t>
      </w:r>
      <w:bookmarkEnd w:id="119"/>
    </w:p>
    <w:p w14:paraId="1EA84550" w14:textId="2A542B9D" w:rsidR="00144866" w:rsidRPr="0053182F" w:rsidRDefault="00144866" w:rsidP="001D2514">
      <w:pPr>
        <w:spacing w:after="0" w:line="480" w:lineRule="auto"/>
        <w:jc w:val="both"/>
        <w:rPr>
          <w:rFonts w:eastAsia="Palatino Linotype"/>
        </w:rPr>
      </w:pPr>
      <w:r w:rsidRPr="0053182F">
        <w:rPr>
          <w:rFonts w:eastAsia="Palatino Linotype"/>
        </w:rPr>
        <w:t xml:space="preserve">Reporting on the elimination of CMS practices </w:t>
      </w:r>
      <w:r w:rsidR="00875792" w:rsidRPr="0053182F">
        <w:rPr>
          <w:rFonts w:eastAsia="Palatino Linotype"/>
        </w:rPr>
        <w:t xml:space="preserve">is </w:t>
      </w:r>
      <w:r w:rsidRPr="0053182F">
        <w:rPr>
          <w:rFonts w:eastAsia="Palatino Linotype"/>
        </w:rPr>
        <w:t xml:space="preserve">a relatively new and emerging research area </w:t>
      </w:r>
      <w:sdt>
        <w:sdtPr>
          <w:rPr>
            <w:rFonts w:eastAsia="Palatino Linotype"/>
          </w:rPr>
          <w:tag w:val="MENDELEY_CITATION_v3_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"/>
          <w:id w:val="-2055765356"/>
          <w:placeholder>
            <w:docPart w:val="97090AE9D5DD4FF58A5FAD07CB306C20"/>
          </w:placeholder>
        </w:sdtPr>
        <w:sdtContent>
          <w:r w:rsidR="00CC1788" w:rsidRPr="0053182F">
            <w:rPr>
              <w:rFonts w:eastAsia="Palatino Linotype"/>
            </w:rPr>
            <w:t>(Burritt and Christ, 2023)</w:t>
          </w:r>
        </w:sdtContent>
      </w:sdt>
      <w:r w:rsidR="001D2514" w:rsidRPr="0053182F">
        <w:rPr>
          <w:rFonts w:eastAsia="Palatino Linotype"/>
        </w:rPr>
        <w:t>.</w:t>
      </w:r>
      <w:r w:rsidRPr="0053182F">
        <w:rPr>
          <w:rFonts w:eastAsia="Palatino Linotype"/>
        </w:rPr>
        <w:t xml:space="preserve"> CMS is a major human tragedy that </w:t>
      </w:r>
      <w:r w:rsidR="001D2514" w:rsidRPr="0053182F">
        <w:rPr>
          <w:rFonts w:eastAsia="Palatino Linotype"/>
        </w:rPr>
        <w:t>disrupts firm value creation chains by harming people, potentially causing reputational damage and legal consequences, and increasing the company's financial risk</w:t>
      </w:r>
      <w:r w:rsidRPr="0053182F">
        <w:rPr>
          <w:rFonts w:eastAsia="Palatino Linotype"/>
        </w:rPr>
        <w:t xml:space="preserve"> </w:t>
      </w:r>
      <w:r w:rsidRPr="0053182F">
        <w:rPr>
          <w:rFonts w:eastAsia="Times New Roman"/>
        </w:rPr>
        <w:t>(GRI and RLI, 2019)</w:t>
      </w:r>
      <w:r w:rsidRPr="0053182F">
        <w:rPr>
          <w:rFonts w:eastAsia="Palatino Linotype"/>
        </w:rPr>
        <w:t xml:space="preserve">. The development of CMS reporting </w:t>
      </w:r>
      <w:r w:rsidR="00875792" w:rsidRPr="0053182F">
        <w:rPr>
          <w:rFonts w:eastAsia="Palatino Linotype"/>
        </w:rPr>
        <w:t>highlights the role of corporations in nullifying CMS practices within their businesse</w:t>
      </w:r>
      <w:r w:rsidRPr="0053182F">
        <w:rPr>
          <w:rFonts w:eastAsia="Palatino Linotype"/>
        </w:rPr>
        <w:t>s. Reporting is the official way to communicate business</w:t>
      </w:r>
      <w:r w:rsidR="00875792" w:rsidRPr="0053182F">
        <w:rPr>
          <w:rFonts w:eastAsia="Palatino Linotype"/>
        </w:rPr>
        <w:t>,</w:t>
      </w:r>
      <w:r w:rsidRPr="0053182F">
        <w:rPr>
          <w:rFonts w:eastAsia="Palatino Linotype"/>
        </w:rPr>
        <w:t xml:space="preserve"> financial</w:t>
      </w:r>
      <w:r w:rsidR="00875792" w:rsidRPr="0053182F">
        <w:rPr>
          <w:rFonts w:eastAsia="Palatino Linotype"/>
        </w:rPr>
        <w:t>, and non-financial activities to stakeholders; among them, reporting non-financial information is a crucial task due to the lack of a globally recognised,</w:t>
      </w:r>
      <w:r w:rsidRPr="0053182F">
        <w:rPr>
          <w:rFonts w:eastAsia="Palatino Linotype"/>
        </w:rPr>
        <w:t xml:space="preserve"> unique reporting framework.</w:t>
      </w:r>
    </w:p>
    <w:p w14:paraId="3877C669" w14:textId="3500FCC8" w:rsidR="00144866" w:rsidRPr="0053182F" w:rsidRDefault="00144866" w:rsidP="00144866">
      <w:pPr>
        <w:pStyle w:val="NormalWeb"/>
        <w:spacing w:before="0" w:beforeAutospacing="0" w:after="0" w:afterAutospacing="0" w:line="480" w:lineRule="auto"/>
        <w:ind w:firstLine="720"/>
        <w:jc w:val="both"/>
        <w:rPr>
          <w:rStyle w:val="normaltextrun"/>
          <w:rFonts w:eastAsiaTheme="majorEastAsia"/>
        </w:rPr>
      </w:pPr>
      <w:r w:rsidRPr="0053182F">
        <w:rPr>
          <w:rStyle w:val="normaltextrun"/>
          <w:rFonts w:eastAsiaTheme="minorEastAsia"/>
          <w:lang w:eastAsia="en-US"/>
        </w:rPr>
        <w:t>According to the literature, the first initiative to protect labour rights was the Dodd-Frank Wall Street Reform and Consumer Protection Act</w:t>
      </w:r>
      <w:r w:rsidRPr="0053182F">
        <w:rPr>
          <w:rStyle w:val="normaltextrun"/>
          <w:rFonts w:eastAsiaTheme="minorEastAsia"/>
          <w:shd w:val="clear" w:color="auto" w:fill="FFFFFF"/>
          <w:lang w:eastAsia="en-US"/>
        </w:rPr>
        <w:t xml:space="preserve"> </w:t>
      </w:r>
      <w:r w:rsidR="00875792" w:rsidRPr="0053182F">
        <w:rPr>
          <w:rStyle w:val="normaltextrun"/>
          <w:rFonts w:eastAsiaTheme="minorEastAsia"/>
          <w:shd w:val="clear" w:color="auto" w:fill="FFFFFF"/>
          <w:lang w:eastAsia="en-US"/>
        </w:rPr>
        <w:t xml:space="preserve">of </w:t>
      </w:r>
      <w:r w:rsidRPr="0053182F">
        <w:rPr>
          <w:rStyle w:val="normaltextrun"/>
          <w:rFonts w:eastAsiaTheme="minorEastAsia"/>
          <w:shd w:val="clear" w:color="auto" w:fill="FFFFFF"/>
          <w:lang w:eastAsia="en-US"/>
        </w:rPr>
        <w:t xml:space="preserve">2010 </w:t>
      </w:r>
      <w:sdt>
        <w:sdtPr>
          <w:rPr>
            <w:rStyle w:val="normaltextrun"/>
            <w:rFonts w:eastAsiaTheme="minorEastAsia"/>
            <w:lang w:eastAsia="en-US"/>
          </w:rPr>
          <w:tag w:val="MENDELEY_CITATION_v3_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"/>
          <w:id w:val="1738970885"/>
          <w:placeholder>
            <w:docPart w:val="45543264BE40416BB8A0C49334D451D8"/>
          </w:placeholder>
        </w:sdtPr>
        <w:sdtContent>
          <w:r w:rsidR="00CC1788" w:rsidRPr="0053182F">
            <w:rPr>
              <w:rStyle w:val="normaltextrun"/>
              <w:rFonts w:eastAsiaTheme="minorEastAsia"/>
              <w:lang w:eastAsia="en-US"/>
            </w:rPr>
            <w:t>(United States of America in Congress, 2010)</w:t>
          </w:r>
        </w:sdtContent>
      </w:sdt>
      <w:r w:rsidRPr="0053182F">
        <w:rPr>
          <w:rStyle w:val="normaltextrun"/>
          <w:rFonts w:eastAsiaTheme="minorEastAsia"/>
          <w:lang w:eastAsia="en-US"/>
        </w:rPr>
        <w:t xml:space="preserve">. In line with California's </w:t>
      </w:r>
      <w:r w:rsidR="00875792" w:rsidRPr="0053182F">
        <w:rPr>
          <w:rStyle w:val="normaltextrun"/>
          <w:rFonts w:eastAsiaTheme="minorEastAsia"/>
          <w:lang w:eastAsia="en-US"/>
        </w:rPr>
        <w:t>T</w:t>
      </w:r>
      <w:r w:rsidRPr="0053182F">
        <w:rPr>
          <w:rStyle w:val="normaltextrun"/>
          <w:rFonts w:eastAsiaTheme="minorEastAsia"/>
          <w:lang w:eastAsia="en-US"/>
        </w:rPr>
        <w:t xml:space="preserve">ransparency </w:t>
      </w:r>
      <w:r w:rsidR="00875792" w:rsidRPr="0053182F">
        <w:rPr>
          <w:rStyle w:val="normaltextrun"/>
          <w:rFonts w:eastAsiaTheme="minorEastAsia"/>
          <w:lang w:eastAsia="en-US"/>
        </w:rPr>
        <w:t>in Supply Chains Act of 2010</w:t>
      </w:r>
      <w:r w:rsidR="001D2514" w:rsidRPr="0053182F">
        <w:rPr>
          <w:rStyle w:val="normaltextrun"/>
          <w:rFonts w:eastAsiaTheme="minorEastAsia"/>
          <w:lang w:eastAsia="en-US"/>
        </w:rPr>
        <w:t xml:space="preserve"> and the UK 2015, this</w:t>
      </w:r>
      <w:r w:rsidR="00875792" w:rsidRPr="0053182F">
        <w:rPr>
          <w:rStyle w:val="normaltextrun"/>
          <w:rFonts w:eastAsiaTheme="minorEastAsia"/>
          <w:lang w:eastAsia="en-US"/>
        </w:rPr>
        <w:t xml:space="preserve"> can be considered a milestone in eliminating</w:t>
      </w:r>
      <w:r w:rsidRPr="0053182F">
        <w:rPr>
          <w:rStyle w:val="normaltextrun"/>
          <w:rFonts w:eastAsiaTheme="minorEastAsia"/>
          <w:lang w:eastAsia="en-US"/>
        </w:rPr>
        <w:t xml:space="preserve"> CMS</w:t>
      </w:r>
      <w:r w:rsidRPr="0053182F">
        <w:rPr>
          <w:rStyle w:val="normaltextrun"/>
          <w:rFonts w:eastAsiaTheme="majorEastAsia"/>
          <w:shd w:val="clear" w:color="auto" w:fill="FFFFFF"/>
        </w:rPr>
        <w:t xml:space="preserve"> practices. Hence</w:t>
      </w:r>
      <w:r w:rsidR="006516A8" w:rsidRPr="0053182F">
        <w:rPr>
          <w:rStyle w:val="normaltextrun"/>
          <w:rFonts w:eastAsiaTheme="majorEastAsia"/>
          <w:shd w:val="clear" w:color="auto" w:fill="FFFFFF"/>
        </w:rPr>
        <w:t>, in 2015, with the development of the UK MS</w:t>
      </w:r>
      <w:r w:rsidR="000D36A8" w:rsidRPr="0053182F">
        <w:rPr>
          <w:rStyle w:val="normaltextrun"/>
          <w:rFonts w:eastAsiaTheme="majorEastAsia"/>
          <w:shd w:val="clear" w:color="auto" w:fill="FFFFFF"/>
        </w:rPr>
        <w:t>A</w:t>
      </w:r>
      <w:r w:rsidR="006516A8" w:rsidRPr="0053182F">
        <w:rPr>
          <w:rStyle w:val="normaltextrun"/>
          <w:rFonts w:eastAsiaTheme="majorEastAsia"/>
          <w:shd w:val="clear" w:color="auto" w:fill="FFFFFF"/>
        </w:rPr>
        <w:t xml:space="preserve"> 2015, a new chapter opened</w:t>
      </w:r>
      <w:r w:rsidRPr="0053182F">
        <w:rPr>
          <w:rStyle w:val="normaltextrun"/>
          <w:rFonts w:eastAsiaTheme="majorEastAsia"/>
          <w:shd w:val="clear" w:color="auto" w:fill="FFFFFF"/>
        </w:rPr>
        <w:t xml:space="preserve"> for CMS. In the same vein, Australia also </w:t>
      </w:r>
      <w:r w:rsidR="006516A8" w:rsidRPr="0053182F">
        <w:rPr>
          <w:rStyle w:val="normaltextrun"/>
          <w:rFonts w:eastAsiaTheme="majorEastAsia"/>
          <w:shd w:val="clear" w:color="auto" w:fill="FFFFFF"/>
        </w:rPr>
        <w:t>has legislation (Australian MS</w:t>
      </w:r>
      <w:r w:rsidR="000D36A8" w:rsidRPr="0053182F">
        <w:rPr>
          <w:rStyle w:val="normaltextrun"/>
          <w:rFonts w:eastAsiaTheme="majorEastAsia"/>
          <w:shd w:val="clear" w:color="auto" w:fill="FFFFFF"/>
        </w:rPr>
        <w:t>A</w:t>
      </w:r>
      <w:r w:rsidR="006516A8" w:rsidRPr="0053182F">
        <w:rPr>
          <w:rStyle w:val="normaltextrun"/>
          <w:rFonts w:eastAsiaTheme="majorEastAsia"/>
          <w:shd w:val="clear" w:color="auto" w:fill="FFFFFF"/>
        </w:rPr>
        <w:t xml:space="preserve"> 2018) to tackle MS, and some entities are required</w:t>
      </w:r>
      <w:r w:rsidRPr="0053182F">
        <w:rPr>
          <w:rStyle w:val="normaltextrun"/>
          <w:rFonts w:eastAsiaTheme="majorEastAsia"/>
          <w:shd w:val="clear" w:color="auto" w:fill="FFFFFF"/>
        </w:rPr>
        <w:t xml:space="preserve"> to publish mandatory </w:t>
      </w:r>
      <w:r w:rsidR="00BF59DE" w:rsidRPr="0053182F">
        <w:rPr>
          <w:rStyle w:val="normaltextrun"/>
          <w:rFonts w:eastAsiaTheme="majorEastAsia"/>
          <w:shd w:val="clear" w:color="auto" w:fill="FFFFFF"/>
        </w:rPr>
        <w:t xml:space="preserve">annual </w:t>
      </w:r>
      <w:r w:rsidRPr="0053182F">
        <w:rPr>
          <w:rStyle w:val="normaltextrun"/>
          <w:rFonts w:eastAsiaTheme="majorEastAsia"/>
          <w:shd w:val="clear" w:color="auto" w:fill="FFFFFF"/>
        </w:rPr>
        <w:t xml:space="preserve">MSS  </w:t>
      </w:r>
      <w:sdt>
        <w:sdtPr>
          <w:rPr>
            <w:rStyle w:val="normaltextrun"/>
            <w:rFonts w:eastAsiaTheme="majorEastAsia"/>
            <w:shd w:val="clear" w:color="auto" w:fill="FFFFFF"/>
          </w:rPr>
          <w:tag w:val="MENDELEY_CITATION_v3_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"/>
          <w:id w:val="2087956347"/>
          <w:placeholder>
            <w:docPart w:val="B0DC166C1BF04E07A8629C80D48491D7"/>
          </w:placeholder>
        </w:sdtPr>
        <w:sdtContent>
          <w:r w:rsidR="00CC1788" w:rsidRPr="0053182F">
            <w:rPr>
              <w:rStyle w:val="normaltextrun"/>
              <w:rFonts w:eastAsiaTheme="majorEastAsia"/>
            </w:rPr>
            <w:t>(Burritt and Christ, 2023; Meehan and Pinnington, 2021)</w:t>
          </w:r>
        </w:sdtContent>
      </w:sdt>
      <w:r w:rsidRPr="0053182F">
        <w:rPr>
          <w:rStyle w:val="normaltextrun"/>
          <w:rFonts w:eastAsiaTheme="majorEastAsia"/>
          <w:shd w:val="clear" w:color="auto" w:fill="FFFFFF"/>
        </w:rPr>
        <w:t>.</w:t>
      </w:r>
    </w:p>
    <w:p w14:paraId="66037465" w14:textId="27F198FD" w:rsidR="00144866" w:rsidRPr="0053182F" w:rsidRDefault="00144866" w:rsidP="00144866">
      <w:pPr>
        <w:pStyle w:val="NormalWeb"/>
        <w:spacing w:before="0" w:beforeAutospacing="0" w:after="0" w:afterAutospacing="0" w:line="480" w:lineRule="auto"/>
        <w:ind w:firstLine="720"/>
        <w:jc w:val="both"/>
        <w:rPr>
          <w:rFonts w:eastAsia="Palatino Linotype"/>
        </w:rPr>
      </w:pPr>
      <w:r w:rsidRPr="0053182F">
        <w:rPr>
          <w:rFonts w:eastAsia="Palatino Linotype"/>
        </w:rPr>
        <w:t xml:space="preserve">In 2017, </w:t>
      </w:r>
      <w:r w:rsidR="006516A8" w:rsidRPr="0053182F">
        <w:rPr>
          <w:rFonts w:eastAsia="Palatino Linotype"/>
        </w:rPr>
        <w:t xml:space="preserve">the </w:t>
      </w:r>
      <w:r w:rsidRPr="0053182F">
        <w:rPr>
          <w:rFonts w:eastAsia="Palatino Linotype"/>
        </w:rPr>
        <w:t xml:space="preserve">European Parliament​ approved </w:t>
      </w:r>
      <w:r w:rsidR="006516A8" w:rsidRPr="0053182F">
        <w:rPr>
          <w:rFonts w:eastAsia="Palatino Linotype"/>
        </w:rPr>
        <w:t xml:space="preserve">a </w:t>
      </w:r>
      <w:r w:rsidRPr="0053182F">
        <w:rPr>
          <w:rFonts w:eastAsia="Palatino Linotype"/>
        </w:rPr>
        <w:t xml:space="preserve">regulation </w:t>
      </w:r>
      <w:r w:rsidR="00630EF5" w:rsidRPr="0053182F">
        <w:rPr>
          <w:rFonts w:eastAsia="Palatino Linotype"/>
        </w:rPr>
        <w:t>that requires</w:t>
      </w:r>
      <w:r w:rsidRPr="0053182F">
        <w:rPr>
          <w:rFonts w:eastAsia="Palatino Linotype"/>
        </w:rPr>
        <w:t xml:space="preserve"> a mineral importer who imports “tin, tantalum, tungsten and gold into the </w:t>
      </w:r>
      <w:r w:rsidR="008457B4" w:rsidRPr="0053182F">
        <w:rPr>
          <w:rFonts w:eastAsia="Palatino Linotype"/>
        </w:rPr>
        <w:t>EU” to</w:t>
      </w:r>
      <w:r w:rsidRPr="0053182F">
        <w:rPr>
          <w:rFonts w:eastAsia="Palatino Linotype"/>
        </w:rPr>
        <w:t xml:space="preserve"> verify whether these minerals might be financing conflict or might have been extracted using child labour or relying on other humans​</w:t>
      </w:r>
      <w:r w:rsidR="00157E25" w:rsidRPr="0053182F">
        <w:rPr>
          <w:rFonts w:eastAsia="Palatino Linotype"/>
        </w:rPr>
        <w:t>,</w:t>
      </w:r>
      <w:r w:rsidRPr="0053182F">
        <w:rPr>
          <w:rFonts w:eastAsia="Palatino Linotype"/>
        </w:rPr>
        <w:t xml:space="preserve"> to fight against CMS practices</w:t>
      </w:r>
      <w:r w:rsidRPr="0053182F">
        <w:rPr>
          <w:rStyle w:val="normaltextrun"/>
          <w:rFonts w:eastAsiaTheme="majorEastAsia"/>
          <w:shd w:val="clear" w:color="auto" w:fill="FFFFFF"/>
        </w:rPr>
        <w:t xml:space="preserve"> </w:t>
      </w:r>
      <w:sdt>
        <w:sdtPr>
          <w:rPr>
            <w:rStyle w:val="normaltextrun"/>
            <w:rFonts w:eastAsiaTheme="majorEastAsia"/>
            <w:shd w:val="clear" w:color="auto" w:fill="FFFFFF"/>
          </w:rPr>
          <w:tag w:val="MENDELEY_CITATION_v3_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"/>
          <w:id w:val="-1249568143"/>
          <w:placeholder>
            <w:docPart w:val="B566E494933D46AB8EE08A367C23932F"/>
          </w:placeholder>
        </w:sdtPr>
        <w:sdtContent>
          <w:r w:rsidR="00CC1788" w:rsidRPr="0053182F">
            <w:rPr>
              <w:rStyle w:val="normaltextrun"/>
              <w:rFonts w:eastAsiaTheme="majorEastAsia"/>
              <w:shd w:val="clear" w:color="auto" w:fill="FFFFFF"/>
            </w:rPr>
            <w:t>(European Parliament, 2018, p. 50)</w:t>
          </w:r>
        </w:sdtContent>
      </w:sdt>
      <w:r w:rsidRPr="0053182F">
        <w:rPr>
          <w:rStyle w:val="normaltextrun"/>
          <w:rFonts w:eastAsiaTheme="majorEastAsia"/>
          <w:shd w:val="clear" w:color="auto" w:fill="FFFFFF"/>
        </w:rPr>
        <w:t xml:space="preserve">. </w:t>
      </w:r>
      <w:r w:rsidRPr="0053182F">
        <w:t xml:space="preserve">Efforts to eliminate CMS practices led to the development of better CSR governance initiatives. </w:t>
      </w:r>
      <w:r w:rsidR="00157E25" w:rsidRPr="0053182F">
        <w:t>Legal and regulatory developments help improve reporting initiatives (Danish Institute for Human Rights, 2022)</w:t>
      </w:r>
      <w:r w:rsidR="00181DE2" w:rsidRPr="0053182F">
        <w:rPr>
          <w:vertAlign w:val="superscript"/>
        </w:rPr>
        <w:footnoteReference w:id="9"/>
      </w:r>
      <w:r w:rsidRPr="0053182F">
        <w:t xml:space="preserve">. </w:t>
      </w:r>
      <w:r w:rsidRPr="0053182F">
        <w:rPr>
          <w:rFonts w:eastAsia="Palatino Linotype"/>
        </w:rPr>
        <w:t xml:space="preserve"> Also, these changes are not strong enough to tackle the global challenge. </w:t>
      </w:r>
      <w:r w:rsidRPr="0053182F">
        <w:rPr>
          <w:rStyle w:val="normaltextrun"/>
          <w:rFonts w:eastAsiaTheme="majorEastAsia"/>
          <w:shd w:val="clear" w:color="auto" w:fill="FFFFFF"/>
        </w:rPr>
        <w:t xml:space="preserve">Thus, some countries </w:t>
      </w:r>
      <w:r w:rsidR="00157E25" w:rsidRPr="0053182F">
        <w:rPr>
          <w:rStyle w:val="normaltextrun"/>
          <w:rFonts w:eastAsiaTheme="majorEastAsia"/>
          <w:shd w:val="clear" w:color="auto" w:fill="FFFFFF"/>
        </w:rPr>
        <w:t>require MS reporting for larger MNCs, but it is evident that a few countries, such as the UK and Australia (Christ et al., 2019), still do not</w:t>
      </w:r>
      <w:r w:rsidRPr="0053182F">
        <w:rPr>
          <w:rStyle w:val="normaltextrun"/>
          <w:rFonts w:eastAsiaTheme="majorEastAsia"/>
          <w:shd w:val="clear" w:color="auto" w:fill="FFFFFF"/>
        </w:rPr>
        <w:t xml:space="preserve">. </w:t>
      </w:r>
      <w:r w:rsidRPr="0053182F">
        <w:rPr>
          <w:rFonts w:eastAsia="Palatino Linotype"/>
        </w:rPr>
        <w:t xml:space="preserve">These changes are mainly enforced within the parent companies and largely neglected in the supply chain. </w:t>
      </w:r>
      <w:sdt>
        <w:sdtPr>
          <w:rPr>
            <w:rFonts w:eastAsia="Palatino Linotype"/>
          </w:rPr>
          <w:tag w:val="MENDELEY_CITATION_v3_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"/>
          <w:id w:val="-255127132"/>
          <w:placeholder>
            <w:docPart w:val="8B7D6BE973664F8D8228CF10418AEA8E"/>
          </w:placeholder>
        </w:sdtPr>
        <w:sdtContent>
          <w:r w:rsidR="00CC1788" w:rsidRPr="0053182F">
            <w:rPr>
              <w:rFonts w:eastAsia="Palatino Linotype"/>
            </w:rPr>
            <w:t xml:space="preserve">Stevenson and Cole (2018) </w:t>
          </w:r>
        </w:sdtContent>
      </w:sdt>
      <w:r w:rsidRPr="0053182F">
        <w:rPr>
          <w:rFonts w:eastAsia="Palatino Linotype"/>
        </w:rPr>
        <w:t>argued that CMS had bee</w:t>
      </w:r>
      <w:r w:rsidR="00CC39F7" w:rsidRPr="0053182F">
        <w:rPr>
          <w:rFonts w:eastAsia="Palatino Linotype"/>
        </w:rPr>
        <w:t>n largely ignored by supply chain management scholars, rather than being motivated to tackle it</w:t>
      </w:r>
      <w:r w:rsidRPr="0053182F">
        <w:rPr>
          <w:rFonts w:eastAsia="Palatino Linotype"/>
        </w:rPr>
        <w:t xml:space="preserve">. Recently, the Canadian </w:t>
      </w:r>
      <w:r w:rsidR="00CC39F7" w:rsidRPr="0053182F">
        <w:rPr>
          <w:rFonts w:eastAsia="Palatino Linotype"/>
        </w:rPr>
        <w:t>Parliament introduced the MS Act (formerly known as Bill S-211) with new measures to address CMS practices,</w:t>
      </w:r>
      <w:r w:rsidR="005B3416" w:rsidRPr="0053182F">
        <w:rPr>
          <w:rFonts w:eastAsia="Palatino Linotype"/>
        </w:rPr>
        <w:t xml:space="preserve"> e</w:t>
      </w:r>
      <w:r w:rsidRPr="0053182F">
        <w:rPr>
          <w:rFonts w:eastAsia="Palatino Linotype"/>
        </w:rPr>
        <w:t>ffect</w:t>
      </w:r>
      <w:r w:rsidR="00CC39F7" w:rsidRPr="0053182F">
        <w:rPr>
          <w:rFonts w:eastAsia="Palatino Linotype"/>
        </w:rPr>
        <w:t>ive</w:t>
      </w:r>
      <w:r w:rsidRPr="0053182F">
        <w:rPr>
          <w:rFonts w:eastAsia="Palatino Linotype"/>
        </w:rPr>
        <w:t xml:space="preserve"> from 24th May 2024 </w:t>
      </w:r>
      <w:sdt>
        <w:sdtPr>
          <w:rPr>
            <w:rFonts w:eastAsia="Palatino Linotype"/>
          </w:rPr>
          <w:tag w:val="MENDELEY_CITATION_v3_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"/>
          <w:id w:val="-1006748984"/>
          <w:placeholder>
            <w:docPart w:val="1184DBC77B904C769580BC56145B731C"/>
          </w:placeholder>
        </w:sdtPr>
        <w:sdtContent>
          <w:r w:rsidR="00CC1788" w:rsidRPr="0053182F">
            <w:rPr>
              <w:rFonts w:eastAsia="Palatino Linotype"/>
            </w:rPr>
            <w:t>(PWC, 2023)</w:t>
          </w:r>
        </w:sdtContent>
      </w:sdt>
      <w:r w:rsidRPr="0053182F">
        <w:rPr>
          <w:rFonts w:eastAsia="Palatino Linotype"/>
        </w:rPr>
        <w:t xml:space="preserve">. According to the MS  act, any corporation “listed on a stock exchange in Canada or has a place of business in Canada, does business in Canada or has assets in Canada and meets at least two conditions (for at least one of its two most recent financial years has at least $20 million assets or generate at least $40mn in revenue or average at least 250 employees) have a reporting obligation” </w:t>
      </w:r>
      <w:sdt>
        <w:sdtPr>
          <w:rPr>
            <w:rFonts w:eastAsia="Palatino Linotype"/>
          </w:rPr>
          <w:tag w:val="MENDELEY_CITATION_v3_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"/>
          <w:id w:val="1297643685"/>
          <w:placeholder>
            <w:docPart w:val="97090AE9D5DD4FF58A5FAD07CB306C20"/>
          </w:placeholder>
        </w:sdtPr>
        <w:sdtContent>
          <w:r w:rsidR="00CC1788" w:rsidRPr="0053182F">
            <w:rPr>
              <w:rFonts w:eastAsia="Palatino Linotype"/>
            </w:rPr>
            <w:t>(PWC, 2023)</w:t>
          </w:r>
        </w:sdtContent>
      </w:sdt>
      <w:r w:rsidRPr="0053182F">
        <w:rPr>
          <w:rFonts w:eastAsia="Palatino Linotype"/>
        </w:rPr>
        <w:t xml:space="preserve">. </w:t>
      </w:r>
    </w:p>
    <w:p w14:paraId="2D95471F" w14:textId="25D2D914" w:rsidR="00144866" w:rsidRPr="0053182F" w:rsidRDefault="00144866" w:rsidP="00144866">
      <w:pPr>
        <w:spacing w:after="0" w:line="480" w:lineRule="auto"/>
        <w:ind w:firstLine="720"/>
        <w:jc w:val="both"/>
        <w:rPr>
          <w:rStyle w:val="normaltextrun"/>
          <w:shd w:val="clear" w:color="auto" w:fill="FFFFFF"/>
        </w:rPr>
      </w:pPr>
      <w:r w:rsidRPr="0053182F">
        <w:rPr>
          <w:rStyle w:val="normaltextrun"/>
        </w:rPr>
        <w:t>According to the evidence in well-established countries, their complex supply chains are mainly located in developing countries. Hence, MNCs face</w:t>
      </w:r>
      <w:r w:rsidRPr="0053182F">
        <w:rPr>
          <w:rStyle w:val="normaltextrun"/>
          <w:shd w:val="clear" w:color="auto" w:fill="FFFFFF"/>
        </w:rPr>
        <w:t xml:space="preserve"> difficulties in </w:t>
      </w:r>
      <w:r w:rsidRPr="0053182F">
        <w:rPr>
          <w:rStyle w:val="normaltextrun"/>
        </w:rPr>
        <w:t>repor</w:t>
      </w:r>
      <w:r w:rsidRPr="0053182F">
        <w:rPr>
          <w:rStyle w:val="normaltextrun"/>
          <w:shd w:val="clear" w:color="auto" w:fill="FFFFFF"/>
        </w:rPr>
        <w:t xml:space="preserve">ting </w:t>
      </w:r>
      <w:r w:rsidRPr="0053182F">
        <w:rPr>
          <w:rStyle w:val="normaltextrun"/>
        </w:rPr>
        <w:t xml:space="preserve">MS </w:t>
      </w:r>
      <w:r w:rsidR="00CC39F7" w:rsidRPr="0053182F">
        <w:rPr>
          <w:rStyle w:val="normaltextrun"/>
          <w:shd w:val="clear" w:color="auto" w:fill="FFFFFF"/>
        </w:rPr>
        <w:t>in their complex, contemporary supply chains, which span</w:t>
      </w:r>
      <w:r w:rsidR="0012016A" w:rsidRPr="0053182F">
        <w:rPr>
          <w:rStyle w:val="normaltextrun"/>
          <w:shd w:val="clear" w:color="auto" w:fill="FFFFFF"/>
        </w:rPr>
        <w:t xml:space="preserve"> d</w:t>
      </w:r>
      <w:r w:rsidRPr="0053182F">
        <w:rPr>
          <w:rStyle w:val="normaltextrun"/>
        </w:rPr>
        <w:t>ifferen</w:t>
      </w:r>
      <w:r w:rsidRPr="0053182F">
        <w:rPr>
          <w:rStyle w:val="normaltextrun"/>
          <w:shd w:val="clear" w:color="auto" w:fill="FFFFFF"/>
        </w:rPr>
        <w:t xml:space="preserve">t accounting disciplines, and individual countries </w:t>
      </w:r>
      <w:r w:rsidRPr="0053182F">
        <w:rPr>
          <w:rStyle w:val="normaltextrun"/>
        </w:rPr>
        <w:t xml:space="preserve">are unable to </w:t>
      </w:r>
      <w:r w:rsidR="0012016A" w:rsidRPr="0053182F">
        <w:rPr>
          <w:rStyle w:val="normaltextrun"/>
        </w:rPr>
        <w:t>control CMS risks that occur outside their boundaries directly</w:t>
      </w:r>
      <w:r w:rsidRPr="0053182F">
        <w:rPr>
          <w:rStyle w:val="normaltextrun"/>
          <w:shd w:val="clear" w:color="auto" w:fill="FFFFFF"/>
        </w:rPr>
        <w:t xml:space="preserve"> </w:t>
      </w:r>
      <w:sdt>
        <w:sdtPr>
          <w:rPr>
            <w:rStyle w:val="normaltextrun"/>
            <w:shd w:val="clear" w:color="auto" w:fill="FFFFFF"/>
          </w:rPr>
          <w:tag w:val="MENDELEY_CITATION_v3_eyJjaXRhdGlvbklEIjoiTUVOREVMRVlfQ0lUQVRJT05fNzU3MWRjM2MtNGNkOC00YzBhLWE1YjctYWMxNThlMWY1OTA4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
          <w:id w:val="125907274"/>
          <w:placeholder>
            <w:docPart w:val="50D1BD66759846E1B39A57DB2D9E7565"/>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w:t>
          </w:r>
        </w:sdtContent>
      </w:sdt>
      <w:r w:rsidRPr="0053182F">
        <w:rPr>
          <w:shd w:val="clear" w:color="auto" w:fill="FFFFFF"/>
        </w:rPr>
        <w:t xml:space="preserve">. </w:t>
      </w:r>
      <w:r w:rsidRPr="0053182F">
        <w:rPr>
          <w:rStyle w:val="normaltextrun"/>
          <w:shd w:val="clear" w:color="auto" w:fill="FFFFFF"/>
        </w:rPr>
        <w:t>H</w:t>
      </w:r>
      <w:r w:rsidRPr="0053182F">
        <w:rPr>
          <w:rStyle w:val="normaltextrun"/>
        </w:rPr>
        <w:t xml:space="preserve">owever, </w:t>
      </w:r>
      <w:r w:rsidRPr="0053182F">
        <w:rPr>
          <w:rStyle w:val="normaltextrun"/>
          <w:shd w:val="clear" w:color="auto" w:fill="FFFFFF"/>
        </w:rPr>
        <w:t xml:space="preserve">they have indirect power to </w:t>
      </w:r>
      <w:r w:rsidRPr="0053182F">
        <w:rPr>
          <w:rStyle w:val="normaltextrun"/>
        </w:rPr>
        <w:t>minimise CMS</w:t>
      </w:r>
      <w:r w:rsidRPr="0053182F">
        <w:rPr>
          <w:rStyle w:val="normaltextrun"/>
          <w:shd w:val="clear" w:color="auto" w:fill="FFFFFF"/>
        </w:rPr>
        <w:t xml:space="preserve"> by encouraging MNCs to use their </w:t>
      </w:r>
      <w:r w:rsidRPr="0053182F">
        <w:rPr>
          <w:rStyle w:val="normaltextrun"/>
        </w:rPr>
        <w:t>market and economic power to</w:t>
      </w:r>
      <w:r w:rsidRPr="0053182F">
        <w:rPr>
          <w:rStyle w:val="normaltextrun"/>
          <w:shd w:val="clear" w:color="auto" w:fill="FFFFFF"/>
        </w:rPr>
        <w:t xml:space="preserve"> reduce the CMS-related la</w:t>
      </w:r>
      <w:r w:rsidRPr="0053182F">
        <w:rPr>
          <w:rStyle w:val="normaltextrun"/>
        </w:rPr>
        <w:t xml:space="preserve">bour </w:t>
      </w:r>
      <w:r w:rsidRPr="0053182F">
        <w:rPr>
          <w:rStyle w:val="normaltextrun"/>
          <w:shd w:val="clear" w:color="auto" w:fill="FFFFFF"/>
        </w:rPr>
        <w:t>mar</w:t>
      </w:r>
      <w:r w:rsidRPr="0053182F">
        <w:rPr>
          <w:rStyle w:val="normaltextrun"/>
        </w:rPr>
        <w:t xml:space="preserve">ket through </w:t>
      </w:r>
      <w:r w:rsidRPr="0053182F">
        <w:rPr>
          <w:rStyle w:val="normaltextrun"/>
          <w:shd w:val="clear" w:color="auto" w:fill="FFFFFF"/>
        </w:rPr>
        <w:t xml:space="preserve">consumer services and products </w:t>
      </w:r>
      <w:sdt>
        <w:sdtPr>
          <w:rPr>
            <w:rStyle w:val="normaltextrun"/>
            <w:shd w:val="clear" w:color="auto" w:fill="FFFFFF"/>
          </w:rPr>
          <w:tag w:val="MENDELEY_CITATION_v3_eyJjaXRhdGlvbklEIjoiTUVOREVMRVlfQ0lUQVRJT05fN2U0MmE1NjAtNDZmOC00NjE2LWFkOGEtMDQ3YTIxODZlNWJj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
          <w:id w:val="1717393513"/>
          <w:placeholder>
            <w:docPart w:val="72714FD7B89D46BAB0129EE3020DC8E3"/>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w:t>
          </w:r>
        </w:sdtContent>
      </w:sdt>
      <w:r w:rsidRPr="0053182F">
        <w:rPr>
          <w:rStyle w:val="normaltextrun"/>
          <w:shd w:val="clear" w:color="auto" w:fill="FFFFFF"/>
        </w:rPr>
        <w:t xml:space="preserve">. </w:t>
      </w:r>
    </w:p>
    <w:p w14:paraId="52D63079" w14:textId="45177CE4" w:rsidR="00144866" w:rsidRPr="0053182F" w:rsidRDefault="00144866" w:rsidP="00144866">
      <w:pPr>
        <w:spacing w:after="0" w:line="480" w:lineRule="auto"/>
        <w:ind w:firstLine="720"/>
        <w:jc w:val="both"/>
        <w:rPr>
          <w:rStyle w:val="normaltextrun"/>
        </w:rPr>
      </w:pPr>
      <w:r w:rsidRPr="0053182F">
        <w:rPr>
          <w:rStyle w:val="normaltextrun"/>
        </w:rPr>
        <w:t>Several legislati</w:t>
      </w:r>
      <w:r w:rsidR="0012016A" w:rsidRPr="0053182F">
        <w:rPr>
          <w:rStyle w:val="normaltextrun"/>
        </w:rPr>
        <w:t>ve initiatives in different countries encourage increased supply chain transparency and fight against CMS practices</w:t>
      </w:r>
      <w:r w:rsidR="003839C5" w:rsidRPr="0053182F">
        <w:rPr>
          <w:rStyle w:val="FootnoteReference"/>
        </w:rPr>
        <w:footnoteReference w:id="10"/>
      </w:r>
      <w:r w:rsidRPr="0053182F">
        <w:rPr>
          <w:rStyle w:val="normaltextrun"/>
        </w:rPr>
        <w:t>. Notably, the</w:t>
      </w:r>
      <w:r w:rsidRPr="0053182F">
        <w:rPr>
          <w:rStyle w:val="normaltextrun"/>
          <w:shd w:val="clear" w:color="auto" w:fill="FFFFFF"/>
        </w:rPr>
        <w:t xml:space="preserve"> </w:t>
      </w:r>
      <w:r w:rsidRPr="0053182F">
        <w:rPr>
          <w:rStyle w:val="normaltextrun"/>
        </w:rPr>
        <w:t>transparency in supply chains provision of the UK MS</w:t>
      </w:r>
      <w:r w:rsidR="0071325B" w:rsidRPr="0053182F">
        <w:rPr>
          <w:rStyle w:val="normaltextrun"/>
        </w:rPr>
        <w:t xml:space="preserve">A </w:t>
      </w:r>
      <w:r w:rsidRPr="0053182F">
        <w:rPr>
          <w:rStyle w:val="normaltextrun"/>
        </w:rPr>
        <w:t xml:space="preserve">2015 has illustrated that </w:t>
      </w:r>
      <w:r w:rsidRPr="0053182F">
        <w:rPr>
          <w:rStyle w:val="normaltextrun"/>
          <w:shd w:val="clear" w:color="auto" w:fill="FFFFFF"/>
        </w:rPr>
        <w:t xml:space="preserve">any goods or services business which has an annual turnover of £36 million or more which is incorporated or formed in the UK and carries business or part of the business within the UK are required to publish an annual MSS to outline their preventative action for MS  </w:t>
      </w:r>
      <w:sdt>
        <w:sdtPr>
          <w:rPr>
            <w:rStyle w:val="normaltextrun"/>
            <w:shd w:val="clear" w:color="auto" w:fill="FFFFFF"/>
          </w:rPr>
          <w:tag w:val="MENDELEY_CITATION_v3_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"/>
          <w:id w:val="-312334268"/>
          <w:placeholder>
            <w:docPart w:val="1C75AC270E11467D895CBA651112B457"/>
          </w:placeholder>
        </w:sdtPr>
        <w:sdtContent>
          <w:r w:rsidR="00CC1788" w:rsidRPr="0053182F">
            <w:rPr>
              <w:rStyle w:val="normaltextrun"/>
              <w:shd w:val="clear" w:color="auto" w:fill="FFFFFF"/>
            </w:rPr>
            <w:t>(HM Government, 2020, 2021)</w:t>
          </w:r>
        </w:sdtContent>
      </w:sdt>
      <w:r w:rsidRPr="0053182F">
        <w:rPr>
          <w:rStyle w:val="FootnoteReference"/>
        </w:rPr>
        <w:footnoteReference w:id="11"/>
      </w:r>
      <w:r w:rsidRPr="0053182F">
        <w:rPr>
          <w:rStyle w:val="normaltextrun"/>
          <w:shd w:val="clear" w:color="auto" w:fill="FFFFFF"/>
        </w:rPr>
        <w:t xml:space="preserve">. </w:t>
      </w:r>
      <w:r w:rsidRPr="0053182F">
        <w:rPr>
          <w:rStyle w:val="normaltextrun"/>
        </w:rPr>
        <w:t xml:space="preserve">Also, the </w:t>
      </w:r>
      <w:r w:rsidR="0012016A" w:rsidRPr="0053182F">
        <w:rPr>
          <w:rStyle w:val="normaltextrun"/>
        </w:rPr>
        <w:t>literature argued for the importance of publishing MSS annually, as it can serve as a platform to communicate their actions to minimise the MS risk to t</w:t>
      </w:r>
      <w:r w:rsidRPr="0053182F">
        <w:rPr>
          <w:rStyle w:val="normaltextrun"/>
        </w:rPr>
        <w:t xml:space="preserve">heir business </w:t>
      </w:r>
      <w:sdt>
        <w:sdtPr>
          <w:rPr>
            <w:rStyle w:val="normaltextrun"/>
          </w:rPr>
          <w:tag w:val="MENDELEY_CITATION_v3_eyJjaXRhdGlvbklEIjoiTUVOREVMRVlfQ0lUQVRJT05fNzRiN2VlNDctODQzYi00ZmI0LWE1NTctYjNlYWE1ZDVjZDExIiwicHJvcGVydGllcyI6eyJub3RlSW5kZXgiOjB9LCJpc0VkaXRlZCI6ZmFsc2UsIm1hbnVhbE92ZXJyaWRlIjp7ImlzTWFudWFsbHlPdmVycmlkZGVuIjpmYWxzZSwiY2l0ZXByb2NUZXh0IjoiKENocmlzdCA8aT5ldCBhbC48L2k+LCAyMDE5OyBDcmFuZSwgMjAxMykiLCJtYW51YWxPdmVycmlkZVRleHQiOiI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1164536902"/>
          <w:placeholder>
            <w:docPart w:val="C503F73347AC4B3D972B201D8413D973"/>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2019; Crane, 2013)</w:t>
          </w:r>
        </w:sdtContent>
      </w:sdt>
      <w:r w:rsidRPr="0053182F">
        <w:rPr>
          <w:rStyle w:val="normaltextrun"/>
        </w:rPr>
        <w:t xml:space="preserve">. In contrast, there are no solid legal binds </w:t>
      </w:r>
      <w:r w:rsidR="0012016A" w:rsidRPr="0053182F">
        <w:rPr>
          <w:rStyle w:val="normaltextrun"/>
        </w:rPr>
        <w:t>on the firm, nor does it push the corporation to implement new plans and strategies to eliminate its operations'</w:t>
      </w:r>
      <w:r w:rsidRPr="0053182F">
        <w:rPr>
          <w:rStyle w:val="normaltextrun"/>
        </w:rPr>
        <w:t xml:space="preserve"> CMS practices, including </w:t>
      </w:r>
      <w:r w:rsidR="008D6526" w:rsidRPr="0053182F">
        <w:rPr>
          <w:rStyle w:val="normaltextrun"/>
        </w:rPr>
        <w:t xml:space="preserve">the </w:t>
      </w:r>
      <w:r w:rsidRPr="0053182F">
        <w:rPr>
          <w:rStyle w:val="normaltextrun"/>
        </w:rPr>
        <w:t xml:space="preserve">supply chain. </w:t>
      </w:r>
    </w:p>
    <w:p w14:paraId="7E0E8558" w14:textId="5E956A3F" w:rsidR="00144866" w:rsidRPr="0053182F" w:rsidRDefault="00144866" w:rsidP="00144866">
      <w:pPr>
        <w:spacing w:after="0" w:line="480" w:lineRule="auto"/>
        <w:ind w:firstLine="720"/>
        <w:jc w:val="both"/>
      </w:pPr>
      <w:r w:rsidRPr="0053182F">
        <w:rPr>
          <w:rStyle w:val="normaltextrun"/>
          <w:shd w:val="clear" w:color="auto" w:fill="FFFFFF"/>
        </w:rPr>
        <w:t xml:space="preserve">Similarly, California's Transparency in Supply Chains Act of 2010 </w:t>
      </w:r>
      <w:r w:rsidRPr="0053182F">
        <w:rPr>
          <w:rStyle w:val="normaltextrun"/>
        </w:rPr>
        <w:t xml:space="preserve">requires that retailers and manufacturers conducting a </w:t>
      </w:r>
      <w:r w:rsidRPr="0053182F">
        <w:rPr>
          <w:rStyle w:val="normaltextrun"/>
          <w:shd w:val="clear" w:color="auto" w:fill="FFFFFF"/>
        </w:rPr>
        <w:t xml:space="preserve">business operation in California, with annual worldwide gross receipts of $100 million or more, must explicitly disclose their efforts to eradicate CMS practices and protect fundamental human rights, along their entire supply chain </w:t>
      </w:r>
      <w:sdt>
        <w:sdtPr>
          <w:rPr>
            <w:rStyle w:val="normaltextrun"/>
            <w:shd w:val="clear" w:color="auto" w:fill="FFFFFF"/>
          </w:rPr>
          <w:tag w:val="MENDELEY_CITATION_v3_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"/>
          <w:id w:val="-692297613"/>
          <w:placeholder>
            <w:docPart w:val="2F4463DB0A0E44778069BD08FFFBFC9F"/>
          </w:placeholder>
        </w:sdtPr>
        <w:sdtContent>
          <w:r w:rsidR="00CC1788" w:rsidRPr="0053182F">
            <w:rPr>
              <w:rStyle w:val="normaltextrun"/>
              <w:shd w:val="clear" w:color="auto" w:fill="FFFFFF"/>
            </w:rPr>
            <w:t>(Pickles and Zhu, 2013).</w:t>
          </w:r>
        </w:sdtContent>
      </w:sdt>
      <w:r w:rsidRPr="0053182F">
        <w:rPr>
          <w:rStyle w:val="normaltextrun"/>
          <w:shd w:val="clear" w:color="auto" w:fill="FFFFFF"/>
        </w:rPr>
        <w:t xml:space="preserve"> However, there are significant differences in this legislation. It is an urge to develop a unique, globally acceptable framework that can </w:t>
      </w:r>
      <w:r w:rsidR="008D6526" w:rsidRPr="0053182F">
        <w:rPr>
          <w:rStyle w:val="normaltextrun"/>
          <w:shd w:val="clear" w:color="auto" w:fill="FFFFFF"/>
        </w:rPr>
        <w:t>be applied</w:t>
      </w:r>
      <w:r w:rsidRPr="0053182F">
        <w:rPr>
          <w:rStyle w:val="normaltextrun"/>
          <w:shd w:val="clear" w:color="auto" w:fill="FFFFFF"/>
        </w:rPr>
        <w:t xml:space="preserve"> universally. </w:t>
      </w:r>
    </w:p>
    <w:p w14:paraId="0E1E76AF" w14:textId="3EDE2708" w:rsidR="00144866" w:rsidRPr="0053182F" w:rsidRDefault="008D6526" w:rsidP="00144866">
      <w:pPr>
        <w:spacing w:after="0" w:line="480" w:lineRule="auto"/>
        <w:ind w:firstLine="720"/>
        <w:jc w:val="both"/>
        <w:rPr>
          <w:rStyle w:val="normaltextrun"/>
        </w:rPr>
      </w:pPr>
      <w:r w:rsidRPr="0053182F">
        <w:rPr>
          <w:rStyle w:val="normaltextrun"/>
        </w:rPr>
        <w:t>Recent global events, such as the COVID-19 pandemic and the war in Ukraine, have increased the risk associated with MS</w:t>
      </w:r>
      <w:r w:rsidR="00144866" w:rsidRPr="0053182F">
        <w:rPr>
          <w:rStyle w:val="normaltextrun"/>
        </w:rPr>
        <w:t xml:space="preserve"> in the supply chain. Even solid MNCs are not sufficiently equipped to tackle such risks and do not have contingency plans to face these global challenges </w:t>
      </w:r>
      <w:sdt>
        <w:sdtPr>
          <w:rPr>
            <w:rStyle w:val="normaltextrun"/>
          </w:rPr>
          <w:tag w:val="MENDELEY_CITATION_v3_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"/>
          <w:id w:val="629874432"/>
          <w:placeholder>
            <w:docPart w:val="499481EFE13C435089976047E8C7E6F5"/>
          </w:placeholder>
        </w:sdtPr>
        <w:sdtContent>
          <w:r w:rsidR="00CC1788" w:rsidRPr="0053182F">
            <w:rPr>
              <w:rStyle w:val="normaltextrun"/>
            </w:rPr>
            <w:t>(Christ and Burritt, 2021; FRC, 2022)</w:t>
          </w:r>
        </w:sdtContent>
      </w:sdt>
      <w:r w:rsidR="00144866" w:rsidRPr="0053182F">
        <w:rPr>
          <w:rStyle w:val="normaltextrun"/>
        </w:rPr>
        <w:t xml:space="preserve">. Comparability and the quality of the MSS are essential for the stakeholders to identify the business risk. However, during the </w:t>
      </w:r>
      <w:r w:rsidRPr="0053182F">
        <w:rPr>
          <w:rStyle w:val="normaltextrun"/>
        </w:rPr>
        <w:t>COVID</w:t>
      </w:r>
      <w:r w:rsidR="00144866" w:rsidRPr="0053182F">
        <w:rPr>
          <w:rStyle w:val="normaltextrun"/>
        </w:rPr>
        <w:t xml:space="preserve">-19 period, </w:t>
      </w:r>
      <w:r w:rsidR="0087518B" w:rsidRPr="0053182F">
        <w:rPr>
          <w:rStyle w:val="normaltextrun"/>
        </w:rPr>
        <w:t>reporting quality and comparability declined significantly, particular</w:t>
      </w:r>
      <w:r w:rsidR="008E74DE" w:rsidRPr="0053182F">
        <w:rPr>
          <w:rStyle w:val="normaltextrun"/>
        </w:rPr>
        <w:t>ly for</w:t>
      </w:r>
      <w:r w:rsidR="00144866" w:rsidRPr="0053182F">
        <w:rPr>
          <w:rStyle w:val="normaltextrun"/>
        </w:rPr>
        <w:t xml:space="preserve"> non-financial information.</w:t>
      </w:r>
    </w:p>
    <w:p w14:paraId="41BBD8D6" w14:textId="5699BA6D" w:rsidR="00144866" w:rsidRPr="0053182F" w:rsidRDefault="00144866" w:rsidP="00144866">
      <w:pPr>
        <w:spacing w:after="0" w:line="480" w:lineRule="auto"/>
        <w:ind w:firstLine="720"/>
        <w:jc w:val="both"/>
        <w:rPr>
          <w:rStyle w:val="normaltextrun"/>
        </w:rPr>
      </w:pPr>
      <w:r w:rsidRPr="0053182F">
        <w:rPr>
          <w:rStyle w:val="normaltextrun"/>
        </w:rPr>
        <w:t xml:space="preserve">Hiding </w:t>
      </w:r>
      <w:r w:rsidR="008D6526" w:rsidRPr="0053182F">
        <w:rPr>
          <w:rStyle w:val="normaltextrun"/>
        </w:rPr>
        <w:t>the actual data on MNCs' global supply chain makes it difficult for labour rights activists and other governance actors to raise their voices on behalf of these vulnerable workers and address the roots of these violations (</w:t>
      </w:r>
      <w:r w:rsidR="00022F7F" w:rsidRPr="0053182F">
        <w:rPr>
          <w:rStyle w:val="normaltextrun"/>
        </w:rPr>
        <w:t>BHRRC</w:t>
      </w:r>
      <w:sdt>
        <w:sdtPr>
          <w:rPr>
            <w:rStyle w:val="normaltextrun"/>
          </w:rPr>
          <w:tag w:val="MENDELEY_CITATION_v3_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"/>
          <w:id w:val="318034941"/>
          <w:placeholder>
            <w:docPart w:val="E71F1E9CB4AC4B5EB0C8B3F6327DD73B"/>
          </w:placeholder>
        </w:sdtPr>
        <w:sdtContent>
          <w:r w:rsidR="00CC1788" w:rsidRPr="0053182F">
            <w:rPr>
              <w:rFonts w:eastAsia="Times New Roman"/>
            </w:rPr>
            <w:t>, 202</w:t>
          </w:r>
        </w:sdtContent>
      </w:sdt>
      <w:r w:rsidRPr="0053182F">
        <w:rPr>
          <w:rFonts w:eastAsia="Times New Roman"/>
        </w:rPr>
        <w:t>3)</w:t>
      </w:r>
      <w:r w:rsidRPr="0053182F">
        <w:rPr>
          <w:rStyle w:val="normaltextrun"/>
        </w:rPr>
        <w:t xml:space="preserve">. The "KnowTheChain" benchmark is a </w:t>
      </w:r>
      <w:r w:rsidR="008E74DE" w:rsidRPr="0053182F">
        <w:rPr>
          <w:rStyle w:val="normaltextrun"/>
        </w:rPr>
        <w:t xml:space="preserve">significant advancement in transparency and a </w:t>
      </w:r>
      <w:r w:rsidR="0087518B" w:rsidRPr="0053182F">
        <w:rPr>
          <w:rStyle w:val="normaltextrun"/>
        </w:rPr>
        <w:t>valuable resource for investors to understand the risks of l</w:t>
      </w:r>
      <w:r w:rsidR="008E74DE" w:rsidRPr="0053182F">
        <w:rPr>
          <w:rStyle w:val="normaltextrun"/>
        </w:rPr>
        <w:t xml:space="preserve">abour exploitation in their supply chains </w:t>
      </w:r>
      <w:sdt>
        <w:sdtPr>
          <w:rPr>
            <w:rStyle w:val="normaltextrun"/>
          </w:rPr>
          <w:tag w:val="MENDELEY_CITATION_v3_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"/>
          <w:id w:val="1920419227"/>
          <w:placeholder>
            <w:docPart w:val="A28D1E2CC1164A709A29CCA586FD01BA"/>
          </w:placeholder>
        </w:sdtPr>
        <w:sdtContent>
          <w:r w:rsidR="00CC1788" w:rsidRPr="0053182F">
            <w:rPr>
              <w:rFonts w:eastAsia="Times New Roman"/>
            </w:rPr>
            <w:t>(BHRRC, 202</w:t>
          </w:r>
        </w:sdtContent>
      </w:sdt>
      <w:r w:rsidRPr="0053182F">
        <w:rPr>
          <w:rStyle w:val="normaltextrun"/>
        </w:rPr>
        <w:t>0)</w:t>
      </w:r>
      <w:r w:rsidR="00022F7F" w:rsidRPr="0053182F">
        <w:rPr>
          <w:rStyle w:val="normaltextrun"/>
        </w:rPr>
        <w:t>.</w:t>
      </w:r>
      <w:r w:rsidRPr="0053182F">
        <w:rPr>
          <w:rStyle w:val="normaltextrun"/>
        </w:rPr>
        <w:t xml:space="preserve"> Also, the "KnowTheChain" benchmark is used as an essential proxy to evaluate how large corporations are responsible for the forced labour risk of their supply chain. Furthermore, this benchmark provides monthly investor briefings </w:t>
      </w:r>
      <w:r w:rsidR="00022F7F" w:rsidRPr="0053182F">
        <w:rPr>
          <w:rStyle w:val="normaltextrun"/>
        </w:rPr>
        <w:t>analysing 184 firms across the global supply chain in high-risk sectors (apparel, ICT (Information and Communication Technology), food and beverage, and footwear) on the risks associated with forced labour and the remedies for</w:t>
      </w:r>
      <w:r w:rsidR="008E74DE" w:rsidRPr="0053182F">
        <w:rPr>
          <w:rStyle w:val="normaltextrun"/>
        </w:rPr>
        <w:t xml:space="preserve"> </w:t>
      </w:r>
      <w:r w:rsidRPr="0053182F">
        <w:rPr>
          <w:rStyle w:val="normaltextrun"/>
        </w:rPr>
        <w:t xml:space="preserve">hanging regulations </w:t>
      </w:r>
      <w:sdt>
        <w:sdtPr>
          <w:rPr>
            <w:rStyle w:val="normaltextrun"/>
          </w:rPr>
          <w:tag w:val="MENDELEY_CITATION_v3_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"/>
          <w:id w:val="1918689771"/>
          <w:placeholder>
            <w:docPart w:val="89E2A5AFFDF646318D963605F2E33FCA"/>
          </w:placeholder>
        </w:sdtPr>
        <w:sdtContent>
          <w:r w:rsidR="00CC1788" w:rsidRPr="0053182F">
            <w:rPr>
              <w:rFonts w:eastAsia="Times New Roman"/>
            </w:rPr>
            <w:t>(BHRRC, 202</w:t>
          </w:r>
        </w:sdtContent>
      </w:sdt>
      <w:r w:rsidRPr="0053182F">
        <w:rPr>
          <w:rFonts w:eastAsia="Times New Roman"/>
        </w:rPr>
        <w:t>0)</w:t>
      </w:r>
      <w:r w:rsidRPr="0053182F">
        <w:rPr>
          <w:rStyle w:val="normaltextrun"/>
        </w:rPr>
        <w:t xml:space="preserve">. This benchmark revealed that 37 large apparel and footwear companies failed to </w:t>
      </w:r>
      <w:r w:rsidR="00C32CAF" w:rsidRPr="0053182F">
        <w:rPr>
          <w:rStyle w:val="normaltextrun"/>
        </w:rPr>
        <w:t>address</w:t>
      </w:r>
      <w:r w:rsidR="00EB2843" w:rsidRPr="0053182F">
        <w:rPr>
          <w:rStyle w:val="normaltextrun"/>
        </w:rPr>
        <w:t xml:space="preserve"> labour exploitation in their supply chains (</w:t>
      </w:r>
      <w:r w:rsidR="00C32CAF" w:rsidRPr="0053182F">
        <w:rPr>
          <w:rStyle w:val="normaltextrun"/>
        </w:rPr>
        <w:t>BHRRC</w:t>
      </w:r>
      <w:sdt>
        <w:sdtPr>
          <w:rPr>
            <w:rStyle w:val="normaltextrun"/>
          </w:rPr>
          <w:tag w:val="MENDELEY_CITATION_v3_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"/>
          <w:id w:val="271337593"/>
          <w:placeholder>
            <w:docPart w:val="6F29B5CF3BAA4864AE984D2219FFCF7A"/>
          </w:placeholder>
        </w:sdtPr>
        <w:sdtContent>
          <w:r w:rsidR="00CC1788" w:rsidRPr="0053182F">
            <w:rPr>
              <w:rFonts w:eastAsia="Times New Roman"/>
            </w:rPr>
            <w:t>, 2021)</w:t>
          </w:r>
        </w:sdtContent>
      </w:sdt>
      <w:r w:rsidRPr="0053182F">
        <w:rPr>
          <w:rStyle w:val="normaltextrun"/>
        </w:rPr>
        <w:t xml:space="preserve">. Also, this report </w:t>
      </w:r>
      <w:r w:rsidR="00EB2843" w:rsidRPr="0053182F">
        <w:rPr>
          <w:rStyle w:val="normaltextrun"/>
        </w:rPr>
        <w:t>finds that, on average, companies failed to reach even half of the benchmark for</w:t>
      </w:r>
      <w:r w:rsidRPr="0053182F">
        <w:rPr>
          <w:rStyle w:val="normaltextrun"/>
        </w:rPr>
        <w:t xml:space="preserve"> addressing the worst form of labour exploitation in their supply chains. </w:t>
      </w:r>
    </w:p>
    <w:p w14:paraId="5E7A6B99" w14:textId="4E9945BD" w:rsidR="00144866" w:rsidRPr="0053182F" w:rsidRDefault="00144866" w:rsidP="00144866">
      <w:pPr>
        <w:spacing w:after="0" w:line="480" w:lineRule="auto"/>
        <w:ind w:firstLine="720"/>
        <w:jc w:val="both"/>
        <w:rPr>
          <w:rStyle w:val="normaltextrun"/>
        </w:rPr>
      </w:pPr>
      <w:r w:rsidRPr="0053182F">
        <w:rPr>
          <w:rStyle w:val="normaltextrun"/>
        </w:rPr>
        <w:t xml:space="preserve">There can be two types of CMS reporting: internal management reporting and external stakeholder reporting. The main output of external reporting is the MSS, which is issued to the public to comply with legal and regulatory requirements. Internal and external reporting </w:t>
      </w:r>
      <w:r w:rsidR="00EB2843" w:rsidRPr="0053182F">
        <w:rPr>
          <w:rStyle w:val="normaltextrun"/>
        </w:rPr>
        <w:t>are equally important, as they enable strategic management to fill the governance gap and identify hidden MS risks a</w:t>
      </w:r>
      <w:r w:rsidRPr="0053182F">
        <w:rPr>
          <w:rStyle w:val="normaltextrun"/>
        </w:rPr>
        <w:t xml:space="preserve">ssociated with business activities, including the supply chain </w:t>
      </w:r>
      <w:r w:rsidRPr="0053182F">
        <w:rPr>
          <w:rFonts w:eastAsia="Times New Roman"/>
        </w:rPr>
        <w:t xml:space="preserve">(GRI and RLI, 2019; </w:t>
      </w:r>
      <w:sdt>
        <w:sdtPr>
          <w:rPr>
            <w:rStyle w:val="normaltextrun"/>
          </w:rPr>
          <w:tag w:val="MENDELEY_CITATION_v3_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"/>
          <w:id w:val="141085577"/>
          <w:placeholder>
            <w:docPart w:val="CEDCEB44DF5045728A9192F45E6DF364"/>
          </w:placeholder>
        </w:sdtPr>
        <w:sdtContent>
          <w:r w:rsidR="00CC1788" w:rsidRPr="0053182F">
            <w:rPr>
              <w:rStyle w:val="normaltextrun"/>
            </w:rPr>
            <w:t>de Villiers, la Torre and Molinari, 2022; GRI, 2022)</w:t>
          </w:r>
        </w:sdtContent>
      </w:sdt>
      <w:r w:rsidRPr="0053182F">
        <w:rPr>
          <w:rStyle w:val="normaltextrun"/>
        </w:rPr>
        <w:t>. However, internal reporting is more comprehensive</w:t>
      </w:r>
      <w:r w:rsidR="00EB2843" w:rsidRPr="0053182F">
        <w:rPr>
          <w:rStyle w:val="normaltextrun"/>
        </w:rPr>
        <w:t>, as it focuses on strategic management, and more details of positive and negative practices can be reported, as</w:t>
      </w:r>
      <w:r w:rsidRPr="0053182F">
        <w:rPr>
          <w:rStyle w:val="normaltextrun"/>
        </w:rPr>
        <w:t xml:space="preserve"> management only uses it. </w:t>
      </w:r>
      <w:sdt>
        <w:sdtPr>
          <w:rPr>
            <w:rStyle w:val="normaltextrun"/>
          </w:rPr>
          <w:tag w:val="MENDELEY_CITATION_v3_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"/>
          <w:id w:val="1049030469"/>
          <w:placeholder>
            <w:docPart w:val="2F4463DB0A0E44778069BD08FFFBFC9F"/>
          </w:placeholder>
        </w:sdtPr>
        <w:sdtContent>
          <w:r w:rsidR="00CC1788" w:rsidRPr="0053182F">
            <w:rPr>
              <w:rStyle w:val="normaltextrun"/>
            </w:rPr>
            <w:t>FRC (2022)</w:t>
          </w:r>
        </w:sdtContent>
      </w:sdt>
      <w:r w:rsidRPr="0053182F">
        <w:rPr>
          <w:rStyle w:val="normaltextrun"/>
        </w:rPr>
        <w:t xml:space="preserve"> observed that </w:t>
      </w:r>
      <w:r w:rsidR="003B2095" w:rsidRPr="0053182F">
        <w:rPr>
          <w:rStyle w:val="normaltextrun"/>
        </w:rPr>
        <w:t xml:space="preserve">the </w:t>
      </w:r>
      <w:r w:rsidRPr="0053182F">
        <w:rPr>
          <w:rStyle w:val="normaltextrun"/>
        </w:rPr>
        <w:t xml:space="preserve">UK MSS lacks relevant information to satisfy a broader range of stakeholders. Further, this report emphasises that only </w:t>
      </w:r>
      <w:r w:rsidR="003B2095" w:rsidRPr="0053182F">
        <w:rPr>
          <w:rStyle w:val="normaltextrun"/>
        </w:rPr>
        <w:t>about 50% of the MSS have clarity and comprehensive details about MS and measurement for the effectiveness of zero CMS in their business operations, including the</w:t>
      </w:r>
      <w:r w:rsidRPr="0053182F">
        <w:rPr>
          <w:rStyle w:val="normaltextrun"/>
        </w:rPr>
        <w:t xml:space="preserve"> supply chain. </w:t>
      </w:r>
    </w:p>
    <w:p w14:paraId="197EAEF7" w14:textId="311477C4" w:rsidR="00144866" w:rsidRPr="0053182F" w:rsidRDefault="00144866" w:rsidP="00144866">
      <w:pPr>
        <w:spacing w:after="0" w:line="480" w:lineRule="auto"/>
        <w:ind w:firstLine="720"/>
        <w:jc w:val="both"/>
        <w:rPr>
          <w:rStyle w:val="normaltextrun"/>
        </w:rPr>
      </w:pPr>
      <w:r w:rsidRPr="0053182F">
        <w:rPr>
          <w:rStyle w:val="normaltextrun"/>
        </w:rPr>
        <w:t xml:space="preserve"> According to the MS literature, CMS is still a relatively new and emerging research area among accounting scholars </w:t>
      </w:r>
      <w:sdt>
        <w:sdtPr>
          <w:rPr>
            <w:rStyle w:val="normaltextrun"/>
          </w:rPr>
          <w:tag w:val="MENDELEY_CITATION_v3_eyJjaXRhdGlvbklEIjoiTUVOREVMRVlfQ0lUQVRJT05fNmZlMzkyOWItZWI2YS00ODhlLTk2M2ItMmQ1ZGI0YWQ2MWQ1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
          <w:id w:val="1210685704"/>
          <w:placeholder>
            <w:docPart w:val="84C814E8D58F491CB824F265678A3880"/>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w:t>
          </w:r>
        </w:sdtContent>
      </w:sdt>
      <w:r w:rsidRPr="0053182F">
        <w:rPr>
          <w:rStyle w:val="normaltextrun"/>
        </w:rPr>
        <w:t xml:space="preserve">. Therefore, the implications of this study are vital for the development of accounting for CMS.  </w:t>
      </w:r>
    </w:p>
    <w:p w14:paraId="2C0B002A" w14:textId="77777777" w:rsidR="00144866" w:rsidRPr="0053182F" w:rsidRDefault="00144866" w:rsidP="00144866">
      <w:pPr>
        <w:pStyle w:val="Heading3"/>
        <w:rPr>
          <w:rStyle w:val="normaltextrun"/>
        </w:rPr>
      </w:pPr>
      <w:bookmarkStart w:id="120" w:name="_Toc215651806"/>
      <w:bookmarkStart w:id="121" w:name="_Toc218357101"/>
      <w:bookmarkStart w:id="122" w:name="_Toc139533353"/>
      <w:bookmarkStart w:id="123" w:name="_Toc151541459"/>
      <w:bookmarkStart w:id="124" w:name="_Toc151541464"/>
      <w:bookmarkStart w:id="125" w:name="_Toc131356298"/>
      <w:bookmarkStart w:id="126" w:name="_Toc139533358"/>
      <w:bookmarkStart w:id="127" w:name="_Toc131356293"/>
      <w:bookmarkStart w:id="128" w:name="_Toc139533361"/>
      <w:bookmarkStart w:id="129" w:name="_Toc151541467"/>
      <w:r w:rsidRPr="0053182F">
        <w:rPr>
          <w:rStyle w:val="normaltextrun"/>
        </w:rPr>
        <w:t>3.5.4 Accounting disclosure standards for fighting Corporate Modern Slavery</w:t>
      </w:r>
      <w:bookmarkEnd w:id="120"/>
      <w:bookmarkEnd w:id="121"/>
      <w:r w:rsidRPr="0053182F">
        <w:rPr>
          <w:rStyle w:val="normaltextrun"/>
        </w:rPr>
        <w:t xml:space="preserve"> </w:t>
      </w:r>
    </w:p>
    <w:p w14:paraId="3D121B35" w14:textId="4729C4D8" w:rsidR="00144866" w:rsidRPr="0053182F" w:rsidRDefault="00144866" w:rsidP="00144866">
      <w:pPr>
        <w:spacing w:line="480" w:lineRule="auto"/>
        <w:jc w:val="both"/>
      </w:pPr>
      <w:r w:rsidRPr="0053182F">
        <w:t>Accounting and disclosure standards play a pivotal role in promoting transparency, accountability, and ethical conduct in addressing CMS practices</w:t>
      </w:r>
      <w:r w:rsidR="00F1396D" w:rsidRPr="0053182F">
        <w:t xml:space="preserve"> (Refer to Appendix Table A3)</w:t>
      </w:r>
      <w:r w:rsidRPr="0053182F">
        <w:t>. Over the past two decades, the evolution of global reporting frameworks—such as the GRI, Sustainability Accounting Standards Board (SASB) (now under the IFRS Foundation), and the International Sustainability Standards Board (ISSB)—has strengthened corporate accountability by integrating human rights and sustainability considerations into mainstream reporting. Concurrently, emerging regulatory frameworks</w:t>
      </w:r>
      <w:r w:rsidR="003B2095" w:rsidRPr="0053182F">
        <w:t>,</w:t>
      </w:r>
      <w:r w:rsidRPr="0053182F">
        <w:t xml:space="preserve"> including the EU Corporate Sustainability Reporting Directive (CSRD), </w:t>
      </w:r>
      <w:r w:rsidR="003B2095" w:rsidRPr="0053182F">
        <w:t>the European Sustainability Reporting Standards (ESRS), and CSDDD, have shifted disclosure from voluntary to mandatory</w:t>
      </w:r>
      <w:r w:rsidRPr="0053182F">
        <w:t>, requiring firms to report on due diligence, labour rights, and supply chain governance. Complementary national legislations</w:t>
      </w:r>
      <w:r w:rsidR="003B2095" w:rsidRPr="0053182F">
        <w:t>, such as the UK MSA (2015), the Australian MSA (2018), and Canada’s Bill S-211 (2023),</w:t>
      </w:r>
      <w:r w:rsidRPr="0053182F">
        <w:t xml:space="preserve"> further institutionalise AMS reporting expectations, though enforcement and assurance mechanisms remain uneven. Together, these frameworks illustrate a global convergence toward standardised and enforceable sustainability disclosures, though practical challenges such as fragmented compliance, variable assurance quality, and symbolic reporting persist. </w:t>
      </w:r>
    </w:p>
    <w:p w14:paraId="7AAA92D2" w14:textId="77777777" w:rsidR="00144866" w:rsidRPr="0053182F" w:rsidRDefault="00144866" w:rsidP="00214312">
      <w:pPr>
        <w:pStyle w:val="Heading3"/>
        <w:rPr>
          <w:rStyle w:val="normaltextrun"/>
        </w:rPr>
      </w:pPr>
      <w:bookmarkStart w:id="130" w:name="_Toc215651807"/>
      <w:bookmarkStart w:id="131" w:name="_Toc218357102"/>
      <w:bookmarkStart w:id="132" w:name="_Toc131356299"/>
      <w:bookmarkStart w:id="133" w:name="_Toc139533359"/>
      <w:bookmarkStart w:id="134" w:name="_Toc151541465"/>
      <w:r w:rsidRPr="0053182F">
        <w:rPr>
          <w:rStyle w:val="normaltextrun"/>
        </w:rPr>
        <w:t>3.5.5 Sustainability Assurance as a New Initiative to Combat corporate Modern slavery</w:t>
      </w:r>
      <w:bookmarkEnd w:id="130"/>
      <w:bookmarkEnd w:id="131"/>
      <w:r w:rsidRPr="0053182F">
        <w:rPr>
          <w:rStyle w:val="normaltextrun"/>
        </w:rPr>
        <w:t xml:space="preserve"> </w:t>
      </w:r>
      <w:bookmarkEnd w:id="132"/>
      <w:bookmarkEnd w:id="133"/>
      <w:bookmarkEnd w:id="134"/>
    </w:p>
    <w:p w14:paraId="7CCF88EF" w14:textId="109F0A5B" w:rsidR="00144866" w:rsidRPr="0053182F" w:rsidRDefault="00144866" w:rsidP="00144866">
      <w:pPr>
        <w:spacing w:after="0" w:line="480" w:lineRule="auto"/>
        <w:ind w:firstLine="720"/>
        <w:jc w:val="both"/>
        <w:rPr>
          <w:rStyle w:val="normaltextrun"/>
        </w:rPr>
      </w:pPr>
      <w:r w:rsidRPr="0053182F">
        <w:rPr>
          <w:rStyle w:val="normaltextrun"/>
        </w:rPr>
        <w:t xml:space="preserve">Audit and assurance processes play a crucial role in identifying and addressing CMS practices within businesses and their supply chains </w:t>
      </w:r>
      <w:sdt>
        <w:sdtPr>
          <w:rPr>
            <w:rStyle w:val="normaltextrun"/>
          </w:rPr>
          <w:tag w:val="MENDELEY_CITATION_v3_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1475805381"/>
          <w:placeholder>
            <w:docPart w:val="520041307CDA430CB853DAB2B1146BDD"/>
          </w:placeholder>
        </w:sdtPr>
        <w:sdtContent>
          <w:r w:rsidR="00CC1788" w:rsidRPr="0053182F">
            <w:rPr>
              <w:rFonts w:eastAsia="Times New Roman"/>
            </w:rPr>
            <w:t xml:space="preserve">(Cairns, 2000; Christ </w:t>
          </w:r>
          <w:r w:rsidR="00CC1788" w:rsidRPr="0053182F">
            <w:rPr>
              <w:rFonts w:eastAsia="Times New Roman"/>
              <w:i/>
              <w:iCs/>
            </w:rPr>
            <w:t>et al.</w:t>
          </w:r>
          <w:r w:rsidR="00CC1788" w:rsidRPr="0053182F">
            <w:rPr>
              <w:rFonts w:eastAsia="Times New Roman"/>
            </w:rPr>
            <w:t>, 2019)</w:t>
          </w:r>
        </w:sdtContent>
      </w:sdt>
      <w:r w:rsidRPr="0053182F">
        <w:rPr>
          <w:rStyle w:val="normaltextrun"/>
        </w:rPr>
        <w:t>. They provide a systematic</w:t>
      </w:r>
      <w:r w:rsidR="0087518B" w:rsidRPr="0053182F">
        <w:rPr>
          <w:rStyle w:val="normaltextrun"/>
        </w:rPr>
        <w:t>, independent evaluation of an organis</w:t>
      </w:r>
      <w:r w:rsidRPr="0053182F">
        <w:rPr>
          <w:rStyle w:val="normaltextrun"/>
        </w:rPr>
        <w:t xml:space="preserve">ation's operations, including its policies, procedures, and control systems. By implementing robust audit and assurance practices, companies can effectively detect and mitigate </w:t>
      </w:r>
      <w:r w:rsidR="003B2095" w:rsidRPr="0053182F">
        <w:rPr>
          <w:rStyle w:val="normaltextrun"/>
        </w:rPr>
        <w:t>CMS-related risks</w:t>
      </w:r>
      <w:r w:rsidRPr="0053182F">
        <w:rPr>
          <w:rStyle w:val="normaltextrun"/>
        </w:rPr>
        <w:t xml:space="preserve">. </w:t>
      </w:r>
    </w:p>
    <w:p w14:paraId="40C52266" w14:textId="36FD7973" w:rsidR="00144866" w:rsidRPr="0053182F" w:rsidRDefault="00144866" w:rsidP="00144866">
      <w:pPr>
        <w:spacing w:after="0" w:line="480" w:lineRule="auto"/>
        <w:ind w:firstLine="720"/>
        <w:jc w:val="both"/>
        <w:rPr>
          <w:rStyle w:val="normaltextrun"/>
        </w:rPr>
      </w:pPr>
      <w:r w:rsidRPr="0053182F">
        <w:rPr>
          <w:rStyle w:val="normaltextrun"/>
        </w:rPr>
        <w:t>CMS risk accounting, auditing</w:t>
      </w:r>
      <w:r w:rsidR="003B2095" w:rsidRPr="0053182F">
        <w:rPr>
          <w:rStyle w:val="normaltextrun"/>
        </w:rPr>
        <w:t>,</w:t>
      </w:r>
      <w:r w:rsidRPr="0053182F">
        <w:rPr>
          <w:rStyle w:val="normaltextrun"/>
        </w:rPr>
        <w:t xml:space="preserve"> and accountability are growing </w:t>
      </w:r>
      <w:r w:rsidR="00EF26F5" w:rsidRPr="0053182F">
        <w:rPr>
          <w:rStyle w:val="normaltextrun"/>
        </w:rPr>
        <w:t>areas of interest in the blooming dawn of</w:t>
      </w:r>
      <w:r w:rsidRPr="0053182F">
        <w:rPr>
          <w:rStyle w:val="normaltextrun"/>
        </w:rPr>
        <w:t xml:space="preserve"> practice. Accounting, auditing, and assurance are </w:t>
      </w:r>
      <w:r w:rsidR="00EF26F5" w:rsidRPr="0053182F">
        <w:rPr>
          <w:rStyle w:val="normaltextrun"/>
        </w:rPr>
        <w:t>critical components that work together to enhance transparency and accountability in b</w:t>
      </w:r>
      <w:r w:rsidRPr="0053182F">
        <w:rPr>
          <w:rStyle w:val="normaltextrun"/>
        </w:rPr>
        <w:t xml:space="preserve">usiness activities </w:t>
      </w:r>
      <w:sdt>
        <w:sdtPr>
          <w:rPr>
            <w:rStyle w:val="normaltextrun"/>
          </w:rPr>
          <w:tag w:val="MENDELEY_CITATION_v3_eyJjaXRhdGlvbklEIjoiTUVOREVMRVlfQ0lUQVRJT05fYjI5OTE0MjQtYTVjMC00YWExLWFhYTktNThlYmVkNzE0OTMw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
          <w:id w:val="-2006968113"/>
          <w:placeholder>
            <w:docPart w:val="13A6171BBB3941EB9B7686ED2EC138E1"/>
          </w:placeholder>
        </w:sdtPr>
        <w:sdtContent>
          <w:r w:rsidR="00CC1788" w:rsidRPr="0053182F">
            <w:rPr>
              <w:rStyle w:val="normaltextrun"/>
            </w:rPr>
            <w:t>(Christ and Burritt, 2021)</w:t>
          </w:r>
        </w:sdtContent>
      </w:sdt>
      <w:r w:rsidRPr="0053182F">
        <w:rPr>
          <w:rStyle w:val="normaltextrun"/>
        </w:rPr>
        <w:t xml:space="preserve">. Also, auditing enhances </w:t>
      </w:r>
      <w:r w:rsidR="00EF26F5" w:rsidRPr="0053182F">
        <w:rPr>
          <w:rStyle w:val="normaltextrun"/>
        </w:rPr>
        <w:t>due diligence and transparency in these activities</w:t>
      </w:r>
      <w:sdt>
        <w:sdtPr>
          <w:rPr>
            <w:rStyle w:val="normaltextrun"/>
          </w:rPr>
          <w:tag w:val="MENDELEY_CITATION_v3_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"/>
          <w:id w:val="2015996631"/>
          <w:placeholder>
            <w:docPart w:val="36E758B0431349ACBC08C8EEF53FC2BC"/>
          </w:placeholder>
        </w:sdtPr>
        <w:sdtContent>
          <w:r w:rsidR="00CC1788" w:rsidRPr="0053182F">
            <w:rPr>
              <w:rStyle w:val="normaltextrun"/>
            </w:rPr>
            <w:t>(Kolk and Perego)</w:t>
          </w:r>
        </w:sdtContent>
      </w:sdt>
      <w:r w:rsidRPr="0053182F">
        <w:rPr>
          <w:rStyle w:val="normaltextrun"/>
        </w:rPr>
        <w:t>.  A</w:t>
      </w:r>
      <w:r w:rsidR="00EF26F5" w:rsidRPr="0053182F">
        <w:rPr>
          <w:rStyle w:val="normaltextrun"/>
        </w:rPr>
        <w:t>n AMS audit differs from a financial audit, focus</w:t>
      </w:r>
      <w:r w:rsidRPr="0053182F">
        <w:rPr>
          <w:rStyle w:val="normaltextrun"/>
        </w:rPr>
        <w:t>ing solely on financial aspects such as profits and losses. In contrast, it fails to provide a comprehensive overview of a company.</w:t>
      </w:r>
    </w:p>
    <w:p w14:paraId="65C57A58" w14:textId="773F0400" w:rsidR="00144866" w:rsidRPr="0053182F" w:rsidRDefault="00144866" w:rsidP="001C4F87">
      <w:pPr>
        <w:spacing w:line="480" w:lineRule="auto"/>
        <w:ind w:firstLine="720"/>
        <w:jc w:val="both"/>
        <w:rPr>
          <w:rStyle w:val="normaltextrun"/>
        </w:rPr>
      </w:pPr>
      <w:r w:rsidRPr="0053182F">
        <w:rPr>
          <w:rStyle w:val="normaltextrun"/>
        </w:rPr>
        <w:t>In contrast, a</w:t>
      </w:r>
      <w:r w:rsidR="003522C5" w:rsidRPr="0053182F">
        <w:rPr>
          <w:rStyle w:val="normaltextrun"/>
        </w:rPr>
        <w:t>n MS audit goes beyond a n</w:t>
      </w:r>
      <w:r w:rsidRPr="0053182F">
        <w:rPr>
          <w:rStyle w:val="normaltextrun"/>
        </w:rPr>
        <w:t xml:space="preserve">arrow focus on finances and delves into a company's adherence to </w:t>
      </w:r>
      <w:r w:rsidRPr="0053182F">
        <w:rPr>
          <w:rStyle w:val="normaltextrun"/>
          <w:rFonts w:eastAsiaTheme="minorEastAsia"/>
        </w:rPr>
        <w:t>labour</w:t>
      </w:r>
      <w:r w:rsidRPr="0053182F">
        <w:rPr>
          <w:rStyle w:val="normaltextrun"/>
        </w:rPr>
        <w:t xml:space="preserve"> rights standards </w:t>
      </w:r>
      <w:sdt>
        <w:sdtPr>
          <w:rPr>
            <w:rStyle w:val="normaltextrun"/>
          </w:rPr>
          <w:tag w:val="MENDELEY_CITATION_v3_eyJjaXRhdGlvbklEIjoiTUVOREVMRVlfQ0lUQVRJT05fM2JiNjY1NDktZTRmZi00NjAxLTk3OWUtOTZlNzFhMzQzNzQy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
          <w:id w:val="-1607498033"/>
          <w:placeholder>
            <w:docPart w:val="13AEE180013E453A9FF7E969FA4BC62C"/>
          </w:placeholder>
        </w:sdtPr>
        <w:sdtContent>
          <w:r w:rsidR="00CC1788" w:rsidRPr="0053182F">
            <w:rPr>
              <w:rStyle w:val="normaltextrun"/>
            </w:rPr>
            <w:t>(Islam, 2018)</w:t>
          </w:r>
        </w:sdtContent>
      </w:sdt>
      <w:r w:rsidRPr="0053182F">
        <w:rPr>
          <w:rStyle w:val="normaltextrun"/>
        </w:rPr>
        <w:t xml:space="preserve">. While a financial audit has </w:t>
      </w:r>
      <w:r w:rsidR="003522C5" w:rsidRPr="0053182F">
        <w:rPr>
          <w:rStyle w:val="normaltextrun"/>
        </w:rPr>
        <w:t>limited or no capacity to examine MS practices, conducting an MS audit require</w:t>
      </w:r>
      <w:r w:rsidRPr="0053182F">
        <w:rPr>
          <w:rStyle w:val="normaltextrun"/>
        </w:rPr>
        <w:t xml:space="preserve">s individuals with expertise or experience in </w:t>
      </w:r>
      <w:r w:rsidRPr="0053182F">
        <w:rPr>
          <w:rStyle w:val="normaltextrun"/>
          <w:rFonts w:eastAsiaTheme="minorEastAsia"/>
        </w:rPr>
        <w:t>labour</w:t>
      </w:r>
      <w:r w:rsidRPr="0053182F">
        <w:rPr>
          <w:rStyle w:val="normaltextrun"/>
        </w:rPr>
        <w:t xml:space="preserve"> rights issues </w:t>
      </w:r>
      <w:sdt>
        <w:sdtPr>
          <w:rPr>
            <w:rStyle w:val="normaltextrun"/>
          </w:rPr>
          <w:tag w:val="MENDELEY_CITATION_v3_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"/>
          <w:id w:val="286313807"/>
          <w:placeholder>
            <w:docPart w:val="13AEE180013E453A9FF7E969FA4BC62C"/>
          </w:placeholder>
        </w:sdtPr>
        <w:sdtContent>
          <w:sdt>
            <w:sdtPr>
              <w:rPr>
                <w:rStyle w:val="normaltextrun"/>
              </w:rPr>
              <w:tag w:val="MENDELEY_CITATION_v3_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"/>
              <w:id w:val="264512644"/>
              <w:placeholder>
                <w:docPart w:val="F9272F4ACCF649A3A6AD297880465529"/>
              </w:placeholder>
            </w:sdtPr>
            <w:sdtContent>
              <w:sdt>
                <w:sdtPr>
                  <w:tag w:val="MENDELEY_CITATION_v3_eyJjaXRhdGlvbklEIjoiTUVOREVMRVlfQ0lUQVRJT05fY2MxYTVjMmUtMWJkZi00YjRhLWIxNWYtM2VhNGEwOWJiMzExIiwicHJvcGVydGllcyI6eyJub3RlSW5kZXgiOjB9LCJpc0VkaXRlZCI6ZmFsc2UsIm1hbnVhbE92ZXJyaWRlIjp7ImlzTWFudWFsbHlPdmVycmlkZGVuIjpmYWxzZSwiY2l0ZXByb2NUZXh0IjoiKElzbGFtLCAyMDE4OyBJc2xhbSA8aT5ldCBhbC48L2k+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"/>
                  <w:id w:val="-1255670045"/>
                  <w:placeholder>
                    <w:docPart w:val="DF89043EE47D44248F7414E39766EFF2"/>
                  </w:placeholder>
                </w:sdtPr>
                <w:sdtContent>
                  <w:r w:rsidR="001C4F87" w:rsidRPr="0053182F">
                    <w:rPr>
                      <w:rFonts w:eastAsia="Times New Roman"/>
                    </w:rPr>
                    <w:t xml:space="preserve">(Islam, 2018; Islam </w:t>
                  </w:r>
                  <w:r w:rsidR="001C4F87" w:rsidRPr="0053182F">
                    <w:rPr>
                      <w:rFonts w:eastAsia="Times New Roman"/>
                      <w:i/>
                      <w:iCs/>
                    </w:rPr>
                    <w:t>et al.</w:t>
                  </w:r>
                  <w:r w:rsidR="001C4F87" w:rsidRPr="0053182F">
                    <w:rPr>
                      <w:rFonts w:eastAsia="Times New Roman"/>
                    </w:rPr>
                    <w:t>, 2018)</w:t>
                  </w:r>
                </w:sdtContent>
              </w:sdt>
            </w:sdtContent>
          </w:sdt>
        </w:sdtContent>
      </w:sdt>
      <w:r w:rsidR="001C4F87" w:rsidRPr="0053182F">
        <w:rPr>
          <w:rStyle w:val="normaltextrun"/>
        </w:rPr>
        <w:t>.</w:t>
      </w:r>
      <w:r w:rsidRPr="0053182F">
        <w:rPr>
          <w:rStyle w:val="normaltextrun"/>
        </w:rPr>
        <w:t xml:space="preserve"> Companies need to conduct thorough audits of their supply chains to identify any potential instances of CMS. These audits involve assessing suppliers, contractors, and other business partners to ensure compliance with ethical labour practices. Accounting professionals can assist in designing and conducting these audits to identify and mitigate risks </w:t>
      </w:r>
      <w:sdt>
        <w:sdtPr>
          <w:rPr>
            <w:rStyle w:val="normaltextrun"/>
          </w:rPr>
          <w:tag w:val="MENDELEY_CITATION_v3_eyJjaXRhdGlvbklEIjoiTUVOREVMRVlfQ0lUQVRJT05fNDg2ZjBmNjctYmZmMS00NjM0LWE2OWQtZTQxNjIxZWFlNjEy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
          <w:id w:val="1945187729"/>
          <w:placeholder>
            <w:docPart w:val="6D3F6338D9C044B2B745A16EFBC28AFD"/>
          </w:placeholder>
        </w:sdtPr>
        <w:sdtContent>
          <w:r w:rsidR="00CC1788" w:rsidRPr="0053182F">
            <w:rPr>
              <w:rStyle w:val="normaltextrun"/>
            </w:rPr>
            <w:t>(Christ and Burritt, 2021)</w:t>
          </w:r>
        </w:sdtContent>
      </w:sdt>
      <w:r w:rsidRPr="0053182F">
        <w:rPr>
          <w:rStyle w:val="normaltextrun"/>
        </w:rPr>
        <w:t>.</w:t>
      </w:r>
    </w:p>
    <w:p w14:paraId="63F37342" w14:textId="4175A176" w:rsidR="00144866" w:rsidRPr="0053182F" w:rsidRDefault="00144866" w:rsidP="00144866">
      <w:pPr>
        <w:spacing w:after="0" w:line="480" w:lineRule="auto"/>
        <w:ind w:firstLine="720"/>
        <w:jc w:val="both"/>
        <w:rPr>
          <w:rStyle w:val="normaltextrun"/>
        </w:rPr>
      </w:pPr>
      <w:r w:rsidRPr="0053182F">
        <w:rPr>
          <w:rStyle w:val="normaltextrun"/>
        </w:rPr>
        <w:t xml:space="preserve">Internal and external auditing is essential for improving due diligence in tackling MS Auditors can perform due diligence procedures, including reviewing contracts, supplier agreements, and employment practices, to ensure compliance with anti-slavery regulations and ethical standards </w:t>
      </w:r>
      <w:sdt>
        <w:sdtPr>
          <w:rPr>
            <w:rStyle w:val="normaltextrun"/>
          </w:rPr>
          <w:tag w:val="MENDELEY_CITATION_v3_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"/>
          <w:id w:val="302120676"/>
          <w:placeholder>
            <w:docPart w:val="27B8B4E562CE41C4AA21561302A90B3E"/>
          </w:placeholder>
        </w:sdtPr>
        <w:sdtContent>
          <w:r w:rsidR="00CC1788" w:rsidRPr="0053182F">
            <w:rPr>
              <w:rStyle w:val="normaltextrun"/>
            </w:rPr>
            <w:t>(GRI standards, 2016)</w:t>
          </w:r>
        </w:sdtContent>
      </w:sdt>
      <w:r w:rsidRPr="0053182F">
        <w:rPr>
          <w:rStyle w:val="normaltextrun"/>
        </w:rPr>
        <w:t xml:space="preserve">. This process helps identify any potential instances of CMS practices and take appropriate actions to address them. However, </w:t>
      </w:r>
      <w:r w:rsidR="003522C5" w:rsidRPr="0053182F">
        <w:rPr>
          <w:rStyle w:val="normaltextrun"/>
        </w:rPr>
        <w:t>i</w:t>
      </w:r>
      <w:r w:rsidRPr="0053182F">
        <w:rPr>
          <w:rStyle w:val="normaltextrun"/>
        </w:rPr>
        <w:t xml:space="preserve">dentifying CMS risks associated with supply chains is a complex and crucial task for auditing </w:t>
      </w:r>
      <w:sdt>
        <w:sdtPr>
          <w:rPr>
            <w:rStyle w:val="normaltextrun"/>
          </w:rPr>
          <w:tag w:val="MENDELEY_CITATION_v3_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LkwuIiwicGFyc2UtbmFtZXMiOmZhbHNlLCJkcm9wcGluZy1wYXJ0aWNsZSI6IiIsIm5vbi1kcm9wcGluZy1wYXJ0aWNsZSI6IiJ9LHsiZmFtaWx5IjoiQnVycml0dCIsImdpdmVuIjoiUi5MLiIsInBhcnNlLW5hbWVzIjpmYWxzZSwiZHJvcHBpbmctcGFydGljbGUiOiIiLCJub24tZHJvcHBpbmctcGFydGljbGUiOiIifSx7ImZhbWlseSI6IklzbGFtIiwiZ2l2ZW4iOiJNLkEu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546841509"/>
          <w:placeholder>
            <w:docPart w:val="6E74C414A3AD4DB0909E3E2A17E374A3"/>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 Stevenson and Cole, 2018)</w:t>
          </w:r>
        </w:sdtContent>
      </w:sdt>
      <w:r w:rsidRPr="0053182F">
        <w:rPr>
          <w:rStyle w:val="normaltextrun"/>
        </w:rPr>
        <w:t xml:space="preserve">. Therefore, it is vital to establish a separate social audit committee to monitor the </w:t>
      </w:r>
      <w:r w:rsidR="008457B4" w:rsidRPr="0053182F">
        <w:rPr>
          <w:rStyle w:val="normaltextrun"/>
        </w:rPr>
        <w:t>MS of</w:t>
      </w:r>
      <w:r w:rsidRPr="0053182F">
        <w:rPr>
          <w:rStyle w:val="normaltextrun"/>
        </w:rPr>
        <w:t xml:space="preserve"> the business and its supply chains. Also, it is essential to appoint an independent auditor to </w:t>
      </w:r>
      <w:r w:rsidR="00D6297D" w:rsidRPr="0053182F">
        <w:rPr>
          <w:rStyle w:val="normaltextrun"/>
        </w:rPr>
        <w:t>improve transparency in CMS reporting for the company and its supply chains, thereby enhancing</w:t>
      </w:r>
      <w:r w:rsidRPr="0053182F">
        <w:rPr>
          <w:rStyle w:val="normaltextrun"/>
        </w:rPr>
        <w:t xml:space="preserve"> the firm's accountability.</w:t>
      </w:r>
    </w:p>
    <w:p w14:paraId="0D999D65" w14:textId="6B608118" w:rsidR="00144866" w:rsidRPr="0053182F" w:rsidRDefault="00144866" w:rsidP="00144866">
      <w:pPr>
        <w:spacing w:after="0" w:line="480" w:lineRule="auto"/>
        <w:ind w:firstLine="720"/>
        <w:jc w:val="both"/>
        <w:rPr>
          <w:rStyle w:val="normaltextrun"/>
        </w:rPr>
      </w:pPr>
      <w:r w:rsidRPr="0053182F">
        <w:rPr>
          <w:rStyle w:val="normaltextrun"/>
        </w:rPr>
        <w:t>However, it is conceivable that these audits serve merely as symbolic gestures, allowing corporations to uphold their public image and maximi</w:t>
      </w:r>
      <w:r w:rsidR="00C47023" w:rsidRPr="0053182F">
        <w:rPr>
          <w:rStyle w:val="normaltextrun"/>
        </w:rPr>
        <w:t>s</w:t>
      </w:r>
      <w:r w:rsidRPr="0053182F">
        <w:rPr>
          <w:rStyle w:val="normaltextrun"/>
        </w:rPr>
        <w:t>e their financial gains</w:t>
      </w:r>
      <w:sdt>
        <w:sdtPr>
          <w:rPr>
            <w:rStyle w:val="normaltextrun"/>
          </w:rPr>
          <w:tag w:val="MENDELEY_CITATION_v3_eyJjaXRhdGlvbklEIjoiTUVOREVMRVlfQ0lUQVRJT05fZTk1YzA4MDgtZjc5NS00YzlmLWE2NDctNDIwYjllNzVmNDMx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
          <w:id w:val="959688427"/>
          <w:placeholder>
            <w:docPart w:val="60D6D903C50B4F6DBB81B49A08DA151F"/>
          </w:placeholder>
        </w:sdtPr>
        <w:sdtContent>
          <w:r w:rsidR="00CC1788" w:rsidRPr="0053182F">
            <w:rPr>
              <w:rStyle w:val="normaltextrun"/>
            </w:rPr>
            <w:t>(Islam, 2018)</w:t>
          </w:r>
        </w:sdtContent>
      </w:sdt>
      <w:r w:rsidRPr="0053182F">
        <w:rPr>
          <w:rStyle w:val="normaltextrun"/>
        </w:rPr>
        <w:t xml:space="preserve">. CMS audits can be performed </w:t>
      </w:r>
      <w:r w:rsidR="00D6297D" w:rsidRPr="0053182F">
        <w:rPr>
          <w:rStyle w:val="normaltextrun"/>
        </w:rPr>
        <w:t>by an internal auditor (a company employee) or</w:t>
      </w:r>
      <w:r w:rsidRPr="0053182F">
        <w:rPr>
          <w:rStyle w:val="normaltextrun"/>
        </w:rPr>
        <w:t xml:space="preserve"> an independent third party, such as a consultant, a member of a non-governmental organi</w:t>
      </w:r>
      <w:r w:rsidR="00C47023" w:rsidRPr="0053182F">
        <w:rPr>
          <w:rStyle w:val="normaltextrun"/>
        </w:rPr>
        <w:t>s</w:t>
      </w:r>
      <w:r w:rsidRPr="0053182F">
        <w:rPr>
          <w:rStyle w:val="normaltextrun"/>
        </w:rPr>
        <w:t>ation (NGO), or a public accountant. Various international voluntary guidelines are available for conducting these audits, including the “</w:t>
      </w:r>
      <w:r w:rsidRPr="0053182F">
        <w:rPr>
          <w:rStyle w:val="QuoteChar"/>
        </w:rPr>
        <w:t>Social Audit Network, SA 8000, AA1100, International Labour Organi</w:t>
      </w:r>
      <w:r w:rsidR="00C47023" w:rsidRPr="0053182F">
        <w:rPr>
          <w:rStyle w:val="QuoteChar"/>
        </w:rPr>
        <w:t>s</w:t>
      </w:r>
      <w:r w:rsidRPr="0053182F">
        <w:rPr>
          <w:rStyle w:val="QuoteChar"/>
        </w:rPr>
        <w:t>ation workplace standards, and the UN/Organisation for Economic Co-operation and Development Due Diligence framework</w:t>
      </w:r>
      <w:r w:rsidRPr="0053182F">
        <w:rPr>
          <w:rStyle w:val="normaltextrun"/>
        </w:rPr>
        <w:t xml:space="preserve">” </w:t>
      </w:r>
      <w:sdt>
        <w:sdtPr>
          <w:rPr>
            <w:rStyle w:val="normaltextrun"/>
          </w:rPr>
          <w:tag w:val="MENDELEY_CITATION_v3_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"/>
          <w:id w:val="1395469565"/>
          <w:placeholder>
            <w:docPart w:val="60D6D903C50B4F6DBB81B49A08DA151F"/>
          </w:placeholder>
        </w:sdtPr>
        <w:sdtContent>
          <w:r w:rsidR="00CC1788" w:rsidRPr="0053182F">
            <w:rPr>
              <w:rStyle w:val="normaltextrun"/>
            </w:rPr>
            <w:t>(Islam, 2018, p.2)</w:t>
          </w:r>
        </w:sdtContent>
      </w:sdt>
      <w:r w:rsidRPr="0053182F">
        <w:rPr>
          <w:rStyle w:val="normaltextrun"/>
        </w:rPr>
        <w:t>.</w:t>
      </w:r>
    </w:p>
    <w:p w14:paraId="5937ED2D" w14:textId="3E50CA59" w:rsidR="00144866" w:rsidRPr="0053182F" w:rsidRDefault="00144866" w:rsidP="00144866">
      <w:pPr>
        <w:spacing w:after="0" w:line="480" w:lineRule="auto"/>
        <w:ind w:firstLine="720"/>
        <w:jc w:val="both"/>
        <w:rPr>
          <w:rStyle w:val="normaltextrun"/>
        </w:rPr>
      </w:pPr>
      <w:r w:rsidRPr="0053182F">
        <w:rPr>
          <w:rStyle w:val="normaltextrun"/>
        </w:rPr>
        <w:t>Moreover, widely acknowledged audit practice</w:t>
      </w:r>
      <w:r w:rsidR="00D6297D" w:rsidRPr="0053182F">
        <w:rPr>
          <w:rStyle w:val="normaltextrun"/>
        </w:rPr>
        <w:t>s include audits against the code of conduct and third-party expert opinion with certification; most corporations adopt them as a remedy to address the increasing pressure from stakeholders on disclosure requirements in the supply chain (Mamic, 2007)</w:t>
      </w:r>
      <w:r w:rsidR="00247973" w:rsidRPr="0053182F">
        <w:rPr>
          <w:rStyle w:val="normaltextrun"/>
          <w:vertAlign w:val="superscript"/>
        </w:rPr>
        <w:footnoteReference w:id="12"/>
      </w:r>
      <w:r w:rsidRPr="0053182F">
        <w:rPr>
          <w:rStyle w:val="normaltextrun"/>
        </w:rPr>
        <w:t>.  Audit and assurance professionals can conduct risk assessments to identify potential areas within a company's operations and supply chains that may be susceptible to CMS practices. This assessment helps understand the risks associated with different business activities and enables targeted mitigation efforts. Also, Audit and assurance teams can conduct comprehensive audits of a company's supply chain to assess the risk of CMS practices among suppliers. This involves verifying supplier compliance with ethical sourcing policies, conducting site visits, and reviewing labour practices to ensure compliance with anti-slavery standards.</w:t>
      </w:r>
    </w:p>
    <w:p w14:paraId="5192CE1C" w14:textId="19FA1EA0" w:rsidR="00144866" w:rsidRPr="0053182F" w:rsidRDefault="00144866" w:rsidP="00144866">
      <w:pPr>
        <w:spacing w:after="0" w:line="480" w:lineRule="auto"/>
        <w:ind w:firstLine="720"/>
        <w:jc w:val="both"/>
      </w:pPr>
      <w:r w:rsidRPr="0053182F">
        <w:rPr>
          <w:rStyle w:val="normaltextrun"/>
        </w:rPr>
        <w:t>Su</w:t>
      </w:r>
      <w:r w:rsidR="0097783B" w:rsidRPr="0053182F">
        <w:rPr>
          <w:rStyle w:val="normaltextrun"/>
        </w:rPr>
        <w:t>pply chain sustainability auditing has become a trend over</w:t>
      </w:r>
      <w:r w:rsidRPr="0053182F">
        <w:rPr>
          <w:rStyle w:val="normaltextrun"/>
        </w:rPr>
        <w:t xml:space="preserve"> </w:t>
      </w:r>
      <w:r w:rsidR="0097783B" w:rsidRPr="0053182F">
        <w:rPr>
          <w:rStyle w:val="normaltextrun"/>
        </w:rPr>
        <w:t xml:space="preserve">the </w:t>
      </w:r>
      <w:r w:rsidRPr="0053182F">
        <w:rPr>
          <w:rStyle w:val="normaltextrun"/>
        </w:rPr>
        <w:t xml:space="preserve">last few decades </w:t>
      </w:r>
      <w:sdt>
        <w:sdtPr>
          <w:rPr>
            <w:rStyle w:val="normaltextrun"/>
          </w:rPr>
          <w:tag w:val="MENDELEY_CITATION_v3_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"/>
          <w:id w:val="748162226"/>
          <w:placeholder>
            <w:docPart w:val="6E74C414A3AD4DB0909E3E2A17E374A3"/>
          </w:placeholder>
        </w:sdtPr>
        <w:sdtContent>
          <w:r w:rsidR="00CC1788" w:rsidRPr="0053182F">
            <w:rPr>
              <w:rStyle w:val="normaltextrun"/>
            </w:rPr>
            <w:t>(Stevenson and Cole, 2018)</w:t>
          </w:r>
        </w:sdtContent>
      </w:sdt>
      <w:r w:rsidRPr="0053182F">
        <w:rPr>
          <w:rStyle w:val="normaltextrun"/>
        </w:rPr>
        <w:t xml:space="preserve">. Social audit </w:t>
      </w:r>
      <w:r w:rsidR="002A7056" w:rsidRPr="0053182F">
        <w:rPr>
          <w:rStyle w:val="normaltextrun"/>
        </w:rPr>
        <w:t>serves as an external voice that promotes corporate accountability and transparency; it also adds value and strengthens strategic decision-making</w:t>
      </w:r>
      <w:r w:rsidRPr="0053182F">
        <w:rPr>
          <w:rStyle w:val="normaltextrun"/>
        </w:rPr>
        <w:t xml:space="preserve"> </w:t>
      </w:r>
      <w:r w:rsidRPr="0053182F">
        <w:rPr>
          <w:rFonts w:eastAsia="Times New Roman"/>
        </w:rPr>
        <w:t xml:space="preserve">(Owen </w:t>
      </w:r>
      <w:r w:rsidRPr="0053182F">
        <w:rPr>
          <w:rFonts w:eastAsia="Times New Roman"/>
          <w:i/>
        </w:rPr>
        <w:t>et al.</w:t>
      </w:r>
      <w:r w:rsidRPr="0053182F">
        <w:rPr>
          <w:rFonts w:eastAsia="Times New Roman"/>
        </w:rPr>
        <w:t>, 2010)</w:t>
      </w:r>
      <w:r w:rsidRPr="0053182F">
        <w:rPr>
          <w:rStyle w:val="normaltextrun"/>
        </w:rPr>
        <w:t xml:space="preserve">.   However, the external social audit committee's quality and certification issues remain ongoing. For example, a significant social audit failure recorded in 2013 at the Rana Plaza building collapsed near Dhaka in Bangladesh, killing over 1100 workers and </w:t>
      </w:r>
      <w:r w:rsidR="002A7056" w:rsidRPr="0053182F">
        <w:rPr>
          <w:rStyle w:val="normaltextrun"/>
        </w:rPr>
        <w:t xml:space="preserve">injuring </w:t>
      </w:r>
      <w:r w:rsidRPr="0053182F">
        <w:rPr>
          <w:rStyle w:val="normaltextrun"/>
        </w:rPr>
        <w:t>over 2500. Social audits were conducted in Rana Plaza two months before the building c</w:t>
      </w:r>
      <w:r w:rsidR="0097783B" w:rsidRPr="0053182F">
        <w:rPr>
          <w:rStyle w:val="normaltextrun"/>
        </w:rPr>
        <w:t>ollaps</w:t>
      </w:r>
      <w:r w:rsidRPr="0053182F">
        <w:rPr>
          <w:rStyle w:val="normaltextrun"/>
        </w:rPr>
        <w:t xml:space="preserve">ed, </w:t>
      </w:r>
      <w:r w:rsidR="0097783B" w:rsidRPr="0053182F">
        <w:rPr>
          <w:rStyle w:val="normaltextrun"/>
        </w:rPr>
        <w:t>but these audits failed to identify the primary problem before the disaster (LeBaron, 2020)</w:t>
      </w:r>
      <w:r w:rsidR="005C47E2" w:rsidRPr="0053182F">
        <w:rPr>
          <w:rStyle w:val="FootnoteReference"/>
        </w:rPr>
        <w:footnoteReference w:id="13"/>
      </w:r>
      <w:r w:rsidRPr="0053182F">
        <w:t xml:space="preserve">.  </w:t>
      </w:r>
      <w:sdt>
        <w:sdtPr>
          <w:tag w:val="MENDELEY_CITATION_v3_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"/>
          <w:id w:val="2116860507"/>
          <w:placeholder>
            <w:docPart w:val="6E74C414A3AD4DB0909E3E2A17E374A3"/>
          </w:placeholder>
        </w:sdtPr>
        <w:sdtContent>
          <w:r w:rsidR="00CC1788" w:rsidRPr="0053182F">
            <w:t>Stevenson and Cole (2018)</w:t>
          </w:r>
        </w:sdtContent>
      </w:sdt>
      <w:r w:rsidRPr="0053182F">
        <w:t xml:space="preserve"> highlight the issues and weaknesses of this approach that led to faulty certifications and favourable opinions. Such as a situation where the firm announce</w:t>
      </w:r>
      <w:r w:rsidR="0097783B" w:rsidRPr="0053182F">
        <w:t>s</w:t>
      </w:r>
      <w:r w:rsidRPr="0053182F">
        <w:t xml:space="preserve"> </w:t>
      </w:r>
      <w:r w:rsidR="0097783B" w:rsidRPr="0053182F">
        <w:t xml:space="preserve">to </w:t>
      </w:r>
      <w:r w:rsidRPr="0053182F">
        <w:t xml:space="preserve">the supplier about the sustainability audit day prior, the supplier usually does the right thing only on audit day, corrupt inspectors and fake documentation hide the </w:t>
      </w:r>
      <w:r w:rsidR="006B7058" w:rsidRPr="0053182F">
        <w:t>accurat</w:t>
      </w:r>
      <w:r w:rsidRPr="0053182F">
        <w:t xml:space="preserve">e picture of the actual situation, the mismatch between the code of conduct and the supplier and buyer expectation </w:t>
      </w:r>
      <w:sdt>
        <w:sdtPr>
          <w:tag w:val="MENDELEY_CITATION_v3_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"/>
          <w:id w:val="1975172493"/>
          <w:placeholder>
            <w:docPart w:val="98525353BB7E48C3B4F2473B1A60536F"/>
          </w:placeholder>
        </w:sdtPr>
        <w:sdtContent>
          <w:r w:rsidR="00CC1788" w:rsidRPr="0053182F">
            <w:t>(Stevenson and Cole, 2018)</w:t>
          </w:r>
        </w:sdtContent>
      </w:sdt>
    </w:p>
    <w:p w14:paraId="07F9DE31" w14:textId="5A3068B0" w:rsidR="00144866" w:rsidRPr="0053182F" w:rsidRDefault="00144866" w:rsidP="00144866">
      <w:pPr>
        <w:spacing w:after="0" w:line="480" w:lineRule="auto"/>
        <w:ind w:firstLine="720"/>
        <w:jc w:val="both"/>
        <w:rPr>
          <w:rStyle w:val="normaltextrun"/>
        </w:rPr>
      </w:pPr>
      <w:r w:rsidRPr="0053182F">
        <w:rPr>
          <w:rStyle w:val="normaltextrun"/>
        </w:rPr>
        <w:t xml:space="preserve">The </w:t>
      </w:r>
      <w:r w:rsidR="009A7655" w:rsidRPr="0053182F">
        <w:rPr>
          <w:rStyle w:val="normaltextrun"/>
        </w:rPr>
        <w:t>growing number of business specialists and consultants specialising in CMS led the business to fight against CMS practices, including t</w:t>
      </w:r>
      <w:r w:rsidRPr="0053182F">
        <w:rPr>
          <w:rStyle w:val="normaltextrun"/>
        </w:rPr>
        <w:t xml:space="preserve">raining, risk assessment, strategy development, assurance, and auditing </w:t>
      </w:r>
      <w:sdt>
        <w:sdtPr>
          <w:rPr>
            <w:rStyle w:val="normaltextrun"/>
          </w:rPr>
          <w:tag w:val="MENDELEY_CITATION_v3_eyJjaXRhdGlvbklEIjoiTUVOREVMRVlfQ0lUQVRJT05fOWIzYzc3MzctYzZmYS00OGI5LWExMmMtMTA4OGYwNzdjODU4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
          <w:id w:val="1468186506"/>
          <w:placeholder>
            <w:docPart w:val="0344FBAD615447368131F9069122BF42"/>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w:t>
          </w:r>
        </w:sdtContent>
      </w:sdt>
      <w:r w:rsidR="00056A8D" w:rsidRPr="0053182F">
        <w:rPr>
          <w:rStyle w:val="normaltextrun"/>
        </w:rPr>
        <w:t>.</w:t>
      </w:r>
      <w:r w:rsidRPr="0053182F">
        <w:rPr>
          <w:rStyle w:val="normaltextrun"/>
        </w:rPr>
        <w:t xml:space="preserve"> Moreover, employee representation o</w:t>
      </w:r>
      <w:r w:rsidR="00C47023" w:rsidRPr="0053182F">
        <w:rPr>
          <w:rStyle w:val="normaltextrun"/>
        </w:rPr>
        <w:t>n</w:t>
      </w:r>
      <w:r w:rsidRPr="0053182F">
        <w:rPr>
          <w:rStyle w:val="normaltextrun"/>
        </w:rPr>
        <w:t xml:space="preserve"> this social audit committee will </w:t>
      </w:r>
      <w:r w:rsidR="0097783B" w:rsidRPr="0053182F">
        <w:rPr>
          <w:rStyle w:val="normaltextrun"/>
        </w:rPr>
        <w:t>help</w:t>
      </w:r>
      <w:r w:rsidRPr="0053182F">
        <w:rPr>
          <w:rStyle w:val="normaltextrun"/>
        </w:rPr>
        <w:t xml:space="preserve"> eradicate </w:t>
      </w:r>
      <w:r w:rsidR="008457B4" w:rsidRPr="0053182F">
        <w:rPr>
          <w:rStyle w:val="normaltextrun"/>
        </w:rPr>
        <w:t>MS in</w:t>
      </w:r>
      <w:r w:rsidRPr="0053182F">
        <w:rPr>
          <w:rStyle w:val="normaltextrun"/>
        </w:rPr>
        <w:t xml:space="preserve"> the business. Furthermore, </w:t>
      </w:r>
      <w:r w:rsidR="0097783B" w:rsidRPr="0053182F">
        <w:rPr>
          <w:rStyle w:val="normaltextrun"/>
        </w:rPr>
        <w:t>Christ et al. (2023) suggest that engaging an employee or independent member as an auditor can help</w:t>
      </w:r>
      <w:r w:rsidRPr="0053182F">
        <w:rPr>
          <w:rStyle w:val="normaltextrun"/>
        </w:rPr>
        <w:t xml:space="preserve"> improve "regulatory compliance and /or performance on the reduction of </w:t>
      </w:r>
      <w:r w:rsidR="008457B4" w:rsidRPr="0053182F">
        <w:rPr>
          <w:rStyle w:val="normaltextrun"/>
        </w:rPr>
        <w:t>MS risk</w:t>
      </w:r>
      <w:r w:rsidRPr="0053182F">
        <w:rPr>
          <w:rStyle w:val="normaltextrun"/>
        </w:rPr>
        <w:t xml:space="preserve">" (p. 13). </w:t>
      </w:r>
    </w:p>
    <w:p w14:paraId="17CDC55C" w14:textId="713C6EDB" w:rsidR="00144866" w:rsidRPr="0053182F" w:rsidRDefault="00144866" w:rsidP="00144866">
      <w:pPr>
        <w:spacing w:after="0" w:line="480" w:lineRule="auto"/>
        <w:jc w:val="both"/>
        <w:rPr>
          <w:rStyle w:val="normaltextrun"/>
        </w:rPr>
      </w:pPr>
      <w:r w:rsidRPr="0053182F">
        <w:rPr>
          <w:rStyle w:val="normaltextrun"/>
        </w:rPr>
        <w:tab/>
        <w:t xml:space="preserve">A sustainability assurance report is a critical document that </w:t>
      </w:r>
      <w:r w:rsidR="00964C29" w:rsidRPr="0053182F">
        <w:rPr>
          <w:rStyle w:val="normaltextrun"/>
        </w:rPr>
        <w:t>verifies the validity</w:t>
      </w:r>
      <w:r w:rsidR="00446CF8" w:rsidRPr="0053182F">
        <w:rPr>
          <w:rStyle w:val="normaltextrun"/>
        </w:rPr>
        <w:t xml:space="preserve"> of the information</w:t>
      </w:r>
      <w:r w:rsidR="00964C29" w:rsidRPr="0053182F">
        <w:rPr>
          <w:rStyle w:val="normaltextrun"/>
        </w:rPr>
        <w:t xml:space="preserve"> and adds value to stakeholders' decision-making</w:t>
      </w:r>
      <w:r w:rsidR="00056A8D" w:rsidRPr="0053182F">
        <w:rPr>
          <w:rStyle w:val="normaltextrun"/>
        </w:rPr>
        <w:t xml:space="preserve"> </w:t>
      </w:r>
      <w:sdt>
        <w:sdtPr>
          <w:rPr>
            <w:rStyle w:val="normaltextrun"/>
          </w:rPr>
          <w:tag w:val="MENDELEY_CITATION_v3_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"/>
          <w:id w:val="164762873"/>
          <w:placeholder>
            <w:docPart w:val="81EFE0A180694D889CA9B03BC46ADE43"/>
          </w:placeholder>
        </w:sdtPr>
        <w:sdtContent>
          <w:r w:rsidR="00CC1788" w:rsidRPr="0053182F">
            <w:rPr>
              <w:rStyle w:val="normaltextrun"/>
            </w:rPr>
            <w:t>(Kolk and Perego, 2010)</w:t>
          </w:r>
        </w:sdtContent>
      </w:sdt>
      <w:r w:rsidRPr="0053182F">
        <w:rPr>
          <w:rStyle w:val="normaltextrun"/>
        </w:rPr>
        <w:t xml:space="preserve">.  Hence, CMS assurance is a new space for the corporation to enhance the validity of its MSS, which is still not in practice </w:t>
      </w:r>
      <w:sdt>
        <w:sdtPr>
          <w:rPr>
            <w:rStyle w:val="normaltextrun"/>
          </w:rPr>
          <w:tag w:val="MENDELEY_CITATION_v3_eyJjaXRhdGlvbklEIjoiTUVOREVMRVlfQ0lUQVRJT05fOWU2NzdkYzctNGQzMy00N2QwLWJmZmQtNTU3YWNhNmQzY2Ez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
          <w:id w:val="-821735679"/>
          <w:placeholder>
            <w:docPart w:val="81EFE0A180694D889CA9B03BC46ADE43"/>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w:t>
          </w:r>
        </w:sdtContent>
      </w:sdt>
      <w:r w:rsidR="0097396A" w:rsidRPr="0053182F">
        <w:rPr>
          <w:rStyle w:val="normaltextrun"/>
        </w:rPr>
        <w:t>.</w:t>
      </w:r>
      <w:r w:rsidRPr="0053182F">
        <w:rPr>
          <w:rStyle w:val="normaltextrun"/>
        </w:rPr>
        <w:t xml:space="preserve"> External social audit and audit assurance are different aspects of the same coin</w:t>
      </w:r>
      <w:r w:rsidR="00964C29" w:rsidRPr="0053182F">
        <w:rPr>
          <w:rStyle w:val="normaltextrun"/>
        </w:rPr>
        <w:t>,</w:t>
      </w:r>
      <w:r w:rsidRPr="0053182F">
        <w:rPr>
          <w:rStyle w:val="normaltextrun"/>
        </w:rPr>
        <w:t xml:space="preserve"> conducted in other firms. In addition, Audit and assurance processes should be ongoing and regularly updated to adapt to changing risks and regulations. By implementing a continuous monitoring system, businesses can ensure that </w:t>
      </w:r>
      <w:r w:rsidR="008457B4" w:rsidRPr="0053182F">
        <w:rPr>
          <w:rStyle w:val="normaltextrun"/>
        </w:rPr>
        <w:t>MS risks</w:t>
      </w:r>
      <w:r w:rsidRPr="0053182F">
        <w:rPr>
          <w:rStyle w:val="normaltextrun"/>
        </w:rPr>
        <w:t xml:space="preserve"> are consistently evaluated and addressed. </w:t>
      </w:r>
      <w:r w:rsidR="00964C29" w:rsidRPr="0053182F">
        <w:rPr>
          <w:rStyle w:val="normaltextrun"/>
        </w:rPr>
        <w:t>Ensuring the MSS is crucial</w:t>
      </w:r>
      <w:r w:rsidRPr="0053182F">
        <w:rPr>
          <w:rStyle w:val="normaltextrun"/>
        </w:rPr>
        <w:t xml:space="preserve"> due to the complexity of the supply chain. In addition, the scarcity of CMS expertise to provide assurance also slowed the progress of the CMS eliminati</w:t>
      </w:r>
      <w:r w:rsidR="00964C29" w:rsidRPr="0053182F">
        <w:rPr>
          <w:rStyle w:val="normaltextrun"/>
        </w:rPr>
        <w:t>on</w:t>
      </w:r>
      <w:r w:rsidRPr="0053182F">
        <w:rPr>
          <w:rStyle w:val="normaltextrun"/>
        </w:rPr>
        <w:t xml:space="preserve"> process. While audit and assurance processes are essential tools in combating CMS practices, they should be complemented by other measures, such as education and awareness programs, supplier engagement, and collaboration with relevant stakeholders.</w:t>
      </w:r>
    </w:p>
    <w:p w14:paraId="4C191FCE" w14:textId="73BF77B9" w:rsidR="00144866" w:rsidRPr="0053182F" w:rsidRDefault="00144866" w:rsidP="00C81AF2">
      <w:pPr>
        <w:pStyle w:val="Heading3"/>
        <w:rPr>
          <w:rStyle w:val="normaltextrun"/>
        </w:rPr>
      </w:pPr>
      <w:bookmarkStart w:id="135" w:name="_Toc215651808"/>
      <w:bookmarkStart w:id="136" w:name="_Toc218357103"/>
      <w:bookmarkStart w:id="137" w:name="_Toc139533360"/>
      <w:bookmarkStart w:id="138" w:name="_Toc151541466"/>
      <w:r w:rsidRPr="0053182F">
        <w:rPr>
          <w:rStyle w:val="normaltextrun"/>
        </w:rPr>
        <w:t xml:space="preserve">3.5.6 Accounting </w:t>
      </w:r>
      <w:r w:rsidR="00446CF8" w:rsidRPr="0053182F">
        <w:rPr>
          <w:rStyle w:val="normaltextrun"/>
        </w:rPr>
        <w:t>R</w:t>
      </w:r>
      <w:r w:rsidRPr="0053182F">
        <w:rPr>
          <w:rStyle w:val="normaltextrun"/>
        </w:rPr>
        <w:t xml:space="preserve">ole in the </w:t>
      </w:r>
      <w:r w:rsidR="00446CF8" w:rsidRPr="0053182F">
        <w:rPr>
          <w:rStyle w:val="normaltextrun"/>
        </w:rPr>
        <w:t>E</w:t>
      </w:r>
      <w:r w:rsidRPr="0053182F">
        <w:rPr>
          <w:rStyle w:val="normaltextrun"/>
        </w:rPr>
        <w:t xml:space="preserve">limination of Corporate Modern </w:t>
      </w:r>
      <w:r w:rsidR="00446CF8" w:rsidRPr="0053182F">
        <w:rPr>
          <w:rStyle w:val="normaltextrun"/>
        </w:rPr>
        <w:t>S</w:t>
      </w:r>
      <w:r w:rsidRPr="0053182F">
        <w:rPr>
          <w:rStyle w:val="normaltextrun"/>
        </w:rPr>
        <w:t>lavery</w:t>
      </w:r>
      <w:bookmarkEnd w:id="135"/>
      <w:bookmarkEnd w:id="136"/>
      <w:r w:rsidRPr="0053182F">
        <w:rPr>
          <w:rStyle w:val="normaltextrun"/>
        </w:rPr>
        <w:t xml:space="preserve"> </w:t>
      </w:r>
      <w:bookmarkEnd w:id="137"/>
      <w:bookmarkEnd w:id="138"/>
    </w:p>
    <w:p w14:paraId="7AE60350" w14:textId="2BAABF7E" w:rsidR="00144866" w:rsidRPr="0053182F" w:rsidRDefault="00144866" w:rsidP="00144866">
      <w:pPr>
        <w:spacing w:after="0" w:line="480" w:lineRule="auto"/>
        <w:ind w:firstLine="720"/>
        <w:jc w:val="both"/>
        <w:rPr>
          <w:rStyle w:val="normaltextrun"/>
        </w:rPr>
      </w:pPr>
      <w:r w:rsidRPr="0053182F">
        <w:rPr>
          <w:rStyle w:val="normaltextrun"/>
        </w:rPr>
        <w:t xml:space="preserve">The role of accountants in MS-related audits is a topic of considerable importance and complexity. While such audits are crucial for corporate accountability and transparency in the face of CMS, accountants and auditors encounter challenges in navigating the regulations surrounding this issue. </w:t>
      </w:r>
      <w:sdt>
        <w:sdtPr>
          <w:rPr>
            <w:rStyle w:val="normaltextrun"/>
          </w:rPr>
          <w:tag w:val="MENDELEY_CITATION_v3_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"/>
          <w:id w:val="-512914139"/>
          <w:placeholder>
            <w:docPart w:val="1AB126D7811149A3BB4793AC76957BD7"/>
          </w:placeholder>
        </w:sdtPr>
        <w:sdtContent>
          <w:r w:rsidR="00CC1788" w:rsidRPr="0053182F">
            <w:rPr>
              <w:rStyle w:val="normaltextrun"/>
            </w:rPr>
            <w:t>Islam (2018)</w:t>
          </w:r>
        </w:sdtContent>
      </w:sdt>
      <w:r w:rsidRPr="0053182F">
        <w:rPr>
          <w:rStyle w:val="normaltextrun"/>
        </w:rPr>
        <w:t xml:space="preserve"> states that on</w:t>
      </w:r>
      <w:r w:rsidR="00964C29" w:rsidRPr="0053182F">
        <w:rPr>
          <w:rStyle w:val="normaltextrun"/>
        </w:rPr>
        <w:t>e key challenge is</w:t>
      </w:r>
      <w:r w:rsidRPr="0053182F">
        <w:rPr>
          <w:rStyle w:val="normaltextrun"/>
        </w:rPr>
        <w:t xml:space="preserve"> that existing legislation recommends conducting independent third-party audits. However, there are potential pitfalls to address when attempting to tackle CMS effectively. These include the possibility of inefficient and incompetent individuals performing the audit, insufficient attention from firm managers towards the audit and its results, irregular or crisis-driven audit schedules, and a lack of follow-up in cases of non-compliance.</w:t>
      </w:r>
    </w:p>
    <w:p w14:paraId="651A2054" w14:textId="5F3298F3" w:rsidR="00144866" w:rsidRPr="0053182F" w:rsidRDefault="00144866" w:rsidP="00144866">
      <w:pPr>
        <w:spacing w:after="0" w:line="480" w:lineRule="auto"/>
        <w:ind w:firstLine="720"/>
        <w:jc w:val="both"/>
        <w:rPr>
          <w:rStyle w:val="normaltextrun"/>
        </w:rPr>
      </w:pPr>
      <w:r w:rsidRPr="0053182F">
        <w:rPr>
          <w:rStyle w:val="normaltextrun"/>
        </w:rPr>
        <w:t xml:space="preserve">Moreover, </w:t>
      </w:r>
      <w:r w:rsidR="008457B4" w:rsidRPr="0053182F">
        <w:rPr>
          <w:rStyle w:val="normaltextrun"/>
        </w:rPr>
        <w:t>MS audits</w:t>
      </w:r>
      <w:r w:rsidRPr="0053182F">
        <w:rPr>
          <w:rStyle w:val="normaltextrun"/>
        </w:rPr>
        <w:t xml:space="preserve"> primarily focus on workers' perspectives, necessitating the inclusion of their voices </w:t>
      </w:r>
      <w:sdt>
        <w:sdtPr>
          <w:rPr>
            <w:rStyle w:val="normaltextrun"/>
          </w:rPr>
          <w:tag w:val="MENDELEY_CITATION_v3_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300895661"/>
          <w:placeholder>
            <w:docPart w:val="38C580C4903D48A1B451030D6F0ABC21"/>
          </w:placeholder>
        </w:sdtPr>
        <w:sdtContent>
          <w:r w:rsidR="00CC1788" w:rsidRPr="0053182F">
            <w:rPr>
              <w:rFonts w:eastAsia="Times New Roman"/>
            </w:rPr>
            <w:t>(Christ et al., 2019; Christ and Burritt, 2021; McPhail and Adams, 2016)</w:t>
          </w:r>
        </w:sdtContent>
      </w:sdt>
      <w:r w:rsidRPr="0053182F">
        <w:rPr>
          <w:rStyle w:val="normaltextrun"/>
        </w:rPr>
        <w:t>. However, auditors may unintentionally overlook these voices, hindering effective communication</w:t>
      </w:r>
      <w:r w:rsidR="00964C29" w:rsidRPr="0053182F">
        <w:rPr>
          <w:rStyle w:val="normaltextrun"/>
        </w:rPr>
        <w:t>, limiting opportunities for interaction, and limiting collective action</w:t>
      </w:r>
      <w:r w:rsidRPr="0053182F">
        <w:rPr>
          <w:rStyle w:val="normaltextrun"/>
        </w:rPr>
        <w:t xml:space="preserve"> dialogue </w:t>
      </w:r>
      <w:sdt>
        <w:sdtPr>
          <w:rPr>
            <w:rStyle w:val="normaltextrun"/>
          </w:rPr>
          <w:tag w:val="MENDELEY_CITATION_v3_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"/>
          <w:id w:val="1904403927"/>
          <w:placeholder>
            <w:docPart w:val="996E20815D9E43E9A911C2BB96F0C6DB"/>
          </w:placeholder>
        </w:sdtPr>
        <w:sdtContent>
          <w:r w:rsidR="00CC1788" w:rsidRPr="0053182F">
            <w:rPr>
              <w:rFonts w:eastAsia="Times New Roman"/>
            </w:rPr>
            <w:t xml:space="preserve">(Islam </w:t>
          </w:r>
          <w:r w:rsidR="00CC1788" w:rsidRPr="0053182F">
            <w:rPr>
              <w:rFonts w:eastAsia="Times New Roman"/>
              <w:i/>
              <w:iCs/>
            </w:rPr>
            <w:t>et al.</w:t>
          </w:r>
          <w:r w:rsidR="00CC1788" w:rsidRPr="0053182F">
            <w:rPr>
              <w:rFonts w:eastAsia="Times New Roman"/>
            </w:rPr>
            <w:t>, 2018)</w:t>
          </w:r>
        </w:sdtContent>
      </w:sdt>
      <w:r w:rsidRPr="0053182F">
        <w:rPr>
          <w:rStyle w:val="normaltextrun"/>
        </w:rPr>
        <w:t xml:space="preserve">. A rule-based approach adopted by auditors may undermine workers' input and impede the discovery of slavery, forced labour, or abuse unless direct engagement with factory workers and the local community takes place </w:t>
      </w:r>
      <w:sdt>
        <w:sdtPr>
          <w:rPr>
            <w:rStyle w:val="normaltextrun"/>
          </w:rPr>
          <w:tag w:val="MENDELEY_CITATION_v3_eyJjaXRhdGlvbklEIjoiTUVOREVMRVlfQ0lUQVRJT05fMTBmMjMzNTMtYWY2Mi00ODQ3LWE4NWQtYzFmNGRhOGFmOTVi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
          <w:id w:val="-1592304773"/>
          <w:placeholder>
            <w:docPart w:val="AAD52DCEEC2F414D80D605056B5570A2"/>
          </w:placeholder>
        </w:sdtPr>
        <w:sdtContent>
          <w:r w:rsidR="00CC1788" w:rsidRPr="0053182F">
            <w:rPr>
              <w:rStyle w:val="normaltextrun"/>
            </w:rPr>
            <w:t>(Islam, 2018)</w:t>
          </w:r>
        </w:sdtContent>
      </w:sdt>
      <w:r w:rsidRPr="0053182F">
        <w:rPr>
          <w:rStyle w:val="normaltextrun"/>
        </w:rPr>
        <w:t>.</w:t>
      </w:r>
    </w:p>
    <w:p w14:paraId="3657118E" w14:textId="1C21AA4A" w:rsidR="00144866" w:rsidRPr="0053182F" w:rsidRDefault="00144866" w:rsidP="00144866">
      <w:pPr>
        <w:spacing w:after="0" w:line="480" w:lineRule="auto"/>
        <w:ind w:firstLine="720"/>
        <w:jc w:val="both"/>
        <w:rPr>
          <w:rStyle w:val="normaltextrun"/>
        </w:rPr>
      </w:pPr>
      <w:r w:rsidRPr="0053182F">
        <w:rPr>
          <w:rStyle w:val="normaltextrun"/>
        </w:rPr>
        <w:t xml:space="preserve">Another challenge is the cost </w:t>
      </w:r>
      <w:r w:rsidR="00964C29" w:rsidRPr="0053182F">
        <w:rPr>
          <w:rStyle w:val="normaltextrun"/>
        </w:rPr>
        <w:t>of audits, especially for suppliers, as lead firms often pass these expenses on to supplier</w:t>
      </w:r>
      <w:r w:rsidRPr="0053182F">
        <w:rPr>
          <w:rStyle w:val="normaltextrun"/>
        </w:rPr>
        <w:t xml:space="preserve">s. Additionally, identifying instances of slavery in high-risk supply regions can be difficult since it is often conducted informally and is not readily observable within formal employment relationships. There is an ongoing discussion about the appropriate entities to conduct independent third-party audits for CMS. NGOs, private consulting firms, and accounting firms are all potential candidates, but they currently lack the requisite training and expertise to </w:t>
      </w:r>
      <w:r w:rsidR="00964C29" w:rsidRPr="0053182F">
        <w:rPr>
          <w:rStyle w:val="normaltextrun"/>
        </w:rPr>
        <w:t>conduct efficient,</w:t>
      </w:r>
      <w:r w:rsidR="00012A42" w:rsidRPr="0053182F">
        <w:rPr>
          <w:rStyle w:val="normaltextrun"/>
        </w:rPr>
        <w:t xml:space="preserve"> g</w:t>
      </w:r>
      <w:r w:rsidRPr="0053182F">
        <w:rPr>
          <w:rStyle w:val="normaltextrun"/>
        </w:rPr>
        <w:t xml:space="preserve">enuinely independent audits </w:t>
      </w:r>
      <w:sdt>
        <w:sdtPr>
          <w:rPr>
            <w:rStyle w:val="normaltextrun"/>
          </w:rPr>
          <w:tag w:val="MENDELEY_CITATION_v3_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"/>
          <w:id w:val="-1107043360"/>
          <w:placeholder>
            <w:docPart w:val="4613FEB2973A4379AEF5B6383DBB6514"/>
          </w:placeholder>
        </w:sdtPr>
        <w:sdtContent>
          <w:r w:rsidR="00CC1788" w:rsidRPr="0053182F">
            <w:rPr>
              <w:rFonts w:eastAsia="Times New Roman"/>
            </w:rPr>
            <w:t xml:space="preserve">(Bebbington </w:t>
          </w:r>
          <w:r w:rsidR="00CC1788" w:rsidRPr="0053182F">
            <w:rPr>
              <w:rFonts w:eastAsia="Times New Roman"/>
              <w:i/>
              <w:iCs/>
            </w:rPr>
            <w:t>et al.</w:t>
          </w:r>
          <w:r w:rsidR="00CC1788" w:rsidRPr="0053182F">
            <w:rPr>
              <w:rFonts w:eastAsia="Times New Roman"/>
            </w:rPr>
            <w:t>, 2014)</w:t>
          </w:r>
        </w:sdtContent>
      </w:sdt>
      <w:r w:rsidRPr="0053182F">
        <w:rPr>
          <w:rStyle w:val="normaltextrun"/>
        </w:rPr>
        <w:t xml:space="preserve">. While NGOs and private consulting firms may be considered more independent and experienced in </w:t>
      </w:r>
      <w:r w:rsidRPr="0053182F">
        <w:rPr>
          <w:rStyle w:val="normaltextrun"/>
          <w:rFonts w:eastAsiaTheme="minorEastAsia"/>
        </w:rPr>
        <w:t>labour</w:t>
      </w:r>
      <w:r w:rsidRPr="0053182F">
        <w:rPr>
          <w:rStyle w:val="normaltextrun"/>
        </w:rPr>
        <w:t xml:space="preserve"> rights matters, they may lack the specific professional skills needed for rigorous auditing </w:t>
      </w:r>
      <w:sdt>
        <w:sdtPr>
          <w:rPr>
            <w:rStyle w:val="normaltextrun"/>
          </w:rPr>
          <w:tag w:val="MENDELEY_CITATION_v3_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Sx7ImlkIjoiN2Y3MjVjZWMtZGQ5OS0zNWNmLWIwNmUtMGI2N2U3MjRlMzAwIiwiaXRlbURhdGEiOnsidHlwZSI6ImFydGljbGUtam91cm5hbCIsImlkIjoiN2Y3MjVjZWMtZGQ5OS0zNWNmLWIwNmUtMGI2N2U3MjRlMzAwIiwidGl0bGUiOiJBY2NvdW50aW5nIGZvciB3b3JrIGNvbmRpdGlvbnMgZnJvbSBtb2Rlcm4gc2xhdmVyeSB0byBkZWNlbnQgd29ya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"/>
          <w:id w:val="-1952310420"/>
          <w:placeholder>
            <w:docPart w:val="5EE44B101D6D4AF79413C15EF4458347"/>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2019, 2020; McPhail and Ferguson, 2016)</w:t>
          </w:r>
        </w:sdtContent>
      </w:sdt>
      <w:r w:rsidRPr="0053182F">
        <w:rPr>
          <w:rStyle w:val="normaltextrun"/>
        </w:rPr>
        <w:t xml:space="preserve">. Conversely, accountants possess expertise in financial matters and </w:t>
      </w:r>
      <w:r w:rsidR="008457B4" w:rsidRPr="0053182F">
        <w:rPr>
          <w:rStyle w:val="normaltextrun"/>
        </w:rPr>
        <w:t>auditing</w:t>
      </w:r>
      <w:r w:rsidR="00BE28E0" w:rsidRPr="0053182F">
        <w:rPr>
          <w:rStyle w:val="normaltextrun"/>
        </w:rPr>
        <w:t>,</w:t>
      </w:r>
      <w:r w:rsidR="008457B4" w:rsidRPr="0053182F">
        <w:rPr>
          <w:rStyle w:val="normaltextrun"/>
        </w:rPr>
        <w:t xml:space="preserve"> but</w:t>
      </w:r>
      <w:r w:rsidRPr="0053182F">
        <w:rPr>
          <w:rStyle w:val="normaltextrun"/>
        </w:rPr>
        <w:t xml:space="preserve"> often require intensive training to acquire the necessary knowledge of </w:t>
      </w:r>
      <w:r w:rsidRPr="0053182F">
        <w:rPr>
          <w:rStyle w:val="normaltextrun"/>
          <w:rFonts w:eastAsiaTheme="minorEastAsia"/>
        </w:rPr>
        <w:t>labour</w:t>
      </w:r>
      <w:r w:rsidRPr="0053182F">
        <w:rPr>
          <w:rStyle w:val="normaltextrun"/>
        </w:rPr>
        <w:t xml:space="preserve"> rights issues </w:t>
      </w:r>
      <w:sdt>
        <w:sdtPr>
          <w:rPr>
            <w:rStyle w:val="normaltextrun"/>
          </w:rPr>
          <w:tag w:val="MENDELEY_CITATION_v3_eyJjaXRhdGlvbklEIjoiTUVOREVMRVlfQ0lUQVRJT05fMmJlZTEyNGMtZjBiYS00Mzc5LTg0NTQtNDhjY2M5NmMyODdi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
          <w:id w:val="427247277"/>
          <w:placeholder>
            <w:docPart w:val="4613FEB2973A4379AEF5B6383DBB6514"/>
          </w:placeholder>
        </w:sdtPr>
        <w:sdtContent>
          <w:r w:rsidR="00CC1788" w:rsidRPr="0053182F">
            <w:rPr>
              <w:rStyle w:val="normaltextrun"/>
            </w:rPr>
            <w:t>(Islam, 2018)</w:t>
          </w:r>
        </w:sdtContent>
      </w:sdt>
      <w:r w:rsidRPr="0053182F">
        <w:rPr>
          <w:rStyle w:val="normaltextrun"/>
        </w:rPr>
        <w:t xml:space="preserve">. </w:t>
      </w:r>
    </w:p>
    <w:p w14:paraId="454942A9" w14:textId="7E140A55" w:rsidR="00144866" w:rsidRPr="0053182F" w:rsidRDefault="00144866" w:rsidP="00144866">
      <w:pPr>
        <w:spacing w:after="0" w:line="480" w:lineRule="auto"/>
        <w:ind w:firstLine="720"/>
        <w:jc w:val="both"/>
        <w:rPr>
          <w:rStyle w:val="normaltextrun"/>
        </w:rPr>
      </w:pPr>
      <w:r w:rsidRPr="0053182F">
        <w:rPr>
          <w:rStyle w:val="normaltextrun"/>
        </w:rPr>
        <w:t xml:space="preserve">Identifying qualified auditors who can make meaningful contributions to eliminating MS is </w:t>
      </w:r>
      <w:r w:rsidR="00012A42" w:rsidRPr="0053182F">
        <w:rPr>
          <w:rStyle w:val="normaltextrun"/>
        </w:rPr>
        <w:t>difficult, given</w:t>
      </w:r>
      <w:r w:rsidRPr="0053182F">
        <w:rPr>
          <w:rStyle w:val="normaltextrun"/>
        </w:rPr>
        <w:t xml:space="preserve"> current circumstances. While there have been suggestions for community or civil society-driven audits led by independent NGOs, there might be opposition from the business community. However, regulators can provide training for relevant third-party auditors, including NGO members, private consultants, </w:t>
      </w:r>
      <w:r w:rsidR="00012A42" w:rsidRPr="0053182F">
        <w:rPr>
          <w:rStyle w:val="normaltextrun"/>
        </w:rPr>
        <w:t xml:space="preserve">and accountants, specifically on </w:t>
      </w:r>
      <w:r w:rsidRPr="0053182F">
        <w:rPr>
          <w:rStyle w:val="normaltextrun"/>
        </w:rPr>
        <w:t xml:space="preserve">MS </w:t>
      </w:r>
      <w:sdt>
        <w:sdtPr>
          <w:rPr>
            <w:rStyle w:val="normaltextrun"/>
          </w:rPr>
          <w:tag w:val="MENDELEY_CITATION_v3_eyJjaXRhdGlvbklEIjoiTUVOREVMRVlfQ0lUQVRJT05fMWNlNDg0MmEtMzNhNy00MTczLTk2YjktZDZlYjg2ZDc4NGM5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
          <w:id w:val="1796871581"/>
          <w:placeholder>
            <w:docPart w:val="73D5ED09B0524596B20B4BE82EB7D0AE"/>
          </w:placeholder>
        </w:sdtPr>
        <w:sdtContent>
          <w:r w:rsidR="00CC1788" w:rsidRPr="0053182F">
            <w:rPr>
              <w:rStyle w:val="normaltextrun"/>
            </w:rPr>
            <w:t>(Islam, 2018)</w:t>
          </w:r>
        </w:sdtContent>
      </w:sdt>
      <w:r w:rsidRPr="0053182F">
        <w:rPr>
          <w:rStyle w:val="normaltextrun"/>
        </w:rPr>
        <w:t>. Additionally, exploring collaborative auditing initiatives between NGOs and accountants can offer a potential way forward in effectively addressing MS.</w:t>
      </w:r>
    </w:p>
    <w:p w14:paraId="268F3193" w14:textId="15C2F097" w:rsidR="00144866" w:rsidRPr="0053182F" w:rsidRDefault="00144866" w:rsidP="00144866">
      <w:pPr>
        <w:spacing w:after="0" w:line="480" w:lineRule="auto"/>
        <w:ind w:firstLine="720"/>
        <w:jc w:val="both"/>
        <w:rPr>
          <w:rStyle w:val="normaltextrun"/>
        </w:rPr>
      </w:pPr>
      <w:r w:rsidRPr="0053182F">
        <w:rPr>
          <w:rStyle w:val="normaltextrun"/>
        </w:rPr>
        <w:t>The evolving regulatory landscape requires accountants to actively participate in collaborative auditing alongside NGOs, indicating a shift towards a more comprehensive perspective that extends beyond numerical data and financial reporting</w:t>
      </w:r>
      <w:sdt>
        <w:sdtPr>
          <w:rPr>
            <w:rStyle w:val="normaltextrun"/>
          </w:rPr>
          <w:tag w:val="MENDELEY_CITATION_v3_eyJjaXRhdGlvbklEIjoiTUVOREVMRVlfQ0lUQVRJT05fNzZmZGQyNTQtMDE1Mi00ODQ3LTk0ZDctN2NmYTc4YzgxZGMwIiwicHJvcGVydGllcyI6eyJub3RlSW5kZXgiOjB9LCJpc0VkaXRlZCI6ZmFsc2UsIm1hbnVhbE92ZXJyaWRlIjp7ImlzTWFudWFsbHlPdmVycmlkZGVuIjpmYWxzZSwiY2l0ZXByb2NUZXh0IjoiKENocmlzdCA8aT5ldCBhbC48L2k+LCAyMDIzOyBEZWVnYW4sIDIwMTcpIiwibWFudWFsT3ZlcnJpZGVUZXh0IjoiIn0sImNpdGF0aW9uSXRlbXMiOlt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LkwuIiwicGFyc2UtbmFtZXMiOmZhbHNlLCJkcm9wcGluZy1wYXJ0aWNsZSI6IiIsIm5vbi1kcm9wcGluZy1wYXJ0aWNsZSI6IiJ9LHsiZmFtaWx5IjoiQnVycml0dCIsImdpdmVuIjoiUi5MLiIsInBhcnNlLW5hbWVzIjpmYWxzZSwiZHJvcHBpbmctcGFydGljbGUiOiIiLCJub24tZHJvcHBpbmctcGFydGljbGUiOiIifSx7ImZhbWlseSI6IklzbGFtIiwiZ2l2ZW4iOiJNLkEu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"/>
          <w:id w:val="396793931"/>
          <w:placeholder>
            <w:docPart w:val="36BFDADADB554566B89C2E6642C05351"/>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2023; Deegan, 2017)</w:t>
          </w:r>
        </w:sdtContent>
      </w:sdt>
      <w:r w:rsidRPr="0053182F">
        <w:rPr>
          <w:rStyle w:val="normaltextrun"/>
        </w:rPr>
        <w:t xml:space="preserve">. This development creates opportunities for interdisciplinary collaborations between accountants, lawyers, </w:t>
      </w:r>
      <w:r w:rsidRPr="0053182F">
        <w:rPr>
          <w:rStyle w:val="normaltextrun"/>
          <w:rFonts w:eastAsiaTheme="minorEastAsia"/>
        </w:rPr>
        <w:t>labour</w:t>
      </w:r>
      <w:r w:rsidRPr="0053182F">
        <w:rPr>
          <w:rStyle w:val="normaltextrun"/>
        </w:rPr>
        <w:t xml:space="preserve"> rights activists, sociologists, and other professionals </w:t>
      </w:r>
      <w:sdt>
        <w:sdtPr>
          <w:rPr>
            <w:rStyle w:val="normaltextrun"/>
          </w:rPr>
          <w:tag w:val="MENDELEY_CITATION_v3_eyJjaXRhdGlvbklEIjoiTUVOREVMRVlfQ0lUQVRJT05fZDExM2E0MWItMmJhZS00ZTg2LWJjYjktMWY0ZDkxYzU5NjIw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
          <w:id w:val="-1559393515"/>
          <w:placeholder>
            <w:docPart w:val="7083B277ED304171A49EEA19539C604A"/>
          </w:placeholder>
        </w:sdtPr>
        <w:sdtContent>
          <w:r w:rsidR="00CC1788" w:rsidRPr="0053182F">
            <w:rPr>
              <w:rStyle w:val="normaltextrun"/>
            </w:rPr>
            <w:t>(Islam, 2018)</w:t>
          </w:r>
        </w:sdtContent>
      </w:sdt>
      <w:r w:rsidRPr="0053182F">
        <w:rPr>
          <w:rStyle w:val="normaltextrun"/>
        </w:rPr>
        <w:t xml:space="preserve">. Given the intricate nature of CMS practices, a holistic approach involving diverse expertise is necessary to address this issue effectively. </w:t>
      </w:r>
    </w:p>
    <w:p w14:paraId="5E6DA89F" w14:textId="443E9F0F" w:rsidR="00144866" w:rsidRPr="0053182F" w:rsidRDefault="00144866" w:rsidP="00144866">
      <w:pPr>
        <w:pStyle w:val="Heading2"/>
      </w:pPr>
      <w:bookmarkStart w:id="139" w:name="_Toc215651809"/>
      <w:bookmarkStart w:id="140" w:name="_Toc218357104"/>
      <w:bookmarkEnd w:id="122"/>
      <w:bookmarkEnd w:id="123"/>
      <w:bookmarkEnd w:id="124"/>
      <w:bookmarkEnd w:id="125"/>
      <w:bookmarkEnd w:id="126"/>
      <w:r w:rsidRPr="0053182F">
        <w:rPr>
          <w:rStyle w:val="Heading2Char"/>
          <w:b/>
          <w:sz w:val="24"/>
        </w:rPr>
        <w:t>3.6 The Positive Response from Corporations to the Eliminat</w:t>
      </w:r>
      <w:r w:rsidR="00012A42" w:rsidRPr="0053182F">
        <w:rPr>
          <w:rStyle w:val="Heading2Char"/>
          <w:b/>
          <w:sz w:val="24"/>
        </w:rPr>
        <w:t>ion</w:t>
      </w:r>
      <w:r w:rsidRPr="0053182F">
        <w:rPr>
          <w:rStyle w:val="Heading2Char"/>
          <w:b/>
          <w:sz w:val="24"/>
        </w:rPr>
        <w:t xml:space="preserve"> </w:t>
      </w:r>
      <w:bookmarkEnd w:id="127"/>
      <w:bookmarkEnd w:id="128"/>
      <w:bookmarkEnd w:id="129"/>
      <w:r w:rsidR="00012A42" w:rsidRPr="0053182F">
        <w:rPr>
          <w:rStyle w:val="Heading2Char"/>
          <w:b/>
          <w:sz w:val="24"/>
        </w:rPr>
        <w:t xml:space="preserve">of </w:t>
      </w:r>
      <w:r w:rsidRPr="0053182F">
        <w:rPr>
          <w:rStyle w:val="Heading2Char"/>
          <w:b/>
          <w:sz w:val="24"/>
        </w:rPr>
        <w:t>Corporate Modern Slavery</w:t>
      </w:r>
      <w:bookmarkEnd w:id="139"/>
      <w:bookmarkEnd w:id="140"/>
    </w:p>
    <w:p w14:paraId="2FEABBE5" w14:textId="223ECD6E" w:rsidR="00144866" w:rsidRPr="0053182F" w:rsidRDefault="00144866" w:rsidP="00144866">
      <w:pPr>
        <w:spacing w:after="0" w:line="480" w:lineRule="auto"/>
        <w:ind w:firstLine="720"/>
        <w:jc w:val="both"/>
        <w:rPr>
          <w:rFonts w:eastAsia="Times New Roman"/>
        </w:rPr>
      </w:pPr>
      <w:r w:rsidRPr="0053182F">
        <w:rPr>
          <w:rFonts w:eastAsia="Times New Roman"/>
        </w:rPr>
        <w:t xml:space="preserve">Improving consumer awareness of the ethical production source </w:t>
      </w:r>
      <w:r w:rsidR="00012A42" w:rsidRPr="0053182F">
        <w:rPr>
          <w:rFonts w:eastAsia="Times New Roman"/>
        </w:rPr>
        <w:t>helps address MS. Some industries heavily use MS; among them, the cocoa industry widely employs force</w:t>
      </w:r>
      <w:r w:rsidRPr="0053182F">
        <w:rPr>
          <w:rFonts w:eastAsia="Times New Roman"/>
        </w:rPr>
        <w:t>d child labour, particularly in Ghana and C</w:t>
      </w:r>
      <w:r w:rsidR="00136B0E" w:rsidRPr="0053182F">
        <w:rPr>
          <w:rFonts w:eastAsia="Times New Roman"/>
        </w:rPr>
        <w:t>ô</w:t>
      </w:r>
      <w:r w:rsidRPr="0053182F">
        <w:rPr>
          <w:rFonts w:eastAsia="Times New Roman"/>
        </w:rPr>
        <w:t xml:space="preserve">te d'Ivoire </w:t>
      </w:r>
      <w:sdt>
        <w:sdtPr>
          <w:rPr>
            <w:rFonts w:eastAsia="Palatino Linotype"/>
          </w:rPr>
          <w:tag w:val="MENDELEY_CITATION_v3_eyJjaXRhdGlvbklEIjoiTUVOREVMRVlfQ0lUQVRJT05fMDk0ODIxZmYtYTNmNi00NzczLWI1MDUtZTZjOGI3M2YzY2MxIiwicHJvcGVydGllcyI6eyJub3RlSW5kZXgiOjB9LCJpc0VkaXRlZCI6ZmFsc2UsIm1hbnVhbE92ZXJyaWRlIjp7ImlzTWFudWFsbHlPdmVycmlkZGVuIjpmYWxzZSwiY2l0ZXByb2NUZXh0IjoiKFdhbGsgRnJlZSBhbmQgTWluZGVyb28sIDIwMTgpIiwibWFudWFsT3ZlcnJpZGVUZXh0Ijoi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1dfQ=="/>
          <w:id w:val="-306701995"/>
          <w:placeholder>
            <w:docPart w:val="D9691283D94745469B3FA0644E54AB26"/>
          </w:placeholder>
        </w:sdtPr>
        <w:sdtContent>
          <w:r w:rsidR="00CC1788" w:rsidRPr="0053182F">
            <w:rPr>
              <w:rFonts w:eastAsia="Times New Roman"/>
            </w:rPr>
            <w:t>(Walk Free and Minderoo, 2018)</w:t>
          </w:r>
        </w:sdtContent>
      </w:sdt>
      <w:r w:rsidRPr="0053182F">
        <w:rPr>
          <w:rFonts w:eastAsia="Palatino Linotype"/>
        </w:rPr>
        <w:t>.</w:t>
      </w:r>
      <w:r w:rsidRPr="0053182F">
        <w:rPr>
          <w:rFonts w:eastAsia="Times New Roman"/>
        </w:rPr>
        <w:t xml:space="preserve"> Precisely, some corporations voluntarily eliminate </w:t>
      </w:r>
      <w:r w:rsidR="008457B4" w:rsidRPr="0053182F">
        <w:rPr>
          <w:rFonts w:eastAsia="Times New Roman"/>
        </w:rPr>
        <w:t>MS in</w:t>
      </w:r>
      <w:r w:rsidRPr="0053182F">
        <w:rPr>
          <w:rFonts w:eastAsia="Times New Roman"/>
        </w:rPr>
        <w:t xml:space="preserve"> their production. For example, Dutch chocolate brand Tony's Choco</w:t>
      </w:r>
      <w:r w:rsidR="000F704A" w:rsidRPr="0053182F">
        <w:rPr>
          <w:rFonts w:eastAsia="Times New Roman"/>
        </w:rPr>
        <w:t>lonely claimed to be slave-free and earned 1 million euros in the first year (</w:t>
      </w:r>
      <w:sdt>
        <w:sdtPr>
          <w:rPr>
            <w:rFonts w:eastAsia="Palatino Linotype"/>
          </w:rPr>
          <w:tag w:val="MENDELEY_CITATION_v3_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"/>
          <w:id w:val="-1052774785"/>
          <w:placeholder>
            <w:docPart w:val="AA7684FDEF9046F9BEB971E62CE90F98"/>
          </w:placeholder>
        </w:sdtPr>
        <w:sdtContent>
          <w:r w:rsidR="00CC1788" w:rsidRPr="0053182F">
            <w:rPr>
              <w:rFonts w:eastAsia="Times New Roman"/>
            </w:rPr>
            <w:t>CNN Freedom Project, 2017)</w:t>
          </w:r>
        </w:sdtContent>
      </w:sdt>
      <w:r w:rsidRPr="0053182F">
        <w:rPr>
          <w:rFonts w:eastAsia="Palatino Linotype"/>
        </w:rPr>
        <w:t>.</w:t>
      </w:r>
      <w:r w:rsidRPr="0053182F">
        <w:rPr>
          <w:rFonts w:eastAsia="Times New Roman"/>
        </w:rPr>
        <w:t xml:space="preserve"> They have confirmed that there is zero level of slavery in their production. It is a great role model of the firm, proving an excellent contribution to the fight against CMS, particularly in the Cocoa industry </w:t>
      </w:r>
      <w:sdt>
        <w:sdtPr>
          <w:rPr>
            <w:rFonts w:eastAsia="Palatino Linotype"/>
          </w:rPr>
          <w:tag w:val="MENDELEY_CITATION_v3_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"/>
          <w:id w:val="862946680"/>
          <w:placeholder>
            <w:docPart w:val="D9691283D94745469B3FA0644E54AB26"/>
          </w:placeholder>
        </w:sdtPr>
        <w:sdtContent>
          <w:r w:rsidR="00CC1788" w:rsidRPr="0053182F">
            <w:rPr>
              <w:rFonts w:eastAsia="Times New Roman"/>
            </w:rPr>
            <w:t>(CNN Freedom Project, 2017)</w:t>
          </w:r>
        </w:sdtContent>
      </w:sdt>
      <w:r w:rsidRPr="0053182F">
        <w:rPr>
          <w:rFonts w:eastAsia="Times New Roman"/>
        </w:rPr>
        <w:t>. It is vital to provide government</w:t>
      </w:r>
      <w:r w:rsidR="000F704A" w:rsidRPr="0053182F">
        <w:rPr>
          <w:rFonts w:eastAsia="Times New Roman"/>
        </w:rPr>
        <w:t xml:space="preserve"> incentives for management to promote social sustainability by elimin</w:t>
      </w:r>
      <w:r w:rsidR="00CA08F0" w:rsidRPr="0053182F">
        <w:rPr>
          <w:rFonts w:eastAsia="Times New Roman"/>
        </w:rPr>
        <w:t>at</w:t>
      </w:r>
      <w:r w:rsidRPr="0053182F">
        <w:rPr>
          <w:rFonts w:eastAsia="Times New Roman"/>
        </w:rPr>
        <w:t xml:space="preserve">ing CMS practices from their business activities </w:t>
      </w:r>
      <w:sdt>
        <w:sdtPr>
          <w:rPr>
            <w:rFonts w:eastAsia="Times New Roman"/>
          </w:rPr>
          <w:tag w:val="MENDELEY_CITATION_v3_eyJjaXRhdGlvbklEIjoiTUVOREVMRVlfQ0lUQVRJT05fNmQwMmNjNjYtNmI4YS00ODFiLWJiZTctNmZkMTU5OWE4MzY1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
          <w:id w:val="-1205484587"/>
          <w:placeholder>
            <w:docPart w:val="9D95F0A892894527B00E784883EBCC5C"/>
          </w:placeholder>
        </w:sdtPr>
        <w:sdtContent>
          <w:r w:rsidR="00CC1788" w:rsidRPr="0053182F">
            <w:rPr>
              <w:rFonts w:eastAsia="Times New Roman"/>
            </w:rPr>
            <w:t xml:space="preserve">(Christ </w:t>
          </w:r>
          <w:r w:rsidR="00CC1788" w:rsidRPr="0053182F">
            <w:rPr>
              <w:rFonts w:eastAsia="Times New Roman"/>
              <w:i/>
              <w:iCs/>
            </w:rPr>
            <w:t>et al.</w:t>
          </w:r>
          <w:r w:rsidR="00CC1788" w:rsidRPr="0053182F">
            <w:rPr>
              <w:rFonts w:eastAsia="Times New Roman"/>
            </w:rPr>
            <w:t>, 2020)</w:t>
          </w:r>
        </w:sdtContent>
      </w:sdt>
      <w:r w:rsidRPr="0053182F">
        <w:rPr>
          <w:rFonts w:eastAsia="Times New Roman"/>
        </w:rPr>
        <w:t xml:space="preserve">. Even though corporations </w:t>
      </w:r>
      <w:r w:rsidR="00CA08F0" w:rsidRPr="0053182F">
        <w:rPr>
          <w:rFonts w:eastAsia="Times New Roman"/>
        </w:rPr>
        <w:t>face substantial social and public pressure to adopt zero CMS practices across their activities, including supply chains, the actual actions towards zero are</w:t>
      </w:r>
      <w:r w:rsidRPr="0053182F">
        <w:rPr>
          <w:rFonts w:eastAsia="Times New Roman"/>
        </w:rPr>
        <w:t xml:space="preserve"> far from the desired goals.</w:t>
      </w:r>
    </w:p>
    <w:p w14:paraId="5B371BC1" w14:textId="13D6D954" w:rsidR="00144866" w:rsidRPr="0053182F" w:rsidRDefault="00144866" w:rsidP="00144866">
      <w:pPr>
        <w:pStyle w:val="Heading2"/>
        <w:jc w:val="both"/>
        <w:rPr>
          <w:b w:val="0"/>
          <w:sz w:val="24"/>
        </w:rPr>
      </w:pPr>
      <w:bookmarkStart w:id="141" w:name="_Toc151541457"/>
      <w:bookmarkStart w:id="142" w:name="_Toc215651810"/>
      <w:bookmarkStart w:id="143" w:name="_Toc218357105"/>
      <w:r w:rsidRPr="0053182F">
        <w:rPr>
          <w:sz w:val="24"/>
        </w:rPr>
        <w:t xml:space="preserve">3.7 Corporate Modern Slavery Practices in </w:t>
      </w:r>
      <w:r w:rsidR="00CA08F0" w:rsidRPr="0053182F">
        <w:rPr>
          <w:sz w:val="24"/>
        </w:rPr>
        <w:t xml:space="preserve">the </w:t>
      </w:r>
      <w:r w:rsidRPr="0053182F">
        <w:rPr>
          <w:sz w:val="24"/>
        </w:rPr>
        <w:t xml:space="preserve">Apparel and </w:t>
      </w:r>
      <w:r w:rsidR="00CA08F0" w:rsidRPr="0053182F">
        <w:rPr>
          <w:sz w:val="24"/>
        </w:rPr>
        <w:t>Textile Industrial C</w:t>
      </w:r>
      <w:r w:rsidRPr="0053182F">
        <w:rPr>
          <w:sz w:val="24"/>
        </w:rPr>
        <w:t>ontext</w:t>
      </w:r>
      <w:bookmarkEnd w:id="141"/>
      <w:bookmarkEnd w:id="142"/>
      <w:bookmarkEnd w:id="143"/>
    </w:p>
    <w:p w14:paraId="6C30939A" w14:textId="375B30E1" w:rsidR="00144866" w:rsidRPr="0053182F" w:rsidRDefault="00144866" w:rsidP="00144866">
      <w:pPr>
        <w:spacing w:after="0" w:line="480" w:lineRule="auto"/>
        <w:ind w:firstLine="360"/>
        <w:jc w:val="both"/>
        <w:rPr>
          <w:rFonts w:eastAsia="Times New Roman"/>
        </w:rPr>
      </w:pPr>
      <w:r w:rsidRPr="0053182F">
        <w:rPr>
          <w:rFonts w:eastAsia="Times New Roman"/>
        </w:rPr>
        <w:t>There are no boundaries or specific industries limited to the preva</w:t>
      </w:r>
      <w:r w:rsidR="00CA08F0" w:rsidRPr="0053182F">
        <w:rPr>
          <w:rFonts w:eastAsia="Times New Roman"/>
        </w:rPr>
        <w:t>lence</w:t>
      </w:r>
      <w:r w:rsidRPr="0053182F">
        <w:rPr>
          <w:rFonts w:eastAsia="Times New Roman"/>
        </w:rPr>
        <w:t xml:space="preserve"> of CMS practices. However, it exists in different scales. Both media and scholars frequently highlight concerns and challenges associated with CMS practices in A&amp;TI. The issue of CMS within the A&amp;TI is a grave concern with global implications </w:t>
      </w:r>
      <w:sdt>
        <w:sdtPr>
          <w:rPr>
            <w:rFonts w:eastAsia="Times New Roman"/>
          </w:rPr>
          <w:tag w:val="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"/>
          <w:id w:val="1389292732"/>
          <w:placeholder>
            <w:docPart w:val="9FF198A4A0024CE88D9CE952CDBA93CE"/>
          </w:placeholder>
        </w:sdtPr>
        <w:sdtContent>
          <w:r w:rsidR="00CC1788" w:rsidRPr="0053182F">
            <w:rPr>
              <w:rFonts w:eastAsia="Times New Roman"/>
            </w:rPr>
            <w:t>(Ahmed and Uddin, 2021; BHRRC, 2023; Ma et al., 2016; Siddiqui et al., 2020; Siddiqui and Uddin, 2016; White et al., 2017)</w:t>
          </w:r>
        </w:sdtContent>
      </w:sdt>
      <w:r w:rsidRPr="0053182F">
        <w:rPr>
          <w:rFonts w:eastAsia="Times New Roman"/>
        </w:rPr>
        <w:t>.</w:t>
      </w:r>
    </w:p>
    <w:p w14:paraId="1E9B68A5" w14:textId="0F22808A" w:rsidR="00144866" w:rsidRPr="0053182F" w:rsidRDefault="00144866" w:rsidP="00144866">
      <w:pPr>
        <w:spacing w:after="0" w:line="480" w:lineRule="auto"/>
        <w:ind w:firstLine="360"/>
        <w:jc w:val="both"/>
        <w:rPr>
          <w:rFonts w:eastAsia="Times New Roman"/>
        </w:rPr>
      </w:pPr>
      <w:r w:rsidRPr="0053182F">
        <w:rPr>
          <w:rFonts w:eastAsia="Times New Roman"/>
        </w:rPr>
        <w:t xml:space="preserve">Global A&amp;TI supply chains, spanning from raw material sourcing to manufacturing, are marred by widespread CMS practices; workers within this industry frequently endure forced labour, wage theft, unsafe working conditions, illegal overtime, and various other forms of exploitation </w:t>
      </w:r>
      <w:sdt>
        <w:sdtPr>
          <w:rPr>
            <w:rFonts w:eastAsia="Times New Roman"/>
          </w:rPr>
          <w:tag w:val="MENDELEY_CITATION_v3_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"/>
          <w:id w:val="-1306310499"/>
          <w:placeholder>
            <w:docPart w:val="257080ECC563462A8DAA0816530C33CD"/>
          </w:placeholder>
        </w:sdtPr>
        <w:sdtContent>
          <w:r w:rsidR="00CC1788" w:rsidRPr="0053182F">
            <w:rPr>
              <w:rFonts w:eastAsia="Times New Roman"/>
            </w:rPr>
            <w:t>(Walk Free and Wiki Rate, 2022)</w:t>
          </w:r>
        </w:sdtContent>
      </w:sdt>
      <w:r w:rsidRPr="0053182F">
        <w:rPr>
          <w:rFonts w:eastAsia="Times New Roman"/>
        </w:rPr>
        <w:t xml:space="preserve">. The challenges are exacerbated by the fact that garment supply chains often operate in regions where </w:t>
      </w:r>
      <w:r w:rsidRPr="0053182F">
        <w:rPr>
          <w:rStyle w:val="normaltextrun"/>
          <w:rFonts w:eastAsiaTheme="minorEastAsia"/>
        </w:rPr>
        <w:t>labour</w:t>
      </w:r>
      <w:r w:rsidRPr="0053182F">
        <w:rPr>
          <w:rFonts w:eastAsia="Times New Roman"/>
        </w:rPr>
        <w:t xml:space="preserve"> rights protections are insufficient or poorly enforced. Consequently, companies bear a pivotal responsibility </w:t>
      </w:r>
      <w:r w:rsidR="00CA08F0" w:rsidRPr="0053182F">
        <w:rPr>
          <w:rFonts w:eastAsia="Times New Roman"/>
        </w:rPr>
        <w:t>to tackle and eradicate</w:t>
      </w:r>
      <w:r w:rsidRPr="0053182F">
        <w:rPr>
          <w:rFonts w:eastAsia="Times New Roman"/>
        </w:rPr>
        <w:t xml:space="preserve"> CMS practices within their supply chains.</w:t>
      </w:r>
    </w:p>
    <w:p w14:paraId="4B0A326B" w14:textId="2CB09F7F" w:rsidR="00144866" w:rsidRPr="0053182F" w:rsidRDefault="00D20468" w:rsidP="0031263C">
      <w:pPr>
        <w:spacing w:line="480" w:lineRule="auto"/>
        <w:ind w:firstLine="360"/>
        <w:jc w:val="both"/>
        <w:rPr>
          <w:rFonts w:eastAsia="Times New Roman"/>
        </w:rPr>
      </w:pPr>
      <w:sdt>
        <w:sdtPr>
          <w:tag w:val="MENDELEY_CITATION_v3_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"/>
          <w:id w:val="1786394130"/>
          <w:placeholder>
            <w:docPart w:val="A6A308ACF9304A9286560C7AB4D9CEE5"/>
          </w:placeholder>
        </w:sdtPr>
        <w:sdtContent>
          <w:r w:rsidR="0031263C" w:rsidRPr="0053182F">
            <w:rPr>
              <w:rFonts w:eastAsia="Times New Roman"/>
            </w:rPr>
            <w:t xml:space="preserve">White </w:t>
          </w:r>
          <w:r w:rsidR="0031263C" w:rsidRPr="0053182F">
            <w:rPr>
              <w:rFonts w:eastAsia="Times New Roman"/>
              <w:i/>
              <w:iCs/>
            </w:rPr>
            <w:t>et al</w:t>
          </w:r>
          <w:r w:rsidR="0031263C" w:rsidRPr="0053182F">
            <w:rPr>
              <w:rFonts w:eastAsia="Times New Roman"/>
            </w:rPr>
            <w:t xml:space="preserve"> (2017)</w:t>
          </w:r>
        </w:sdtContent>
      </w:sdt>
      <w:r w:rsidR="00144866" w:rsidRPr="0053182F">
        <w:t xml:space="preserve"> identified that the predominant concern in the literature regarding A&amp;TI </w:t>
      </w:r>
      <w:r w:rsidR="00DB36B4" w:rsidRPr="0053182F">
        <w:t>is</w:t>
      </w:r>
      <w:r w:rsidR="00144866" w:rsidRPr="0053182F">
        <w:t xml:space="preserve"> ethical supply chains, particularly </w:t>
      </w:r>
      <w:r w:rsidR="00DB36B4" w:rsidRPr="0053182F">
        <w:t xml:space="preserve">the </w:t>
      </w:r>
      <w:r w:rsidR="00144866" w:rsidRPr="0053182F">
        <w:t>emphasi</w:t>
      </w:r>
      <w:r w:rsidR="00682742" w:rsidRPr="0053182F">
        <w:t>s</w:t>
      </w:r>
      <w:r w:rsidR="00DB36B4" w:rsidRPr="0053182F">
        <w:t xml:space="preserve"> on</w:t>
      </w:r>
      <w:r w:rsidR="00144866" w:rsidRPr="0053182F">
        <w:t xml:space="preserve"> labour practices in developing countries. The study underscored a notable focus on sustainability issues within the supply chain, specifically </w:t>
      </w:r>
      <w:r w:rsidR="0031263C" w:rsidRPr="0053182F">
        <w:t>labour practices in</w:t>
      </w:r>
      <w:r w:rsidR="00144866" w:rsidRPr="0053182F">
        <w:t xml:space="preserve"> developing economies</w:t>
      </w:r>
      <w:r w:rsidR="00CA08F0" w:rsidRPr="0053182F">
        <w:t>, given their high vulnerability to ab</w:t>
      </w:r>
      <w:r w:rsidR="00144866" w:rsidRPr="0053182F">
        <w:t xml:space="preserve">use. </w:t>
      </w:r>
      <w:r w:rsidR="00144866" w:rsidRPr="0053182F">
        <w:rPr>
          <w:rFonts w:eastAsia="Times New Roman"/>
        </w:rPr>
        <w:t xml:space="preserve"> For example, </w:t>
      </w:r>
      <w:r w:rsidR="00CA08F0" w:rsidRPr="0053182F">
        <w:rPr>
          <w:rFonts w:eastAsia="Times New Roman"/>
        </w:rPr>
        <w:t xml:space="preserve">in a </w:t>
      </w:r>
      <w:r w:rsidR="00144866" w:rsidRPr="0053182F">
        <w:rPr>
          <w:rFonts w:eastAsia="Times New Roman"/>
        </w:rPr>
        <w:t xml:space="preserve">recent case, H&amp;M, the world's second-largest fashion retailer, has initiated an investigation into 20 reported instances of labour abuse at garment factories in Myanmar that supply the company </w:t>
      </w:r>
      <w:sdt>
        <w:sdtPr>
          <w:rPr>
            <w:rFonts w:eastAsia="Times New Roman"/>
          </w:rPr>
          <w:tag w:val="MENDELEY_CITATION_v3_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"/>
          <w:id w:val="-304480614"/>
          <w:placeholder>
            <w:docPart w:val="225AC319605A4E89B95F3E25EDE44B5B"/>
          </w:placeholder>
        </w:sdtPr>
        <w:sdtContent>
          <w:r w:rsidR="00CC1788" w:rsidRPr="0053182F">
            <w:rPr>
              <w:rFonts w:eastAsia="Times New Roman"/>
            </w:rPr>
            <w:t>(Helen Reid, 2023)</w:t>
          </w:r>
        </w:sdtContent>
      </w:sdt>
      <w:r w:rsidR="00144866" w:rsidRPr="0053182F">
        <w:rPr>
          <w:rFonts w:eastAsia="Times New Roman"/>
        </w:rPr>
        <w:t>. This comes shortly after Inditex, the owner of Zara, announced it</w:t>
      </w:r>
      <w:r w:rsidR="00DB36B4" w:rsidRPr="0053182F">
        <w:rPr>
          <w:rFonts w:eastAsia="Times New Roman"/>
        </w:rPr>
        <w:t xml:space="preserve"> would</w:t>
      </w:r>
      <w:r w:rsidR="00144866" w:rsidRPr="0053182F">
        <w:rPr>
          <w:rFonts w:eastAsia="Times New Roman"/>
        </w:rPr>
        <w:t xml:space="preserve"> phase out purchases from Myanmar. The move follows concerns raised by a British-based </w:t>
      </w:r>
      <w:r w:rsidR="00144866" w:rsidRPr="0053182F">
        <w:rPr>
          <w:rStyle w:val="normaltextrun"/>
          <w:rFonts w:eastAsiaTheme="minorEastAsia"/>
        </w:rPr>
        <w:t>labour</w:t>
      </w:r>
      <w:r w:rsidR="00144866" w:rsidRPr="0053182F">
        <w:rPr>
          <w:rFonts w:eastAsia="Times New Roman"/>
        </w:rPr>
        <w:t xml:space="preserve"> rights advocacy group, which documented 156 cases of alleged worker abuse in Myanmar garment factories between February 2022 and February 2023—a significant increase from the 56 cases reported in the previous year. The spike in reported incidents suggests a decline in workers' rights since the </w:t>
      </w:r>
      <w:r w:rsidR="00CA08F0" w:rsidRPr="0053182F">
        <w:rPr>
          <w:rFonts w:eastAsia="Times New Roman"/>
        </w:rPr>
        <w:t>February 2021 military coup</w:t>
      </w:r>
      <w:r w:rsidR="003672E0" w:rsidRPr="0053182F">
        <w:rPr>
          <w:rFonts w:eastAsia="Times New Roman"/>
        </w:rPr>
        <w:t xml:space="preserve"> </w:t>
      </w:r>
      <w:sdt>
        <w:sdtPr>
          <w:rPr>
            <w:rFonts w:eastAsia="Times New Roman"/>
          </w:rPr>
          <w:tag w:val="MENDELEY_CITATION_v3_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"/>
          <w:id w:val="-591623804"/>
          <w:placeholder>
            <w:docPart w:val="1206EA927CB544D680DE9AE177BDE265"/>
          </w:placeholder>
        </w:sdtPr>
        <w:sdtContent>
          <w:r w:rsidR="00CC1788" w:rsidRPr="0053182F">
            <w:rPr>
              <w:rFonts w:eastAsia="Times New Roman"/>
            </w:rPr>
            <w:t>(Helen Reid, 2023)</w:t>
          </w:r>
        </w:sdtContent>
      </w:sdt>
      <w:r w:rsidR="00144866" w:rsidRPr="0053182F">
        <w:rPr>
          <w:rFonts w:eastAsia="Times New Roman"/>
        </w:rPr>
        <w:t>.</w:t>
      </w:r>
    </w:p>
    <w:p w14:paraId="613D20B7" w14:textId="1C9E1F99" w:rsidR="00144866" w:rsidRPr="0053182F" w:rsidRDefault="00144866" w:rsidP="00144866">
      <w:pPr>
        <w:spacing w:after="0" w:line="480" w:lineRule="auto"/>
        <w:ind w:firstLine="360"/>
        <w:jc w:val="both"/>
        <w:rPr>
          <w:rFonts w:eastAsia="Times New Roman"/>
        </w:rPr>
      </w:pPr>
      <w:r w:rsidRPr="0053182F">
        <w:rPr>
          <w:rFonts w:eastAsia="Times New Roman"/>
        </w:rPr>
        <w:t xml:space="preserve">Moreover, </w:t>
      </w:r>
      <w:r w:rsidRPr="0053182F">
        <w:t xml:space="preserve">MNCs </w:t>
      </w:r>
      <w:r w:rsidR="00C8333C" w:rsidRPr="0053182F">
        <w:t>have taken advantage of adverse socio-cultural, political, and economic instability; for example, the</w:t>
      </w:r>
      <w:r w:rsidRPr="0053182F">
        <w:t xml:space="preserve">ana Plaza disaster </w:t>
      </w:r>
      <w:sdt>
        <w:sdtPr>
          <w:tag w:val="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"/>
          <w:id w:val="-999655212"/>
          <w:placeholder>
            <w:docPart w:val="DAFC58B2336D4BF485F8B267C07DC091"/>
          </w:placeholder>
        </w:sdtPr>
        <w:sdtContent>
          <w:r w:rsidR="00CC1788" w:rsidRPr="0053182F">
            <w:rPr>
              <w:rFonts w:eastAsia="Times New Roman"/>
            </w:rPr>
            <w:t xml:space="preserve">(Alembakis, 2023; Siddiqui </w:t>
          </w:r>
          <w:r w:rsidR="00CC1788" w:rsidRPr="0053182F">
            <w:rPr>
              <w:rFonts w:eastAsia="Times New Roman"/>
              <w:i/>
              <w:iCs/>
            </w:rPr>
            <w:t>et al.</w:t>
          </w:r>
          <w:r w:rsidR="00CC1788" w:rsidRPr="0053182F">
            <w:rPr>
              <w:rFonts w:eastAsia="Times New Roman"/>
            </w:rPr>
            <w:t>, 2020; Siddiqui and Uddin, 2016)</w:t>
          </w:r>
        </w:sdtContent>
      </w:sdt>
      <w:r w:rsidRPr="0053182F">
        <w:t xml:space="preserve">. </w:t>
      </w:r>
      <w:r w:rsidRPr="0053182F">
        <w:rPr>
          <w:rFonts w:eastAsia="Times New Roman"/>
        </w:rPr>
        <w:t xml:space="preserve">According to the literature, A&amp;TI is </w:t>
      </w:r>
      <w:r w:rsidRPr="0053182F">
        <w:t xml:space="preserve">a significant contributor to the MS, spans numerous countries, (e.g., Bangladesh, China) making it challenging to combat this hidden problem </w:t>
      </w:r>
      <w:sdt>
        <w:sdtPr>
          <w:tag w:val="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"/>
          <w:id w:val="-1929953277"/>
          <w:placeholder>
            <w:docPart w:val="2F10017805E248D4A09BE0B8D78AE10B"/>
          </w:placeholder>
        </w:sdtPr>
        <w:sdtContent>
          <w:r w:rsidR="00CC1788" w:rsidRPr="0053182F">
            <w:rPr>
              <w:rFonts w:eastAsia="Times New Roman"/>
            </w:rPr>
            <w:t>(Akhter et al., 2019; BBC NEWS, 2008; BHRRC, 2023; Carty Tamara, 2001; Chi, 2011; Hossain et al., 2017; The guardian, 2023)</w:t>
          </w:r>
        </w:sdtContent>
      </w:sdt>
      <w:r w:rsidRPr="0053182F">
        <w:t xml:space="preserve">. </w:t>
      </w:r>
    </w:p>
    <w:p w14:paraId="011CF143" w14:textId="4EBBB04F" w:rsidR="00144866" w:rsidRPr="0053182F" w:rsidRDefault="00144866" w:rsidP="00144866">
      <w:pPr>
        <w:spacing w:after="0" w:line="480" w:lineRule="auto"/>
        <w:ind w:firstLine="360"/>
        <w:jc w:val="both"/>
      </w:pPr>
      <w:r w:rsidRPr="0053182F">
        <w:t xml:space="preserve"> However, it is not limited to the developing nations. For example, in 2020, the letter</w:t>
      </w:r>
      <w:r w:rsidR="00C8333C" w:rsidRPr="0053182F">
        <w:t>,</w:t>
      </w:r>
      <w:r w:rsidRPr="0053182F">
        <w:t xml:space="preserve"> signed by over 50 MPs, peers, investors, charities, and retailers, including major brands like Asda and Asos, addresses the urgent need for enhanced protection </w:t>
      </w:r>
      <w:r w:rsidR="00C55BEC" w:rsidRPr="0053182F">
        <w:t>of UK</w:t>
      </w:r>
      <w:r w:rsidRPr="0053182F">
        <w:t xml:space="preserve"> garment factory workers against exploitation </w:t>
      </w:r>
      <w:sdt>
        <w:sdtPr>
          <w:tag w:val="MENDELEY_CITATION_v3_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"/>
          <w:id w:val="-748814814"/>
          <w:placeholder>
            <w:docPart w:val="9FF198A4A0024CE88D9CE952CDBA93CE"/>
          </w:placeholder>
        </w:sdtPr>
        <w:sdtContent>
          <w:r w:rsidR="00CC1788" w:rsidRPr="0053182F">
            <w:t>(BBC News, 2020)</w:t>
          </w:r>
        </w:sdtContent>
      </w:sdt>
      <w:r w:rsidRPr="0053182F">
        <w:t xml:space="preserve">. The appeal to Home Secretary Priti Patel follows recent reports of underpaid and unprotected workers in Leicester, with allegations targeting fast fashion brands Boohoo and Quiz for using unethical suppliers </w:t>
      </w:r>
      <w:sdt>
        <w:sdtPr>
          <w:tag w:val="MENDELEY_CITATION_v3_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"/>
          <w:id w:val="1173605211"/>
          <w:placeholder>
            <w:docPart w:val="9FF198A4A0024CE88D9CE952CDBA93CE"/>
          </w:placeholder>
        </w:sdtPr>
        <w:sdtContent>
          <w:r w:rsidR="00CC1788" w:rsidRPr="0053182F">
            <w:t>(BBC News, 2020)</w:t>
          </w:r>
        </w:sdtContent>
      </w:sdt>
      <w:r w:rsidRPr="0053182F">
        <w:t>. These examples prove that CMS is not limited t</w:t>
      </w:r>
      <w:r w:rsidR="00C8333C" w:rsidRPr="0053182F">
        <w:t>o a specific geographical area or to</w:t>
      </w:r>
      <w:r w:rsidRPr="0053182F">
        <w:t xml:space="preserve"> developing countries.</w:t>
      </w:r>
    </w:p>
    <w:p w14:paraId="4E605694" w14:textId="2BE5D28D" w:rsidR="00144866" w:rsidRPr="0053182F" w:rsidRDefault="00144866" w:rsidP="00144866">
      <w:pPr>
        <w:spacing w:after="0" w:line="480" w:lineRule="auto"/>
        <w:ind w:firstLine="720"/>
        <w:jc w:val="both"/>
        <w:rPr>
          <w:rFonts w:eastAsia="Times New Roman"/>
          <w:color w:val="FF0000"/>
        </w:rPr>
      </w:pPr>
      <w:r w:rsidRPr="0053182F">
        <w:rPr>
          <w:rFonts w:eastAsia="Times New Roman"/>
        </w:rPr>
        <w:t>In response, there is a growing emphasis on corporate responsibility and supply chain transparency. Multinational apparel brands are increasingly expected to ensure that their supply chains are free from exploitation. Legislation, such as the UK MS</w:t>
      </w:r>
      <w:r w:rsidR="00EB62B1" w:rsidRPr="0053182F">
        <w:rPr>
          <w:rFonts w:eastAsia="Times New Roman"/>
        </w:rPr>
        <w:t>A</w:t>
      </w:r>
      <w:r w:rsidRPr="0053182F">
        <w:rPr>
          <w:rFonts w:eastAsia="Times New Roman"/>
        </w:rPr>
        <w:t>, and certification schemes</w:t>
      </w:r>
      <w:r w:rsidR="00EB62B1" w:rsidRPr="0053182F">
        <w:rPr>
          <w:rFonts w:eastAsia="Times New Roman"/>
        </w:rPr>
        <w:t>, such as Fair Trade,</w:t>
      </w:r>
      <w:r w:rsidRPr="0053182F">
        <w:rPr>
          <w:rFonts w:eastAsia="Times New Roman"/>
        </w:rPr>
        <w:t xml:space="preserve"> aim to hold companies accountable for eradicating slavery from their operations.  However, challenges persist in identifying and quantifying CMS practices due to </w:t>
      </w:r>
      <w:r w:rsidR="00C8333C" w:rsidRPr="0053182F">
        <w:rPr>
          <w:rFonts w:eastAsia="Times New Roman"/>
        </w:rPr>
        <w:t>their</w:t>
      </w:r>
      <w:r w:rsidRPr="0053182F">
        <w:rPr>
          <w:rFonts w:eastAsia="Times New Roman"/>
        </w:rPr>
        <w:t xml:space="preserve"> clandestine nature. The COVID-19 pandemic has further exacerbated vulnerabilities in the apparel sector, leaving workers at greater risk of exploitation </w:t>
      </w:r>
      <w:sdt>
        <w:sdtPr>
          <w:rPr>
            <w:rFonts w:eastAsia="Times New Roman"/>
          </w:rPr>
          <w:tag w:val="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"/>
          <w:id w:val="-687595140"/>
          <w:placeholder>
            <w:docPart w:val="9FF198A4A0024CE88D9CE952CDBA93CE"/>
          </w:placeholder>
        </w:sdtPr>
        <w:sdtContent>
          <w:r w:rsidR="00CC1788" w:rsidRPr="0053182F">
            <w:rPr>
              <w:rFonts w:eastAsia="Times New Roman"/>
            </w:rPr>
            <w:t xml:space="preserve">(Ahmad </w:t>
          </w:r>
          <w:r w:rsidR="00CC1788" w:rsidRPr="0053182F">
            <w:rPr>
              <w:rFonts w:eastAsia="Times New Roman"/>
              <w:i/>
              <w:iCs/>
            </w:rPr>
            <w:t>et al.</w:t>
          </w:r>
          <w:r w:rsidR="00CC1788" w:rsidRPr="0053182F">
            <w:rPr>
              <w:rFonts w:eastAsia="Times New Roman"/>
            </w:rPr>
            <w:t xml:space="preserve">, 2022; Anner, 2020; ILO, 2020c; Islam </w:t>
          </w:r>
          <w:r w:rsidR="00CC1788" w:rsidRPr="0053182F">
            <w:rPr>
              <w:rFonts w:eastAsia="Times New Roman"/>
              <w:i/>
              <w:iCs/>
            </w:rPr>
            <w:t>et al.</w:t>
          </w:r>
          <w:r w:rsidR="00CC1788" w:rsidRPr="0053182F">
            <w:rPr>
              <w:rFonts w:eastAsia="Times New Roman"/>
            </w:rPr>
            <w:t>, 2022)</w:t>
          </w:r>
        </w:sdtContent>
      </w:sdt>
      <w:r w:rsidRPr="0053182F">
        <w:rPr>
          <w:rFonts w:eastAsia="Times New Roman"/>
        </w:rPr>
        <w:t xml:space="preserve">.  Moreover, </w:t>
      </w:r>
      <w:sdt>
        <w:sdtPr>
          <w:rPr>
            <w:rFonts w:eastAsia="Times New Roman"/>
          </w:rPr>
          <w:tag w:val="MENDELEY_CITATION_v3_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"/>
          <w:id w:val="2003319578"/>
          <w:placeholder>
            <w:docPart w:val="9D8714EC30BB466390E427FCBEFAA6E4"/>
          </w:placeholder>
        </w:sdtPr>
        <w:sdtContent>
          <w:r w:rsidR="00CC1788" w:rsidRPr="0053182F">
            <w:rPr>
              <w:rFonts w:eastAsia="Times New Roman"/>
            </w:rPr>
            <w:t>Kamal and Deegan's (2013)</w:t>
          </w:r>
        </w:sdtContent>
      </w:sdt>
      <w:r w:rsidRPr="0053182F">
        <w:rPr>
          <w:rFonts w:eastAsia="Times New Roman"/>
        </w:rPr>
        <w:t xml:space="preserve"> study offers valuable insights for CSR managers and researchers focusing on sustainability CSR-related governance disclosure practices in the A&amp;TI, with a specific emphasis on Bangladesh as a developing country. Notably, governance disclosure lags behind general sustainability/CSR disclosures, indicating a potential inclination towards symbolic disclosures early in the CSR lifecycle </w:t>
      </w:r>
      <w:sdt>
        <w:sdtPr>
          <w:rPr>
            <w:rFonts w:eastAsia="Times New Roman"/>
          </w:rPr>
          <w:tag w:val="MENDELEY_CITATION_v3_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"/>
          <w:id w:val="-1674644950"/>
          <w:placeholder>
            <w:docPart w:val="9D8714EC30BB466390E427FCBEFAA6E4"/>
          </w:placeholder>
        </w:sdtPr>
        <w:sdtContent>
          <w:r w:rsidR="00CC1788" w:rsidRPr="0053182F">
            <w:rPr>
              <w:rFonts w:eastAsia="Times New Roman"/>
            </w:rPr>
            <w:t>(Kamal and Deegan, 2013)</w:t>
          </w:r>
        </w:sdtContent>
      </w:sdt>
      <w:r w:rsidRPr="0053182F">
        <w:rPr>
          <w:rFonts w:eastAsia="Times New Roman"/>
        </w:rPr>
        <w:t>.</w:t>
      </w:r>
      <w:r w:rsidRPr="0053182F">
        <w:rPr>
          <w:rFonts w:eastAsia="Times New Roman"/>
          <w:color w:val="FF0000"/>
        </w:rPr>
        <w:t xml:space="preserve"> </w:t>
      </w:r>
    </w:p>
    <w:p w14:paraId="60E6514B" w14:textId="597F1DA0" w:rsidR="00144866" w:rsidRPr="0053182F" w:rsidRDefault="00D20468" w:rsidP="00144866">
      <w:pPr>
        <w:spacing w:after="0" w:line="480" w:lineRule="auto"/>
        <w:ind w:firstLine="360"/>
        <w:jc w:val="both"/>
        <w:rPr>
          <w:rFonts w:eastAsia="Times New Roman"/>
        </w:rPr>
      </w:pPr>
      <w:sdt>
        <w:sdtPr>
          <w:rPr>
            <w:rFonts w:eastAsia="Times New Roman"/>
          </w:rPr>
          <w:tag w:val="MENDELEY_CITATION_v3_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"/>
          <w:id w:val="2079702422"/>
          <w:placeholder>
            <w:docPart w:val="9FF198A4A0024CE88D9CE952CDBA93CE"/>
          </w:placeholder>
        </w:sdtPr>
        <w:sdtContent>
          <w:r w:rsidR="00CC1788" w:rsidRPr="0053182F">
            <w:rPr>
              <w:rFonts w:eastAsia="Times New Roman"/>
            </w:rPr>
            <w:t>Akbar and Ahsan's (2019)</w:t>
          </w:r>
        </w:sdtContent>
      </w:sdt>
      <w:r w:rsidR="00144866" w:rsidRPr="0053182F">
        <w:rPr>
          <w:rFonts w:eastAsia="Times New Roman"/>
        </w:rPr>
        <w:t xml:space="preserve"> study identifies critical challenges within the categories of 'cost and financial concerns' and 'factory capacity and capability. Furt</w:t>
      </w:r>
      <w:r w:rsidR="00C8333C" w:rsidRPr="0053182F">
        <w:rPr>
          <w:rFonts w:eastAsia="Times New Roman"/>
        </w:rPr>
        <w:t>hermore,</w:t>
      </w:r>
      <w:r w:rsidR="00144866" w:rsidRPr="0053182F">
        <w:rPr>
          <w:rFonts w:eastAsia="Times New Roman"/>
        </w:rPr>
        <w:t xml:space="preserve"> this study highlights </w:t>
      </w:r>
      <w:r w:rsidR="00C8333C" w:rsidRPr="0053182F">
        <w:rPr>
          <w:rFonts w:eastAsia="Times New Roman"/>
        </w:rPr>
        <w:t xml:space="preserve">that </w:t>
      </w:r>
      <w:r w:rsidR="00144866" w:rsidRPr="0053182F">
        <w:rPr>
          <w:rFonts w:eastAsia="Times New Roman"/>
        </w:rPr>
        <w:t xml:space="preserve">price pressure from buyers is the most significant challenge, with buyers urging compliance while unwilling to increase the cut-and-make (CM) price. Limited financial support for costly implementation, </w:t>
      </w:r>
      <w:r w:rsidR="00130F0D" w:rsidRPr="0053182F">
        <w:rPr>
          <w:rFonts w:eastAsia="Times New Roman"/>
        </w:rPr>
        <w:t>a lack of long-term buyer commitment, a lack of top-level management support, and challenges associated with subcontracting management</w:t>
      </w:r>
      <w:r w:rsidR="00144866" w:rsidRPr="0053182F">
        <w:rPr>
          <w:rFonts w:eastAsia="Times New Roman"/>
        </w:rPr>
        <w:t xml:space="preserve"> </w:t>
      </w:r>
      <w:r w:rsidR="00130F0D" w:rsidRPr="0053182F">
        <w:rPr>
          <w:rFonts w:eastAsia="Times New Roman"/>
        </w:rPr>
        <w:t xml:space="preserve">were </w:t>
      </w:r>
      <w:r w:rsidR="00144866" w:rsidRPr="0053182F">
        <w:rPr>
          <w:rFonts w:eastAsia="Times New Roman"/>
        </w:rPr>
        <w:t xml:space="preserve">also identified </w:t>
      </w:r>
      <w:sdt>
        <w:sdtPr>
          <w:rPr>
            <w:rFonts w:eastAsia="Times New Roman"/>
          </w:rPr>
          <w:tag w:val="MENDELEY_CITATION_v3_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"/>
          <w:id w:val="-1050915474"/>
          <w:placeholder>
            <w:docPart w:val="DF6AA242552F4AD1BDFA2AAF11A66CA7"/>
          </w:placeholder>
        </w:sdtPr>
        <w:sdtContent>
          <w:r w:rsidR="00CC1788" w:rsidRPr="0053182F">
            <w:rPr>
              <w:rFonts w:eastAsia="Times New Roman"/>
            </w:rPr>
            <w:t>(Akbar and Ahsan, 2019)</w:t>
          </w:r>
        </w:sdtContent>
      </w:sdt>
      <w:r w:rsidR="00144866" w:rsidRPr="0053182F">
        <w:rPr>
          <w:rFonts w:eastAsia="Times New Roman"/>
        </w:rPr>
        <w:t>. The findings emphasi</w:t>
      </w:r>
      <w:r w:rsidR="00A22B0C" w:rsidRPr="0053182F">
        <w:rPr>
          <w:rFonts w:eastAsia="Times New Roman"/>
        </w:rPr>
        <w:t>s</w:t>
      </w:r>
      <w:r w:rsidR="00144866" w:rsidRPr="0053182F">
        <w:rPr>
          <w:rFonts w:eastAsia="Times New Roman"/>
        </w:rPr>
        <w:t xml:space="preserve">e the need for long-term buyer-supplier relationships, </w:t>
      </w:r>
      <w:r w:rsidR="0098325F" w:rsidRPr="0053182F">
        <w:rPr>
          <w:rFonts w:eastAsia="Times New Roman"/>
        </w:rPr>
        <w:t>greater financial support, and top-level management commitment to ensure</w:t>
      </w:r>
      <w:r w:rsidR="00144866" w:rsidRPr="0053182F">
        <w:rPr>
          <w:rFonts w:eastAsia="Times New Roman"/>
        </w:rPr>
        <w:t xml:space="preserve"> effective safety compliance implementation in the apparel industry. Cultural and regulatory issues are considered less influential in the initial stages of compliance, with </w:t>
      </w:r>
      <w:r w:rsidR="0098325F" w:rsidRPr="0053182F">
        <w:rPr>
          <w:rFonts w:eastAsia="Times New Roman"/>
        </w:rPr>
        <w:t>their potential relevance emerging later</w:t>
      </w:r>
      <w:r w:rsidR="00144866" w:rsidRPr="0053182F">
        <w:rPr>
          <w:rFonts w:eastAsia="Times New Roman"/>
        </w:rPr>
        <w:t xml:space="preserve">. </w:t>
      </w:r>
    </w:p>
    <w:p w14:paraId="1649F5BC" w14:textId="0B84040B" w:rsidR="00144866" w:rsidRPr="0053182F" w:rsidRDefault="00144866" w:rsidP="00144866">
      <w:pPr>
        <w:pStyle w:val="Heading2"/>
      </w:pPr>
      <w:bookmarkStart w:id="144" w:name="_Toc215651812"/>
      <w:bookmarkStart w:id="145" w:name="_Toc218357106"/>
      <w:r w:rsidRPr="0053182F">
        <w:t>3.</w:t>
      </w:r>
      <w:r w:rsidR="004B319B" w:rsidRPr="0053182F">
        <w:t>8</w:t>
      </w:r>
      <w:r w:rsidRPr="0053182F">
        <w:t xml:space="preserve"> </w:t>
      </w:r>
      <w:r w:rsidR="00FB07D2" w:rsidRPr="0053182F">
        <w:rPr>
          <w:color w:val="EE0000"/>
        </w:rPr>
        <w:t xml:space="preserve">Background of </w:t>
      </w:r>
      <w:r w:rsidRPr="0053182F">
        <w:t>Sri Lanka</w:t>
      </w:r>
      <w:r w:rsidR="003C4EC6" w:rsidRPr="0053182F">
        <w:t>n</w:t>
      </w:r>
      <w:r w:rsidRPr="0053182F">
        <w:t xml:space="preserve"> context</w:t>
      </w:r>
      <w:bookmarkEnd w:id="144"/>
      <w:bookmarkEnd w:id="145"/>
    </w:p>
    <w:p w14:paraId="2E64D8AF" w14:textId="5F5786F2" w:rsidR="00144866" w:rsidRPr="0053182F" w:rsidRDefault="00144866" w:rsidP="00144866">
      <w:pPr>
        <w:spacing w:after="0" w:line="480" w:lineRule="auto"/>
        <w:ind w:firstLine="720"/>
        <w:jc w:val="both"/>
      </w:pPr>
      <w:r w:rsidRPr="0053182F">
        <w:t xml:space="preserve">Sri Lanka, a nation with a rich colonial history, gained independence from British rule in 1948. The legacy of British colonisation has profoundly influenced the country’s corporate and economic landscape, introducing British business practices, commercial laws, and corporate governance systems. It has shaped Sri Lanka's mercantile economy, particularly during the post-independence era. After nearly 150 years under British rule, Sri Lanka inherited significant components of its corporate governance system, including commercial and company law, accounting regulations, and business practices, all modelled on British frameworks </w:t>
      </w:r>
      <w:sdt>
        <w:sdtPr>
          <w:tag w:val="MENDELEY_CITATION_v3_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"/>
          <w:id w:val="1538935239"/>
          <w:placeholder>
            <w:docPart w:val="B184D07382604B3A9D9862780F80A967"/>
          </w:placeholder>
        </w:sdtPr>
        <w:sdtContent>
          <w:r w:rsidR="00CC1788" w:rsidRPr="0053182F">
            <w:rPr>
              <w:rFonts w:eastAsia="Times New Roman"/>
            </w:rPr>
            <w:t xml:space="preserve">(Manawaduge </w:t>
          </w:r>
          <w:r w:rsidR="00CC1788" w:rsidRPr="0053182F">
            <w:rPr>
              <w:rFonts w:eastAsia="Times New Roman"/>
              <w:i/>
              <w:iCs/>
            </w:rPr>
            <w:t>et al.</w:t>
          </w:r>
          <w:r w:rsidR="00CC1788" w:rsidRPr="0053182F">
            <w:rPr>
              <w:rFonts w:eastAsia="Times New Roman"/>
            </w:rPr>
            <w:t>, 2018)</w:t>
          </w:r>
        </w:sdtContent>
      </w:sdt>
      <w:r w:rsidRPr="0053182F">
        <w:t>.</w:t>
      </w:r>
    </w:p>
    <w:p w14:paraId="6DD96B91" w14:textId="2D200801" w:rsidR="00144866" w:rsidRPr="0053182F" w:rsidRDefault="00144866" w:rsidP="00144866">
      <w:pPr>
        <w:spacing w:after="0" w:line="480" w:lineRule="auto"/>
        <w:ind w:firstLine="720"/>
        <w:jc w:val="both"/>
      </w:pPr>
      <w:r w:rsidRPr="0053182F">
        <w:t xml:space="preserve">The business environment of Sri Lanka underwent </w:t>
      </w:r>
      <w:r w:rsidR="0098325F" w:rsidRPr="0053182F">
        <w:t xml:space="preserve">a </w:t>
      </w:r>
      <w:r w:rsidRPr="0053182F">
        <w:t>significant transformation after the introduction of open economic policies in 1977. These policies shifted toward</w:t>
      </w:r>
      <w:r w:rsidR="00EF46CB" w:rsidRPr="0053182F">
        <w:t xml:space="preserve"> market-oriented economic strategies, spurring </w:t>
      </w:r>
      <w:r w:rsidR="00931B42" w:rsidRPr="0053182F">
        <w:t xml:space="preserve">the </w:t>
      </w:r>
      <w:r w:rsidR="00EF46CB" w:rsidRPr="0053182F">
        <w:t>rapid development of capital markets and attracting substantial foreign direct investment</w:t>
      </w:r>
      <w:r w:rsidRPr="0053182F">
        <w:t>. This period saw the establishment of Free Trade Zones</w:t>
      </w:r>
      <w:r w:rsidRPr="0053182F">
        <w:rPr>
          <w:rStyle w:val="FootnoteReference"/>
        </w:rPr>
        <w:footnoteReference w:id="14"/>
      </w:r>
      <w:r w:rsidR="004F29E6" w:rsidRPr="0053182F">
        <w:t xml:space="preserve"> </w:t>
      </w:r>
      <w:r w:rsidRPr="0053182F">
        <w:t>(FTZ</w:t>
      </w:r>
      <w:r w:rsidR="004F29E6" w:rsidRPr="0053182F">
        <w:t>s</w:t>
      </w:r>
      <w:r w:rsidRPr="0053182F">
        <w:t xml:space="preserve">), the relaxation of import and foreign exchange restrictions, and the emergence of export-led industries such as the garment sector </w:t>
      </w:r>
      <w:sdt>
        <w:sdtPr>
          <w:tag w:val="MENDELEY_CITATION_v3_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"/>
          <w:id w:val="-1139421371"/>
          <w:placeholder>
            <w:docPart w:val="B184D07382604B3A9D9862780F80A967"/>
          </w:placeholder>
        </w:sdtPr>
        <w:sdtContent>
          <w:r w:rsidR="00CC1788" w:rsidRPr="0053182F">
            <w:t>(Ministry of Finance, 2020)</w:t>
          </w:r>
        </w:sdtContent>
      </w:sdt>
      <w:r w:rsidRPr="0053182F">
        <w:t>. Consequently, new institutional and regulatory frameworks were established, including the Securities and Exchange Commission in 1987 and the Companies Act No.</w:t>
      </w:r>
      <w:r w:rsidR="004F29E6" w:rsidRPr="0053182F">
        <w:t xml:space="preserve"> 17 of 1982, aimed at enhancing corporate governance </w:t>
      </w:r>
      <w:sdt>
        <w:sdtPr>
          <w:tag w:val="MENDELEY_CITATION_v3_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"/>
          <w:id w:val="-953100809"/>
          <w:placeholder>
            <w:docPart w:val="B184D07382604B3A9D9862780F80A967"/>
          </w:placeholder>
        </w:sdtPr>
        <w:sdtContent>
          <w:r w:rsidR="00CC1788" w:rsidRPr="0053182F">
            <w:t>(The Department of Companies, Sri Lanka, 1982)</w:t>
          </w:r>
        </w:sdtContent>
      </w:sdt>
      <w:r w:rsidRPr="0053182F">
        <w:t>.</w:t>
      </w:r>
    </w:p>
    <w:p w14:paraId="49008A25" w14:textId="079FE505" w:rsidR="00144866" w:rsidRPr="0053182F" w:rsidRDefault="00144866" w:rsidP="00144866">
      <w:pPr>
        <w:spacing w:after="0" w:line="480" w:lineRule="auto"/>
        <w:ind w:firstLine="720"/>
        <w:jc w:val="both"/>
      </w:pPr>
      <w:r w:rsidRPr="0053182F">
        <w:t xml:space="preserve">The A&amp;TI has been Sri Lanka's leading export sector since 1986, </w:t>
      </w:r>
      <w:r w:rsidR="004F29E6" w:rsidRPr="0053182F">
        <w:t xml:space="preserve">accounting for over 44% of the country's total export earnings and providing employment for 33% of manufacturing </w:t>
      </w:r>
      <w:sdt>
        <w:sdtPr>
          <w:tag w:val="MENDELEY_CITATION_v3_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"/>
          <w:id w:val="2035227592"/>
          <w:placeholder>
            <w:docPart w:val="B184D07382604B3A9D9862780F80A967"/>
          </w:placeholder>
        </w:sdtPr>
        <w:sdtContent>
          <w:r w:rsidR="00CC1788" w:rsidRPr="0053182F">
            <w:t>(International Trade Administration, 2024)</w:t>
          </w:r>
        </w:sdtContent>
      </w:sdt>
      <w:r w:rsidRPr="0053182F">
        <w:t>. However, it has drastically reduced since 2021, w</w:t>
      </w:r>
      <w:r w:rsidR="004B4200" w:rsidRPr="0053182F">
        <w:t>ith 52% of export earnings covered by A</w:t>
      </w:r>
      <w:r w:rsidRPr="0053182F">
        <w:t xml:space="preserve">&amp;TI </w:t>
      </w:r>
      <w:sdt>
        <w:sdtPr>
          <w:tag w:val="MENDELEY_CITATION_v3_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"/>
          <w:id w:val="1867705037"/>
          <w:placeholder>
            <w:docPart w:val="626D61CAF1F0494285A1AEBA36A68D58"/>
          </w:placeholder>
        </w:sdtPr>
        <w:sdtContent>
          <w:r w:rsidR="00CC1788" w:rsidRPr="0053182F">
            <w:t>(Ministry of Industries, 2021)</w:t>
          </w:r>
        </w:sdtContent>
      </w:sdt>
      <w:r w:rsidRPr="0053182F">
        <w:t>. It might anticipate a market contraction in several markets and Sri Lankan political and economic instability</w:t>
      </w:r>
      <w:r w:rsidR="006949BE" w:rsidRPr="0053182F">
        <w:t xml:space="preserve"> (Refer </w:t>
      </w:r>
      <w:r w:rsidR="00BE28E0" w:rsidRPr="0053182F">
        <w:t xml:space="preserve">to </w:t>
      </w:r>
      <w:r w:rsidR="008B00BC" w:rsidRPr="0053182F">
        <w:t>F</w:t>
      </w:r>
      <w:r w:rsidR="006949BE" w:rsidRPr="0053182F">
        <w:t xml:space="preserve">igure </w:t>
      </w:r>
      <w:r w:rsidR="008B00BC" w:rsidRPr="0053182F">
        <w:t>3.2)</w:t>
      </w:r>
      <w:r w:rsidRPr="0053182F">
        <w:t>.</w:t>
      </w:r>
    </w:p>
    <w:p w14:paraId="34C079A5" w14:textId="77777777" w:rsidR="00144866" w:rsidRPr="0053182F" w:rsidRDefault="00144866" w:rsidP="00144866">
      <w:pPr>
        <w:spacing w:after="0" w:line="480" w:lineRule="auto"/>
        <w:jc w:val="both"/>
      </w:pPr>
      <w:r w:rsidRPr="0053182F">
        <w:rPr>
          <w:noProof/>
        </w:rPr>
        <w:drawing>
          <wp:inline distT="0" distB="0" distL="0" distR="0" wp14:anchorId="044182B8" wp14:editId="60406C89">
            <wp:extent cx="5731510" cy="2598420"/>
            <wp:effectExtent l="0" t="0" r="2540" b="0"/>
            <wp:docPr id="1672499214"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2499214" name="Picture 1" descr="A graph of blue bars&#10;&#10;Description automatically generated"/>
                    <pic:cNvPicPr/>
                  </pic:nvPicPr>
                  <pic:blipFill>
                    <a:blip r:embed="rId34"/>
                    <a:stretch>
                      <a:fillRect/>
                    </a:stretch>
                  </pic:blipFill>
                  <pic:spPr>
                    <a:xfrm>
                      <a:off x="0" y="0"/>
                      <a:ext cx="5731510" cy="2598420"/>
                    </a:xfrm>
                    <a:prstGeom prst="rect">
                      <a:avLst/>
                    </a:prstGeom>
                  </pic:spPr>
                </pic:pic>
              </a:graphicData>
            </a:graphic>
          </wp:inline>
        </w:drawing>
      </w:r>
    </w:p>
    <w:p w14:paraId="57077E5D" w14:textId="6589ECE7" w:rsidR="00144866" w:rsidRPr="0053182F" w:rsidRDefault="00144866" w:rsidP="00144866">
      <w:pPr>
        <w:spacing w:after="0" w:line="480" w:lineRule="auto"/>
        <w:jc w:val="center"/>
      </w:pPr>
      <w:r w:rsidRPr="0053182F">
        <w:rPr>
          <w:b/>
          <w:bCs/>
        </w:rPr>
        <w:t>Figure 3.</w:t>
      </w:r>
      <w:r w:rsidR="007F5409" w:rsidRPr="0053182F">
        <w:rPr>
          <w:b/>
          <w:bCs/>
        </w:rPr>
        <w:t>2</w:t>
      </w:r>
      <w:r w:rsidRPr="0053182F">
        <w:t xml:space="preserve"> Export performance of the last 10 years </w:t>
      </w:r>
    </w:p>
    <w:p w14:paraId="5587A44E" w14:textId="49A41211" w:rsidR="00144866" w:rsidRPr="0053182F" w:rsidRDefault="00144866" w:rsidP="00144866">
      <w:pPr>
        <w:spacing w:after="0" w:line="480" w:lineRule="auto"/>
        <w:jc w:val="center"/>
      </w:pPr>
      <w:r w:rsidRPr="0053182F">
        <w:rPr>
          <w:b/>
          <w:bCs/>
        </w:rPr>
        <w:t>Source:</w:t>
      </w:r>
      <w:r w:rsidRPr="0053182F">
        <w:t xml:space="preserve"> </w:t>
      </w:r>
      <w:sdt>
        <w:sdtPr>
          <w:tag w:val="MENDELEY_CITATION_v3_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"/>
          <w:id w:val="-1596090738"/>
          <w:placeholder>
            <w:docPart w:val="93A060B8B1984A99B24C02834FA6F24B"/>
          </w:placeholder>
        </w:sdtPr>
        <w:sdtContent>
          <w:r w:rsidR="00CC1788" w:rsidRPr="0053182F">
            <w:t>(Sri Lanka Export Development Board, 2024)</w:t>
          </w:r>
        </w:sdtContent>
      </w:sdt>
    </w:p>
    <w:p w14:paraId="4FB71B1A" w14:textId="5B89DD48" w:rsidR="00144866" w:rsidRPr="0053182F" w:rsidRDefault="00144866" w:rsidP="00144866">
      <w:pPr>
        <w:spacing w:after="0" w:line="480" w:lineRule="auto"/>
        <w:ind w:firstLine="720"/>
        <w:jc w:val="both"/>
      </w:pPr>
      <w:r w:rsidRPr="0053182F">
        <w:t xml:space="preserve"> It has also been the </w:t>
      </w:r>
      <w:r w:rsidR="00365FBC" w:rsidRPr="0053182F">
        <w:t>most significan</w:t>
      </w:r>
      <w:r w:rsidRPr="0053182F">
        <w:t>t net foreign exchange earner since 1992. Over the past three decades, Sri Lanka has supplied products (such as</w:t>
      </w:r>
      <w:r w:rsidR="00D74311" w:rsidRPr="0053182F">
        <w:t>;</w:t>
      </w:r>
      <w:r w:rsidRPr="0053182F">
        <w:t xml:space="preserve"> sportswear, lingerie, loungewear, bridal wear, workwear, swimwear, and children's wear) to major global brands, including Victoria's Secret, GAP, Liz Claiborne, Next, Jones New York, Nike, Tommy Hilfiger, Pink, Triumph, Ann Taylor, Speedo, Abercrombie </w:t>
      </w:r>
      <w:r w:rsidR="00417238" w:rsidRPr="0053182F">
        <w:t>and</w:t>
      </w:r>
      <w:r w:rsidRPr="0053182F">
        <w:t xml:space="preserve"> Fitch, Land's End, Marks </w:t>
      </w:r>
      <w:r w:rsidR="00417238" w:rsidRPr="0053182F">
        <w:t>and</w:t>
      </w:r>
      <w:r w:rsidRPr="0053182F">
        <w:t xml:space="preserve"> Spencer, Boss,  Diesel Intimmissimi, Lululemon, Calvin Klein, Colombia, Boss, Decalthon, H &amp; M, Ralph Lauren, Speedo, Sanmar, Levi’s, Tesco, Zalando, and Uniqlo</w:t>
      </w:r>
      <w:r w:rsidRPr="0053182F">
        <w:rPr>
          <w:shd w:val="clear" w:color="auto" w:fill="FFFFFF"/>
        </w:rPr>
        <w:t xml:space="preserve"> </w:t>
      </w:r>
      <w:sdt>
        <w:sdtPr>
          <w:tag w:val="MENDELEY_CITATION_v3_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"/>
          <w:id w:val="1515960330"/>
          <w:placeholder>
            <w:docPart w:val="B184D07382604B3A9D9862780F80A967"/>
          </w:placeholder>
        </w:sdtPr>
        <w:sdtContent>
          <w:r w:rsidR="00CC1788" w:rsidRPr="0053182F">
            <w:t>(Ministry of Industries, 2021)</w:t>
          </w:r>
        </w:sdtContent>
      </w:sdt>
      <w:r w:rsidRPr="0053182F">
        <w:t>. Figure 3.</w:t>
      </w:r>
      <w:r w:rsidR="001538B7" w:rsidRPr="0053182F">
        <w:t>3</w:t>
      </w:r>
      <w:r w:rsidRPr="0053182F">
        <w:t xml:space="preserve"> shows the Sri Lankan major apparel markets, </w:t>
      </w:r>
    </w:p>
    <w:p w14:paraId="3E979B53" w14:textId="6BAEE9EC" w:rsidR="00144866" w:rsidRPr="0053182F" w:rsidRDefault="00144866" w:rsidP="00C55BEC">
      <w:pPr>
        <w:spacing w:after="0" w:line="480" w:lineRule="auto"/>
        <w:jc w:val="center"/>
      </w:pPr>
      <w:r w:rsidRPr="0053182F">
        <w:rPr>
          <w:noProof/>
        </w:rPr>
        <w:drawing>
          <wp:inline distT="0" distB="0" distL="0" distR="0" wp14:anchorId="2290BD9B" wp14:editId="25C6A420">
            <wp:extent cx="5731510" cy="2440305"/>
            <wp:effectExtent l="0" t="0" r="2540" b="0"/>
            <wp:docPr id="1330304627" name="Picture 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304627" name="Picture 1" descr="A graph with numbers and a bar&#10;&#10;AI-generated content may be incorrect."/>
                    <pic:cNvPicPr/>
                  </pic:nvPicPr>
                  <pic:blipFill>
                    <a:blip r:embed="rId35"/>
                    <a:stretch>
                      <a:fillRect/>
                    </a:stretch>
                  </pic:blipFill>
                  <pic:spPr>
                    <a:xfrm>
                      <a:off x="0" y="0"/>
                      <a:ext cx="5731510" cy="2440305"/>
                    </a:xfrm>
                    <a:prstGeom prst="rect">
                      <a:avLst/>
                    </a:prstGeom>
                  </pic:spPr>
                </pic:pic>
              </a:graphicData>
            </a:graphic>
          </wp:inline>
        </w:drawing>
      </w:r>
      <w:r w:rsidRPr="0053182F">
        <w:rPr>
          <w:b/>
          <w:bCs/>
        </w:rPr>
        <w:t>Figure 3.</w:t>
      </w:r>
      <w:r w:rsidR="00D26523" w:rsidRPr="0053182F">
        <w:rPr>
          <w:b/>
          <w:bCs/>
        </w:rPr>
        <w:t>3</w:t>
      </w:r>
      <w:r w:rsidRPr="0053182F">
        <w:t>: Sri Lankan major apparel markets</w:t>
      </w:r>
    </w:p>
    <w:p w14:paraId="592E81B0" w14:textId="1B461026" w:rsidR="00144866" w:rsidRPr="0053182F" w:rsidRDefault="00144866" w:rsidP="00C55BEC">
      <w:pPr>
        <w:spacing w:after="0" w:line="480" w:lineRule="auto"/>
        <w:ind w:firstLine="720"/>
        <w:jc w:val="center"/>
      </w:pPr>
      <w:r w:rsidRPr="0053182F">
        <w:rPr>
          <w:b/>
          <w:bCs/>
        </w:rPr>
        <w:t>Source:</w:t>
      </w:r>
      <w:r w:rsidRPr="0053182F">
        <w:t xml:space="preserve"> EDB (2025)</w:t>
      </w:r>
    </w:p>
    <w:p w14:paraId="4680F832" w14:textId="65319219" w:rsidR="00365FBC" w:rsidRPr="0053182F" w:rsidRDefault="00144866" w:rsidP="00144866">
      <w:pPr>
        <w:spacing w:after="0" w:line="480" w:lineRule="auto"/>
        <w:ind w:firstLine="720"/>
        <w:jc w:val="both"/>
      </w:pPr>
      <w:r w:rsidRPr="0053182F">
        <w:t xml:space="preserve">Sri Lanka's strategic location at the crossroads of major shipping routes to South Asia, the Far East, Europe, and America </w:t>
      </w:r>
      <w:r w:rsidR="00C55BEC" w:rsidRPr="0053182F">
        <w:t>ha</w:t>
      </w:r>
      <w:r w:rsidR="006B08E0" w:rsidRPr="0053182F">
        <w:t>s</w:t>
      </w:r>
      <w:r w:rsidRPr="0053182F">
        <w:t xml:space="preserve"> positioned it as a key transit point for maritime trade. Positioned on a key East-West trade route near the Indian Peninsula and major markets in Asia-Pacific and Africa, Sri Lanka offers a significant locational advantage for becoming South Asia's logistics hub. The Colombo and Hambantota ports facilitate cargo connections to Europe, Asia, the Persian Gulf, and East Africa. With its inclusion in the 'One Belt One Road' initiative, Sri Lanka is set to play a pivotal role in global trade </w:t>
      </w:r>
      <w:sdt>
        <w:sdtPr>
          <w:tag w:val="MENDELEY_CITATION_v3_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"/>
          <w:id w:val="723032385"/>
          <w:placeholder>
            <w:docPart w:val="B184D07382604B3A9D9862780F80A967"/>
          </w:placeholder>
        </w:sdtPr>
        <w:sdtContent>
          <w:r w:rsidR="00CC1788" w:rsidRPr="0053182F">
            <w:t xml:space="preserve">(Sri Lanka </w:t>
          </w:r>
          <w:r w:rsidR="00570DD8" w:rsidRPr="0053182F">
            <w:t>Export D</w:t>
          </w:r>
          <w:r w:rsidR="00CC1788" w:rsidRPr="0053182F">
            <w:t>evelopment, 2024)</w:t>
          </w:r>
        </w:sdtContent>
      </w:sdt>
      <w:r w:rsidRPr="0053182F">
        <w:t xml:space="preserve">. Today, Colombo Port </w:t>
      </w:r>
      <w:r w:rsidR="00FE44A6" w:rsidRPr="0053182F">
        <w:t xml:space="preserve">ranks as the thirteenth-best-connected port in the world and is among the top 25 fastest-growing seaports globally </w:t>
      </w:r>
      <w:sdt>
        <w:sdtPr>
          <w:tag w:val="MENDELEY_CITATION_v3_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"/>
          <w:id w:val="-1609885631"/>
          <w:placeholder>
            <w:docPart w:val="B184D07382604B3A9D9862780F80A967"/>
          </w:placeholder>
        </w:sdtPr>
        <w:sdtContent>
          <w:r w:rsidR="00CC1788" w:rsidRPr="0053182F">
            <w:t>(Sri Lanka Export Development, 2024)</w:t>
          </w:r>
        </w:sdtContent>
      </w:sdt>
      <w:r w:rsidRPr="0053182F">
        <w:t>. It is the deepest port in South Asia</w:t>
      </w:r>
      <w:r w:rsidR="00FE44A6" w:rsidRPr="0053182F">
        <w:t xml:space="preserve"> and can accommodate</w:t>
      </w:r>
      <w:r w:rsidRPr="0053182F">
        <w:t xml:space="preserve"> large container vessels.</w:t>
      </w:r>
    </w:p>
    <w:p w14:paraId="6832222A" w14:textId="24F0D751" w:rsidR="00144866" w:rsidRPr="0053182F" w:rsidRDefault="00144866" w:rsidP="00144866">
      <w:pPr>
        <w:spacing w:after="0" w:line="480" w:lineRule="auto"/>
        <w:ind w:firstLine="720"/>
        <w:jc w:val="both"/>
      </w:pPr>
      <w:r w:rsidRPr="0053182F">
        <w:t>Additionally, Colombo Port is recognised as the most efficient port in the region, boasting a lead time clearance of just one day. These advantages have generated significant interest in Sri Lanka as a preferred investment destination. Sri Lanka's rich history as a global trading hub and its strategic location make it an ideal logistics centre.</w:t>
      </w:r>
    </w:p>
    <w:p w14:paraId="66558E4E" w14:textId="0CDBDB81" w:rsidR="00144866" w:rsidRPr="0053182F" w:rsidRDefault="00144866" w:rsidP="00144866">
      <w:pPr>
        <w:pStyle w:val="Heading3"/>
      </w:pPr>
      <w:bookmarkStart w:id="146" w:name="_Toc172885826"/>
      <w:bookmarkStart w:id="147" w:name="_Toc215651813"/>
      <w:bookmarkStart w:id="148" w:name="_Toc218357107"/>
      <w:r w:rsidRPr="0053182F">
        <w:t>3.</w:t>
      </w:r>
      <w:r w:rsidR="004B319B" w:rsidRPr="0053182F">
        <w:t>8</w:t>
      </w:r>
      <w:r w:rsidRPr="0053182F">
        <w:t>.1 Green Manufacturing of Garments</w:t>
      </w:r>
      <w:bookmarkEnd w:id="146"/>
      <w:bookmarkEnd w:id="147"/>
      <w:bookmarkEnd w:id="148"/>
    </w:p>
    <w:p w14:paraId="7B41397F" w14:textId="7955EFA3" w:rsidR="00144866" w:rsidRPr="0053182F" w:rsidRDefault="00144866" w:rsidP="00144866">
      <w:pPr>
        <w:spacing w:after="0" w:line="480" w:lineRule="auto"/>
        <w:ind w:firstLine="720"/>
        <w:jc w:val="both"/>
      </w:pPr>
      <w:r w:rsidRPr="0053182F">
        <w:t>The shift towards green manufacturing in Sri Lanka's apparel industry aligns with global trends towards sustainability and CSR. According to the World Economic Forum, green manufacturing enhances environmental performance</w:t>
      </w:r>
      <w:r w:rsidR="00FE44A6" w:rsidRPr="0053182F">
        <w:t>, improves operational efficiency, and strengthens</w:t>
      </w:r>
      <w:r w:rsidRPr="0053182F">
        <w:t xml:space="preserve"> brand reputation. Green manufacturing in the Sri Lankan apparel industry </w:t>
      </w:r>
      <w:r w:rsidR="00243718" w:rsidRPr="0053182F">
        <w:t>has gone beyond</w:t>
      </w:r>
      <w:r w:rsidRPr="0053182F">
        <w:t xml:space="preserve"> a mere trend; it has become a core principle. The industry has adopted advanced technologies, highlighted by the establishment of the world's first eco-friendly "Green Garment Factory," which has successfully halved energy consumption and reduced water usage by 70% </w:t>
      </w:r>
      <w:sdt>
        <w:sdtPr>
          <w:tag w:val="MENDELEY_CITATION_v3_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"/>
          <w:id w:val="-341620470"/>
          <w:placeholder>
            <w:docPart w:val="B184D07382604B3A9D9862780F80A967"/>
          </w:placeholder>
        </w:sdtPr>
        <w:sdtContent>
          <w:r w:rsidR="00CC1788" w:rsidRPr="0053182F">
            <w:t>(EDB, 2024)</w:t>
          </w:r>
        </w:sdtContent>
      </w:sdt>
      <w:r w:rsidRPr="0053182F">
        <w:t xml:space="preserve">. </w:t>
      </w:r>
    </w:p>
    <w:p w14:paraId="1047C450" w14:textId="090DD38C" w:rsidR="00144866" w:rsidRPr="0053182F" w:rsidRDefault="00144866" w:rsidP="00144866">
      <w:pPr>
        <w:spacing w:after="0" w:line="480" w:lineRule="auto"/>
        <w:ind w:firstLine="720"/>
        <w:jc w:val="both"/>
      </w:pPr>
      <w:r w:rsidRPr="0053182F">
        <w:t xml:space="preserve">These green factories have achieved business sustainability by implementing lean manufacturing practices, </w:t>
      </w:r>
      <w:r w:rsidR="00FE44A6" w:rsidRPr="0053182F">
        <w:t>resulting in reduced overhead costs and fast</w:t>
      </w:r>
      <w:r w:rsidRPr="0053182F">
        <w:t>er returns on investment. Many of these facilities are LEED Platinum</w:t>
      </w:r>
      <w:r w:rsidR="00FE44A6" w:rsidRPr="0053182F">
        <w:t>- and Gold-c</w:t>
      </w:r>
      <w:r w:rsidRPr="0053182F">
        <w:t xml:space="preserve">ertified, adhering to international standards for recycling, effluent treatment, and waste management. A concerted effort to minimise the carbon footprint underscores Sri Lanka's commitment to making </w:t>
      </w:r>
      <w:r w:rsidR="0067541E" w:rsidRPr="0053182F">
        <w:t>its A&amp;TI</w:t>
      </w:r>
      <w:r w:rsidRPr="0053182F">
        <w:t xml:space="preserve"> </w:t>
      </w:r>
      <w:r w:rsidR="0067541E" w:rsidRPr="0053182F">
        <w:t>eco-friendlier and more sustainable</w:t>
      </w:r>
      <w:r w:rsidRPr="0053182F">
        <w:t xml:space="preserve">. Furthermore, the industry complies with World Trade Organisation (WTO) regulations, ensuring adherence to global trade standards </w:t>
      </w:r>
      <w:sdt>
        <w:sdtPr>
          <w:tag w:val="MENDELEY_CITATION_v3_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"/>
          <w:id w:val="1241753533"/>
          <w:placeholder>
            <w:docPart w:val="B184D07382604B3A9D9862780F80A967"/>
          </w:placeholder>
        </w:sdtPr>
        <w:sdtContent>
          <w:r w:rsidR="00CC1788" w:rsidRPr="0053182F">
            <w:t>(EDB, 2024)</w:t>
          </w:r>
        </w:sdtContent>
      </w:sdt>
      <w:r w:rsidRPr="0053182F">
        <w:t>.</w:t>
      </w:r>
    </w:p>
    <w:p w14:paraId="2C42D840" w14:textId="01CEA1FB" w:rsidR="00144866" w:rsidRPr="0053182F" w:rsidRDefault="00144866" w:rsidP="00144866">
      <w:pPr>
        <w:spacing w:after="0" w:line="480" w:lineRule="auto"/>
        <w:ind w:firstLine="720"/>
        <w:jc w:val="both"/>
      </w:pPr>
      <w:r w:rsidRPr="0053182F">
        <w:t xml:space="preserve">Sri Lanka's </w:t>
      </w:r>
      <w:r w:rsidR="008A495F" w:rsidRPr="0053182F">
        <w:t>A&amp;TI</w:t>
      </w:r>
      <w:r w:rsidRPr="0053182F">
        <w:t xml:space="preserve"> has gained global recognition and appreciation</w:t>
      </w:r>
      <w:r w:rsidR="00365FBC" w:rsidRPr="0053182F">
        <w:t>, primarily for</w:t>
      </w:r>
      <w:r w:rsidRPr="0053182F">
        <w:t xml:space="preserve"> its commitment to </w:t>
      </w:r>
      <w:r w:rsidR="008A495F" w:rsidRPr="0053182F">
        <w:t>CSR</w:t>
      </w:r>
      <w:r w:rsidRPr="0053182F">
        <w:t xml:space="preserve">. </w:t>
      </w:r>
      <w:r w:rsidR="008A495F" w:rsidRPr="0053182F">
        <w:t xml:space="preserve">Further, </w:t>
      </w:r>
      <w:r w:rsidRPr="0053182F">
        <w:t xml:space="preserve">Sri Lanka has ratified 43 ILO conventions and </w:t>
      </w:r>
      <w:r w:rsidR="00FE44A6" w:rsidRPr="0053182F">
        <w:t>one</w:t>
      </w:r>
      <w:r w:rsidRPr="0053182F">
        <w:t xml:space="preserve"> protocol, with 30 currently in force, </w:t>
      </w:r>
      <w:r w:rsidR="00FE44A6" w:rsidRPr="0053182F">
        <w:t>six</w:t>
      </w:r>
      <w:r w:rsidRPr="0053182F">
        <w:t xml:space="preserve"> denounced, and </w:t>
      </w:r>
      <w:r w:rsidR="00FE44A6" w:rsidRPr="0053182F">
        <w:t>seven</w:t>
      </w:r>
      <w:r w:rsidRPr="0053182F">
        <w:t xml:space="preserve"> abrogated </w:t>
      </w:r>
      <w:sdt>
        <w:sdtPr>
          <w:tag w:val="MENDELEY_CITATION_v3_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"/>
          <w:id w:val="-1150058855"/>
          <w:placeholder>
            <w:docPart w:val="B184D07382604B3A9D9862780F80A967"/>
          </w:placeholder>
        </w:sdtPr>
        <w:sdtContent>
          <w:r w:rsidR="00CC1788" w:rsidRPr="0053182F">
            <w:t>(ILO, 2024a)</w:t>
          </w:r>
        </w:sdtContent>
      </w:sdt>
      <w:r w:rsidRPr="0053182F">
        <w:t>. Moreover, this includes 8 out of 10 Fundamental Conventions, which are crucial for ensuring basic labour rights, such as the Forced Labour Convention and the Abolition of Forced Labour Convention. Additionally, Sri Lanka has ratified 3 of 4 Governance Conventions, which are vital for effective labour administration and inspection</w:t>
      </w:r>
      <w:r w:rsidR="00430A42" w:rsidRPr="0053182F">
        <w:t>.</w:t>
      </w:r>
      <w:r w:rsidRPr="0053182F">
        <w:t xml:space="preserve"> This makes Sri Lanka a preferred destination for ethical </w:t>
      </w:r>
      <w:r w:rsidR="00FE44A6" w:rsidRPr="0053182F">
        <w:t>sourcing of apparel and textiles</w:t>
      </w:r>
      <w:r w:rsidRPr="0053182F">
        <w:t xml:space="preserve">. The industry is distinguished by its fair wages, strict opposition to sweatshops, and prohibition of child labour. The "Garments Without Guilt" initiative, a </w:t>
      </w:r>
      <w:r w:rsidR="004A17DF" w:rsidRPr="0053182F">
        <w:t>homegrown code exceeding industry compliance standard</w:t>
      </w:r>
      <w:r w:rsidR="00BB0AEE" w:rsidRPr="0053182F">
        <w:t>s</w:t>
      </w:r>
      <w:r w:rsidRPr="0053182F">
        <w:t>, embodies this commitment to ethical business and manufacturing practices. This initiative ensures that Sri Lankan apparel is free from discrimination, sweatshop practices, and child labour.</w:t>
      </w:r>
    </w:p>
    <w:p w14:paraId="1B6EE904" w14:textId="1BBF6438" w:rsidR="00144866" w:rsidRPr="0053182F" w:rsidRDefault="00144866" w:rsidP="00144866">
      <w:pPr>
        <w:spacing w:after="0" w:line="480" w:lineRule="auto"/>
        <w:ind w:firstLine="720"/>
        <w:jc w:val="both"/>
      </w:pPr>
      <w:r w:rsidRPr="0053182F">
        <w:t xml:space="preserve">Despite these strategic advantages, Sri Lanka's economy has faced severe challenges, culminating in a declaration of bankruptcy in 2022 </w:t>
      </w:r>
      <w:sdt>
        <w:sdtPr>
          <w:tag w:val="MENDELEY_CITATION_v3_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"/>
          <w:id w:val="-1125855938"/>
          <w:placeholder>
            <w:docPart w:val="B184D07382604B3A9D9862780F80A967"/>
          </w:placeholder>
        </w:sdtPr>
        <w:sdtContent>
          <w:r w:rsidR="00CC1788" w:rsidRPr="0053182F">
            <w:t>(CNN World, 2022)</w:t>
          </w:r>
        </w:sdtContent>
      </w:sdt>
      <w:r w:rsidRPr="0053182F">
        <w:t xml:space="preserve">. Triggered by a shortage of foreign currency reserves, poor fiscal management, and the economic impact of the COVID-19 pandemic, the crisis severely limited the country’s ability to import essential goods and deterred potential investors. The depletion of foreign reserves and high levels of debt have further exacerbated the situation, impacting trade and investment </w:t>
      </w:r>
      <w:sdt>
        <w:sdtPr>
          <w:tag w:val="MENDELEY_CITATION_v3_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"/>
          <w:id w:val="497855859"/>
          <w:placeholder>
            <w:docPart w:val="B184D07382604B3A9D9862780F80A967"/>
          </w:placeholder>
        </w:sdtPr>
        <w:sdtContent>
          <w:r w:rsidR="00CC1788" w:rsidRPr="0053182F">
            <w:t>(CNN World, 2022)</w:t>
          </w:r>
        </w:sdtContent>
      </w:sdt>
      <w:r w:rsidRPr="0053182F">
        <w:t>. In response to the economic crisis, Sri Lanka has been engaging with international financial institutions</w:t>
      </w:r>
      <w:r w:rsidR="00FE44A6" w:rsidRPr="0053182F">
        <w:t>, such as the International Monetary Fund (IMF), to secure bailout packages and implement austerity measures to stabili</w:t>
      </w:r>
      <w:r w:rsidR="00EA1FD4" w:rsidRPr="0053182F">
        <w:t>s</w:t>
      </w:r>
      <w:r w:rsidRPr="0053182F">
        <w:t xml:space="preserve">e </w:t>
      </w:r>
      <w:r w:rsidR="003B1F0C" w:rsidRPr="0053182F">
        <w:t xml:space="preserve">the </w:t>
      </w:r>
      <w:r w:rsidRPr="0053182F">
        <w:t xml:space="preserve">economy </w:t>
      </w:r>
      <w:sdt>
        <w:sdtPr>
          <w:tag w:val="MENDELEY_CITATION_v3_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"/>
          <w:id w:val="392704951"/>
          <w:placeholder>
            <w:docPart w:val="B184D07382604B3A9D9862780F80A967"/>
          </w:placeholder>
        </w:sdtPr>
        <w:sdtContent>
          <w:r w:rsidR="00CC1788" w:rsidRPr="0053182F">
            <w:t>(International Monetary Fund, 2023)</w:t>
          </w:r>
        </w:sdtContent>
      </w:sdt>
      <w:r w:rsidRPr="0053182F">
        <w:t>. Despite these efforts, the economic instability has highlighted the need for robust corporate governance practices and greater protection of workers' rights.</w:t>
      </w:r>
    </w:p>
    <w:p w14:paraId="08EE0929" w14:textId="0E1879F1" w:rsidR="00144866" w:rsidRPr="0053182F" w:rsidRDefault="00FE44A6" w:rsidP="00144866">
      <w:pPr>
        <w:spacing w:after="0" w:line="480" w:lineRule="auto"/>
        <w:ind w:firstLine="720"/>
        <w:jc w:val="both"/>
      </w:pPr>
      <w:r w:rsidRPr="0053182F">
        <w:t>Despite</w:t>
      </w:r>
      <w:r w:rsidR="00144866" w:rsidRPr="0053182F">
        <w:t xml:space="preserve"> the economic turmoil, Sri Lanka's strategic location remains a key asset. The country continues to attract investment in logistics and port development, with projects like the Colombo International Financial City (CIFC) aiming to enhance its role as a regional logistics hub. However, for these developments to be sustainable and beneficial to all stakeholders, including workers, it is imperative to address the underlying issues in corporate governance and labour rights.</w:t>
      </w:r>
    </w:p>
    <w:p w14:paraId="341A70D9" w14:textId="0731BFA6" w:rsidR="00144866" w:rsidRPr="0053182F" w:rsidRDefault="00144866" w:rsidP="00144866">
      <w:pPr>
        <w:pStyle w:val="Heading3"/>
      </w:pPr>
      <w:bookmarkStart w:id="149" w:name="_Toc172885827"/>
      <w:bookmarkStart w:id="150" w:name="_Toc215651814"/>
      <w:bookmarkStart w:id="151" w:name="_Toc218357108"/>
      <w:r w:rsidRPr="0053182F">
        <w:t>3.</w:t>
      </w:r>
      <w:r w:rsidR="004B319B" w:rsidRPr="0053182F">
        <w:t>8</w:t>
      </w:r>
      <w:r w:rsidRPr="0053182F">
        <w:t>.2 Introduction of labour law and industrial relations in Sri Lanka</w:t>
      </w:r>
      <w:bookmarkEnd w:id="149"/>
      <w:bookmarkEnd w:id="150"/>
      <w:bookmarkEnd w:id="151"/>
    </w:p>
    <w:p w14:paraId="7568041A" w14:textId="6DCBFBC8" w:rsidR="00144866" w:rsidRPr="0053182F" w:rsidRDefault="00144866" w:rsidP="00144866">
      <w:pPr>
        <w:pStyle w:val="Heading4"/>
        <w:rPr>
          <w:rFonts w:cs="Times New Roman"/>
        </w:rPr>
      </w:pPr>
      <w:bookmarkStart w:id="152" w:name="_Toc172885828"/>
      <w:r w:rsidRPr="0053182F">
        <w:rPr>
          <w:rFonts w:cs="Times New Roman"/>
        </w:rPr>
        <w:t>3.</w:t>
      </w:r>
      <w:r w:rsidR="004B319B" w:rsidRPr="0053182F">
        <w:rPr>
          <w:rFonts w:cs="Times New Roman"/>
        </w:rPr>
        <w:t>8</w:t>
      </w:r>
      <w:r w:rsidRPr="0053182F">
        <w:rPr>
          <w:rFonts w:cs="Times New Roman"/>
        </w:rPr>
        <w:t>.2.1 Historical context</w:t>
      </w:r>
      <w:bookmarkEnd w:id="152"/>
      <w:r w:rsidRPr="0053182F">
        <w:rPr>
          <w:rFonts w:cs="Times New Roman"/>
        </w:rPr>
        <w:t xml:space="preserve">  </w:t>
      </w:r>
    </w:p>
    <w:p w14:paraId="45D9AF5A" w14:textId="77777777" w:rsidR="00CC2D32" w:rsidRPr="0053182F" w:rsidRDefault="00CC2D32" w:rsidP="00CC2D32"/>
    <w:p w14:paraId="32726064" w14:textId="48827BB5" w:rsidR="00144866" w:rsidRPr="0053182F" w:rsidRDefault="00144866" w:rsidP="00144866">
      <w:pPr>
        <w:spacing w:after="0" w:line="480" w:lineRule="auto"/>
        <w:ind w:firstLine="720"/>
        <w:jc w:val="both"/>
      </w:pPr>
      <w:r w:rsidRPr="0053182F">
        <w:rPr>
          <w:rFonts w:eastAsia="Times New Roman"/>
          <w:lang w:eastAsia="en-GB"/>
        </w:rPr>
        <w:t xml:space="preserve">The evolution of labour laws in Sri Lanka reflects the country’s transition from colonial influences </w:t>
      </w:r>
      <w:r w:rsidR="00F2770F" w:rsidRPr="0053182F">
        <w:rPr>
          <w:rFonts w:eastAsia="Times New Roman"/>
          <w:lang w:eastAsia="en-GB"/>
        </w:rPr>
        <w:t>to</w:t>
      </w:r>
      <w:r w:rsidR="00A955F8" w:rsidRPr="0053182F">
        <w:rPr>
          <w:rFonts w:eastAsia="Times New Roman"/>
          <w:lang w:eastAsia="en-GB"/>
        </w:rPr>
        <w:t xml:space="preserve"> an independent legal framework aligned w</w:t>
      </w:r>
      <w:r w:rsidRPr="0053182F">
        <w:rPr>
          <w:rFonts w:eastAsia="Times New Roman"/>
          <w:lang w:eastAsia="en-GB"/>
        </w:rPr>
        <w:t xml:space="preserve">ith international standards </w:t>
      </w:r>
      <w:sdt>
        <w:sdtPr>
          <w:rPr>
            <w:rFonts w:eastAsia="Times New Roman"/>
            <w:lang w:eastAsia="en-GB"/>
          </w:rPr>
          <w:tag w:val="MENDELEY_CITATION_v3_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"/>
          <w:id w:val="852307712"/>
          <w:placeholder>
            <w:docPart w:val="B184D07382604B3A9D9862780F80A967"/>
          </w:placeholder>
        </w:sdtPr>
        <w:sdtEndPr>
          <w:rPr>
            <w:lang w:eastAsia="en-US"/>
          </w:rPr>
        </w:sdtEndPr>
        <w:sdtContent>
          <w:r w:rsidR="00CC1788" w:rsidRPr="0053182F">
            <w:rPr>
              <w:rFonts w:eastAsia="Times New Roman"/>
            </w:rPr>
            <w:t>(ILO, 2024c)</w:t>
          </w:r>
        </w:sdtContent>
      </w:sdt>
      <w:r w:rsidRPr="0053182F">
        <w:rPr>
          <w:rFonts w:eastAsia="Times New Roman"/>
        </w:rPr>
        <w:t>.</w:t>
      </w:r>
      <w:r w:rsidRPr="0053182F">
        <w:rPr>
          <w:rFonts w:eastAsia="Times New Roman"/>
          <w:lang w:eastAsia="en-GB"/>
        </w:rPr>
        <w:t xml:space="preserve"> Initially, Sri Lankan labour laws were heavily influenced by early English judicial decisions characterised by the Master and Servant relationship. This paradigm primarily served </w:t>
      </w:r>
      <w:r w:rsidR="00A955F8" w:rsidRPr="0053182F">
        <w:rPr>
          <w:rFonts w:eastAsia="Times New Roman"/>
          <w:lang w:eastAsia="en-GB"/>
        </w:rPr>
        <w:t>employers' interest</w:t>
      </w:r>
      <w:r w:rsidRPr="0053182F">
        <w:rPr>
          <w:rFonts w:eastAsia="Times New Roman"/>
          <w:lang w:eastAsia="en-GB"/>
        </w:rPr>
        <w:t>s, offering minimal protection to workers. Over time, as Sri Lanka became a</w:t>
      </w:r>
      <w:r w:rsidR="00A955F8" w:rsidRPr="0053182F">
        <w:rPr>
          <w:rFonts w:eastAsia="Times New Roman"/>
          <w:lang w:eastAsia="en-GB"/>
        </w:rPr>
        <w:t>n ILO member</w:t>
      </w:r>
      <w:r w:rsidRPr="0053182F">
        <w:rPr>
          <w:rFonts w:eastAsia="Times New Roman"/>
          <w:lang w:eastAsia="en-GB"/>
        </w:rPr>
        <w:t xml:space="preserve">, the country began to reform its labour laws to meet international standards and promote decent work for all employees </w:t>
      </w:r>
      <w:sdt>
        <w:sdtPr>
          <w:rPr>
            <w:rFonts w:eastAsia="Times New Roman"/>
            <w:lang w:eastAsia="en-GB"/>
          </w:rPr>
          <w:tag w:val="MENDELEY_CITATION_v3_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"/>
          <w:id w:val="861856880"/>
          <w:placeholder>
            <w:docPart w:val="B184D07382604B3A9D9862780F80A967"/>
          </w:placeholder>
        </w:sdtPr>
        <w:sdtEndPr>
          <w:rPr>
            <w:lang w:eastAsia="en-US"/>
          </w:rPr>
        </w:sdtEndPr>
        <w:sdtContent>
          <w:r w:rsidR="00CC1788" w:rsidRPr="0053182F">
            <w:rPr>
              <w:rFonts w:eastAsia="Times New Roman"/>
            </w:rPr>
            <w:t>(ILO, 2024c)</w:t>
          </w:r>
        </w:sdtContent>
      </w:sdt>
      <w:r w:rsidRPr="0053182F">
        <w:rPr>
          <w:rFonts w:eastAsia="Times New Roman"/>
        </w:rPr>
        <w:t>.</w:t>
      </w:r>
      <w:r w:rsidRPr="0053182F">
        <w:rPr>
          <w:rFonts w:eastAsia="Times New Roman"/>
          <w:lang w:eastAsia="en-GB"/>
        </w:rPr>
        <w:t xml:space="preserve"> These reforms aimed to protect workers’ rights, ensure fair treatment, and improve working conditions across various sectors of the economy.</w:t>
      </w:r>
    </w:p>
    <w:p w14:paraId="68E8BB69" w14:textId="6A95B153" w:rsidR="00144866" w:rsidRPr="0053182F" w:rsidRDefault="00144866" w:rsidP="00144866">
      <w:pPr>
        <w:pStyle w:val="Heading4"/>
        <w:rPr>
          <w:rFonts w:cs="Times New Roman"/>
          <w:lang w:eastAsia="en-GB"/>
        </w:rPr>
      </w:pPr>
      <w:bookmarkStart w:id="153" w:name="_Toc172885829"/>
      <w:r w:rsidRPr="0053182F">
        <w:rPr>
          <w:rFonts w:cs="Times New Roman"/>
          <w:lang w:eastAsia="en-GB"/>
        </w:rPr>
        <w:t>3.</w:t>
      </w:r>
      <w:r w:rsidR="004B319B" w:rsidRPr="0053182F">
        <w:rPr>
          <w:rFonts w:cs="Times New Roman"/>
          <w:lang w:eastAsia="en-GB"/>
        </w:rPr>
        <w:t>8</w:t>
      </w:r>
      <w:r w:rsidRPr="0053182F">
        <w:rPr>
          <w:rFonts w:cs="Times New Roman"/>
          <w:lang w:eastAsia="en-GB"/>
        </w:rPr>
        <w:t>.2.2. Overview of Key Legislation</w:t>
      </w:r>
      <w:bookmarkEnd w:id="153"/>
      <w:r w:rsidRPr="0053182F">
        <w:rPr>
          <w:rFonts w:cs="Times New Roman"/>
          <w:lang w:eastAsia="en-GB"/>
        </w:rPr>
        <w:t xml:space="preserve"> </w:t>
      </w:r>
    </w:p>
    <w:p w14:paraId="685FA4B0" w14:textId="77777777" w:rsidR="00144866" w:rsidRPr="0053182F" w:rsidRDefault="00144866" w:rsidP="00144866">
      <w:pPr>
        <w:rPr>
          <w:lang w:eastAsia="en-GB"/>
        </w:rPr>
      </w:pPr>
    </w:p>
    <w:p w14:paraId="436A983E" w14:textId="7B8260A8" w:rsidR="00144866" w:rsidRPr="0053182F" w:rsidRDefault="00144866" w:rsidP="00144866">
      <w:pPr>
        <w:spacing w:after="0" w:line="480" w:lineRule="auto"/>
        <w:ind w:firstLine="720"/>
        <w:jc w:val="both"/>
      </w:pPr>
      <w:r w:rsidRPr="0053182F">
        <w:rPr>
          <w:rFonts w:eastAsia="Times New Roman"/>
          <w:lang w:eastAsia="en-GB"/>
        </w:rPr>
        <w:t xml:space="preserve">Sri Lankan labour laws are divided into various categories to address different aspects of workers’ rights and welfare. These categories include social security, welfare, occupational safety, labour relations, foreign employment, and terms and conditions of employment. </w:t>
      </w:r>
      <w:r w:rsidRPr="0053182F">
        <w:rPr>
          <w:rFonts w:eastAsia="Times New Roman"/>
        </w:rPr>
        <w:t>The main statutes governing these areas are the Shop and Office Employees Act of 1954</w:t>
      </w:r>
      <w:r w:rsidRPr="0053182F">
        <w:rPr>
          <w:rStyle w:val="FootnoteReference"/>
          <w:rFonts w:eastAsia="Times New Roman"/>
        </w:rPr>
        <w:footnoteReference w:id="15"/>
      </w:r>
      <w:r w:rsidRPr="0053182F">
        <w:rPr>
          <w:rFonts w:eastAsia="Times New Roman"/>
        </w:rPr>
        <w:t>, the Wages Board Ordinance of 1941</w:t>
      </w:r>
      <w:r w:rsidRPr="0053182F">
        <w:rPr>
          <w:rStyle w:val="FootnoteReference"/>
          <w:rFonts w:eastAsia="Times New Roman"/>
        </w:rPr>
        <w:footnoteReference w:id="16"/>
      </w:r>
      <w:r w:rsidRPr="0053182F">
        <w:rPr>
          <w:rFonts w:eastAsia="Times New Roman"/>
        </w:rPr>
        <w:t>, and the Factories Ordinance of 1950</w:t>
      </w:r>
      <w:r w:rsidRPr="0053182F">
        <w:rPr>
          <w:rStyle w:val="FootnoteReference"/>
          <w:rFonts w:eastAsia="Times New Roman"/>
        </w:rPr>
        <w:footnoteReference w:id="17"/>
      </w:r>
      <w:r w:rsidRPr="0053182F">
        <w:rPr>
          <w:rFonts w:eastAsia="Times New Roman"/>
        </w:rPr>
        <w:t>.</w:t>
      </w:r>
      <w:r w:rsidRPr="0053182F">
        <w:rPr>
          <w:rFonts w:eastAsia="Times New Roman"/>
          <w:lang w:eastAsia="en-GB"/>
        </w:rPr>
        <w:t xml:space="preserve"> Each of these laws is designed to meet the needs of specific sectors and ensure employees' well-being.</w:t>
      </w:r>
    </w:p>
    <w:p w14:paraId="6B5F47FB" w14:textId="60C66E27" w:rsidR="00144866" w:rsidRPr="0053182F" w:rsidRDefault="00144866" w:rsidP="00242F4C">
      <w:pPr>
        <w:pStyle w:val="Heading2"/>
        <w:rPr>
          <w:rStyle w:val="Heading2Char"/>
          <w:b/>
        </w:rPr>
      </w:pPr>
      <w:bookmarkStart w:id="154" w:name="_Toc215651815"/>
      <w:bookmarkStart w:id="155" w:name="_Toc218357109"/>
      <w:r w:rsidRPr="0053182F">
        <w:rPr>
          <w:rStyle w:val="Heading2Char"/>
          <w:b/>
        </w:rPr>
        <w:t>3.</w:t>
      </w:r>
      <w:r w:rsidR="00C40441" w:rsidRPr="0053182F">
        <w:rPr>
          <w:rStyle w:val="Heading2Char"/>
          <w:b/>
        </w:rPr>
        <w:t>9</w:t>
      </w:r>
      <w:r w:rsidRPr="0053182F">
        <w:rPr>
          <w:rStyle w:val="Heading2Char"/>
          <w:b/>
        </w:rPr>
        <w:t xml:space="preserve"> Summary</w:t>
      </w:r>
      <w:bookmarkEnd w:id="154"/>
      <w:bookmarkEnd w:id="155"/>
    </w:p>
    <w:p w14:paraId="415950A2" w14:textId="12D93B4F" w:rsidR="00144866" w:rsidRPr="0053182F" w:rsidRDefault="00144866" w:rsidP="00144866">
      <w:pPr>
        <w:spacing w:after="0" w:line="480" w:lineRule="auto"/>
        <w:ind w:firstLine="720"/>
        <w:jc w:val="both"/>
        <w:rPr>
          <w:rFonts w:eastAsia="Times New Roman"/>
        </w:rPr>
      </w:pPr>
      <w:r w:rsidRPr="0053182F">
        <w:rPr>
          <w:rFonts w:eastAsia="Times New Roman"/>
        </w:rPr>
        <w:t xml:space="preserve">The literature review highlights the insufficiency of studies that focus on the importance of businesses respecting and promoting better BHR practices, discusses the potential risks and challenges associated with business activities, and explores the role of CSR in eliminating negative impacts on the micro and macro environments. </w:t>
      </w:r>
      <w:r w:rsidRPr="0053182F">
        <w:rPr>
          <w:rFonts w:eastAsia="Times New Roman"/>
          <w:highlight w:val="yellow"/>
        </w:rPr>
        <w:t>Appendix Table A</w:t>
      </w:r>
      <w:r w:rsidR="00920E0D" w:rsidRPr="0053182F">
        <w:rPr>
          <w:rFonts w:eastAsia="Times New Roman"/>
          <w:highlight w:val="yellow"/>
        </w:rPr>
        <w:t>4</w:t>
      </w:r>
      <w:r w:rsidRPr="0053182F">
        <w:rPr>
          <w:rFonts w:eastAsia="Times New Roman"/>
        </w:rPr>
        <w:t xml:space="preserve"> summari</w:t>
      </w:r>
      <w:r w:rsidR="00EA1FD4" w:rsidRPr="0053182F">
        <w:rPr>
          <w:rFonts w:eastAsia="Times New Roman"/>
        </w:rPr>
        <w:t>s</w:t>
      </w:r>
      <w:r w:rsidR="00A955F8" w:rsidRPr="0053182F">
        <w:rPr>
          <w:rFonts w:eastAsia="Times New Roman"/>
        </w:rPr>
        <w:t>es</w:t>
      </w:r>
      <w:r w:rsidRPr="0053182F">
        <w:rPr>
          <w:rFonts w:eastAsia="Times New Roman"/>
        </w:rPr>
        <w:t xml:space="preserve"> the gap in the prevailing literature. </w:t>
      </w:r>
      <w:r w:rsidRPr="0053182F">
        <w:rPr>
          <w:rFonts w:eastAsia="Palatino Linotype"/>
        </w:rPr>
        <w:t>Moreover, these deficiencies have led to th</w:t>
      </w:r>
      <w:r w:rsidR="0082599A" w:rsidRPr="0053182F">
        <w:rPr>
          <w:rFonts w:eastAsia="Palatino Linotype"/>
        </w:rPr>
        <w:t xml:space="preserve">is research, which seeks to fill </w:t>
      </w:r>
      <w:r w:rsidR="008A495F" w:rsidRPr="0053182F">
        <w:rPr>
          <w:rFonts w:eastAsia="Palatino Linotype"/>
        </w:rPr>
        <w:t>significant</w:t>
      </w:r>
      <w:r w:rsidR="0082599A" w:rsidRPr="0053182F">
        <w:rPr>
          <w:rFonts w:eastAsia="Palatino Linotype"/>
        </w:rPr>
        <w:t xml:space="preserve"> gaps by adding to the existing body of knowledge on the motivations behind</w:t>
      </w:r>
      <w:r w:rsidRPr="0053182F">
        <w:rPr>
          <w:rFonts w:eastAsia="Palatino Linotype"/>
        </w:rPr>
        <w:t xml:space="preserve"> MS practices. This chapter sought to summarise the literature on CMS practices</w:t>
      </w:r>
      <w:r w:rsidR="00A955F8" w:rsidRPr="0053182F">
        <w:rPr>
          <w:rFonts w:eastAsia="Palatino Linotype"/>
        </w:rPr>
        <w:t>, define key terms arising from the discussion, and introduce new definitions for CMS practices, which is a dilemma in the</w:t>
      </w:r>
      <w:r w:rsidRPr="0053182F">
        <w:rPr>
          <w:rFonts w:eastAsia="Palatino Linotype"/>
        </w:rPr>
        <w:t xml:space="preserve"> prevailing literature.  The emergence of concepts of MS and CMS practices w</w:t>
      </w:r>
      <w:r w:rsidR="00A955F8" w:rsidRPr="0053182F">
        <w:rPr>
          <w:rFonts w:eastAsia="Palatino Linotype"/>
        </w:rPr>
        <w:t>as</w:t>
      </w:r>
      <w:r w:rsidRPr="0053182F">
        <w:rPr>
          <w:rFonts w:eastAsia="Palatino Linotype"/>
        </w:rPr>
        <w:t xml:space="preserve"> briefly discussed in a cross-country context. In addition, </w:t>
      </w:r>
      <w:r w:rsidR="008A495F" w:rsidRPr="0053182F">
        <w:rPr>
          <w:rFonts w:eastAsia="Palatino Linotype"/>
        </w:rPr>
        <w:t>the literature on the impact of micro- and macro-level characteristics on MS elimination</w:t>
      </w:r>
      <w:r w:rsidRPr="0053182F">
        <w:rPr>
          <w:rFonts w:eastAsia="Palatino Linotype"/>
        </w:rPr>
        <w:t xml:space="preserve"> was considered. </w:t>
      </w:r>
      <w:r w:rsidRPr="0053182F">
        <w:rPr>
          <w:rFonts w:eastAsia="Times New Roman"/>
        </w:rPr>
        <w:t xml:space="preserve">Therefore, this research </w:t>
      </w:r>
      <w:r w:rsidR="00D71639" w:rsidRPr="0053182F">
        <w:rPr>
          <w:rFonts w:eastAsia="Times New Roman"/>
        </w:rPr>
        <w:t>provides evidence for</w:t>
      </w:r>
      <w:r w:rsidRPr="0053182F">
        <w:rPr>
          <w:rFonts w:eastAsia="Times New Roman"/>
        </w:rPr>
        <w:t xml:space="preserve"> evidence-based policies, promotes sustainable business practices, and ultimately contributes to the eradication of MS worldwide.</w:t>
      </w:r>
      <w:r w:rsidRPr="0053182F">
        <w:rPr>
          <w:rFonts w:eastAsia="Palatino Linotype"/>
        </w:rPr>
        <w:t xml:space="preserve"> </w:t>
      </w:r>
      <w:r w:rsidRPr="0053182F">
        <w:rPr>
          <w:rFonts w:eastAsia="Times New Roman"/>
        </w:rPr>
        <w:t xml:space="preserve">Also, this will shed light on sector-specific challenges and opportunities, ultimately contributing to the refinement of sustainability strategies within different business contexts. </w:t>
      </w:r>
      <w:r w:rsidR="00A955F8" w:rsidRPr="0053182F">
        <w:rPr>
          <w:rFonts w:eastAsia="Times New Roman"/>
        </w:rPr>
        <w:t>With these gaps in mind, the next chapter focuses on the study's theoretical framework</w:t>
      </w:r>
      <w:r w:rsidRPr="0053182F">
        <w:rPr>
          <w:rFonts w:eastAsia="Times New Roman"/>
        </w:rPr>
        <w:t>.</w:t>
      </w:r>
    </w:p>
    <w:p w14:paraId="6785CEBE" w14:textId="2A15C28A" w:rsidR="00242F4C" w:rsidRPr="0053182F" w:rsidRDefault="00242F4C" w:rsidP="00144866">
      <w:pPr>
        <w:spacing w:after="0" w:line="480" w:lineRule="auto"/>
        <w:ind w:firstLine="720"/>
        <w:jc w:val="both"/>
        <w:rPr>
          <w:rFonts w:eastAsia="Times New Roman"/>
        </w:rPr>
      </w:pPr>
      <w:r w:rsidRPr="0053182F">
        <w:rPr>
          <w:rFonts w:eastAsia="Times New Roman"/>
        </w:rPr>
        <w:br w:type="page"/>
      </w:r>
    </w:p>
    <w:p w14:paraId="1583A1E8" w14:textId="5B1BAC7A" w:rsidR="00746DC4" w:rsidRPr="0053182F" w:rsidRDefault="00746DC4" w:rsidP="009968AD">
      <w:pPr>
        <w:pStyle w:val="Heading1"/>
        <w:rPr>
          <w:rFonts w:cs="Times New Roman"/>
        </w:rPr>
      </w:pPr>
      <w:bookmarkStart w:id="156" w:name="_Toc215651816"/>
      <w:bookmarkStart w:id="157" w:name="_Toc218357110"/>
      <w:r w:rsidRPr="0053182F">
        <w:rPr>
          <w:rFonts w:cs="Times New Roman"/>
        </w:rPr>
        <w:t>Chapter 4: Theoretical Framework</w:t>
      </w:r>
      <w:bookmarkEnd w:id="156"/>
      <w:bookmarkEnd w:id="157"/>
    </w:p>
    <w:p w14:paraId="75E6FD25" w14:textId="77777777" w:rsidR="00746DC4" w:rsidRPr="0053182F" w:rsidRDefault="00746DC4" w:rsidP="00746DC4">
      <w:pPr>
        <w:pStyle w:val="Heading2"/>
        <w:rPr>
          <w:rFonts w:eastAsia="Times New Roman"/>
          <w:i/>
          <w:iCs w:val="0"/>
        </w:rPr>
      </w:pPr>
      <w:bookmarkStart w:id="158" w:name="_Toc215651817"/>
      <w:bookmarkStart w:id="159" w:name="_Toc218357111"/>
      <w:r w:rsidRPr="0053182F">
        <w:rPr>
          <w:rFonts w:eastAsia="Times New Roman"/>
        </w:rPr>
        <w:t>4.1 Introduction</w:t>
      </w:r>
      <w:bookmarkEnd w:id="158"/>
      <w:bookmarkEnd w:id="159"/>
    </w:p>
    <w:p w14:paraId="398A79AA" w14:textId="77777777" w:rsidR="00746DC4" w:rsidRPr="0053182F" w:rsidRDefault="00746DC4" w:rsidP="00746DC4">
      <w:pPr>
        <w:shd w:val="clear" w:color="auto" w:fill="FFFFFF" w:themeFill="background1"/>
        <w:spacing w:after="0" w:line="480" w:lineRule="auto"/>
        <w:ind w:right="95" w:firstLine="720"/>
        <w:jc w:val="both"/>
        <w:rPr>
          <w:rFonts w:eastAsia="Times New Roman"/>
          <w:color w:val="0F1115"/>
        </w:rPr>
      </w:pPr>
      <w:r w:rsidRPr="0053182F">
        <w:rPr>
          <w:rFonts w:eastAsia="Times New Roman"/>
          <w:color w:val="0F1115"/>
        </w:rPr>
        <w:t>The purpose of this chapter is to present the theoretical lens underpinning this study and to position it as the foundation for examining the multi-level governance of MS. In doing so, it establishes that the conceptual tools of NIT provide the most appropriate framework for analysing the institutional, organisational, and worker-level dynamics of MS across global supply chains.</w:t>
      </w:r>
    </w:p>
    <w:p w14:paraId="106A471A" w14:textId="76CB71D7" w:rsidR="00746DC4" w:rsidRPr="0053182F" w:rsidRDefault="00746DC4" w:rsidP="00746DC4">
      <w:pPr>
        <w:shd w:val="clear" w:color="auto" w:fill="FFFFFF" w:themeFill="background1"/>
        <w:spacing w:after="0" w:line="480" w:lineRule="auto"/>
        <w:ind w:right="95" w:firstLine="720"/>
        <w:jc w:val="both"/>
        <w:rPr>
          <w:rFonts w:eastAsia="Times New Roman"/>
          <w:color w:val="0F1115"/>
        </w:rPr>
      </w:pPr>
      <w:r w:rsidRPr="0053182F">
        <w:rPr>
          <w:rFonts w:eastAsia="Times New Roman"/>
          <w:color w:val="EE0000"/>
        </w:rPr>
        <w:t xml:space="preserve">This chapter also situates NIT within broader paradigmatic debates, drawing on </w:t>
      </w:r>
      <w:sdt>
        <w:sdtPr>
          <w:rPr>
            <w:rFonts w:eastAsia="Times New Roman"/>
          </w:rPr>
          <w:tag w:val="MENDELEY_CITATION_v3_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"/>
          <w:id w:val="1625197811"/>
          <w:placeholder>
            <w:docPart w:val="A6CA3C147ADD456687359C0C86C3EE7B"/>
          </w:placeholder>
        </w:sdtPr>
        <w:sdtContent>
          <w:r w:rsidR="00CC1788" w:rsidRPr="0053182F">
            <w:rPr>
              <w:rFonts w:eastAsia="Times New Roman"/>
            </w:rPr>
            <w:t>Burrell and Morgan’s (197</w:t>
          </w:r>
          <w:r w:rsidR="003D7F29" w:rsidRPr="0053182F">
            <w:rPr>
              <w:rFonts w:eastAsia="Times New Roman"/>
            </w:rPr>
            <w:t>9</w:t>
          </w:r>
          <w:r w:rsidR="00CC1788" w:rsidRPr="0053182F">
            <w:rPr>
              <w:rFonts w:eastAsia="Times New Roman"/>
            </w:rPr>
            <w:t>)</w:t>
          </w:r>
        </w:sdtContent>
      </w:sdt>
      <w:r w:rsidRPr="0053182F">
        <w:rPr>
          <w:rFonts w:eastAsia="Times New Roman"/>
        </w:rPr>
        <w:t xml:space="preserve"> </w:t>
      </w:r>
      <w:r w:rsidRPr="0053182F">
        <w:rPr>
          <w:rFonts w:eastAsia="Times New Roman"/>
          <w:color w:val="EE0000"/>
        </w:rPr>
        <w:t xml:space="preserve">framework of sociological paradigms to highlight how differing epistemological and ontological assumptions shape the interpretation of institutional myths. </w:t>
      </w:r>
      <w:r w:rsidRPr="0053182F">
        <w:rPr>
          <w:rFonts w:eastAsia="Times New Roman"/>
          <w:color w:val="0F1115"/>
        </w:rPr>
        <w:t xml:space="preserve">By positioning NIT against these paradigms, the discussion underscores the theoretical pluralism that informs contemporary analyses of institutions, while clarifying the lens through which symbolic compliance and legitimacy are understood. Their classification of organisational analysis into functionalist, interpretive, radical humanist, and radical structuralist paradigms provides a foundation for reflecting on the philosophical assumptions that inform this study. NIT, as applied here, is most closely aligned with the functionalist paradigm, which assumes that organisations respond to external institutional pressures in a rational and structured manner. However, by incorporating insights from critical accounts of institutional decoupling and governance failure, this study also acknowledges elements of the radical structuralist paradigm, particularly in </w:t>
      </w:r>
      <w:r w:rsidRPr="0053182F">
        <w:rPr>
          <w:rFonts w:eastAsia="Times New Roman"/>
          <w:color w:val="auto"/>
        </w:rPr>
        <w:t xml:space="preserve">relation to power asymmetries and the structural reproduction of exploitation in global supply chains. </w:t>
      </w:r>
      <w:r w:rsidR="009968AD" w:rsidRPr="0053182F">
        <w:rPr>
          <w:rFonts w:eastAsia="Times New Roman"/>
          <w:color w:val="auto"/>
        </w:rPr>
        <w:t>Drawing on Burrell and Morgan (197</w:t>
      </w:r>
      <w:r w:rsidR="003D7F29" w:rsidRPr="0053182F">
        <w:rPr>
          <w:rFonts w:eastAsia="Times New Roman"/>
          <w:color w:val="auto"/>
        </w:rPr>
        <w:t>9</w:t>
      </w:r>
      <w:r w:rsidR="009968AD" w:rsidRPr="0053182F">
        <w:rPr>
          <w:rFonts w:eastAsia="Times New Roman"/>
          <w:color w:val="auto"/>
        </w:rPr>
        <w:t>), this research aims to clarify both the strengths and the limits of NIT in explaining CMS, while recognising the need to connect institutional pressures with workers' lived experience</w:t>
      </w:r>
      <w:r w:rsidRPr="0053182F">
        <w:rPr>
          <w:rFonts w:eastAsia="Times New Roman"/>
          <w:color w:val="auto"/>
        </w:rPr>
        <w:t xml:space="preserve">s. </w:t>
      </w:r>
    </w:p>
    <w:p w14:paraId="583669D7" w14:textId="73DBA0F8" w:rsidR="00746DC4" w:rsidRPr="0053182F" w:rsidRDefault="00746DC4" w:rsidP="00746DC4">
      <w:pPr>
        <w:shd w:val="clear" w:color="auto" w:fill="FFFFFF" w:themeFill="background1"/>
        <w:spacing w:after="0" w:line="480" w:lineRule="auto"/>
        <w:ind w:right="95" w:firstLine="720"/>
        <w:jc w:val="both"/>
        <w:rPr>
          <w:rFonts w:eastAsia="Times New Roman"/>
          <w:color w:val="0F1115"/>
        </w:rPr>
      </w:pPr>
      <w:r w:rsidRPr="0053182F">
        <w:rPr>
          <w:rFonts w:eastAsia="Times New Roman"/>
          <w:color w:val="0F1115"/>
        </w:rPr>
        <w:t xml:space="preserve">The selection of NIT as the sole theoretical framework is deliberate and justified on three grounds. First, CMS is fundamentally shaped by institutional environments, where firms are compelled to respond to the formal and informal rules, norms, and expectations imposed by governments, international bodies, investors, and civil society </w:t>
      </w:r>
      <w:sdt>
        <w:sdtPr>
          <w:rPr>
            <w:rFonts w:eastAsia="Times New Roman"/>
          </w:rPr>
          <w:tag w:val="MENDELEY_CITATION_v3_eyJjaXRhdGlvbklEIjoiTUVOREVMRVlfQ0lUQVRJT05fNWRlNjcyNDQtZjI4Mi00MDBiLWEzN2MtMmIyYTA1YzRmYzk4IiwicHJvcGVydGllcyI6eyJub3RlSW5kZXgiOjB9LCJpc0VkaXRlZCI6ZmFsc2UsIm1hbnVhbE92ZXJyaWRlIjp7ImlzTWFudWFsbHlPdmVycmlkZGVuIjp0cnVlLCJjaXRlcHJvY1RleHQiOiIoRGlNYWdnaW8gYW5kIFBvd2VsbCwgMTk4MzsgR2VlbHMsIDIwMjA7IE1hcmtvZmYtTGVncmFuZCA8aT5ldCBhbC48L2k+LCAyMDI0KSIsIm1hbnVhbE92ZXJyaWRlVGV4dCI6IihEaW1hZ2dpbyBhbmQgUG93ZWxsLCAxOTgzOyBHZWVscywgMjAyMDsgTWFya29mZi1MZWdyYW5kLCBCb2NxdWV0IGFuZCBHYW5kaWEsIDIwMjQp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"/>
          <w:id w:val="-1888953169"/>
          <w:placeholder>
            <w:docPart w:val="927EC0973E954B36A36C07E87FEBD57A"/>
          </w:placeholder>
        </w:sdtPr>
        <w:sdtContent>
          <w:sdt>
            <w:sdtPr>
              <w:rPr>
                <w:rFonts w:eastAsia="Times New Roman"/>
              </w:rPr>
              <w:tag w:val="MENDELEY_CITATION_v3_eyJjaXRhdGlvbklEIjoiTUVOREVMRVlfQ0lUQVRJT05fNWRlNjcyNDQtZjI4Mi00MDBiLWEzN2MtMmIyYTA1YzRmYzk4IiwicHJvcGVydGllcyI6eyJub3RlSW5kZXgiOjB9LCJpc0VkaXRlZCI6ZmFsc2UsIm1hbnVhbE92ZXJyaWRlIjp7ImlzTWFudWFsbHlPdmVycmlkZGVuIjp0cnVlLCJjaXRlcHJvY1RleHQiOiIoRGlNYWdnaW8gYW5kIFBvd2VsbCwgMTk4MzsgR2VlbHMsIDIwMjA7IE1hcmtvZmYtTGVncmFuZCA8aT5ldCBhbC48L2k+LCAyMDI0KSIsIm1hbnVhbE92ZXJyaWRlVGV4dCI6IihEaW1hZ2dpbyBhbmQgUG93ZWxsLCAxOTgzOyBHZWVscywgMjAyMDsgTWFya29mZi1MZWdyYW5kLCBCb2NxdWV0IGFuZCBHYW5kaWEsIDIwMjQp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"/>
              <w:id w:val="1613090337"/>
              <w:placeholder>
                <w:docPart w:val="553D9B3E444F467C9C598CBE9318F1E8"/>
              </w:placeholder>
            </w:sdtPr>
            <w:sdtContent>
              <w:sdt>
                <w:sdtPr>
                  <w:tag w:val="MENDELEY_CITATION_v3_eyJjaXRhdGlvbklEIjoiTUVOREVMRVlfQ0lUQVRJT05fYTlkNjQwYjMtYmU1Ny00MjY3LWI1YjgtYTkxOTNmMTA3ZWZjIiwicHJvcGVydGllcyI6eyJub3RlSW5kZXgiOjB9LCJpc0VkaXRlZCI6ZmFsc2UsIm1hbnVhbE92ZXJyaWRlIjp7ImlzTWFudWFsbHlPdmVycmlkZGVuIjpmYWxzZSwiY2l0ZXByb2NUZXh0IjoiKERpTWFnZ2lvIGFuZCBQb3dlbGwsIDE5ODM7IEdlZWxzLCAyMDIwOyBNYXJrb2ZmLUxlZ3JhbmQgPGk+ZXQgYWwuPC9pPiwgMjAyNC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"/>
                  <w:id w:val="1873407846"/>
                  <w:placeholder>
                    <w:docPart w:val="405C7EB98E1A44539BF2027FA00B3465"/>
                  </w:placeholder>
                </w:sdtPr>
                <w:sdtContent>
                  <w:r w:rsidR="008024CE" w:rsidRPr="0053182F">
                    <w:rPr>
                      <w:rFonts w:eastAsia="Times New Roman"/>
                    </w:rPr>
                    <w:t xml:space="preserve">(DiMaggio and Powell, 1983; Geels, 2020; Markoff-Legrand </w:t>
                  </w:r>
                  <w:r w:rsidR="008024CE" w:rsidRPr="0053182F">
                    <w:rPr>
                      <w:rFonts w:eastAsia="Times New Roman"/>
                      <w:i/>
                      <w:iCs/>
                    </w:rPr>
                    <w:t>et al.</w:t>
                  </w:r>
                  <w:r w:rsidR="008024CE" w:rsidRPr="0053182F">
                    <w:rPr>
                      <w:rFonts w:eastAsia="Times New Roman"/>
                    </w:rPr>
                    <w:t>, 2024)</w:t>
                  </w:r>
                </w:sdtContent>
              </w:sdt>
            </w:sdtContent>
          </w:sdt>
        </w:sdtContent>
      </w:sdt>
      <w:r w:rsidRPr="0053182F">
        <w:rPr>
          <w:rFonts w:eastAsia="Times New Roman"/>
        </w:rPr>
        <w:t xml:space="preserve">. </w:t>
      </w:r>
      <w:r w:rsidRPr="0053182F">
        <w:rPr>
          <w:rFonts w:eastAsia="Times New Roman"/>
          <w:color w:val="0F1115"/>
        </w:rPr>
        <w:t xml:space="preserve">NIT, with its emphasis on legitimacy-seeking behaviour and institutional pressures, offers a robust lens for understanding why firms adopt especially SGIs and how </w:t>
      </w:r>
      <w:r w:rsidRPr="0053182F">
        <w:rPr>
          <w:rFonts w:eastAsia="Times New Roman"/>
          <w:color w:val="auto"/>
        </w:rPr>
        <w:t xml:space="preserve">these initiatives are often motivated by the pursuit of external legitimacy rather than substantive reform </w:t>
      </w:r>
      <w:sdt>
        <w:sdtPr>
          <w:rPr>
            <w:rFonts w:eastAsia="Times New Roman"/>
          </w:rPr>
          <w:tag w:val="MENDELEY_CITATION_v3_eyJjaXRhdGlvbklEIjoiTUVOREVMRVlfQ0lUQVRJT05fYTQ2MmI3ZWQtNWViZC00MGMxLWI1YjItOTlmNmQ4ZDc2ODIwIiwicHJvcGVydGllcyI6eyJub3RlSW5kZXgiOjB9LCJpc0VkaXRlZCI6ZmFsc2UsIm1hbnVhbE92ZXJyaWRlIjp7ImlzTWFudWFsbHlPdmVycmlkZGVuIjp0cnVlLCJjaXRlcHJvY1RleHQiOiIoRGlNYWdnaW8gYW5kIFBvd2VsbCwgMTk4MzsgS29zdG92YSBhbmQgUm90aCwgMjAwMjsgTWV5ZXIgYW5kIFJvd2FuLCAxOTc3KSIsIm1hbnVhbE92ZXJyaWRlVGV4dCI6IihNZXllciBhbmQgUm93YW4sIDE5Nzc7IERpbWFnZ2lvIGFuZCBQb3dlbGwsIDE5ODM7IEtvc3RvdmEgYW5kIFJvdGgsIDIwMDIp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"/>
          <w:id w:val="938876510"/>
          <w:placeholder>
            <w:docPart w:val="366C8FAAE48C47248CD7728B657AA205"/>
          </w:placeholder>
        </w:sdtPr>
        <w:sdtContent>
          <w:r w:rsidR="00CC1788" w:rsidRPr="0053182F">
            <w:rPr>
              <w:rFonts w:eastAsia="Times New Roman"/>
            </w:rPr>
            <w:t>(Meyer and Rowan, 1977; Di</w:t>
          </w:r>
          <w:r w:rsidR="009968AD" w:rsidRPr="0053182F">
            <w:rPr>
              <w:rFonts w:eastAsia="Times New Roman"/>
            </w:rPr>
            <w:t>M</w:t>
          </w:r>
          <w:r w:rsidR="00CC1788" w:rsidRPr="0053182F">
            <w:rPr>
              <w:rFonts w:eastAsia="Times New Roman"/>
            </w:rPr>
            <w:t>aggio and Powell, 1983; Kostova and Roth, 2002)</w:t>
          </w:r>
        </w:sdtContent>
      </w:sdt>
      <w:r w:rsidRPr="0053182F">
        <w:rPr>
          <w:rFonts w:eastAsia="Times New Roman"/>
        </w:rPr>
        <w:t xml:space="preserve">. </w:t>
      </w:r>
    </w:p>
    <w:p w14:paraId="3A873C31" w14:textId="75AFCE16" w:rsidR="00746DC4" w:rsidRPr="0053182F" w:rsidRDefault="00746DC4" w:rsidP="00746DC4">
      <w:pPr>
        <w:shd w:val="clear" w:color="auto" w:fill="FFFFFF" w:themeFill="background1"/>
        <w:spacing w:after="0" w:line="480" w:lineRule="auto"/>
        <w:ind w:right="95" w:firstLine="720"/>
        <w:jc w:val="both"/>
        <w:rPr>
          <w:rFonts w:eastAsia="Times New Roman"/>
          <w:color w:val="0F1115"/>
        </w:rPr>
      </w:pPr>
      <w:r w:rsidRPr="0053182F">
        <w:rPr>
          <w:rFonts w:eastAsia="Times New Roman"/>
          <w:color w:val="0F1115"/>
        </w:rPr>
        <w:t xml:space="preserve"> Second, NIT provides conceptual clarity in distinguishing between coercive pressures (e.g., laws such as the UK MSA 2015 or proposed EU CSDDD), normative pressures (e.g., professional standards, industry norms, NGO advocacy), and mimetic pressures (e.g., imitation of peers or industry leaders). These categories are directly applicable to </w:t>
      </w:r>
      <w:r w:rsidR="005D24B9" w:rsidRPr="0053182F">
        <w:rPr>
          <w:rFonts w:eastAsia="Times New Roman"/>
          <w:color w:val="0F1115"/>
        </w:rPr>
        <w:t xml:space="preserve">CMS governance, </w:t>
      </w:r>
      <w:r w:rsidRPr="0053182F">
        <w:rPr>
          <w:rFonts w:eastAsia="Times New Roman"/>
          <w:color w:val="0F1115"/>
        </w:rPr>
        <w:t xml:space="preserve">where firms frequently adopt AMS policies, CSR structures, or disclosures in response to these institutional forces </w:t>
      </w:r>
      <w:sdt>
        <w:sdtPr>
          <w:rPr>
            <w:rFonts w:eastAsia="Times New Roman"/>
          </w:rPr>
          <w:tag w:val="MENDELEY_CITATION_v3_eyJjaXRhdGlvbklEIjoiTUVOREVMRVlfQ0lUQVRJT05fNDY5ODJhNzUtMTM0ZC00MzI5LWIxMzctMWYzNDE0Y2NiMjQ1IiwicHJvcGVydGllcyI6eyJub3RlSW5kZXgiOjB9LCJpc0VkaXRlZCI6ZmFsc2UsIm1hbnVhbE92ZXJyaWRlIjp7ImlzTWFudWFsbHlPdmVycmlkZGVuIjp0cnVlLCJjaXRlcHJvY1RleHQiOiIoU2F5YXJpIGFuZCBNYXJjdW0sIDIwMjI7IFNjb3R0LCAyMDEzKSIsIm1hbnVhbE92ZXJyaWRlVGV4dCI6IihTYXlhcmkgYW5kIE1hcmN1bSwgMjAyMmE7IFNjb3R0LCAyMDEzKS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"/>
          <w:id w:val="-384870501"/>
          <w:placeholder>
            <w:docPart w:val="366C8FAAE48C47248CD7728B657AA205"/>
          </w:placeholder>
        </w:sdtPr>
        <w:sdtContent>
          <w:r w:rsidR="00CC1788" w:rsidRPr="0053182F">
            <w:rPr>
              <w:rFonts w:eastAsia="Times New Roman"/>
            </w:rPr>
            <w:t>(Sayari and Marcum, 2022a; Scott, 2013)</w:t>
          </w:r>
        </w:sdtContent>
      </w:sdt>
      <w:r w:rsidRPr="0053182F">
        <w:rPr>
          <w:rFonts w:eastAsia="Times New Roman"/>
          <w:color w:val="0F1115"/>
        </w:rPr>
        <w:t xml:space="preserve">. Third, NIT sheds light on the phenomenon of institutional decoupling, whereby formal structures and policies exist primarily to satisfy legitimacy requirements but are only weakly connected to actual practices—an issue central to the persistence of exploitation in supply chains </w:t>
      </w:r>
      <w:sdt>
        <w:sdtPr>
          <w:rPr>
            <w:rFonts w:eastAsia="Times New Roman"/>
          </w:rPr>
          <w:tag w:val="MENDELEY_CITATION_v3_eyJjaXRhdGlvbklEIjoiTUVOREVMRVlfQ0lUQVRJT05fNWMxZTEyYzktYTA5MC00NTdiLWFhODQtNTU2M2JhMWY1ZTk0IiwicHJvcGVydGllcyI6eyJub3RlSW5kZXgiOjB9LCJpc0VkaXRlZCI6ZmFsc2UsIm1hbnVhbE92ZXJyaWRlIjp7ImlzTWFudWFsbHlPdmVycmlkZGVuIjpmYWxzZSwiY2l0ZXByb2NUZXh0IjoiKEJyb21sZXkgYW5kIFBvd2VsbCwgMjAxMjsgSW9hbm5vdSBhbmQgU2VyYWZlaW0sIDIwMTJiOyBNZXllciBhbmQgUm93YW4sIDE5Nzc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"/>
          <w:id w:val="-1739860594"/>
          <w:placeholder>
            <w:docPart w:val="366C8FAAE48C47248CD7728B657AA205"/>
          </w:placeholder>
        </w:sdtPr>
        <w:sdtContent>
          <w:r w:rsidR="00CC1788" w:rsidRPr="0053182F">
            <w:rPr>
              <w:rFonts w:eastAsia="Times New Roman"/>
            </w:rPr>
            <w:t>(Bromley and Powell, 2012; Ioannou and Serafeim, 2012b; Meyer and Rowan, 1977)</w:t>
          </w:r>
        </w:sdtContent>
      </w:sdt>
      <w:r w:rsidRPr="0053182F">
        <w:rPr>
          <w:rFonts w:eastAsia="Times New Roman"/>
        </w:rPr>
        <w:t>.</w:t>
      </w:r>
    </w:p>
    <w:p w14:paraId="711CEA88" w14:textId="2BB1F770" w:rsidR="00746DC4" w:rsidRPr="0053182F" w:rsidRDefault="00746DC4" w:rsidP="00746DC4">
      <w:pPr>
        <w:shd w:val="clear" w:color="auto" w:fill="FFFFFF" w:themeFill="background1"/>
        <w:spacing w:after="0" w:line="480" w:lineRule="auto"/>
        <w:ind w:right="95" w:firstLine="720"/>
        <w:jc w:val="both"/>
        <w:rPr>
          <w:rFonts w:eastAsia="Times New Roman"/>
          <w:color w:val="auto"/>
        </w:rPr>
      </w:pPr>
      <w:r w:rsidRPr="0053182F">
        <w:rPr>
          <w:rFonts w:eastAsia="Times New Roman"/>
          <w:color w:val="0F1115"/>
        </w:rPr>
        <w:t xml:space="preserve">Within this study, NIT is applied to integrate the three analytical levels. At the macro level, it explains how the quality of institutional environments and development indicators shape coercive and normative pressures for CMS regulation </w:t>
      </w:r>
      <w:sdt>
        <w:sdtPr>
          <w:rPr>
            <w:rFonts w:eastAsia="Times New Roman"/>
          </w:rPr>
          <w:tag w:val="MENDELEY_CITATION_v3_eyJjaXRhdGlvbklEIjoiTUVOREVMRVlfQ0lUQVRJT05fMDBhMmU5M2YtOWVlNS00ODAwLWJhM2UtYzdhMTVmMjM1NThhIiwicHJvcGVydGllcyI6eyJub3RlSW5kZXgiOjB9LCJpc0VkaXRlZCI6ZmFsc2UsIm1hbnVhbE92ZXJyaWRlIjp7ImlzTWFudWFsbHlPdmVycmlkZGVuIjpmYWxzZSwiY2l0ZXByb2NUZXh0IjoiKEhlbGZheWEgPGk+ZXQgYWwuPC9pPiwgMjAyNTsgTGFuZG1hbiBhbmQgU2lsdmVybWFuLCAyMDE5OyBNb3Vzc2EgPGk+ZXQgYWwuPC9pPiwgMjAyMi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LH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785197525"/>
          <w:placeholder>
            <w:docPart w:val="366C8FAAE48C47248CD7728B657AA205"/>
          </w:placeholder>
        </w:sdtPr>
        <w:sdtContent>
          <w:r w:rsidR="00CC1788" w:rsidRPr="0053182F">
            <w:rPr>
              <w:rFonts w:eastAsia="Times New Roman"/>
            </w:rPr>
            <w:t xml:space="preserve">(Helfaya </w:t>
          </w:r>
          <w:r w:rsidR="00CC1788" w:rsidRPr="0053182F">
            <w:rPr>
              <w:rFonts w:eastAsia="Times New Roman"/>
              <w:i/>
              <w:iCs/>
            </w:rPr>
            <w:t>et al.</w:t>
          </w:r>
          <w:r w:rsidR="00CC1788" w:rsidRPr="0053182F">
            <w:rPr>
              <w:rFonts w:eastAsia="Times New Roman"/>
            </w:rPr>
            <w:t xml:space="preserve">, 2025; Landman and Silverman, 2019; Moussa </w:t>
          </w:r>
          <w:r w:rsidR="00CC1788" w:rsidRPr="0053182F">
            <w:rPr>
              <w:rFonts w:eastAsia="Times New Roman"/>
              <w:i/>
              <w:iCs/>
            </w:rPr>
            <w:t>et al.</w:t>
          </w:r>
          <w:r w:rsidR="00CC1788" w:rsidRPr="0053182F">
            <w:rPr>
              <w:rFonts w:eastAsia="Times New Roman"/>
            </w:rPr>
            <w:t>, 2022)</w:t>
          </w:r>
        </w:sdtContent>
      </w:sdt>
      <w:r w:rsidRPr="0053182F">
        <w:rPr>
          <w:rFonts w:eastAsia="Times New Roman"/>
          <w:color w:val="0F1115"/>
        </w:rPr>
        <w:t xml:space="preserve">. At the meso-level, it provides insight into how MNCs within the Global 500 adopt and disclose SGIs—such as CSR committees, assurance, and performance awards—as responses to institutional pressures </w:t>
      </w:r>
      <w:sdt>
        <w:sdtPr>
          <w:rPr>
            <w:rFonts w:eastAsia="Times New Roman"/>
          </w:rPr>
          <w:tag w:val="MENDELEY_CITATION_v3_eyJjaXRhdGlvbklEIjoiTUVOREVMRVlfQ0lUQVRJT05fM2M1NzlhYTUtOGM3Yi00OGRmLWIxYmUtZjRjMjY3MDMwZDliIiwicHJvcGVydGllcyI6eyJub3RlSW5kZXgiOjB9LCJpc0VkaXRlZCI6ZmFsc2UsIm1hbnVhbE92ZXJyaWRlIjp7ImlzTWFudWFsbHlPdmVycmlkZGVuIjpmYWxzZSwiY2l0ZXByb2NUZXh0IjoiKEtvbGsgYW5kIFBlcmVnbywgMjAxMDsgTnRpbSBhbmQgU29vYmFyb3llbiwgMjAxMykiLCJtYW51YWxPdmVycmlkZVRleHQiOiIifSwiY2l0YXRpb25JdGVtcyI6W3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"/>
          <w:id w:val="356402735"/>
          <w:placeholder>
            <w:docPart w:val="366C8FAAE48C47248CD7728B657AA205"/>
          </w:placeholder>
        </w:sdtPr>
        <w:sdtContent>
          <w:r w:rsidR="00CC1788" w:rsidRPr="0053182F">
            <w:rPr>
              <w:rFonts w:eastAsia="Times New Roman"/>
            </w:rPr>
            <w:t>(Kolk and Perego, 2010; Ntim and Soobaroyen, 2013)</w:t>
          </w:r>
        </w:sdtContent>
      </w:sdt>
      <w:r w:rsidRPr="0053182F">
        <w:rPr>
          <w:rFonts w:eastAsia="Times New Roman"/>
          <w:color w:val="0F1115"/>
        </w:rPr>
        <w:t xml:space="preserve">. At the micro level, it highlights the gap between corporate commitments and worker experiences in the Sri Lankan A&amp;TI, revealing how institutional decoupling manifests in </w:t>
      </w:r>
      <w:r w:rsidR="00EA1FD4" w:rsidRPr="0053182F">
        <w:rPr>
          <w:rFonts w:eastAsia="Times New Roman"/>
          <w:color w:val="0F1115"/>
        </w:rPr>
        <w:t xml:space="preserve">the </w:t>
      </w:r>
      <w:r w:rsidRPr="0053182F">
        <w:rPr>
          <w:rFonts w:eastAsia="Times New Roman"/>
          <w:color w:val="0F1115"/>
        </w:rPr>
        <w:t xml:space="preserve">lived realities of exploitation </w:t>
      </w:r>
      <w:sdt>
        <w:sdtPr>
          <w:rPr>
            <w:rFonts w:eastAsia="Times New Roman"/>
            <w:color w:val="auto"/>
          </w:rPr>
          <w:tag w:val="MENDELEY_CITATION_v3_eyJjaXRhdGlvbklEIjoiTUVOREVMRVlfQ0lUQVRJT05fMzBhYmVjYTQtNTU3MC00NTIwLWEyMWEtNzViMDEzMzdmOTE0IiwicHJvcGVydGllcyI6eyJub3RlSW5kZXgiOjB9LCJpc0VkaXRlZCI6ZmFsc2UsIm1hbnVhbE92ZXJyaWRlIjp7ImlzTWFudWFsbHlPdmVycmlkZGVuIjpmYWxzZSwiY2l0ZXByb2NUZXh0IjoiKEJyb21sZXkgYW5kIFBvd2VsbCwgMjAxMjsgQ2hyaXN0IDxpPmV0IGFsLjwvaT4sIDIwMTkpIiwibWFudWFsT3ZlcnJpZGVUZXh0Ijoi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"/>
          <w:id w:val="2117871971"/>
          <w:placeholder>
            <w:docPart w:val="366C8FAAE48C47248CD7728B657AA205"/>
          </w:placeholder>
        </w:sdtPr>
        <w:sdtContent>
          <w:r w:rsidR="00CC1788" w:rsidRPr="0053182F">
            <w:rPr>
              <w:rFonts w:eastAsia="Times New Roman"/>
              <w:color w:val="auto"/>
            </w:rPr>
            <w:t xml:space="preserve">(Bromley and Powell, 2012; Christ </w:t>
          </w:r>
          <w:r w:rsidR="00CC1788" w:rsidRPr="0053182F">
            <w:rPr>
              <w:rFonts w:eastAsia="Times New Roman"/>
              <w:i/>
              <w:iCs/>
              <w:color w:val="auto"/>
            </w:rPr>
            <w:t>et al.</w:t>
          </w:r>
          <w:r w:rsidR="00CC1788" w:rsidRPr="0053182F">
            <w:rPr>
              <w:rFonts w:eastAsia="Times New Roman"/>
              <w:color w:val="auto"/>
            </w:rPr>
            <w:t>, 2019)</w:t>
          </w:r>
        </w:sdtContent>
      </w:sdt>
      <w:r w:rsidRPr="0053182F">
        <w:rPr>
          <w:rFonts w:eastAsia="Times New Roman"/>
          <w:color w:val="auto"/>
        </w:rPr>
        <w:t>.</w:t>
      </w:r>
    </w:p>
    <w:p w14:paraId="7D5E4F3A" w14:textId="29A3CDF1" w:rsidR="00746DC4" w:rsidRPr="0053182F" w:rsidRDefault="00746DC4" w:rsidP="00746DC4">
      <w:pPr>
        <w:pStyle w:val="NormalWeb"/>
        <w:spacing w:before="0" w:beforeAutospacing="0" w:after="0" w:afterAutospacing="0" w:line="480" w:lineRule="auto"/>
        <w:ind w:firstLine="720"/>
        <w:jc w:val="both"/>
        <w:rPr>
          <w:color w:val="EE0000"/>
        </w:rPr>
      </w:pPr>
      <w:r w:rsidRPr="0053182F">
        <w:rPr>
          <w:color w:val="auto"/>
        </w:rPr>
        <w:t xml:space="preserve">This chapter establishes the study’s theoretical foundations by adopting NIT as the framework for examining CMS, outlining its origins and development, and emphasising its focus on legitimacy, institutional pressures, and conformity. The </w:t>
      </w:r>
      <w:r w:rsidRPr="0053182F">
        <w:t>chapter then unpacks the three primary forms of institutional pressure—</w:t>
      </w:r>
      <w:r w:rsidRPr="0053182F">
        <w:rPr>
          <w:rStyle w:val="Strong"/>
          <w:rFonts w:eastAsiaTheme="majorEastAsia"/>
          <w:b w:val="0"/>
        </w:rPr>
        <w:t>coercive, normative, and mimetic</w:t>
      </w:r>
      <w:r w:rsidRPr="0053182F">
        <w:t xml:space="preserve">—and considers how these shape corporate governance practices across industries and geographies. It also discusses the phenomenon of </w:t>
      </w:r>
      <w:r w:rsidRPr="0053182F">
        <w:rPr>
          <w:rStyle w:val="Strong"/>
          <w:rFonts w:eastAsiaTheme="majorEastAsia"/>
          <w:b w:val="0"/>
        </w:rPr>
        <w:t>institutional decoupling</w:t>
      </w:r>
      <w:r w:rsidRPr="0053182F">
        <w:t>, a key insight of NIT</w:t>
      </w:r>
      <w:r w:rsidR="009968AD" w:rsidRPr="0053182F">
        <w:t xml:space="preserve"> that helps</w:t>
      </w:r>
      <w:r w:rsidRPr="0053182F">
        <w:t xml:space="preserve"> explain the gap between formal corporate commitments and substantive implementation in tackling CMS. Building on this foundation, the chapter applies NIT to the problem of MS at different levels of analysis: first, at the </w:t>
      </w:r>
      <w:r w:rsidRPr="0053182F">
        <w:rPr>
          <w:rStyle w:val="Strong"/>
          <w:rFonts w:eastAsiaTheme="majorEastAsia"/>
          <w:b w:val="0"/>
        </w:rPr>
        <w:t>macro level</w:t>
      </w:r>
      <w:r w:rsidRPr="0053182F">
        <w:t xml:space="preserve">, to show how state governance quality and regulatory environments create enabling or constraining conditions; and second, at the </w:t>
      </w:r>
      <w:r w:rsidRPr="0053182F">
        <w:rPr>
          <w:rStyle w:val="Strong"/>
          <w:rFonts w:eastAsiaTheme="majorEastAsia"/>
          <w:b w:val="0"/>
        </w:rPr>
        <w:t>meso-level</w:t>
      </w:r>
      <w:r w:rsidRPr="0053182F">
        <w:t xml:space="preserve">, to examine how multinational corporations adopt SGIs in response to institutional pressures. Finally, the chapter integrates these insights into a </w:t>
      </w:r>
      <w:r w:rsidRPr="0053182F">
        <w:rPr>
          <w:rStyle w:val="Strong"/>
          <w:rFonts w:eastAsiaTheme="majorEastAsia"/>
          <w:b w:val="0"/>
        </w:rPr>
        <w:t>conceptual model</w:t>
      </w:r>
      <w:r w:rsidRPr="0053182F">
        <w:t xml:space="preserve">, which situates worker-level experiences of exploitation within a broader institutional context and introduces the study’s central notion of </w:t>
      </w:r>
      <w:r w:rsidRPr="0053182F">
        <w:rPr>
          <w:rStyle w:val="Emphasis"/>
          <w:rFonts w:eastAsiaTheme="majorEastAsia"/>
          <w:b/>
          <w:bCs/>
        </w:rPr>
        <w:t>dual reality governance</w:t>
      </w:r>
      <w:r w:rsidRPr="0053182F">
        <w:rPr>
          <w:b/>
          <w:bCs/>
        </w:rPr>
        <w:t>.</w:t>
      </w:r>
    </w:p>
    <w:p w14:paraId="26124C99" w14:textId="77777777" w:rsidR="00746DC4" w:rsidRPr="0053182F" w:rsidRDefault="00746DC4" w:rsidP="007A0AF5">
      <w:pPr>
        <w:pStyle w:val="Heading2"/>
      </w:pPr>
      <w:bookmarkStart w:id="160" w:name="_Toc215651818"/>
      <w:bookmarkStart w:id="161" w:name="_Toc218357112"/>
      <w:r w:rsidRPr="0053182F">
        <w:rPr>
          <w:rStyle w:val="Strong"/>
          <w:b/>
        </w:rPr>
        <w:t>4.2 Origins and Development of Neo-Institutional Theory</w:t>
      </w:r>
      <w:bookmarkEnd w:id="160"/>
      <w:bookmarkEnd w:id="161"/>
      <w:r w:rsidRPr="0053182F">
        <w:rPr>
          <w:rStyle w:val="Strong"/>
          <w:b/>
        </w:rPr>
        <w:t xml:space="preserve"> </w:t>
      </w:r>
    </w:p>
    <w:p w14:paraId="27114C0C" w14:textId="6C7B7B0D" w:rsidR="00746DC4" w:rsidRPr="0053182F" w:rsidRDefault="00746DC4" w:rsidP="00746DC4">
      <w:pPr>
        <w:pStyle w:val="NormalWeb"/>
        <w:spacing w:before="0" w:beforeAutospacing="0" w:after="0" w:afterAutospacing="0" w:line="480" w:lineRule="auto"/>
        <w:jc w:val="both"/>
      </w:pPr>
      <w:r w:rsidRPr="0053182F">
        <w:t xml:space="preserve">The origins </w:t>
      </w:r>
      <w:r w:rsidR="009320D5" w:rsidRPr="0053182F">
        <w:t xml:space="preserve">of </w:t>
      </w:r>
      <w:r w:rsidRPr="0053182F">
        <w:t xml:space="preserve">NIT can be traced to the late 1970s and early 1980s, when scholars sought to explain why organisations across diverse industries and geographies often converge on similar structures, practices, and policies, even when these do not necessarily enhance technical efficiency or economic performance. Classic works by </w:t>
      </w:r>
      <w:r w:rsidRPr="0053182F">
        <w:rPr>
          <w:rStyle w:val="Strong"/>
          <w:rFonts w:eastAsiaTheme="majorEastAsia"/>
          <w:b w:val="0"/>
        </w:rPr>
        <w:t>Meyer and Rowan (1977)</w:t>
      </w:r>
      <w:r w:rsidRPr="0053182F">
        <w:t xml:space="preserve"> and </w:t>
      </w:r>
      <w:r w:rsidRPr="0053182F">
        <w:rPr>
          <w:rStyle w:val="Strong"/>
          <w:rFonts w:eastAsiaTheme="majorEastAsia"/>
          <w:b w:val="0"/>
        </w:rPr>
        <w:t>DiMaggio and Powell (1983)</w:t>
      </w:r>
      <w:r w:rsidRPr="0053182F">
        <w:rPr>
          <w:b/>
          <w:bCs/>
        </w:rPr>
        <w:t xml:space="preserve"> </w:t>
      </w:r>
      <w:r w:rsidRPr="0053182F">
        <w:t xml:space="preserve">laid the foundations for what became known as “new” or “neo” institutionalism in organisational analysis, distinguishing it from the “old” institutionalism of </w:t>
      </w:r>
      <w:r w:rsidRPr="0053182F">
        <w:rPr>
          <w:color w:val="auto"/>
        </w:rPr>
        <w:t>the mid-20</w:t>
      </w:r>
      <w:r w:rsidRPr="0053182F">
        <w:rPr>
          <w:color w:val="auto"/>
          <w:vertAlign w:val="superscript"/>
        </w:rPr>
        <w:t>th</w:t>
      </w:r>
      <w:r w:rsidRPr="0053182F">
        <w:rPr>
          <w:color w:val="auto"/>
        </w:rPr>
        <w:t xml:space="preserve"> century.</w:t>
      </w:r>
    </w:p>
    <w:p w14:paraId="5D9F2041" w14:textId="3C94491C" w:rsidR="00746DC4" w:rsidRPr="0053182F" w:rsidRDefault="00746DC4" w:rsidP="00746DC4">
      <w:pPr>
        <w:pStyle w:val="NormalWeb"/>
        <w:spacing w:before="0" w:beforeAutospacing="0" w:after="0" w:afterAutospacing="0" w:line="480" w:lineRule="auto"/>
        <w:ind w:firstLine="720"/>
        <w:jc w:val="both"/>
      </w:pPr>
      <w:r w:rsidRPr="0053182F">
        <w:t xml:space="preserve">Whereas old institutionalism focused primarily on the internal dynamics of organisations—emphasising routines, cultures, and informal norms —NIT foregrounded the </w:t>
      </w:r>
      <w:r w:rsidRPr="0053182F">
        <w:rPr>
          <w:rStyle w:val="Strong"/>
          <w:rFonts w:eastAsiaTheme="majorEastAsia"/>
          <w:b w:val="0"/>
          <w:bCs w:val="0"/>
        </w:rPr>
        <w:t>external institutional environment</w:t>
      </w:r>
      <w:r w:rsidRPr="0053182F">
        <w:t xml:space="preserve"> as a decisive factor shaping organisational behaviour </w:t>
      </w:r>
      <w:sdt>
        <w:sdtPr>
          <w:tag w:val="MENDELEY_CITATION_v3_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"/>
          <w:id w:val="-1238323113"/>
          <w:placeholder>
            <w:docPart w:val="366C8FAAE48C47248CD7728B657AA205"/>
          </w:placeholder>
        </w:sdtPr>
        <w:sdtContent>
          <w:r w:rsidR="00CC1788" w:rsidRPr="0053182F">
            <w:t xml:space="preserve">(Deephouse and Suchman, 2008; DiMaggio and Walter, 1991; Suddaby </w:t>
          </w:r>
          <w:r w:rsidR="00CC1788" w:rsidRPr="0053182F">
            <w:rPr>
              <w:i/>
              <w:iCs/>
            </w:rPr>
            <w:t>et al.</w:t>
          </w:r>
          <w:r w:rsidR="00CC1788" w:rsidRPr="0053182F">
            <w:t>, 2013)</w:t>
          </w:r>
        </w:sdtContent>
      </w:sdt>
      <w:r w:rsidRPr="0053182F">
        <w:t xml:space="preserve">. </w:t>
      </w:r>
      <w:r w:rsidRPr="0053182F">
        <w:rPr>
          <w:color w:val="auto"/>
        </w:rPr>
        <w:t>In the same vein, Meyer and Rowan (1977) argued that organisations adopt formal structures</w:t>
      </w:r>
      <w:r w:rsidRPr="0053182F">
        <w:t xml:space="preserve">, policies, and symbols primarily to secure </w:t>
      </w:r>
      <w:r w:rsidRPr="0053182F">
        <w:rPr>
          <w:rStyle w:val="Strong"/>
          <w:rFonts w:eastAsiaTheme="majorEastAsia"/>
          <w:b w:val="0"/>
          <w:bCs w:val="0"/>
        </w:rPr>
        <w:t>legitimacy</w:t>
      </w:r>
      <w:r w:rsidR="00693B78" w:rsidRPr="0053182F">
        <w:rPr>
          <w:rStyle w:val="Strong"/>
          <w:rFonts w:eastAsiaTheme="majorEastAsia"/>
          <w:b w:val="0"/>
          <w:bCs w:val="0"/>
        </w:rPr>
        <w:t xml:space="preserve"> for influential stakeholders,</w:t>
      </w:r>
      <w:r w:rsidRPr="0053182F">
        <w:t xml:space="preserve"> such as governments, investors, and society. Crucially, they showed that organisations often decouple these formal structures from day-to-day practices: a phenomenon they termed </w:t>
      </w:r>
      <w:r w:rsidRPr="0053182F">
        <w:rPr>
          <w:rStyle w:val="Strong"/>
          <w:rFonts w:eastAsiaTheme="majorEastAsia"/>
          <w:b w:val="0"/>
          <w:bCs w:val="0"/>
        </w:rPr>
        <w:t>institutional decoupling</w:t>
      </w:r>
      <w:r w:rsidRPr="0053182F">
        <w:t xml:space="preserve">, </w:t>
      </w:r>
      <w:r w:rsidR="00693B78" w:rsidRPr="0053182F">
        <w:t>in which adopting</w:t>
      </w:r>
      <w:r w:rsidRPr="0053182F">
        <w:t xml:space="preserve"> policies provides legitimacy without necessarily altering organisational behaviours or outcomes </w:t>
      </w:r>
      <w:sdt>
        <w:sdtPr>
          <w:tag w:val="MENDELEY_CITATION_v3_eyJjaXRhdGlvbklEIjoiTUVOREVMRVlfQ0lUQVRJT05fOGIwNTU1YjYtYTNmOC00YmMwLThiOWEtNjczMDFlYjMxMTdhIiwicHJvcGVydGllcyI6eyJub3RlSW5kZXgiOjB9LCJpc0VkaXRlZCI6ZmFsc2UsIm1hbnVhbE92ZXJyaWRlIjp7ImlzTWFudWFsbHlPdmVycmlkZGVuIjp0cnVlLCJjaXRlcHJvY1RleHQiOiIoQ2hyaXN0IDxpPmV0IGFsLjwvaT4sIDIwMTk7IElvYW5ub3UgYW5kIFNlcmFmZWltLCAyMDEyYikiLCJtYW51YWxPdmVycmlkZVRleHQiOiIoSW9hbm5vdSBhbmQgU2VyYWZlaW0sIDIwMTI7IENocmlzdCBldCBhbC4sIDIwMTkp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"/>
          <w:id w:val="1276440050"/>
          <w:placeholder>
            <w:docPart w:val="366C8FAAE48C47248CD7728B657AA205"/>
          </w:placeholder>
        </w:sdtPr>
        <w:sdtContent>
          <w:r w:rsidR="00CC1788" w:rsidRPr="0053182F">
            <w:t>(Ioannou and Serafeim, 2012; Christ et al., 2019)</w:t>
          </w:r>
        </w:sdtContent>
      </w:sdt>
      <w:r w:rsidRPr="0053182F">
        <w:t>.</w:t>
      </w:r>
    </w:p>
    <w:p w14:paraId="3CA54AC9" w14:textId="73966A5E" w:rsidR="00746DC4" w:rsidRPr="0053182F" w:rsidRDefault="00746DC4" w:rsidP="00746DC4">
      <w:pPr>
        <w:pStyle w:val="NormalWeb"/>
        <w:spacing w:before="0" w:beforeAutospacing="0" w:after="0" w:afterAutospacing="0" w:line="480" w:lineRule="auto"/>
        <w:ind w:firstLine="360"/>
        <w:jc w:val="both"/>
      </w:pPr>
      <w:r w:rsidRPr="0053182F">
        <w:t xml:space="preserve">Building on this foundation, </w:t>
      </w:r>
      <w:r w:rsidRPr="0053182F">
        <w:rPr>
          <w:rStyle w:val="Strong"/>
          <w:rFonts w:eastAsiaTheme="majorEastAsia"/>
          <w:b w:val="0"/>
        </w:rPr>
        <w:t>DiMaggio and Powell (1983)</w:t>
      </w:r>
      <w:r w:rsidRPr="0053182F">
        <w:t xml:space="preserve"> introduced the concept of </w:t>
      </w:r>
      <w:r w:rsidRPr="0053182F">
        <w:rPr>
          <w:rStyle w:val="Strong"/>
          <w:rFonts w:eastAsiaTheme="majorEastAsia"/>
          <w:b w:val="0"/>
        </w:rPr>
        <w:t xml:space="preserve">institutional </w:t>
      </w:r>
      <w:r w:rsidRPr="0053182F">
        <w:rPr>
          <w:rStyle w:val="Strong"/>
          <w:rFonts w:eastAsiaTheme="majorEastAsia"/>
          <w:b w:val="0"/>
          <w:color w:val="EE0000"/>
        </w:rPr>
        <w:t>isomorphism</w:t>
      </w:r>
      <w:r w:rsidRPr="0053182F">
        <w:rPr>
          <w:color w:val="EE0000"/>
        </w:rPr>
        <w:t>, explaining the processes through which organisations become increasingly similar over time. They identified three distinct but interconnected mechanisms:</w:t>
      </w:r>
    </w:p>
    <w:p w14:paraId="2C32CD73" w14:textId="77777777" w:rsidR="00746DC4" w:rsidRPr="0053182F" w:rsidRDefault="00746DC4" w:rsidP="00746DC4">
      <w:pPr>
        <w:pStyle w:val="NormalWeb"/>
        <w:numPr>
          <w:ilvl w:val="0"/>
          <w:numId w:val="12"/>
        </w:numPr>
        <w:spacing w:before="0" w:beforeAutospacing="0" w:after="0" w:afterAutospacing="0" w:line="480" w:lineRule="auto"/>
        <w:jc w:val="both"/>
      </w:pPr>
      <w:r w:rsidRPr="0053182F">
        <w:rPr>
          <w:rStyle w:val="Strong"/>
          <w:rFonts w:eastAsiaTheme="majorEastAsia"/>
        </w:rPr>
        <w:t>Coercive isomorphism</w:t>
      </w:r>
      <w:r w:rsidRPr="0053182F">
        <w:t>, where organisations respond to formal rules, regulations, and legal mandates (e.g., compliance with government laws or international conventions).</w:t>
      </w:r>
    </w:p>
    <w:p w14:paraId="340072BE" w14:textId="77777777" w:rsidR="00746DC4" w:rsidRPr="0053182F" w:rsidRDefault="00746DC4" w:rsidP="00746DC4">
      <w:pPr>
        <w:pStyle w:val="NormalWeb"/>
        <w:numPr>
          <w:ilvl w:val="0"/>
          <w:numId w:val="12"/>
        </w:numPr>
        <w:spacing w:before="0" w:beforeAutospacing="0" w:after="0" w:afterAutospacing="0" w:line="480" w:lineRule="auto"/>
        <w:jc w:val="both"/>
      </w:pPr>
      <w:r w:rsidRPr="0053182F">
        <w:rPr>
          <w:rStyle w:val="Strong"/>
          <w:rFonts w:eastAsiaTheme="majorEastAsia"/>
        </w:rPr>
        <w:t>Normative isomorphism</w:t>
      </w:r>
      <w:r w:rsidRPr="0053182F">
        <w:t>, driven by professional standards, industry associations, and normative expectations of appropriate conduct (e.g., adoption of sustainability standards in response to NGO or consumer advocacy).</w:t>
      </w:r>
    </w:p>
    <w:p w14:paraId="103EC52F" w14:textId="77777777" w:rsidR="00746DC4" w:rsidRPr="0053182F" w:rsidRDefault="00746DC4" w:rsidP="00746DC4">
      <w:pPr>
        <w:pStyle w:val="NormalWeb"/>
        <w:numPr>
          <w:ilvl w:val="0"/>
          <w:numId w:val="12"/>
        </w:numPr>
        <w:spacing w:before="0" w:beforeAutospacing="0" w:after="0" w:afterAutospacing="0" w:line="480" w:lineRule="auto"/>
        <w:jc w:val="both"/>
      </w:pPr>
      <w:r w:rsidRPr="0053182F">
        <w:rPr>
          <w:rStyle w:val="Strong"/>
          <w:rFonts w:eastAsiaTheme="majorEastAsia"/>
        </w:rPr>
        <w:t>Mimetic isomorphism</w:t>
      </w:r>
      <w:r w:rsidRPr="0053182F">
        <w:t>, whereby firms imitate the practices of industry leaders or peers in order to reduce uncertainty and gain legitimacy.</w:t>
      </w:r>
    </w:p>
    <w:p w14:paraId="531F4D9A" w14:textId="7186AEC7" w:rsidR="00746DC4" w:rsidRPr="0053182F" w:rsidRDefault="00746DC4" w:rsidP="00746DC4">
      <w:pPr>
        <w:pStyle w:val="NormalWeb"/>
        <w:spacing w:before="0" w:beforeAutospacing="0" w:after="0" w:afterAutospacing="0" w:line="480" w:lineRule="auto"/>
        <w:jc w:val="both"/>
      </w:pPr>
      <w:r w:rsidRPr="0053182F">
        <w:t xml:space="preserve">These ideas shifted the focus of organisational theory from efficiency and competitive advantage to the role of </w:t>
      </w:r>
      <w:r w:rsidRPr="0053182F">
        <w:rPr>
          <w:rStyle w:val="Strong"/>
          <w:rFonts w:eastAsiaTheme="majorEastAsia"/>
          <w:b w:val="0"/>
          <w:bCs w:val="0"/>
        </w:rPr>
        <w:t>legitimacy, conformity, and institutional pressures</w:t>
      </w:r>
      <w:r w:rsidRPr="0053182F">
        <w:t xml:space="preserve"> in shaping organisational action </w:t>
      </w:r>
      <w:sdt>
        <w:sdtPr>
          <w:tag w:val="MENDELEY_CITATION_v3_eyJjaXRhdGlvbklEIjoiTUVOREVMRVlfQ0lUQVRJT05fMjBhZDA5NWYtNTViYS00ZTAzLWIzN2YtODZmZjBlNGFmZDA1IiwicHJvcGVydGllcyI6eyJub3RlSW5kZXgiOjB9LCJpc0VkaXRlZCI6ZmFsc2UsIm1hbnVhbE92ZXJyaWRlIjp7ImlzTWFudWFsbHlPdmVycmlkZGVuIjpmYWxzZSwiY2l0ZXByb2NUZXh0IjoiKFNjb3R0LCAyMDEzKSIsIm1hbnVhbE92ZXJyaWRlVGV4dCI6Ii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XX0="/>
          <w:id w:val="1248616766"/>
          <w:placeholder>
            <w:docPart w:val="366C8FAAE48C47248CD7728B657AA205"/>
          </w:placeholder>
        </w:sdtPr>
        <w:sdtContent>
          <w:r w:rsidR="00CC1788" w:rsidRPr="0053182F">
            <w:t>(Scott, 2013)</w:t>
          </w:r>
        </w:sdtContent>
      </w:sdt>
      <w:r w:rsidRPr="0053182F">
        <w:t>.</w:t>
      </w:r>
    </w:p>
    <w:p w14:paraId="72F0E941" w14:textId="3F9A6363" w:rsidR="00746DC4" w:rsidRPr="0053182F" w:rsidRDefault="00746DC4" w:rsidP="00746DC4">
      <w:pPr>
        <w:pStyle w:val="NormalWeb"/>
        <w:spacing w:before="0" w:beforeAutospacing="0" w:after="0" w:afterAutospacing="0" w:line="480" w:lineRule="auto"/>
        <w:ind w:firstLine="720"/>
        <w:jc w:val="both"/>
      </w:pPr>
      <w:bookmarkStart w:id="162" w:name="_Hlk214726723"/>
      <w:r w:rsidRPr="0053182F">
        <w:t xml:space="preserve">Since its early development, NIT has been </w:t>
      </w:r>
      <w:r w:rsidR="00693B78" w:rsidRPr="0053182F">
        <w:t>widely applied across management, sociology, and political science, expanding its explanatory reach in</w:t>
      </w:r>
      <w:r w:rsidRPr="0053182F">
        <w:t xml:space="preserve"> diverse fields such as sustainability governance, corporate accountability, and global supply chain regulation </w:t>
      </w:r>
      <w:sdt>
        <w:sdtPr>
          <w:tag w:val="MENDELEY_CITATION_v3_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"/>
          <w:id w:val="-18466217"/>
          <w:placeholder>
            <w:docPart w:val="E5A116FE1A434249ACC8983FBB6C90CD"/>
          </w:placeholder>
        </w:sdtPr>
        <w:sdtContent>
          <w:r w:rsidR="00CC1788" w:rsidRPr="0053182F">
            <w:t>(Sayari and Marcum, 2022; Markoff-Legrand et al., 2024)</w:t>
          </w:r>
        </w:sdtContent>
      </w:sdt>
      <w:r w:rsidRPr="0053182F">
        <w:t xml:space="preserve">. More recent scholarship has extended the framework to examine </w:t>
      </w:r>
      <w:r w:rsidRPr="0053182F">
        <w:rPr>
          <w:rStyle w:val="Strong"/>
          <w:rFonts w:eastAsiaTheme="majorEastAsia"/>
          <w:b w:val="0"/>
          <w:bCs w:val="0"/>
        </w:rPr>
        <w:t>transnational governance regimes</w:t>
      </w:r>
      <w:r w:rsidRPr="0053182F">
        <w:t xml:space="preserve">, highlighting how coercive, normative, and mimetic pressures operate not only within national borders but across global production networks </w:t>
      </w:r>
      <w:sdt>
        <w:sdtPr>
          <w:tag w:val="MENDELEY_CITATION_v3_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
          <w:id w:val="-1255278885"/>
          <w:placeholder>
            <w:docPart w:val="366C8FAAE48C47248CD7728B657AA205"/>
          </w:placeholder>
        </w:sdtPr>
        <w:sdtContent>
          <w:r w:rsidR="00CC1788" w:rsidRPr="0053182F">
            <w:t>(Crane et al., 2019; LeBaron, 2020)</w:t>
          </w:r>
        </w:sdtContent>
      </w:sdt>
      <w:r w:rsidRPr="0053182F">
        <w:t xml:space="preserve">. </w:t>
      </w:r>
    </w:p>
    <w:bookmarkEnd w:id="162"/>
    <w:p w14:paraId="1F315A6D" w14:textId="65663DF6" w:rsidR="00746DC4" w:rsidRPr="0053182F" w:rsidRDefault="00976D35" w:rsidP="00746DC4">
      <w:pPr>
        <w:pStyle w:val="NormalWeb"/>
        <w:spacing w:before="0" w:beforeAutospacing="0" w:after="0" w:afterAutospacing="0" w:line="480" w:lineRule="auto"/>
        <w:ind w:firstLine="720"/>
        <w:jc w:val="both"/>
      </w:pPr>
      <w:r w:rsidRPr="0053182F">
        <w:t>For the purposes of this study, NIT offers a robust analytical framework for understanding CMS governance. The persistence of forced labour and other exploitative conditions within global supply chains cannot be sufficiently accounted for through efficiency logics alone.</w:t>
      </w:r>
      <w:r w:rsidR="00746DC4" w:rsidRPr="0053182F">
        <w:t xml:space="preserve"> Instead, CMS governance must be seen as the product of institutional pressures—ranging from state regulation (coercive)</w:t>
      </w:r>
      <w:r w:rsidR="0003509A" w:rsidRPr="0053182F">
        <w:t xml:space="preserve"> to industry standards and stakeholder expectations (normative),</w:t>
      </w:r>
      <w:r w:rsidR="00746DC4" w:rsidRPr="0053182F">
        <w:t xml:space="preserve"> to competitive imitation (mimetic)—that shape how firms adopt SGIs. However, as NIT reminds us, </w:t>
      </w:r>
      <w:r w:rsidR="00072A9F" w:rsidRPr="0053182F">
        <w:t>adopting such practices often results in symbolic compliance rather than substantive reform, with CMS policies frequently decoupled from workers' lived r</w:t>
      </w:r>
      <w:r w:rsidR="00746DC4" w:rsidRPr="0053182F">
        <w:t xml:space="preserve">ealities </w:t>
      </w:r>
      <w:sdt>
        <w:sdtPr>
          <w:tag w:val="MENDELEY_CITATION_v3_eyJjaXRhdGlvbklEIjoiTUVOREVMRVlfQ0lUQVRJT05fMmIzMTM2YjktZDdjOC00YjQzLWFiMjktZjNmMzY0NGNkNDc5IiwicHJvcGVydGllcyI6eyJub3RlSW5kZXgiOjB9LCJpc0VkaXRlZCI6ZmFsc2UsIm1hbnVhbE92ZXJyaWRlIjp7ImlzTWFudWFsbHlPdmVycmlkZGVuIjpmYWxzZSwiY2l0ZXByb2NUZXh0IjoiKE1leWVyIGFuZCBSb3dhbiwgMTk3NzsgUGVkZXJzZW4sIDE5OTE7IFJ1d2FucHVyYSwgMjAyMi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"/>
          <w:id w:val="89901924"/>
          <w:placeholder>
            <w:docPart w:val="366C8FAAE48C47248CD7728B657AA205"/>
          </w:placeholder>
        </w:sdtPr>
        <w:sdtContent>
          <w:r w:rsidR="00CC1788" w:rsidRPr="0053182F">
            <w:t>(Meyer and Rowan, 1977; Pedersen, 1991; Ruwanpura, 2022)</w:t>
          </w:r>
        </w:sdtContent>
      </w:sdt>
      <w:r w:rsidR="00746DC4" w:rsidRPr="0053182F">
        <w:t>.</w:t>
      </w:r>
    </w:p>
    <w:p w14:paraId="4366CC28" w14:textId="77777777" w:rsidR="00746DC4" w:rsidRPr="0053182F" w:rsidRDefault="00746DC4" w:rsidP="00746DC4">
      <w:pPr>
        <w:pStyle w:val="NormalWeb"/>
        <w:spacing w:before="0" w:beforeAutospacing="0" w:after="0" w:afterAutospacing="0" w:line="480" w:lineRule="auto"/>
        <w:ind w:firstLine="720"/>
        <w:jc w:val="both"/>
      </w:pPr>
      <w:r w:rsidRPr="0053182F">
        <w:t>By grounding the study in the origins of NIT, this section underscores the relevance of institutional pressures, legitimacy-seeking behaviour, and decoupling to the analysis of CMS. These conceptual foundations set the base for the following sections, which explore how coercive, normative, and mimetic pressures operate at different levels of analysis (macro, meso, and micro) and how NIT can be mobilised to reveal the dual reality of corporate governance in addressing MS.</w:t>
      </w:r>
    </w:p>
    <w:p w14:paraId="59B2FC16" w14:textId="77777777" w:rsidR="00746DC4" w:rsidRPr="0053182F" w:rsidRDefault="00746DC4" w:rsidP="00072A9F">
      <w:pPr>
        <w:pStyle w:val="Heading2"/>
        <w:rPr>
          <w:rStyle w:val="Strong"/>
          <w:b/>
          <w:bCs/>
        </w:rPr>
      </w:pPr>
      <w:bookmarkStart w:id="163" w:name="_Toc215651819"/>
      <w:bookmarkStart w:id="164" w:name="_Toc218357113"/>
      <w:r w:rsidRPr="0053182F">
        <w:rPr>
          <w:rStyle w:val="Strong"/>
          <w:b/>
        </w:rPr>
        <w:t>4.3 Coercive, Normative, and Mimetic Pressures in the Governance of CMS</w:t>
      </w:r>
      <w:bookmarkEnd w:id="163"/>
      <w:bookmarkEnd w:id="164"/>
    </w:p>
    <w:p w14:paraId="427DC4DD" w14:textId="77777777" w:rsidR="00746DC4" w:rsidRPr="0053182F" w:rsidRDefault="00746DC4" w:rsidP="00072A9F">
      <w:pPr>
        <w:spacing w:after="0" w:line="480" w:lineRule="auto"/>
        <w:jc w:val="both"/>
        <w:rPr>
          <w:rStyle w:val="Strong"/>
          <w:b w:val="0"/>
          <w:bCs w:val="0"/>
        </w:rPr>
      </w:pPr>
      <w:r w:rsidRPr="0053182F">
        <w:rPr>
          <w:rStyle w:val="Strong"/>
          <w:b w:val="0"/>
        </w:rPr>
        <w:t>A central contribution of NIT is its emphasis on the institutional pressures that shape organisational behaviour. DiMaggio and Powell (1983) identified three main mechanisms—coercive, normative, and mimetic isomorphism—through which organisations conform to external expectations. Applied to MS, these pressures operate across the macro, meso, and micro levels of analysis, demonstrating how legitimacy-seeking behaviour influences both national governance structures and firm-level practices, while also filtering down to shape workers' lived realities.</w:t>
      </w:r>
    </w:p>
    <w:p w14:paraId="6DF62933" w14:textId="77777777" w:rsidR="00746DC4" w:rsidRPr="0053182F" w:rsidRDefault="00746DC4" w:rsidP="00CA46FF">
      <w:pPr>
        <w:pStyle w:val="Heading3"/>
        <w:rPr>
          <w:rStyle w:val="Strong"/>
          <w:b/>
          <w:bCs w:val="0"/>
        </w:rPr>
      </w:pPr>
      <w:bookmarkStart w:id="165" w:name="_Toc215651820"/>
      <w:bookmarkStart w:id="166" w:name="_Toc218357114"/>
      <w:r w:rsidRPr="0053182F">
        <w:rPr>
          <w:rStyle w:val="Strong"/>
          <w:b/>
          <w:bCs w:val="0"/>
        </w:rPr>
        <w:t>4.3.1 Macro-Level: National and Transnational Governance Pressures</w:t>
      </w:r>
      <w:bookmarkEnd w:id="165"/>
      <w:bookmarkEnd w:id="166"/>
    </w:p>
    <w:p w14:paraId="17977E58" w14:textId="50B91FDD" w:rsidR="00746DC4" w:rsidRPr="0053182F" w:rsidRDefault="00746DC4" w:rsidP="00072A9F">
      <w:pPr>
        <w:pStyle w:val="NormalWeb"/>
        <w:spacing w:before="0" w:beforeAutospacing="0" w:after="0" w:afterAutospacing="0" w:line="480" w:lineRule="auto"/>
        <w:ind w:firstLine="720"/>
        <w:jc w:val="both"/>
        <w:rPr>
          <w:rStyle w:val="Strong"/>
          <w:rFonts w:eastAsiaTheme="majorEastAsia"/>
          <w:b w:val="0"/>
          <w:bCs w:val="0"/>
          <w:lang w:eastAsia="ja-JP"/>
        </w:rPr>
      </w:pPr>
      <w:r w:rsidRPr="0053182F">
        <w:rPr>
          <w:rStyle w:val="Strong"/>
          <w:rFonts w:eastAsiaTheme="majorEastAsia"/>
          <w:b w:val="0"/>
          <w:bCs w:val="0"/>
          <w:lang w:eastAsia="ja-JP"/>
        </w:rPr>
        <w:t>At the macro level, coercive pressures manifest through national legislation and international conventions that compel states and firms to adopt anti-slavery measures. Examples include the UK MS</w:t>
      </w:r>
      <w:r w:rsidR="0071325B" w:rsidRPr="0053182F">
        <w:rPr>
          <w:rStyle w:val="Strong"/>
          <w:rFonts w:eastAsiaTheme="majorEastAsia"/>
          <w:b w:val="0"/>
          <w:bCs w:val="0"/>
          <w:lang w:eastAsia="ja-JP"/>
        </w:rPr>
        <w:t xml:space="preserve">A </w:t>
      </w:r>
      <w:r w:rsidRPr="0053182F">
        <w:rPr>
          <w:rStyle w:val="Strong"/>
          <w:rFonts w:eastAsiaTheme="majorEastAsia"/>
          <w:b w:val="0"/>
          <w:bCs w:val="0"/>
          <w:lang w:eastAsia="ja-JP"/>
        </w:rPr>
        <w:t>(2015), Australia’s MS</w:t>
      </w:r>
      <w:r w:rsidR="0071325B" w:rsidRPr="0053182F">
        <w:rPr>
          <w:rStyle w:val="Strong"/>
          <w:rFonts w:eastAsiaTheme="majorEastAsia"/>
          <w:b w:val="0"/>
          <w:bCs w:val="0"/>
          <w:lang w:eastAsia="ja-JP"/>
        </w:rPr>
        <w:t>A</w:t>
      </w:r>
      <w:r w:rsidRPr="0053182F">
        <w:rPr>
          <w:rStyle w:val="Strong"/>
          <w:rFonts w:eastAsiaTheme="majorEastAsia"/>
          <w:b w:val="0"/>
          <w:bCs w:val="0"/>
          <w:lang w:eastAsia="ja-JP"/>
        </w:rPr>
        <w:t xml:space="preserve"> (2018), France’s Loi de Vigilance (2017), and Germany’s Supply Chain Due Diligence Act (2021), all of which require firms to report or act on MS risks. Such frameworks generate legal and regulatory compliance requirements that shape corporate strategies worldwide </w:t>
      </w:r>
      <w:sdt>
        <w:sdtPr>
          <w:rPr>
            <w:rStyle w:val="Strong"/>
            <w:rFonts w:eastAsiaTheme="majorEastAsia"/>
            <w:b w:val="0"/>
            <w:bCs w:val="0"/>
            <w:lang w:eastAsia="ja-JP"/>
          </w:rPr>
          <w:tag w:val="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
          <w:id w:val="1705753159"/>
          <w:placeholder>
            <w:docPart w:val="366C8FAAE48C47248CD7728B657AA205"/>
          </w:placeholder>
        </w:sdtPr>
        <w:sdtContent>
          <w:r w:rsidR="00CC1788" w:rsidRPr="0053182F">
            <w:t xml:space="preserve">(Albitar </w:t>
          </w:r>
          <w:r w:rsidR="00CC1788" w:rsidRPr="0053182F">
            <w:rPr>
              <w:i/>
              <w:iCs/>
            </w:rPr>
            <w:t>et al.</w:t>
          </w:r>
          <w:r w:rsidR="00CC1788" w:rsidRPr="0053182F">
            <w:t>, 2025; Bartley, 2018; LeBaron and Rühmkorf, 2017)</w:t>
          </w:r>
        </w:sdtContent>
      </w:sdt>
      <w:r w:rsidRPr="0053182F">
        <w:rPr>
          <w:rStyle w:val="Strong"/>
          <w:rFonts w:eastAsiaTheme="majorEastAsia"/>
          <w:b w:val="0"/>
          <w:bCs w:val="0"/>
          <w:lang w:eastAsia="ja-JP"/>
        </w:rPr>
        <w:t xml:space="preserve">. </w:t>
      </w:r>
    </w:p>
    <w:p w14:paraId="29D6B057" w14:textId="0563ECC9" w:rsidR="00746DC4" w:rsidRPr="0053182F" w:rsidRDefault="00746DC4" w:rsidP="00746DC4">
      <w:pPr>
        <w:pStyle w:val="NormalWeb"/>
        <w:spacing w:before="0" w:beforeAutospacing="0" w:after="0" w:afterAutospacing="0" w:line="480" w:lineRule="auto"/>
        <w:ind w:firstLine="720"/>
        <w:jc w:val="both"/>
        <w:rPr>
          <w:rStyle w:val="Strong"/>
          <w:rFonts w:eastAsiaTheme="majorEastAsia"/>
          <w:b w:val="0"/>
          <w:bCs w:val="0"/>
          <w:lang w:eastAsia="ja-JP"/>
        </w:rPr>
      </w:pPr>
      <w:r w:rsidRPr="0053182F">
        <w:rPr>
          <w:rStyle w:val="Strong"/>
          <w:rFonts w:eastAsiaTheme="majorEastAsia"/>
          <w:b w:val="0"/>
          <w:lang w:eastAsia="ja-JP"/>
        </w:rPr>
        <w:t>Normative pressures at the macro level arise from the influence of multilateral organisations (e.g., the ILO and the UN) and the embedding of sustainability goals, such as the UN</w:t>
      </w:r>
      <w:r w:rsidR="006E4BAE" w:rsidRPr="0053182F">
        <w:rPr>
          <w:rStyle w:val="Strong"/>
          <w:rFonts w:eastAsiaTheme="majorEastAsia"/>
          <w:b w:val="0"/>
          <w:lang w:eastAsia="ja-JP"/>
        </w:rPr>
        <w:t>-</w:t>
      </w:r>
      <w:r w:rsidRPr="0053182F">
        <w:rPr>
          <w:rStyle w:val="Strong"/>
          <w:rFonts w:eastAsiaTheme="majorEastAsia"/>
          <w:b w:val="0"/>
          <w:lang w:eastAsia="ja-JP"/>
        </w:rPr>
        <w:t>SDGs, into national and global governance structures. These norms establish widely accepted standards of “appropriate” behaviour for states and corporations.</w:t>
      </w:r>
    </w:p>
    <w:p w14:paraId="2C37C031" w14:textId="4981A3C3" w:rsidR="00746DC4" w:rsidRPr="0053182F" w:rsidRDefault="00746DC4" w:rsidP="00746DC4">
      <w:pPr>
        <w:pStyle w:val="NormalWeb"/>
        <w:spacing w:before="0" w:beforeAutospacing="0" w:after="0" w:afterAutospacing="0" w:line="480" w:lineRule="auto"/>
        <w:ind w:firstLine="720"/>
        <w:jc w:val="both"/>
        <w:rPr>
          <w:rStyle w:val="Strong"/>
          <w:rFonts w:eastAsiaTheme="majorEastAsia"/>
          <w:b w:val="0"/>
          <w:bCs w:val="0"/>
          <w:lang w:eastAsia="ja-JP"/>
        </w:rPr>
      </w:pPr>
      <w:r w:rsidRPr="0053182F">
        <w:rPr>
          <w:rStyle w:val="Strong"/>
          <w:rFonts w:eastAsiaTheme="majorEastAsia"/>
          <w:b w:val="0"/>
          <w:bCs w:val="0"/>
          <w:lang w:eastAsia="ja-JP"/>
        </w:rPr>
        <w:t xml:space="preserve">Mimetic pressures emerge when states emulate the regulatory frameworks of others in order to signal global competitiveness and legitimacy. For instance, the proliferation of national due diligence laws across Europe reflects a mimetic dynamic in which states imitate perceived leaders to maintain reputational parity in global trade governance </w:t>
      </w:r>
      <w:sdt>
        <w:sdtPr>
          <w:rPr>
            <w:rStyle w:val="Strong"/>
            <w:rFonts w:eastAsiaTheme="majorEastAsia"/>
            <w:b w:val="0"/>
            <w:bCs w:val="0"/>
            <w:lang w:eastAsia="ja-JP"/>
          </w:rPr>
          <w:tag w:val="MENDELEY_CITATION_v3_eyJjaXRhdGlvbklEIjoiTUVOREVMRVlfQ0lUQVRJT05fN2ViOTcyYjgtYzVmMS00YjhlLTlhYjctMTA3M2QwYWNiN2RmIiwicHJvcGVydGllcyI6eyJub3RlSW5kZXgiOjB9LCJpc0VkaXRlZCI6ZmFsc2UsIm1hbnVhbE92ZXJyaWRlIjp7ImlzTWFudWFsbHlPdmVycmlkZGVuIjp0cnVlLCJjaXRlcHJvY1RleHQiOiIoQWxiaXRhciA8aT5ldCBhbC48L2k+LCAyMDI1OyBDcmFuZSA8aT5ldCBhbC48L2k+LCAyMDE5YikiLCJtYW51YWxPdmVycmlkZVRleHQiOiIoQWxiaXRhciBldCBhbC4sIDIwMjU7IENyYW5lIGV0IGFsLiwgMjAxOSk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Y29udGFpbmVyLXRpdGxlLXNob3J0IjoiUmVndWwgR292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fSwiaXNUZW1wb3JhcnkiOmZhbHNlfV19"/>
          <w:id w:val="702667695"/>
          <w:placeholder>
            <w:docPart w:val="366C8FAAE48C47248CD7728B657AA205"/>
          </w:placeholder>
        </w:sdtPr>
        <w:sdtContent>
          <w:r w:rsidR="00CC1788" w:rsidRPr="0053182F">
            <w:t>(Albitar et al., 2025; Crane et al., 2019)</w:t>
          </w:r>
        </w:sdtContent>
      </w:sdt>
      <w:r w:rsidRPr="0053182F">
        <w:rPr>
          <w:rStyle w:val="Strong"/>
          <w:rFonts w:eastAsiaTheme="majorEastAsia"/>
          <w:b w:val="0"/>
          <w:bCs w:val="0"/>
          <w:lang w:eastAsia="ja-JP"/>
        </w:rPr>
        <w:t>.</w:t>
      </w:r>
    </w:p>
    <w:p w14:paraId="71D4CF52" w14:textId="77777777" w:rsidR="00746DC4" w:rsidRPr="0053182F" w:rsidRDefault="00746DC4" w:rsidP="00CA46FF">
      <w:pPr>
        <w:pStyle w:val="Heading3"/>
        <w:rPr>
          <w:rStyle w:val="Strong"/>
          <w:b/>
          <w:bCs w:val="0"/>
        </w:rPr>
      </w:pPr>
      <w:bookmarkStart w:id="167" w:name="_Toc215651821"/>
      <w:bookmarkStart w:id="168" w:name="_Toc218357115"/>
      <w:r w:rsidRPr="0053182F">
        <w:rPr>
          <w:rStyle w:val="Strong"/>
          <w:b/>
          <w:bCs w:val="0"/>
        </w:rPr>
        <w:t>4.3.2 Meso-Level: Firm-Level Governance and SGIs</w:t>
      </w:r>
      <w:bookmarkEnd w:id="167"/>
      <w:bookmarkEnd w:id="168"/>
    </w:p>
    <w:p w14:paraId="0C226D7C" w14:textId="77777777" w:rsidR="00746DC4" w:rsidRPr="0053182F" w:rsidRDefault="00746DC4" w:rsidP="00746DC4">
      <w:pPr>
        <w:pStyle w:val="NormalWeb"/>
        <w:spacing w:before="0" w:beforeAutospacing="0" w:after="0" w:afterAutospacing="0" w:line="480" w:lineRule="auto"/>
        <w:ind w:firstLine="720"/>
        <w:jc w:val="both"/>
        <w:rPr>
          <w:rStyle w:val="Strong"/>
          <w:rFonts w:eastAsiaTheme="majorEastAsia"/>
          <w:b w:val="0"/>
          <w:bCs w:val="0"/>
          <w:lang w:eastAsia="ja-JP"/>
        </w:rPr>
      </w:pPr>
      <w:r w:rsidRPr="0053182F">
        <w:rPr>
          <w:rStyle w:val="Strong"/>
          <w:rFonts w:eastAsiaTheme="majorEastAsia"/>
          <w:b w:val="0"/>
          <w:lang w:eastAsia="ja-JP"/>
        </w:rPr>
        <w:t>At the meso level, the adoption of SGIs by firms illustrates how institutional pressures shape corporate action. Coercive pressures are visible where firms are legally required to establish specific governance mechanisms, such as India’s Companies Act (2013), which mandates CSRC for eligible firms. Similar requirements are emerging under the EU’s proposed CSDDD.</w:t>
      </w:r>
    </w:p>
    <w:p w14:paraId="1FCEE8B8" w14:textId="645C518B" w:rsidR="00746DC4" w:rsidRPr="0053182F" w:rsidRDefault="00746DC4" w:rsidP="00746DC4">
      <w:pPr>
        <w:pStyle w:val="NormalWeb"/>
        <w:spacing w:before="0" w:beforeAutospacing="0" w:after="0" w:afterAutospacing="0" w:line="480" w:lineRule="auto"/>
        <w:ind w:firstLine="720"/>
        <w:jc w:val="both"/>
        <w:rPr>
          <w:rStyle w:val="Strong"/>
          <w:rFonts w:eastAsiaTheme="majorEastAsia"/>
          <w:b w:val="0"/>
          <w:bCs w:val="0"/>
          <w:lang w:eastAsia="ja-JP"/>
        </w:rPr>
      </w:pPr>
      <w:r w:rsidRPr="0053182F">
        <w:rPr>
          <w:rStyle w:val="Strong"/>
          <w:rFonts w:eastAsiaTheme="majorEastAsia"/>
          <w:b w:val="0"/>
          <w:bCs w:val="0"/>
          <w:lang w:eastAsia="ja-JP"/>
        </w:rPr>
        <w:t xml:space="preserve">Normative pressures </w:t>
      </w:r>
      <w:r w:rsidR="00072A9F" w:rsidRPr="0053182F">
        <w:rPr>
          <w:rStyle w:val="Strong"/>
          <w:rFonts w:eastAsiaTheme="majorEastAsia"/>
          <w:b w:val="0"/>
          <w:bCs w:val="0"/>
          <w:lang w:eastAsia="ja-JP"/>
        </w:rPr>
        <w:t>from professional bodies, sustainability indices, and NGO expectations shape</w:t>
      </w:r>
      <w:r w:rsidRPr="0053182F">
        <w:rPr>
          <w:rStyle w:val="Strong"/>
          <w:rFonts w:eastAsiaTheme="majorEastAsia"/>
          <w:b w:val="0"/>
          <w:bCs w:val="0"/>
          <w:lang w:eastAsia="ja-JP"/>
        </w:rPr>
        <w:t xml:space="preserve"> what constitutes “responsible” business conduct. For example, adherence to standards such as AA1000AS or SA8000 reflects conformity to professionalised assurance norms </w:t>
      </w:r>
      <w:sdt>
        <w:sdtPr>
          <w:rPr>
            <w:rStyle w:val="Strong"/>
            <w:rFonts w:eastAsiaTheme="majorEastAsia"/>
            <w:b w:val="0"/>
            <w:bCs w:val="0"/>
            <w:lang w:eastAsia="ja-JP"/>
          </w:rPr>
          <w:tag w:val="MENDELEY_CITATION_v3_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"/>
          <w:id w:val="1842504952"/>
          <w:placeholder>
            <w:docPart w:val="366C8FAAE48C47248CD7728B657AA205"/>
          </w:placeholder>
        </w:sdtPr>
        <w:sdtContent>
          <w:r w:rsidR="00CC1788" w:rsidRPr="0053182F">
            <w:t xml:space="preserve">(Al-Shaer </w:t>
          </w:r>
          <w:r w:rsidR="00CC1788" w:rsidRPr="0053182F">
            <w:rPr>
              <w:i/>
              <w:iCs/>
            </w:rPr>
            <w:t>et al.</w:t>
          </w:r>
          <w:r w:rsidR="00CC1788" w:rsidRPr="0053182F">
            <w:t>, 2022; Kolk and Perego, 2010)</w:t>
          </w:r>
        </w:sdtContent>
      </w:sdt>
      <w:r w:rsidRPr="0053182F">
        <w:rPr>
          <w:rStyle w:val="Strong"/>
          <w:rFonts w:eastAsiaTheme="majorEastAsia"/>
          <w:b w:val="0"/>
          <w:bCs w:val="0"/>
          <w:lang w:eastAsia="ja-JP"/>
        </w:rPr>
        <w:t xml:space="preserve">. Mimetic pressures </w:t>
      </w:r>
      <w:r w:rsidR="00E91C57" w:rsidRPr="0053182F">
        <w:rPr>
          <w:rStyle w:val="Strong"/>
          <w:rFonts w:eastAsiaTheme="majorEastAsia"/>
          <w:b w:val="0"/>
          <w:bCs w:val="0"/>
          <w:lang w:eastAsia="ja-JP"/>
        </w:rPr>
        <w:t>are strong in competitive industries, where firms imitate peers’ adoption of SGIs, CSR awards, or ESG reporting practices to preserve legitimacy and reduce reputational risk (Fatemi et al., 2018; Yan-Leung et al., 2018)</w:t>
      </w:r>
      <w:r w:rsidRPr="0053182F">
        <w:rPr>
          <w:rStyle w:val="Strong"/>
          <w:rFonts w:eastAsiaTheme="majorEastAsia"/>
          <w:b w:val="0"/>
          <w:bCs w:val="0"/>
          <w:lang w:eastAsia="ja-JP"/>
        </w:rPr>
        <w:t>.</w:t>
      </w:r>
    </w:p>
    <w:p w14:paraId="5FC296EF" w14:textId="08737D1C" w:rsidR="00746DC4" w:rsidRPr="0053182F" w:rsidRDefault="00746DC4" w:rsidP="00746DC4">
      <w:pPr>
        <w:pStyle w:val="NormalWeb"/>
        <w:spacing w:before="0" w:beforeAutospacing="0" w:after="0" w:afterAutospacing="0" w:line="480" w:lineRule="auto"/>
        <w:ind w:firstLine="720"/>
        <w:jc w:val="both"/>
        <w:rPr>
          <w:rStyle w:val="Strong"/>
          <w:rFonts w:eastAsiaTheme="majorEastAsia"/>
          <w:b w:val="0"/>
          <w:bCs w:val="0"/>
          <w:lang w:eastAsia="ja-JP"/>
        </w:rPr>
      </w:pPr>
      <w:r w:rsidRPr="0053182F">
        <w:rPr>
          <w:rStyle w:val="Strong"/>
          <w:rFonts w:eastAsiaTheme="majorEastAsia"/>
          <w:b w:val="0"/>
          <w:bCs w:val="0"/>
          <w:lang w:eastAsia="ja-JP"/>
        </w:rPr>
        <w:t xml:space="preserve">The meso-level findings from this study show that SGIs such as CSR committees, external assurance, and board diversity often emerge in response to these institutional pressures </w:t>
      </w:r>
      <w:sdt>
        <w:sdtPr>
          <w:rPr>
            <w:rStyle w:val="Strong"/>
            <w:rFonts w:eastAsiaTheme="majorEastAsia"/>
            <w:b w:val="0"/>
            <w:bCs w:val="0"/>
            <w:lang w:eastAsia="ja-JP"/>
          </w:rPr>
          <w:tag w:val="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"/>
          <w:id w:val="-1096784946"/>
          <w:placeholder>
            <w:docPart w:val="366C8FAAE48C47248CD7728B657AA205"/>
          </w:placeholder>
        </w:sdtPr>
        <w:sdtContent>
          <w:r w:rsidR="00CC1788" w:rsidRPr="0053182F">
            <w:t xml:space="preserve">(Amini </w:t>
          </w:r>
          <w:r w:rsidR="00CC1788" w:rsidRPr="0053182F">
            <w:rPr>
              <w:i/>
              <w:iCs/>
            </w:rPr>
            <w:t>et al.</w:t>
          </w:r>
          <w:r w:rsidR="00CC1788" w:rsidRPr="0053182F">
            <w:t xml:space="preserve">, 2018; Emeseh and Songi, 2014; Yuan </w:t>
          </w:r>
          <w:r w:rsidR="00CC1788" w:rsidRPr="0053182F">
            <w:rPr>
              <w:i/>
              <w:iCs/>
            </w:rPr>
            <w:t>et al.</w:t>
          </w:r>
          <w:r w:rsidR="00CC1788" w:rsidRPr="0053182F">
            <w:t>, 2022)</w:t>
          </w:r>
        </w:sdtContent>
      </w:sdt>
      <w:r w:rsidRPr="0053182F">
        <w:rPr>
          <w:rStyle w:val="Strong"/>
          <w:rFonts w:eastAsiaTheme="majorEastAsia"/>
          <w:b w:val="0"/>
          <w:bCs w:val="0"/>
          <w:lang w:eastAsia="ja-JP"/>
        </w:rPr>
        <w:t xml:space="preserve">. </w:t>
      </w:r>
      <w:r w:rsidR="00072A9F" w:rsidRPr="0053182F">
        <w:rPr>
          <w:rStyle w:val="Strong"/>
          <w:rFonts w:eastAsiaTheme="majorEastAsia"/>
          <w:b w:val="0"/>
          <w:bCs w:val="0"/>
          <w:lang w:eastAsia="ja-JP"/>
        </w:rPr>
        <w:t>However</w:t>
      </w:r>
      <w:r w:rsidRPr="0053182F">
        <w:rPr>
          <w:rStyle w:val="Strong"/>
          <w:rFonts w:eastAsiaTheme="majorEastAsia"/>
          <w:b w:val="0"/>
          <w:bCs w:val="0"/>
          <w:lang w:eastAsia="ja-JP"/>
        </w:rPr>
        <w:t xml:space="preserve">, consistent with NIT, such adoption frequently risks decoupling—whereby firms use governance structures symbolically to secure legitimacy, without embedding them into operational practices that substantively mitigate CMS risks </w:t>
      </w:r>
      <w:sdt>
        <w:sdtPr>
          <w:rPr>
            <w:rStyle w:val="Strong"/>
            <w:rFonts w:eastAsiaTheme="majorEastAsia"/>
            <w:b w:val="0"/>
            <w:bCs w:val="0"/>
            <w:lang w:eastAsia="ja-JP"/>
          </w:rPr>
          <w:tag w:val="MENDELEY_CITATION_v3_eyJjaXRhdGlvbklEIjoiTUVOREVMRVlfQ0lUQVRJT05fN2NhMTQ2MjQtZTMwYi00ZWQ3LTk5ZDMtZjJiODFmNGNmNjM4IiwicHJvcGVydGllcyI6eyJub3RlSW5kZXgiOjB9LCJpc0VkaXRlZCI6ZmFsc2UsIm1hbnVhbE92ZXJyaWRlIjp7ImlzTWFudWFsbHlPdmVycmlkZGVuIjpmYWxzZSwiY2l0ZXByb2NUZXh0IjoiKENocmlzdCA8aT5ldCBhbC48L2k+LCAyMDE5OyBNZXllciBhbmQgUm93YW4sIDE5Nzc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"/>
          <w:id w:val="1617482177"/>
          <w:placeholder>
            <w:docPart w:val="366C8FAAE48C47248CD7728B657AA205"/>
          </w:placeholder>
        </w:sdtPr>
        <w:sdtContent>
          <w:r w:rsidR="00CC1788" w:rsidRPr="0053182F">
            <w:t xml:space="preserve">(Christ </w:t>
          </w:r>
          <w:r w:rsidR="00CC1788" w:rsidRPr="0053182F">
            <w:rPr>
              <w:i/>
              <w:iCs/>
            </w:rPr>
            <w:t>et al.</w:t>
          </w:r>
          <w:r w:rsidR="00CC1788" w:rsidRPr="0053182F">
            <w:t>, 2019; Meyer and Rowan, 1977)</w:t>
          </w:r>
        </w:sdtContent>
      </w:sdt>
      <w:r w:rsidRPr="0053182F">
        <w:rPr>
          <w:rStyle w:val="Strong"/>
          <w:rFonts w:eastAsiaTheme="majorEastAsia"/>
          <w:b w:val="0"/>
          <w:bCs w:val="0"/>
          <w:lang w:eastAsia="ja-JP"/>
        </w:rPr>
        <w:t>.</w:t>
      </w:r>
    </w:p>
    <w:p w14:paraId="47254297" w14:textId="77777777" w:rsidR="00746DC4" w:rsidRPr="0053182F" w:rsidRDefault="00746DC4" w:rsidP="00E91C57">
      <w:pPr>
        <w:pStyle w:val="Heading3"/>
        <w:rPr>
          <w:rStyle w:val="Strong"/>
          <w:b/>
          <w:bCs w:val="0"/>
        </w:rPr>
      </w:pPr>
      <w:bookmarkStart w:id="169" w:name="_Toc215651822"/>
      <w:bookmarkStart w:id="170" w:name="_Toc218357116"/>
      <w:r w:rsidRPr="0053182F">
        <w:rPr>
          <w:rStyle w:val="Strong"/>
          <w:b/>
          <w:bCs w:val="0"/>
        </w:rPr>
        <w:t>4.3.3 Micro-Level: Workers’ Lived Realities</w:t>
      </w:r>
      <w:bookmarkEnd w:id="169"/>
      <w:bookmarkEnd w:id="170"/>
    </w:p>
    <w:p w14:paraId="7B7866AE" w14:textId="0DCBBC3E" w:rsidR="00746DC4" w:rsidRPr="0053182F" w:rsidRDefault="00746DC4" w:rsidP="00746DC4">
      <w:pPr>
        <w:pStyle w:val="NormalWeb"/>
        <w:spacing w:before="0" w:beforeAutospacing="0" w:after="0" w:afterAutospacing="0" w:line="480" w:lineRule="auto"/>
        <w:ind w:firstLine="720"/>
        <w:jc w:val="both"/>
        <w:rPr>
          <w:rStyle w:val="Strong"/>
          <w:rFonts w:eastAsiaTheme="majorEastAsia"/>
          <w:b w:val="0"/>
          <w:bCs w:val="0"/>
          <w:lang w:eastAsia="ja-JP"/>
        </w:rPr>
      </w:pPr>
      <w:r w:rsidRPr="0053182F">
        <w:rPr>
          <w:rStyle w:val="Strong"/>
          <w:rFonts w:eastAsiaTheme="majorEastAsia"/>
          <w:b w:val="0"/>
          <w:bCs w:val="0"/>
          <w:lang w:eastAsia="ja-JP"/>
        </w:rPr>
        <w:t xml:space="preserve">At the micro level, institutional pressures are mediated by organisational practices and directly experienced by workers in supplier factories and local contexts </w:t>
      </w:r>
      <w:sdt>
        <w:sdtPr>
          <w:rPr>
            <w:rStyle w:val="Strong"/>
            <w:rFonts w:eastAsiaTheme="majorEastAsia"/>
            <w:b w:val="0"/>
            <w:bCs w:val="0"/>
            <w:lang w:eastAsia="ja-JP"/>
          </w:rPr>
          <w:tag w:val="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"/>
          <w:id w:val="1447814139"/>
          <w:placeholder>
            <w:docPart w:val="366C8FAAE48C47248CD7728B657AA205"/>
          </w:placeholder>
        </w:sdtPr>
        <w:sdtContent>
          <w:r w:rsidR="00CC1788" w:rsidRPr="0053182F">
            <w:t xml:space="preserve">(Ahmed and Alawattage, 2023; Haque and Azmat, 2015; Uddin </w:t>
          </w:r>
          <w:r w:rsidR="00CC1788" w:rsidRPr="0053182F">
            <w:rPr>
              <w:i/>
              <w:iCs/>
            </w:rPr>
            <w:t>et al.</w:t>
          </w:r>
          <w:r w:rsidR="00CC1788" w:rsidRPr="0053182F">
            <w:t>, 2023)</w:t>
          </w:r>
        </w:sdtContent>
      </w:sdt>
      <w:r w:rsidRPr="0053182F">
        <w:rPr>
          <w:rStyle w:val="Strong"/>
          <w:rFonts w:eastAsiaTheme="majorEastAsia"/>
          <w:b w:val="0"/>
          <w:bCs w:val="0"/>
          <w:lang w:eastAsia="ja-JP"/>
        </w:rPr>
        <w:t xml:space="preserve">. Coercive pressures may translate into monitoring systems, audits, or supplier codes of conduct imposed on factories. However, without robust enforcement, these can remain superficial </w:t>
      </w:r>
      <w:sdt>
        <w:sdtPr>
          <w:rPr>
            <w:rStyle w:val="Strong"/>
            <w:rFonts w:eastAsiaTheme="majorEastAsia"/>
            <w:b w:val="0"/>
            <w:bCs w:val="0"/>
            <w:lang w:eastAsia="ja-JP"/>
          </w:rPr>
          <w:tag w:val="MENDELEY_CITATION_v3_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XX0="/>
          <w:id w:val="-703019839"/>
          <w:placeholder>
            <w:docPart w:val="366C8FAAE48C47248CD7728B657AA205"/>
          </w:placeholder>
        </w:sdtPr>
        <w:sdtContent>
          <w:r w:rsidR="00CC1788" w:rsidRPr="0053182F">
            <w:t xml:space="preserve">(Christ </w:t>
          </w:r>
          <w:r w:rsidR="00CC1788" w:rsidRPr="0053182F">
            <w:rPr>
              <w:i/>
              <w:iCs/>
            </w:rPr>
            <w:t>et al.</w:t>
          </w:r>
          <w:r w:rsidR="00CC1788" w:rsidRPr="0053182F">
            <w:t>, 2019; Islam, 2018)</w:t>
          </w:r>
        </w:sdtContent>
      </w:sdt>
      <w:r w:rsidRPr="0053182F">
        <w:rPr>
          <w:rStyle w:val="Strong"/>
          <w:rFonts w:eastAsiaTheme="majorEastAsia"/>
          <w:b w:val="0"/>
          <w:bCs w:val="0"/>
          <w:lang w:eastAsia="ja-JP"/>
        </w:rPr>
        <w:t xml:space="preserve">. Normative pressures emerge through social expectations of decent work, occupational safety, and fair wages, often shaped by NGOs, unions, and community actors </w:t>
      </w:r>
      <w:sdt>
        <w:sdtPr>
          <w:rPr>
            <w:rStyle w:val="Strong"/>
            <w:rFonts w:eastAsiaTheme="majorEastAsia"/>
            <w:b w:val="0"/>
            <w:bCs w:val="0"/>
            <w:lang w:eastAsia="ja-JP"/>
          </w:rPr>
          <w:tag w:val="MENDELEY_CITATION_v3_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"/>
          <w:id w:val="-1659755588"/>
          <w:placeholder>
            <w:docPart w:val="366C8FAAE48C47248CD7728B657AA205"/>
          </w:placeholder>
        </w:sdtPr>
        <w:sdtContent>
          <w:r w:rsidR="00CC1788" w:rsidRPr="0053182F">
            <w:rPr>
              <w:rStyle w:val="Strong"/>
              <w:rFonts w:eastAsiaTheme="majorEastAsia"/>
              <w:b w:val="0"/>
              <w:bCs w:val="0"/>
              <w:lang w:eastAsia="ja-JP"/>
            </w:rPr>
            <w:t>(Ghai, 2003; ILO, 2009)</w:t>
          </w:r>
        </w:sdtContent>
      </w:sdt>
      <w:r w:rsidRPr="0053182F">
        <w:rPr>
          <w:rStyle w:val="Strong"/>
          <w:rFonts w:eastAsiaTheme="majorEastAsia"/>
          <w:b w:val="0"/>
          <w:bCs w:val="0"/>
          <w:lang w:eastAsia="ja-JP"/>
        </w:rPr>
        <w:t>. Mimetic pressures can be observed when local suppliers replicate compliance practices modelled by larger firms, even when such practices remain symbolic rather than substantive.</w:t>
      </w:r>
    </w:p>
    <w:p w14:paraId="55081A85" w14:textId="3E5163FB" w:rsidR="00746DC4" w:rsidRPr="0053182F" w:rsidRDefault="00746DC4" w:rsidP="00734C40">
      <w:pPr>
        <w:pStyle w:val="NormalWeb"/>
        <w:spacing w:before="0" w:beforeAutospacing="0" w:after="0" w:afterAutospacing="0" w:line="480" w:lineRule="auto"/>
        <w:ind w:firstLine="720"/>
        <w:jc w:val="both"/>
        <w:rPr>
          <w:rStyle w:val="Strong"/>
          <w:rFonts w:eastAsiaTheme="majorEastAsia"/>
          <w:b w:val="0"/>
          <w:bCs w:val="0"/>
          <w:lang w:eastAsia="ja-JP"/>
        </w:rPr>
      </w:pPr>
      <w:r w:rsidRPr="0053182F">
        <w:rPr>
          <w:rStyle w:val="Strong"/>
          <w:rFonts w:eastAsiaTheme="majorEastAsia"/>
          <w:b w:val="0"/>
          <w:bCs w:val="0"/>
          <w:lang w:eastAsia="ja-JP"/>
        </w:rPr>
        <w:t xml:space="preserve">The interviews and surveys from Sri Lanka’s A&amp;TI revealed how these pressures are often diluted at the micro level, producing what this thesis terms a “dual reality” of CMS governance: global commitments at the macro and meso-levels contrast sharply with workers’ everyday experiences of wage suppression, coercive overtime, and gendered exploitation </w:t>
      </w:r>
      <w:sdt>
        <w:sdtPr>
          <w:rPr>
            <w:rStyle w:val="Strong"/>
            <w:rFonts w:eastAsiaTheme="majorEastAsia"/>
            <w:b w:val="0"/>
            <w:bCs w:val="0"/>
            <w:lang w:eastAsia="ja-JP"/>
          </w:rPr>
          <w:tag w:val="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"/>
          <w:id w:val="852849973"/>
          <w:placeholder>
            <w:docPart w:val="366C8FAAE48C47248CD7728B657AA205"/>
          </w:placeholder>
        </w:sdtPr>
        <w:sdtContent>
          <w:r w:rsidR="00CC1788" w:rsidRPr="0053182F">
            <w:rPr>
              <w:rStyle w:val="Strong"/>
              <w:rFonts w:eastAsiaTheme="majorEastAsia"/>
              <w:b w:val="0"/>
              <w:bCs w:val="0"/>
              <w:lang w:eastAsia="ja-JP"/>
            </w:rPr>
            <w:t>(Atupola and Gunarathne, 2022; Gunawardana, 2016; Ruwanpura, 2022)</w:t>
          </w:r>
        </w:sdtContent>
      </w:sdt>
      <w:r w:rsidRPr="0053182F">
        <w:rPr>
          <w:rStyle w:val="Strong"/>
          <w:rFonts w:eastAsiaTheme="majorEastAsia"/>
          <w:b w:val="0"/>
          <w:bCs w:val="0"/>
          <w:lang w:eastAsia="ja-JP"/>
        </w:rPr>
        <w:t xml:space="preserve">. This illustrates NIT’s insight that institutional conformity does not guarantee substantive change but often results in institutional decoupling, in which legitimacy is maintained through appearances rather than actual reform </w:t>
      </w:r>
      <w:sdt>
        <w:sdtPr>
          <w:rPr>
            <w:rStyle w:val="Strong"/>
            <w:rFonts w:eastAsiaTheme="majorEastAsia"/>
            <w:b w:val="0"/>
            <w:bCs w:val="0"/>
            <w:lang w:eastAsia="ja-JP"/>
          </w:rPr>
          <w:tag w:val="MENDELEY_CITATION_v3_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"/>
          <w:id w:val="36238507"/>
          <w:placeholder>
            <w:docPart w:val="366C8FAAE48C47248CD7728B657AA205"/>
          </w:placeholder>
        </w:sdtPr>
        <w:sdtContent>
          <w:r w:rsidR="00CC1788" w:rsidRPr="0053182F">
            <w:t xml:space="preserve">(Bromley and Powell, 2012; García-Sánchez </w:t>
          </w:r>
          <w:r w:rsidR="00CC1788" w:rsidRPr="0053182F">
            <w:rPr>
              <w:i/>
              <w:iCs/>
            </w:rPr>
            <w:t>et al.</w:t>
          </w:r>
          <w:r w:rsidR="00CC1788" w:rsidRPr="0053182F">
            <w:t>, 2022)</w:t>
          </w:r>
        </w:sdtContent>
      </w:sdt>
      <w:r w:rsidRPr="0053182F">
        <w:rPr>
          <w:rStyle w:val="Strong"/>
          <w:rFonts w:eastAsiaTheme="majorEastAsia"/>
          <w:b w:val="0"/>
          <w:bCs w:val="0"/>
          <w:lang w:eastAsia="ja-JP"/>
        </w:rPr>
        <w:t>.</w:t>
      </w:r>
    </w:p>
    <w:p w14:paraId="32EE3D27" w14:textId="77777777" w:rsidR="00746DC4" w:rsidRPr="0053182F" w:rsidRDefault="00746DC4" w:rsidP="00734C40">
      <w:pPr>
        <w:pStyle w:val="Heading2"/>
      </w:pPr>
      <w:bookmarkStart w:id="171" w:name="_Toc215651823"/>
      <w:bookmarkStart w:id="172" w:name="_Toc218357117"/>
      <w:r w:rsidRPr="0053182F">
        <w:rPr>
          <w:rStyle w:val="Strong"/>
          <w:b/>
        </w:rPr>
        <w:t>4.4 Philosophical Underpinnings: The Burrell and Morgan Framework</w:t>
      </w:r>
      <w:bookmarkEnd w:id="171"/>
      <w:bookmarkEnd w:id="172"/>
    </w:p>
    <w:p w14:paraId="78ACDD07" w14:textId="77777777" w:rsidR="00746DC4" w:rsidRPr="0053182F" w:rsidRDefault="00746DC4" w:rsidP="00734C40">
      <w:pPr>
        <w:pStyle w:val="Heading3"/>
      </w:pPr>
      <w:bookmarkStart w:id="173" w:name="_Toc215651824"/>
      <w:bookmarkStart w:id="174" w:name="_Toc218357118"/>
      <w:r w:rsidRPr="0053182F">
        <w:t>4.4.1 Introduction to the Framework</w:t>
      </w:r>
      <w:bookmarkEnd w:id="173"/>
      <w:bookmarkEnd w:id="174"/>
    </w:p>
    <w:p w14:paraId="1AA849E9" w14:textId="4523CB9F" w:rsidR="00746DC4" w:rsidRPr="0053182F" w:rsidRDefault="00746DC4" w:rsidP="00734C40">
      <w:pPr>
        <w:pStyle w:val="ds-markdown-paragraph"/>
        <w:shd w:val="clear" w:color="auto" w:fill="FFFFFF" w:themeFill="background1"/>
        <w:spacing w:before="0" w:beforeAutospacing="0" w:after="0" w:afterAutospacing="0" w:line="480" w:lineRule="auto"/>
        <w:jc w:val="both"/>
        <w:rPr>
          <w:color w:val="0F1115"/>
        </w:rPr>
      </w:pPr>
      <w:r w:rsidRPr="0053182F">
        <w:rPr>
          <w:color w:val="0F1115"/>
        </w:rPr>
        <w:t xml:space="preserve">To fully situate the methodological choices of this research, it is essential to articulate its philosophical foundations </w:t>
      </w:r>
      <w:sdt>
        <w:sdtPr>
          <w:rPr>
            <w:color w:val="000000"/>
          </w:rPr>
          <w:tag w:val="MENDELEY_CITATION_v3_eyJjaXRhdGlvbklEIjoiTUVOREVMRVlfQ0lUQVRJT05fODI1NmVkYzctNWEwYi00OTkxLTliOTMtZTUxNWU2Y2YxNmFhIiwicHJvcGVydGllcyI6eyJub3RlSW5kZXgiOjB9LCJpc0VkaXRlZCI6ZmFsc2UsIm1hbnVhbE92ZXJyaWRlIjp7ImlzTWFudWFsbHlPdmVycmlkZGVuIjpmYWxzZSwiY2l0ZXByb2NUZXh0IjoiKENyZXN3ZWxsLCAyMDE0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1dfQ=="/>
          <w:id w:val="1473715732"/>
          <w:placeholder>
            <w:docPart w:val="366C8FAAE48C47248CD7728B657AA205"/>
          </w:placeholder>
        </w:sdtPr>
        <w:sdtContent>
          <w:r w:rsidR="00CC1788" w:rsidRPr="0053182F">
            <w:rPr>
              <w:color w:val="000000"/>
            </w:rPr>
            <w:t>(Creswell, 2014)</w:t>
          </w:r>
        </w:sdtContent>
      </w:sdt>
      <w:r w:rsidRPr="0053182F">
        <w:rPr>
          <w:color w:val="0F1115"/>
        </w:rPr>
        <w:t xml:space="preserve">. The philosophical foundation of this research is informed by </w:t>
      </w:r>
      <w:sdt>
        <w:sdtPr>
          <w:rPr>
            <w:color w:val="000000"/>
          </w:rPr>
          <w:tag w:val="MENDELEY_CITATION_v3_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"/>
          <w:id w:val="65235531"/>
          <w:placeholder>
            <w:docPart w:val="254C660CF40F4C26BD45F203E9606DDA"/>
          </w:placeholder>
        </w:sdtPr>
        <w:sdtContent>
          <w:r w:rsidR="00CC1788" w:rsidRPr="0053182F">
            <w:rPr>
              <w:color w:val="000000"/>
            </w:rPr>
            <w:t>Burrell and Morgan's (197</w:t>
          </w:r>
          <w:r w:rsidR="003D7F29" w:rsidRPr="0053182F">
            <w:rPr>
              <w:color w:val="000000"/>
            </w:rPr>
            <w:t>9</w:t>
          </w:r>
          <w:r w:rsidR="00CC1788" w:rsidRPr="0053182F">
            <w:rPr>
              <w:color w:val="000000"/>
            </w:rPr>
            <w:t>)</w:t>
          </w:r>
        </w:sdtContent>
      </w:sdt>
      <w:r w:rsidRPr="0053182F">
        <w:rPr>
          <w:color w:val="000000" w:themeColor="text1"/>
        </w:rPr>
        <w:t xml:space="preserve"> </w:t>
      </w:r>
      <w:r w:rsidRPr="0053182F">
        <w:rPr>
          <w:color w:val="0F1115"/>
        </w:rPr>
        <w:t>seminal framework of Sociological Paradigms and Organisational Analysis, which maps the field of social science along two principal dimensions:</w:t>
      </w:r>
    </w:p>
    <w:p w14:paraId="45282691" w14:textId="77777777" w:rsidR="00746DC4" w:rsidRPr="0053182F" w:rsidRDefault="00746DC4" w:rsidP="00746DC4">
      <w:pPr>
        <w:pStyle w:val="ds-markdown-paragraph"/>
        <w:shd w:val="clear" w:color="auto" w:fill="FFFFFF"/>
        <w:spacing w:before="0" w:beforeAutospacing="0" w:after="0" w:afterAutospacing="0" w:line="480" w:lineRule="auto"/>
        <w:ind w:left="720"/>
        <w:jc w:val="both"/>
        <w:rPr>
          <w:color w:val="0F1115"/>
        </w:rPr>
      </w:pPr>
      <w:r w:rsidRPr="0053182F">
        <w:rPr>
          <w:color w:val="0F1115"/>
        </w:rPr>
        <w:t>(1) the nature of social science — ranging from objective to subjective assumptions about reality and knowledge, and</w:t>
      </w:r>
    </w:p>
    <w:p w14:paraId="305C67FC" w14:textId="77777777" w:rsidR="00746DC4" w:rsidRPr="0053182F" w:rsidRDefault="00746DC4" w:rsidP="00746DC4">
      <w:pPr>
        <w:pStyle w:val="ds-markdown-paragraph"/>
        <w:shd w:val="clear" w:color="auto" w:fill="FFFFFF"/>
        <w:spacing w:before="0" w:beforeAutospacing="0" w:after="0" w:afterAutospacing="0" w:line="480" w:lineRule="auto"/>
        <w:ind w:firstLine="720"/>
        <w:jc w:val="both"/>
        <w:rPr>
          <w:color w:val="0F1115"/>
        </w:rPr>
      </w:pPr>
      <w:r w:rsidRPr="0053182F">
        <w:rPr>
          <w:color w:val="0F1115"/>
        </w:rPr>
        <w:t>(2) the nature of society — ranging from regulation to radical change.</w:t>
      </w:r>
    </w:p>
    <w:p w14:paraId="640E0A2F" w14:textId="77777777" w:rsidR="00746DC4" w:rsidRPr="0053182F" w:rsidRDefault="00746DC4" w:rsidP="00746DC4">
      <w:pPr>
        <w:pStyle w:val="ds-markdown-paragraph"/>
        <w:shd w:val="clear" w:color="auto" w:fill="FFFFFF" w:themeFill="background1"/>
        <w:spacing w:before="0" w:beforeAutospacing="0" w:after="0" w:afterAutospacing="0" w:line="480" w:lineRule="auto"/>
        <w:jc w:val="both"/>
        <w:rPr>
          <w:color w:val="0F1115"/>
        </w:rPr>
      </w:pPr>
      <w:r w:rsidRPr="0053182F">
        <w:rPr>
          <w:color w:val="0F1115"/>
        </w:rPr>
        <w:t xml:space="preserve">From these axes emerge four paradigms: Functionalist, Interpretivist, Radical </w:t>
      </w:r>
      <w:r w:rsidRPr="0053182F">
        <w:rPr>
          <w:rStyle w:val="Strong"/>
          <w:rFonts w:eastAsiaTheme="majorEastAsia"/>
          <w:b w:val="0"/>
          <w:bCs w:val="0"/>
          <w:color w:val="0F1115"/>
        </w:rPr>
        <w:t>Humanist</w:t>
      </w:r>
      <w:r w:rsidRPr="0053182F">
        <w:rPr>
          <w:color w:val="0F1115"/>
        </w:rPr>
        <w:t>, and Radical Structuralist. See figure 4.1. Their framework is built on the premise that all theories of organisation are grounded in a philosophy of science and a theory of society.</w:t>
      </w:r>
    </w:p>
    <w:p w14:paraId="09A98C89" w14:textId="1482BD18" w:rsidR="00746DC4" w:rsidRPr="0053182F" w:rsidRDefault="00746DC4" w:rsidP="0028402B">
      <w:pPr>
        <w:pStyle w:val="ListParagraph"/>
        <w:numPr>
          <w:ilvl w:val="0"/>
          <w:numId w:val="45"/>
        </w:numPr>
        <w:spacing w:line="480" w:lineRule="auto"/>
        <w:ind w:left="284" w:hanging="567"/>
        <w:jc w:val="both"/>
      </w:pPr>
      <w:r w:rsidRPr="0053182F">
        <w:rPr>
          <w:rStyle w:val="Strong"/>
          <w:rFonts w:eastAsiaTheme="majorEastAsia"/>
          <w:color w:val="0F1115"/>
        </w:rPr>
        <w:t>The Functionalist Paradigm (Objective-Regulation):</w:t>
      </w:r>
      <w:r w:rsidRPr="0053182F">
        <w:rPr>
          <w:color w:val="0F1115"/>
        </w:rPr>
        <w:t xml:space="preserve"> This </w:t>
      </w:r>
      <w:r w:rsidRPr="0053182F">
        <w:t xml:space="preserve">is the dominant orientation in organisational and management research. It assumes that social reality is objective and external to individuals, emphasising order, stability, and rationality. Functionalist studies typically adopt positivist or post-positivist epistemologies, employing quantitative methods to test hypotheses, identify causal relationships, and build models to improve organisational efficiency and predict behaviour </w:t>
      </w:r>
      <w:sdt>
        <w:sdtPr>
          <w:tag w:val="MENDELEY_CITATION_v3_eyJjaXRhdGlvbklEIjoiTUVOREVMRVlfQ0lUQVRJT05fYTJmMDE5OGEtNzIwMC00ZDQ3LWI4YTItZmI1ZTEwZDMzMzhhIiwicHJvcGVydGllcyI6eyJub3RlSW5kZXgiOjB9LCJpc0VkaXRlZCI6ZmFsc2UsIm1hbnVhbE92ZXJyaWRlIjp7ImlzTWFudWFsbHlPdmVycmlkZGVuIjpmYWxzZSwiY2l0ZXByb2NUZXh0IjoiKEJ1cnJlbGwgYW5kIE1vcmdhbiwgMTk3NjsgU2F1bmRlcnMgPGk+ZXQgYWwuPC9pPiwgMjAwO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
          <w:id w:val="347376403"/>
          <w:placeholder>
            <w:docPart w:val="F43B304EB4E342D986C13A48D4CBAD61"/>
          </w:placeholder>
        </w:sdtPr>
        <w:sdtContent>
          <w:r w:rsidR="00CC1788" w:rsidRPr="0053182F">
            <w:rPr>
              <w:rFonts w:eastAsia="Times New Roman"/>
            </w:rPr>
            <w:t>(Burrell and Morgan, 197</w:t>
          </w:r>
          <w:r w:rsidR="003D7F29" w:rsidRPr="0053182F">
            <w:rPr>
              <w:rFonts w:eastAsia="Times New Roman"/>
            </w:rPr>
            <w:t>9</w:t>
          </w:r>
          <w:r w:rsidR="00CC1788" w:rsidRPr="0053182F">
            <w:rPr>
              <w:rFonts w:eastAsia="Times New Roman"/>
            </w:rPr>
            <w:t xml:space="preserve">; Saunders </w:t>
          </w:r>
          <w:r w:rsidR="00CC1788" w:rsidRPr="0053182F">
            <w:rPr>
              <w:rFonts w:eastAsia="Times New Roman"/>
              <w:i/>
              <w:iCs/>
            </w:rPr>
            <w:t>et al.</w:t>
          </w:r>
          <w:r w:rsidR="00CC1788" w:rsidRPr="0053182F">
            <w:rPr>
              <w:rFonts w:eastAsia="Times New Roman"/>
            </w:rPr>
            <w:t>, 2009)</w:t>
          </w:r>
        </w:sdtContent>
      </w:sdt>
      <w:r w:rsidRPr="0053182F">
        <w:t>. Research grounded in this paradigm seeks to explain how structures and institutions maintain equilibrium within society or organisations.</w:t>
      </w:r>
    </w:p>
    <w:p w14:paraId="488126FB" w14:textId="7FC7A1B4" w:rsidR="00746DC4" w:rsidRPr="0053182F" w:rsidRDefault="00746DC4" w:rsidP="00746DC4">
      <w:pPr>
        <w:pStyle w:val="ds-markdown-paragraph"/>
        <w:numPr>
          <w:ilvl w:val="0"/>
          <w:numId w:val="7"/>
        </w:numPr>
        <w:shd w:val="clear" w:color="auto" w:fill="FFFFFF"/>
        <w:tabs>
          <w:tab w:val="clear" w:pos="720"/>
          <w:tab w:val="num" w:pos="284"/>
        </w:tabs>
        <w:spacing w:before="0" w:beforeAutospacing="0" w:after="0" w:afterAutospacing="0" w:line="480" w:lineRule="auto"/>
        <w:ind w:left="284" w:hanging="284"/>
        <w:jc w:val="both"/>
        <w:rPr>
          <w:color w:val="0F1115"/>
        </w:rPr>
      </w:pPr>
      <w:r w:rsidRPr="0053182F">
        <w:rPr>
          <w:rStyle w:val="Strong"/>
          <w:rFonts w:eastAsiaTheme="majorEastAsia"/>
          <w:color w:val="0F1115"/>
        </w:rPr>
        <w:t>The Interpretive Paradigm (Subjective-Regulation):</w:t>
      </w:r>
      <w:r w:rsidRPr="0053182F">
        <w:rPr>
          <w:color w:val="0F1115"/>
        </w:rPr>
        <w:t> This paradigm shares the regulatory view of society but rejects the objective ontology. It sees social reality as a network of shared meanings and seeks to understand the world from the subjective experiences of those within it</w:t>
      </w:r>
      <w:r w:rsidR="00734C40" w:rsidRPr="0053182F">
        <w:rPr>
          <w:color w:val="0F1115"/>
        </w:rPr>
        <w:t xml:space="preserve"> </w:t>
      </w:r>
      <w:sdt>
        <w:sdtPr>
          <w:rPr>
            <w:color w:val="000000"/>
          </w:rPr>
          <w:tag w:val="MENDELEY_CITATION_v3_eyJjaXRhdGlvbklEIjoiTUVOREVMRVlfQ0lUQVRJT05fYTJmMDE5OGEtNzIwMC00ZDQ3LWI4YTItZmI1ZTEwZDMzMzhhIiwicHJvcGVydGllcyI6eyJub3RlSW5kZXgiOjB9LCJpc0VkaXRlZCI6ZmFsc2UsIm1hbnVhbE92ZXJyaWRlIjp7ImlzTWFudWFsbHlPdmVycmlkZGVuIjpmYWxzZSwiY2l0ZXByb2NUZXh0IjoiKEJ1cnJlbGwgYW5kIE1vcmdhbiwgMTk3NjsgU2F1bmRlcnMgPGk+ZXQgYWwuPC9pPiwgMjAwO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
          <w:id w:val="624127101"/>
          <w:placeholder>
            <w:docPart w:val="C6385CF5896F42DA9106CE122B1D453E"/>
          </w:placeholder>
        </w:sdtPr>
        <w:sdtContent>
          <w:r w:rsidR="00734C40" w:rsidRPr="0053182F">
            <w:rPr>
              <w:color w:val="000000"/>
            </w:rPr>
            <w:t>(Burrell and Morgan, 197</w:t>
          </w:r>
          <w:r w:rsidR="003D7F29" w:rsidRPr="0053182F">
            <w:rPr>
              <w:color w:val="000000"/>
            </w:rPr>
            <w:t>9</w:t>
          </w:r>
          <w:r w:rsidR="00734C40" w:rsidRPr="0053182F">
            <w:rPr>
              <w:color w:val="000000"/>
            </w:rPr>
            <w:t xml:space="preserve">; Saunders </w:t>
          </w:r>
          <w:r w:rsidR="00734C40" w:rsidRPr="0053182F">
            <w:rPr>
              <w:i/>
              <w:iCs/>
              <w:color w:val="000000"/>
            </w:rPr>
            <w:t>et al.</w:t>
          </w:r>
          <w:r w:rsidR="00734C40" w:rsidRPr="0053182F">
            <w:rPr>
              <w:color w:val="000000"/>
            </w:rPr>
            <w:t>, 2009)</w:t>
          </w:r>
        </w:sdtContent>
      </w:sdt>
      <w:r w:rsidRPr="0053182F">
        <w:rPr>
          <w:color w:val="0F1115"/>
        </w:rPr>
        <w:t>. The focus is on understanding how shared social understandings create a sense of order. Research is qualitative, using methods like ethnography to uncover deep insights into social processes.</w:t>
      </w:r>
    </w:p>
    <w:p w14:paraId="1DC14267" w14:textId="2D53EFDB" w:rsidR="00746DC4" w:rsidRPr="0053182F" w:rsidRDefault="00746DC4" w:rsidP="00746DC4">
      <w:pPr>
        <w:pStyle w:val="ds-markdown-paragraph"/>
        <w:numPr>
          <w:ilvl w:val="0"/>
          <w:numId w:val="7"/>
        </w:numPr>
        <w:shd w:val="clear" w:color="auto" w:fill="FFFFFF"/>
        <w:tabs>
          <w:tab w:val="clear" w:pos="720"/>
          <w:tab w:val="num" w:pos="284"/>
        </w:tabs>
        <w:spacing w:before="0" w:beforeAutospacing="0" w:after="0" w:afterAutospacing="0" w:line="480" w:lineRule="auto"/>
        <w:ind w:left="284" w:hanging="284"/>
        <w:jc w:val="both"/>
        <w:rPr>
          <w:color w:val="0F1115"/>
        </w:rPr>
      </w:pPr>
      <w:r w:rsidRPr="0053182F">
        <w:rPr>
          <w:rStyle w:val="Strong"/>
          <w:rFonts w:eastAsiaTheme="majorEastAsia"/>
          <w:color w:val="0F1115"/>
        </w:rPr>
        <w:t>The Radical Humanist Paradigm (Subjective-Radical Change):</w:t>
      </w:r>
      <w:r w:rsidRPr="0053182F">
        <w:rPr>
          <w:color w:val="0F1115"/>
        </w:rPr>
        <w:t> This paradigm combines a subjectivist view of reality with a focus on radical change. It concerns how people's socially constructed realities can become alienating and imprisoning, preventing the full expression of human potential. It</w:t>
      </w:r>
      <w:r w:rsidR="00445C8E" w:rsidRPr="0053182F">
        <w:rPr>
          <w:color w:val="0F1115"/>
        </w:rPr>
        <w:t xml:space="preserve"> aim</w:t>
      </w:r>
      <w:r w:rsidRPr="0053182F">
        <w:rPr>
          <w:color w:val="0F1115"/>
        </w:rPr>
        <w:t>s to critique the </w:t>
      </w:r>
      <w:r w:rsidRPr="0053182F">
        <w:rPr>
          <w:rStyle w:val="Emphasis"/>
          <w:rFonts w:eastAsiaTheme="majorEastAsia"/>
          <w:color w:val="0F1115"/>
        </w:rPr>
        <w:t>status quo</w:t>
      </w:r>
      <w:r w:rsidRPr="0053182F">
        <w:rPr>
          <w:color w:val="0F1115"/>
        </w:rPr>
        <w:t> and achieve emancipation by freeing consciousness from these constraints.</w:t>
      </w:r>
    </w:p>
    <w:p w14:paraId="1A1D2D61" w14:textId="395E60DF" w:rsidR="00746DC4" w:rsidRPr="0053182F" w:rsidRDefault="00746DC4" w:rsidP="00746DC4">
      <w:pPr>
        <w:pStyle w:val="ds-markdown-paragraph"/>
        <w:numPr>
          <w:ilvl w:val="0"/>
          <w:numId w:val="7"/>
        </w:numPr>
        <w:shd w:val="clear" w:color="auto" w:fill="FFFFFF"/>
        <w:tabs>
          <w:tab w:val="clear" w:pos="720"/>
          <w:tab w:val="num" w:pos="284"/>
        </w:tabs>
        <w:spacing w:before="0" w:beforeAutospacing="0" w:after="0" w:afterAutospacing="0" w:line="480" w:lineRule="auto"/>
        <w:ind w:left="284" w:hanging="284"/>
        <w:jc w:val="both"/>
        <w:rPr>
          <w:color w:val="0F1115"/>
        </w:rPr>
      </w:pPr>
      <w:r w:rsidRPr="0053182F">
        <w:rPr>
          <w:rStyle w:val="Strong"/>
          <w:rFonts w:eastAsiaTheme="majorEastAsia"/>
          <w:color w:val="0F1115"/>
        </w:rPr>
        <w:t>The Radical Structuralist Paradigm (Objective-Radical Change):</w:t>
      </w:r>
      <w:r w:rsidRPr="0053182F">
        <w:rPr>
          <w:color w:val="0F1115"/>
        </w:rPr>
        <w:t> This paradigm shares the goal of radical change but from an objectivist standpoint. It views society as comprising real, concrete structures that inherently generate conflict and modes of domination (e.g., economic class structures)</w:t>
      </w:r>
      <w:r w:rsidR="00511A31" w:rsidRPr="0053182F">
        <w:rPr>
          <w:color w:val="0F1115"/>
        </w:rPr>
        <w:t xml:space="preserve"> </w:t>
      </w:r>
      <w:sdt>
        <w:sdtPr>
          <w:rPr>
            <w:color w:val="000000"/>
          </w:rPr>
          <w:tag w:val="MENDELEY_CITATION_v3_eyJjaXRhdGlvbklEIjoiTUVOREVMRVlfQ0lUQVRJT05fYTJmMDE5OGEtNzIwMC00ZDQ3LWI4YTItZmI1ZTEwZDMzMzhhIiwicHJvcGVydGllcyI6eyJub3RlSW5kZXgiOjB9LCJpc0VkaXRlZCI6ZmFsc2UsIm1hbnVhbE92ZXJyaWRlIjp7ImlzTWFudWFsbHlPdmVycmlkZGVuIjpmYWxzZSwiY2l0ZXByb2NUZXh0IjoiKEJ1cnJlbGwgYW5kIE1vcmdhbiwgMTk3NjsgU2F1bmRlcnMgPGk+ZXQgYWwuPC9pPiwgMjAwO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
          <w:id w:val="1741596669"/>
          <w:placeholder>
            <w:docPart w:val="2BDFC1332501472FBC753740D53281F6"/>
          </w:placeholder>
        </w:sdtPr>
        <w:sdtContent>
          <w:r w:rsidR="00511A31" w:rsidRPr="0053182F">
            <w:rPr>
              <w:color w:val="000000"/>
            </w:rPr>
            <w:t xml:space="preserve">(Saunders </w:t>
          </w:r>
          <w:r w:rsidR="00511A31" w:rsidRPr="0053182F">
            <w:rPr>
              <w:i/>
              <w:iCs/>
              <w:color w:val="000000"/>
            </w:rPr>
            <w:t>et al.</w:t>
          </w:r>
          <w:r w:rsidR="00511A31" w:rsidRPr="0053182F">
            <w:rPr>
              <w:color w:val="000000"/>
            </w:rPr>
            <w:t>, 2009)</w:t>
          </w:r>
        </w:sdtContent>
      </w:sdt>
      <w:r w:rsidRPr="0053182F">
        <w:rPr>
          <w:color w:val="0F1115"/>
        </w:rPr>
        <w:t>. The goal of research is to analyse these objective structures to uncover their contradictions and provide a basis for revolutionary change.</w:t>
      </w:r>
    </w:p>
    <w:p w14:paraId="6C62B269" w14:textId="5A8F064B" w:rsidR="00746DC4" w:rsidRPr="0053182F" w:rsidRDefault="00746DC4" w:rsidP="00192776">
      <w:pPr>
        <w:spacing w:line="480" w:lineRule="auto"/>
        <w:jc w:val="both"/>
      </w:pPr>
      <w:r w:rsidRPr="0053182F">
        <w:t xml:space="preserve">This framework provides a useful meta-theoretical lens for positioning this research, which aims to understand MS and its corporate manifestations (CMS) as both a structural and socially constructed phenomenon. By recognising that MS is shaped by objective institutional pressures yet experienced subjectively by workers, the study operates across the </w:t>
      </w:r>
      <w:r w:rsidRPr="0053182F">
        <w:rPr>
          <w:i/>
          <w:iCs/>
        </w:rPr>
        <w:t>functionalist</w:t>
      </w:r>
      <w:r w:rsidRPr="0053182F">
        <w:t xml:space="preserve"> and </w:t>
      </w:r>
      <w:r w:rsidRPr="0053182F">
        <w:rPr>
          <w:i/>
          <w:iCs/>
        </w:rPr>
        <w:t>interpretivist</w:t>
      </w:r>
      <w:r w:rsidRPr="0053182F">
        <w:t xml:space="preserve"> paradigms—a dualistic philosophical stance consistent with pragmatism </w:t>
      </w:r>
      <w:sdt>
        <w:sdtPr>
          <w:tag w:val="MENDELEY_CITATION_v3_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XX0="/>
          <w:id w:val="-1089918838"/>
          <w:placeholder>
            <w:docPart w:val="CC02D664D796480BB4C38209B00B86D2"/>
          </w:placeholder>
        </w:sdtPr>
        <w:sdtContent>
          <w:r w:rsidR="00CC1788" w:rsidRPr="0053182F">
            <w:t>(Creswell and Plano, 2018; Morgan, 2007)</w:t>
          </w:r>
        </w:sdtContent>
      </w:sdt>
      <w:r w:rsidR="00192776" w:rsidRPr="0053182F">
        <w:t>.</w:t>
      </w:r>
      <w:r w:rsidRPr="0053182F">
        <w:t xml:space="preserve"> </w:t>
      </w:r>
      <w:r w:rsidRPr="0053182F">
        <w:rPr>
          <w:color w:val="0F1115"/>
        </w:rPr>
        <w:t>By cross-tabulating these two dimensions, Burrell and Morgan derive four mutually exclusive paradigms for organisational analysis:</w:t>
      </w:r>
    </w:p>
    <w:p w14:paraId="21634D9F" w14:textId="77777777" w:rsidR="00746DC4" w:rsidRPr="0053182F" w:rsidRDefault="00746DC4" w:rsidP="00746DC4">
      <w:pPr>
        <w:pStyle w:val="paragraph"/>
        <w:spacing w:before="0" w:beforeAutospacing="0" w:after="0" w:afterAutospacing="0" w:line="480" w:lineRule="auto"/>
        <w:jc w:val="center"/>
        <w:textAlignment w:val="baseline"/>
        <w:rPr>
          <w:sz w:val="18"/>
          <w:szCs w:val="18"/>
        </w:rPr>
      </w:pPr>
      <w:r w:rsidRPr="0053182F">
        <w:rPr>
          <w:rStyle w:val="wacimagecontainer"/>
          <w:noProof/>
          <w:sz w:val="18"/>
          <w:szCs w:val="18"/>
        </w:rPr>
        <w:drawing>
          <wp:inline distT="0" distB="0" distL="0" distR="0" wp14:anchorId="62141823" wp14:editId="37EED473">
            <wp:extent cx="4774879" cy="3076575"/>
            <wp:effectExtent l="0" t="0" r="6985" b="0"/>
            <wp:docPr id="230172638" name="Picture 1" descr="A diagram of the theory of a political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diagram of the theory of a political system&#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4830197" cy="3112218"/>
                    </a:xfrm>
                    <a:prstGeom prst="rect">
                      <a:avLst/>
                    </a:prstGeom>
                    <a:noFill/>
                    <a:ln>
                      <a:noFill/>
                    </a:ln>
                  </pic:spPr>
                </pic:pic>
              </a:graphicData>
            </a:graphic>
          </wp:inline>
        </w:drawing>
      </w:r>
      <w:r w:rsidRPr="0053182F">
        <w:rPr>
          <w:rStyle w:val="eop"/>
          <w:rFonts w:eastAsiaTheme="majorEastAsia"/>
          <w:sz w:val="22"/>
          <w:szCs w:val="22"/>
        </w:rPr>
        <w:t> </w:t>
      </w:r>
    </w:p>
    <w:p w14:paraId="3BBAB6D5" w14:textId="77777777" w:rsidR="006F06FF" w:rsidRPr="0053182F" w:rsidRDefault="006F06FF" w:rsidP="006F06FF">
      <w:pPr>
        <w:pStyle w:val="paragraph"/>
        <w:spacing w:before="0" w:beforeAutospacing="0" w:after="0" w:afterAutospacing="0" w:line="480" w:lineRule="auto"/>
        <w:jc w:val="center"/>
        <w:textAlignment w:val="baseline"/>
      </w:pPr>
      <w:r w:rsidRPr="0053182F">
        <w:rPr>
          <w:rStyle w:val="normaltextrun"/>
          <w:b/>
          <w:bCs/>
        </w:rPr>
        <w:t>Figure 4.1:</w:t>
      </w:r>
      <w:r w:rsidRPr="0053182F">
        <w:rPr>
          <w:rStyle w:val="normaltextrun"/>
        </w:rPr>
        <w:t xml:space="preserve"> Four Paradigms for the Analysis of Social Theory</w:t>
      </w:r>
    </w:p>
    <w:p w14:paraId="79A5A0C1" w14:textId="38E69D3F" w:rsidR="00746DC4" w:rsidRPr="0053182F" w:rsidRDefault="00746DC4" w:rsidP="00746DC4">
      <w:pPr>
        <w:pStyle w:val="paragraph"/>
        <w:spacing w:before="0" w:beforeAutospacing="0" w:after="0" w:afterAutospacing="0" w:line="480" w:lineRule="auto"/>
        <w:jc w:val="center"/>
        <w:textAlignment w:val="baseline"/>
        <w:rPr>
          <w:rStyle w:val="eop"/>
          <w:rFonts w:eastAsiaTheme="majorEastAsia"/>
        </w:rPr>
      </w:pPr>
      <w:r w:rsidRPr="0053182F">
        <w:rPr>
          <w:rStyle w:val="normaltextrun"/>
          <w:b/>
          <w:bCs/>
        </w:rPr>
        <w:t>Source:</w:t>
      </w:r>
      <w:r w:rsidRPr="0053182F">
        <w:rPr>
          <w:rStyle w:val="normaltextrun"/>
        </w:rPr>
        <w:t xml:space="preserve"> </w:t>
      </w:r>
      <w:r w:rsidRPr="0053182F">
        <w:rPr>
          <w:rStyle w:val="contentcontrolboundarysink"/>
          <w:rFonts w:eastAsiaTheme="majorEastAsia"/>
        </w:rPr>
        <w:t>​</w:t>
      </w:r>
      <w:r w:rsidRPr="0053182F">
        <w:rPr>
          <w:rStyle w:val="normaltextrun"/>
          <w:color w:val="000000"/>
        </w:rPr>
        <w:t>Burrell and Morgan, 197</w:t>
      </w:r>
      <w:r w:rsidR="003D7F29" w:rsidRPr="0053182F">
        <w:rPr>
          <w:rStyle w:val="normaltextrun"/>
          <w:color w:val="000000"/>
        </w:rPr>
        <w:t>9</w:t>
      </w:r>
      <w:r w:rsidRPr="0053182F">
        <w:rPr>
          <w:rStyle w:val="normaltextrun"/>
          <w:color w:val="000000"/>
        </w:rPr>
        <w:t>, p. 22</w:t>
      </w:r>
      <w:r w:rsidRPr="0053182F">
        <w:rPr>
          <w:rStyle w:val="contentcontrolboundarysink"/>
          <w:rFonts w:eastAsiaTheme="majorEastAsia"/>
        </w:rPr>
        <w:t>​</w:t>
      </w:r>
      <w:r w:rsidRPr="0053182F">
        <w:rPr>
          <w:rStyle w:val="eop"/>
          <w:rFonts w:eastAsiaTheme="majorEastAsia"/>
        </w:rPr>
        <w:t> </w:t>
      </w:r>
    </w:p>
    <w:p w14:paraId="283F5CCB" w14:textId="77777777" w:rsidR="00746DC4" w:rsidRPr="0053182F" w:rsidRDefault="00746DC4" w:rsidP="003D76AC">
      <w:pPr>
        <w:pStyle w:val="Heading3"/>
        <w:rPr>
          <w:rStyle w:val="Strong"/>
          <w:b/>
          <w:bCs w:val="0"/>
        </w:rPr>
      </w:pPr>
      <w:bookmarkStart w:id="175" w:name="_Toc215651825"/>
      <w:bookmarkStart w:id="176" w:name="_Toc218357119"/>
      <w:r w:rsidRPr="0053182F">
        <w:rPr>
          <w:rStyle w:val="Strong"/>
          <w:b/>
          <w:bCs w:val="0"/>
        </w:rPr>
        <w:t>4.4.2 Positioning the Four Paradigms</w:t>
      </w:r>
      <w:bookmarkEnd w:id="175"/>
      <w:bookmarkEnd w:id="176"/>
    </w:p>
    <w:p w14:paraId="21D7A9A5" w14:textId="5306FA71"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The four paradigms established by Burrell and Morgan (197</w:t>
      </w:r>
      <w:r w:rsidR="003D7F29" w:rsidRPr="0053182F">
        <w:rPr>
          <w:color w:val="0F1115"/>
        </w:rPr>
        <w:t>9</w:t>
      </w:r>
      <w:r w:rsidRPr="0053182F">
        <w:rPr>
          <w:color w:val="0F1115"/>
        </w:rPr>
        <w:t>) represent fundamentally different ways of viewing the social and organisational world. Positioning research within this schema requires a conscious engagement with its underlying assumptions. The following breakdown details the application of these paradigms to the study.</w:t>
      </w:r>
    </w:p>
    <w:p w14:paraId="6493C70E" w14:textId="77777777" w:rsidR="003D76AC" w:rsidRPr="0053182F" w:rsidRDefault="003D76AC" w:rsidP="00746DC4">
      <w:pPr>
        <w:pStyle w:val="ds-markdown-paragraph"/>
        <w:shd w:val="clear" w:color="auto" w:fill="FFFFFF"/>
        <w:spacing w:before="0" w:beforeAutospacing="0" w:after="0" w:afterAutospacing="0" w:line="480" w:lineRule="auto"/>
        <w:jc w:val="both"/>
        <w:rPr>
          <w:color w:val="0F1115"/>
        </w:rPr>
      </w:pPr>
    </w:p>
    <w:p w14:paraId="6993E6DF" w14:textId="77777777" w:rsidR="00746DC4" w:rsidRPr="0053182F" w:rsidRDefault="00746DC4" w:rsidP="005D24B9">
      <w:pPr>
        <w:pStyle w:val="ds-markdown-paragraph"/>
        <w:shd w:val="clear" w:color="auto" w:fill="FFFFFF"/>
        <w:spacing w:before="0" w:beforeAutospacing="0" w:after="0" w:afterAutospacing="0" w:line="480" w:lineRule="auto"/>
        <w:jc w:val="both"/>
        <w:rPr>
          <w:color w:val="0F1115"/>
        </w:rPr>
      </w:pPr>
      <w:r w:rsidRPr="0053182F">
        <w:rPr>
          <w:rStyle w:val="Strong"/>
          <w:rFonts w:eastAsiaTheme="majorEastAsia"/>
          <w:color w:val="0F1115"/>
        </w:rPr>
        <w:t>1. The Functionalist Paradigm (Objective-Regulation):</w:t>
      </w:r>
    </w:p>
    <w:p w14:paraId="6A0CE13C" w14:textId="3CABF1CA" w:rsidR="00746DC4" w:rsidRPr="0053182F" w:rsidRDefault="00746DC4" w:rsidP="005D24B9">
      <w:pPr>
        <w:pStyle w:val="ds-markdown-paragraph"/>
        <w:shd w:val="clear" w:color="auto" w:fill="FFFFFF" w:themeFill="background1"/>
        <w:spacing w:before="0" w:beforeAutospacing="0" w:after="0" w:afterAutospacing="0" w:line="480" w:lineRule="auto"/>
        <w:jc w:val="both"/>
      </w:pPr>
      <w:r w:rsidRPr="0053182F">
        <w:t xml:space="preserve">It assumes a realist ontology and a positivist epistemology, viewing social reality as objective and measurable. It seeks to explain and predict social phenomena through causal relationships, emphasising order, stability, and functional integration </w:t>
      </w:r>
      <w:sdt>
        <w:sdtPr>
          <w:rPr>
            <w:color w:val="000000"/>
          </w:rPr>
          <w:tag w:val="MENDELEY_CITATION_v3_eyJjaXRhdGlvbklEIjoiTUVOREVMRVlfQ0lUQVRJT05fNDQ3ZjM3NTQtZTJhNi00NTQ0LTljOWUtZDcyZDIwNzY3M2ExIiwicHJvcGVydGllcyI6eyJub3RlSW5kZXgiOjB9LCJpc0VkaXRlZCI6ZmFsc2UsIm1hbnVhbE92ZXJyaWRlIjp7ImlzTWFudWFsbHlPdmVycmlkZGVuIjpmYWxzZSwiY2l0ZXByb2NUZXh0IjoiKEJ1cnJlbGwgYW5kIE1vcmdhbiwgMTk3NjsgU2F1bmRlcnMgPGk+ZXQgYWwuPC9pPiwgMjAwO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
          <w:id w:val="707922928"/>
          <w:placeholder>
            <w:docPart w:val="C8CED14313D4429495C4673C4516B9C6"/>
          </w:placeholder>
        </w:sdtPr>
        <w:sdtContent>
          <w:r w:rsidR="00CC1788" w:rsidRPr="0053182F">
            <w:rPr>
              <w:color w:val="000000"/>
            </w:rPr>
            <w:t>(Burrell and Morgan, 197</w:t>
          </w:r>
          <w:r w:rsidR="003D7F29" w:rsidRPr="0053182F">
            <w:rPr>
              <w:color w:val="000000"/>
            </w:rPr>
            <w:t>9</w:t>
          </w:r>
          <w:r w:rsidR="00CC1788" w:rsidRPr="0053182F">
            <w:rPr>
              <w:color w:val="000000"/>
            </w:rPr>
            <w:t xml:space="preserve">; Saunders </w:t>
          </w:r>
          <w:r w:rsidR="00CC1788" w:rsidRPr="0053182F">
            <w:rPr>
              <w:i/>
              <w:iCs/>
              <w:color w:val="000000"/>
            </w:rPr>
            <w:t>et al.</w:t>
          </w:r>
          <w:r w:rsidR="00CC1788" w:rsidRPr="0053182F">
            <w:rPr>
              <w:color w:val="000000"/>
            </w:rPr>
            <w:t>, 2009)</w:t>
          </w:r>
        </w:sdtContent>
      </w:sdt>
      <w:r w:rsidR="00462985" w:rsidRPr="0053182F">
        <w:t xml:space="preserve">. </w:t>
      </w:r>
      <w:r w:rsidRPr="0053182F">
        <w:t xml:space="preserve">Within this paradigm, organisations are seen as rational systems responding to external constraints. NIT is most frequently applied within this tradition, conceptualising institutional pressures — coercive, normative, and mimetic — as external, measurable forces that shape organisational behaviour </w:t>
      </w:r>
      <w:sdt>
        <w:sdtPr>
          <w:rPr>
            <w:color w:val="000000"/>
          </w:rPr>
          <w:tag w:val="MENDELEY_CITATION_v3_eyJjaXRhdGlvbklEIjoiTUVOREVMRVlfQ0lUQVRJT05fZjUwZmI2MDMtNjBlZS00YzRhLWExOTktMjA4Zjg4MzcxZTFj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518263049"/>
          <w:placeholder>
            <w:docPart w:val="D67399AE36DA45C5B8C35A0609FD182E"/>
          </w:placeholder>
        </w:sdtPr>
        <w:sdtContent>
          <w:r w:rsidR="00CC1788" w:rsidRPr="0053182F">
            <w:rPr>
              <w:color w:val="000000"/>
            </w:rPr>
            <w:t>(DiMaggio and Powell, 1983; Scott, 2013)</w:t>
          </w:r>
        </w:sdtContent>
      </w:sdt>
      <w:r w:rsidRPr="0053182F">
        <w:t xml:space="preserve">. This approach aligns closely with the macro and meso components of this research, in which statistical analysis </w:t>
      </w:r>
      <w:r w:rsidR="00445C8E" w:rsidRPr="0053182F">
        <w:t>examines</w:t>
      </w:r>
      <w:r w:rsidRPr="0053182F">
        <w:t xml:space="preserve"> relationships among governance quality, corporate sustainability initiatives, and anti-modern-slavery commitments.</w:t>
      </w:r>
    </w:p>
    <w:p w14:paraId="0B29AE0A" w14:textId="77777777" w:rsidR="00746DC4" w:rsidRPr="0053182F" w:rsidRDefault="00746DC4" w:rsidP="005D24B9">
      <w:pPr>
        <w:pStyle w:val="ds-markdown-paragraph"/>
        <w:shd w:val="clear" w:color="auto" w:fill="FFFFFF" w:themeFill="background1"/>
        <w:spacing w:before="0" w:beforeAutospacing="0" w:after="0" w:afterAutospacing="0" w:line="480" w:lineRule="auto"/>
        <w:jc w:val="both"/>
        <w:rPr>
          <w:color w:val="0F1115"/>
        </w:rPr>
      </w:pPr>
      <w:r w:rsidRPr="0053182F">
        <w:rPr>
          <w:rStyle w:val="Strong"/>
          <w:rFonts w:eastAsiaTheme="majorEastAsia"/>
          <w:color w:val="0F1115"/>
        </w:rPr>
        <w:t>2. The Interpretivist Paradigm (Subjective-Regulation):</w:t>
      </w:r>
    </w:p>
    <w:p w14:paraId="5906770B" w14:textId="41A75E0C" w:rsidR="00746DC4" w:rsidRPr="0053182F" w:rsidRDefault="00746DC4" w:rsidP="005D24B9">
      <w:pPr>
        <w:spacing w:after="0" w:line="480" w:lineRule="auto"/>
        <w:jc w:val="both"/>
      </w:pPr>
      <w:r w:rsidRPr="0053182F">
        <w:t xml:space="preserve">It assumes that reality is socially constructed through shared meanings, discourses, and interactions </w:t>
      </w:r>
      <w:sdt>
        <w:sdtPr>
          <w:tag w:val="MENDELEY_CITATION_v3_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"/>
          <w:id w:val="1805423894"/>
          <w:placeholder>
            <w:docPart w:val="16CD28467BB640B78EB5BE530ECD04DC"/>
          </w:placeholder>
        </w:sdtPr>
        <w:sdtContent>
          <w:r w:rsidR="00CC1788" w:rsidRPr="0053182F">
            <w:t>(Guba and Lincoln, 2005)</w:t>
          </w:r>
        </w:sdtContent>
      </w:sdt>
      <w:r w:rsidR="006E4BAE" w:rsidRPr="0053182F">
        <w:t xml:space="preserve">. </w:t>
      </w:r>
      <w:r w:rsidRPr="0053182F">
        <w:t xml:space="preserve">Knowledge is created through understanding how individuals interpret their social worlds. This paradigm underpins the micro-level component of the study, which investigates the lived experiences of workers and managers in Sri Lanka’s A&amp;TI. Here, NIT is interpreted less as a static explanatory model and more as a </w:t>
      </w:r>
      <w:r w:rsidRPr="0053182F">
        <w:rPr>
          <w:i/>
          <w:iCs/>
        </w:rPr>
        <w:t>lens</w:t>
      </w:r>
      <w:r w:rsidRPr="0053182F">
        <w:t xml:space="preserve"> for understanding how institutional pressures are enacted, resisted, or reinterpreted in local contexts — thereby exposing processes of </w:t>
      </w:r>
      <w:r w:rsidRPr="0053182F">
        <w:rPr>
          <w:i/>
          <w:iCs/>
        </w:rPr>
        <w:t>decoupling</w:t>
      </w:r>
      <w:r w:rsidRPr="0053182F">
        <w:t xml:space="preserve"> between formal policies and lived realities (Bromley </w:t>
      </w:r>
      <w:r w:rsidR="006E4BAE" w:rsidRPr="0053182F">
        <w:t>and</w:t>
      </w:r>
      <w:r w:rsidRPr="0053182F">
        <w:t xml:space="preserve"> Powell, 2012; LeBaron, 2020).</w:t>
      </w:r>
    </w:p>
    <w:p w14:paraId="6811D0C9" w14:textId="77777777" w:rsidR="00746DC4" w:rsidRPr="0053182F" w:rsidRDefault="00746DC4" w:rsidP="005D24B9">
      <w:pPr>
        <w:pStyle w:val="ds-markdown-paragraph"/>
        <w:shd w:val="clear" w:color="auto" w:fill="FFFFFF" w:themeFill="background1"/>
        <w:spacing w:before="0" w:beforeAutospacing="0" w:after="0" w:afterAutospacing="0" w:line="480" w:lineRule="auto"/>
        <w:jc w:val="both"/>
        <w:rPr>
          <w:color w:val="0F1115"/>
        </w:rPr>
      </w:pPr>
      <w:r w:rsidRPr="0053182F">
        <w:rPr>
          <w:rStyle w:val="Strong"/>
          <w:rFonts w:eastAsiaTheme="majorEastAsia"/>
          <w:color w:val="0F1115"/>
        </w:rPr>
        <w:t>3. The Radical Humanist Paradigm (Subjective - Radical Change):</w:t>
      </w:r>
    </w:p>
    <w:p w14:paraId="0E83AF86" w14:textId="3BF1545F" w:rsidR="00746DC4" w:rsidRPr="0053182F" w:rsidRDefault="00746DC4" w:rsidP="005D24B9">
      <w:pPr>
        <w:pStyle w:val="ds-markdown-paragraph"/>
        <w:shd w:val="clear" w:color="auto" w:fill="FFFFFF" w:themeFill="background1"/>
        <w:spacing w:before="0" w:beforeAutospacing="0" w:after="0" w:afterAutospacing="0" w:line="480" w:lineRule="auto"/>
        <w:jc w:val="both"/>
        <w:rPr>
          <w:color w:val="0F1115"/>
        </w:rPr>
      </w:pPr>
      <w:r w:rsidRPr="0053182F">
        <w:t xml:space="preserve">It contributes a critical dimension to the analysis by recognising that global capitalism and transnational governance structures create systemic conditions that reproduce inequality and exploitation </w:t>
      </w:r>
      <w:sdt>
        <w:sdtPr>
          <w:rPr>
            <w:color w:val="000000"/>
          </w:rPr>
          <w:tag w:val="MENDELEY_CITATION_v3_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n0sImlzVGVtcG9yYXJ5IjpmYWxzZX1dfQ=="/>
          <w:id w:val="-1197081886"/>
          <w:placeholder>
            <w:docPart w:val="050BB1CFD7084D6A9B1DC828FC8EBA8D"/>
          </w:placeholder>
        </w:sdtPr>
        <w:sdtContent>
          <w:r w:rsidR="00CC1788" w:rsidRPr="0053182F">
            <w:rPr>
              <w:color w:val="000000"/>
            </w:rPr>
            <w:t>(Guba and Lincoln, 2005; Morgan, 2007)</w:t>
          </w:r>
        </w:sdtContent>
      </w:sdt>
      <w:r w:rsidR="00440E4E" w:rsidRPr="0053182F">
        <w:rPr>
          <w:color w:val="000000"/>
        </w:rPr>
        <w:t xml:space="preserve">. </w:t>
      </w:r>
      <w:r w:rsidRPr="0053182F">
        <w:t>While the primary orientation of this study is not revolutionary, it incorporates insights from this paradigm to interrogate the structural contradictions inherent in global production systems — where profit imperatives perpetuate coercive labour practices even under extensive regulation. This infusion of radical structuralist thinking complements NIT’s focus on legitimacy and conformity by foregrounding power asymmetries and the structural reproduction of exploitation.</w:t>
      </w:r>
    </w:p>
    <w:p w14:paraId="6CF16EDC" w14:textId="77777777" w:rsidR="00746DC4" w:rsidRPr="0053182F" w:rsidRDefault="00746DC4" w:rsidP="00746DC4">
      <w:pPr>
        <w:spacing w:after="0" w:line="480" w:lineRule="auto"/>
        <w:rPr>
          <w:color w:val="0F1115"/>
        </w:rPr>
      </w:pPr>
      <w:r w:rsidRPr="0053182F">
        <w:rPr>
          <w:b/>
        </w:rPr>
        <w:t>4. The Radical Structuralist Paradigm (Objective - Radical Change):</w:t>
      </w:r>
    </w:p>
    <w:p w14:paraId="0536DD32" w14:textId="43079B39" w:rsidR="00746DC4" w:rsidRPr="0053182F" w:rsidRDefault="00746DC4" w:rsidP="00746DC4">
      <w:pPr>
        <w:spacing w:after="0" w:line="480" w:lineRule="auto"/>
        <w:jc w:val="both"/>
      </w:pPr>
      <w:r w:rsidRPr="0053182F">
        <w:t xml:space="preserve">The radical humanist paradigm, though less directly applied, provides philosophical resonance with emancipatory aims embedded in MS research — namely, to challenge oppressive narratives and amplify marginalised voices </w:t>
      </w:r>
      <w:sdt>
        <w:sdtPr>
          <w:tag w:val="MENDELEY_CITATION_v3_eyJjaXRhdGlvbklEIjoiTUVOREVMRVlfQ0lUQVRJT05fNGY4MWNmN2QtMTlhNC00MWY1LTkxODgtZDUyNTkwZjQxNDI5IiwicHJvcGVydGllcyI6eyJub3RlSW5kZXgiOjB9LCJpc0VkaXRlZCI6ZmFsc2UsIm1hbnVhbE92ZXJyaWRlIjp7ImlzTWFudWFsbHlPdmVycmlkZGVuIjpmYWxzZSwiY2l0ZXByb2NUZXh0IjoiKEJ1cnJlbGwgYW5kIE1vcmdhbiwgMTk3NjsgR3ViYSBhbmQgTGluY29sbiwgMjAwN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"/>
          <w:id w:val="670293413"/>
          <w:placeholder>
            <w:docPart w:val="4DCEB85160F14CA7927A29F205728577"/>
          </w:placeholder>
        </w:sdtPr>
        <w:sdtContent>
          <w:r w:rsidR="00CC1788" w:rsidRPr="0053182F">
            <w:t>(Burrell and Morgan, 197</w:t>
          </w:r>
          <w:r w:rsidR="003D7F29" w:rsidRPr="0053182F">
            <w:t>9</w:t>
          </w:r>
          <w:r w:rsidR="00CC1788" w:rsidRPr="0053182F">
            <w:t>; Guba and Lincoln, 2005)</w:t>
          </w:r>
        </w:sdtContent>
      </w:sdt>
      <w:r w:rsidRPr="0053182F">
        <w:t>. Its emphasis on ideological critique informs the qualitative interpretation of CMS disclosures as rhetorical tools that can both reveal and obscure organisational complicity.</w:t>
      </w:r>
    </w:p>
    <w:p w14:paraId="24D0709A" w14:textId="77777777" w:rsidR="00746DC4" w:rsidRPr="0053182F" w:rsidRDefault="00746DC4" w:rsidP="00746DC4">
      <w:pPr>
        <w:spacing w:after="0" w:line="480" w:lineRule="auto"/>
        <w:ind w:firstLine="720"/>
        <w:jc w:val="both"/>
        <w:rPr>
          <w:color w:val="0F1115"/>
        </w:rPr>
      </w:pPr>
      <w:r w:rsidRPr="0053182F">
        <w:t>By engaging across these paradigms, the study positions itself within a pragmatic worldview that transcends rigid philosophical boundaries. Following the arguments of Creswell (2014) and Morgan (2007), the research problem — understanding the dual realities of institutional compliance and worker exploitation — takes precedence over adherence to a single paradigm. Pragmatism permits the integration of functionalist (quantitative) and interpretivist (qualitative) traditions while maintaining a critical awareness of structural power dynamics. This alignment ensures methodological pluralism without philosophical inconsistency, enabling a more holistic exploration of CMS that captures both measurable institutional patterns and lived social realities.</w:t>
      </w:r>
      <w:r w:rsidRPr="0053182F">
        <w:rPr>
          <w:color w:val="0F1115"/>
        </w:rPr>
        <w:t xml:space="preserve"> </w:t>
      </w:r>
    </w:p>
    <w:p w14:paraId="6B7C8894" w14:textId="77777777" w:rsidR="00746DC4" w:rsidRPr="0053182F" w:rsidRDefault="00746DC4" w:rsidP="00746DC4">
      <w:pPr>
        <w:pStyle w:val="ds-markdown-paragraph"/>
        <w:shd w:val="clear" w:color="auto" w:fill="FFFFFF" w:themeFill="background1"/>
        <w:spacing w:before="0" w:beforeAutospacing="0" w:after="0" w:afterAutospacing="0" w:line="480" w:lineRule="auto"/>
        <w:ind w:firstLine="720"/>
        <w:jc w:val="both"/>
        <w:rPr>
          <w:color w:val="0F1115"/>
        </w:rPr>
      </w:pPr>
      <w:r w:rsidRPr="0053182F">
        <w:rPr>
          <w:color w:val="0F1115"/>
        </w:rPr>
        <w:t>For a study of CMS, this framework is invaluable. It reveals that a purely functionalist approach (e.g., quantifying SGI adoption alone) risks accepting corporate disclosures at face value and overlooking the human experience. A purely interpretivist approach, while rich in meaning, may lack critical bite. Engaging with the radical paradigms provides the critical tools to ask </w:t>
      </w:r>
      <w:r w:rsidRPr="0053182F">
        <w:rPr>
          <w:rStyle w:val="Emphasis"/>
          <w:rFonts w:eastAsiaTheme="majorEastAsia"/>
          <w:color w:val="0F1115"/>
        </w:rPr>
        <w:t>why</w:t>
      </w:r>
      <w:r w:rsidRPr="0053182F">
        <w:rPr>
          <w:color w:val="0F1115"/>
        </w:rPr>
        <w:t> these structures of exploitation persist and whose interests they ultimately serve.</w:t>
      </w:r>
    </w:p>
    <w:p w14:paraId="23907E4B" w14:textId="04F25C08" w:rsidR="00746DC4" w:rsidRPr="0053182F" w:rsidRDefault="00746DC4" w:rsidP="00746DC4">
      <w:pPr>
        <w:pStyle w:val="Heading2"/>
        <w:rPr>
          <w:rFonts w:eastAsia="Times New Roman"/>
        </w:rPr>
      </w:pPr>
      <w:bookmarkStart w:id="177" w:name="_Toc215651826"/>
      <w:bookmarkStart w:id="178" w:name="_Toc218357120"/>
      <w:r w:rsidRPr="0053182F">
        <w:rPr>
          <w:rFonts w:eastAsia="Times New Roman"/>
        </w:rPr>
        <w:t xml:space="preserve">4.5 The </w:t>
      </w:r>
      <w:r w:rsidR="009320D5" w:rsidRPr="0053182F">
        <w:rPr>
          <w:rFonts w:eastAsia="Times New Roman"/>
        </w:rPr>
        <w:t>P</w:t>
      </w:r>
      <w:r w:rsidRPr="0053182F">
        <w:rPr>
          <w:rFonts w:eastAsia="Times New Roman"/>
        </w:rPr>
        <w:t xml:space="preserve">ragmatic </w:t>
      </w:r>
      <w:r w:rsidR="009320D5" w:rsidRPr="0053182F">
        <w:rPr>
          <w:rFonts w:eastAsia="Times New Roman"/>
        </w:rPr>
        <w:t>W</w:t>
      </w:r>
      <w:r w:rsidRPr="0053182F">
        <w:rPr>
          <w:rFonts w:eastAsia="Times New Roman"/>
        </w:rPr>
        <w:t>orldview</w:t>
      </w:r>
      <w:bookmarkEnd w:id="177"/>
      <w:bookmarkEnd w:id="178"/>
      <w:r w:rsidRPr="0053182F">
        <w:rPr>
          <w:rFonts w:eastAsia="Times New Roman"/>
        </w:rPr>
        <w:t> </w:t>
      </w:r>
    </w:p>
    <w:p w14:paraId="7949C5B4" w14:textId="0692C2EC" w:rsidR="00746DC4" w:rsidRPr="0053182F" w:rsidRDefault="00746DC4" w:rsidP="00746DC4">
      <w:pPr>
        <w:pStyle w:val="ds-markdown-paragraph"/>
        <w:shd w:val="clear" w:color="auto" w:fill="FFFFFF" w:themeFill="background1"/>
        <w:spacing w:before="0" w:beforeAutospacing="0" w:after="0" w:afterAutospacing="0" w:line="480" w:lineRule="auto"/>
        <w:jc w:val="both"/>
        <w:rPr>
          <w:color w:val="0F1115"/>
        </w:rPr>
      </w:pPr>
      <w:r w:rsidRPr="0053182F">
        <w:rPr>
          <w:color w:val="0F1115"/>
        </w:rPr>
        <w:t xml:space="preserve"> Pragmatic researchers prioritise understanding the research problem over adhering strictly to specific methodologies. They advocate using a variety of approaches to gain insights into the problem, drawing on both quantitative and qualitative assumptions as needed (Creswell, 2014). This freedom of choice allows researchers to select the methods, techniques, and procedures that best suit their research objectives </w:t>
      </w:r>
      <w:sdt>
        <w:sdtPr>
          <w:rPr>
            <w:color w:val="000000"/>
          </w:rPr>
          <w:tag w:val="MENDELEY_CITATION_v3_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"/>
          <w:id w:val="-1270534313"/>
          <w:placeholder>
            <w:docPart w:val="366C8FAAE48C47248CD7728B657AA205"/>
          </w:placeholder>
        </w:sdtPr>
        <w:sdtContent>
          <w:r w:rsidR="00CC1788" w:rsidRPr="0053182F">
            <w:rPr>
              <w:color w:val="000000"/>
            </w:rPr>
            <w:t>(Bergman, 2008; Creswell, 2014; Gibson, 2017; Teddlie and Tashakkori, 2009)</w:t>
          </w:r>
        </w:sdtContent>
      </w:sdt>
      <w:r w:rsidRPr="0053182F">
        <w:rPr>
          <w:color w:val="0F1115"/>
        </w:rPr>
        <w:t>​. This pragmatism provides the philosophical basis for the research below. </w:t>
      </w:r>
    </w:p>
    <w:p w14:paraId="1E328F04" w14:textId="77777777" w:rsidR="00746DC4" w:rsidRPr="0053182F" w:rsidRDefault="00746DC4" w:rsidP="00746DC4">
      <w:pPr>
        <w:pStyle w:val="ds-markdown-paragraph"/>
        <w:numPr>
          <w:ilvl w:val="0"/>
          <w:numId w:val="15"/>
        </w:numPr>
        <w:shd w:val="clear" w:color="auto" w:fill="FFFFFF"/>
        <w:spacing w:before="0" w:beforeAutospacing="0" w:after="0" w:afterAutospacing="0" w:line="480" w:lineRule="auto"/>
        <w:rPr>
          <w:color w:val="0F1115"/>
        </w:rPr>
      </w:pPr>
      <w:r w:rsidRPr="0053182F">
        <w:rPr>
          <w:color w:val="0F1115"/>
        </w:rPr>
        <w:t>Pragmatism is connected with multiple philosophies or realities. It incorporates both quantitative and qualitative assumptions to explore their inquiries. </w:t>
      </w:r>
    </w:p>
    <w:p w14:paraId="14A5536A" w14:textId="77777777" w:rsidR="00746DC4" w:rsidRPr="0053182F" w:rsidRDefault="00746DC4" w:rsidP="00746DC4">
      <w:pPr>
        <w:pStyle w:val="ds-markdown-paragraph"/>
        <w:numPr>
          <w:ilvl w:val="0"/>
          <w:numId w:val="15"/>
        </w:numPr>
        <w:shd w:val="clear" w:color="auto" w:fill="FFFFFF"/>
        <w:spacing w:before="0" w:beforeAutospacing="0" w:after="0" w:afterAutospacing="0" w:line="480" w:lineRule="auto"/>
        <w:rPr>
          <w:color w:val="0F1115"/>
        </w:rPr>
      </w:pPr>
      <w:r w:rsidRPr="0053182F">
        <w:rPr>
          <w:color w:val="0F1115"/>
        </w:rPr>
        <w:t>Researchers have freedom of choice within pragmatism, enabling them to select the methods, techniques, practices, and procedures that best align with their research objectives and personal inclinations. </w:t>
      </w:r>
    </w:p>
    <w:p w14:paraId="257DBD83" w14:textId="77777777" w:rsidR="00746DC4" w:rsidRPr="0053182F" w:rsidRDefault="00746DC4" w:rsidP="00746DC4">
      <w:pPr>
        <w:pStyle w:val="ds-markdown-paragraph"/>
        <w:numPr>
          <w:ilvl w:val="0"/>
          <w:numId w:val="16"/>
        </w:numPr>
        <w:shd w:val="clear" w:color="auto" w:fill="FFFFFF"/>
        <w:spacing w:before="0" w:beforeAutospacing="0" w:after="0" w:afterAutospacing="0" w:line="480" w:lineRule="auto"/>
        <w:jc w:val="both"/>
        <w:rPr>
          <w:color w:val="0F1115"/>
        </w:rPr>
      </w:pPr>
      <w:r w:rsidRPr="0053182F">
        <w:rPr>
          <w:color w:val="0F1115"/>
        </w:rPr>
        <w:t>Pragmatists view the world as lacking absolute unity, akin to mixed-methods researchers who adopt multiple approaches to data collection and analysis rather than adhering strictly to a single methodology. </w:t>
      </w:r>
    </w:p>
    <w:p w14:paraId="63DC0050" w14:textId="3D3983F6" w:rsidR="00746DC4" w:rsidRPr="0053182F" w:rsidRDefault="00746DC4" w:rsidP="00746DC4">
      <w:pPr>
        <w:pStyle w:val="ds-markdown-paragraph"/>
        <w:numPr>
          <w:ilvl w:val="0"/>
          <w:numId w:val="17"/>
        </w:numPr>
        <w:shd w:val="clear" w:color="auto" w:fill="FFFFFF"/>
        <w:spacing w:before="0" w:beforeAutospacing="0" w:after="0" w:afterAutospacing="0" w:line="480" w:lineRule="auto"/>
        <w:jc w:val="both"/>
        <w:rPr>
          <w:color w:val="0F1115"/>
        </w:rPr>
      </w:pPr>
      <w:r w:rsidRPr="0053182F">
        <w:rPr>
          <w:color w:val="0F1115"/>
        </w:rPr>
        <w:t xml:space="preserve">Truth holds paramount importance </w:t>
      </w:r>
      <w:r w:rsidR="00445C8E" w:rsidRPr="0053182F">
        <w:rPr>
          <w:color w:val="0F1115"/>
        </w:rPr>
        <w:t>in pragmatism, leading mixed-</w:t>
      </w:r>
      <w:r w:rsidRPr="0053182F">
        <w:rPr>
          <w:color w:val="0F1115"/>
        </w:rPr>
        <w:t>methods investigators to utilise both quantitative and qualitative data to offer the most comprehensive understanding of a research problem. </w:t>
      </w:r>
    </w:p>
    <w:p w14:paraId="0A04DFF9" w14:textId="77777777" w:rsidR="00746DC4" w:rsidRPr="0053182F" w:rsidRDefault="00746DC4" w:rsidP="00746DC4">
      <w:pPr>
        <w:pStyle w:val="ds-markdown-paragraph"/>
        <w:numPr>
          <w:ilvl w:val="0"/>
          <w:numId w:val="17"/>
        </w:numPr>
        <w:shd w:val="clear" w:color="auto" w:fill="FFFFFF"/>
        <w:spacing w:before="0" w:beforeAutospacing="0" w:after="0" w:afterAutospacing="0" w:line="480" w:lineRule="auto"/>
        <w:jc w:val="both"/>
        <w:rPr>
          <w:color w:val="0F1115"/>
        </w:rPr>
      </w:pPr>
      <w:r w:rsidRPr="0053182F">
        <w:rPr>
          <w:color w:val="0F1115"/>
        </w:rPr>
        <w:t>Pragmatists recognise the necessity of establishing a purpose for integrating methods, providing a rationale for combining qualitative and quantitative data in research endeavours. </w:t>
      </w:r>
    </w:p>
    <w:p w14:paraId="7810FDF0" w14:textId="77777777" w:rsidR="00746DC4" w:rsidRPr="0053182F" w:rsidRDefault="00746DC4" w:rsidP="00746DC4">
      <w:pPr>
        <w:pStyle w:val="ds-markdown-paragraph"/>
        <w:numPr>
          <w:ilvl w:val="0"/>
          <w:numId w:val="18"/>
        </w:numPr>
        <w:shd w:val="clear" w:color="auto" w:fill="FFFFFF"/>
        <w:spacing w:before="0" w:beforeAutospacing="0" w:after="0" w:afterAutospacing="0" w:line="480" w:lineRule="auto"/>
        <w:jc w:val="both"/>
        <w:rPr>
          <w:color w:val="0F1115"/>
        </w:rPr>
      </w:pPr>
      <w:r w:rsidRPr="0053182F">
        <w:rPr>
          <w:color w:val="0F1115"/>
        </w:rPr>
        <w:t>Embracing a pragmatist worldview affords mixed-methods researchers opportunities to explore various methodologies, diverse worldviews, and differing assumptions, as well as a range of techniques for collecting and analysing data. </w:t>
      </w:r>
    </w:p>
    <w:p w14:paraId="3EEAE004" w14:textId="3CB605DC" w:rsidR="00746DC4" w:rsidRPr="0053182F" w:rsidRDefault="00746DC4" w:rsidP="00746DC4">
      <w:pPr>
        <w:pStyle w:val="ds-markdown-paragraph"/>
        <w:shd w:val="clear" w:color="auto" w:fill="FFFFFF" w:themeFill="background1"/>
        <w:spacing w:before="0" w:beforeAutospacing="0" w:after="0" w:afterAutospacing="0" w:line="480" w:lineRule="auto"/>
        <w:ind w:firstLine="720"/>
        <w:jc w:val="both"/>
        <w:rPr>
          <w:color w:val="0F1115"/>
        </w:rPr>
      </w:pPr>
      <w:r w:rsidRPr="0053182F">
        <w:rPr>
          <w:color w:val="0F1115"/>
        </w:rPr>
        <w:t>In the research paradigm of this study, the theoretical framework is anchored in pragmatism, as outlined by ​</w:t>
      </w:r>
      <w:sdt>
        <w:sdtPr>
          <w:rPr>
            <w:color w:val="000000"/>
          </w:rPr>
          <w:tag w:val="MENDELEY_CITATION_v3_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"/>
          <w:id w:val="-1991697624"/>
          <w:placeholder>
            <w:docPart w:val="366C8FAAE48C47248CD7728B657AA205"/>
          </w:placeholder>
        </w:sdtPr>
        <w:sdtContent>
          <w:r w:rsidR="00CC1788" w:rsidRPr="0053182F">
            <w:rPr>
              <w:color w:val="000000"/>
            </w:rPr>
            <w:t>Collis and Hussey (2021)</w:t>
          </w:r>
        </w:sdtContent>
      </w:sdt>
      <w:r w:rsidRPr="0053182F">
        <w:rPr>
          <w:color w:val="000000" w:themeColor="text1"/>
        </w:rPr>
        <w:t>.</w:t>
      </w:r>
      <w:r w:rsidRPr="0053182F">
        <w:rPr>
          <w:color w:val="0F1115"/>
        </w:rPr>
        <w:t xml:space="preserve"> Pragmatism serves as the guiding philosophy that shapes the overall research approach, particularly in addressing the complex phenomenon of MS. This paradigm recognises the inherent complexities and nuances of MS and emphasises the need for a flexible, adaptive research methodology that can effectively capture and address them. Within this paradigm, the integration of diverse research methods, including both qualitative and quantitative approaches, is encouraged to provide a comprehensive understanding of CMS practices. By embracing pragmatism within the research paradigm, the study aims to navigate the intricacies of CMS, capitalise on the strengths of various research methods, and generate insights to inform evidence-based interventions and policy decisions to combat CMS effectively.  </w:t>
      </w:r>
    </w:p>
    <w:p w14:paraId="53A0CECC" w14:textId="77777777" w:rsidR="00746DC4" w:rsidRPr="0053182F" w:rsidRDefault="00746DC4" w:rsidP="00746DC4">
      <w:pPr>
        <w:pStyle w:val="Heading2"/>
      </w:pPr>
      <w:bookmarkStart w:id="179" w:name="_Toc215651827"/>
      <w:bookmarkStart w:id="180" w:name="_Toc218357121"/>
      <w:r w:rsidRPr="0053182F">
        <w:rPr>
          <w:rStyle w:val="Strong"/>
          <w:b/>
        </w:rPr>
        <w:t>4.6 Justifying the Study’s Pragmatic Paradigm</w:t>
      </w:r>
      <w:bookmarkEnd w:id="179"/>
      <w:bookmarkEnd w:id="180"/>
    </w:p>
    <w:p w14:paraId="5B2A3DAD" w14:textId="77777777" w:rsidR="00746DC4" w:rsidRPr="0053182F" w:rsidRDefault="00746DC4" w:rsidP="00746DC4">
      <w:pPr>
        <w:pStyle w:val="Heading3"/>
      </w:pPr>
      <w:bookmarkStart w:id="181" w:name="_Toc215651828"/>
      <w:bookmarkStart w:id="182" w:name="_Toc218357122"/>
      <w:r w:rsidRPr="0053182F">
        <w:rPr>
          <w:rStyle w:val="Strong"/>
          <w:b/>
          <w:bCs w:val="0"/>
        </w:rPr>
        <w:t>4.6.1 Moving Beyond the Paradigms</w:t>
      </w:r>
      <w:bookmarkEnd w:id="181"/>
      <w:bookmarkEnd w:id="182"/>
    </w:p>
    <w:p w14:paraId="7E8D0051" w14:textId="255A05E8" w:rsidR="00746DC4" w:rsidRPr="0053182F" w:rsidRDefault="00746DC4" w:rsidP="00746DC4">
      <w:pPr>
        <w:pStyle w:val="ds-markdown-paragraph"/>
        <w:shd w:val="clear" w:color="auto" w:fill="FFFFFF" w:themeFill="background1"/>
        <w:spacing w:before="0" w:beforeAutospacing="0" w:after="0" w:afterAutospacing="0" w:line="480" w:lineRule="auto"/>
        <w:jc w:val="both"/>
        <w:rPr>
          <w:color w:val="0F1115"/>
        </w:rPr>
      </w:pPr>
      <w:r w:rsidRPr="0053182F">
        <w:rPr>
          <w:color w:val="0F1115"/>
        </w:rPr>
        <w:t>This study consciously adopts a</w:t>
      </w:r>
      <w:r w:rsidRPr="0053182F">
        <w:rPr>
          <w:b/>
          <w:bCs/>
          <w:color w:val="0F1115"/>
        </w:rPr>
        <w:t> </w:t>
      </w:r>
      <w:r w:rsidRPr="0053182F">
        <w:rPr>
          <w:rStyle w:val="Strong"/>
          <w:rFonts w:eastAsiaTheme="majorEastAsia"/>
          <w:b w:val="0"/>
          <w:bCs w:val="0"/>
          <w:color w:val="0F1115"/>
        </w:rPr>
        <w:t>pragmatic approach</w:t>
      </w:r>
      <w:r w:rsidRPr="0053182F">
        <w:rPr>
          <w:color w:val="0F1115"/>
        </w:rPr>
        <w:t> that strategically transcends the rigid boundaries of the Burrell and Morgan (197</w:t>
      </w:r>
      <w:r w:rsidR="003D7F29" w:rsidRPr="0053182F">
        <w:rPr>
          <w:color w:val="0F1115"/>
        </w:rPr>
        <w:t>9</w:t>
      </w:r>
      <w:r w:rsidRPr="0053182F">
        <w:rPr>
          <w:color w:val="0F1115"/>
        </w:rPr>
        <w:t>) quadrants. While their framework is invaluable for diagnosing the philosophical assumptions underlying research, pragmatism offers a solution-oriented pathway that prioritises the </w:t>
      </w:r>
      <w:r w:rsidRPr="0053182F">
        <w:rPr>
          <w:rStyle w:val="Strong"/>
          <w:rFonts w:eastAsiaTheme="majorEastAsia"/>
          <w:b w:val="0"/>
          <w:bCs w:val="0"/>
          <w:color w:val="0F1115"/>
        </w:rPr>
        <w:t>research problem</w:t>
      </w:r>
      <w:r w:rsidRPr="0053182F">
        <w:rPr>
          <w:color w:val="0F1115"/>
        </w:rPr>
        <w:t xml:space="preserve"> over adherence to philosophical purity. Further, </w:t>
      </w:r>
      <w:sdt>
        <w:sdtPr>
          <w:rPr>
            <w:color w:val="000000"/>
          </w:rPr>
          <w:tag w:val="MENDELEY_CITATION_v3_eyJjaXRhdGlvbklEIjoiTUVOREVMRVlfQ0lUQVRJT05fZTYwYTVjODItYWM2Ni00ZGE4LTkzNDktM2Q3ZjdkZTNjOGM5IiwicHJvcGVydGllcyI6eyJub3RlSW5kZXgiOjB9LCJpc0VkaXRlZCI6ZmFsc2UsIm1hbnVhbE92ZXJyaWRlIjp7ImlzTWFudWFsbHlPdmVycmlkZGVuIjp0cnVlLCJjaXRlcHJvY1RleHQiOiIoQ3Jlc3dlbGwgYW5kIFBsYW5vLCAyMDE4KSIsIm1hbnVhbE92ZXJyaWRlVGV4dCI6IkNyZXN3ZWxsIGFuZCBQbGFubyBDbGFyayAoMjAxOCk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612447976"/>
          <w:placeholder>
            <w:docPart w:val="366C8FAAE48C47248CD7728B657AA205"/>
          </w:placeholder>
        </w:sdtPr>
        <w:sdtContent>
          <w:r w:rsidR="00CC1788" w:rsidRPr="0053182F">
            <w:rPr>
              <w:color w:val="000000"/>
            </w:rPr>
            <w:t>Creswell and Plano (2018)</w:t>
          </w:r>
        </w:sdtContent>
      </w:sdt>
      <w:r w:rsidRPr="0053182F">
        <w:rPr>
          <w:color w:val="000000" w:themeColor="text1"/>
        </w:rPr>
        <w:t xml:space="preserve"> </w:t>
      </w:r>
      <w:r w:rsidRPr="0053182F">
        <w:rPr>
          <w:color w:val="0F1115"/>
        </w:rPr>
        <w:t>argue that the value of a theory or method lies in its practical consequences and its utility in addressing a complex problem effectively.</w:t>
      </w:r>
    </w:p>
    <w:p w14:paraId="025227E7"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For this investigation into MS, the research problem itself is inherently multi-faceted, encompassing three interconnected levels of reality that together capture the structural and experiential complexity of the phenomenon:</w:t>
      </w:r>
    </w:p>
    <w:p w14:paraId="24D181CA" w14:textId="77777777" w:rsidR="00746DC4" w:rsidRPr="0053182F" w:rsidRDefault="00746DC4" w:rsidP="00746DC4">
      <w:pPr>
        <w:pStyle w:val="ds-markdown-paragraph"/>
        <w:numPr>
          <w:ilvl w:val="0"/>
          <w:numId w:val="13"/>
        </w:numPr>
        <w:shd w:val="clear" w:color="auto" w:fill="FFFFFF"/>
        <w:tabs>
          <w:tab w:val="num" w:pos="284"/>
        </w:tabs>
        <w:spacing w:before="0" w:beforeAutospacing="0" w:after="0" w:afterAutospacing="0" w:line="480" w:lineRule="auto"/>
        <w:ind w:left="284" w:hanging="284"/>
        <w:jc w:val="both"/>
        <w:rPr>
          <w:color w:val="0F1115"/>
        </w:rPr>
      </w:pPr>
      <w:r w:rsidRPr="0053182F">
        <w:rPr>
          <w:b/>
          <w:bCs/>
          <w:color w:val="0F1115"/>
        </w:rPr>
        <w:t>Macro-level:</w:t>
      </w:r>
      <w:r w:rsidRPr="0053182F">
        <w:rPr>
          <w:color w:val="0F1115"/>
        </w:rPr>
        <w:t xml:space="preserve"> The objective reality of global governance frameworks, institutional environments, and national regulatory systems that shape corporate accountability and labour standards across jurisdictions. This level is explored through quantitative indicators, including governance quality, development indices, and inequality measures.</w:t>
      </w:r>
    </w:p>
    <w:p w14:paraId="146CF70F" w14:textId="3A2B0417" w:rsidR="00746DC4" w:rsidRPr="0053182F" w:rsidRDefault="00746DC4" w:rsidP="00746DC4">
      <w:pPr>
        <w:pStyle w:val="ds-markdown-paragraph"/>
        <w:numPr>
          <w:ilvl w:val="0"/>
          <w:numId w:val="13"/>
        </w:numPr>
        <w:shd w:val="clear" w:color="auto" w:fill="FFFFFF"/>
        <w:spacing w:before="0" w:beforeAutospacing="0" w:after="0" w:afterAutospacing="0" w:line="480" w:lineRule="auto"/>
        <w:jc w:val="both"/>
        <w:rPr>
          <w:color w:val="0F1115"/>
        </w:rPr>
      </w:pPr>
      <w:r w:rsidRPr="0053182F">
        <w:rPr>
          <w:b/>
          <w:bCs/>
          <w:color w:val="0F1115"/>
        </w:rPr>
        <w:t>Meso-level:</w:t>
      </w:r>
      <w:r w:rsidRPr="0053182F">
        <w:rPr>
          <w:color w:val="0F1115"/>
        </w:rPr>
        <w:t xml:space="preserve"> The organisational and corporate governance reality, where firms respond to these macro pressures through SGIs, disclosure practices, and board-level oversight mechanisms. This level embodies the interface between institutional conformity and strategic agency, illustrating how coercive, normative, and mimetic forces operate within multinational corporations.</w:t>
      </w:r>
    </w:p>
    <w:p w14:paraId="334EA84E" w14:textId="77777777" w:rsidR="00746DC4" w:rsidRPr="0053182F" w:rsidRDefault="00746DC4" w:rsidP="00746DC4">
      <w:pPr>
        <w:pStyle w:val="ds-markdown-paragraph"/>
        <w:numPr>
          <w:ilvl w:val="0"/>
          <w:numId w:val="13"/>
        </w:numPr>
        <w:shd w:val="clear" w:color="auto" w:fill="FFFFFF"/>
        <w:spacing w:before="0" w:beforeAutospacing="0" w:after="0" w:afterAutospacing="0" w:line="480" w:lineRule="auto"/>
        <w:jc w:val="both"/>
        <w:rPr>
          <w:color w:val="0F1115"/>
        </w:rPr>
      </w:pPr>
      <w:r w:rsidRPr="0053182F">
        <w:rPr>
          <w:b/>
          <w:bCs/>
          <w:color w:val="0F1115"/>
        </w:rPr>
        <w:t>Micro-level:</w:t>
      </w:r>
      <w:r w:rsidRPr="0053182F">
        <w:rPr>
          <w:color w:val="0F1115"/>
        </w:rPr>
        <w:t xml:space="preserve"> The subjective reality of lived experiences, local practices, and hidden dynamics within global supply chains—revealed through worker interviews and surveys. This level captures how formal corporate commitments translate (or fail to translate) into tangible outcomes for workers, uncovering the everyday manifestations of institutional decoupling.</w:t>
      </w:r>
    </w:p>
    <w:p w14:paraId="6B9B9877" w14:textId="7DC481D4"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Together, these three levels represent the dual structure and dual reality of MS</w:t>
      </w:r>
      <w:r w:rsidR="00C47023" w:rsidRPr="0053182F">
        <w:rPr>
          <w:color w:val="0F1115"/>
        </w:rPr>
        <w:t xml:space="preserve">, </w:t>
      </w:r>
      <w:r w:rsidRPr="0053182F">
        <w:rPr>
          <w:color w:val="0F1115"/>
        </w:rPr>
        <w:t>where formal systems of governance coexist with informal practices of exploitation. Understanding MS thus requires a theoretical and methodological approach capable of bridging objective structures and subjective experiences, which this study achieves through its pragmatic integration of quantitative and qualitative inquiry within a Neo-Institutional theoretical lens</w:t>
      </w:r>
      <w:r w:rsidR="00B87106" w:rsidRPr="0053182F">
        <w:rPr>
          <w:color w:val="0F1115"/>
        </w:rPr>
        <w:t xml:space="preserve"> </w:t>
      </w:r>
      <w:sdt>
        <w:sdtPr>
          <w:rPr>
            <w:color w:val="000000"/>
          </w:rPr>
          <w:tag w:val="MENDELEY_CITATION_v3_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fSwiaXNUZW1wb3JhcnkiOmZhbHNlfV19"/>
          <w:id w:val="795410033"/>
          <w:placeholder>
            <w:docPart w:val="ABC41691CDCF4C51B21290DC0065E54D"/>
          </w:placeholder>
        </w:sdtPr>
        <w:sdtContent>
          <w:r w:rsidR="00CC1788" w:rsidRPr="0053182F">
            <w:rPr>
              <w:color w:val="000000"/>
            </w:rPr>
            <w:t>(Burrell and Morgan, 197</w:t>
          </w:r>
          <w:r w:rsidR="003D7F29" w:rsidRPr="0053182F">
            <w:rPr>
              <w:color w:val="000000"/>
            </w:rPr>
            <w:t>9</w:t>
          </w:r>
          <w:r w:rsidR="00CC1788" w:rsidRPr="0053182F">
            <w:rPr>
              <w:color w:val="000000"/>
            </w:rPr>
            <w:t>; Meyer and Rowan, 1977)</w:t>
          </w:r>
        </w:sdtContent>
      </w:sdt>
      <w:r w:rsidRPr="0053182F">
        <w:rPr>
          <w:color w:val="0F1115"/>
        </w:rPr>
        <w:t>.</w:t>
      </w:r>
    </w:p>
    <w:p w14:paraId="4B350F28" w14:textId="77777777" w:rsidR="00746DC4" w:rsidRPr="0053182F" w:rsidRDefault="00746DC4" w:rsidP="00746DC4">
      <w:pPr>
        <w:pStyle w:val="ds-markdown-paragraph"/>
        <w:shd w:val="clear" w:color="auto" w:fill="FFFFFF"/>
        <w:spacing w:before="0" w:beforeAutospacing="0" w:after="0" w:afterAutospacing="0" w:line="480" w:lineRule="auto"/>
        <w:ind w:firstLine="720"/>
        <w:jc w:val="both"/>
        <w:rPr>
          <w:color w:val="0F1115"/>
        </w:rPr>
      </w:pPr>
      <w:r w:rsidRPr="0053182F">
        <w:rPr>
          <w:color w:val="0F1115"/>
        </w:rPr>
        <w:t>A single paradigm is insufficient to capture this complexity. A purely Functionalist (objective) approach would quantify correlations but risk accepting corporate disclosures at face value, missing the human story and the mechanisms of decoupling. A purely Interpretivist (subjective) approach would provide a deep, contextual understanding of worker experiences but might lack the generalizability to explain broader patterns across the G500. The Radical paradigms, while offering crucial critical insight into power structures, are not designed for the empirical testing and detailed descriptive inquiry also required here.</w:t>
      </w:r>
    </w:p>
    <w:p w14:paraId="4D934A2C"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Therefore, pragmatism provides the necessary philosophical justification for a </w:t>
      </w:r>
      <w:r w:rsidRPr="0053182F">
        <w:rPr>
          <w:rStyle w:val="Strong"/>
          <w:rFonts w:eastAsiaTheme="majorEastAsia"/>
          <w:b w:val="0"/>
          <w:color w:val="0F1115"/>
        </w:rPr>
        <w:t>mixed-methods methodology (see Figure 4.2)</w:t>
      </w:r>
      <w:r w:rsidRPr="0053182F">
        <w:rPr>
          <w:color w:val="0F1115"/>
        </w:rPr>
        <w:t>. It rejects the forced choice between objective and subjective worldviews, instead asking: </w:t>
      </w:r>
      <w:r w:rsidRPr="0053182F">
        <w:rPr>
          <w:rStyle w:val="Emphasis"/>
          <w:rFonts w:eastAsiaTheme="majorEastAsia"/>
          <w:color w:val="0F1115"/>
        </w:rPr>
        <w:t>“What combination of methods and philosophical insights best helps us solve the problem of understanding and explaining the dual realities of MS?”</w:t>
      </w:r>
    </w:p>
    <w:p w14:paraId="26914F41"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The answer, for this study, is a deliberate and strategic integration:</w:t>
      </w:r>
    </w:p>
    <w:p w14:paraId="2F9A3F37" w14:textId="77777777" w:rsidR="00746DC4" w:rsidRPr="0053182F" w:rsidRDefault="00746DC4" w:rsidP="00746DC4">
      <w:pPr>
        <w:pStyle w:val="NormalWeb"/>
        <w:numPr>
          <w:ilvl w:val="0"/>
          <w:numId w:val="14"/>
        </w:numPr>
        <w:tabs>
          <w:tab w:val="clear" w:pos="720"/>
          <w:tab w:val="num" w:pos="284"/>
        </w:tabs>
        <w:spacing w:before="0" w:beforeAutospacing="0" w:after="0" w:afterAutospacing="0" w:line="480" w:lineRule="auto"/>
        <w:ind w:left="284" w:hanging="284"/>
        <w:jc w:val="both"/>
      </w:pPr>
      <w:r w:rsidRPr="0053182F">
        <w:rPr>
          <w:rStyle w:val="Strong"/>
          <w:rFonts w:eastAsiaTheme="majorEastAsia"/>
          <w:b w:val="0"/>
        </w:rPr>
        <w:t>At the macro level</w:t>
      </w:r>
      <w:r w:rsidRPr="0053182F">
        <w:rPr>
          <w:b/>
          <w:bCs/>
        </w:rPr>
        <w:t>,</w:t>
      </w:r>
      <w:r w:rsidRPr="0053182F">
        <w:t xml:space="preserve"> the quantitative component, which analyses global governance indicators, institutional quality, and development indices, operates primarily from a </w:t>
      </w:r>
      <w:r w:rsidRPr="0053182F">
        <w:rPr>
          <w:rStyle w:val="Strong"/>
          <w:rFonts w:eastAsiaTheme="majorEastAsia"/>
          <w:b w:val="0"/>
        </w:rPr>
        <w:t>functionalist perspective</w:t>
      </w:r>
      <w:r w:rsidRPr="0053182F">
        <w:rPr>
          <w:b/>
          <w:bCs/>
        </w:rPr>
        <w:t>.</w:t>
      </w:r>
      <w:r w:rsidRPr="0053182F">
        <w:t xml:space="preserve"> It conceptualises the institutional environment as an objective structure of coercive and normative pressures that shape corporate behaviour across jurisdictions. This level seeks to model systematic patterns of institutional isomorphism and regulatory influence using measurable, empirical data derived from cross-country and global datasets.</w:t>
      </w:r>
    </w:p>
    <w:p w14:paraId="4B77E936" w14:textId="0E7BE525" w:rsidR="00746DC4" w:rsidRPr="0053182F" w:rsidRDefault="00746DC4" w:rsidP="00746DC4">
      <w:pPr>
        <w:pStyle w:val="NormalWeb"/>
        <w:numPr>
          <w:ilvl w:val="0"/>
          <w:numId w:val="14"/>
        </w:numPr>
        <w:tabs>
          <w:tab w:val="clear" w:pos="720"/>
          <w:tab w:val="num" w:pos="284"/>
        </w:tabs>
        <w:spacing w:before="0" w:beforeAutospacing="0" w:after="0" w:afterAutospacing="0" w:line="480" w:lineRule="auto"/>
        <w:ind w:left="284" w:hanging="284"/>
        <w:jc w:val="both"/>
      </w:pPr>
      <w:r w:rsidRPr="0053182F">
        <w:t xml:space="preserve">At the meso level, </w:t>
      </w:r>
      <w:r w:rsidR="00003777" w:rsidRPr="0053182F">
        <w:t>examining firm-level SGIs and corporate disclosure practices bridges macro-</w:t>
      </w:r>
      <w:r w:rsidRPr="0053182F">
        <w:t>institutional dynamics and micro realities. This level draws on both functionalist and interpretivist assumptions, viewing corporate governance structures as formal responses to institutional pressures while recognising the symbolic, communicative, and legitimating dimensions of disclosure practices. It is here that institutional theory’s central mechanisms—coercive, normative, and mimetic pressures—are most visibly enacted within organisational decision-making.</w:t>
      </w:r>
    </w:p>
    <w:p w14:paraId="523A9A5A" w14:textId="77777777" w:rsidR="00746DC4" w:rsidRPr="0053182F" w:rsidRDefault="00746DC4" w:rsidP="00746DC4">
      <w:pPr>
        <w:pStyle w:val="NormalWeb"/>
        <w:numPr>
          <w:ilvl w:val="0"/>
          <w:numId w:val="14"/>
        </w:numPr>
        <w:tabs>
          <w:tab w:val="clear" w:pos="720"/>
          <w:tab w:val="num" w:pos="284"/>
        </w:tabs>
        <w:spacing w:before="0" w:beforeAutospacing="0" w:after="0" w:afterAutospacing="0" w:line="480" w:lineRule="auto"/>
        <w:ind w:left="284" w:hanging="284"/>
        <w:jc w:val="both"/>
      </w:pPr>
      <w:r w:rsidRPr="0053182F">
        <w:rPr>
          <w:rStyle w:val="Strong"/>
          <w:rFonts w:eastAsiaTheme="majorEastAsia"/>
          <w:b w:val="0"/>
        </w:rPr>
        <w:t>At the micro level</w:t>
      </w:r>
      <w:r w:rsidRPr="0053182F">
        <w:rPr>
          <w:b/>
          <w:bCs/>
        </w:rPr>
        <w:t>,</w:t>
      </w:r>
      <w:r w:rsidRPr="0053182F">
        <w:t xml:space="preserve"> the qualitative component, based on interviews and survey data from Sri Lanka’s A&amp;TI, is grounded in an </w:t>
      </w:r>
      <w:r w:rsidRPr="0053182F">
        <w:rPr>
          <w:rStyle w:val="Strong"/>
          <w:rFonts w:eastAsiaTheme="majorEastAsia"/>
          <w:b w:val="0"/>
        </w:rPr>
        <w:t>interpretivist orientation</w:t>
      </w:r>
      <w:r w:rsidRPr="0053182F">
        <w:t>. It focuses on understanding the lived experiences, meanings, and practices of workers and managers, thereby exposing how formal governance structures translate into everyday realities of compliance, resistance, and exploitation. This level serves as the empirical site where institutional decoupling becomes observable and humanly experienced.</w:t>
      </w:r>
    </w:p>
    <w:p w14:paraId="2D405174" w14:textId="5964D025" w:rsidR="00746DC4" w:rsidRPr="0053182F" w:rsidRDefault="00746DC4" w:rsidP="00746DC4">
      <w:pPr>
        <w:pStyle w:val="NormalWeb"/>
        <w:spacing w:before="0" w:beforeAutospacing="0" w:after="0" w:afterAutospacing="0" w:line="480" w:lineRule="auto"/>
        <w:jc w:val="both"/>
      </w:pPr>
      <w:r w:rsidRPr="0053182F">
        <w:t>Pragmatism, as the overarching paradigm, does not merely combine these components</w:t>
      </w:r>
      <w:r w:rsidR="00003777" w:rsidRPr="0053182F">
        <w:t>; it also</w:t>
      </w:r>
      <w:r w:rsidRPr="0053182F">
        <w:t xml:space="preserve"> provides a </w:t>
      </w:r>
      <w:r w:rsidRPr="0053182F">
        <w:rPr>
          <w:rStyle w:val="Strong"/>
          <w:rFonts w:eastAsiaTheme="majorEastAsia"/>
          <w:b w:val="0"/>
        </w:rPr>
        <w:t>coherent philosophical foundation</w:t>
      </w:r>
      <w:r w:rsidRPr="0053182F">
        <w:t xml:space="preserve"> for their integration. It acknowledges that knowledge is both </w:t>
      </w:r>
      <w:r w:rsidRPr="0053182F">
        <w:rPr>
          <w:rStyle w:val="Strong"/>
          <w:rFonts w:eastAsiaTheme="majorEastAsia"/>
          <w:b w:val="0"/>
        </w:rPr>
        <w:t>constructed and grounded in observable reality</w:t>
      </w:r>
      <w:r w:rsidRPr="0053182F">
        <w:t xml:space="preserve">, allowing this research to move fluidly between quantitative generalisation and qualitative depth. By aligning objectivist (functionalist) and subjectivist (interpretivist) traditions through a pragmatic stance, this study offers a </w:t>
      </w:r>
      <w:r w:rsidRPr="0053182F">
        <w:rPr>
          <w:rStyle w:val="Strong"/>
          <w:rFonts w:eastAsiaTheme="majorEastAsia"/>
          <w:b w:val="0"/>
        </w:rPr>
        <w:t>holistic and multi-level understanding</w:t>
      </w:r>
      <w:r w:rsidRPr="0053182F">
        <w:t xml:space="preserve"> of CMS—one that reveals how institutional pressures, corporate governance responses, and worker experiences interact to sustain or challenge MS within global supply chains.</w:t>
      </w:r>
    </w:p>
    <w:p w14:paraId="750744B3" w14:textId="4699C944" w:rsidR="00E67A4D" w:rsidRPr="0053182F" w:rsidRDefault="00E67A4D" w:rsidP="00746DC4">
      <w:pPr>
        <w:pStyle w:val="NormalWeb"/>
        <w:spacing w:before="0" w:beforeAutospacing="0" w:after="0" w:afterAutospacing="0" w:line="480" w:lineRule="auto"/>
        <w:jc w:val="both"/>
      </w:pPr>
      <w:r w:rsidRPr="0053182F">
        <w:rPr>
          <w:noProof/>
          <w:color w:val="0F1115"/>
        </w:rPr>
        <mc:AlternateContent>
          <mc:Choice Requires="wps">
            <w:drawing>
              <wp:anchor distT="0" distB="0" distL="114300" distR="114300" simplePos="0" relativeHeight="251658299" behindDoc="0" locked="0" layoutInCell="1" allowOverlap="1" wp14:anchorId="60592288" wp14:editId="3055FCBB">
                <wp:simplePos x="0" y="0"/>
                <wp:positionH relativeFrom="column">
                  <wp:posOffset>190305</wp:posOffset>
                </wp:positionH>
                <wp:positionV relativeFrom="paragraph">
                  <wp:posOffset>51239</wp:posOffset>
                </wp:positionV>
                <wp:extent cx="5503028" cy="271167"/>
                <wp:effectExtent l="0" t="0" r="21590" b="14605"/>
                <wp:wrapNone/>
                <wp:docPr id="1995881647" name="Rectangle 5"/>
                <wp:cNvGraphicFramePr/>
                <a:graphic xmlns:a="http://schemas.openxmlformats.org/drawingml/2006/main">
                  <a:graphicData uri="http://schemas.microsoft.com/office/word/2010/wordprocessingShape">
                    <wps:wsp>
                      <wps:cNvSpPr/>
                      <wps:spPr>
                        <a:xfrm>
                          <a:off x="0" y="0"/>
                          <a:ext cx="5503028" cy="271167"/>
                        </a:xfrm>
                        <a:prstGeom prst="rect">
                          <a:avLst/>
                        </a:prstGeom>
                        <a:gradFill flip="none" rotWithShape="1">
                          <a:gsLst>
                            <a:gs pos="11000">
                              <a:srgbClr val="FFFF00"/>
                            </a:gs>
                            <a:gs pos="83000">
                              <a:srgbClr val="F5F5F5">
                                <a:shade val="67500"/>
                                <a:satMod val="115000"/>
                              </a:srgbClr>
                            </a:gs>
                            <a:gs pos="100000">
                              <a:srgbClr val="F5F5F5">
                                <a:shade val="100000"/>
                                <a:satMod val="115000"/>
                              </a:srgbClr>
                            </a:gs>
                          </a:gsLst>
                          <a:path path="circle">
                            <a:fillToRect l="100000" t="100000"/>
                          </a:path>
                          <a:tileRect r="-100000" b="-100000"/>
                        </a:gra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041347DC" w14:textId="77777777" w:rsidR="00746DC4" w:rsidRPr="00A17E69" w:rsidRDefault="00746DC4" w:rsidP="00746DC4">
                            <w:pPr>
                              <w:jc w:val="center"/>
                              <w:rPr>
                                <w:color w:val="000000" w:themeColor="text1"/>
                                <w:kern w:val="24"/>
                              </w:rPr>
                            </w:pPr>
                            <w:r w:rsidRPr="00A17E69">
                              <w:rPr>
                                <w:color w:val="000000" w:themeColor="text1"/>
                                <w:kern w:val="24"/>
                              </w:rPr>
                              <w:t>Neo-institutional theory</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0592288" id="Rectangle 5" o:spid="_x0000_s1063" style="position:absolute;left:0;text-align:left;margin-left:15pt;margin-top:4.05pt;width:433.3pt;height:21.35pt;z-index:25165829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" fillcolor="yellow" strokeweight="1pt">
                <v:fill color2="#f5f5f5" rotate="t" focusposition="1,1" focussize="" colors="0 yellow;7209f yellow;54395f #cecece" focus="100%" type="gradientRadial"/>
                <v:textbox>
                  <w:txbxContent>
                    <w:p w14:paraId="041347DC" w14:textId="77777777" w:rsidR="00746DC4" w:rsidRPr="00A17E69" w:rsidRDefault="00746DC4" w:rsidP="00746DC4">
                      <w:pPr>
                        <w:jc w:val="center"/>
                        <w:rPr>
                          <w:color w:val="000000" w:themeColor="text1"/>
                          <w:kern w:val="24"/>
                        </w:rPr>
                      </w:pPr>
                      <w:r w:rsidRPr="00A17E69">
                        <w:rPr>
                          <w:color w:val="000000" w:themeColor="text1"/>
                          <w:kern w:val="24"/>
                        </w:rPr>
                        <w:t>Neo-institutional theory</w:t>
                      </w:r>
                    </w:p>
                  </w:txbxContent>
                </v:textbox>
              </v:rect>
            </w:pict>
          </mc:Fallback>
        </mc:AlternateContent>
      </w:r>
    </w:p>
    <w:p w14:paraId="60CCDE6D" w14:textId="77777777" w:rsidR="00746DC4" w:rsidRPr="0053182F" w:rsidRDefault="00746DC4" w:rsidP="00746DC4">
      <w:pPr>
        <w:spacing w:after="0" w:line="480" w:lineRule="auto"/>
        <w:rPr>
          <w:color w:val="0F1115"/>
        </w:rPr>
      </w:pPr>
      <w:r w:rsidRPr="0053182F">
        <w:rPr>
          <w:noProof/>
          <w:color w:val="0F1115"/>
        </w:rPr>
        <mc:AlternateContent>
          <mc:Choice Requires="wps">
            <w:drawing>
              <wp:anchor distT="0" distB="0" distL="114300" distR="114300" simplePos="0" relativeHeight="251658298" behindDoc="0" locked="0" layoutInCell="1" allowOverlap="1" wp14:anchorId="395088EB" wp14:editId="61A173D0">
                <wp:simplePos x="0" y="0"/>
                <wp:positionH relativeFrom="column">
                  <wp:posOffset>3084830</wp:posOffset>
                </wp:positionH>
                <wp:positionV relativeFrom="paragraph">
                  <wp:posOffset>67025</wp:posOffset>
                </wp:positionV>
                <wp:extent cx="2702560" cy="448945"/>
                <wp:effectExtent l="0" t="0" r="21590" b="27305"/>
                <wp:wrapNone/>
                <wp:docPr id="10" name="TextBox 9">
                  <a:extLst xmlns:a="http://schemas.openxmlformats.org/drawingml/2006/main">
                    <a:ext uri="{FF2B5EF4-FFF2-40B4-BE49-F238E27FC236}">
                      <a16:creationId xmlns:a16="http://schemas.microsoft.com/office/drawing/2014/main" id="{A39BF6A4-9C76-CF03-EE97-70DDFDE164C7}"/>
                    </a:ext>
                  </a:extLst>
                </wp:docPr>
                <wp:cNvGraphicFramePr/>
                <a:graphic xmlns:a="http://schemas.openxmlformats.org/drawingml/2006/main">
                  <a:graphicData uri="http://schemas.microsoft.com/office/word/2010/wordprocessingShape">
                    <wps:wsp>
                      <wps:cNvSpPr txBox="1"/>
                      <wps:spPr>
                        <a:xfrm>
                          <a:off x="0" y="0"/>
                          <a:ext cx="2702560" cy="448945"/>
                        </a:xfrm>
                        <a:prstGeom prst="rect">
                          <a:avLst/>
                        </a:prstGeom>
                        <a:gradFill flip="none" rotWithShape="1">
                          <a:gsLst>
                            <a:gs pos="0">
                              <a:schemeClr val="accent4">
                                <a:lumMod val="5000"/>
                                <a:lumOff val="95000"/>
                              </a:schemeClr>
                            </a:gs>
                            <a:gs pos="49000">
                              <a:schemeClr val="accent4">
                                <a:lumMod val="45000"/>
                                <a:lumOff val="55000"/>
                              </a:schemeClr>
                            </a:gs>
                            <a:gs pos="83000">
                              <a:schemeClr val="accent4">
                                <a:lumMod val="45000"/>
                                <a:lumOff val="55000"/>
                              </a:schemeClr>
                            </a:gs>
                            <a:gs pos="100000">
                              <a:schemeClr val="accent4">
                                <a:lumMod val="30000"/>
                                <a:lumOff val="70000"/>
                              </a:schemeClr>
                            </a:gs>
                          </a:gsLst>
                          <a:lin ang="5400000" scaled="1"/>
                          <a:tileRect/>
                        </a:gradFill>
                        <a:ln/>
                      </wps:spPr>
                      <wps:style>
                        <a:lnRef idx="1">
                          <a:schemeClr val="accent4"/>
                        </a:lnRef>
                        <a:fillRef idx="2">
                          <a:schemeClr val="accent4"/>
                        </a:fillRef>
                        <a:effectRef idx="1">
                          <a:schemeClr val="accent4"/>
                        </a:effectRef>
                        <a:fontRef idx="minor">
                          <a:schemeClr val="dk1"/>
                        </a:fontRef>
                      </wps:style>
                      <wps:txbx>
                        <w:txbxContent>
                          <w:p w14:paraId="72B867DC" w14:textId="77777777" w:rsidR="00746DC4" w:rsidRPr="00206464" w:rsidRDefault="00746DC4" w:rsidP="00746DC4">
                            <w:pPr>
                              <w:spacing w:after="0" w:line="240" w:lineRule="auto"/>
                              <w:rPr>
                                <w:b/>
                                <w:bCs/>
                                <w:color w:val="000000" w:themeColor="text1"/>
                                <w:kern w:val="24"/>
                              </w:rPr>
                            </w:pPr>
                            <w:r w:rsidRPr="00206464">
                              <w:rPr>
                                <w:b/>
                                <w:bCs/>
                                <w:color w:val="000000" w:themeColor="text1"/>
                                <w:kern w:val="24"/>
                              </w:rPr>
                              <w:t>Coercive and normative pressures</w:t>
                            </w:r>
                          </w:p>
                          <w:p w14:paraId="277551D1" w14:textId="77777777" w:rsidR="00746DC4" w:rsidRPr="00206464" w:rsidRDefault="00746DC4" w:rsidP="00746DC4">
                            <w:pPr>
                              <w:spacing w:after="0" w:line="240" w:lineRule="auto"/>
                              <w:rPr>
                                <w:b/>
                                <w:bCs/>
                                <w:color w:val="000000" w:themeColor="text1"/>
                                <w:kern w:val="24"/>
                                <w14:textFill>
                                  <w14:solidFill>
                                    <w14:schemeClr w14:val="tx1">
                                      <w14:alpha w14:val="29000"/>
                                    </w14:schemeClr>
                                  </w14:solidFill>
                                </w14:textFill>
                              </w:rPr>
                            </w:pPr>
                            <w:r w:rsidRPr="00206464">
                              <w:rPr>
                                <w:b/>
                                <w:bCs/>
                                <w:color w:val="000000" w:themeColor="text1"/>
                                <w:kern w:val="24"/>
                              </w:rPr>
                              <w:t xml:space="preserve"> Functionalist perspective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95088EB" id="TextBox 9" o:spid="_x0000_s1064" type="#_x0000_t202" style="position:absolute;margin-left:242.9pt;margin-top:5.3pt;width:212.8pt;height:35.35pt;z-index:2516582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" fillcolor="#f2fafe [183]" strokecolor="#0f9ed5 [3207]" strokeweight="1pt">
                <v:fill color2="#b0e5f9 [983]" rotate="t" colors="0 #f2fbfe;32113f #88d8f7;54395f #88d8f7;1 #b0e5f9" focus="100%" type="gradient"/>
                <v:textbox>
                  <w:txbxContent>
                    <w:p w14:paraId="72B867DC" w14:textId="77777777" w:rsidR="00746DC4" w:rsidRPr="00206464" w:rsidRDefault="00746DC4" w:rsidP="00746DC4">
                      <w:pPr>
                        <w:spacing w:after="0" w:line="240" w:lineRule="auto"/>
                        <w:rPr>
                          <w:b/>
                          <w:bCs/>
                          <w:color w:val="000000" w:themeColor="text1"/>
                          <w:kern w:val="24"/>
                        </w:rPr>
                      </w:pPr>
                      <w:r w:rsidRPr="00206464">
                        <w:rPr>
                          <w:b/>
                          <w:bCs/>
                          <w:color w:val="000000" w:themeColor="text1"/>
                          <w:kern w:val="24"/>
                        </w:rPr>
                        <w:t>Coercive and normative pressures</w:t>
                      </w:r>
                    </w:p>
                    <w:p w14:paraId="277551D1" w14:textId="77777777" w:rsidR="00746DC4" w:rsidRPr="00206464" w:rsidRDefault="00746DC4" w:rsidP="00746DC4">
                      <w:pPr>
                        <w:spacing w:after="0" w:line="240" w:lineRule="auto"/>
                        <w:rPr>
                          <w:b/>
                          <w:bCs/>
                          <w:color w:val="000000" w:themeColor="text1"/>
                          <w:kern w:val="24"/>
                          <w14:textFill>
                            <w14:solidFill>
                              <w14:schemeClr w14:val="tx1">
                                <w14:alpha w14:val="29000"/>
                              </w14:schemeClr>
                            </w14:solidFill>
                          </w14:textFill>
                        </w:rPr>
                      </w:pPr>
                      <w:r w:rsidRPr="00206464">
                        <w:rPr>
                          <w:b/>
                          <w:bCs/>
                          <w:color w:val="000000" w:themeColor="text1"/>
                          <w:kern w:val="24"/>
                        </w:rPr>
                        <w:t xml:space="preserve"> Functionalist perspective</w:t>
                      </w:r>
                    </w:p>
                  </w:txbxContent>
                </v:textbox>
              </v:shape>
            </w:pict>
          </mc:Fallback>
        </mc:AlternateContent>
      </w:r>
      <w:r w:rsidRPr="0053182F">
        <w:rPr>
          <w:noProof/>
          <w:color w:val="0F1115"/>
        </w:rPr>
        <mc:AlternateContent>
          <mc:Choice Requires="wps">
            <w:drawing>
              <wp:anchor distT="0" distB="0" distL="114300" distR="114300" simplePos="0" relativeHeight="251658291" behindDoc="0" locked="0" layoutInCell="1" allowOverlap="1" wp14:anchorId="09E4E79B" wp14:editId="2D95CE25">
                <wp:simplePos x="0" y="0"/>
                <wp:positionH relativeFrom="column">
                  <wp:posOffset>756526</wp:posOffset>
                </wp:positionH>
                <wp:positionV relativeFrom="paragraph">
                  <wp:posOffset>64836</wp:posOffset>
                </wp:positionV>
                <wp:extent cx="5033010" cy="725214"/>
                <wp:effectExtent l="0" t="0" r="15240" b="17780"/>
                <wp:wrapNone/>
                <wp:docPr id="715454775" name="Rectangle 2"/>
                <wp:cNvGraphicFramePr/>
                <a:graphic xmlns:a="http://schemas.openxmlformats.org/drawingml/2006/main">
                  <a:graphicData uri="http://schemas.microsoft.com/office/word/2010/wordprocessingShape">
                    <wps:wsp>
                      <wps:cNvSpPr/>
                      <wps:spPr>
                        <a:xfrm>
                          <a:off x="0" y="0"/>
                          <a:ext cx="5033010" cy="725214"/>
                        </a:xfrm>
                        <a:prstGeom prst="rect">
                          <a:avLst/>
                        </a:prstGeom>
                        <a:gradFill>
                          <a:gsLst>
                            <a:gs pos="100000">
                              <a:schemeClr val="tx2">
                                <a:lumMod val="90000"/>
                                <a:lumOff val="10000"/>
                              </a:schemeClr>
                            </a:gs>
                            <a:gs pos="33000">
                              <a:schemeClr val="accent4">
                                <a:lumMod val="105000"/>
                                <a:satMod val="103000"/>
                                <a:tint val="73000"/>
                              </a:schemeClr>
                            </a:gs>
                            <a:gs pos="84000">
                              <a:schemeClr val="accent4">
                                <a:lumMod val="105000"/>
                                <a:satMod val="109000"/>
                                <a:tint val="81000"/>
                              </a:schemeClr>
                            </a:gs>
                          </a:gsLst>
                        </a:gradFill>
                        <a:ln/>
                      </wps:spPr>
                      <wps:style>
                        <a:lnRef idx="1">
                          <a:schemeClr val="accent4"/>
                        </a:lnRef>
                        <a:fillRef idx="2">
                          <a:schemeClr val="accent4"/>
                        </a:fillRef>
                        <a:effectRef idx="1">
                          <a:schemeClr val="accent4"/>
                        </a:effectRef>
                        <a:fontRef idx="minor">
                          <a:schemeClr val="dk1"/>
                        </a:fontRef>
                      </wps:style>
                      <wps:txbx>
                        <w:txbxContent>
                          <w:p w14:paraId="5AD0922B" w14:textId="77777777" w:rsidR="00746DC4" w:rsidRPr="00F27AE1" w:rsidRDefault="00746DC4" w:rsidP="00746DC4">
                            <w:pPr>
                              <w:spacing w:line="240" w:lineRule="auto"/>
                              <w:rPr>
                                <w:b/>
                                <w:bCs/>
                                <w:color w:val="000000" w:themeColor="text1"/>
                                <w:kern w:val="24"/>
                              </w:rPr>
                            </w:pPr>
                            <w:r w:rsidRPr="00F27AE1">
                              <w:rPr>
                                <w:b/>
                                <w:bCs/>
                                <w:color w:val="000000" w:themeColor="text1"/>
                                <w:kern w:val="24"/>
                              </w:rPr>
                              <w:t>Macro level:</w:t>
                            </w:r>
                          </w:p>
                          <w:p w14:paraId="0E847442" w14:textId="77777777" w:rsidR="00746DC4" w:rsidRPr="00F27AE1" w:rsidRDefault="00746DC4" w:rsidP="00746DC4">
                            <w:pPr>
                              <w:spacing w:after="0" w:line="240" w:lineRule="auto"/>
                              <w:rPr>
                                <w:color w:val="000000" w:themeColor="text1"/>
                                <w:kern w:val="24"/>
                              </w:rPr>
                            </w:pPr>
                            <w:r w:rsidRPr="00F27AE1">
                              <w:rPr>
                                <w:color w:val="000000" w:themeColor="text1"/>
                                <w:kern w:val="24"/>
                              </w:rPr>
                              <w:t>Institutional environment</w:t>
                            </w:r>
                            <w:r>
                              <w:rPr>
                                <w:color w:val="000000" w:themeColor="text1"/>
                                <w:kern w:val="24"/>
                              </w:rPr>
                              <w:t xml:space="preserve"> quality</w:t>
                            </w:r>
                          </w:p>
                          <w:p w14:paraId="0A6CCC64" w14:textId="77777777" w:rsidR="00746DC4" w:rsidRPr="00F27AE1" w:rsidRDefault="00746DC4" w:rsidP="00746DC4">
                            <w:pPr>
                              <w:spacing w:after="0" w:line="240" w:lineRule="auto"/>
                              <w:rPr>
                                <w:color w:val="000000" w:themeColor="text1"/>
                                <w:kern w:val="24"/>
                              </w:rPr>
                            </w:pPr>
                            <w:r>
                              <w:rPr>
                                <w:color w:val="000000" w:themeColor="text1"/>
                                <w:kern w:val="24"/>
                              </w:rPr>
                              <w:t xml:space="preserve">Human development and </w:t>
                            </w:r>
                            <w:r w:rsidRPr="00F27AE1">
                              <w:rPr>
                                <w:color w:val="000000" w:themeColor="text1"/>
                                <w:kern w:val="24"/>
                              </w:rPr>
                              <w:t>UN</w:t>
                            </w:r>
                            <w:r>
                              <w:rPr>
                                <w:color w:val="000000" w:themeColor="text1"/>
                                <w:kern w:val="24"/>
                              </w:rPr>
                              <w:t>- SDGs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9E4E79B" id="Rectangle 2" o:spid="_x0000_s1065" style="position:absolute;margin-left:59.55pt;margin-top:5.1pt;width:396.3pt;height:57.1pt;z-index:25165829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" fillcolor="#3ebff1 [2359]" strokecolor="#0f9ed5 [3207]" strokeweight="1pt">
                <v:fill color2="#153e64 [2911]" rotate="t" colors="0 #8fc4eb;21627f #8fc4eb;55050f #79beed" focus="100%" type="gradient">
                  <o:fill v:ext="view" type="gradientUnscaled"/>
                </v:fill>
                <v:textbox>
                  <w:txbxContent>
                    <w:p w14:paraId="5AD0922B" w14:textId="77777777" w:rsidR="00746DC4" w:rsidRPr="00F27AE1" w:rsidRDefault="00746DC4" w:rsidP="00746DC4">
                      <w:pPr>
                        <w:spacing w:line="240" w:lineRule="auto"/>
                        <w:rPr>
                          <w:b/>
                          <w:bCs/>
                          <w:color w:val="000000" w:themeColor="text1"/>
                          <w:kern w:val="24"/>
                        </w:rPr>
                      </w:pPr>
                      <w:r w:rsidRPr="00F27AE1">
                        <w:rPr>
                          <w:b/>
                          <w:bCs/>
                          <w:color w:val="000000" w:themeColor="text1"/>
                          <w:kern w:val="24"/>
                        </w:rPr>
                        <w:t>Macro level:</w:t>
                      </w:r>
                    </w:p>
                    <w:p w14:paraId="0E847442" w14:textId="77777777" w:rsidR="00746DC4" w:rsidRPr="00F27AE1" w:rsidRDefault="00746DC4" w:rsidP="00746DC4">
                      <w:pPr>
                        <w:spacing w:after="0" w:line="240" w:lineRule="auto"/>
                        <w:rPr>
                          <w:color w:val="000000" w:themeColor="text1"/>
                          <w:kern w:val="24"/>
                        </w:rPr>
                      </w:pPr>
                      <w:r w:rsidRPr="00F27AE1">
                        <w:rPr>
                          <w:color w:val="000000" w:themeColor="text1"/>
                          <w:kern w:val="24"/>
                        </w:rPr>
                        <w:t>Institutional environment</w:t>
                      </w:r>
                      <w:r>
                        <w:rPr>
                          <w:color w:val="000000" w:themeColor="text1"/>
                          <w:kern w:val="24"/>
                        </w:rPr>
                        <w:t xml:space="preserve"> quality</w:t>
                      </w:r>
                    </w:p>
                    <w:p w14:paraId="0A6CCC64" w14:textId="77777777" w:rsidR="00746DC4" w:rsidRPr="00F27AE1" w:rsidRDefault="00746DC4" w:rsidP="00746DC4">
                      <w:pPr>
                        <w:spacing w:after="0" w:line="240" w:lineRule="auto"/>
                        <w:rPr>
                          <w:color w:val="000000" w:themeColor="text1"/>
                          <w:kern w:val="24"/>
                        </w:rPr>
                      </w:pPr>
                      <w:r>
                        <w:rPr>
                          <w:color w:val="000000" w:themeColor="text1"/>
                          <w:kern w:val="24"/>
                        </w:rPr>
                        <w:t xml:space="preserve">Human development and </w:t>
                      </w:r>
                      <w:r w:rsidRPr="00F27AE1">
                        <w:rPr>
                          <w:color w:val="000000" w:themeColor="text1"/>
                          <w:kern w:val="24"/>
                        </w:rPr>
                        <w:t>UN</w:t>
                      </w:r>
                      <w:r>
                        <w:rPr>
                          <w:color w:val="000000" w:themeColor="text1"/>
                          <w:kern w:val="24"/>
                        </w:rPr>
                        <w:t>- SDGs</w:t>
                      </w:r>
                    </w:p>
                  </w:txbxContent>
                </v:textbox>
              </v:rect>
            </w:pict>
          </mc:Fallback>
        </mc:AlternateContent>
      </w:r>
      <w:r w:rsidRPr="0053182F">
        <w:rPr>
          <w:noProof/>
          <w:color w:val="0F1115"/>
        </w:rPr>
        <mc:AlternateContent>
          <mc:Choice Requires="wps">
            <w:drawing>
              <wp:anchor distT="0" distB="0" distL="114300" distR="114300" simplePos="0" relativeHeight="251658300" behindDoc="0" locked="0" layoutInCell="1" allowOverlap="1" wp14:anchorId="67123B0E" wp14:editId="41706B37">
                <wp:simplePos x="0" y="0"/>
                <wp:positionH relativeFrom="column">
                  <wp:posOffset>356869</wp:posOffset>
                </wp:positionH>
                <wp:positionV relativeFrom="paragraph">
                  <wp:posOffset>275507</wp:posOffset>
                </wp:positionV>
                <wp:extent cx="360854" cy="0"/>
                <wp:effectExtent l="0" t="0" r="0" b="0"/>
                <wp:wrapNone/>
                <wp:docPr id="920838066" name="Straight Connector 1"/>
                <wp:cNvGraphicFramePr/>
                <a:graphic xmlns:a="http://schemas.openxmlformats.org/drawingml/2006/main">
                  <a:graphicData uri="http://schemas.microsoft.com/office/word/2010/wordprocessingShape">
                    <wps:wsp>
                      <wps:cNvCnPr/>
                      <wps:spPr>
                        <a:xfrm>
                          <a:off x="0" y="0"/>
                          <a:ext cx="360854"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27AE1B21" id="Straight Connector 1" o:spid="_x0000_s1026" style="position:absolute;z-index:2516583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1pt,21.7pt" to="56.5pt,2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" strokecolor="#156082 [3204]" strokeweight="1.5pt">
                <v:stroke dashstyle="dash"/>
              </v:line>
            </w:pict>
          </mc:Fallback>
        </mc:AlternateContent>
      </w:r>
    </w:p>
    <w:p w14:paraId="2E7DF668"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p>
    <w:p w14:paraId="3162C275"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304" behindDoc="0" locked="0" layoutInCell="1" allowOverlap="1" wp14:anchorId="10CE02BC" wp14:editId="4A4BB366">
                <wp:simplePos x="0" y="0"/>
                <wp:positionH relativeFrom="column">
                  <wp:posOffset>1979930</wp:posOffset>
                </wp:positionH>
                <wp:positionV relativeFrom="paragraph">
                  <wp:posOffset>152832</wp:posOffset>
                </wp:positionV>
                <wp:extent cx="0" cy="312924"/>
                <wp:effectExtent l="95250" t="38100" r="76200" b="49530"/>
                <wp:wrapNone/>
                <wp:docPr id="544973949" name="Straight Arrow Connector 10"/>
                <wp:cNvGraphicFramePr/>
                <a:graphic xmlns:a="http://schemas.openxmlformats.org/drawingml/2006/main">
                  <a:graphicData uri="http://schemas.microsoft.com/office/word/2010/wordprocessingShape">
                    <wps:wsp>
                      <wps:cNvCnPr/>
                      <wps:spPr>
                        <a:xfrm>
                          <a:off x="0" y="0"/>
                          <a:ext cx="0" cy="312924"/>
                        </a:xfrm>
                        <a:prstGeom prst="straightConnector1">
                          <a:avLst/>
                        </a:prstGeom>
                        <a:ln w="19050" cap="flat" cmpd="sng" algn="ctr">
                          <a:solidFill>
                            <a:schemeClr val="accent4"/>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7BF3F5C4" id="Straight Arrow Connector 10" o:spid="_x0000_s1026" type="#_x0000_t32" style="position:absolute;margin-left:155.9pt;margin-top:12.05pt;width:0;height:24.65pt;z-index:2516583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" strokecolor="#0f9ed5 [3207]" strokeweight="1.5pt">
                <v:stroke startarrow="open" endarrow="open"/>
              </v:shape>
            </w:pict>
          </mc:Fallback>
        </mc:AlternateContent>
      </w:r>
    </w:p>
    <w:p w14:paraId="34CAD1B4"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292" behindDoc="0" locked="0" layoutInCell="1" allowOverlap="1" wp14:anchorId="552E265F" wp14:editId="6682EDF1">
                <wp:simplePos x="0" y="0"/>
                <wp:positionH relativeFrom="column">
                  <wp:posOffset>712470</wp:posOffset>
                </wp:positionH>
                <wp:positionV relativeFrom="paragraph">
                  <wp:posOffset>129972</wp:posOffset>
                </wp:positionV>
                <wp:extent cx="5033010" cy="725170"/>
                <wp:effectExtent l="0" t="0" r="15240" b="17780"/>
                <wp:wrapNone/>
                <wp:docPr id="1953794553" name="Rectangle 3"/>
                <wp:cNvGraphicFramePr/>
                <a:graphic xmlns:a="http://schemas.openxmlformats.org/drawingml/2006/main">
                  <a:graphicData uri="http://schemas.microsoft.com/office/word/2010/wordprocessingShape">
                    <wps:wsp>
                      <wps:cNvSpPr/>
                      <wps:spPr>
                        <a:xfrm>
                          <a:off x="0" y="0"/>
                          <a:ext cx="5033010" cy="725170"/>
                        </a:xfrm>
                        <a:prstGeom prst="rect">
                          <a:avLst/>
                        </a:prstGeom>
                        <a:gradFill flip="none" rotWithShape="1">
                          <a:gsLst>
                            <a:gs pos="0">
                              <a:schemeClr val="accent5">
                                <a:lumMod val="40000"/>
                                <a:lumOff val="60000"/>
                              </a:schemeClr>
                            </a:gs>
                            <a:gs pos="50000">
                              <a:srgbClr val="E0F0FF">
                                <a:shade val="67500"/>
                                <a:satMod val="115000"/>
                              </a:srgbClr>
                            </a:gs>
                            <a:gs pos="100000">
                              <a:srgbClr val="E0F0FF">
                                <a:shade val="100000"/>
                                <a:satMod val="115000"/>
                              </a:srgbClr>
                            </a:gs>
                          </a:gsLst>
                          <a:lin ang="16200000" scaled="1"/>
                          <a:tileRect/>
                        </a:gra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0AE9C597" w14:textId="77777777" w:rsidR="00746DC4" w:rsidRPr="00C70F75" w:rsidRDefault="00746DC4" w:rsidP="00746DC4">
                            <w:pPr>
                              <w:spacing w:after="0" w:line="240" w:lineRule="auto"/>
                              <w:rPr>
                                <w:b/>
                                <w:bCs/>
                                <w:color w:val="000000" w:themeColor="text1"/>
                                <w:kern w:val="24"/>
                                <w14:textFill>
                                  <w14:solidFill>
                                    <w14:schemeClr w14:val="tx1">
                                      <w14:alpha w14:val="22000"/>
                                    </w14:schemeClr>
                                  </w14:solidFill>
                                </w14:textFill>
                              </w:rPr>
                            </w:pPr>
                            <w:r w:rsidRPr="00C70F75">
                              <w:rPr>
                                <w:b/>
                                <w:bCs/>
                                <w:color w:val="000000" w:themeColor="text1"/>
                                <w:kern w:val="24"/>
                                <w14:textFill>
                                  <w14:solidFill>
                                    <w14:schemeClr w14:val="tx1">
                                      <w14:alpha w14:val="22000"/>
                                    </w14:schemeClr>
                                  </w14:solidFill>
                                </w14:textFill>
                              </w:rPr>
                              <w:t>Meso</w:t>
                            </w:r>
                            <w:r>
                              <w:rPr>
                                <w:b/>
                                <w:bCs/>
                                <w:color w:val="000000" w:themeColor="text1"/>
                                <w:kern w:val="24"/>
                                <w14:textFill>
                                  <w14:solidFill>
                                    <w14:schemeClr w14:val="tx1">
                                      <w14:alpha w14:val="22000"/>
                                    </w14:schemeClr>
                                  </w14:solidFill>
                                </w14:textFill>
                              </w:rPr>
                              <w:t>-</w:t>
                            </w:r>
                            <w:r w:rsidRPr="00C70F75">
                              <w:rPr>
                                <w:b/>
                                <w:bCs/>
                                <w:color w:val="000000" w:themeColor="text1"/>
                                <w:kern w:val="24"/>
                                <w14:textFill>
                                  <w14:solidFill>
                                    <w14:schemeClr w14:val="tx1">
                                      <w14:alpha w14:val="22000"/>
                                    </w14:schemeClr>
                                  </w14:solidFill>
                                </w14:textFill>
                              </w:rPr>
                              <w:t>level:</w:t>
                            </w:r>
                          </w:p>
                          <w:p w14:paraId="454DDA3E" w14:textId="77777777" w:rsidR="00746DC4" w:rsidRPr="00C70F75" w:rsidRDefault="00746DC4" w:rsidP="00746DC4">
                            <w:pPr>
                              <w:spacing w:after="0" w:line="240" w:lineRule="auto"/>
                              <w:rPr>
                                <w:color w:val="000000" w:themeColor="text1"/>
                                <w:kern w:val="24"/>
                                <w14:textFill>
                                  <w14:solidFill>
                                    <w14:schemeClr w14:val="tx1">
                                      <w14:alpha w14:val="22000"/>
                                    </w14:schemeClr>
                                  </w14:solidFill>
                                </w14:textFill>
                              </w:rPr>
                            </w:pPr>
                            <w:r w:rsidRPr="00C70F75">
                              <w:rPr>
                                <w:color w:val="000000" w:themeColor="text1"/>
                                <w:kern w:val="24"/>
                                <w14:textFill>
                                  <w14:solidFill>
                                    <w14:schemeClr w14:val="tx1">
                                      <w14:alpha w14:val="22000"/>
                                    </w14:schemeClr>
                                  </w14:solidFill>
                                </w14:textFill>
                              </w:rPr>
                              <w:t>Corporate governance</w:t>
                            </w:r>
                          </w:p>
                          <w:p w14:paraId="56BA52B1" w14:textId="77777777" w:rsidR="00746DC4" w:rsidRPr="00C70F75" w:rsidRDefault="00746DC4" w:rsidP="00746DC4">
                            <w:pPr>
                              <w:spacing w:after="0" w:line="240" w:lineRule="auto"/>
                              <w:rPr>
                                <w:color w:val="000000" w:themeColor="text1"/>
                                <w:kern w:val="24"/>
                                <w:sz w:val="36"/>
                                <w:szCs w:val="36"/>
                                <w14:textFill>
                                  <w14:solidFill>
                                    <w14:schemeClr w14:val="tx1">
                                      <w14:alpha w14:val="22000"/>
                                    </w14:schemeClr>
                                  </w14:solidFill>
                                </w14:textFill>
                              </w:rPr>
                            </w:pPr>
                            <w:r w:rsidRPr="00C70F75">
                              <w:rPr>
                                <w:color w:val="000000" w:themeColor="text1"/>
                                <w:kern w:val="24"/>
                                <w14:textFill>
                                  <w14:solidFill>
                                    <w14:schemeClr w14:val="tx1">
                                      <w14:alpha w14:val="22000"/>
                                    </w14:schemeClr>
                                  </w14:solidFill>
                                </w14:textFill>
                              </w:rPr>
                              <w:t xml:space="preserve">Firm-level SGIs </w:t>
                            </w:r>
                            <w:r>
                              <w:rPr>
                                <w:color w:val="000000" w:themeColor="text1"/>
                                <w:kern w:val="24"/>
                                <w14:textFill>
                                  <w14:solidFill>
                                    <w14:schemeClr w14:val="tx1">
                                      <w14:alpha w14:val="22000"/>
                                    </w14:schemeClr>
                                  </w14:solidFill>
                                </w14:textFill>
                              </w:rPr>
                              <w:t xml:space="preserve">and </w:t>
                            </w:r>
                            <w:r w:rsidRPr="00C70F75">
                              <w:rPr>
                                <w:color w:val="000000" w:themeColor="text1"/>
                                <w:kern w:val="24"/>
                                <w14:textFill>
                                  <w14:solidFill>
                                    <w14:schemeClr w14:val="tx1">
                                      <w14:alpha w14:val="22000"/>
                                    </w14:schemeClr>
                                  </w14:solidFill>
                                </w14:textFill>
                              </w:rPr>
                              <w:t>disclosure practices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52E265F" id="Rectangle 3" o:spid="_x0000_s1066" style="position:absolute;left:0;text-align:left;margin-left:56.1pt;margin-top:10.25pt;width:396.3pt;height:57.1pt;z-index:2516582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" fillcolor="#e59edc [1304]" strokeweight="1pt">
                <v:fill color2="#def0ff" rotate="t" angle="180" colors="0 #e59edd;.5 #bacad8;1 #def0ff" focus="100%" type="gradient"/>
                <v:textbox>
                  <w:txbxContent>
                    <w:p w14:paraId="0AE9C597" w14:textId="77777777" w:rsidR="00746DC4" w:rsidRPr="00C70F75" w:rsidRDefault="00746DC4" w:rsidP="00746DC4">
                      <w:pPr>
                        <w:spacing w:after="0" w:line="240" w:lineRule="auto"/>
                        <w:rPr>
                          <w:b/>
                          <w:bCs/>
                          <w:color w:val="000000" w:themeColor="text1"/>
                          <w:kern w:val="24"/>
                          <w14:textFill>
                            <w14:solidFill>
                              <w14:schemeClr w14:val="tx1">
                                <w14:alpha w14:val="22000"/>
                              </w14:schemeClr>
                            </w14:solidFill>
                          </w14:textFill>
                        </w:rPr>
                      </w:pPr>
                      <w:r w:rsidRPr="00C70F75">
                        <w:rPr>
                          <w:b/>
                          <w:bCs/>
                          <w:color w:val="000000" w:themeColor="text1"/>
                          <w:kern w:val="24"/>
                          <w14:textFill>
                            <w14:solidFill>
                              <w14:schemeClr w14:val="tx1">
                                <w14:alpha w14:val="22000"/>
                              </w14:schemeClr>
                            </w14:solidFill>
                          </w14:textFill>
                        </w:rPr>
                        <w:t>Meso</w:t>
                      </w:r>
                      <w:r>
                        <w:rPr>
                          <w:b/>
                          <w:bCs/>
                          <w:color w:val="000000" w:themeColor="text1"/>
                          <w:kern w:val="24"/>
                          <w14:textFill>
                            <w14:solidFill>
                              <w14:schemeClr w14:val="tx1">
                                <w14:alpha w14:val="22000"/>
                              </w14:schemeClr>
                            </w14:solidFill>
                          </w14:textFill>
                        </w:rPr>
                        <w:t>-</w:t>
                      </w:r>
                      <w:r w:rsidRPr="00C70F75">
                        <w:rPr>
                          <w:b/>
                          <w:bCs/>
                          <w:color w:val="000000" w:themeColor="text1"/>
                          <w:kern w:val="24"/>
                          <w14:textFill>
                            <w14:solidFill>
                              <w14:schemeClr w14:val="tx1">
                                <w14:alpha w14:val="22000"/>
                              </w14:schemeClr>
                            </w14:solidFill>
                          </w14:textFill>
                        </w:rPr>
                        <w:t>level:</w:t>
                      </w:r>
                    </w:p>
                    <w:p w14:paraId="454DDA3E" w14:textId="77777777" w:rsidR="00746DC4" w:rsidRPr="00C70F75" w:rsidRDefault="00746DC4" w:rsidP="00746DC4">
                      <w:pPr>
                        <w:spacing w:after="0" w:line="240" w:lineRule="auto"/>
                        <w:rPr>
                          <w:color w:val="000000" w:themeColor="text1"/>
                          <w:kern w:val="24"/>
                          <w14:textFill>
                            <w14:solidFill>
                              <w14:schemeClr w14:val="tx1">
                                <w14:alpha w14:val="22000"/>
                              </w14:schemeClr>
                            </w14:solidFill>
                          </w14:textFill>
                        </w:rPr>
                      </w:pPr>
                      <w:r w:rsidRPr="00C70F75">
                        <w:rPr>
                          <w:color w:val="000000" w:themeColor="text1"/>
                          <w:kern w:val="24"/>
                          <w14:textFill>
                            <w14:solidFill>
                              <w14:schemeClr w14:val="tx1">
                                <w14:alpha w14:val="22000"/>
                              </w14:schemeClr>
                            </w14:solidFill>
                          </w14:textFill>
                        </w:rPr>
                        <w:t>Corporate governance</w:t>
                      </w:r>
                    </w:p>
                    <w:p w14:paraId="56BA52B1" w14:textId="77777777" w:rsidR="00746DC4" w:rsidRPr="00C70F75" w:rsidRDefault="00746DC4" w:rsidP="00746DC4">
                      <w:pPr>
                        <w:spacing w:after="0" w:line="240" w:lineRule="auto"/>
                        <w:rPr>
                          <w:color w:val="000000" w:themeColor="text1"/>
                          <w:kern w:val="24"/>
                          <w:sz w:val="36"/>
                          <w:szCs w:val="36"/>
                          <w14:textFill>
                            <w14:solidFill>
                              <w14:schemeClr w14:val="tx1">
                                <w14:alpha w14:val="22000"/>
                              </w14:schemeClr>
                            </w14:solidFill>
                          </w14:textFill>
                        </w:rPr>
                      </w:pPr>
                      <w:r w:rsidRPr="00C70F75">
                        <w:rPr>
                          <w:color w:val="000000" w:themeColor="text1"/>
                          <w:kern w:val="24"/>
                          <w14:textFill>
                            <w14:solidFill>
                              <w14:schemeClr w14:val="tx1">
                                <w14:alpha w14:val="22000"/>
                              </w14:schemeClr>
                            </w14:solidFill>
                          </w14:textFill>
                        </w:rPr>
                        <w:t xml:space="preserve">Firm-level SGIs </w:t>
                      </w:r>
                      <w:r>
                        <w:rPr>
                          <w:color w:val="000000" w:themeColor="text1"/>
                          <w:kern w:val="24"/>
                          <w14:textFill>
                            <w14:solidFill>
                              <w14:schemeClr w14:val="tx1">
                                <w14:alpha w14:val="22000"/>
                              </w14:schemeClr>
                            </w14:solidFill>
                          </w14:textFill>
                        </w:rPr>
                        <w:t xml:space="preserve">and </w:t>
                      </w:r>
                      <w:r w:rsidRPr="00C70F75">
                        <w:rPr>
                          <w:color w:val="000000" w:themeColor="text1"/>
                          <w:kern w:val="24"/>
                          <w14:textFill>
                            <w14:solidFill>
                              <w14:schemeClr w14:val="tx1">
                                <w14:alpha w14:val="22000"/>
                              </w14:schemeClr>
                            </w14:solidFill>
                          </w14:textFill>
                        </w:rPr>
                        <w:t>disclosure practices</w:t>
                      </w:r>
                    </w:p>
                  </w:txbxContent>
                </v:textbox>
              </v:rect>
            </w:pict>
          </mc:Fallback>
        </mc:AlternateContent>
      </w:r>
      <w:r w:rsidRPr="0053182F">
        <w:rPr>
          <w:noProof/>
          <w:color w:val="0F1115"/>
        </w:rPr>
        <mc:AlternateContent>
          <mc:Choice Requires="wps">
            <w:drawing>
              <wp:anchor distT="0" distB="0" distL="114300" distR="114300" simplePos="0" relativeHeight="251658296" behindDoc="0" locked="0" layoutInCell="1" allowOverlap="1" wp14:anchorId="47EF11D0" wp14:editId="398B3B8B">
                <wp:simplePos x="0" y="0"/>
                <wp:positionH relativeFrom="column">
                  <wp:posOffset>2713355</wp:posOffset>
                </wp:positionH>
                <wp:positionV relativeFrom="paragraph">
                  <wp:posOffset>175895</wp:posOffset>
                </wp:positionV>
                <wp:extent cx="3031490" cy="441325"/>
                <wp:effectExtent l="0" t="0" r="16510" b="15875"/>
                <wp:wrapNone/>
                <wp:docPr id="918564241" name="TextBox 11"/>
                <wp:cNvGraphicFramePr/>
                <a:graphic xmlns:a="http://schemas.openxmlformats.org/drawingml/2006/main">
                  <a:graphicData uri="http://schemas.microsoft.com/office/word/2010/wordprocessingShape">
                    <wps:wsp>
                      <wps:cNvSpPr txBox="1"/>
                      <wps:spPr>
                        <a:xfrm>
                          <a:off x="0" y="0"/>
                          <a:ext cx="3031490" cy="441325"/>
                        </a:xfrm>
                        <a:prstGeom prst="rect">
                          <a:avLst/>
                        </a:prstGeom>
                        <a:gradFill>
                          <a:gsLst>
                            <a:gs pos="0">
                              <a:schemeClr val="accent5">
                                <a:lumMod val="110000"/>
                                <a:satMod val="105000"/>
                                <a:tint val="67000"/>
                                <a:alpha val="0"/>
                              </a:schemeClr>
                            </a:gs>
                            <a:gs pos="50000">
                              <a:schemeClr val="accent5">
                                <a:lumMod val="105000"/>
                                <a:satMod val="103000"/>
                                <a:tint val="73000"/>
                              </a:schemeClr>
                            </a:gs>
                            <a:gs pos="100000">
                              <a:schemeClr val="accent5">
                                <a:lumMod val="105000"/>
                                <a:satMod val="109000"/>
                                <a:tint val="81000"/>
                              </a:schemeClr>
                            </a:gs>
                          </a:gsLst>
                        </a:gradFill>
                      </wps:spPr>
                      <wps:style>
                        <a:lnRef idx="1">
                          <a:schemeClr val="accent5"/>
                        </a:lnRef>
                        <a:fillRef idx="2">
                          <a:schemeClr val="accent5"/>
                        </a:fillRef>
                        <a:effectRef idx="1">
                          <a:schemeClr val="accent5"/>
                        </a:effectRef>
                        <a:fontRef idx="minor">
                          <a:schemeClr val="dk1"/>
                        </a:fontRef>
                      </wps:style>
                      <wps:txbx>
                        <w:txbxContent>
                          <w:p w14:paraId="450325CB" w14:textId="77777777" w:rsidR="00746DC4" w:rsidRPr="00E576A6" w:rsidRDefault="00746DC4" w:rsidP="00746DC4">
                            <w:pPr>
                              <w:spacing w:after="0" w:line="240" w:lineRule="auto"/>
                              <w:rPr>
                                <w:rFonts w:asciiTheme="minorHAnsi" w:hAnsi="Aptos"/>
                                <w:b/>
                                <w:bCs/>
                                <w:color w:val="000000" w:themeColor="dark1"/>
                                <w:kern w:val="24"/>
                              </w:rPr>
                            </w:pPr>
                            <w:r w:rsidRPr="00E576A6">
                              <w:rPr>
                                <w:b/>
                                <w:bCs/>
                                <w:color w:val="000000" w:themeColor="dark1"/>
                                <w:kern w:val="24"/>
                              </w:rPr>
                              <w:t>Coercive, normative and mimetic pressures Functionalist/</w:t>
                            </w:r>
                            <w:r>
                              <w:rPr>
                                <w:b/>
                                <w:bCs/>
                                <w:color w:val="000000" w:themeColor="dark1"/>
                                <w:kern w:val="24"/>
                              </w:rPr>
                              <w:t xml:space="preserve"> </w:t>
                            </w:r>
                            <w:r w:rsidRPr="00E576A6">
                              <w:rPr>
                                <w:b/>
                                <w:bCs/>
                                <w:color w:val="000000" w:themeColor="dark1"/>
                                <w:kern w:val="24"/>
                              </w:rPr>
                              <w:t>Interpretivist</w:t>
                            </w:r>
                            <w:r w:rsidRPr="00E576A6">
                              <w:rPr>
                                <w:rFonts w:asciiTheme="minorHAnsi" w:hAnsi="Aptos"/>
                                <w:b/>
                                <w:bCs/>
                                <w:color w:val="000000" w:themeColor="dark1"/>
                                <w:kern w:val="24"/>
                              </w:rPr>
                              <w:t xml:space="preserve"> assumptions</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47EF11D0" id="TextBox 11" o:spid="_x0000_s1067" type="#_x0000_t202" style="position:absolute;left:0;text-align:left;margin-left:213.65pt;margin-top:13.85pt;width:238.7pt;height:34.75pt;z-index:251658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" fillcolor="#d35dc6 [2168]" strokecolor="#a02b93 [3208]" strokeweight="1pt">
                <v:fill color2="#ca3bba [2616]" o:opacity2="0" rotate="t" colors="0 #d09fc8;.5 #c692be;1 #c17eb6" focus="100%" type="gradient">
                  <o:fill v:ext="view" type="gradientUnscaled"/>
                </v:fill>
                <v:textbox>
                  <w:txbxContent>
                    <w:p w14:paraId="450325CB" w14:textId="77777777" w:rsidR="00746DC4" w:rsidRPr="00E576A6" w:rsidRDefault="00746DC4" w:rsidP="00746DC4">
                      <w:pPr>
                        <w:spacing w:after="0" w:line="240" w:lineRule="auto"/>
                        <w:rPr>
                          <w:rFonts w:asciiTheme="minorHAnsi" w:hAnsi="Aptos"/>
                          <w:b/>
                          <w:bCs/>
                          <w:color w:val="000000" w:themeColor="dark1"/>
                          <w:kern w:val="24"/>
                        </w:rPr>
                      </w:pPr>
                      <w:r w:rsidRPr="00E576A6">
                        <w:rPr>
                          <w:b/>
                          <w:bCs/>
                          <w:color w:val="000000" w:themeColor="dark1"/>
                          <w:kern w:val="24"/>
                        </w:rPr>
                        <w:t>Coercive, normative and mimetic pressures Functionalist/</w:t>
                      </w:r>
                      <w:r>
                        <w:rPr>
                          <w:b/>
                          <w:bCs/>
                          <w:color w:val="000000" w:themeColor="dark1"/>
                          <w:kern w:val="24"/>
                        </w:rPr>
                        <w:t xml:space="preserve"> </w:t>
                      </w:r>
                      <w:r w:rsidRPr="00E576A6">
                        <w:rPr>
                          <w:b/>
                          <w:bCs/>
                          <w:color w:val="000000" w:themeColor="dark1"/>
                          <w:kern w:val="24"/>
                        </w:rPr>
                        <w:t>Interpretivist</w:t>
                      </w:r>
                      <w:r w:rsidRPr="00E576A6">
                        <w:rPr>
                          <w:rFonts w:asciiTheme="minorHAnsi" w:hAnsi="Aptos"/>
                          <w:b/>
                          <w:bCs/>
                          <w:color w:val="000000" w:themeColor="dark1"/>
                          <w:kern w:val="24"/>
                        </w:rPr>
                        <w:t xml:space="preserve"> assumptions</w:t>
                      </w:r>
                    </w:p>
                  </w:txbxContent>
                </v:textbox>
              </v:shape>
            </w:pict>
          </mc:Fallback>
        </mc:AlternateContent>
      </w:r>
      <w:r w:rsidRPr="0053182F">
        <w:rPr>
          <w:noProof/>
          <w:color w:val="0F1115"/>
        </w:rPr>
        <mc:AlternateContent>
          <mc:Choice Requires="wps">
            <w:drawing>
              <wp:anchor distT="0" distB="0" distL="114300" distR="114300" simplePos="0" relativeHeight="251658295" behindDoc="0" locked="0" layoutInCell="1" allowOverlap="1" wp14:anchorId="2D781B50" wp14:editId="73BCA167">
                <wp:simplePos x="0" y="0"/>
                <wp:positionH relativeFrom="column">
                  <wp:posOffset>-1142962</wp:posOffset>
                </wp:positionH>
                <wp:positionV relativeFrom="paragraph">
                  <wp:posOffset>440125</wp:posOffset>
                </wp:positionV>
                <wp:extent cx="2678003" cy="314325"/>
                <wp:effectExtent l="635" t="0" r="27940" b="27940"/>
                <wp:wrapNone/>
                <wp:docPr id="454897329" name="Rectangle 6"/>
                <wp:cNvGraphicFramePr/>
                <a:graphic xmlns:a="http://schemas.openxmlformats.org/drawingml/2006/main">
                  <a:graphicData uri="http://schemas.microsoft.com/office/word/2010/wordprocessingShape">
                    <wps:wsp>
                      <wps:cNvSpPr/>
                      <wps:spPr>
                        <a:xfrm rot="16200000">
                          <a:off x="0" y="0"/>
                          <a:ext cx="2678003" cy="314325"/>
                        </a:xfrm>
                        <a:prstGeom prst="rect">
                          <a:avLst/>
                        </a:prstGeom>
                        <a:solidFill>
                          <a:srgbClr val="FFFFF0"/>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24CDC041" w14:textId="77777777" w:rsidR="00746DC4" w:rsidRDefault="00746DC4" w:rsidP="00746DC4">
                            <w:pPr>
                              <w:jc w:val="center"/>
                              <w:rPr>
                                <w:b/>
                                <w:bCs/>
                                <w:color w:val="000000" w:themeColor="text1"/>
                                <w:kern w:val="24"/>
                                <w:sz w:val="28"/>
                                <w:szCs w:val="28"/>
                              </w:rPr>
                            </w:pPr>
                            <w:r>
                              <w:rPr>
                                <w:b/>
                                <w:bCs/>
                                <w:color w:val="000000" w:themeColor="text1"/>
                                <w:kern w:val="24"/>
                                <w:sz w:val="28"/>
                                <w:szCs w:val="28"/>
                              </w:rPr>
                              <w:t>Pragmatism</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D781B50" id="Rectangle 6" o:spid="_x0000_s1068" style="position:absolute;left:0;text-align:left;margin-left:-90pt;margin-top:34.65pt;width:210.85pt;height:24.75pt;rotation:-90;z-index:2516582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" fillcolor="#fffff0" strokeweight="1pt">
                <v:textbox>
                  <w:txbxContent>
                    <w:p w14:paraId="24CDC041" w14:textId="77777777" w:rsidR="00746DC4" w:rsidRDefault="00746DC4" w:rsidP="00746DC4">
                      <w:pPr>
                        <w:jc w:val="center"/>
                        <w:rPr>
                          <w:b/>
                          <w:bCs/>
                          <w:color w:val="000000" w:themeColor="text1"/>
                          <w:kern w:val="24"/>
                          <w:sz w:val="28"/>
                          <w:szCs w:val="28"/>
                        </w:rPr>
                      </w:pPr>
                      <w:r>
                        <w:rPr>
                          <w:b/>
                          <w:bCs/>
                          <w:color w:val="000000" w:themeColor="text1"/>
                          <w:kern w:val="24"/>
                          <w:sz w:val="28"/>
                          <w:szCs w:val="28"/>
                        </w:rPr>
                        <w:t>Pragmatism</w:t>
                      </w:r>
                    </w:p>
                  </w:txbxContent>
                </v:textbox>
              </v:rect>
            </w:pict>
          </mc:Fallback>
        </mc:AlternateContent>
      </w:r>
      <w:r w:rsidRPr="0053182F">
        <w:rPr>
          <w:noProof/>
          <w:color w:val="0F1115"/>
        </w:rPr>
        <mc:AlternateContent>
          <mc:Choice Requires="wps">
            <w:drawing>
              <wp:anchor distT="0" distB="0" distL="114300" distR="114300" simplePos="0" relativeHeight="251658302" behindDoc="0" locked="0" layoutInCell="1" allowOverlap="1" wp14:anchorId="2688E85A" wp14:editId="6D4688F4">
                <wp:simplePos x="0" y="0"/>
                <wp:positionH relativeFrom="column">
                  <wp:posOffset>357196</wp:posOffset>
                </wp:positionH>
                <wp:positionV relativeFrom="paragraph">
                  <wp:posOffset>420904</wp:posOffset>
                </wp:positionV>
                <wp:extent cx="360854" cy="0"/>
                <wp:effectExtent l="0" t="0" r="0" b="0"/>
                <wp:wrapNone/>
                <wp:docPr id="685660580" name="Straight Connector 1"/>
                <wp:cNvGraphicFramePr/>
                <a:graphic xmlns:a="http://schemas.openxmlformats.org/drawingml/2006/main">
                  <a:graphicData uri="http://schemas.microsoft.com/office/word/2010/wordprocessingShape">
                    <wps:wsp>
                      <wps:cNvCnPr/>
                      <wps:spPr>
                        <a:xfrm>
                          <a:off x="0" y="0"/>
                          <a:ext cx="360854"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4D195036" id="Straight Connector 1" o:spid="_x0000_s1026" style="position:absolute;z-index:25165830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15pt,33.15pt" to="56.55pt,3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" strokecolor="#156082 [3204]" strokeweight="1.5pt">
                <v:stroke dashstyle="dash"/>
              </v:line>
            </w:pict>
          </mc:Fallback>
        </mc:AlternateContent>
      </w:r>
    </w:p>
    <w:p w14:paraId="63DBC001"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p>
    <w:p w14:paraId="0061C97F"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303" behindDoc="0" locked="0" layoutInCell="1" allowOverlap="1" wp14:anchorId="4600E4B0" wp14:editId="2B520B15">
                <wp:simplePos x="0" y="0"/>
                <wp:positionH relativeFrom="column">
                  <wp:posOffset>1992630</wp:posOffset>
                </wp:positionH>
                <wp:positionV relativeFrom="paragraph">
                  <wp:posOffset>185623</wp:posOffset>
                </wp:positionV>
                <wp:extent cx="0" cy="278130"/>
                <wp:effectExtent l="95250" t="38100" r="57150" b="64770"/>
                <wp:wrapNone/>
                <wp:docPr id="185065120" name="Straight Arrow Connector 8"/>
                <wp:cNvGraphicFramePr/>
                <a:graphic xmlns:a="http://schemas.openxmlformats.org/drawingml/2006/main">
                  <a:graphicData uri="http://schemas.microsoft.com/office/word/2010/wordprocessingShape">
                    <wps:wsp>
                      <wps:cNvCnPr/>
                      <wps:spPr>
                        <a:xfrm flipV="1">
                          <a:off x="0" y="0"/>
                          <a:ext cx="0" cy="278130"/>
                        </a:xfrm>
                        <a:prstGeom prst="straightConnector1">
                          <a:avLst/>
                        </a:prstGeom>
                        <a:ln w="19050" cap="flat" cmpd="sng" algn="ctr">
                          <a:solidFill>
                            <a:schemeClr val="accent3"/>
                          </a:solidFill>
                          <a:prstDash val="solid"/>
                          <a:round/>
                          <a:headEnd type="arrow"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7FCD40F4" id="Straight Arrow Connector 8" o:spid="_x0000_s1026" type="#_x0000_t32" style="position:absolute;margin-left:156.9pt;margin-top:14.6pt;width:0;height:21.9pt;flip:y;z-index:25165830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" strokecolor="#196b24 [3206]" strokeweight="1.5pt">
                <v:stroke startarrow="open" endarrow="open"/>
              </v:shape>
            </w:pict>
          </mc:Fallback>
        </mc:AlternateContent>
      </w:r>
    </w:p>
    <w:p w14:paraId="427BCC87"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293" behindDoc="0" locked="0" layoutInCell="1" allowOverlap="1" wp14:anchorId="057FE1A0" wp14:editId="15FF650F">
                <wp:simplePos x="0" y="0"/>
                <wp:positionH relativeFrom="column">
                  <wp:posOffset>655955</wp:posOffset>
                </wp:positionH>
                <wp:positionV relativeFrom="paragraph">
                  <wp:posOffset>135052</wp:posOffset>
                </wp:positionV>
                <wp:extent cx="5033010" cy="643255"/>
                <wp:effectExtent l="0" t="0" r="15240" b="23495"/>
                <wp:wrapNone/>
                <wp:docPr id="1085592545" name="Rectangle 4"/>
                <wp:cNvGraphicFramePr/>
                <a:graphic xmlns:a="http://schemas.openxmlformats.org/drawingml/2006/main">
                  <a:graphicData uri="http://schemas.microsoft.com/office/word/2010/wordprocessingShape">
                    <wps:wsp>
                      <wps:cNvSpPr/>
                      <wps:spPr>
                        <a:xfrm>
                          <a:off x="0" y="0"/>
                          <a:ext cx="5033010" cy="643255"/>
                        </a:xfrm>
                        <a:prstGeom prst="rect">
                          <a:avLst/>
                        </a:prstGeom>
                        <a:gradFill>
                          <a:gsLst>
                            <a:gs pos="66000">
                              <a:schemeClr val="accent3">
                                <a:satMod val="103000"/>
                                <a:lumMod val="102000"/>
                                <a:tint val="94000"/>
                              </a:schemeClr>
                            </a:gs>
                            <a:gs pos="15596">
                              <a:schemeClr val="accent6">
                                <a:lumMod val="74000"/>
                                <a:lumOff val="26000"/>
                                <a:alpha val="57000"/>
                              </a:schemeClr>
                            </a:gs>
                            <a:gs pos="27000">
                              <a:schemeClr val="accent6">
                                <a:lumMod val="60000"/>
                                <a:lumOff val="40000"/>
                              </a:schemeClr>
                            </a:gs>
                            <a:gs pos="100000">
                              <a:schemeClr val="accent3">
                                <a:lumMod val="99000"/>
                                <a:satMod val="120000"/>
                                <a:shade val="78000"/>
                                <a:alpha val="79000"/>
                              </a:schemeClr>
                            </a:gs>
                          </a:gsLst>
                        </a:gradFill>
                        <a:ln/>
                      </wps:spPr>
                      <wps:style>
                        <a:lnRef idx="1">
                          <a:schemeClr val="accent3"/>
                        </a:lnRef>
                        <a:fillRef idx="3">
                          <a:schemeClr val="accent3"/>
                        </a:fillRef>
                        <a:effectRef idx="2">
                          <a:schemeClr val="accent3"/>
                        </a:effectRef>
                        <a:fontRef idx="minor">
                          <a:schemeClr val="lt1"/>
                        </a:fontRef>
                      </wps:style>
                      <wps:txbx>
                        <w:txbxContent>
                          <w:p w14:paraId="0455397C" w14:textId="77777777" w:rsidR="00746DC4" w:rsidRPr="00E576A6" w:rsidRDefault="00746DC4" w:rsidP="00746DC4">
                            <w:pPr>
                              <w:spacing w:after="0" w:line="240" w:lineRule="auto"/>
                              <w:rPr>
                                <w:b/>
                                <w:bCs/>
                                <w:color w:val="000000" w:themeColor="text1"/>
                                <w:kern w:val="24"/>
                              </w:rPr>
                            </w:pPr>
                            <w:r w:rsidRPr="00E576A6">
                              <w:rPr>
                                <w:b/>
                                <w:bCs/>
                                <w:color w:val="000000" w:themeColor="text1"/>
                                <w:kern w:val="24"/>
                              </w:rPr>
                              <w:t>Micro level:</w:t>
                            </w:r>
                          </w:p>
                          <w:p w14:paraId="548B028B" w14:textId="77777777" w:rsidR="00746DC4" w:rsidRPr="00E576A6" w:rsidRDefault="00746DC4" w:rsidP="00746DC4">
                            <w:pPr>
                              <w:spacing w:after="0" w:line="240" w:lineRule="auto"/>
                              <w:rPr>
                                <w:color w:val="000000" w:themeColor="text1"/>
                                <w:kern w:val="24"/>
                              </w:rPr>
                            </w:pPr>
                            <w:r w:rsidRPr="00E576A6">
                              <w:rPr>
                                <w:color w:val="000000" w:themeColor="text1"/>
                                <w:kern w:val="24"/>
                              </w:rPr>
                              <w:t>Workers’ experiences</w:t>
                            </w:r>
                          </w:p>
                          <w:p w14:paraId="73ED66AF" w14:textId="77777777" w:rsidR="00746DC4" w:rsidRPr="00E576A6" w:rsidRDefault="00746DC4" w:rsidP="00746DC4">
                            <w:pPr>
                              <w:spacing w:after="0" w:line="240" w:lineRule="auto"/>
                              <w:rPr>
                                <w:color w:val="000000" w:themeColor="text1"/>
                                <w:kern w:val="24"/>
                              </w:rPr>
                            </w:pPr>
                            <w:r w:rsidRPr="00E576A6">
                              <w:rPr>
                                <w:color w:val="000000" w:themeColor="text1"/>
                                <w:kern w:val="24"/>
                              </w:rPr>
                              <w:t>Lived realities within supply chains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57FE1A0" id="Rectangle 4" o:spid="_x0000_s1069" style="position:absolute;left:0;text-align:left;margin-left:51.65pt;margin-top:10.65pt;width:396.3pt;height:50.65pt;z-index:2516582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" fillcolor="#73cf53 [2393]" strokecolor="#196b24 [3206]" strokeweight="1pt">
                <v:fill opacity="51773f" color2="#186923 [3174]" o:opacity2="37355f" rotate="t" colors="0 #74d053;10221f #74d053;17695f #8ed973;43254f #4a7e4e" focus="100%" type="gradient">
                  <o:fill v:ext="view" type="gradientUnscaled"/>
                </v:fill>
                <v:textbox>
                  <w:txbxContent>
                    <w:p w14:paraId="0455397C" w14:textId="77777777" w:rsidR="00746DC4" w:rsidRPr="00E576A6" w:rsidRDefault="00746DC4" w:rsidP="00746DC4">
                      <w:pPr>
                        <w:spacing w:after="0" w:line="240" w:lineRule="auto"/>
                        <w:rPr>
                          <w:b/>
                          <w:bCs/>
                          <w:color w:val="000000" w:themeColor="text1"/>
                          <w:kern w:val="24"/>
                        </w:rPr>
                      </w:pPr>
                      <w:r w:rsidRPr="00E576A6">
                        <w:rPr>
                          <w:b/>
                          <w:bCs/>
                          <w:color w:val="000000" w:themeColor="text1"/>
                          <w:kern w:val="24"/>
                        </w:rPr>
                        <w:t>Micro level:</w:t>
                      </w:r>
                    </w:p>
                    <w:p w14:paraId="548B028B" w14:textId="77777777" w:rsidR="00746DC4" w:rsidRPr="00E576A6" w:rsidRDefault="00746DC4" w:rsidP="00746DC4">
                      <w:pPr>
                        <w:spacing w:after="0" w:line="240" w:lineRule="auto"/>
                        <w:rPr>
                          <w:color w:val="000000" w:themeColor="text1"/>
                          <w:kern w:val="24"/>
                        </w:rPr>
                      </w:pPr>
                      <w:r w:rsidRPr="00E576A6">
                        <w:rPr>
                          <w:color w:val="000000" w:themeColor="text1"/>
                          <w:kern w:val="24"/>
                        </w:rPr>
                        <w:t>Workers’ experiences</w:t>
                      </w:r>
                    </w:p>
                    <w:p w14:paraId="73ED66AF" w14:textId="77777777" w:rsidR="00746DC4" w:rsidRPr="00E576A6" w:rsidRDefault="00746DC4" w:rsidP="00746DC4">
                      <w:pPr>
                        <w:spacing w:after="0" w:line="240" w:lineRule="auto"/>
                        <w:rPr>
                          <w:color w:val="000000" w:themeColor="text1"/>
                          <w:kern w:val="24"/>
                        </w:rPr>
                      </w:pPr>
                      <w:r w:rsidRPr="00E576A6">
                        <w:rPr>
                          <w:color w:val="000000" w:themeColor="text1"/>
                          <w:kern w:val="24"/>
                        </w:rPr>
                        <w:t>Lived realities within supply chains</w:t>
                      </w:r>
                    </w:p>
                  </w:txbxContent>
                </v:textbox>
              </v:rect>
            </w:pict>
          </mc:Fallback>
        </mc:AlternateContent>
      </w:r>
      <w:r w:rsidRPr="0053182F">
        <w:rPr>
          <w:noProof/>
          <w:color w:val="0F1115"/>
        </w:rPr>
        <mc:AlternateContent>
          <mc:Choice Requires="wps">
            <w:drawing>
              <wp:anchor distT="0" distB="0" distL="114300" distR="114300" simplePos="0" relativeHeight="251658297" behindDoc="0" locked="0" layoutInCell="1" allowOverlap="1" wp14:anchorId="01D4B131" wp14:editId="579E55E1">
                <wp:simplePos x="0" y="0"/>
                <wp:positionH relativeFrom="column">
                  <wp:posOffset>3399046</wp:posOffset>
                </wp:positionH>
                <wp:positionV relativeFrom="paragraph">
                  <wp:posOffset>173247</wp:posOffset>
                </wp:positionV>
                <wp:extent cx="2289810" cy="447740"/>
                <wp:effectExtent l="0" t="0" r="15240" b="28575"/>
                <wp:wrapNone/>
                <wp:docPr id="1640482540" name="TextBox 13"/>
                <wp:cNvGraphicFramePr/>
                <a:graphic xmlns:a="http://schemas.openxmlformats.org/drawingml/2006/main">
                  <a:graphicData uri="http://schemas.microsoft.com/office/word/2010/wordprocessingShape">
                    <wps:wsp>
                      <wps:cNvSpPr txBox="1"/>
                      <wps:spPr>
                        <a:xfrm>
                          <a:off x="0" y="0"/>
                          <a:ext cx="2289810" cy="447740"/>
                        </a:xfrm>
                        <a:prstGeom prst="rect">
                          <a:avLst/>
                        </a:prstGeom>
                        <a:gradFill>
                          <a:gsLst>
                            <a:gs pos="62000">
                              <a:schemeClr val="accent3">
                                <a:lumMod val="110000"/>
                                <a:satMod val="105000"/>
                                <a:tint val="67000"/>
                              </a:schemeClr>
                            </a:gs>
                            <a:gs pos="87000">
                              <a:schemeClr val="accent3">
                                <a:lumMod val="105000"/>
                                <a:satMod val="103000"/>
                                <a:tint val="73000"/>
                              </a:schemeClr>
                            </a:gs>
                            <a:gs pos="10000">
                              <a:schemeClr val="accent3">
                                <a:lumMod val="40000"/>
                                <a:lumOff val="60000"/>
                              </a:schemeClr>
                            </a:gs>
                          </a:gsLst>
                        </a:gradFill>
                        <a:ln/>
                      </wps:spPr>
                      <wps:style>
                        <a:lnRef idx="1">
                          <a:schemeClr val="accent3"/>
                        </a:lnRef>
                        <a:fillRef idx="2">
                          <a:schemeClr val="accent3"/>
                        </a:fillRef>
                        <a:effectRef idx="1">
                          <a:schemeClr val="accent3"/>
                        </a:effectRef>
                        <a:fontRef idx="minor">
                          <a:schemeClr val="dk1"/>
                        </a:fontRef>
                      </wps:style>
                      <wps:txbx>
                        <w:txbxContent>
                          <w:p w14:paraId="75893FC2" w14:textId="77777777" w:rsidR="00746DC4" w:rsidRPr="00C44674" w:rsidRDefault="00746DC4" w:rsidP="00746DC4">
                            <w:pPr>
                              <w:spacing w:after="0" w:line="240" w:lineRule="auto"/>
                              <w:rPr>
                                <w:b/>
                                <w:bCs/>
                                <w:color w:val="000000" w:themeColor="dark1"/>
                                <w:kern w:val="24"/>
                              </w:rPr>
                            </w:pPr>
                            <w:r w:rsidRPr="00C44674">
                              <w:rPr>
                                <w:b/>
                                <w:bCs/>
                                <w:color w:val="000000" w:themeColor="dark1"/>
                                <w:kern w:val="24"/>
                              </w:rPr>
                              <w:t>Institutional decoupling</w:t>
                            </w:r>
                          </w:p>
                          <w:p w14:paraId="2D5FDCCE" w14:textId="77777777" w:rsidR="00746DC4" w:rsidRPr="00C44674" w:rsidRDefault="00746DC4" w:rsidP="00746DC4">
                            <w:pPr>
                              <w:spacing w:after="0" w:line="240" w:lineRule="auto"/>
                              <w:rPr>
                                <w:b/>
                                <w:bCs/>
                                <w:color w:val="000000" w:themeColor="dark1"/>
                                <w:kern w:val="24"/>
                              </w:rPr>
                            </w:pPr>
                            <w:r w:rsidRPr="00C44674">
                              <w:rPr>
                                <w:b/>
                                <w:bCs/>
                                <w:color w:val="000000" w:themeColor="dark1"/>
                                <w:kern w:val="24"/>
                              </w:rPr>
                              <w:t>Interpretivist perspective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01D4B131" id="TextBox 13" o:spid="_x0000_s1070" type="#_x0000_t202" style="position:absolute;left:0;text-align:left;margin-left:267.65pt;margin-top:13.65pt;width:180.3pt;height:35.25pt;z-index:251658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" fillcolor="#84e290 [1302]" strokecolor="#196b24 [3206]" strokeweight="1pt">
                <v:fill color2="#2cbd3f [2358]" rotate="t" colors="0 #84e291;6554f #84e291;40632f #9db49e" focus="100%" type="gradient">
                  <o:fill v:ext="view" type="gradientUnscaled"/>
                </v:fill>
                <v:textbox>
                  <w:txbxContent>
                    <w:p w14:paraId="75893FC2" w14:textId="77777777" w:rsidR="00746DC4" w:rsidRPr="00C44674" w:rsidRDefault="00746DC4" w:rsidP="00746DC4">
                      <w:pPr>
                        <w:spacing w:after="0" w:line="240" w:lineRule="auto"/>
                        <w:rPr>
                          <w:b/>
                          <w:bCs/>
                          <w:color w:val="000000" w:themeColor="dark1"/>
                          <w:kern w:val="24"/>
                        </w:rPr>
                      </w:pPr>
                      <w:r w:rsidRPr="00C44674">
                        <w:rPr>
                          <w:b/>
                          <w:bCs/>
                          <w:color w:val="000000" w:themeColor="dark1"/>
                          <w:kern w:val="24"/>
                        </w:rPr>
                        <w:t>Institutional decoupling</w:t>
                      </w:r>
                    </w:p>
                    <w:p w14:paraId="2D5FDCCE" w14:textId="77777777" w:rsidR="00746DC4" w:rsidRPr="00C44674" w:rsidRDefault="00746DC4" w:rsidP="00746DC4">
                      <w:pPr>
                        <w:spacing w:after="0" w:line="240" w:lineRule="auto"/>
                        <w:rPr>
                          <w:b/>
                          <w:bCs/>
                          <w:color w:val="000000" w:themeColor="dark1"/>
                          <w:kern w:val="24"/>
                        </w:rPr>
                      </w:pPr>
                      <w:r w:rsidRPr="00C44674">
                        <w:rPr>
                          <w:b/>
                          <w:bCs/>
                          <w:color w:val="000000" w:themeColor="dark1"/>
                          <w:kern w:val="24"/>
                        </w:rPr>
                        <w:t>Interpretivist perspective</w:t>
                      </w:r>
                    </w:p>
                  </w:txbxContent>
                </v:textbox>
              </v:shape>
            </w:pict>
          </mc:Fallback>
        </mc:AlternateContent>
      </w:r>
      <w:r w:rsidRPr="0053182F">
        <w:rPr>
          <w:noProof/>
          <w:color w:val="0F1115"/>
        </w:rPr>
        <mc:AlternateContent>
          <mc:Choice Requires="wps">
            <w:drawing>
              <wp:anchor distT="0" distB="0" distL="114300" distR="114300" simplePos="0" relativeHeight="251658301" behindDoc="0" locked="0" layoutInCell="1" allowOverlap="1" wp14:anchorId="7051719A" wp14:editId="7F80221E">
                <wp:simplePos x="0" y="0"/>
                <wp:positionH relativeFrom="column">
                  <wp:posOffset>357351</wp:posOffset>
                </wp:positionH>
                <wp:positionV relativeFrom="paragraph">
                  <wp:posOffset>465716</wp:posOffset>
                </wp:positionV>
                <wp:extent cx="360854" cy="0"/>
                <wp:effectExtent l="0" t="0" r="0" b="0"/>
                <wp:wrapNone/>
                <wp:docPr id="312921292" name="Straight Connector 1"/>
                <wp:cNvGraphicFramePr/>
                <a:graphic xmlns:a="http://schemas.openxmlformats.org/drawingml/2006/main">
                  <a:graphicData uri="http://schemas.microsoft.com/office/word/2010/wordprocessingShape">
                    <wps:wsp>
                      <wps:cNvCnPr/>
                      <wps:spPr>
                        <a:xfrm>
                          <a:off x="0" y="0"/>
                          <a:ext cx="360854" cy="0"/>
                        </a:xfrm>
                        <a:prstGeom prst="line">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anchor>
            </w:drawing>
          </mc:Choice>
          <mc:Fallback>
            <w:pict>
              <v:line w14:anchorId="5D7F81E7" id="Straight Connector 1" o:spid="_x0000_s1026" style="position:absolute;z-index:251658301;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8.15pt,36.65pt" to="56.55pt,36.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" strokecolor="#156082 [3204]" strokeweight="1.5pt">
                <v:stroke dashstyle="dash"/>
              </v:line>
            </w:pict>
          </mc:Fallback>
        </mc:AlternateContent>
      </w:r>
    </w:p>
    <w:p w14:paraId="22622426"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p>
    <w:p w14:paraId="2A118426" w14:textId="77777777" w:rsidR="00746DC4" w:rsidRPr="0053182F" w:rsidRDefault="00746DC4" w:rsidP="00746DC4">
      <w:pPr>
        <w:pStyle w:val="ds-markdown-paragraph"/>
        <w:shd w:val="clear" w:color="auto" w:fill="FFFFFF"/>
        <w:spacing w:before="0" w:beforeAutospacing="0" w:after="0" w:afterAutospacing="0" w:line="480" w:lineRule="auto"/>
        <w:jc w:val="center"/>
        <w:rPr>
          <w:color w:val="0F1115"/>
        </w:rPr>
      </w:pPr>
      <w:r w:rsidRPr="0053182F">
        <w:rPr>
          <w:noProof/>
          <w:color w:val="0F1115"/>
        </w:rPr>
        <mc:AlternateContent>
          <mc:Choice Requires="wps">
            <w:drawing>
              <wp:anchor distT="0" distB="0" distL="114300" distR="114300" simplePos="0" relativeHeight="251658294" behindDoc="0" locked="0" layoutInCell="1" allowOverlap="1" wp14:anchorId="71A9DECB" wp14:editId="1CD5025E">
                <wp:simplePos x="0" y="0"/>
                <wp:positionH relativeFrom="column">
                  <wp:posOffset>384175</wp:posOffset>
                </wp:positionH>
                <wp:positionV relativeFrom="paragraph">
                  <wp:posOffset>124663</wp:posOffset>
                </wp:positionV>
                <wp:extent cx="5340985" cy="308610"/>
                <wp:effectExtent l="0" t="0" r="12065" b="15240"/>
                <wp:wrapNone/>
                <wp:docPr id="50464377" name="Rectangle 5"/>
                <wp:cNvGraphicFramePr/>
                <a:graphic xmlns:a="http://schemas.openxmlformats.org/drawingml/2006/main">
                  <a:graphicData uri="http://schemas.microsoft.com/office/word/2010/wordprocessingShape">
                    <wps:wsp>
                      <wps:cNvSpPr/>
                      <wps:spPr>
                        <a:xfrm>
                          <a:off x="0" y="0"/>
                          <a:ext cx="5340985" cy="308610"/>
                        </a:xfrm>
                        <a:prstGeom prst="rect">
                          <a:avLst/>
                        </a:prstGeom>
                        <a:solidFill>
                          <a:srgbClr val="F5F5F5"/>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51A690E5" w14:textId="77777777" w:rsidR="00746DC4" w:rsidRPr="00A7352C" w:rsidRDefault="00746DC4" w:rsidP="00746DC4">
                            <w:pPr>
                              <w:jc w:val="center"/>
                              <w:rPr>
                                <w:color w:val="000000" w:themeColor="text1"/>
                                <w:kern w:val="24"/>
                              </w:rPr>
                            </w:pPr>
                            <w:r w:rsidRPr="00A7352C">
                              <w:rPr>
                                <w:color w:val="000000" w:themeColor="text1"/>
                                <w:kern w:val="24"/>
                              </w:rPr>
                              <w:t>Integral understanding of Modern Slavery</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1A9DECB" id="_x0000_s1071" style="position:absolute;left:0;text-align:left;margin-left:30.25pt;margin-top:9.8pt;width:420.55pt;height:24.3pt;z-index:25165829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" fillcolor="#f5f5f5" strokeweight="1pt">
                <v:textbox>
                  <w:txbxContent>
                    <w:p w14:paraId="51A690E5" w14:textId="77777777" w:rsidR="00746DC4" w:rsidRPr="00A7352C" w:rsidRDefault="00746DC4" w:rsidP="00746DC4">
                      <w:pPr>
                        <w:jc w:val="center"/>
                        <w:rPr>
                          <w:color w:val="000000" w:themeColor="text1"/>
                          <w:kern w:val="24"/>
                        </w:rPr>
                      </w:pPr>
                      <w:r w:rsidRPr="00A7352C">
                        <w:rPr>
                          <w:color w:val="000000" w:themeColor="text1"/>
                          <w:kern w:val="24"/>
                        </w:rPr>
                        <w:t>Integral understanding of Modern Slavery</w:t>
                      </w:r>
                    </w:p>
                  </w:txbxContent>
                </v:textbox>
              </v:rect>
            </w:pict>
          </mc:Fallback>
        </mc:AlternateContent>
      </w:r>
    </w:p>
    <w:p w14:paraId="7D075E13" w14:textId="77777777" w:rsidR="00746DC4" w:rsidRPr="0053182F" w:rsidRDefault="00746DC4" w:rsidP="00746DC4">
      <w:pPr>
        <w:pStyle w:val="ds-markdown-paragraph"/>
        <w:shd w:val="clear" w:color="auto" w:fill="FFFFFF"/>
        <w:spacing w:before="0" w:beforeAutospacing="0" w:after="0" w:afterAutospacing="0" w:line="480" w:lineRule="auto"/>
        <w:jc w:val="center"/>
        <w:rPr>
          <w:color w:val="0F1115"/>
        </w:rPr>
      </w:pPr>
    </w:p>
    <w:p w14:paraId="03D64790" w14:textId="77777777" w:rsidR="00746DC4" w:rsidRPr="0053182F" w:rsidRDefault="00746DC4" w:rsidP="00746DC4">
      <w:pPr>
        <w:pStyle w:val="ds-markdown-paragraph"/>
        <w:shd w:val="clear" w:color="auto" w:fill="FFFFFF"/>
        <w:spacing w:before="0" w:beforeAutospacing="0" w:after="0" w:afterAutospacing="0" w:line="480" w:lineRule="auto"/>
        <w:jc w:val="center"/>
        <w:rPr>
          <w:color w:val="0F1115"/>
        </w:rPr>
      </w:pPr>
      <w:r w:rsidRPr="0053182F">
        <w:rPr>
          <w:b/>
          <w:bCs/>
          <w:color w:val="0F1115"/>
        </w:rPr>
        <w:t>Figure 4.2:</w:t>
      </w:r>
      <w:r w:rsidRPr="0053182F">
        <w:rPr>
          <w:color w:val="0F1115"/>
        </w:rPr>
        <w:t xml:space="preserve"> Neo-institutional theoretical framework</w:t>
      </w:r>
    </w:p>
    <w:p w14:paraId="1995DABC" w14:textId="00FCD216" w:rsidR="00E67A4D" w:rsidRPr="0053182F" w:rsidRDefault="00E67A4D" w:rsidP="00746DC4">
      <w:pPr>
        <w:pStyle w:val="ds-markdown-paragraph"/>
        <w:shd w:val="clear" w:color="auto" w:fill="FFFFFF"/>
        <w:spacing w:before="0" w:beforeAutospacing="0" w:after="0" w:afterAutospacing="0" w:line="480" w:lineRule="auto"/>
        <w:jc w:val="center"/>
        <w:rPr>
          <w:color w:val="0F1115"/>
        </w:rPr>
      </w:pPr>
      <w:r w:rsidRPr="0053182F">
        <w:rPr>
          <w:b/>
          <w:bCs/>
          <w:color w:val="0F1115"/>
        </w:rPr>
        <w:t>Source:</w:t>
      </w:r>
      <w:r w:rsidRPr="0053182F">
        <w:rPr>
          <w:color w:val="0F1115"/>
        </w:rPr>
        <w:t xml:space="preserve"> Author</w:t>
      </w:r>
      <w:r w:rsidR="00A92F5C" w:rsidRPr="0053182F">
        <w:rPr>
          <w:color w:val="0F1115"/>
        </w:rPr>
        <w:t>'</w:t>
      </w:r>
      <w:r w:rsidRPr="0053182F">
        <w:rPr>
          <w:color w:val="0F1115"/>
        </w:rPr>
        <w:t>s own work</w:t>
      </w:r>
    </w:p>
    <w:p w14:paraId="4E8406B9" w14:textId="5A6B98F4" w:rsidR="00746DC4" w:rsidRPr="0053182F" w:rsidRDefault="00746DC4" w:rsidP="00E67A4D">
      <w:pPr>
        <w:pStyle w:val="Heading3"/>
        <w:rPr>
          <w:rStyle w:val="Strong"/>
          <w:b/>
          <w:bCs w:val="0"/>
        </w:rPr>
      </w:pPr>
      <w:bookmarkStart w:id="183" w:name="_Toc215651829"/>
      <w:bookmarkStart w:id="184" w:name="_Toc218357123"/>
      <w:r w:rsidRPr="0053182F">
        <w:rPr>
          <w:rStyle w:val="Strong"/>
          <w:b/>
          <w:bCs w:val="0"/>
        </w:rPr>
        <w:t>4.</w:t>
      </w:r>
      <w:r w:rsidR="00486582" w:rsidRPr="0053182F">
        <w:rPr>
          <w:rStyle w:val="Strong"/>
          <w:b/>
          <w:bCs w:val="0"/>
        </w:rPr>
        <w:t>6</w:t>
      </w:r>
      <w:r w:rsidRPr="0053182F">
        <w:rPr>
          <w:rStyle w:val="Strong"/>
          <w:b/>
          <w:bCs w:val="0"/>
        </w:rPr>
        <w:t>.2 A Dualistic Approach to CMS</w:t>
      </w:r>
      <w:bookmarkEnd w:id="183"/>
      <w:bookmarkEnd w:id="184"/>
    </w:p>
    <w:p w14:paraId="3A02D5E0"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The pragmatic approach of this study is operationalised through a dualistic research strategy that consciously engages with different aspects of social reality, as defined by Burrell and Morgan’s (1979) schema. This is not a philosophical inconsistency but a deliberate and justified response to the complex, multi-layered nature of the research problem. The two components of the study are designed to engage with different types of truth claims about CMS, each requiring its own philosophical and methodological approach.</w:t>
      </w:r>
    </w:p>
    <w:p w14:paraId="19D3D715" w14:textId="18A9D9F4" w:rsidR="00746DC4" w:rsidRPr="0053182F" w:rsidRDefault="00746DC4" w:rsidP="00647A70">
      <w:pPr>
        <w:pStyle w:val="ds-markdown-paragraph"/>
        <w:shd w:val="clear" w:color="auto" w:fill="FFFFFF"/>
        <w:spacing w:before="0" w:beforeAutospacing="0" w:after="0" w:afterAutospacing="0" w:line="480" w:lineRule="auto"/>
        <w:jc w:val="both"/>
        <w:rPr>
          <w:rStyle w:val="Strong"/>
          <w:rFonts w:eastAsiaTheme="majorEastAsia"/>
          <w:color w:val="0F1115"/>
        </w:rPr>
      </w:pPr>
      <w:r w:rsidRPr="0053182F">
        <w:rPr>
          <w:rStyle w:val="Strong"/>
          <w:rFonts w:eastAsiaTheme="majorEastAsia"/>
          <w:color w:val="0F1115"/>
        </w:rPr>
        <w:t>The Macro-Quantitative Component (Functionalist Perspective)</w:t>
      </w:r>
    </w:p>
    <w:p w14:paraId="6EEEF8E6" w14:textId="635CC0F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This component addresses the broad patterns of corporate behaviour and institutional pressure. It is predicated on the </w:t>
      </w:r>
      <w:r w:rsidRPr="0053182F">
        <w:rPr>
          <w:rStyle w:val="Strong"/>
          <w:rFonts w:eastAsiaTheme="majorEastAsia"/>
          <w:b w:val="0"/>
          <w:color w:val="0F1115"/>
        </w:rPr>
        <w:t>functionalist</w:t>
      </w:r>
      <w:r w:rsidRPr="0053182F">
        <w:rPr>
          <w:b/>
          <w:bCs/>
          <w:color w:val="0F1115"/>
        </w:rPr>
        <w:t> </w:t>
      </w:r>
      <w:r w:rsidRPr="0053182F">
        <w:rPr>
          <w:color w:val="0F1115"/>
        </w:rPr>
        <w:t>assumption that certain aspects of the social world—such as the existence of a sustainability committee, a country’s regulatory quality score, or the publication of a</w:t>
      </w:r>
      <w:r w:rsidR="00A92F5C" w:rsidRPr="0053182F">
        <w:rPr>
          <w:color w:val="0F1115"/>
        </w:rPr>
        <w:t>n</w:t>
      </w:r>
      <w:r w:rsidRPr="0053182F">
        <w:rPr>
          <w:color w:val="0F1115"/>
        </w:rPr>
        <w:t xml:space="preserve"> MS statement—can be treated as objective, measurable facts for analysis (Bryman, 2016). The goal here is </w:t>
      </w:r>
      <w:r w:rsidRPr="0053182F">
        <w:rPr>
          <w:rStyle w:val="Strong"/>
          <w:rFonts w:eastAsiaTheme="majorEastAsia"/>
          <w:b w:val="0"/>
          <w:color w:val="0F1115"/>
        </w:rPr>
        <w:t>explanation and prediction</w:t>
      </w:r>
      <w:r w:rsidRPr="0053182F">
        <w:rPr>
          <w:color w:val="0F1115"/>
        </w:rPr>
        <w:t>; it seeks to identify generalisable patterns, correlations, and causal relationships between institutional pressures (independent variables) and corporate responses (dependent variables).</w:t>
      </w:r>
    </w:p>
    <w:p w14:paraId="60CF7934" w14:textId="0C965B99" w:rsidR="00746DC4" w:rsidRPr="0053182F" w:rsidRDefault="00746DC4" w:rsidP="00DB3CBA">
      <w:pPr>
        <w:pStyle w:val="ds-markdown-paragraph"/>
        <w:numPr>
          <w:ilvl w:val="0"/>
          <w:numId w:val="43"/>
        </w:numPr>
        <w:shd w:val="clear" w:color="auto" w:fill="FFFFFF"/>
        <w:spacing w:before="0" w:beforeAutospacing="0" w:after="0" w:afterAutospacing="0" w:line="480" w:lineRule="auto"/>
        <w:ind w:left="0" w:firstLine="415"/>
        <w:jc w:val="both"/>
        <w:rPr>
          <w:color w:val="0F1115"/>
        </w:rPr>
      </w:pPr>
      <w:r w:rsidRPr="0053182F">
        <w:rPr>
          <w:rStyle w:val="Strong"/>
          <w:rFonts w:eastAsiaTheme="majorEastAsia"/>
          <w:color w:val="0F1115"/>
        </w:rPr>
        <w:t>Application of NIT:</w:t>
      </w:r>
      <w:r w:rsidRPr="0053182F">
        <w:rPr>
          <w:color w:val="0F1115"/>
        </w:rPr>
        <w:t> This component applies NIT in a functionalist way. It treats the</w:t>
      </w:r>
      <w:r w:rsidR="00DB3CBA" w:rsidRPr="0053182F">
        <w:rPr>
          <w:color w:val="0F1115"/>
        </w:rPr>
        <w:t xml:space="preserve"> </w:t>
      </w:r>
      <w:r w:rsidRPr="0053182F">
        <w:rPr>
          <w:color w:val="0F1115"/>
        </w:rPr>
        <w:t>three isomorphic mechanisms—</w:t>
      </w:r>
      <w:r w:rsidRPr="0053182F">
        <w:rPr>
          <w:rStyle w:val="Strong"/>
          <w:rFonts w:eastAsiaTheme="majorEastAsia"/>
          <w:b w:val="0"/>
          <w:color w:val="0F1115"/>
        </w:rPr>
        <w:t>coercive</w:t>
      </w:r>
      <w:r w:rsidRPr="0053182F">
        <w:rPr>
          <w:color w:val="0F1115"/>
        </w:rPr>
        <w:t> (e.g., home country governance indices from Kaufmann et al., 2011), </w:t>
      </w:r>
      <w:r w:rsidRPr="0053182F">
        <w:rPr>
          <w:rStyle w:val="Strong"/>
          <w:rFonts w:eastAsiaTheme="majorEastAsia"/>
          <w:b w:val="0"/>
          <w:color w:val="0F1115"/>
        </w:rPr>
        <w:t>mimetic</w:t>
      </w:r>
      <w:r w:rsidRPr="0053182F">
        <w:rPr>
          <w:color w:val="0F1115"/>
        </w:rPr>
        <w:t> (e.g., industry adoption rates of reporting frameworks), and </w:t>
      </w:r>
      <w:r w:rsidRPr="0053182F">
        <w:rPr>
          <w:rStyle w:val="Strong"/>
          <w:rFonts w:eastAsiaTheme="majorEastAsia"/>
          <w:b w:val="0"/>
          <w:color w:val="0F1115"/>
        </w:rPr>
        <w:t>normative</w:t>
      </w:r>
      <w:r w:rsidRPr="0053182F">
        <w:rPr>
          <w:color w:val="0F1115"/>
        </w:rPr>
        <w:t> (e.g., board composition)—as measurable external pressures that predict the adoption of specific SGIs. The theory provides a framework for developing testable hypotheses about organisational behaviour across a large sample (the G500), aligning with the positivist epistemology of this paradigm.</w:t>
      </w:r>
    </w:p>
    <w:p w14:paraId="12699E3A" w14:textId="77777777" w:rsidR="00746DC4" w:rsidRPr="0053182F" w:rsidRDefault="00746DC4" w:rsidP="00DB3CBA">
      <w:pPr>
        <w:pStyle w:val="ds-markdown-paragraph"/>
        <w:numPr>
          <w:ilvl w:val="0"/>
          <w:numId w:val="43"/>
        </w:numPr>
        <w:shd w:val="clear" w:color="auto" w:fill="FFFFFF"/>
        <w:spacing w:before="0" w:beforeAutospacing="0" w:after="0" w:afterAutospacing="0" w:line="480" w:lineRule="auto"/>
        <w:jc w:val="both"/>
        <w:rPr>
          <w:rStyle w:val="Strong"/>
          <w:rFonts w:eastAsiaTheme="majorEastAsia"/>
          <w:color w:val="0F1115"/>
        </w:rPr>
      </w:pPr>
      <w:r w:rsidRPr="0053182F">
        <w:rPr>
          <w:rStyle w:val="Strong"/>
          <w:rFonts w:eastAsiaTheme="majorEastAsia"/>
          <w:color w:val="0F1115"/>
        </w:rPr>
        <w:t>The Micro-Qualitative Component (Interpretivist Perspective)</w:t>
      </w:r>
    </w:p>
    <w:p w14:paraId="78E7E4D8" w14:textId="77777777" w:rsidR="00746DC4" w:rsidRPr="0053182F" w:rsidRDefault="00746DC4" w:rsidP="00746DC4">
      <w:pPr>
        <w:pStyle w:val="ds-markdown-paragraph"/>
        <w:shd w:val="clear" w:color="auto" w:fill="FFFFFF"/>
        <w:spacing w:before="0" w:beforeAutospacing="0" w:after="0" w:afterAutospacing="0" w:line="480" w:lineRule="auto"/>
        <w:jc w:val="both"/>
        <w:rPr>
          <w:b/>
          <w:bCs/>
          <w:color w:val="0F1115"/>
        </w:rPr>
      </w:pPr>
      <w:r w:rsidRPr="0053182F">
        <w:rPr>
          <w:color w:val="0F1115"/>
        </w:rPr>
        <w:t>This component addresses the deep, contextualised human experience within the supply chain. It is predicated on an </w:t>
      </w:r>
      <w:r w:rsidRPr="0053182F">
        <w:rPr>
          <w:rStyle w:val="Strong"/>
          <w:rFonts w:eastAsiaTheme="majorEastAsia"/>
          <w:b w:val="0"/>
          <w:color w:val="0F1115"/>
        </w:rPr>
        <w:t>interpretivist</w:t>
      </w:r>
      <w:r w:rsidRPr="0053182F">
        <w:rPr>
          <w:b/>
          <w:bCs/>
          <w:color w:val="0F1115"/>
        </w:rPr>
        <w:t> </w:t>
      </w:r>
      <w:r w:rsidRPr="0053182F">
        <w:rPr>
          <w:color w:val="0F1115"/>
        </w:rPr>
        <w:t>assumption that the “reality” of CMS is not a single objective fact but is subjectively and socially constructed through the meanings that workers, managers, and auditors assign to their experiences (Geertz, 1973). The goal here is </w:t>
      </w:r>
      <w:r w:rsidRPr="0053182F">
        <w:rPr>
          <w:rStyle w:val="Strong"/>
          <w:rFonts w:eastAsiaTheme="majorEastAsia"/>
          <w:b w:val="0"/>
          <w:color w:val="0F1115"/>
        </w:rPr>
        <w:t>understanding</w:t>
      </w:r>
      <w:r w:rsidRPr="0053182F">
        <w:rPr>
          <w:b/>
          <w:bCs/>
          <w:color w:val="0F1115"/>
        </w:rPr>
        <w:t> </w:t>
      </w:r>
      <w:r w:rsidRPr="0053182F">
        <w:rPr>
          <w:color w:val="0F1115"/>
        </w:rPr>
        <w:t>(</w:t>
      </w:r>
      <w:r w:rsidRPr="0053182F">
        <w:rPr>
          <w:rStyle w:val="Emphasis"/>
          <w:rFonts w:eastAsiaTheme="majorEastAsia"/>
          <w:color w:val="0F1115"/>
        </w:rPr>
        <w:t>verstehen</w:t>
      </w:r>
      <w:r w:rsidRPr="0053182F">
        <w:rPr>
          <w:color w:val="0F1115"/>
        </w:rPr>
        <w:t>); it seeks to uncover the nuanced, lived realities of exploitation, the hidden processes of decoupling, and the local rationalities that explain why formal policies fail.</w:t>
      </w:r>
    </w:p>
    <w:p w14:paraId="73432123" w14:textId="57C4CCD1" w:rsidR="00746DC4" w:rsidRPr="0053182F" w:rsidRDefault="00746DC4" w:rsidP="00647A70">
      <w:pPr>
        <w:pStyle w:val="ds-markdown-paragraph"/>
        <w:numPr>
          <w:ilvl w:val="0"/>
          <w:numId w:val="44"/>
        </w:numPr>
        <w:shd w:val="clear" w:color="auto" w:fill="FFFFFF"/>
        <w:spacing w:before="0" w:beforeAutospacing="0" w:after="0" w:afterAutospacing="0" w:line="480" w:lineRule="auto"/>
        <w:ind w:left="0" w:firstLine="284"/>
        <w:jc w:val="both"/>
        <w:rPr>
          <w:color w:val="0F1115"/>
        </w:rPr>
      </w:pPr>
      <w:r w:rsidRPr="0053182F">
        <w:rPr>
          <w:rStyle w:val="Strong"/>
          <w:rFonts w:eastAsiaTheme="majorEastAsia"/>
          <w:color w:val="0F1115"/>
        </w:rPr>
        <w:t>Application of NIT:</w:t>
      </w:r>
      <w:r w:rsidRPr="0053182F">
        <w:rPr>
          <w:color w:val="0F1115"/>
        </w:rPr>
        <w:t> This component explores the </w:t>
      </w:r>
      <w:r w:rsidRPr="0053182F">
        <w:rPr>
          <w:rStyle w:val="Strong"/>
          <w:rFonts w:eastAsiaTheme="majorEastAsia"/>
          <w:b w:val="0"/>
          <w:color w:val="0F1115"/>
        </w:rPr>
        <w:t>outcomes</w:t>
      </w:r>
      <w:r w:rsidRPr="0053182F">
        <w:rPr>
          <w:color w:val="0F1115"/>
        </w:rPr>
        <w:t> of institutional processes from an interpretivist viewpoint. It investigates the concept of </w:t>
      </w:r>
      <w:r w:rsidRPr="0053182F">
        <w:rPr>
          <w:rStyle w:val="Strong"/>
          <w:rFonts w:eastAsiaTheme="majorEastAsia"/>
          <w:b w:val="0"/>
          <w:color w:val="0F1115"/>
        </w:rPr>
        <w:t>decoupling</w:t>
      </w:r>
      <w:r w:rsidRPr="0053182F">
        <w:rPr>
          <w:b/>
          <w:bCs/>
          <w:color w:val="0F1115"/>
        </w:rPr>
        <w:t> </w:t>
      </w:r>
      <w:r w:rsidRPr="0053182F">
        <w:rPr>
          <w:color w:val="0F1115"/>
        </w:rPr>
        <w:t xml:space="preserve">not as a variable to be measured, but as a lived experience and a social process. It asks: How is decoupling enacted </w:t>
      </w:r>
      <w:r w:rsidR="00334FED" w:rsidRPr="0053182F">
        <w:rPr>
          <w:color w:val="0F1115"/>
        </w:rPr>
        <w:t>in daily life</w:t>
      </w:r>
      <w:r w:rsidRPr="0053182F">
        <w:rPr>
          <w:color w:val="0F1115"/>
        </w:rPr>
        <w:t xml:space="preserve">? How do workers interpret the gap between the corporate code of conduct and their reality? What shared understandings and local logics allow this gap to persist? This approach reveals the human consequences of the macro-level patterns identified in the quantitative component, providing the “why” behind the “what” </w:t>
      </w:r>
      <w:sdt>
        <w:sdtPr>
          <w:rPr>
            <w:color w:val="0F1115"/>
          </w:rPr>
          <w:tag w:val="MENDELEY_CITATION_v3_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"/>
          <w:id w:val="-1457485851"/>
          <w:placeholder>
            <w:docPart w:val="2C3812BD621E4C7DACA137909D418484"/>
          </w:placeholder>
        </w:sdtPr>
        <w:sdtContent>
          <w:r w:rsidR="00CC1788" w:rsidRPr="0053182F">
            <w:rPr>
              <w:color w:val="0F1115"/>
            </w:rPr>
            <w:t>(Guba and Lincoln, 2005)</w:t>
          </w:r>
        </w:sdtContent>
      </w:sdt>
      <w:r w:rsidR="00E47590" w:rsidRPr="0053182F">
        <w:rPr>
          <w:color w:val="0F1115"/>
        </w:rPr>
        <w:t>.</w:t>
      </w:r>
    </w:p>
    <w:p w14:paraId="715B207E" w14:textId="77777777" w:rsidR="00746DC4" w:rsidRPr="0053182F" w:rsidRDefault="00746DC4" w:rsidP="00746DC4">
      <w:pPr>
        <w:pStyle w:val="ds-markdown-paragraph"/>
        <w:shd w:val="clear" w:color="auto" w:fill="FFFFFF"/>
        <w:spacing w:before="0" w:beforeAutospacing="0" w:after="0" w:afterAutospacing="0" w:line="480" w:lineRule="auto"/>
        <w:jc w:val="both"/>
        <w:rPr>
          <w:rStyle w:val="Strong"/>
          <w:rFonts w:eastAsiaTheme="majorEastAsia"/>
          <w:color w:val="0F1115"/>
        </w:rPr>
      </w:pPr>
      <w:r w:rsidRPr="0053182F">
        <w:rPr>
          <w:rStyle w:val="Strong"/>
          <w:rFonts w:eastAsiaTheme="majorEastAsia"/>
          <w:color w:val="0F1115"/>
        </w:rPr>
        <w:t>Synthesis Through Pragmatism</w:t>
      </w:r>
    </w:p>
    <w:p w14:paraId="4FFA6773" w14:textId="6A803841" w:rsidR="00746DC4" w:rsidRPr="0053182F" w:rsidRDefault="00746DC4" w:rsidP="00746DC4">
      <w:pPr>
        <w:pStyle w:val="ds-markdown-paragraph"/>
        <w:shd w:val="clear" w:color="auto" w:fill="FFFFFF" w:themeFill="background1"/>
        <w:spacing w:before="0" w:beforeAutospacing="0" w:after="0" w:afterAutospacing="0" w:line="480" w:lineRule="auto"/>
        <w:jc w:val="both"/>
        <w:rPr>
          <w:color w:val="0F1115"/>
        </w:rPr>
      </w:pPr>
      <w:r w:rsidRPr="0053182F">
        <w:rPr>
          <w:color w:val="0F1115"/>
        </w:rPr>
        <w:t xml:space="preserve">The pragmatic paradigm justifies this dualistic approach by rejecting the notion that these perspectives are mutually exclusive. Instead, it argues that they reveal different and complementary facets of a complex social problem </w:t>
      </w:r>
      <w:sdt>
        <w:sdtPr>
          <w:rPr>
            <w:color w:val="000000"/>
          </w:rPr>
          <w:tag w:val="MENDELEY_CITATION_v3_eyJjaXRhdGlvbklEIjoiTUVOREVMRVlfQ0lUQVRJT05fZmM0NTcyZDAtYTUzNi00MmE5LTgxZjYtOTI1ZWZmZWUyMDM3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1000469164"/>
          <w:placeholder>
            <w:docPart w:val="366C8FAAE48C47248CD7728B657AA205"/>
          </w:placeholder>
        </w:sdtPr>
        <w:sdtContent>
          <w:r w:rsidR="00CC1788" w:rsidRPr="0053182F">
            <w:rPr>
              <w:color w:val="000000"/>
            </w:rPr>
            <w:t>(Creswell and Plano, 2018)</w:t>
          </w:r>
        </w:sdtContent>
      </w:sdt>
      <w:r w:rsidRPr="0053182F">
        <w:rPr>
          <w:color w:val="0F1115"/>
        </w:rPr>
        <w:t>. The quantitative functionalist analysis identifies </w:t>
      </w:r>
      <w:r w:rsidRPr="0053182F">
        <w:rPr>
          <w:rStyle w:val="Emphasis"/>
          <w:rFonts w:eastAsiaTheme="majorEastAsia"/>
          <w:color w:val="0F1115"/>
        </w:rPr>
        <w:t>what</w:t>
      </w:r>
      <w:r w:rsidRPr="0053182F">
        <w:rPr>
          <w:color w:val="0F1115"/>
        </w:rPr>
        <w:t> the broad patterns of SGI adoption and </w:t>
      </w:r>
      <w:r w:rsidRPr="0053182F">
        <w:rPr>
          <w:rStyle w:val="Emphasis"/>
          <w:rFonts w:eastAsiaTheme="majorEastAsia"/>
          <w:color w:val="0F1115"/>
        </w:rPr>
        <w:t>how</w:t>
      </w:r>
      <w:r w:rsidRPr="0053182F">
        <w:rPr>
          <w:color w:val="0F1115"/>
        </w:rPr>
        <w:t> they correlate with institutional factors. The qualitative interpretivist analysis then explores </w:t>
      </w:r>
      <w:r w:rsidRPr="0053182F">
        <w:rPr>
          <w:rStyle w:val="Emphasis"/>
          <w:rFonts w:eastAsiaTheme="majorEastAsia"/>
          <w:color w:val="0F1115"/>
        </w:rPr>
        <w:t>how</w:t>
      </w:r>
      <w:r w:rsidRPr="0053182F">
        <w:rPr>
          <w:color w:val="0F1115"/>
        </w:rPr>
        <w:t> and </w:t>
      </w:r>
      <w:r w:rsidRPr="0053182F">
        <w:rPr>
          <w:rStyle w:val="Emphasis"/>
          <w:rFonts w:eastAsiaTheme="majorEastAsia"/>
          <w:color w:val="0F1115"/>
        </w:rPr>
        <w:t>why</w:t>
      </w:r>
      <w:r w:rsidRPr="0053182F">
        <w:rPr>
          <w:color w:val="0F1115"/>
        </w:rPr>
        <w:t> these policies become decoupled from practice in specific contexts, giving voice to the human experience obscured by the macro-level data.</w:t>
      </w:r>
    </w:p>
    <w:p w14:paraId="545F9359" w14:textId="2C4840E6" w:rsidR="00746DC4" w:rsidRPr="0053182F" w:rsidRDefault="00746DC4" w:rsidP="00746DC4">
      <w:pPr>
        <w:pStyle w:val="ds-markdown-paragraph"/>
        <w:shd w:val="clear" w:color="auto" w:fill="FFFFFF"/>
        <w:spacing w:before="0" w:beforeAutospacing="0" w:after="0" w:afterAutospacing="0" w:line="480" w:lineRule="auto"/>
        <w:ind w:firstLine="720"/>
        <w:jc w:val="both"/>
        <w:rPr>
          <w:color w:val="0F1115"/>
        </w:rPr>
      </w:pPr>
      <w:r w:rsidRPr="0053182F">
        <w:rPr>
          <w:color w:val="0F1115"/>
        </w:rPr>
        <w:t xml:space="preserve">This sequential, explanatory mixed-methods design is therefore not a philosophical compromise but a strategic choice to generate a more complete and rigorous understanding of CMS than either approach could achieve </w:t>
      </w:r>
      <w:r w:rsidR="00565A79" w:rsidRPr="0053182F">
        <w:rPr>
          <w:color w:val="0F1115"/>
        </w:rPr>
        <w:t>on its own</w:t>
      </w:r>
      <w:r w:rsidRPr="0053182F">
        <w:rPr>
          <w:color w:val="0F1115"/>
        </w:rPr>
        <w:t>.</w:t>
      </w:r>
    </w:p>
    <w:p w14:paraId="71A49EBC" w14:textId="54A94ED1" w:rsidR="00746DC4" w:rsidRPr="0053182F" w:rsidRDefault="00746DC4" w:rsidP="00486582">
      <w:pPr>
        <w:pStyle w:val="Heading3"/>
        <w:rPr>
          <w:rStyle w:val="Strong"/>
          <w:b/>
          <w:bCs w:val="0"/>
        </w:rPr>
      </w:pPr>
      <w:bookmarkStart w:id="185" w:name="_Toc215651830"/>
      <w:bookmarkStart w:id="186" w:name="_Toc218357124"/>
      <w:r w:rsidRPr="0053182F">
        <w:rPr>
          <w:rStyle w:val="Strong"/>
          <w:b/>
          <w:bCs w:val="0"/>
        </w:rPr>
        <w:t>4.</w:t>
      </w:r>
      <w:r w:rsidR="00486582" w:rsidRPr="0053182F">
        <w:rPr>
          <w:rStyle w:val="Strong"/>
          <w:b/>
          <w:bCs w:val="0"/>
        </w:rPr>
        <w:t>6</w:t>
      </w:r>
      <w:r w:rsidRPr="0053182F">
        <w:rPr>
          <w:rStyle w:val="Strong"/>
          <w:b/>
          <w:bCs w:val="0"/>
        </w:rPr>
        <w:t>.3 Synthesis through Pragmatism</w:t>
      </w:r>
      <w:bookmarkEnd w:id="185"/>
      <w:bookmarkEnd w:id="186"/>
    </w:p>
    <w:p w14:paraId="536A9798" w14:textId="73C09E67" w:rsidR="00746DC4" w:rsidRPr="0053182F" w:rsidRDefault="00746DC4" w:rsidP="00746DC4">
      <w:pPr>
        <w:pStyle w:val="ds-markdown-paragraph"/>
        <w:shd w:val="clear" w:color="auto" w:fill="FFFFFF" w:themeFill="background1"/>
        <w:spacing w:before="0" w:beforeAutospacing="0" w:after="0" w:afterAutospacing="0" w:line="480" w:lineRule="auto"/>
        <w:jc w:val="both"/>
        <w:rPr>
          <w:color w:val="0F1115"/>
        </w:rPr>
      </w:pPr>
      <w:r w:rsidRPr="0053182F">
        <w:rPr>
          <w:color w:val="0F1115"/>
        </w:rPr>
        <w:t xml:space="preserve">The pragmatic paradigm provides the essential philosophical justification for combining these two distinct approaches. It resolves the apparent tension between functionalist and interpretivist worldviews by rejecting the proposition that one must choose a single, “pure” philosophical stance. Instead, pragmatism asserts that the nature of the research problem should dictate the methodological approach </w:t>
      </w:r>
      <w:sdt>
        <w:sdtPr>
          <w:rPr>
            <w:color w:val="000000"/>
          </w:rPr>
          <w:tag w:val="MENDELEY_CITATION_v3_eyJjaXRhdGlvbklEIjoiTUVOREVMRVlfQ0lUQVRJT05fMjc4Njg3OTAtYWQxZS00MWNhLTljM2EtODYzNmYwMjI1NWMw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442997841"/>
          <w:placeholder>
            <w:docPart w:val="366C8FAAE48C47248CD7728B657AA205"/>
          </w:placeholder>
        </w:sdtPr>
        <w:sdtContent>
          <w:r w:rsidR="00CC1788" w:rsidRPr="0053182F">
            <w:rPr>
              <w:color w:val="000000"/>
            </w:rPr>
            <w:t>(Creswell and Plano, 2018)</w:t>
          </w:r>
        </w:sdtContent>
      </w:sdt>
      <w:r w:rsidRPr="0053182F">
        <w:rPr>
          <w:color w:val="0F1115"/>
        </w:rPr>
        <w:t>. The complex, multi-faceted problem of CMS—spanning objective global systems and subjective local experiences—cannot be fully understood from a single philosophical standpoint.</w:t>
      </w:r>
    </w:p>
    <w:p w14:paraId="3B468174"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This synthesis is not merely additive but integrative and explanatory. The two components work in concert to build a comprehensive explanation:</w:t>
      </w:r>
    </w:p>
    <w:p w14:paraId="1AE113D0" w14:textId="77777777" w:rsidR="00746DC4" w:rsidRPr="0053182F" w:rsidRDefault="00746DC4" w:rsidP="00746DC4">
      <w:pPr>
        <w:pStyle w:val="ds-markdown-paragraph"/>
        <w:numPr>
          <w:ilvl w:val="0"/>
          <w:numId w:val="10"/>
        </w:numPr>
        <w:shd w:val="clear" w:color="auto" w:fill="FFFFFF"/>
        <w:spacing w:before="0" w:beforeAutospacing="0" w:after="0" w:afterAutospacing="0" w:line="480" w:lineRule="auto"/>
        <w:jc w:val="both"/>
        <w:rPr>
          <w:color w:val="0F1115"/>
        </w:rPr>
      </w:pPr>
      <w:r w:rsidRPr="0053182F">
        <w:rPr>
          <w:rStyle w:val="Strong"/>
          <w:rFonts w:eastAsiaTheme="majorEastAsia"/>
          <w:b w:val="0"/>
          <w:color w:val="0F1115"/>
        </w:rPr>
        <w:t>NIT, applied through the macro-quantitative (functionalist) component, provides the </w:t>
      </w:r>
      <w:r w:rsidRPr="0053182F">
        <w:rPr>
          <w:rStyle w:val="Emphasis"/>
          <w:rFonts w:eastAsiaTheme="majorEastAsia"/>
          <w:color w:val="0F1115"/>
        </w:rPr>
        <w:t>“what”</w:t>
      </w:r>
      <w:r w:rsidRPr="0053182F">
        <w:rPr>
          <w:rStyle w:val="Strong"/>
          <w:rFonts w:eastAsiaTheme="majorEastAsia"/>
          <w:b w:val="0"/>
          <w:color w:val="0F1115"/>
        </w:rPr>
        <w:t> and the </w:t>
      </w:r>
      <w:r w:rsidRPr="0053182F">
        <w:rPr>
          <w:rStyle w:val="Emphasis"/>
          <w:rFonts w:eastAsiaTheme="majorEastAsia"/>
          <w:color w:val="0F1115"/>
        </w:rPr>
        <w:t>“how.”</w:t>
      </w:r>
      <w:r w:rsidRPr="0053182F">
        <w:rPr>
          <w:color w:val="0F1115"/>
        </w:rPr>
        <w:t> It identifies the broad patterns: </w:t>
      </w:r>
      <w:r w:rsidRPr="0053182F">
        <w:rPr>
          <w:rStyle w:val="Emphasis"/>
          <w:rFonts w:eastAsiaTheme="majorEastAsia"/>
          <w:color w:val="0F1115"/>
        </w:rPr>
        <w:t>what</w:t>
      </w:r>
      <w:r w:rsidRPr="0053182F">
        <w:rPr>
          <w:color w:val="0F1115"/>
        </w:rPr>
        <w:t> external pressures (coercive, mimetic, normative) are most significant, and </w:t>
      </w:r>
      <w:r w:rsidRPr="0053182F">
        <w:rPr>
          <w:rStyle w:val="Emphasis"/>
          <w:rFonts w:eastAsiaTheme="majorEastAsia"/>
          <w:color w:val="0F1115"/>
        </w:rPr>
        <w:t>how</w:t>
      </w:r>
      <w:r w:rsidRPr="0053182F">
        <w:rPr>
          <w:color w:val="0F1115"/>
        </w:rPr>
        <w:t> they correlate with the adoption of specific SGIs across a large population of firms. It maps the institutional landscape and the formal organisational responses.</w:t>
      </w:r>
    </w:p>
    <w:p w14:paraId="47C1CFC7" w14:textId="77777777" w:rsidR="00746DC4" w:rsidRPr="0053182F" w:rsidRDefault="00746DC4" w:rsidP="00746DC4">
      <w:pPr>
        <w:pStyle w:val="ds-markdown-paragraph"/>
        <w:numPr>
          <w:ilvl w:val="0"/>
          <w:numId w:val="10"/>
        </w:numPr>
        <w:shd w:val="clear" w:color="auto" w:fill="FFFFFF"/>
        <w:spacing w:before="0" w:beforeAutospacing="0" w:after="0" w:afterAutospacing="0" w:line="480" w:lineRule="auto"/>
        <w:jc w:val="both"/>
        <w:rPr>
          <w:color w:val="0F1115"/>
        </w:rPr>
      </w:pPr>
      <w:r w:rsidRPr="0053182F">
        <w:rPr>
          <w:rStyle w:val="Strong"/>
          <w:rFonts w:eastAsiaTheme="majorEastAsia"/>
          <w:b w:val="0"/>
          <w:color w:val="0F1115"/>
        </w:rPr>
        <w:t>The micro-qualitative (interpretivist) component provides the </w:t>
      </w:r>
      <w:r w:rsidRPr="0053182F">
        <w:rPr>
          <w:rStyle w:val="Emphasis"/>
          <w:rFonts w:eastAsiaTheme="majorEastAsia"/>
          <w:color w:val="0F1115"/>
        </w:rPr>
        <w:t>“why”</w:t>
      </w:r>
      <w:r w:rsidRPr="0053182F">
        <w:rPr>
          <w:rStyle w:val="Strong"/>
          <w:rFonts w:eastAsiaTheme="majorEastAsia"/>
          <w:b w:val="0"/>
          <w:color w:val="0F1115"/>
        </w:rPr>
        <w:t> and reveals the human consequence.</w:t>
      </w:r>
      <w:r w:rsidRPr="0053182F">
        <w:rPr>
          <w:color w:val="0F1115"/>
        </w:rPr>
        <w:t> It explores </w:t>
      </w:r>
      <w:r w:rsidRPr="0053182F">
        <w:rPr>
          <w:rStyle w:val="Emphasis"/>
          <w:rFonts w:eastAsiaTheme="majorEastAsia"/>
          <w:color w:val="0F1115"/>
        </w:rPr>
        <w:t>why</w:t>
      </w:r>
      <w:r w:rsidRPr="0053182F">
        <w:rPr>
          <w:color w:val="0F1115"/>
        </w:rPr>
        <w:t> the formal structures identified by the macro-analysis so often fail. It delves into the lived experience to uncover the social processes, localised rationalities, and hidden practices that constitute </w:t>
      </w:r>
      <w:r w:rsidRPr="0053182F">
        <w:rPr>
          <w:rStyle w:val="Strong"/>
          <w:rFonts w:eastAsiaTheme="majorEastAsia"/>
          <w:b w:val="0"/>
          <w:color w:val="0F1115"/>
        </w:rPr>
        <w:t>decoupling</w:t>
      </w:r>
      <w:r w:rsidRPr="0053182F">
        <w:rPr>
          <w:b/>
          <w:bCs/>
          <w:color w:val="0F1115"/>
        </w:rPr>
        <w:t> </w:t>
      </w:r>
      <w:r w:rsidRPr="0053182F">
        <w:rPr>
          <w:color w:val="0F1115"/>
        </w:rPr>
        <w:t>in action. This component gives meaning to the statistical patterns by exposing their real-world effects on human dignity and well-being.</w:t>
      </w:r>
    </w:p>
    <w:p w14:paraId="714CEE7D" w14:textId="311EC26D"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 xml:space="preserve">Therefore, pragmatism facilitates a research design </w:t>
      </w:r>
      <w:r w:rsidR="00B807EE" w:rsidRPr="0053182F">
        <w:rPr>
          <w:color w:val="0F1115"/>
        </w:rPr>
        <w:t>in which quantitative data reveal a widespread phenomenon (the gap between policy and practice), and</w:t>
      </w:r>
      <w:r w:rsidRPr="0053182F">
        <w:rPr>
          <w:color w:val="0F1115"/>
        </w:rPr>
        <w:t xml:space="preserve"> qualitative inquiry explains the mechanisms behind it (how and why decoupling occurs). Together, they provide a more complete, rigorous, and impactful analysis of CMS than either approach could achieve in isolation, fulfilling the core pragmatic tenet of selecting the methods that best address the problem at hand.</w:t>
      </w:r>
    </w:p>
    <w:p w14:paraId="2F663283" w14:textId="77777777" w:rsidR="00746DC4" w:rsidRPr="0053182F" w:rsidRDefault="00746DC4" w:rsidP="00647A70">
      <w:pPr>
        <w:pStyle w:val="Heading2"/>
      </w:pPr>
      <w:bookmarkStart w:id="187" w:name="_Toc215651831"/>
      <w:bookmarkStart w:id="188" w:name="_Toc218357125"/>
      <w:r w:rsidRPr="0053182F">
        <w:rPr>
          <w:rStyle w:val="Strong"/>
          <w:b/>
        </w:rPr>
        <w:t>4.7 Integrated Conceptual Framework</w:t>
      </w:r>
      <w:bookmarkEnd w:id="187"/>
      <w:bookmarkEnd w:id="188"/>
    </w:p>
    <w:p w14:paraId="7EACA43A"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The theoretical propositions discussed in this chapter are synthesised into an integrated conceptual framework, depicted in </w:t>
      </w:r>
      <w:r w:rsidRPr="0053182F">
        <w:rPr>
          <w:rStyle w:val="Strong"/>
          <w:rFonts w:eastAsiaTheme="majorEastAsia"/>
          <w:b w:val="0"/>
          <w:color w:val="0F1115"/>
        </w:rPr>
        <w:t>Figure 4.3</w:t>
      </w:r>
      <w:r w:rsidRPr="0053182F">
        <w:rPr>
          <w:color w:val="0F1115"/>
        </w:rPr>
        <w:t>. This model visually represents the core relationships under investigation and illustrates how the mixed-methods research design is deployed to test and explore them.</w:t>
      </w:r>
    </w:p>
    <w:p w14:paraId="402540B4"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The framework is built on a foundational input-throughput-output logic, moderated by the central, critical concept of decoupling.</w:t>
      </w:r>
    </w:p>
    <w:p w14:paraId="70300823" w14:textId="77777777" w:rsidR="00746DC4" w:rsidRPr="0053182F" w:rsidRDefault="00746DC4" w:rsidP="00746DC4">
      <w:pPr>
        <w:pStyle w:val="ds-markdown-paragraph"/>
        <w:numPr>
          <w:ilvl w:val="0"/>
          <w:numId w:val="11"/>
        </w:numPr>
        <w:shd w:val="clear" w:color="auto" w:fill="FFFFFF"/>
        <w:tabs>
          <w:tab w:val="num" w:pos="284"/>
        </w:tabs>
        <w:spacing w:before="0" w:beforeAutospacing="0" w:after="0" w:afterAutospacing="0" w:line="480" w:lineRule="auto"/>
        <w:ind w:left="284" w:hanging="284"/>
        <w:jc w:val="both"/>
        <w:rPr>
          <w:color w:val="0F1115"/>
        </w:rPr>
      </w:pPr>
      <w:r w:rsidRPr="0053182F">
        <w:rPr>
          <w:rStyle w:val="Strong"/>
          <w:rFonts w:eastAsiaTheme="majorEastAsia"/>
          <w:b w:val="0"/>
          <w:color w:val="0F1115"/>
        </w:rPr>
        <w:t>Inputs: Three Institutional Isomorphisms:</w:t>
      </w:r>
      <w:r w:rsidRPr="0053182F">
        <w:rPr>
          <w:b/>
          <w:bCs/>
          <w:color w:val="0F1115"/>
        </w:rPr>
        <w:t> </w:t>
      </w:r>
      <w:r w:rsidRPr="0053182F">
        <w:rPr>
          <w:color w:val="0F1115"/>
        </w:rPr>
        <w:t>The model begins with the exogenous institutional pressures that constitute the macro-environment for MNCs. These are the independent variables that propel organisational response:</w:t>
      </w:r>
    </w:p>
    <w:p w14:paraId="7DB5233E" w14:textId="77777777" w:rsidR="00746DC4" w:rsidRPr="0053182F" w:rsidRDefault="00746DC4" w:rsidP="00746DC4">
      <w:pPr>
        <w:pStyle w:val="ds-markdown-paragraph"/>
        <w:numPr>
          <w:ilvl w:val="1"/>
          <w:numId w:val="11"/>
        </w:numPr>
        <w:shd w:val="clear" w:color="auto" w:fill="FFFFFF"/>
        <w:tabs>
          <w:tab w:val="num" w:pos="851"/>
        </w:tabs>
        <w:spacing w:before="0" w:beforeAutospacing="0" w:after="0" w:afterAutospacing="0" w:line="480" w:lineRule="auto"/>
        <w:ind w:left="851" w:hanging="284"/>
        <w:jc w:val="both"/>
        <w:rPr>
          <w:color w:val="0F1115"/>
        </w:rPr>
      </w:pPr>
      <w:r w:rsidRPr="0053182F">
        <w:rPr>
          <w:rStyle w:val="Strong"/>
          <w:rFonts w:eastAsiaTheme="majorEastAsia"/>
          <w:b w:val="0"/>
          <w:color w:val="0F1115"/>
        </w:rPr>
        <w:t>Coercive Isomorphism</w:t>
      </w:r>
      <w:r w:rsidRPr="0053182F">
        <w:rPr>
          <w:rStyle w:val="Strong"/>
          <w:rFonts w:eastAsiaTheme="majorEastAsia"/>
          <w:color w:val="0F1115"/>
        </w:rPr>
        <w:t>:</w:t>
      </w:r>
      <w:r w:rsidRPr="0053182F">
        <w:rPr>
          <w:color w:val="0F1115"/>
        </w:rPr>
        <w:t> Formal pressures from state regulations (e.g., MS  Acts), international bodies (e.g., UN SDGs), and financial markets.</w:t>
      </w:r>
    </w:p>
    <w:p w14:paraId="2915FD88" w14:textId="77777777" w:rsidR="00746DC4" w:rsidRPr="0053182F" w:rsidRDefault="00746DC4" w:rsidP="00746DC4">
      <w:pPr>
        <w:pStyle w:val="ds-markdown-paragraph"/>
        <w:numPr>
          <w:ilvl w:val="1"/>
          <w:numId w:val="11"/>
        </w:numPr>
        <w:shd w:val="clear" w:color="auto" w:fill="FFFFFF"/>
        <w:tabs>
          <w:tab w:val="num" w:pos="851"/>
        </w:tabs>
        <w:spacing w:before="0" w:beforeAutospacing="0" w:after="0" w:afterAutospacing="0" w:line="480" w:lineRule="auto"/>
        <w:ind w:left="851" w:hanging="284"/>
        <w:jc w:val="both"/>
        <w:rPr>
          <w:color w:val="0F1115"/>
        </w:rPr>
      </w:pPr>
      <w:r w:rsidRPr="0053182F">
        <w:rPr>
          <w:rStyle w:val="Strong"/>
          <w:rFonts w:eastAsiaTheme="majorEastAsia"/>
          <w:b w:val="0"/>
          <w:color w:val="0F1115"/>
        </w:rPr>
        <w:t>Mimetic Isomorphism:</w:t>
      </w:r>
      <w:r w:rsidRPr="0053182F">
        <w:rPr>
          <w:color w:val="0F1115"/>
        </w:rPr>
        <w:t> Pressures arising from uncertainty, leading firms to imitate the structures and policies of perceived industry leaders.</w:t>
      </w:r>
    </w:p>
    <w:p w14:paraId="4BAC158F" w14:textId="77777777" w:rsidR="00746DC4" w:rsidRPr="0053182F" w:rsidRDefault="00746DC4" w:rsidP="00746DC4">
      <w:pPr>
        <w:pStyle w:val="ds-markdown-paragraph"/>
        <w:numPr>
          <w:ilvl w:val="1"/>
          <w:numId w:val="11"/>
        </w:numPr>
        <w:shd w:val="clear" w:color="auto" w:fill="FFFFFF"/>
        <w:tabs>
          <w:tab w:val="num" w:pos="851"/>
        </w:tabs>
        <w:spacing w:before="0" w:beforeAutospacing="0" w:after="0" w:afterAutospacing="0" w:line="480" w:lineRule="auto"/>
        <w:ind w:left="851" w:hanging="284"/>
        <w:jc w:val="both"/>
        <w:rPr>
          <w:color w:val="0F1115"/>
        </w:rPr>
      </w:pPr>
      <w:r w:rsidRPr="0053182F">
        <w:rPr>
          <w:rStyle w:val="Strong"/>
          <w:rFonts w:eastAsiaTheme="majorEastAsia"/>
          <w:b w:val="0"/>
          <w:color w:val="0F1115"/>
        </w:rPr>
        <w:t>Normative Isomorphism</w:t>
      </w:r>
      <w:r w:rsidRPr="0053182F">
        <w:rPr>
          <w:rStyle w:val="Strong"/>
          <w:rFonts w:eastAsiaTheme="majorEastAsia"/>
          <w:color w:val="0F1115"/>
        </w:rPr>
        <w:t>:</w:t>
      </w:r>
      <w:r w:rsidRPr="0053182F">
        <w:rPr>
          <w:color w:val="0F1115"/>
        </w:rPr>
        <w:t> Pressures from professionalisation, disseminated by industry associations, consulting firms, and a transnational community of sustainability professionals.</w:t>
      </w:r>
    </w:p>
    <w:p w14:paraId="23C3EFE9" w14:textId="77777777" w:rsidR="00746DC4" w:rsidRPr="0053182F" w:rsidRDefault="00746DC4" w:rsidP="00746DC4">
      <w:pPr>
        <w:pStyle w:val="ds-markdown-paragraph"/>
        <w:numPr>
          <w:ilvl w:val="0"/>
          <w:numId w:val="11"/>
        </w:numPr>
        <w:shd w:val="clear" w:color="auto" w:fill="FFFFFF"/>
        <w:tabs>
          <w:tab w:val="num" w:pos="284"/>
        </w:tabs>
        <w:spacing w:before="0" w:beforeAutospacing="0" w:after="0" w:afterAutospacing="0" w:line="480" w:lineRule="auto"/>
        <w:ind w:left="284" w:hanging="284"/>
        <w:jc w:val="both"/>
        <w:rPr>
          <w:color w:val="0F1115"/>
        </w:rPr>
      </w:pPr>
      <w:r w:rsidRPr="0053182F">
        <w:rPr>
          <w:rStyle w:val="Strong"/>
          <w:rFonts w:eastAsiaTheme="majorEastAsia"/>
          <w:b w:val="0"/>
          <w:color w:val="0F1115"/>
        </w:rPr>
        <w:t>Throughput: Firm-Level SGIs:</w:t>
      </w:r>
      <w:r w:rsidRPr="0053182F">
        <w:rPr>
          <w:b/>
          <w:bCs/>
          <w:color w:val="0F1115"/>
        </w:rPr>
        <w:t> </w:t>
      </w:r>
      <w:r w:rsidRPr="0053182F">
        <w:rPr>
          <w:color w:val="0F1115"/>
        </w:rPr>
        <w:t>This is the mediating variable—the formal organisational response to institutional pressures. It represents the range of structures and policies firms adopt to signal conformity and secure legitimacy. This includes:</w:t>
      </w:r>
    </w:p>
    <w:p w14:paraId="2ED772C5" w14:textId="77777777" w:rsidR="00746DC4" w:rsidRPr="0053182F" w:rsidRDefault="00746DC4" w:rsidP="00746DC4">
      <w:pPr>
        <w:pStyle w:val="ds-markdown-paragraph"/>
        <w:numPr>
          <w:ilvl w:val="1"/>
          <w:numId w:val="11"/>
        </w:numPr>
        <w:shd w:val="clear" w:color="auto" w:fill="FFFFFF"/>
        <w:tabs>
          <w:tab w:val="num" w:pos="851"/>
        </w:tabs>
        <w:spacing w:before="0" w:beforeAutospacing="0" w:after="0" w:afterAutospacing="0" w:line="480" w:lineRule="auto"/>
        <w:ind w:left="851" w:hanging="284"/>
        <w:jc w:val="both"/>
        <w:rPr>
          <w:color w:val="0F1115"/>
        </w:rPr>
      </w:pPr>
      <w:r w:rsidRPr="0053182F">
        <w:rPr>
          <w:color w:val="0F1115"/>
        </w:rPr>
        <w:t>Board-level commitments (e.g., sustainability committees, board diversity).</w:t>
      </w:r>
    </w:p>
    <w:p w14:paraId="1A5AC117" w14:textId="77777777" w:rsidR="00746DC4" w:rsidRPr="0053182F" w:rsidRDefault="00746DC4" w:rsidP="00746DC4">
      <w:pPr>
        <w:pStyle w:val="ds-markdown-paragraph"/>
        <w:numPr>
          <w:ilvl w:val="1"/>
          <w:numId w:val="11"/>
        </w:numPr>
        <w:shd w:val="clear" w:color="auto" w:fill="FFFFFF"/>
        <w:tabs>
          <w:tab w:val="num" w:pos="851"/>
        </w:tabs>
        <w:spacing w:before="0" w:beforeAutospacing="0" w:after="0" w:afterAutospacing="0" w:line="480" w:lineRule="auto"/>
        <w:ind w:left="851" w:hanging="284"/>
        <w:jc w:val="both"/>
        <w:rPr>
          <w:color w:val="0F1115"/>
        </w:rPr>
      </w:pPr>
      <w:r w:rsidRPr="0053182F">
        <w:rPr>
          <w:color w:val="0F1115"/>
        </w:rPr>
        <w:t>Formal policies (e.g., MS Statements, Supplier Codes of Conduct).</w:t>
      </w:r>
    </w:p>
    <w:p w14:paraId="26AE5ACF" w14:textId="77777777" w:rsidR="00746DC4" w:rsidRPr="0053182F" w:rsidRDefault="00746DC4" w:rsidP="00746DC4">
      <w:pPr>
        <w:pStyle w:val="ds-markdown-paragraph"/>
        <w:numPr>
          <w:ilvl w:val="1"/>
          <w:numId w:val="11"/>
        </w:numPr>
        <w:shd w:val="clear" w:color="auto" w:fill="FFFFFF"/>
        <w:tabs>
          <w:tab w:val="num" w:pos="851"/>
        </w:tabs>
        <w:spacing w:before="0" w:beforeAutospacing="0" w:after="0" w:afterAutospacing="0" w:line="480" w:lineRule="auto"/>
        <w:ind w:left="851" w:hanging="284"/>
        <w:jc w:val="both"/>
        <w:rPr>
          <w:color w:val="0F1115"/>
        </w:rPr>
      </w:pPr>
      <w:r w:rsidRPr="0053182F">
        <w:rPr>
          <w:color w:val="0F1115"/>
        </w:rPr>
        <w:t>Disclosure and reporting practices (e.g., adherence to GRI, SASB).</w:t>
      </w:r>
    </w:p>
    <w:p w14:paraId="09DE8DAC" w14:textId="77777777" w:rsidR="00746DC4" w:rsidRPr="0053182F" w:rsidRDefault="00746DC4" w:rsidP="00746DC4">
      <w:pPr>
        <w:pStyle w:val="ds-markdown-paragraph"/>
        <w:numPr>
          <w:ilvl w:val="0"/>
          <w:numId w:val="11"/>
        </w:numPr>
        <w:shd w:val="clear" w:color="auto" w:fill="FFFFFF"/>
        <w:tabs>
          <w:tab w:val="num" w:pos="284"/>
        </w:tabs>
        <w:spacing w:before="0" w:beforeAutospacing="0" w:after="0" w:afterAutospacing="0" w:line="480" w:lineRule="auto"/>
        <w:ind w:left="284" w:hanging="284"/>
        <w:jc w:val="both"/>
        <w:rPr>
          <w:color w:val="0F1115"/>
        </w:rPr>
      </w:pPr>
      <w:r w:rsidRPr="0053182F">
        <w:rPr>
          <w:rStyle w:val="Strong"/>
          <w:rFonts w:eastAsiaTheme="majorEastAsia"/>
          <w:b w:val="0"/>
          <w:color w:val="0F1115"/>
        </w:rPr>
        <w:t>Outputs: The Elimination of CMS Practices:</w:t>
      </w:r>
      <w:r w:rsidRPr="0053182F">
        <w:rPr>
          <w:color w:val="0F1115"/>
        </w:rPr>
        <w:t> This is the ultimate dependent variable—the intended outcome of implementing SGIs. It represents a significant reduction in exploitative practices (forced labour, child labour, unsafe working conditions, etc.) within the firm’s operations and supply chains.</w:t>
      </w:r>
    </w:p>
    <w:p w14:paraId="39EDA420" w14:textId="77777777" w:rsidR="00746DC4" w:rsidRPr="0053182F" w:rsidRDefault="00746DC4" w:rsidP="00746DC4">
      <w:pPr>
        <w:pStyle w:val="ds-markdown-paragraph"/>
        <w:numPr>
          <w:ilvl w:val="0"/>
          <w:numId w:val="11"/>
        </w:numPr>
        <w:shd w:val="clear" w:color="auto" w:fill="FFFFFF"/>
        <w:tabs>
          <w:tab w:val="num" w:pos="284"/>
        </w:tabs>
        <w:spacing w:before="0" w:beforeAutospacing="0" w:after="0" w:afterAutospacing="0" w:line="480" w:lineRule="auto"/>
        <w:ind w:left="284" w:hanging="284"/>
        <w:jc w:val="both"/>
        <w:rPr>
          <w:color w:val="0F1115"/>
        </w:rPr>
      </w:pPr>
      <w:r w:rsidRPr="0053182F">
        <w:rPr>
          <w:rStyle w:val="Strong"/>
          <w:rFonts w:eastAsiaTheme="majorEastAsia"/>
          <w:bCs w:val="0"/>
          <w:color w:val="0F1115"/>
        </w:rPr>
        <w:t>The Central Moderating Force:</w:t>
      </w:r>
      <w:r w:rsidRPr="0053182F">
        <w:rPr>
          <w:rStyle w:val="Strong"/>
          <w:rFonts w:eastAsiaTheme="majorEastAsia"/>
          <w:b w:val="0"/>
          <w:color w:val="0F1115"/>
        </w:rPr>
        <w:t xml:space="preserve"> Decoupling:</w:t>
      </w:r>
      <w:r w:rsidRPr="0053182F">
        <w:rPr>
          <w:color w:val="0F1115"/>
        </w:rPr>
        <w:t> A large, bold arrow represents the powerful moderating effect of decoupling. This arrow does not point directly from Throughput to Output but rather </w:t>
      </w:r>
      <w:r w:rsidRPr="0053182F">
        <w:rPr>
          <w:rStyle w:val="Emphasis"/>
          <w:rFonts w:eastAsiaTheme="majorEastAsia"/>
          <w:color w:val="0F1115"/>
        </w:rPr>
        <w:t>interrupts</w:t>
      </w:r>
      <w:r w:rsidRPr="0053182F">
        <w:rPr>
          <w:color w:val="0F1115"/>
        </w:rPr>
        <w:t> the pathway, visually signifying that the link between formal policies (SGIs) and substantive outcomes (elimination of CMS) is not guaranteed and is often weak or broken. Decoupling represents the strategic separation of formal structures from internal practices, which is expected to be pervasive.</w:t>
      </w:r>
    </w:p>
    <w:p w14:paraId="6CBE32A5" w14:textId="77777777" w:rsidR="00746DC4" w:rsidRPr="0053182F" w:rsidRDefault="00746DC4" w:rsidP="003D76AC">
      <w:pPr>
        <w:pStyle w:val="ds-markdown-paragraph"/>
        <w:numPr>
          <w:ilvl w:val="0"/>
          <w:numId w:val="11"/>
        </w:numPr>
        <w:shd w:val="clear" w:color="auto" w:fill="FFFFFF"/>
        <w:tabs>
          <w:tab w:val="num" w:pos="284"/>
        </w:tabs>
        <w:spacing w:before="0" w:beforeAutospacing="0" w:after="0" w:afterAutospacing="0" w:line="480" w:lineRule="auto"/>
        <w:ind w:left="284" w:hanging="284"/>
        <w:jc w:val="both"/>
        <w:rPr>
          <w:color w:val="EE0000"/>
        </w:rPr>
      </w:pPr>
      <w:r w:rsidRPr="0053182F">
        <w:rPr>
          <w:b/>
          <w:bCs/>
          <w:color w:val="EE0000"/>
        </w:rPr>
        <w:t>The Research Design Mapping</w:t>
      </w:r>
      <w:r w:rsidRPr="0053182F">
        <w:rPr>
          <w:color w:val="EE0000"/>
        </w:rPr>
        <w:t>: The framework explicitly embeds the mixed-methods structure of the study across macro, meso, and micro levels:</w:t>
      </w:r>
    </w:p>
    <w:p w14:paraId="57A9C7AB" w14:textId="70F0FE81" w:rsidR="00746DC4" w:rsidRPr="0053182F" w:rsidRDefault="00746DC4" w:rsidP="003D76AC">
      <w:pPr>
        <w:pStyle w:val="ds-markdown-paragraph"/>
        <w:shd w:val="clear" w:color="auto" w:fill="FFFFFF"/>
        <w:spacing w:before="0" w:beforeAutospacing="0" w:after="0" w:line="480" w:lineRule="auto"/>
        <w:jc w:val="both"/>
        <w:rPr>
          <w:b/>
          <w:bCs/>
          <w:color w:val="EE0000"/>
        </w:rPr>
      </w:pPr>
      <w:r w:rsidRPr="0053182F">
        <w:rPr>
          <w:b/>
          <w:bCs/>
          <w:color w:val="EE0000"/>
        </w:rPr>
        <w:t>Macro</w:t>
      </w:r>
      <w:r w:rsidR="009552F2" w:rsidRPr="0053182F">
        <w:rPr>
          <w:b/>
          <w:bCs/>
          <w:color w:val="EE0000"/>
        </w:rPr>
        <w:t xml:space="preserve"> Level and </w:t>
      </w:r>
      <w:r w:rsidRPr="0053182F">
        <w:rPr>
          <w:b/>
          <w:bCs/>
          <w:color w:val="EE0000"/>
        </w:rPr>
        <w:t>Meso</w:t>
      </w:r>
      <w:r w:rsidR="009552F2" w:rsidRPr="0053182F">
        <w:rPr>
          <w:b/>
          <w:bCs/>
          <w:color w:val="EE0000"/>
        </w:rPr>
        <w:t>-Level</w:t>
      </w:r>
      <w:r w:rsidRPr="0053182F">
        <w:rPr>
          <w:b/>
          <w:bCs/>
          <w:color w:val="EE0000"/>
        </w:rPr>
        <w:t xml:space="preserve"> Quantitative Component</w:t>
      </w:r>
      <w:r w:rsidR="009552F2" w:rsidRPr="0053182F">
        <w:rPr>
          <w:b/>
          <w:bCs/>
          <w:color w:val="EE0000"/>
        </w:rPr>
        <w:t>s</w:t>
      </w:r>
      <w:r w:rsidRPr="0053182F">
        <w:rPr>
          <w:b/>
          <w:bCs/>
          <w:color w:val="EE0000"/>
        </w:rPr>
        <w:t xml:space="preserve"> (Addressing RQ1 </w:t>
      </w:r>
      <w:r w:rsidR="00E44F3E" w:rsidRPr="0053182F">
        <w:rPr>
          <w:b/>
          <w:bCs/>
          <w:color w:val="EE0000"/>
        </w:rPr>
        <w:t>and</w:t>
      </w:r>
      <w:r w:rsidRPr="0053182F">
        <w:rPr>
          <w:b/>
          <w:bCs/>
          <w:color w:val="EE0000"/>
        </w:rPr>
        <w:t xml:space="preserve"> RQ2)  </w:t>
      </w:r>
    </w:p>
    <w:p w14:paraId="275DE255" w14:textId="77777777" w:rsidR="00746DC4" w:rsidRPr="0053182F" w:rsidRDefault="00746DC4" w:rsidP="003D76AC">
      <w:pPr>
        <w:pStyle w:val="ds-markdown-paragraph"/>
        <w:shd w:val="clear" w:color="auto" w:fill="FFFFFF"/>
        <w:spacing w:before="0" w:beforeAutospacing="0" w:after="0" w:line="480" w:lineRule="auto"/>
        <w:jc w:val="both"/>
        <w:rPr>
          <w:color w:val="EE0000"/>
        </w:rPr>
      </w:pPr>
      <w:r w:rsidRPr="0053182F">
        <w:rPr>
          <w:color w:val="EE0000"/>
        </w:rPr>
        <w:t>This phase empirically tests the relationships specified in the conceptual model:</w:t>
      </w:r>
    </w:p>
    <w:p w14:paraId="57C0B058" w14:textId="77777777" w:rsidR="00746DC4" w:rsidRPr="0053182F" w:rsidRDefault="00746DC4" w:rsidP="003D76AC">
      <w:pPr>
        <w:pStyle w:val="ds-markdown-paragraph"/>
        <w:numPr>
          <w:ilvl w:val="0"/>
          <w:numId w:val="27"/>
        </w:numPr>
        <w:shd w:val="clear" w:color="auto" w:fill="FFFFFF"/>
        <w:spacing w:before="0" w:beforeAutospacing="0" w:after="0" w:line="480" w:lineRule="auto"/>
        <w:jc w:val="both"/>
        <w:rPr>
          <w:color w:val="EE0000"/>
        </w:rPr>
      </w:pPr>
      <w:r w:rsidRPr="0053182F">
        <w:rPr>
          <w:color w:val="EE0000"/>
        </w:rPr>
        <w:t>Institutional Inputs (Coercive, Normative, Mimetic Pressures): Operationalised through national governance indicators (IEQ, IHDI, SDGI) and institutional pressures on firms.</w:t>
      </w:r>
    </w:p>
    <w:p w14:paraId="1639F52A" w14:textId="77777777" w:rsidR="00746DC4" w:rsidRPr="0053182F" w:rsidRDefault="00746DC4" w:rsidP="003D76AC">
      <w:pPr>
        <w:pStyle w:val="ds-markdown-paragraph"/>
        <w:numPr>
          <w:ilvl w:val="0"/>
          <w:numId w:val="27"/>
        </w:numPr>
        <w:shd w:val="clear" w:color="auto" w:fill="FFFFFF"/>
        <w:spacing w:before="0" w:beforeAutospacing="0" w:after="0" w:line="480" w:lineRule="auto"/>
        <w:jc w:val="both"/>
        <w:rPr>
          <w:color w:val="EE0000"/>
        </w:rPr>
      </w:pPr>
      <w:r w:rsidRPr="0053182F">
        <w:rPr>
          <w:color w:val="EE0000"/>
        </w:rPr>
        <w:t>Throughput Mechanisms (SGIs): Corporate governance mechanisms such as CSR committees, gender-diverse boards, CSR assurance, CSP, and CSR awards.</w:t>
      </w:r>
    </w:p>
    <w:p w14:paraId="487F13E4" w14:textId="77777777" w:rsidR="00746DC4" w:rsidRPr="0053182F" w:rsidRDefault="00746DC4" w:rsidP="003D76AC">
      <w:pPr>
        <w:pStyle w:val="ds-markdown-paragraph"/>
        <w:numPr>
          <w:ilvl w:val="0"/>
          <w:numId w:val="27"/>
        </w:numPr>
        <w:shd w:val="clear" w:color="auto" w:fill="FFFFFF"/>
        <w:spacing w:before="0" w:beforeAutospacing="0" w:after="0" w:afterAutospacing="0" w:line="480" w:lineRule="auto"/>
        <w:jc w:val="both"/>
        <w:rPr>
          <w:color w:val="EE0000"/>
        </w:rPr>
      </w:pPr>
      <w:r w:rsidRPr="0053182F">
        <w:rPr>
          <w:color w:val="EE0000"/>
        </w:rPr>
        <w:t>Output (CMS Governance Commitment): Measured through the ACMS index.</w:t>
      </w:r>
    </w:p>
    <w:p w14:paraId="4E2ADE2E" w14:textId="77777777" w:rsidR="00746DC4" w:rsidRPr="0053182F" w:rsidRDefault="00746DC4" w:rsidP="003D76AC">
      <w:pPr>
        <w:pStyle w:val="ds-markdown-paragraph"/>
        <w:shd w:val="clear" w:color="auto" w:fill="FFFFFF"/>
        <w:spacing w:before="0" w:beforeAutospacing="0" w:after="0" w:line="480" w:lineRule="auto"/>
        <w:jc w:val="both"/>
        <w:rPr>
          <w:color w:val="EE0000"/>
        </w:rPr>
      </w:pPr>
      <w:r w:rsidRPr="0053182F">
        <w:rPr>
          <w:color w:val="EE0000"/>
        </w:rPr>
        <w:t>Through longitudinal analysis of G500 firms, this quantitative phase examines:</w:t>
      </w:r>
    </w:p>
    <w:p w14:paraId="5D9A6812" w14:textId="77777777" w:rsidR="00746DC4" w:rsidRPr="0053182F" w:rsidRDefault="00746DC4" w:rsidP="003D76AC">
      <w:pPr>
        <w:pStyle w:val="ds-markdown-paragraph"/>
        <w:numPr>
          <w:ilvl w:val="0"/>
          <w:numId w:val="28"/>
        </w:numPr>
        <w:shd w:val="clear" w:color="auto" w:fill="FFFFFF"/>
        <w:spacing w:after="0" w:line="480" w:lineRule="auto"/>
        <w:jc w:val="both"/>
        <w:rPr>
          <w:color w:val="EE0000"/>
        </w:rPr>
      </w:pPr>
      <w:r w:rsidRPr="0053182F">
        <w:rPr>
          <w:color w:val="EE0000"/>
        </w:rPr>
        <w:t>How institutional pressures shape the adoption of SGIs.</w:t>
      </w:r>
    </w:p>
    <w:p w14:paraId="079760D2" w14:textId="77777777" w:rsidR="00746DC4" w:rsidRPr="0053182F" w:rsidRDefault="00746DC4" w:rsidP="001E5FEB">
      <w:pPr>
        <w:pStyle w:val="ds-markdown-paragraph"/>
        <w:numPr>
          <w:ilvl w:val="0"/>
          <w:numId w:val="28"/>
        </w:numPr>
        <w:shd w:val="clear" w:color="auto" w:fill="FFFFFF"/>
        <w:spacing w:before="0" w:beforeAutospacing="0" w:after="0" w:afterAutospacing="0" w:line="480" w:lineRule="auto"/>
        <w:jc w:val="both"/>
        <w:rPr>
          <w:color w:val="EE0000"/>
        </w:rPr>
      </w:pPr>
      <w:r w:rsidRPr="0053182F">
        <w:rPr>
          <w:color w:val="EE0000"/>
        </w:rPr>
        <w:t>How SGIs influence firms’ formal commitments to eliminating CMS.</w:t>
      </w:r>
    </w:p>
    <w:p w14:paraId="556A0971" w14:textId="77777777" w:rsidR="00746DC4" w:rsidRPr="0053182F" w:rsidRDefault="00746DC4" w:rsidP="001E5FEB">
      <w:pPr>
        <w:pStyle w:val="ds-markdown-paragraph"/>
        <w:shd w:val="clear" w:color="auto" w:fill="FFFFFF"/>
        <w:spacing w:before="0" w:beforeAutospacing="0" w:after="0" w:afterAutospacing="0" w:line="480" w:lineRule="auto"/>
        <w:jc w:val="both"/>
        <w:rPr>
          <w:color w:val="EE0000"/>
        </w:rPr>
      </w:pPr>
      <w:r w:rsidRPr="0053182F">
        <w:rPr>
          <w:color w:val="EE0000"/>
        </w:rPr>
        <w:t>Its purpose is to identify generalisable, statistically significant patterns across countries and multinational corporations.</w:t>
      </w:r>
    </w:p>
    <w:p w14:paraId="40C98AAE" w14:textId="77777777" w:rsidR="00432E30" w:rsidRPr="0053182F" w:rsidRDefault="00432E30" w:rsidP="001E5FEB">
      <w:pPr>
        <w:pStyle w:val="ds-markdown-paragraph"/>
        <w:shd w:val="clear" w:color="auto" w:fill="FFFFFF"/>
        <w:spacing w:before="0" w:beforeAutospacing="0" w:after="0" w:afterAutospacing="0" w:line="480" w:lineRule="auto"/>
        <w:jc w:val="both"/>
        <w:rPr>
          <w:color w:val="EE0000"/>
        </w:rPr>
      </w:pPr>
    </w:p>
    <w:p w14:paraId="5FB0E9AF" w14:textId="77777777" w:rsidR="00432E30" w:rsidRPr="0053182F" w:rsidRDefault="00432E30" w:rsidP="001E5FEB">
      <w:pPr>
        <w:pStyle w:val="ds-markdown-paragraph"/>
        <w:shd w:val="clear" w:color="auto" w:fill="FFFFFF"/>
        <w:spacing w:before="0" w:beforeAutospacing="0" w:after="0" w:afterAutospacing="0" w:line="480" w:lineRule="auto"/>
        <w:jc w:val="both"/>
        <w:rPr>
          <w:color w:val="EE0000"/>
        </w:rPr>
      </w:pPr>
    </w:p>
    <w:p w14:paraId="5D81E459" w14:textId="77777777" w:rsidR="00432E30" w:rsidRPr="0053182F" w:rsidRDefault="00432E30" w:rsidP="001E5FEB">
      <w:pPr>
        <w:pStyle w:val="ds-markdown-paragraph"/>
        <w:shd w:val="clear" w:color="auto" w:fill="FFFFFF"/>
        <w:spacing w:before="0" w:beforeAutospacing="0" w:after="0" w:afterAutospacing="0" w:line="480" w:lineRule="auto"/>
        <w:jc w:val="both"/>
        <w:rPr>
          <w:color w:val="EE0000"/>
        </w:rPr>
      </w:pPr>
    </w:p>
    <w:p w14:paraId="5FF913E2" w14:textId="57060C73" w:rsidR="00746DC4" w:rsidRPr="0053182F" w:rsidRDefault="003D76AC" w:rsidP="001E5FEB">
      <w:pPr>
        <w:pStyle w:val="ds-markdown-paragraph"/>
        <w:shd w:val="clear" w:color="auto" w:fill="FFFFFF"/>
        <w:spacing w:after="0" w:line="480" w:lineRule="auto"/>
        <w:jc w:val="both"/>
        <w:rPr>
          <w:b/>
          <w:bCs/>
          <w:color w:val="EE0000"/>
        </w:rPr>
      </w:pPr>
      <w:r w:rsidRPr="0053182F">
        <w:rPr>
          <w:b/>
          <w:bCs/>
          <w:color w:val="EE0000"/>
        </w:rPr>
        <w:t>Meso-e</w:t>
      </w:r>
      <w:r w:rsidR="00E44F3E" w:rsidRPr="0053182F">
        <w:rPr>
          <w:b/>
          <w:bCs/>
          <w:color w:val="EE0000"/>
        </w:rPr>
        <w:t>xten</w:t>
      </w:r>
      <w:r w:rsidR="00F55311" w:rsidRPr="0053182F">
        <w:rPr>
          <w:b/>
          <w:bCs/>
          <w:color w:val="EE0000"/>
        </w:rPr>
        <w:t>s</w:t>
      </w:r>
      <w:r w:rsidR="00E44F3E" w:rsidRPr="0053182F">
        <w:rPr>
          <w:b/>
          <w:bCs/>
          <w:color w:val="EE0000"/>
        </w:rPr>
        <w:t xml:space="preserve">ion and </w:t>
      </w:r>
      <w:r w:rsidR="00746DC4" w:rsidRPr="0053182F">
        <w:rPr>
          <w:b/>
          <w:bCs/>
          <w:color w:val="EE0000"/>
        </w:rPr>
        <w:t xml:space="preserve">Micro-Level Qualitative Component (Addressing </w:t>
      </w:r>
      <w:r w:rsidR="00E44F3E" w:rsidRPr="0053182F">
        <w:rPr>
          <w:b/>
          <w:bCs/>
          <w:color w:val="EE0000"/>
        </w:rPr>
        <w:t xml:space="preserve">RQ3 and </w:t>
      </w:r>
      <w:r w:rsidR="00746DC4" w:rsidRPr="0053182F">
        <w:rPr>
          <w:b/>
          <w:bCs/>
          <w:color w:val="EE0000"/>
        </w:rPr>
        <w:t>RQ4)</w:t>
      </w:r>
    </w:p>
    <w:p w14:paraId="56BEE024" w14:textId="77777777" w:rsidR="00746DC4" w:rsidRPr="0053182F" w:rsidRDefault="00746DC4" w:rsidP="001E5FEB">
      <w:pPr>
        <w:pStyle w:val="ds-markdown-paragraph"/>
        <w:shd w:val="clear" w:color="auto" w:fill="FFFFFF"/>
        <w:spacing w:before="0" w:beforeAutospacing="0" w:after="0" w:line="480" w:lineRule="auto"/>
        <w:jc w:val="both"/>
        <w:rPr>
          <w:color w:val="EE0000"/>
        </w:rPr>
      </w:pPr>
      <w:r w:rsidRPr="0053182F">
        <w:rPr>
          <w:color w:val="EE0000"/>
        </w:rPr>
        <w:t>The qualitative phase investigates the “Black Box of Decoupling” identified in Figure 4.3. While SGIs may appear robust on paper, their translation into practice remains uncertain. This component examines:</w:t>
      </w:r>
    </w:p>
    <w:p w14:paraId="73A9B159" w14:textId="77777777" w:rsidR="00746DC4" w:rsidRPr="0053182F" w:rsidRDefault="00746DC4" w:rsidP="001E5FEB">
      <w:pPr>
        <w:pStyle w:val="ds-markdown-paragraph"/>
        <w:numPr>
          <w:ilvl w:val="0"/>
          <w:numId w:val="29"/>
        </w:numPr>
        <w:shd w:val="clear" w:color="auto" w:fill="FFFFFF"/>
        <w:spacing w:before="0" w:beforeAutospacing="0" w:after="0" w:line="480" w:lineRule="auto"/>
        <w:jc w:val="both"/>
        <w:rPr>
          <w:color w:val="EE0000"/>
        </w:rPr>
      </w:pPr>
      <w:r w:rsidRPr="0053182F">
        <w:rPr>
          <w:color w:val="EE0000"/>
        </w:rPr>
        <w:t>How global and corporate commitments materialise—or fail to materialise—within supplier contexts.</w:t>
      </w:r>
    </w:p>
    <w:p w14:paraId="50058F3A" w14:textId="77777777" w:rsidR="00746DC4" w:rsidRPr="0053182F" w:rsidRDefault="00746DC4" w:rsidP="001E5FEB">
      <w:pPr>
        <w:pStyle w:val="ds-markdown-paragraph"/>
        <w:numPr>
          <w:ilvl w:val="0"/>
          <w:numId w:val="29"/>
        </w:numPr>
        <w:shd w:val="clear" w:color="auto" w:fill="FFFFFF"/>
        <w:spacing w:before="0" w:beforeAutospacing="0" w:after="0" w:line="480" w:lineRule="auto"/>
        <w:jc w:val="both"/>
        <w:rPr>
          <w:color w:val="EE0000"/>
        </w:rPr>
      </w:pPr>
      <w:r w:rsidRPr="0053182F">
        <w:rPr>
          <w:color w:val="EE0000"/>
        </w:rPr>
        <w:t>Why gaps persist between formal governance structures and everyday worker realities.</w:t>
      </w:r>
    </w:p>
    <w:p w14:paraId="0054937E" w14:textId="77777777" w:rsidR="00746DC4" w:rsidRPr="0053182F" w:rsidRDefault="00746DC4" w:rsidP="001E5FEB">
      <w:pPr>
        <w:pStyle w:val="ds-markdown-paragraph"/>
        <w:numPr>
          <w:ilvl w:val="0"/>
          <w:numId w:val="29"/>
        </w:numPr>
        <w:shd w:val="clear" w:color="auto" w:fill="FFFFFF"/>
        <w:spacing w:before="0" w:beforeAutospacing="0" w:after="0" w:line="480" w:lineRule="auto"/>
        <w:jc w:val="both"/>
        <w:rPr>
          <w:color w:val="EE0000"/>
        </w:rPr>
      </w:pPr>
      <w:r w:rsidRPr="0053182F">
        <w:rPr>
          <w:color w:val="EE0000"/>
        </w:rPr>
        <w:t>How local institutional logics, power asymmetries, and resource constraints shape implementation outcomes.</w:t>
      </w:r>
    </w:p>
    <w:p w14:paraId="47AB0012" w14:textId="77777777" w:rsidR="00746DC4" w:rsidRPr="0053182F" w:rsidRDefault="00746DC4" w:rsidP="001E5FEB">
      <w:pPr>
        <w:pStyle w:val="ds-markdown-paragraph"/>
        <w:shd w:val="clear" w:color="auto" w:fill="FFFFFF"/>
        <w:spacing w:before="0" w:beforeAutospacing="0" w:after="0" w:line="480" w:lineRule="auto"/>
        <w:jc w:val="both"/>
        <w:rPr>
          <w:color w:val="EE0000"/>
        </w:rPr>
      </w:pPr>
      <w:r w:rsidRPr="0053182F">
        <w:rPr>
          <w:color w:val="EE0000"/>
        </w:rPr>
        <w:t>Focusing on Sri Lanka’s A&amp;TI, this phase provides deep, contextual insight into the processes and lived experiences that weaken—or disrupt—the throughput-to-output link identified quantitatively.</w:t>
      </w:r>
    </w:p>
    <w:p w14:paraId="062E8E55" w14:textId="77777777" w:rsidR="00746DC4" w:rsidRPr="0053182F" w:rsidRDefault="00746DC4" w:rsidP="004204DD">
      <w:pPr>
        <w:pStyle w:val="ds-markdown-paragraph"/>
        <w:shd w:val="clear" w:color="auto" w:fill="FFFFFF"/>
        <w:spacing w:before="0" w:beforeAutospacing="0" w:after="0" w:line="480" w:lineRule="auto"/>
        <w:jc w:val="both"/>
        <w:rPr>
          <w:b/>
          <w:bCs/>
          <w:color w:val="EE0000"/>
        </w:rPr>
      </w:pPr>
      <w:r w:rsidRPr="0053182F">
        <w:rPr>
          <w:b/>
          <w:bCs/>
          <w:color w:val="EE0000"/>
        </w:rPr>
        <w:t xml:space="preserve"> Integration Across Levels</w:t>
      </w:r>
    </w:p>
    <w:p w14:paraId="07809799" w14:textId="1A53A235" w:rsidR="006B4A93" w:rsidRPr="0053182F" w:rsidRDefault="00746DC4" w:rsidP="006B4A93">
      <w:pPr>
        <w:pStyle w:val="ds-markdown-paragraph"/>
        <w:shd w:val="clear" w:color="auto" w:fill="FFFFFF"/>
        <w:spacing w:before="0" w:beforeAutospacing="0" w:after="0" w:line="480" w:lineRule="auto"/>
        <w:jc w:val="both"/>
        <w:rPr>
          <w:color w:val="0F1115"/>
        </w:rPr>
      </w:pPr>
      <w:r w:rsidRPr="0053182F">
        <w:rPr>
          <w:color w:val="EE0000"/>
        </w:rPr>
        <w:t xml:space="preserve">The conceptual framework positions integration as the point </w:t>
      </w:r>
      <w:r w:rsidR="00B807EE" w:rsidRPr="0053182F">
        <w:rPr>
          <w:color w:val="EE0000"/>
        </w:rPr>
        <w:t>at which macrostructural forces, m</w:t>
      </w:r>
      <w:r w:rsidRPr="0053182F">
        <w:rPr>
          <w:color w:val="EE0000"/>
        </w:rPr>
        <w:t>eso corporate mechanisms, and Micro worker experiences are synthesised to generate meta-inferences about CMS as an institutional governance failure. This integration ensures the research design is not merely multi-level but interconnected, with each stage informing and strengthening the others.</w:t>
      </w:r>
      <w:r w:rsidR="006B4A93" w:rsidRPr="0053182F">
        <w:rPr>
          <w:color w:val="EE0000"/>
        </w:rPr>
        <w:t xml:space="preserve"> </w:t>
      </w:r>
      <w:r w:rsidR="006B4A93" w:rsidRPr="0053182F">
        <w:rPr>
          <w:rStyle w:val="Strong"/>
          <w:rFonts w:eastAsiaTheme="majorEastAsia"/>
          <w:b w:val="0"/>
          <w:color w:val="0F1115"/>
        </w:rPr>
        <w:t>Further, t</w:t>
      </w:r>
      <w:r w:rsidR="006B4A93" w:rsidRPr="0053182F">
        <w:rPr>
          <w:color w:val="0F1115"/>
        </w:rPr>
        <w:t>his integrated model illustrates the application of NIT to CMS. Institutional Isomorphisms (</w:t>
      </w:r>
      <w:r w:rsidR="006B4A93" w:rsidRPr="0053182F">
        <w:rPr>
          <w:rStyle w:val="Strong"/>
          <w:rFonts w:eastAsiaTheme="majorEastAsia"/>
          <w:b w:val="0"/>
          <w:color w:val="0F1115"/>
        </w:rPr>
        <w:t>Inputs</w:t>
      </w:r>
      <w:r w:rsidR="006B4A93" w:rsidRPr="0053182F">
        <w:rPr>
          <w:color w:val="0F1115"/>
        </w:rPr>
        <w:t>) drive the adoption of SGIs (</w:t>
      </w:r>
      <w:r w:rsidR="006B4A93" w:rsidRPr="0053182F">
        <w:rPr>
          <w:rStyle w:val="Strong"/>
          <w:rFonts w:eastAsiaTheme="majorEastAsia"/>
          <w:b w:val="0"/>
          <w:color w:val="0F1115"/>
        </w:rPr>
        <w:t>Throughput</w:t>
      </w:r>
      <w:r w:rsidR="006B4A93" w:rsidRPr="0053182F">
        <w:rPr>
          <w:color w:val="0F1115"/>
        </w:rPr>
        <w:t>), which are intended to lead to the </w:t>
      </w:r>
      <w:r w:rsidR="006B4A93" w:rsidRPr="0053182F">
        <w:rPr>
          <w:rStyle w:val="Strong"/>
          <w:rFonts w:eastAsiaTheme="majorEastAsia"/>
          <w:b w:val="0"/>
          <w:color w:val="0F1115"/>
        </w:rPr>
        <w:t>Elimination of CMS Practices (Outputs)</w:t>
      </w:r>
      <w:r w:rsidR="006B4A93" w:rsidRPr="0053182F">
        <w:rPr>
          <w:color w:val="0F1115"/>
        </w:rPr>
        <w:t>. The central moderating force of </w:t>
      </w:r>
      <w:r w:rsidR="006B4A93" w:rsidRPr="0053182F">
        <w:rPr>
          <w:rStyle w:val="Strong"/>
          <w:rFonts w:eastAsiaTheme="majorEastAsia"/>
          <w:b w:val="0"/>
          <w:color w:val="0F1115"/>
        </w:rPr>
        <w:t>decoupling</w:t>
      </w:r>
      <w:r w:rsidR="006B4A93" w:rsidRPr="0053182F">
        <w:rPr>
          <w:color w:val="0F1115"/>
        </w:rPr>
        <w:t> weakens this relationship. The macro-level, quantitative study tests these pathways, while the micro-level, qualitative study investigates the “black box” of decoupling in the Sri Lankan context.</w:t>
      </w:r>
    </w:p>
    <w:p w14:paraId="3C4949C4" w14:textId="77777777" w:rsidR="006B4A93" w:rsidRPr="0053182F" w:rsidRDefault="006B4A93" w:rsidP="00746DC4">
      <w:pPr>
        <w:pStyle w:val="ds-markdown-paragraph"/>
        <w:shd w:val="clear" w:color="auto" w:fill="FFFFFF"/>
        <w:spacing w:before="0" w:beforeAutospacing="0" w:after="0" w:line="480" w:lineRule="auto"/>
        <w:jc w:val="both"/>
        <w:rPr>
          <w:color w:val="EE0000"/>
        </w:rPr>
      </w:pPr>
    </w:p>
    <w:p w14:paraId="61BB4E05" w14:textId="23F0A334" w:rsidR="00746DC4" w:rsidRPr="0053182F" w:rsidRDefault="006B4A93"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305" behindDoc="0" locked="0" layoutInCell="1" allowOverlap="1" wp14:anchorId="4BEAAD10" wp14:editId="6CFBD6F9">
                <wp:simplePos x="0" y="0"/>
                <wp:positionH relativeFrom="column">
                  <wp:posOffset>-286247</wp:posOffset>
                </wp:positionH>
                <wp:positionV relativeFrom="paragraph">
                  <wp:posOffset>-63610</wp:posOffset>
                </wp:positionV>
                <wp:extent cx="4940052" cy="548640"/>
                <wp:effectExtent l="0" t="0" r="13335" b="22860"/>
                <wp:wrapNone/>
                <wp:docPr id="5" name="Rectangle 4">
                  <a:extLst xmlns:a="http://schemas.openxmlformats.org/drawingml/2006/main">
                    <a:ext uri="{FF2B5EF4-FFF2-40B4-BE49-F238E27FC236}">
                      <a16:creationId xmlns:a16="http://schemas.microsoft.com/office/drawing/2014/main" id="{5030F779-4B4C-6A05-872E-C85FC03B77BD}"/>
                    </a:ext>
                  </a:extLst>
                </wp:docPr>
                <wp:cNvGraphicFramePr/>
                <a:graphic xmlns:a="http://schemas.openxmlformats.org/drawingml/2006/main">
                  <a:graphicData uri="http://schemas.microsoft.com/office/word/2010/wordprocessingShape">
                    <wps:wsp>
                      <wps:cNvSpPr/>
                      <wps:spPr>
                        <a:xfrm>
                          <a:off x="0" y="0"/>
                          <a:ext cx="4940052" cy="548640"/>
                        </a:xfrm>
                        <a:prstGeom prst="rect">
                          <a:avLst/>
                        </a:prstGeom>
                        <a:solidFill>
                          <a:srgbClr val="FFFAC8"/>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7EB55E91" w14:textId="77777777" w:rsidR="00746DC4" w:rsidRPr="00167A37" w:rsidRDefault="00746DC4" w:rsidP="00746DC4">
                            <w:pPr>
                              <w:spacing w:after="0" w:line="240" w:lineRule="auto"/>
                              <w:jc w:val="center"/>
                              <w:rPr>
                                <w:b/>
                                <w:bCs/>
                                <w:color w:val="000000" w:themeColor="text1"/>
                                <w:kern w:val="24"/>
                                <w:sz w:val="22"/>
                                <w:szCs w:val="22"/>
                              </w:rPr>
                            </w:pPr>
                            <w:r w:rsidRPr="00167A37">
                              <w:rPr>
                                <w:b/>
                                <w:bCs/>
                                <w:color w:val="000000" w:themeColor="text1"/>
                                <w:kern w:val="24"/>
                                <w:sz w:val="22"/>
                                <w:szCs w:val="22"/>
                              </w:rPr>
                              <w:t>Macro-level analysis – RQ1</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4BEAAD10" id="_x0000_s1072" style="position:absolute;left:0;text-align:left;margin-left:-22.55pt;margin-top:-5pt;width:389pt;height:43.2pt;z-index:2516583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" fillcolor="#fffac8" strokeweight="1pt">
                <v:textbox>
                  <w:txbxContent>
                    <w:p w14:paraId="7EB55E91" w14:textId="77777777" w:rsidR="00746DC4" w:rsidRPr="00167A37" w:rsidRDefault="00746DC4" w:rsidP="00746DC4">
                      <w:pPr>
                        <w:spacing w:after="0" w:line="240" w:lineRule="auto"/>
                        <w:jc w:val="center"/>
                        <w:rPr>
                          <w:b/>
                          <w:bCs/>
                          <w:color w:val="000000" w:themeColor="text1"/>
                          <w:kern w:val="24"/>
                          <w:sz w:val="22"/>
                          <w:szCs w:val="22"/>
                        </w:rPr>
                      </w:pPr>
                      <w:r w:rsidRPr="00167A37">
                        <w:rPr>
                          <w:b/>
                          <w:bCs/>
                          <w:color w:val="000000" w:themeColor="text1"/>
                          <w:kern w:val="24"/>
                          <w:sz w:val="22"/>
                          <w:szCs w:val="22"/>
                        </w:rPr>
                        <w:t>Macro-level analysis – RQ1</w:t>
                      </w:r>
                    </w:p>
                  </w:txbxContent>
                </v:textbox>
              </v:rect>
            </w:pict>
          </mc:Fallback>
        </mc:AlternateContent>
      </w:r>
      <w:r w:rsidRPr="0053182F">
        <w:rPr>
          <w:noProof/>
          <w:color w:val="0F1115"/>
        </w:rPr>
        <mc:AlternateContent>
          <mc:Choice Requires="wps">
            <w:drawing>
              <wp:anchor distT="0" distB="0" distL="114300" distR="114300" simplePos="0" relativeHeight="251658310" behindDoc="0" locked="0" layoutInCell="1" allowOverlap="1" wp14:anchorId="218081CD" wp14:editId="685F6715">
                <wp:simplePos x="0" y="0"/>
                <wp:positionH relativeFrom="column">
                  <wp:posOffset>-288925</wp:posOffset>
                </wp:positionH>
                <wp:positionV relativeFrom="paragraph">
                  <wp:posOffset>390194</wp:posOffset>
                </wp:positionV>
                <wp:extent cx="1399540" cy="389255"/>
                <wp:effectExtent l="0" t="0" r="10160" b="10795"/>
                <wp:wrapNone/>
                <wp:docPr id="2" name="Rectangle 1">
                  <a:extLst xmlns:a="http://schemas.openxmlformats.org/drawingml/2006/main">
                    <a:ext uri="{FF2B5EF4-FFF2-40B4-BE49-F238E27FC236}">
                      <a16:creationId xmlns:a16="http://schemas.microsoft.com/office/drawing/2014/main" id="{A0E47FCF-A814-F09C-F6E4-DE28AEE7B0D3}"/>
                    </a:ext>
                  </a:extLst>
                </wp:docPr>
                <wp:cNvGraphicFramePr/>
                <a:graphic xmlns:a="http://schemas.openxmlformats.org/drawingml/2006/main">
                  <a:graphicData uri="http://schemas.microsoft.com/office/word/2010/wordprocessingShape">
                    <wps:wsp>
                      <wps:cNvSpPr/>
                      <wps:spPr>
                        <a:xfrm>
                          <a:off x="0" y="0"/>
                          <a:ext cx="1399540" cy="389255"/>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0EF9E587" w14:textId="77777777" w:rsidR="00746DC4" w:rsidRPr="00167A37" w:rsidRDefault="00746DC4" w:rsidP="00746DC4">
                            <w:pPr>
                              <w:spacing w:line="240" w:lineRule="auto"/>
                              <w:jc w:val="center"/>
                              <w:rPr>
                                <w:color w:val="000000" w:themeColor="text1"/>
                                <w:kern w:val="24"/>
                                <w:sz w:val="20"/>
                                <w:szCs w:val="20"/>
                              </w:rPr>
                            </w:pPr>
                            <w:r w:rsidRPr="00167A37">
                              <w:rPr>
                                <w:color w:val="000000" w:themeColor="text1"/>
                                <w:kern w:val="24"/>
                                <w:sz w:val="20"/>
                                <w:szCs w:val="20"/>
                              </w:rPr>
                              <w:t>Coercive Isomorphism</w:t>
                            </w:r>
                            <w:r w:rsidRPr="00167A37">
                              <w:rPr>
                                <w:color w:val="000000" w:themeColor="text1"/>
                                <w:kern w:val="24"/>
                                <w:sz w:val="20"/>
                                <w:szCs w:val="20"/>
                              </w:rPr>
                              <w:br/>
                              <w:t>Laws, Regulations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18081CD" id="Rectangle 1" o:spid="_x0000_s1073" style="position:absolute;left:0;text-align:left;margin-left:-22.75pt;margin-top:30.7pt;width:110.2pt;height:30.65pt;z-index:2516583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" fillcolor="#dce6fa" strokeweight="1pt">
                <v:textbox>
                  <w:txbxContent>
                    <w:p w14:paraId="0EF9E587" w14:textId="77777777" w:rsidR="00746DC4" w:rsidRPr="00167A37" w:rsidRDefault="00746DC4" w:rsidP="00746DC4">
                      <w:pPr>
                        <w:spacing w:line="240" w:lineRule="auto"/>
                        <w:jc w:val="center"/>
                        <w:rPr>
                          <w:color w:val="000000" w:themeColor="text1"/>
                          <w:kern w:val="24"/>
                          <w:sz w:val="20"/>
                          <w:szCs w:val="20"/>
                        </w:rPr>
                      </w:pPr>
                      <w:r w:rsidRPr="00167A37">
                        <w:rPr>
                          <w:color w:val="000000" w:themeColor="text1"/>
                          <w:kern w:val="24"/>
                          <w:sz w:val="20"/>
                          <w:szCs w:val="20"/>
                        </w:rPr>
                        <w:t>Coercive Isomorphism</w:t>
                      </w:r>
                      <w:r w:rsidRPr="00167A37">
                        <w:rPr>
                          <w:color w:val="000000" w:themeColor="text1"/>
                          <w:kern w:val="24"/>
                          <w:sz w:val="20"/>
                          <w:szCs w:val="20"/>
                        </w:rPr>
                        <w:br/>
                        <w:t>Laws, Regulations</w:t>
                      </w:r>
                    </w:p>
                  </w:txbxContent>
                </v:textbox>
              </v:rect>
            </w:pict>
          </mc:Fallback>
        </mc:AlternateContent>
      </w:r>
      <w:r w:rsidR="00746DC4" w:rsidRPr="0053182F">
        <w:rPr>
          <w:noProof/>
          <w:color w:val="0F1115"/>
        </w:rPr>
        <mc:AlternateContent>
          <mc:Choice Requires="wps">
            <w:drawing>
              <wp:anchor distT="0" distB="0" distL="114300" distR="114300" simplePos="0" relativeHeight="251658306" behindDoc="0" locked="0" layoutInCell="1" allowOverlap="1" wp14:anchorId="32C883ED" wp14:editId="415F7A9F">
                <wp:simplePos x="0" y="0"/>
                <wp:positionH relativeFrom="column">
                  <wp:posOffset>4732655</wp:posOffset>
                </wp:positionH>
                <wp:positionV relativeFrom="paragraph">
                  <wp:posOffset>-50800</wp:posOffset>
                </wp:positionV>
                <wp:extent cx="1354871" cy="781291"/>
                <wp:effectExtent l="0" t="0" r="17145" b="19050"/>
                <wp:wrapNone/>
                <wp:docPr id="7" name="Rectangle 6">
                  <a:extLst xmlns:a="http://schemas.openxmlformats.org/drawingml/2006/main">
                    <a:ext uri="{FF2B5EF4-FFF2-40B4-BE49-F238E27FC236}">
                      <a16:creationId xmlns:a16="http://schemas.microsoft.com/office/drawing/2014/main" id="{6FC725D5-20C8-24F1-7ADE-BB939AFC71CA}"/>
                    </a:ext>
                  </a:extLst>
                </wp:docPr>
                <wp:cNvGraphicFramePr/>
                <a:graphic xmlns:a="http://schemas.openxmlformats.org/drawingml/2006/main">
                  <a:graphicData uri="http://schemas.microsoft.com/office/word/2010/wordprocessingShape">
                    <wps:wsp>
                      <wps:cNvSpPr/>
                      <wps:spPr>
                        <a:xfrm>
                          <a:off x="0" y="0"/>
                          <a:ext cx="1354871" cy="781291"/>
                        </a:xfrm>
                        <a:prstGeom prst="rect">
                          <a:avLst/>
                        </a:prstGeom>
                        <a:solidFill>
                          <a:srgbClr val="FFFAC8"/>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7E1174A8" w14:textId="77777777" w:rsidR="00746DC4" w:rsidRPr="006A312C" w:rsidRDefault="00746DC4" w:rsidP="00746DC4">
                            <w:pPr>
                              <w:spacing w:after="0" w:line="240" w:lineRule="auto"/>
                              <w:jc w:val="center"/>
                              <w:rPr>
                                <w:b/>
                                <w:bCs/>
                                <w:color w:val="000000" w:themeColor="text1"/>
                                <w:kern w:val="24"/>
                                <w:sz w:val="22"/>
                                <w:szCs w:val="22"/>
                              </w:rPr>
                            </w:pPr>
                            <w:r w:rsidRPr="006A312C">
                              <w:rPr>
                                <w:b/>
                                <w:bCs/>
                                <w:color w:val="000000" w:themeColor="text1"/>
                                <w:kern w:val="24"/>
                                <w:sz w:val="22"/>
                                <w:szCs w:val="22"/>
                              </w:rPr>
                              <w:t>Micro-level analysis – RQ</w:t>
                            </w:r>
                            <w:r>
                              <w:rPr>
                                <w:b/>
                                <w:bCs/>
                                <w:color w:val="000000" w:themeColor="text1"/>
                                <w:kern w:val="24"/>
                                <w:sz w:val="22"/>
                                <w:szCs w:val="22"/>
                              </w:rPr>
                              <w:t>4</w:t>
                            </w:r>
                            <w:r w:rsidRPr="006A312C">
                              <w:rPr>
                                <w:b/>
                                <w:bCs/>
                                <w:color w:val="000000" w:themeColor="text1"/>
                                <w:kern w:val="24"/>
                                <w:sz w:val="22"/>
                                <w:szCs w:val="22"/>
                              </w:rPr>
                              <w:br/>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2C883ED" id="_x0000_s1074" style="position:absolute;left:0;text-align:left;margin-left:372.65pt;margin-top:-4pt;width:106.7pt;height:61.5pt;z-index:2516583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" fillcolor="#fffac8" strokeweight="1pt">
                <v:textbox>
                  <w:txbxContent>
                    <w:p w14:paraId="7E1174A8" w14:textId="77777777" w:rsidR="00746DC4" w:rsidRPr="006A312C" w:rsidRDefault="00746DC4" w:rsidP="00746DC4">
                      <w:pPr>
                        <w:spacing w:after="0" w:line="240" w:lineRule="auto"/>
                        <w:jc w:val="center"/>
                        <w:rPr>
                          <w:b/>
                          <w:bCs/>
                          <w:color w:val="000000" w:themeColor="text1"/>
                          <w:kern w:val="24"/>
                          <w:sz w:val="22"/>
                          <w:szCs w:val="22"/>
                        </w:rPr>
                      </w:pPr>
                      <w:r w:rsidRPr="006A312C">
                        <w:rPr>
                          <w:b/>
                          <w:bCs/>
                          <w:color w:val="000000" w:themeColor="text1"/>
                          <w:kern w:val="24"/>
                          <w:sz w:val="22"/>
                          <w:szCs w:val="22"/>
                        </w:rPr>
                        <w:t>Micro-level analysis – RQ</w:t>
                      </w:r>
                      <w:r>
                        <w:rPr>
                          <w:b/>
                          <w:bCs/>
                          <w:color w:val="000000" w:themeColor="text1"/>
                          <w:kern w:val="24"/>
                          <w:sz w:val="22"/>
                          <w:szCs w:val="22"/>
                        </w:rPr>
                        <w:t>4</w:t>
                      </w:r>
                      <w:r w:rsidRPr="006A312C">
                        <w:rPr>
                          <w:b/>
                          <w:bCs/>
                          <w:color w:val="000000" w:themeColor="text1"/>
                          <w:kern w:val="24"/>
                          <w:sz w:val="22"/>
                          <w:szCs w:val="22"/>
                        </w:rPr>
                        <w:br/>
                      </w:r>
                    </w:p>
                  </w:txbxContent>
                </v:textbox>
              </v:rect>
            </w:pict>
          </mc:Fallback>
        </mc:AlternateContent>
      </w:r>
      <w:r w:rsidR="00746DC4" w:rsidRPr="0053182F">
        <w:rPr>
          <w:noProof/>
          <w:color w:val="0F1115"/>
        </w:rPr>
        <mc:AlternateContent>
          <mc:Choice Requires="wps">
            <w:drawing>
              <wp:anchor distT="0" distB="0" distL="114300" distR="114300" simplePos="0" relativeHeight="251658307" behindDoc="0" locked="0" layoutInCell="1" allowOverlap="1" wp14:anchorId="5ACCE37D" wp14:editId="01400D3A">
                <wp:simplePos x="0" y="0"/>
                <wp:positionH relativeFrom="column">
                  <wp:posOffset>6720840</wp:posOffset>
                </wp:positionH>
                <wp:positionV relativeFrom="paragraph">
                  <wp:posOffset>3284220</wp:posOffset>
                </wp:positionV>
                <wp:extent cx="1828800" cy="731520"/>
                <wp:effectExtent l="0" t="0" r="19050" b="11430"/>
                <wp:wrapNone/>
                <wp:docPr id="8" name="Rectangle 7">
                  <a:extLst xmlns:a="http://schemas.openxmlformats.org/drawingml/2006/main">
                    <a:ext uri="{FF2B5EF4-FFF2-40B4-BE49-F238E27FC236}">
                      <a16:creationId xmlns:a16="http://schemas.microsoft.com/office/drawing/2014/main" id="{7A70B89D-FA3A-2BEF-4067-AF82B9FE0205}"/>
                    </a:ext>
                  </a:extLst>
                </wp:docPr>
                <wp:cNvGraphicFramePr/>
                <a:graphic xmlns:a="http://schemas.openxmlformats.org/drawingml/2006/main">
                  <a:graphicData uri="http://schemas.microsoft.com/office/word/2010/wordprocessingShape">
                    <wps:wsp>
                      <wps:cNvSpPr/>
                      <wps:spPr>
                        <a:xfrm>
                          <a:off x="0" y="0"/>
                          <a:ext cx="1828800" cy="731520"/>
                        </a:xfrm>
                        <a:prstGeom prst="rect">
                          <a:avLst/>
                        </a:prstGeom>
                        <a:solidFill>
                          <a:srgbClr val="FFC8E6"/>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23E72178" w14:textId="77777777" w:rsidR="00746DC4" w:rsidRPr="0075179C" w:rsidRDefault="00746DC4" w:rsidP="00746DC4">
                            <w:pPr>
                              <w:jc w:val="center"/>
                              <w:rPr>
                                <w:b/>
                                <w:bCs/>
                                <w:color w:val="000000" w:themeColor="text1"/>
                                <w:kern w:val="24"/>
                              </w:rPr>
                            </w:pPr>
                            <w:r w:rsidRPr="0075179C">
                              <w:rPr>
                                <w:b/>
                                <w:bCs/>
                                <w:color w:val="000000" w:themeColor="text1"/>
                                <w:kern w:val="24"/>
                              </w:rPr>
                              <w:t>Decoupling</w:t>
                            </w:r>
                          </w:p>
                        </w:txbxContent>
                      </wps:txbx>
                      <wps:bodyPr rtlCol="0" anchor="ctr"/>
                    </wps:wsp>
                  </a:graphicData>
                </a:graphic>
              </wp:anchor>
            </w:drawing>
          </mc:Choice>
          <mc:Fallback>
            <w:pict>
              <v:rect w14:anchorId="5ACCE37D" id="Rectangle 7" o:spid="_x0000_s1075" style="position:absolute;left:0;text-align:left;margin-left:529.2pt;margin-top:258.6pt;width:2in;height:57.6pt;z-index:25165830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" fillcolor="#ffc8e6" strokeweight="1pt">
                <v:textbox>
                  <w:txbxContent>
                    <w:p w14:paraId="23E72178" w14:textId="77777777" w:rsidR="00746DC4" w:rsidRPr="0075179C" w:rsidRDefault="00746DC4" w:rsidP="00746DC4">
                      <w:pPr>
                        <w:jc w:val="center"/>
                        <w:rPr>
                          <w:b/>
                          <w:bCs/>
                          <w:color w:val="000000" w:themeColor="text1"/>
                          <w:kern w:val="24"/>
                        </w:rPr>
                      </w:pPr>
                      <w:r w:rsidRPr="0075179C">
                        <w:rPr>
                          <w:b/>
                          <w:bCs/>
                          <w:color w:val="000000" w:themeColor="text1"/>
                          <w:kern w:val="24"/>
                        </w:rPr>
                        <w:t>Decoupling</w:t>
                      </w:r>
                    </w:p>
                  </w:txbxContent>
                </v:textbox>
              </v:rect>
            </w:pict>
          </mc:Fallback>
        </mc:AlternateContent>
      </w:r>
    </w:p>
    <w:p w14:paraId="69ACED68" w14:textId="359848BD" w:rsidR="00746DC4" w:rsidRPr="0053182F" w:rsidRDefault="006B4A93"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312" behindDoc="0" locked="0" layoutInCell="1" allowOverlap="1" wp14:anchorId="299F96FD" wp14:editId="0250C1E1">
                <wp:simplePos x="0" y="0"/>
                <wp:positionH relativeFrom="column">
                  <wp:posOffset>2859405</wp:posOffset>
                </wp:positionH>
                <wp:positionV relativeFrom="paragraph">
                  <wp:posOffset>18084</wp:posOffset>
                </wp:positionV>
                <wp:extent cx="1791335" cy="523240"/>
                <wp:effectExtent l="0" t="0" r="18415" b="10160"/>
                <wp:wrapNone/>
                <wp:docPr id="4" name="Rectangle 3">
                  <a:extLst xmlns:a="http://schemas.openxmlformats.org/drawingml/2006/main">
                    <a:ext uri="{FF2B5EF4-FFF2-40B4-BE49-F238E27FC236}">
                      <a16:creationId xmlns:a16="http://schemas.microsoft.com/office/drawing/2014/main" id="{D9DFFC01-AB57-84C9-D93B-A8E9FB234168}"/>
                    </a:ext>
                  </a:extLst>
                </wp:docPr>
                <wp:cNvGraphicFramePr/>
                <a:graphic xmlns:a="http://schemas.openxmlformats.org/drawingml/2006/main">
                  <a:graphicData uri="http://schemas.microsoft.com/office/word/2010/wordprocessingShape">
                    <wps:wsp>
                      <wps:cNvSpPr/>
                      <wps:spPr>
                        <a:xfrm>
                          <a:off x="0" y="0"/>
                          <a:ext cx="1791335" cy="523240"/>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26AFE68C" w14:textId="77777777" w:rsidR="00746DC4" w:rsidRPr="00F93842" w:rsidRDefault="00746DC4" w:rsidP="00746DC4">
                            <w:pPr>
                              <w:spacing w:after="0" w:line="240" w:lineRule="auto"/>
                              <w:jc w:val="center"/>
                              <w:rPr>
                                <w:color w:val="000000" w:themeColor="text1"/>
                                <w:kern w:val="24"/>
                                <w:sz w:val="19"/>
                                <w:szCs w:val="19"/>
                              </w:rPr>
                            </w:pPr>
                            <w:r w:rsidRPr="00F93842">
                              <w:rPr>
                                <w:color w:val="000000" w:themeColor="text1"/>
                                <w:kern w:val="24"/>
                                <w:sz w:val="19"/>
                                <w:szCs w:val="19"/>
                              </w:rPr>
                              <w:t>Normative Isomorphism</w:t>
                            </w:r>
                            <w:r w:rsidRPr="00F93842">
                              <w:rPr>
                                <w:color w:val="000000" w:themeColor="text1"/>
                                <w:kern w:val="24"/>
                                <w:sz w:val="19"/>
                                <w:szCs w:val="19"/>
                              </w:rPr>
                              <w:br/>
                              <w:t>Professionalization, Network, regulations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299F96FD" id="_x0000_s1076" style="position:absolute;left:0;text-align:left;margin-left:225.15pt;margin-top:1.4pt;width:141.05pt;height:41.2pt;z-index:251658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" fillcolor="#dce6fa" strokeweight="1pt">
                <v:textbox>
                  <w:txbxContent>
                    <w:p w14:paraId="26AFE68C" w14:textId="77777777" w:rsidR="00746DC4" w:rsidRPr="00F93842" w:rsidRDefault="00746DC4" w:rsidP="00746DC4">
                      <w:pPr>
                        <w:spacing w:after="0" w:line="240" w:lineRule="auto"/>
                        <w:jc w:val="center"/>
                        <w:rPr>
                          <w:color w:val="000000" w:themeColor="text1"/>
                          <w:kern w:val="24"/>
                          <w:sz w:val="19"/>
                          <w:szCs w:val="19"/>
                        </w:rPr>
                      </w:pPr>
                      <w:r w:rsidRPr="00F93842">
                        <w:rPr>
                          <w:color w:val="000000" w:themeColor="text1"/>
                          <w:kern w:val="24"/>
                          <w:sz w:val="19"/>
                          <w:szCs w:val="19"/>
                        </w:rPr>
                        <w:t>Normative Isomorphism</w:t>
                      </w:r>
                      <w:r w:rsidRPr="00F93842">
                        <w:rPr>
                          <w:color w:val="000000" w:themeColor="text1"/>
                          <w:kern w:val="24"/>
                          <w:sz w:val="19"/>
                          <w:szCs w:val="19"/>
                        </w:rPr>
                        <w:br/>
                        <w:t>Professionalization, Network, regulations</w:t>
                      </w:r>
                    </w:p>
                  </w:txbxContent>
                </v:textbox>
              </v:rect>
            </w:pict>
          </mc:Fallback>
        </mc:AlternateContent>
      </w:r>
      <w:r w:rsidRPr="0053182F">
        <w:rPr>
          <w:noProof/>
          <w:color w:val="0F1115"/>
        </w:rPr>
        <mc:AlternateContent>
          <mc:Choice Requires="wps">
            <w:drawing>
              <wp:anchor distT="0" distB="0" distL="114300" distR="114300" simplePos="0" relativeHeight="251658311" behindDoc="0" locked="0" layoutInCell="1" allowOverlap="1" wp14:anchorId="6E903041" wp14:editId="00E709E8">
                <wp:simplePos x="0" y="0"/>
                <wp:positionH relativeFrom="column">
                  <wp:posOffset>1196340</wp:posOffset>
                </wp:positionH>
                <wp:positionV relativeFrom="paragraph">
                  <wp:posOffset>40309</wp:posOffset>
                </wp:positionV>
                <wp:extent cx="1569720" cy="389255"/>
                <wp:effectExtent l="0" t="0" r="11430" b="10795"/>
                <wp:wrapNone/>
                <wp:docPr id="3" name="Rectangle 2">
                  <a:extLst xmlns:a="http://schemas.openxmlformats.org/drawingml/2006/main">
                    <a:ext uri="{FF2B5EF4-FFF2-40B4-BE49-F238E27FC236}">
                      <a16:creationId xmlns:a16="http://schemas.microsoft.com/office/drawing/2014/main" id="{99384A82-EEED-7B0D-A44C-F05488935F0C}"/>
                    </a:ext>
                  </a:extLst>
                </wp:docPr>
                <wp:cNvGraphicFramePr/>
                <a:graphic xmlns:a="http://schemas.openxmlformats.org/drawingml/2006/main">
                  <a:graphicData uri="http://schemas.microsoft.com/office/word/2010/wordprocessingShape">
                    <wps:wsp>
                      <wps:cNvSpPr/>
                      <wps:spPr>
                        <a:xfrm>
                          <a:off x="0" y="0"/>
                          <a:ext cx="1569720" cy="389255"/>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452C4CD2" w14:textId="77777777" w:rsidR="00746DC4" w:rsidRPr="00167A37" w:rsidRDefault="00746DC4" w:rsidP="00746DC4">
                            <w:pPr>
                              <w:spacing w:line="240" w:lineRule="auto"/>
                              <w:jc w:val="center"/>
                              <w:rPr>
                                <w:color w:val="000000" w:themeColor="text1"/>
                                <w:kern w:val="24"/>
                                <w:sz w:val="20"/>
                                <w:szCs w:val="20"/>
                              </w:rPr>
                            </w:pPr>
                            <w:r w:rsidRPr="00167A37">
                              <w:rPr>
                                <w:color w:val="000000" w:themeColor="text1"/>
                                <w:kern w:val="24"/>
                                <w:sz w:val="20"/>
                                <w:szCs w:val="20"/>
                              </w:rPr>
                              <w:t>Mimetic Isomorphism</w:t>
                            </w:r>
                            <w:r w:rsidRPr="00167A37">
                              <w:rPr>
                                <w:color w:val="000000" w:themeColor="text1"/>
                                <w:kern w:val="24"/>
                                <w:sz w:val="20"/>
                                <w:szCs w:val="20"/>
                              </w:rPr>
                              <w:br/>
                              <w:t>Uncertainty, Imitation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E903041" id="_x0000_s1077" style="position:absolute;left:0;text-align:left;margin-left:94.2pt;margin-top:3.15pt;width:123.6pt;height:30.65pt;z-index:25165831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" fillcolor="#dce6fa" strokeweight="1pt">
                <v:textbox>
                  <w:txbxContent>
                    <w:p w14:paraId="452C4CD2" w14:textId="77777777" w:rsidR="00746DC4" w:rsidRPr="00167A37" w:rsidRDefault="00746DC4" w:rsidP="00746DC4">
                      <w:pPr>
                        <w:spacing w:line="240" w:lineRule="auto"/>
                        <w:jc w:val="center"/>
                        <w:rPr>
                          <w:color w:val="000000" w:themeColor="text1"/>
                          <w:kern w:val="24"/>
                          <w:sz w:val="20"/>
                          <w:szCs w:val="20"/>
                        </w:rPr>
                      </w:pPr>
                      <w:r w:rsidRPr="00167A37">
                        <w:rPr>
                          <w:color w:val="000000" w:themeColor="text1"/>
                          <w:kern w:val="24"/>
                          <w:sz w:val="20"/>
                          <w:szCs w:val="20"/>
                        </w:rPr>
                        <w:t>Mimetic Isomorphism</w:t>
                      </w:r>
                      <w:r w:rsidRPr="00167A37">
                        <w:rPr>
                          <w:color w:val="000000" w:themeColor="text1"/>
                          <w:kern w:val="24"/>
                          <w:sz w:val="20"/>
                          <w:szCs w:val="20"/>
                        </w:rPr>
                        <w:br/>
                        <w:t>Uncertainty, Imitation</w:t>
                      </w:r>
                    </w:p>
                  </w:txbxContent>
                </v:textbox>
              </v:rect>
            </w:pict>
          </mc:Fallback>
        </mc:AlternateContent>
      </w:r>
      <w:r w:rsidR="00746DC4" w:rsidRPr="0053182F">
        <w:rPr>
          <w:noProof/>
          <w:color w:val="0F1115"/>
        </w:rPr>
        <mc:AlternateContent>
          <mc:Choice Requires="wps">
            <w:drawing>
              <wp:anchor distT="45720" distB="45720" distL="114300" distR="114300" simplePos="0" relativeHeight="251658313" behindDoc="0" locked="0" layoutInCell="1" allowOverlap="1" wp14:anchorId="1148233E" wp14:editId="2E2B3A93">
                <wp:simplePos x="0" y="0"/>
                <wp:positionH relativeFrom="column">
                  <wp:posOffset>4820920</wp:posOffset>
                </wp:positionH>
                <wp:positionV relativeFrom="paragraph">
                  <wp:posOffset>259080</wp:posOffset>
                </wp:positionV>
                <wp:extent cx="1266825" cy="535940"/>
                <wp:effectExtent l="0" t="0" r="2857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535940"/>
                        </a:xfrm>
                        <a:prstGeom prst="rect">
                          <a:avLst/>
                        </a:prstGeom>
                        <a:solidFill>
                          <a:schemeClr val="tx2">
                            <a:lumMod val="10000"/>
                            <a:lumOff val="90000"/>
                          </a:schemeClr>
                        </a:solidFill>
                        <a:ln w="9525">
                          <a:solidFill>
                            <a:srgbClr val="000000"/>
                          </a:solidFill>
                          <a:miter lim="800000"/>
                          <a:headEnd/>
                          <a:tailEnd/>
                        </a:ln>
                      </wps:spPr>
                      <wps:txbx>
                        <w:txbxContent>
                          <w:p w14:paraId="74FBBF9F" w14:textId="77777777" w:rsidR="00746DC4" w:rsidRPr="006A312C" w:rsidRDefault="00746DC4" w:rsidP="00746DC4">
                            <w:pPr>
                              <w:spacing w:line="240" w:lineRule="auto"/>
                              <w:jc w:val="center"/>
                              <w:rPr>
                                <w:color w:val="000000" w:themeColor="text1"/>
                                <w:kern w:val="24"/>
                                <w:sz w:val="20"/>
                                <w:szCs w:val="20"/>
                              </w:rPr>
                            </w:pPr>
                            <w:r w:rsidRPr="006A312C">
                              <w:rPr>
                                <w:color w:val="000000" w:themeColor="text1"/>
                                <w:kern w:val="24"/>
                                <w:sz w:val="20"/>
                                <w:szCs w:val="20"/>
                              </w:rPr>
                              <w:t>Investigation of the 'Black Box'</w:t>
                            </w:r>
                            <w:r w:rsidRPr="006A312C">
                              <w:rPr>
                                <w:color w:val="000000" w:themeColor="text1"/>
                                <w:kern w:val="24"/>
                                <w:sz w:val="20"/>
                                <w:szCs w:val="20"/>
                              </w:rPr>
                              <w:br/>
                              <w:t>Sri Lankan Context</w:t>
                            </w:r>
                          </w:p>
                          <w:p w14:paraId="78F33E74" w14:textId="77777777" w:rsidR="00746DC4" w:rsidRDefault="00746DC4" w:rsidP="00746DC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48233E" id="_x0000_s1078" type="#_x0000_t202" style="position:absolute;left:0;text-align:left;margin-left:379.6pt;margin-top:20.4pt;width:99.75pt;height:42.2pt;z-index:25165831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" fillcolor="#dceaf7 [351]">
                <v:textbox>
                  <w:txbxContent>
                    <w:p w14:paraId="74FBBF9F" w14:textId="77777777" w:rsidR="00746DC4" w:rsidRPr="006A312C" w:rsidRDefault="00746DC4" w:rsidP="00746DC4">
                      <w:pPr>
                        <w:spacing w:line="240" w:lineRule="auto"/>
                        <w:jc w:val="center"/>
                        <w:rPr>
                          <w:color w:val="000000" w:themeColor="text1"/>
                          <w:kern w:val="24"/>
                          <w:sz w:val="20"/>
                          <w:szCs w:val="20"/>
                        </w:rPr>
                      </w:pPr>
                      <w:r w:rsidRPr="006A312C">
                        <w:rPr>
                          <w:color w:val="000000" w:themeColor="text1"/>
                          <w:kern w:val="24"/>
                          <w:sz w:val="20"/>
                          <w:szCs w:val="20"/>
                        </w:rPr>
                        <w:t>Investigation of the 'Black Box'</w:t>
                      </w:r>
                      <w:r w:rsidRPr="006A312C">
                        <w:rPr>
                          <w:color w:val="000000" w:themeColor="text1"/>
                          <w:kern w:val="24"/>
                          <w:sz w:val="20"/>
                          <w:szCs w:val="20"/>
                        </w:rPr>
                        <w:br/>
                        <w:t>Sri Lankan Context</w:t>
                      </w:r>
                    </w:p>
                    <w:p w14:paraId="78F33E74" w14:textId="77777777" w:rsidR="00746DC4" w:rsidRDefault="00746DC4" w:rsidP="00746DC4"/>
                  </w:txbxContent>
                </v:textbox>
                <w10:wrap type="square"/>
              </v:shape>
            </w:pict>
          </mc:Fallback>
        </mc:AlternateContent>
      </w:r>
    </w:p>
    <w:p w14:paraId="2A1C9596"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320" behindDoc="0" locked="0" layoutInCell="1" allowOverlap="1" wp14:anchorId="613749E1" wp14:editId="211A36E0">
                <wp:simplePos x="0" y="0"/>
                <wp:positionH relativeFrom="column">
                  <wp:posOffset>3480435</wp:posOffset>
                </wp:positionH>
                <wp:positionV relativeFrom="paragraph">
                  <wp:posOffset>191135</wp:posOffset>
                </wp:positionV>
                <wp:extent cx="0" cy="298450"/>
                <wp:effectExtent l="76200" t="0" r="57150" b="63500"/>
                <wp:wrapNone/>
                <wp:docPr id="557617724" name="Straight Arrow Connector 4"/>
                <wp:cNvGraphicFramePr/>
                <a:graphic xmlns:a="http://schemas.openxmlformats.org/drawingml/2006/main">
                  <a:graphicData uri="http://schemas.microsoft.com/office/word/2010/wordprocessingShape">
                    <wps:wsp>
                      <wps:cNvCnPr/>
                      <wps:spPr>
                        <a:xfrm>
                          <a:off x="0" y="0"/>
                          <a:ext cx="0" cy="298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066EDD1" id="Straight Arrow Connector 4" o:spid="_x0000_s1026" type="#_x0000_t32" style="position:absolute;margin-left:274.05pt;margin-top:15.05pt;width:0;height:23.5pt;z-index:251658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" strokecolor="black [3200]" strokeweight="1pt">
                <v:stroke endarrow="block" joinstyle="miter"/>
              </v:shape>
            </w:pict>
          </mc:Fallback>
        </mc:AlternateContent>
      </w:r>
      <w:r w:rsidRPr="0053182F">
        <w:rPr>
          <w:noProof/>
          <w:color w:val="0F1115"/>
        </w:rPr>
        <mc:AlternateContent>
          <mc:Choice Requires="wps">
            <w:drawing>
              <wp:anchor distT="0" distB="0" distL="114300" distR="114300" simplePos="0" relativeHeight="251658318" behindDoc="0" locked="0" layoutInCell="1" allowOverlap="1" wp14:anchorId="05B7E5B4" wp14:editId="7AF3D1F3">
                <wp:simplePos x="0" y="0"/>
                <wp:positionH relativeFrom="column">
                  <wp:posOffset>1960880</wp:posOffset>
                </wp:positionH>
                <wp:positionV relativeFrom="paragraph">
                  <wp:posOffset>115138</wp:posOffset>
                </wp:positionV>
                <wp:extent cx="0" cy="367030"/>
                <wp:effectExtent l="76200" t="0" r="76200" b="52070"/>
                <wp:wrapNone/>
                <wp:docPr id="17685150" name="Straight Arrow Connector 2"/>
                <wp:cNvGraphicFramePr/>
                <a:graphic xmlns:a="http://schemas.openxmlformats.org/drawingml/2006/main">
                  <a:graphicData uri="http://schemas.microsoft.com/office/word/2010/wordprocessingShape">
                    <wps:wsp>
                      <wps:cNvCnPr/>
                      <wps:spPr>
                        <a:xfrm>
                          <a:off x="0" y="0"/>
                          <a:ext cx="0" cy="3670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9FBC2D4" id="Straight Arrow Connector 2" o:spid="_x0000_s1026" type="#_x0000_t32" style="position:absolute;margin-left:154.4pt;margin-top:9.05pt;width:0;height:28.9pt;z-index:25165831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" strokecolor="black [3200]" strokeweight="1pt">
                <v:stroke endarrow="block" joinstyle="miter"/>
              </v:shape>
            </w:pict>
          </mc:Fallback>
        </mc:AlternateContent>
      </w:r>
      <w:r w:rsidRPr="0053182F">
        <w:rPr>
          <w:noProof/>
          <w:color w:val="0F1115"/>
        </w:rPr>
        <mc:AlternateContent>
          <mc:Choice Requires="wps">
            <w:drawing>
              <wp:anchor distT="0" distB="0" distL="114300" distR="114300" simplePos="0" relativeHeight="251658319" behindDoc="0" locked="0" layoutInCell="1" allowOverlap="1" wp14:anchorId="76CA53E1" wp14:editId="4B00E1A3">
                <wp:simplePos x="0" y="0"/>
                <wp:positionH relativeFrom="column">
                  <wp:posOffset>480060</wp:posOffset>
                </wp:positionH>
                <wp:positionV relativeFrom="paragraph">
                  <wp:posOffset>104343</wp:posOffset>
                </wp:positionV>
                <wp:extent cx="0" cy="367030"/>
                <wp:effectExtent l="76200" t="0" r="76200" b="52070"/>
                <wp:wrapNone/>
                <wp:docPr id="1908139499" name="Straight Arrow Connector 2"/>
                <wp:cNvGraphicFramePr/>
                <a:graphic xmlns:a="http://schemas.openxmlformats.org/drawingml/2006/main">
                  <a:graphicData uri="http://schemas.microsoft.com/office/word/2010/wordprocessingShape">
                    <wps:wsp>
                      <wps:cNvCnPr/>
                      <wps:spPr>
                        <a:xfrm>
                          <a:off x="0" y="0"/>
                          <a:ext cx="0" cy="36703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F36E0A" id="Straight Arrow Connector 2" o:spid="_x0000_s1026" type="#_x0000_t32" style="position:absolute;margin-left:37.8pt;margin-top:8.2pt;width:0;height:28.9pt;z-index:25165831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" strokecolor="black [3200]" strokeweight="1pt">
                <v:stroke endarrow="block" joinstyle="miter"/>
              </v:shape>
            </w:pict>
          </mc:Fallback>
        </mc:AlternateContent>
      </w:r>
    </w:p>
    <w:p w14:paraId="25A35710"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323" behindDoc="0" locked="0" layoutInCell="1" allowOverlap="1" wp14:anchorId="7BDD10A3" wp14:editId="6AD44907">
                <wp:simplePos x="0" y="0"/>
                <wp:positionH relativeFrom="column">
                  <wp:posOffset>5376545</wp:posOffset>
                </wp:positionH>
                <wp:positionV relativeFrom="paragraph">
                  <wp:posOffset>158115</wp:posOffset>
                </wp:positionV>
                <wp:extent cx="0" cy="298450"/>
                <wp:effectExtent l="76200" t="0" r="57150" b="63500"/>
                <wp:wrapNone/>
                <wp:docPr id="1064209200" name="Straight Arrow Connector 4"/>
                <wp:cNvGraphicFramePr/>
                <a:graphic xmlns:a="http://schemas.openxmlformats.org/drawingml/2006/main">
                  <a:graphicData uri="http://schemas.microsoft.com/office/word/2010/wordprocessingShape">
                    <wps:wsp>
                      <wps:cNvCnPr/>
                      <wps:spPr>
                        <a:xfrm>
                          <a:off x="0" y="0"/>
                          <a:ext cx="0" cy="2984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885E33" id="Straight Arrow Connector 4" o:spid="_x0000_s1026" type="#_x0000_t32" style="position:absolute;margin-left:423.35pt;margin-top:12.45pt;width:0;height:23.5pt;z-index:251658323;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" strokecolor="black [3200]" strokeweight="1pt">
                <v:stroke endarrow="block" joinstyle="miter"/>
              </v:shape>
            </w:pict>
          </mc:Fallback>
        </mc:AlternateContent>
      </w:r>
      <w:r w:rsidRPr="0053182F">
        <w:rPr>
          <w:noProof/>
          <w:color w:val="0F1115"/>
        </w:rPr>
        <mc:AlternateContent>
          <mc:Choice Requires="wps">
            <w:drawing>
              <wp:anchor distT="0" distB="0" distL="114300" distR="114300" simplePos="0" relativeHeight="251658316" behindDoc="0" locked="0" layoutInCell="1" allowOverlap="1" wp14:anchorId="6D028FA5" wp14:editId="164DA1C2">
                <wp:simplePos x="0" y="0"/>
                <wp:positionH relativeFrom="column">
                  <wp:posOffset>0</wp:posOffset>
                </wp:positionH>
                <wp:positionV relativeFrom="paragraph">
                  <wp:posOffset>144348</wp:posOffset>
                </wp:positionV>
                <wp:extent cx="3827868" cy="478790"/>
                <wp:effectExtent l="0" t="0" r="20320" b="16510"/>
                <wp:wrapNone/>
                <wp:docPr id="2007936249" name="Rectangle 4"/>
                <wp:cNvGraphicFramePr/>
                <a:graphic xmlns:a="http://schemas.openxmlformats.org/drawingml/2006/main">
                  <a:graphicData uri="http://schemas.microsoft.com/office/word/2010/wordprocessingShape">
                    <wps:wsp>
                      <wps:cNvSpPr/>
                      <wps:spPr>
                        <a:xfrm>
                          <a:off x="0" y="0"/>
                          <a:ext cx="3827868" cy="478790"/>
                        </a:xfrm>
                        <a:prstGeom prst="rect">
                          <a:avLst/>
                        </a:prstGeom>
                        <a:solidFill>
                          <a:srgbClr val="FFFAC8"/>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4F8BE476" w14:textId="77777777" w:rsidR="00746DC4" w:rsidRPr="00FC1122" w:rsidRDefault="00746DC4" w:rsidP="00746DC4">
                            <w:pPr>
                              <w:spacing w:after="0" w:line="240" w:lineRule="auto"/>
                              <w:jc w:val="center"/>
                              <w:rPr>
                                <w:b/>
                                <w:bCs/>
                                <w:color w:val="000000" w:themeColor="text1"/>
                                <w:kern w:val="24"/>
                                <w:sz w:val="22"/>
                                <w:szCs w:val="22"/>
                              </w:rPr>
                            </w:pPr>
                            <w:r w:rsidRPr="00FC1122">
                              <w:rPr>
                                <w:b/>
                                <w:bCs/>
                                <w:color w:val="000000" w:themeColor="text1"/>
                                <w:kern w:val="24"/>
                                <w:sz w:val="22"/>
                                <w:szCs w:val="22"/>
                              </w:rPr>
                              <w:t>Meso</w:t>
                            </w:r>
                            <w:r>
                              <w:rPr>
                                <w:b/>
                                <w:bCs/>
                                <w:color w:val="000000" w:themeColor="text1"/>
                                <w:kern w:val="24"/>
                                <w:sz w:val="22"/>
                                <w:szCs w:val="22"/>
                              </w:rPr>
                              <w:t>-l</w:t>
                            </w:r>
                            <w:r w:rsidRPr="00FC1122">
                              <w:rPr>
                                <w:b/>
                                <w:bCs/>
                                <w:color w:val="000000" w:themeColor="text1"/>
                                <w:kern w:val="24"/>
                                <w:sz w:val="22"/>
                                <w:szCs w:val="22"/>
                              </w:rPr>
                              <w:t>evel analysis- RQ2</w:t>
                            </w:r>
                            <w:r>
                              <w:rPr>
                                <w:b/>
                                <w:bCs/>
                                <w:color w:val="000000" w:themeColor="text1"/>
                                <w:kern w:val="24"/>
                                <w:sz w:val="22"/>
                                <w:szCs w:val="22"/>
                              </w:rPr>
                              <w:t xml:space="preserve"> and RQ3</w:t>
                            </w:r>
                          </w:p>
                          <w:p w14:paraId="44C86A58" w14:textId="77777777" w:rsidR="00746DC4" w:rsidRPr="00167A37" w:rsidRDefault="00746DC4" w:rsidP="00746DC4">
                            <w:pPr>
                              <w:spacing w:after="0" w:line="240" w:lineRule="auto"/>
                              <w:jc w:val="center"/>
                              <w:rPr>
                                <w:b/>
                                <w:bCs/>
                                <w:color w:val="000000" w:themeColor="text1"/>
                                <w:kern w:val="24"/>
                                <w:sz w:val="22"/>
                                <w:szCs w:val="22"/>
                              </w:rPr>
                            </w:pP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D028FA5" id="_x0000_s1079" style="position:absolute;left:0;text-align:left;margin-left:0;margin-top:11.35pt;width:301.4pt;height:37.7pt;z-index:2516583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" fillcolor="#fffac8" strokeweight="1pt">
                <v:textbox>
                  <w:txbxContent>
                    <w:p w14:paraId="4F8BE476" w14:textId="77777777" w:rsidR="00746DC4" w:rsidRPr="00FC1122" w:rsidRDefault="00746DC4" w:rsidP="00746DC4">
                      <w:pPr>
                        <w:spacing w:after="0" w:line="240" w:lineRule="auto"/>
                        <w:jc w:val="center"/>
                        <w:rPr>
                          <w:b/>
                          <w:bCs/>
                          <w:color w:val="000000" w:themeColor="text1"/>
                          <w:kern w:val="24"/>
                          <w:sz w:val="22"/>
                          <w:szCs w:val="22"/>
                        </w:rPr>
                      </w:pPr>
                      <w:r w:rsidRPr="00FC1122">
                        <w:rPr>
                          <w:b/>
                          <w:bCs/>
                          <w:color w:val="000000" w:themeColor="text1"/>
                          <w:kern w:val="24"/>
                          <w:sz w:val="22"/>
                          <w:szCs w:val="22"/>
                        </w:rPr>
                        <w:t>Meso</w:t>
                      </w:r>
                      <w:r>
                        <w:rPr>
                          <w:b/>
                          <w:bCs/>
                          <w:color w:val="000000" w:themeColor="text1"/>
                          <w:kern w:val="24"/>
                          <w:sz w:val="22"/>
                          <w:szCs w:val="22"/>
                        </w:rPr>
                        <w:t>-l</w:t>
                      </w:r>
                      <w:r w:rsidRPr="00FC1122">
                        <w:rPr>
                          <w:b/>
                          <w:bCs/>
                          <w:color w:val="000000" w:themeColor="text1"/>
                          <w:kern w:val="24"/>
                          <w:sz w:val="22"/>
                          <w:szCs w:val="22"/>
                        </w:rPr>
                        <w:t>evel analysis- RQ2</w:t>
                      </w:r>
                      <w:r>
                        <w:rPr>
                          <w:b/>
                          <w:bCs/>
                          <w:color w:val="000000" w:themeColor="text1"/>
                          <w:kern w:val="24"/>
                          <w:sz w:val="22"/>
                          <w:szCs w:val="22"/>
                        </w:rPr>
                        <w:t xml:space="preserve"> and RQ3</w:t>
                      </w:r>
                    </w:p>
                    <w:p w14:paraId="44C86A58" w14:textId="77777777" w:rsidR="00746DC4" w:rsidRPr="00167A37" w:rsidRDefault="00746DC4" w:rsidP="00746DC4">
                      <w:pPr>
                        <w:spacing w:after="0" w:line="240" w:lineRule="auto"/>
                        <w:jc w:val="center"/>
                        <w:rPr>
                          <w:b/>
                          <w:bCs/>
                          <w:color w:val="000000" w:themeColor="text1"/>
                          <w:kern w:val="24"/>
                          <w:sz w:val="22"/>
                          <w:szCs w:val="22"/>
                        </w:rPr>
                      </w:pPr>
                    </w:p>
                  </w:txbxContent>
                </v:textbox>
              </v:rect>
            </w:pict>
          </mc:Fallback>
        </mc:AlternateContent>
      </w:r>
    </w:p>
    <w:p w14:paraId="064FC3CD" w14:textId="3AAFAFFF" w:rsidR="00746DC4" w:rsidRPr="0053182F" w:rsidRDefault="006B4A93"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317" behindDoc="0" locked="0" layoutInCell="1" allowOverlap="1" wp14:anchorId="5F6C5064" wp14:editId="33F7ADE6">
                <wp:simplePos x="0" y="0"/>
                <wp:positionH relativeFrom="column">
                  <wp:posOffset>269240</wp:posOffset>
                </wp:positionH>
                <wp:positionV relativeFrom="paragraph">
                  <wp:posOffset>147016</wp:posOffset>
                </wp:positionV>
                <wp:extent cx="3096260" cy="403225"/>
                <wp:effectExtent l="0" t="0" r="27940" b="15875"/>
                <wp:wrapNone/>
                <wp:docPr id="1574121275" name="Rectangle 5"/>
                <wp:cNvGraphicFramePr/>
                <a:graphic xmlns:a="http://schemas.openxmlformats.org/drawingml/2006/main">
                  <a:graphicData uri="http://schemas.microsoft.com/office/word/2010/wordprocessingShape">
                    <wps:wsp>
                      <wps:cNvSpPr/>
                      <wps:spPr>
                        <a:xfrm>
                          <a:off x="0" y="0"/>
                          <a:ext cx="3096260" cy="403225"/>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5DB14016" w14:textId="77777777" w:rsidR="00746DC4" w:rsidRPr="00F93842" w:rsidRDefault="00746DC4" w:rsidP="00746DC4">
                            <w:pPr>
                              <w:spacing w:after="0" w:line="240" w:lineRule="auto"/>
                              <w:jc w:val="center"/>
                              <w:rPr>
                                <w:color w:val="000000" w:themeColor="text1"/>
                                <w:kern w:val="24"/>
                                <w:sz w:val="19"/>
                                <w:szCs w:val="19"/>
                              </w:rPr>
                            </w:pPr>
                            <w:r w:rsidRPr="00F93842">
                              <w:rPr>
                                <w:color w:val="000000" w:themeColor="text1"/>
                                <w:kern w:val="24"/>
                                <w:sz w:val="19"/>
                                <w:szCs w:val="19"/>
                              </w:rPr>
                              <w:t>Firm-Level Sustainability Governance Initiatives – SGI</w:t>
                            </w:r>
                            <w:r w:rsidRPr="00F93842">
                              <w:rPr>
                                <w:color w:val="000000" w:themeColor="text1"/>
                                <w:kern w:val="24"/>
                                <w:sz w:val="19"/>
                                <w:szCs w:val="19"/>
                              </w:rPr>
                              <w:br/>
                              <w:t>Policies and Disclosures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F6C5064" id="_x0000_s1080" style="position:absolute;left:0;text-align:left;margin-left:21.2pt;margin-top:11.6pt;width:243.8pt;height:31.75pt;z-index:2516583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" fillcolor="#dce6fa" strokeweight="1pt">
                <v:textbox>
                  <w:txbxContent>
                    <w:p w14:paraId="5DB14016" w14:textId="77777777" w:rsidR="00746DC4" w:rsidRPr="00F93842" w:rsidRDefault="00746DC4" w:rsidP="00746DC4">
                      <w:pPr>
                        <w:spacing w:after="0" w:line="240" w:lineRule="auto"/>
                        <w:jc w:val="center"/>
                        <w:rPr>
                          <w:color w:val="000000" w:themeColor="text1"/>
                          <w:kern w:val="24"/>
                          <w:sz w:val="19"/>
                          <w:szCs w:val="19"/>
                        </w:rPr>
                      </w:pPr>
                      <w:r w:rsidRPr="00F93842">
                        <w:rPr>
                          <w:color w:val="000000" w:themeColor="text1"/>
                          <w:kern w:val="24"/>
                          <w:sz w:val="19"/>
                          <w:szCs w:val="19"/>
                        </w:rPr>
                        <w:t>Firm-Level Sustainability Governance Initiatives – SGI</w:t>
                      </w:r>
                      <w:r w:rsidRPr="00F93842">
                        <w:rPr>
                          <w:color w:val="000000" w:themeColor="text1"/>
                          <w:kern w:val="24"/>
                          <w:sz w:val="19"/>
                          <w:szCs w:val="19"/>
                        </w:rPr>
                        <w:br/>
                        <w:t>Policies and Disclosures</w:t>
                      </w:r>
                    </w:p>
                  </w:txbxContent>
                </v:textbox>
              </v:rect>
            </w:pict>
          </mc:Fallback>
        </mc:AlternateContent>
      </w:r>
      <w:r w:rsidR="00746DC4" w:rsidRPr="0053182F">
        <w:rPr>
          <w:noProof/>
          <w:color w:val="0F1115"/>
        </w:rPr>
        <mc:AlternateContent>
          <mc:Choice Requires="wps">
            <w:drawing>
              <wp:anchor distT="0" distB="0" distL="114300" distR="114300" simplePos="0" relativeHeight="251658309" behindDoc="0" locked="0" layoutInCell="1" allowOverlap="1" wp14:anchorId="3B4349D9" wp14:editId="00FFAE6B">
                <wp:simplePos x="0" y="0"/>
                <wp:positionH relativeFrom="column">
                  <wp:posOffset>4627245</wp:posOffset>
                </wp:positionH>
                <wp:positionV relativeFrom="paragraph">
                  <wp:posOffset>115570</wp:posOffset>
                </wp:positionV>
                <wp:extent cx="1459527" cy="528320"/>
                <wp:effectExtent l="0" t="0" r="26670" b="24130"/>
                <wp:wrapNone/>
                <wp:docPr id="1936857056" name="Rectangle 9"/>
                <wp:cNvGraphicFramePr/>
                <a:graphic xmlns:a="http://schemas.openxmlformats.org/drawingml/2006/main">
                  <a:graphicData uri="http://schemas.microsoft.com/office/word/2010/wordprocessingShape">
                    <wps:wsp>
                      <wps:cNvSpPr/>
                      <wps:spPr>
                        <a:xfrm>
                          <a:off x="0" y="0"/>
                          <a:ext cx="1459527" cy="528320"/>
                        </a:xfrm>
                        <a:prstGeom prst="rect">
                          <a:avLst/>
                        </a:prstGeom>
                        <a:solidFill>
                          <a:srgbClr val="FFFAC8"/>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57A485E3" w14:textId="07DDA4E7" w:rsidR="00746DC4" w:rsidRPr="006A312C" w:rsidRDefault="00746DC4" w:rsidP="00746DC4">
                            <w:pPr>
                              <w:spacing w:line="240" w:lineRule="auto"/>
                              <w:jc w:val="center"/>
                              <w:rPr>
                                <w:color w:val="000000" w:themeColor="text1"/>
                                <w:kern w:val="24"/>
                                <w:sz w:val="20"/>
                                <w:szCs w:val="20"/>
                              </w:rPr>
                            </w:pPr>
                            <w:r w:rsidRPr="006A312C">
                              <w:rPr>
                                <w:color w:val="000000" w:themeColor="text1"/>
                                <w:kern w:val="24"/>
                                <w:sz w:val="20"/>
                                <w:szCs w:val="20"/>
                              </w:rPr>
                              <w:t xml:space="preserve">Explores mechanisms, experiences </w:t>
                            </w:r>
                            <w:r w:rsidR="00C0603E">
                              <w:rPr>
                                <w:color w:val="000000" w:themeColor="text1"/>
                                <w:kern w:val="24"/>
                                <w:sz w:val="20"/>
                                <w:szCs w:val="20"/>
                              </w:rPr>
                              <w:t>and</w:t>
                            </w:r>
                            <w:r w:rsidRPr="006A312C">
                              <w:rPr>
                                <w:color w:val="000000" w:themeColor="text1"/>
                                <w:kern w:val="24"/>
                                <w:sz w:val="20"/>
                                <w:szCs w:val="20"/>
                              </w:rPr>
                              <w:t xml:space="preserve"> logics of decoupling</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B4349D9" id="Rectangle 9" o:spid="_x0000_s1081" style="position:absolute;left:0;text-align:left;margin-left:364.35pt;margin-top:9.1pt;width:114.9pt;height:41.6pt;z-index:2516583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" fillcolor="#fffac8" strokeweight="1pt">
                <v:textbox>
                  <w:txbxContent>
                    <w:p w14:paraId="57A485E3" w14:textId="07DDA4E7" w:rsidR="00746DC4" w:rsidRPr="006A312C" w:rsidRDefault="00746DC4" w:rsidP="00746DC4">
                      <w:pPr>
                        <w:spacing w:line="240" w:lineRule="auto"/>
                        <w:jc w:val="center"/>
                        <w:rPr>
                          <w:color w:val="000000" w:themeColor="text1"/>
                          <w:kern w:val="24"/>
                          <w:sz w:val="20"/>
                          <w:szCs w:val="20"/>
                        </w:rPr>
                      </w:pPr>
                      <w:r w:rsidRPr="006A312C">
                        <w:rPr>
                          <w:color w:val="000000" w:themeColor="text1"/>
                          <w:kern w:val="24"/>
                          <w:sz w:val="20"/>
                          <w:szCs w:val="20"/>
                        </w:rPr>
                        <w:t xml:space="preserve">Explores mechanisms, experiences </w:t>
                      </w:r>
                      <w:r w:rsidR="00C0603E">
                        <w:rPr>
                          <w:color w:val="000000" w:themeColor="text1"/>
                          <w:kern w:val="24"/>
                          <w:sz w:val="20"/>
                          <w:szCs w:val="20"/>
                        </w:rPr>
                        <w:t>and</w:t>
                      </w:r>
                      <w:r w:rsidRPr="006A312C">
                        <w:rPr>
                          <w:color w:val="000000" w:themeColor="text1"/>
                          <w:kern w:val="24"/>
                          <w:sz w:val="20"/>
                          <w:szCs w:val="20"/>
                        </w:rPr>
                        <w:t xml:space="preserve"> logics of decoupling</w:t>
                      </w:r>
                    </w:p>
                  </w:txbxContent>
                </v:textbox>
              </v:rect>
            </w:pict>
          </mc:Fallback>
        </mc:AlternateContent>
      </w:r>
    </w:p>
    <w:p w14:paraId="3D1751C9"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noProof/>
        </w:rPr>
        <mc:AlternateContent>
          <mc:Choice Requires="wps">
            <w:drawing>
              <wp:anchor distT="0" distB="0" distL="114300" distR="114300" simplePos="0" relativeHeight="251658315" behindDoc="0" locked="0" layoutInCell="1" allowOverlap="1" wp14:anchorId="2C7B89DA" wp14:editId="1A642C4A">
                <wp:simplePos x="0" y="0"/>
                <wp:positionH relativeFrom="column">
                  <wp:posOffset>1350902</wp:posOffset>
                </wp:positionH>
                <wp:positionV relativeFrom="paragraph">
                  <wp:posOffset>215265</wp:posOffset>
                </wp:positionV>
                <wp:extent cx="926465" cy="252095"/>
                <wp:effectExtent l="0" t="0" r="0" b="0"/>
                <wp:wrapNone/>
                <wp:docPr id="724891837" name="Text Box 1"/>
                <wp:cNvGraphicFramePr/>
                <a:graphic xmlns:a="http://schemas.openxmlformats.org/drawingml/2006/main">
                  <a:graphicData uri="http://schemas.microsoft.com/office/word/2010/wordprocessingShape">
                    <wps:wsp>
                      <wps:cNvSpPr txBox="1"/>
                      <wps:spPr>
                        <a:xfrm>
                          <a:off x="0" y="0"/>
                          <a:ext cx="926465" cy="252095"/>
                        </a:xfrm>
                        <a:prstGeom prst="rect">
                          <a:avLst/>
                        </a:prstGeom>
                        <a:noFill/>
                        <a:ln w="6350">
                          <a:noFill/>
                        </a:ln>
                      </wps:spPr>
                      <wps:txbx>
                        <w:txbxContent>
                          <w:p w14:paraId="73F47809" w14:textId="77777777" w:rsidR="00746DC4" w:rsidRPr="002F1E8B" w:rsidRDefault="00746DC4" w:rsidP="00746DC4">
                            <w:pPr>
                              <w:rPr>
                                <w:sz w:val="20"/>
                                <w:szCs w:val="20"/>
                              </w:rPr>
                            </w:pPr>
                            <w:r w:rsidRPr="002F1E8B">
                              <w:rPr>
                                <w:sz w:val="20"/>
                                <w:szCs w:val="20"/>
                              </w:rPr>
                              <w:t xml:space="preserve">Decoupling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C7B89DA" id="Text Box 1" o:spid="_x0000_s1082" type="#_x0000_t202" style="position:absolute;left:0;text-align:left;margin-left:106.35pt;margin-top:16.95pt;width:72.95pt;height:19.85pt;z-index:2516583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" filled="f" stroked="f" strokeweight=".5pt">
                <v:textbox>
                  <w:txbxContent>
                    <w:p w14:paraId="73F47809" w14:textId="77777777" w:rsidR="00746DC4" w:rsidRPr="002F1E8B" w:rsidRDefault="00746DC4" w:rsidP="00746DC4">
                      <w:pPr>
                        <w:rPr>
                          <w:sz w:val="20"/>
                          <w:szCs w:val="20"/>
                        </w:rPr>
                      </w:pPr>
                      <w:r w:rsidRPr="002F1E8B">
                        <w:rPr>
                          <w:sz w:val="20"/>
                          <w:szCs w:val="20"/>
                        </w:rPr>
                        <w:t xml:space="preserve">Decoupling </w:t>
                      </w:r>
                    </w:p>
                  </w:txbxContent>
                </v:textbox>
              </v:shape>
            </w:pict>
          </mc:Fallback>
        </mc:AlternateContent>
      </w:r>
    </w:p>
    <w:p w14:paraId="42A95C58"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45720" distB="45720" distL="114300" distR="114300" simplePos="0" relativeHeight="251658314" behindDoc="0" locked="0" layoutInCell="1" allowOverlap="1" wp14:anchorId="1003E049" wp14:editId="7FC01C58">
                <wp:simplePos x="0" y="0"/>
                <wp:positionH relativeFrom="column">
                  <wp:posOffset>4937125</wp:posOffset>
                </wp:positionH>
                <wp:positionV relativeFrom="paragraph">
                  <wp:posOffset>81280</wp:posOffset>
                </wp:positionV>
                <wp:extent cx="926465" cy="252095"/>
                <wp:effectExtent l="0" t="0" r="6985" b="0"/>
                <wp:wrapSquare wrapText="bothSides"/>
                <wp:docPr id="14323787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6465" cy="252095"/>
                        </a:xfrm>
                        <a:prstGeom prst="rect">
                          <a:avLst/>
                        </a:prstGeom>
                        <a:solidFill>
                          <a:srgbClr val="FFFFFF"/>
                        </a:solidFill>
                        <a:ln w="9525">
                          <a:noFill/>
                          <a:miter lim="800000"/>
                          <a:headEnd/>
                          <a:tailEnd/>
                        </a:ln>
                      </wps:spPr>
                      <wps:txbx>
                        <w:txbxContent>
                          <w:p w14:paraId="04ADEEA1" w14:textId="77777777" w:rsidR="00746DC4" w:rsidRPr="002F1E8B" w:rsidRDefault="00746DC4" w:rsidP="00746DC4">
                            <w:pPr>
                              <w:rPr>
                                <w:sz w:val="20"/>
                                <w:szCs w:val="20"/>
                              </w:rPr>
                            </w:pPr>
                            <w:r w:rsidRPr="002F1E8B">
                              <w:rPr>
                                <w:sz w:val="20"/>
                                <w:szCs w:val="20"/>
                              </w:rPr>
                              <w:t xml:space="preserve">Decoupling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03E049" id="_x0000_s1083" type="#_x0000_t202" style="position:absolute;left:0;text-align:left;margin-left:388.75pt;margin-top:6.4pt;width:72.95pt;height:19.85pt;z-index:25165831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" stroked="f">
                <v:textbox>
                  <w:txbxContent>
                    <w:p w14:paraId="04ADEEA1" w14:textId="77777777" w:rsidR="00746DC4" w:rsidRPr="002F1E8B" w:rsidRDefault="00746DC4" w:rsidP="00746DC4">
                      <w:pPr>
                        <w:rPr>
                          <w:sz w:val="20"/>
                          <w:szCs w:val="20"/>
                        </w:rPr>
                      </w:pPr>
                      <w:r w:rsidRPr="002F1E8B">
                        <w:rPr>
                          <w:sz w:val="20"/>
                          <w:szCs w:val="20"/>
                        </w:rPr>
                        <w:t xml:space="preserve">Decoupling </w:t>
                      </w:r>
                    </w:p>
                  </w:txbxContent>
                </v:textbox>
                <w10:wrap type="square"/>
              </v:shape>
            </w:pict>
          </mc:Fallback>
        </mc:AlternateContent>
      </w:r>
      <w:r w:rsidRPr="0053182F">
        <w:rPr>
          <w:noProof/>
          <w:color w:val="0F1115"/>
        </w:rPr>
        <mc:AlternateContent>
          <mc:Choice Requires="wps">
            <w:drawing>
              <wp:anchor distT="0" distB="0" distL="114300" distR="114300" simplePos="0" relativeHeight="251658322" behindDoc="0" locked="0" layoutInCell="1" allowOverlap="1" wp14:anchorId="080C5548" wp14:editId="5C3061A1">
                <wp:simplePos x="0" y="0"/>
                <wp:positionH relativeFrom="column">
                  <wp:posOffset>5366429</wp:posOffset>
                </wp:positionH>
                <wp:positionV relativeFrom="paragraph">
                  <wp:posOffset>337820</wp:posOffset>
                </wp:positionV>
                <wp:extent cx="0" cy="233483"/>
                <wp:effectExtent l="95250" t="0" r="57150" b="52705"/>
                <wp:wrapNone/>
                <wp:docPr id="185293733" name="Straight Connector 7"/>
                <wp:cNvGraphicFramePr/>
                <a:graphic xmlns:a="http://schemas.openxmlformats.org/drawingml/2006/main">
                  <a:graphicData uri="http://schemas.microsoft.com/office/word/2010/wordprocessingShape">
                    <wps:wsp>
                      <wps:cNvCnPr/>
                      <wps:spPr>
                        <a:xfrm>
                          <a:off x="0" y="0"/>
                          <a:ext cx="0" cy="233483"/>
                        </a:xfrm>
                        <a:prstGeom prst="line">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146EF464" id="Straight Connector 7" o:spid="_x0000_s1026" style="position:absolute;z-index:251658322;visibility:visible;mso-wrap-style:square;mso-wrap-distance-left:9pt;mso-wrap-distance-top:0;mso-wrap-distance-right:9pt;mso-wrap-distance-bottom:0;mso-position-horizontal:absolute;mso-position-horizontal-relative:text;mso-position-vertical:absolute;mso-position-vertical-relative:text" from="422.55pt,26.6pt" to="422.55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" strokecolor="black [3200]" strokeweight="1.5pt">
                <v:stroke endarrow="open"/>
              </v:line>
            </w:pict>
          </mc:Fallback>
        </mc:AlternateContent>
      </w:r>
      <w:r w:rsidRPr="0053182F">
        <w:rPr>
          <w:noProof/>
          <w:color w:val="0F1115"/>
        </w:rPr>
        <mc:AlternateContent>
          <mc:Choice Requires="wps">
            <w:drawing>
              <wp:anchor distT="0" distB="0" distL="114300" distR="114300" simplePos="0" relativeHeight="251658321" behindDoc="0" locked="0" layoutInCell="1" allowOverlap="1" wp14:anchorId="471E395A" wp14:editId="6D8AFFB1">
                <wp:simplePos x="0" y="0"/>
                <wp:positionH relativeFrom="column">
                  <wp:posOffset>1828800</wp:posOffset>
                </wp:positionH>
                <wp:positionV relativeFrom="paragraph">
                  <wp:posOffset>111256</wp:posOffset>
                </wp:positionV>
                <wp:extent cx="0" cy="460507"/>
                <wp:effectExtent l="95250" t="0" r="57150" b="53975"/>
                <wp:wrapNone/>
                <wp:docPr id="85706426" name="Straight Connector 6"/>
                <wp:cNvGraphicFramePr/>
                <a:graphic xmlns:a="http://schemas.openxmlformats.org/drawingml/2006/main">
                  <a:graphicData uri="http://schemas.microsoft.com/office/word/2010/wordprocessingShape">
                    <wps:wsp>
                      <wps:cNvCnPr/>
                      <wps:spPr>
                        <a:xfrm>
                          <a:off x="0" y="0"/>
                          <a:ext cx="0" cy="460507"/>
                        </a:xfrm>
                        <a:prstGeom prst="line">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D0E98C1" id="Straight Connector 6" o:spid="_x0000_s1026" style="position:absolute;z-index:251658321;visibility:visible;mso-wrap-style:square;mso-wrap-distance-left:9pt;mso-wrap-distance-top:0;mso-wrap-distance-right:9pt;mso-wrap-distance-bottom:0;mso-position-horizontal:absolute;mso-position-horizontal-relative:text;mso-position-vertical:absolute;mso-position-vertical-relative:text" from="2in,8.75pt" to="2in,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" strokecolor="black [3200]" strokeweight="1.5pt">
                <v:stroke endarrow="open"/>
              </v:line>
            </w:pict>
          </mc:Fallback>
        </mc:AlternateContent>
      </w:r>
    </w:p>
    <w:p w14:paraId="76486B04" w14:textId="77777777"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noProof/>
          <w:color w:val="0F1115"/>
        </w:rPr>
        <mc:AlternateContent>
          <mc:Choice Requires="wps">
            <w:drawing>
              <wp:anchor distT="0" distB="0" distL="114300" distR="114300" simplePos="0" relativeHeight="251658308" behindDoc="0" locked="0" layoutInCell="1" allowOverlap="1" wp14:anchorId="08802CE1" wp14:editId="384665B7">
                <wp:simplePos x="0" y="0"/>
                <wp:positionH relativeFrom="column">
                  <wp:posOffset>170180</wp:posOffset>
                </wp:positionH>
                <wp:positionV relativeFrom="paragraph">
                  <wp:posOffset>211658</wp:posOffset>
                </wp:positionV>
                <wp:extent cx="5826935" cy="296391"/>
                <wp:effectExtent l="0" t="0" r="21590" b="27940"/>
                <wp:wrapNone/>
                <wp:docPr id="9" name="Rectangle 8">
                  <a:extLst xmlns:a="http://schemas.openxmlformats.org/drawingml/2006/main">
                    <a:ext uri="{FF2B5EF4-FFF2-40B4-BE49-F238E27FC236}">
                      <a16:creationId xmlns:a16="http://schemas.microsoft.com/office/drawing/2014/main" id="{5F9CD217-12D8-510D-8C55-643F0129CD5E}"/>
                    </a:ext>
                  </a:extLst>
                </wp:docPr>
                <wp:cNvGraphicFramePr/>
                <a:graphic xmlns:a="http://schemas.openxmlformats.org/drawingml/2006/main">
                  <a:graphicData uri="http://schemas.microsoft.com/office/word/2010/wordprocessingShape">
                    <wps:wsp>
                      <wps:cNvSpPr/>
                      <wps:spPr>
                        <a:xfrm>
                          <a:off x="0" y="0"/>
                          <a:ext cx="5826935" cy="296391"/>
                        </a:xfrm>
                        <a:prstGeom prst="rect">
                          <a:avLst/>
                        </a:prstGeom>
                        <a:solidFill>
                          <a:srgbClr val="DCE6FA"/>
                        </a:solidFill>
                        <a:ln>
                          <a:solidFill>
                            <a:srgbClr val="000000"/>
                          </a:solidFill>
                        </a:ln>
                      </wps:spPr>
                      <wps:style>
                        <a:lnRef idx="1">
                          <a:schemeClr val="accent1"/>
                        </a:lnRef>
                        <a:fillRef idx="3">
                          <a:schemeClr val="accent1"/>
                        </a:fillRef>
                        <a:effectRef idx="2">
                          <a:schemeClr val="accent1"/>
                        </a:effectRef>
                        <a:fontRef idx="minor">
                          <a:schemeClr val="lt1"/>
                        </a:fontRef>
                      </wps:style>
                      <wps:txbx>
                        <w:txbxContent>
                          <w:p w14:paraId="1FA8459F" w14:textId="77777777" w:rsidR="00746DC4" w:rsidRPr="0075179C" w:rsidRDefault="00746DC4" w:rsidP="00746DC4">
                            <w:pPr>
                              <w:jc w:val="center"/>
                              <w:rPr>
                                <w:b/>
                                <w:bCs/>
                                <w:color w:val="000000" w:themeColor="text1"/>
                                <w:kern w:val="24"/>
                              </w:rPr>
                            </w:pPr>
                            <w:r w:rsidRPr="0075179C">
                              <w:rPr>
                                <w:b/>
                                <w:bCs/>
                                <w:color w:val="000000" w:themeColor="text1"/>
                                <w:kern w:val="24"/>
                              </w:rPr>
                              <w:t>Elimination of CMS Practices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08802CE1" id="Rectangle 8" o:spid="_x0000_s1084" style="position:absolute;left:0;text-align:left;margin-left:13.4pt;margin-top:16.65pt;width:458.8pt;height:23.35pt;z-index:2516583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" fillcolor="#dce6fa" strokeweight="1pt">
                <v:textbox>
                  <w:txbxContent>
                    <w:p w14:paraId="1FA8459F" w14:textId="77777777" w:rsidR="00746DC4" w:rsidRPr="0075179C" w:rsidRDefault="00746DC4" w:rsidP="00746DC4">
                      <w:pPr>
                        <w:jc w:val="center"/>
                        <w:rPr>
                          <w:b/>
                          <w:bCs/>
                          <w:color w:val="000000" w:themeColor="text1"/>
                          <w:kern w:val="24"/>
                        </w:rPr>
                      </w:pPr>
                      <w:r w:rsidRPr="0075179C">
                        <w:rPr>
                          <w:b/>
                          <w:bCs/>
                          <w:color w:val="000000" w:themeColor="text1"/>
                          <w:kern w:val="24"/>
                        </w:rPr>
                        <w:t>Elimination of CMS Practices</w:t>
                      </w:r>
                    </w:p>
                  </w:txbxContent>
                </v:textbox>
              </v:rect>
            </w:pict>
          </mc:Fallback>
        </mc:AlternateContent>
      </w:r>
    </w:p>
    <w:p w14:paraId="533E6A7E" w14:textId="77777777" w:rsidR="00746DC4" w:rsidRPr="0053182F" w:rsidRDefault="00746DC4" w:rsidP="00746DC4">
      <w:pPr>
        <w:pStyle w:val="ds-markdown-paragraph"/>
        <w:shd w:val="clear" w:color="auto" w:fill="FFFFFF"/>
        <w:spacing w:before="0" w:beforeAutospacing="0" w:after="0" w:afterAutospacing="0" w:line="480" w:lineRule="auto"/>
        <w:jc w:val="center"/>
        <w:rPr>
          <w:color w:val="0F1115"/>
        </w:rPr>
      </w:pPr>
    </w:p>
    <w:p w14:paraId="1C884F4C" w14:textId="77777777" w:rsidR="00746DC4" w:rsidRPr="0053182F" w:rsidRDefault="00746DC4" w:rsidP="00746DC4">
      <w:pPr>
        <w:pStyle w:val="ds-markdown-paragraph"/>
        <w:shd w:val="clear" w:color="auto" w:fill="FFFFFF"/>
        <w:spacing w:before="0" w:beforeAutospacing="0" w:after="0" w:afterAutospacing="0" w:line="480" w:lineRule="auto"/>
        <w:jc w:val="center"/>
        <w:rPr>
          <w:rStyle w:val="Strong"/>
          <w:rFonts w:eastAsiaTheme="majorEastAsia"/>
          <w:b w:val="0"/>
          <w:color w:val="0F1115"/>
        </w:rPr>
      </w:pPr>
      <w:r w:rsidRPr="0053182F">
        <w:rPr>
          <w:b/>
          <w:bCs/>
          <w:color w:val="0F1115"/>
        </w:rPr>
        <w:t>Figure 4.3:</w:t>
      </w:r>
      <w:r w:rsidRPr="0053182F">
        <w:rPr>
          <w:color w:val="0F1115"/>
        </w:rPr>
        <w:t xml:space="preserve"> </w:t>
      </w:r>
      <w:r w:rsidRPr="0053182F">
        <w:rPr>
          <w:rStyle w:val="Strong"/>
          <w:rFonts w:eastAsiaTheme="majorEastAsia"/>
          <w:b w:val="0"/>
          <w:color w:val="0F1115"/>
        </w:rPr>
        <w:t>Integrated Conceptual Framework</w:t>
      </w:r>
    </w:p>
    <w:p w14:paraId="1ECA8F2F" w14:textId="42E9453C" w:rsidR="00D43AE6" w:rsidRPr="0053182F" w:rsidRDefault="00D43AE6" w:rsidP="00746DC4">
      <w:pPr>
        <w:pStyle w:val="ds-markdown-paragraph"/>
        <w:shd w:val="clear" w:color="auto" w:fill="FFFFFF"/>
        <w:spacing w:before="0" w:beforeAutospacing="0" w:after="0" w:afterAutospacing="0" w:line="480" w:lineRule="auto"/>
        <w:jc w:val="center"/>
        <w:rPr>
          <w:rStyle w:val="Strong"/>
          <w:rFonts w:eastAsiaTheme="majorEastAsia"/>
          <w:b w:val="0"/>
          <w:bCs w:val="0"/>
          <w:color w:val="0F1115"/>
        </w:rPr>
      </w:pPr>
      <w:r w:rsidRPr="0053182F">
        <w:rPr>
          <w:rStyle w:val="Strong"/>
          <w:rFonts w:eastAsiaTheme="majorEastAsia"/>
          <w:bCs w:val="0"/>
          <w:color w:val="0F1115"/>
        </w:rPr>
        <w:t>Source</w:t>
      </w:r>
      <w:r w:rsidRPr="0053182F">
        <w:rPr>
          <w:rStyle w:val="Strong"/>
          <w:rFonts w:eastAsiaTheme="majorEastAsia"/>
          <w:b w:val="0"/>
          <w:color w:val="0F1115"/>
        </w:rPr>
        <w:t>:</w:t>
      </w:r>
      <w:r w:rsidR="00F1197D" w:rsidRPr="0053182F">
        <w:rPr>
          <w:rStyle w:val="Strong"/>
          <w:rFonts w:eastAsiaTheme="majorEastAsia"/>
          <w:b w:val="0"/>
          <w:color w:val="0F1115"/>
        </w:rPr>
        <w:t xml:space="preserve"> Author</w:t>
      </w:r>
      <w:r w:rsidR="00B807EE" w:rsidRPr="0053182F">
        <w:rPr>
          <w:rStyle w:val="Strong"/>
          <w:rFonts w:eastAsiaTheme="majorEastAsia"/>
          <w:b w:val="0"/>
          <w:color w:val="0F1115"/>
        </w:rPr>
        <w:t>'s</w:t>
      </w:r>
      <w:r w:rsidR="00F1197D" w:rsidRPr="0053182F">
        <w:rPr>
          <w:rStyle w:val="Strong"/>
          <w:rFonts w:eastAsiaTheme="majorEastAsia"/>
          <w:b w:val="0"/>
          <w:color w:val="0F1115"/>
        </w:rPr>
        <w:t xml:space="preserve"> own work</w:t>
      </w:r>
    </w:p>
    <w:p w14:paraId="04567458" w14:textId="77777777" w:rsidR="00746DC4" w:rsidRPr="0053182F" w:rsidRDefault="00746DC4" w:rsidP="007F0CE2">
      <w:pPr>
        <w:pStyle w:val="Heading2"/>
      </w:pPr>
      <w:bookmarkStart w:id="189" w:name="_Toc215651832"/>
      <w:bookmarkStart w:id="190" w:name="_Toc218357126"/>
      <w:r w:rsidRPr="0053182F">
        <w:rPr>
          <w:rStyle w:val="Strong"/>
          <w:b/>
        </w:rPr>
        <w:t>4.8 Summary</w:t>
      </w:r>
      <w:bookmarkEnd w:id="189"/>
      <w:bookmarkEnd w:id="190"/>
    </w:p>
    <w:p w14:paraId="03BA0786" w14:textId="52112642" w:rsidR="00746DC4" w:rsidRPr="0053182F" w:rsidRDefault="00746DC4" w:rsidP="00746DC4">
      <w:pPr>
        <w:pStyle w:val="ds-markdown-paragraph"/>
        <w:shd w:val="clear" w:color="auto" w:fill="FFFFFF"/>
        <w:spacing w:before="0" w:beforeAutospacing="0" w:after="0" w:afterAutospacing="0" w:line="480" w:lineRule="auto"/>
        <w:jc w:val="both"/>
        <w:rPr>
          <w:color w:val="0F1115"/>
        </w:rPr>
      </w:pPr>
      <w:r w:rsidRPr="0053182F">
        <w:rPr>
          <w:color w:val="0F1115"/>
        </w:rPr>
        <w:t>This chapter has established the theoretical and philosophical foundations for t</w:t>
      </w:r>
      <w:r w:rsidR="00C954B0" w:rsidRPr="0053182F">
        <w:rPr>
          <w:color w:val="0F1115"/>
        </w:rPr>
        <w:t>he</w:t>
      </w:r>
      <w:r w:rsidRPr="0053182F">
        <w:rPr>
          <w:color w:val="0F1115"/>
        </w:rPr>
        <w:t xml:space="preserve"> thesis. At its core, </w:t>
      </w:r>
      <w:r w:rsidRPr="0053182F">
        <w:rPr>
          <w:rStyle w:val="Strong"/>
          <w:rFonts w:eastAsiaTheme="majorEastAsia"/>
          <w:b w:val="0"/>
          <w:color w:val="0F1115"/>
        </w:rPr>
        <w:t>NIT</w:t>
      </w:r>
      <w:r w:rsidRPr="0053182F">
        <w:rPr>
          <w:color w:val="0F1115"/>
        </w:rPr>
        <w:t> has been presented as a powerful and necessary framework for understanding the complex corporate response to CMS. NIT moves beyond simplistic narratives of corporate irresponsibility by providing the conceptual machinery—</w:t>
      </w:r>
      <w:r w:rsidRPr="0053182F">
        <w:rPr>
          <w:rStyle w:val="Strong"/>
          <w:rFonts w:eastAsiaTheme="majorEastAsia"/>
          <w:b w:val="0"/>
          <w:color w:val="0F1115"/>
        </w:rPr>
        <w:t>isomorphism, legitimacy, and decoupling</w:t>
      </w:r>
      <w:r w:rsidRPr="0053182F">
        <w:rPr>
          <w:color w:val="0F1115"/>
        </w:rPr>
        <w:t>—to analyse why MNCs adopt sophisticated Sustainability Governance Initiatives (SGIs) and yet so often fail to eradicate exploitative practices within their supply chains. The theory compellingly explains the “dual realities” of CMS: the macro-level world of policies and disclosures designed for legitimacy, and the micro-level world of lived experience where practice is often decoupled from policy.</w:t>
      </w:r>
    </w:p>
    <w:p w14:paraId="12BF51F6" w14:textId="0C0B53AD" w:rsidR="00746DC4" w:rsidRPr="0053182F" w:rsidRDefault="00746DC4" w:rsidP="00746DC4">
      <w:pPr>
        <w:pStyle w:val="ds-markdown-paragraph"/>
        <w:shd w:val="clear" w:color="auto" w:fill="FFFFFF"/>
        <w:spacing w:before="0" w:beforeAutospacing="0" w:after="0" w:afterAutospacing="0" w:line="480" w:lineRule="auto"/>
        <w:ind w:firstLine="720"/>
        <w:jc w:val="both"/>
        <w:rPr>
          <w:color w:val="0F1115"/>
        </w:rPr>
      </w:pPr>
      <w:r w:rsidRPr="0053182F">
        <w:rPr>
          <w:color w:val="0F1115"/>
        </w:rPr>
        <w:t>Furthermore, engagement with the </w:t>
      </w:r>
      <w:r w:rsidRPr="0053182F">
        <w:rPr>
          <w:rStyle w:val="Strong"/>
          <w:rFonts w:eastAsiaTheme="majorEastAsia"/>
          <w:b w:val="0"/>
          <w:color w:val="0F1115"/>
        </w:rPr>
        <w:t>Burrell and Morgan (197</w:t>
      </w:r>
      <w:r w:rsidR="003D7F29" w:rsidRPr="0053182F">
        <w:rPr>
          <w:rStyle w:val="Strong"/>
          <w:rFonts w:eastAsiaTheme="majorEastAsia"/>
          <w:b w:val="0"/>
          <w:color w:val="0F1115"/>
        </w:rPr>
        <w:t>9</w:t>
      </w:r>
      <w:r w:rsidRPr="0053182F">
        <w:rPr>
          <w:rStyle w:val="Strong"/>
          <w:rFonts w:eastAsiaTheme="majorEastAsia"/>
          <w:b w:val="0"/>
          <w:color w:val="0F1115"/>
        </w:rPr>
        <w:t>)</w:t>
      </w:r>
      <w:r w:rsidRPr="0053182F">
        <w:rPr>
          <w:color w:val="0F1115"/>
        </w:rPr>
        <w:t> framework has clarified the philosophical assumptions underlying social research. This led to the justified adoption of a </w:t>
      </w:r>
      <w:r w:rsidRPr="0053182F">
        <w:rPr>
          <w:rStyle w:val="Strong"/>
          <w:rFonts w:eastAsiaTheme="majorEastAsia"/>
          <w:b w:val="0"/>
          <w:color w:val="0F1115"/>
        </w:rPr>
        <w:t>pragmatic paradigm</w:t>
      </w:r>
      <w:r w:rsidRPr="0053182F">
        <w:rPr>
          <w:color w:val="0F1115"/>
        </w:rPr>
        <w:t>, which provides the philosophical coherence for a mixed-methods approach. Pragmatism successfully transcends the objective-subjective divide, allowing this study to harness the strengths of both functionalist and interpretivist perspectives to build a comprehensive explanation of a complex problem.</w:t>
      </w:r>
    </w:p>
    <w:p w14:paraId="5DFC2EDB" w14:textId="77777777" w:rsidR="00A721BA" w:rsidRPr="0053182F" w:rsidRDefault="00A721BA" w:rsidP="00A721BA">
      <w:pPr>
        <w:pStyle w:val="ds-markdown-paragraph"/>
        <w:shd w:val="clear" w:color="auto" w:fill="FFFFFF"/>
        <w:spacing w:before="0" w:beforeAutospacing="0" w:after="0" w:afterAutospacing="0" w:line="480" w:lineRule="auto"/>
        <w:ind w:firstLine="720"/>
        <w:jc w:val="both"/>
        <w:rPr>
          <w:color w:val="0F1115"/>
        </w:rPr>
      </w:pPr>
      <w:r w:rsidRPr="0053182F">
        <w:t>This chapter has developed the theoretical foundations of the study by situating CMS within the core propositions of NIT, emphasising the roles of coercive, normative, and mimetic pressures, as well as the central concepts of legitimacy, symbolic compliance, and institutional decoupling. By articulating the integrated conceptual framework and research logic, the chapter establishes the analytical lens through which CMS is examined across macro, meso, and micro levels. Building on this theoretical grounding, the next chapter (Chapter 5) translates these conceptual insights into a coherent research design and methodological strategy, outlining how the mixed-methods, multi-phase approach operationalises the framework to investigate CMS governance empirically and lived labour realities.</w:t>
      </w:r>
    </w:p>
    <w:p w14:paraId="0C84CEBF" w14:textId="77777777" w:rsidR="00A721BA" w:rsidRPr="0053182F" w:rsidRDefault="00A721BA" w:rsidP="00746DC4">
      <w:pPr>
        <w:pStyle w:val="ds-markdown-paragraph"/>
        <w:shd w:val="clear" w:color="auto" w:fill="FFFFFF"/>
        <w:spacing w:before="0" w:beforeAutospacing="0" w:after="0" w:afterAutospacing="0" w:line="480" w:lineRule="auto"/>
        <w:ind w:firstLine="720"/>
        <w:jc w:val="both"/>
        <w:rPr>
          <w:color w:val="0F1115"/>
        </w:rPr>
      </w:pPr>
    </w:p>
    <w:p w14:paraId="571C63AD" w14:textId="77777777" w:rsidR="004609BC" w:rsidRPr="0053182F" w:rsidRDefault="001975B0" w:rsidP="004609BC">
      <w:pPr>
        <w:pStyle w:val="Heading1"/>
        <w:spacing w:before="0" w:after="0" w:line="480" w:lineRule="auto"/>
        <w:rPr>
          <w:rFonts w:cs="Times New Roman"/>
        </w:rPr>
      </w:pPr>
      <w:r w:rsidRPr="0053182F">
        <w:rPr>
          <w:rFonts w:cs="Times New Roman"/>
          <w:color w:val="0F1115"/>
        </w:rPr>
        <w:br w:type="page"/>
      </w:r>
      <w:bookmarkStart w:id="191" w:name="_Toc215651833"/>
      <w:bookmarkStart w:id="192" w:name="_Toc216557234"/>
      <w:bookmarkStart w:id="193" w:name="_Toc218357127"/>
      <w:bookmarkStart w:id="194" w:name="_Toc215651870"/>
      <w:r w:rsidR="004609BC" w:rsidRPr="0053182F">
        <w:rPr>
          <w:rFonts w:cs="Times New Roman"/>
        </w:rPr>
        <w:t>Chapter 5: Quantitative Approach</w:t>
      </w:r>
      <w:bookmarkEnd w:id="191"/>
      <w:bookmarkEnd w:id="192"/>
      <w:bookmarkEnd w:id="193"/>
    </w:p>
    <w:p w14:paraId="7728C39A" w14:textId="77777777" w:rsidR="004609BC" w:rsidRPr="0053182F" w:rsidRDefault="004609BC" w:rsidP="004609BC">
      <w:pPr>
        <w:pStyle w:val="Heading2"/>
      </w:pPr>
      <w:bookmarkStart w:id="195" w:name="_Toc215651835"/>
      <w:bookmarkStart w:id="196" w:name="_Toc216557236"/>
      <w:bookmarkStart w:id="197" w:name="_Toc218357128"/>
      <w:r w:rsidRPr="0053182F">
        <w:rPr>
          <w:rStyle w:val="normaltextrun"/>
        </w:rPr>
        <w:t>5.1 Introduction</w:t>
      </w:r>
      <w:bookmarkEnd w:id="195"/>
      <w:bookmarkEnd w:id="196"/>
      <w:bookmarkEnd w:id="197"/>
      <w:r w:rsidRPr="0053182F">
        <w:rPr>
          <w:rStyle w:val="eop"/>
        </w:rPr>
        <w:t>  </w:t>
      </w:r>
    </w:p>
    <w:p w14:paraId="71E4F064" w14:textId="77777777" w:rsidR="004609BC" w:rsidRPr="0053182F" w:rsidRDefault="004609BC" w:rsidP="004609BC">
      <w:pPr>
        <w:pStyle w:val="paragraph"/>
        <w:spacing w:before="0" w:beforeAutospacing="0" w:after="0" w:afterAutospacing="0" w:line="480" w:lineRule="auto"/>
        <w:jc w:val="both"/>
        <w:textAlignment w:val="baseline"/>
        <w:rPr>
          <w:color w:val="EE0000"/>
        </w:rPr>
      </w:pPr>
      <w:r w:rsidRPr="0053182F">
        <w:rPr>
          <w:color w:val="EE0000"/>
        </w:rPr>
        <w:t xml:space="preserve">MS remains one of the most pervasive and complex human rights challenges in the global economy </w:t>
      </w:r>
      <w:sdt>
        <w:sdtPr>
          <w:rPr>
            <w:color w:val="EE0000"/>
          </w:rPr>
          <w:tag w:val="MENDELEY_CITATION_v3_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04434449"/>
          <w:placeholder>
            <w:docPart w:val="4BF7FF4DA2334CB5BC9421A334F9E1B3"/>
          </w:placeholder>
        </w:sdtPr>
        <w:sdtContent>
          <w:r w:rsidRPr="0053182F">
            <w:rPr>
              <w:color w:val="EE0000"/>
            </w:rPr>
            <w:t xml:space="preserve">(Ahmad </w:t>
          </w:r>
          <w:r w:rsidRPr="0053182F">
            <w:rPr>
              <w:i/>
              <w:iCs/>
              <w:color w:val="EE0000"/>
            </w:rPr>
            <w:t>et al.</w:t>
          </w:r>
          <w:r w:rsidRPr="0053182F">
            <w:rPr>
              <w:color w:val="EE0000"/>
            </w:rPr>
            <w:t xml:space="preserve">, 2023; Muthuthantrige </w:t>
          </w:r>
          <w:r w:rsidRPr="0053182F">
            <w:rPr>
              <w:i/>
              <w:iCs/>
              <w:color w:val="EE0000"/>
            </w:rPr>
            <w:t>et al.</w:t>
          </w:r>
          <w:r w:rsidRPr="0053182F">
            <w:rPr>
              <w:color w:val="EE0000"/>
            </w:rPr>
            <w:t>, 2026)</w:t>
          </w:r>
        </w:sdtContent>
      </w:sdt>
      <w:r w:rsidRPr="0053182F">
        <w:rPr>
          <w:color w:val="EE0000"/>
        </w:rPr>
        <w:t xml:space="preserve">. Despite the expansion of international conventions, national legislation, and corporate governance initiatives aimed at eradicating forced labour and human exploitation, MS continues to persist across both developed and developing economies </w:t>
      </w:r>
      <w:sdt>
        <w:sdtPr>
          <w:rPr>
            <w:color w:val="EE0000"/>
          </w:rPr>
          <w:tag w:val="MENDELEY_CITATION_v3_eyJjaXRhdGlvbklEIjoiTUVOREVMRVlfQ0lUQVRJT05fYTU4YzNkMmEtZTJkYi00NGUxLTlkYmEtYThiYTZkYTc3YWZjIiwicHJvcGVydGllcyI6eyJub3RlSW5kZXgiOjB9LCJpc0VkaXRlZCI6ZmFsc2UsIm1hbnVhbE92ZXJyaWRlIjp7ImlzTWFudWFsbHlPdmVycmlkZGVuIjpmYWxzZSwiY2l0ZXByb2NUZXh0IjoiKEJhbGVzLCAyMDA5OyBDcmFuZSwgMjAxMzsgTGViYXJvbiwgMjAxOCkiLCJtYW51YWxPdmVycmlkZVRleHQiOiIifSwiY2l0YXRpb25JdGVtcyI6W3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mNvbnRhaW5lci10aXRsZS1zaG9ydCI6Ik1hbmFnZSBSZXY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"/>
          <w:id w:val="1227107517"/>
          <w:placeholder>
            <w:docPart w:val="4BF7FF4DA2334CB5BC9421A334F9E1B3"/>
          </w:placeholder>
        </w:sdtPr>
        <w:sdtContent>
          <w:r w:rsidRPr="0053182F">
            <w:rPr>
              <w:color w:val="EE0000"/>
            </w:rPr>
            <w:t>(Bales, 2009; Crane, 2013; Lebaron, 2018)</w:t>
          </w:r>
        </w:sdtContent>
      </w:sdt>
      <w:r w:rsidRPr="0053182F">
        <w:rPr>
          <w:color w:val="EE0000"/>
        </w:rPr>
        <w:t xml:space="preserve">. This persistence indicates that MS cannot be adequately understood as a consequence of isolated firm misconduct or individual labour market failures alone. Rather, it reflects the interaction of </w:t>
      </w:r>
      <w:r w:rsidRPr="0053182F">
        <w:rPr>
          <w:rStyle w:val="Strong"/>
          <w:rFonts w:eastAsiaTheme="majorEastAsia"/>
          <w:b w:val="0"/>
          <w:bCs w:val="0"/>
          <w:color w:val="EE0000"/>
        </w:rPr>
        <w:t>macro-level institutional environments</w:t>
      </w:r>
      <w:r w:rsidRPr="0053182F">
        <w:rPr>
          <w:b/>
          <w:bCs/>
          <w:color w:val="EE0000"/>
        </w:rPr>
        <w:t xml:space="preserve"> </w:t>
      </w:r>
      <w:r w:rsidRPr="0053182F">
        <w:rPr>
          <w:color w:val="EE0000"/>
        </w:rPr>
        <w:t>and</w:t>
      </w:r>
      <w:r w:rsidRPr="0053182F">
        <w:rPr>
          <w:b/>
          <w:bCs/>
          <w:color w:val="EE0000"/>
        </w:rPr>
        <w:t xml:space="preserve"> </w:t>
      </w:r>
      <w:r w:rsidRPr="0053182F">
        <w:rPr>
          <w:rStyle w:val="Strong"/>
          <w:rFonts w:eastAsiaTheme="majorEastAsia"/>
          <w:b w:val="0"/>
          <w:bCs w:val="0"/>
          <w:color w:val="EE0000"/>
        </w:rPr>
        <w:t>micro-level organisational practices</w:t>
      </w:r>
      <w:r w:rsidRPr="0053182F">
        <w:rPr>
          <w:b/>
          <w:bCs/>
          <w:color w:val="EE0000"/>
        </w:rPr>
        <w:t xml:space="preserve"> </w:t>
      </w:r>
      <w:r w:rsidRPr="0053182F">
        <w:rPr>
          <w:color w:val="EE0000"/>
        </w:rPr>
        <w:t xml:space="preserve">embedded within global production and governance systems </w:t>
      </w:r>
      <w:sdt>
        <w:sdtPr>
          <w:rPr>
            <w:color w:val="EE0000"/>
          </w:rPr>
          <w:tag w:val="MENDELEY_CITATION_v3_eyJjaXRhdGlvbklEIjoiTUVOREVMRVlfQ0lUQVRJT05fOTJhMjQ4ZDQtMmM2YS00YjllLTk0YzYtZTg1Mzc2YzhlOGM5IiwicHJvcGVydGllcyI6eyJub3RlSW5kZXgiOjB9LCJpc0VkaXRlZCI6ZmFsc2UsIm1hbnVhbE92ZXJyaWRlIjp7ImlzTWFudWFsbHlPdmVycmlkZGVuIjpmYWxzZSwiY2l0ZXByb2NUZXh0IjoiKEJhcnRsZXksIDIwMTg7IENyYW5lIDxpPmV0IGFsLjwvaT4sIDIwMTk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"/>
          <w:id w:val="487979115"/>
          <w:placeholder>
            <w:docPart w:val="4BF7FF4DA2334CB5BC9421A334F9E1B3"/>
          </w:placeholder>
        </w:sdtPr>
        <w:sdtContent>
          <w:r w:rsidRPr="0053182F">
            <w:rPr>
              <w:color w:val="EE0000"/>
            </w:rPr>
            <w:t xml:space="preserve">(Bartley, 2018; Crane </w:t>
          </w:r>
          <w:r w:rsidRPr="0053182F">
            <w:rPr>
              <w:i/>
              <w:iCs/>
              <w:color w:val="EE0000"/>
            </w:rPr>
            <w:t>et al.</w:t>
          </w:r>
          <w:r w:rsidRPr="0053182F">
            <w:rPr>
              <w:color w:val="EE0000"/>
            </w:rPr>
            <w:t>, 2019)</w:t>
          </w:r>
        </w:sdtContent>
      </w:sdt>
      <w:r w:rsidRPr="0053182F">
        <w:rPr>
          <w:color w:val="EE0000"/>
        </w:rPr>
        <w:t>.</w:t>
      </w:r>
    </w:p>
    <w:p w14:paraId="76E7197F" w14:textId="77777777" w:rsidR="004609BC" w:rsidRPr="0053182F" w:rsidRDefault="004609BC" w:rsidP="004609BC">
      <w:pPr>
        <w:pStyle w:val="paragraph"/>
        <w:spacing w:before="0" w:beforeAutospacing="0" w:after="0" w:afterAutospacing="0" w:line="480" w:lineRule="auto"/>
        <w:ind w:firstLine="720"/>
        <w:jc w:val="both"/>
        <w:textAlignment w:val="baseline"/>
        <w:rPr>
          <w:color w:val="EE0000"/>
        </w:rPr>
      </w:pPr>
      <w:r w:rsidRPr="0053182F">
        <w:rPr>
          <w:color w:val="EE0000"/>
        </w:rPr>
        <w:t xml:space="preserve">At the </w:t>
      </w:r>
      <w:r w:rsidRPr="0053182F">
        <w:rPr>
          <w:rStyle w:val="Strong"/>
          <w:rFonts w:eastAsiaTheme="majorEastAsia"/>
          <w:b w:val="0"/>
          <w:bCs w:val="0"/>
          <w:color w:val="EE0000"/>
        </w:rPr>
        <w:t>macro level</w:t>
      </w:r>
      <w:r w:rsidRPr="0053182F">
        <w:rPr>
          <w:color w:val="EE0000"/>
        </w:rPr>
        <w:t xml:space="preserve">, MS is shaped by national governance capacity, institutional integrity, political accountability, and development trajectories. Weak institutional environments—characterised by ineffective rule of law, poor regulatory quality, corruption, political instability, and limited voice and accountability—create structural conditions under which exploitative labour practices can flourish </w:t>
      </w:r>
      <w:sdt>
        <w:sdtPr>
          <w:rPr>
            <w:color w:val="EE0000"/>
          </w:rPr>
          <w:tag w:val="MENDELEY_CITATION_v3_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466589055"/>
          <w:placeholder>
            <w:docPart w:val="4BF7FF4DA2334CB5BC9421A334F9E1B3"/>
          </w:placeholder>
        </w:sdtPr>
        <w:sdtContent>
          <w:r w:rsidRPr="0053182F">
            <w:rPr>
              <w:color w:val="EE0000"/>
            </w:rPr>
            <w:t xml:space="preserve">(Davis, 2017; Kaufmann </w:t>
          </w:r>
          <w:r w:rsidRPr="0053182F">
            <w:rPr>
              <w:i/>
              <w:iCs/>
              <w:color w:val="EE0000"/>
            </w:rPr>
            <w:t>et al.</w:t>
          </w:r>
          <w:r w:rsidRPr="0053182F">
            <w:rPr>
              <w:color w:val="EE0000"/>
            </w:rPr>
            <w:t xml:space="preserve">, 2011; Moussa </w:t>
          </w:r>
          <w:r w:rsidRPr="0053182F">
            <w:rPr>
              <w:i/>
              <w:iCs/>
              <w:color w:val="EE0000"/>
            </w:rPr>
            <w:t>et al.</w:t>
          </w:r>
          <w:r w:rsidRPr="0053182F">
            <w:rPr>
              <w:color w:val="EE0000"/>
            </w:rPr>
            <w:t>, 2022)</w:t>
          </w:r>
        </w:sdtContent>
      </w:sdt>
      <w:r w:rsidRPr="0053182F">
        <w:rPr>
          <w:color w:val="EE0000"/>
        </w:rPr>
        <w:t xml:space="preserve">. Even where formal anti-slavery legislation exists, deficiencies in IEQ often undermine enforcement, resulting in gaps between legal commitments and actual protection for vulnerable populations </w:t>
      </w:r>
      <w:sdt>
        <w:sdtPr>
          <w:rPr>
            <w:color w:val="EE0000"/>
          </w:rPr>
          <w:tag w:val="MENDELEY_CITATION_v3_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
          <w:id w:val="-951934175"/>
          <w:placeholder>
            <w:docPart w:val="4BF7FF4DA2334CB5BC9421A334F9E1B3"/>
          </w:placeholder>
        </w:sdtPr>
        <w:sdtContent>
          <w:r w:rsidRPr="0053182F">
            <w:rPr>
              <w:color w:val="EE0000"/>
            </w:rPr>
            <w:t xml:space="preserve">(Crane </w:t>
          </w:r>
          <w:r w:rsidRPr="0053182F">
            <w:rPr>
              <w:i/>
              <w:iCs/>
              <w:color w:val="EE0000"/>
            </w:rPr>
            <w:t>et al.</w:t>
          </w:r>
          <w:r w:rsidRPr="0053182F">
            <w:rPr>
              <w:color w:val="EE0000"/>
            </w:rPr>
            <w:t>, 2019; Fudge, 2018)</w:t>
          </w:r>
        </w:sdtContent>
      </w:sdt>
      <w:r w:rsidRPr="0053182F">
        <w:rPr>
          <w:color w:val="EE0000"/>
        </w:rPr>
        <w:t xml:space="preserve">. Consequently, MS emerges not merely as a labour issue but as an outcome of broader institutional failures embedded within state governance systems </w:t>
      </w:r>
      <w:sdt>
        <w:sdtPr>
          <w:rPr>
            <w:color w:val="EE0000"/>
          </w:rPr>
          <w:tag w:val="MENDELEY_CITATION_v3_eyJjaXRhdGlvbklEIjoiTUVOREVMRVlfQ0lUQVRJT05fMTEwNTY2OTItNjhlMi00ZDZhLWFlNTUtYjAzMDIwZjg3YmJlIiwicHJvcGVydGllcyI6eyJub3RlSW5kZXgiOjB9LCJpc0VkaXRlZCI6ZmFsc2UsIm1hbnVhbE92ZXJyaWRlIjp7ImlzTWFudWFsbHlPdmVycmlkZGVuIjpmYWxzZSwiY2l0ZXByb2NUZXh0IjoiKEFsYml0YXIgPGk+ZXQgYWwuPC9pPiwgMjAyNS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XX0="/>
          <w:id w:val="1042026216"/>
          <w:placeholder>
            <w:docPart w:val="4BF7FF4DA2334CB5BC9421A334F9E1B3"/>
          </w:placeholder>
        </w:sdtPr>
        <w:sdtContent>
          <w:r w:rsidRPr="0053182F">
            <w:rPr>
              <w:color w:val="EE0000"/>
            </w:rPr>
            <w:t xml:space="preserve">(Albitar </w:t>
          </w:r>
          <w:r w:rsidRPr="0053182F">
            <w:rPr>
              <w:i/>
              <w:iCs/>
              <w:color w:val="EE0000"/>
            </w:rPr>
            <w:t>et al.</w:t>
          </w:r>
          <w:r w:rsidRPr="0053182F">
            <w:rPr>
              <w:color w:val="EE0000"/>
            </w:rPr>
            <w:t>, 2025)</w:t>
          </w:r>
        </w:sdtContent>
      </w:sdt>
      <w:r w:rsidRPr="0053182F">
        <w:rPr>
          <w:color w:val="EE0000"/>
        </w:rPr>
        <w:t>.</w:t>
      </w:r>
    </w:p>
    <w:p w14:paraId="1ACA1001" w14:textId="77777777" w:rsidR="004609BC" w:rsidRPr="0053182F" w:rsidRDefault="004609BC" w:rsidP="004609BC">
      <w:pPr>
        <w:pStyle w:val="paragraph"/>
        <w:spacing w:before="0" w:beforeAutospacing="0" w:after="0" w:afterAutospacing="0" w:line="480" w:lineRule="auto"/>
        <w:ind w:firstLine="720"/>
        <w:jc w:val="both"/>
        <w:textAlignment w:val="baseline"/>
        <w:rPr>
          <w:color w:val="EE0000"/>
        </w:rPr>
      </w:pPr>
      <w:r w:rsidRPr="0053182F">
        <w:rPr>
          <w:color w:val="EE0000"/>
        </w:rPr>
        <w:t xml:space="preserve">At the </w:t>
      </w:r>
      <w:r w:rsidRPr="0053182F">
        <w:rPr>
          <w:rStyle w:val="Strong"/>
          <w:rFonts w:eastAsiaTheme="majorEastAsia"/>
          <w:b w:val="0"/>
          <w:bCs w:val="0"/>
          <w:color w:val="EE0000"/>
        </w:rPr>
        <w:t>micro level</w:t>
      </w:r>
      <w:r w:rsidRPr="0053182F">
        <w:rPr>
          <w:color w:val="EE0000"/>
        </w:rPr>
        <w:t xml:space="preserve">, firms—particularly MNCs—play a central role in shaping labour conditions through their governance structures, procurement practices, and sustainability initiatives across global value chains. In response to heightened regulatory scrutiny, investor expectations, civil society pressure, and reputational risk, firms have increasingly adopted SGIs, including CSP frameworks, board-level oversight, CSR strategies, third-party assurance, and public recognition mechanisms </w:t>
      </w:r>
      <w:sdt>
        <w:sdtPr>
          <w:rPr>
            <w:color w:val="EE0000"/>
          </w:rPr>
          <w:tag w:val="MENDELEY_CITATION_v3_eyJjaXRhdGlvbklEIjoiTUVOREVMRVlfQ0lUQVRJT05fMjhlMGZhMGMtYWJjZC00NDQyLWJjMmEtYzU1ZDI2NmMwMmM4IiwicHJvcGVydGllcyI6eyJub3RlSW5kZXgiOjB9LCJpc0VkaXRlZCI6ZmFsc2UsIm1hbnVhbE92ZXJyaWRlIjp7ImlzTWFudWFsbHlPdmVycmlkZGVuIjpmYWxzZSwiY2l0ZXByb2NUZXh0IjoiKE50aW0gYW5kIFNvb2Jhcm95ZW4sIDIwMTM7IFZpZGFsIDxpPmV0IGFsLjwvaT4sIDIwMjMpIiwibWFudWFsT3ZlcnJpZGVUZXh0Ijoi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XX0="/>
          <w:id w:val="713779288"/>
          <w:placeholder>
            <w:docPart w:val="4BF7FF4DA2334CB5BC9421A334F9E1B3"/>
          </w:placeholder>
        </w:sdtPr>
        <w:sdtContent>
          <w:r w:rsidRPr="0053182F">
            <w:rPr>
              <w:color w:val="EE0000"/>
            </w:rPr>
            <w:t xml:space="preserve">(Ntim and Soobaroyen, 2013; Vidal </w:t>
          </w:r>
          <w:r w:rsidRPr="0053182F">
            <w:rPr>
              <w:i/>
              <w:iCs/>
              <w:color w:val="EE0000"/>
            </w:rPr>
            <w:t>et al.</w:t>
          </w:r>
          <w:r w:rsidRPr="0053182F">
            <w:rPr>
              <w:color w:val="EE0000"/>
            </w:rPr>
            <w:t>, 2023)</w:t>
          </w:r>
        </w:sdtContent>
      </w:sdt>
      <w:r w:rsidRPr="0053182F">
        <w:rPr>
          <w:color w:val="EE0000"/>
        </w:rPr>
        <w:t xml:space="preserve">. These initiatives are intended to signal ethical commitment and compliance with labour and human rights standards. However, a growing body of research questions whether such firm-level responses translate into substantive reductions in CMS practices or instead operate as symbolic compliance mechanisms that preserve legitimacy without altering exploitative practices on the ground </w:t>
      </w:r>
      <w:sdt>
        <w:sdtPr>
          <w:rPr>
            <w:color w:val="EE0000"/>
          </w:rPr>
          <w:tag w:val="MENDELEY_CITATION_v3_eyJjaXRhdGlvbklEIjoiTUVOREVMRVlfQ0lUQVRJT05fZDMxYjM5NTctMWM2MS00ZGE2LTk3NWYtYWM5MmU3YzI1YTdkIiwicHJvcGVydGllcyI6eyJub3RlSW5kZXgiOjB9LCJpc0VkaXRlZCI6ZmFsc2UsIm1hbnVhbE92ZXJyaWRlIjp7ImlzTWFudWFsbHlPdmVycmlkZGVuIjpmYWxzZSwiY2l0ZXByb2NUZXh0IjoiKEZseW5uIGFuZCBXYWxrZXIsIDIwMjFhOyBMZUJhcm9uLCAyMDIwOyBNZXllciBhbmQgUm93YW4sIDE5Nzc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XX0="/>
          <w:id w:val="-1793203994"/>
          <w:placeholder>
            <w:docPart w:val="4BF7FF4DA2334CB5BC9421A334F9E1B3"/>
          </w:placeholder>
        </w:sdtPr>
        <w:sdtContent>
          <w:r w:rsidRPr="0053182F">
            <w:rPr>
              <w:color w:val="EE0000"/>
            </w:rPr>
            <w:t>(Flynn and Walker, 2021a; LeBaron, 2020; Meyer and Rowan, 1977)</w:t>
          </w:r>
        </w:sdtContent>
      </w:sdt>
      <w:r w:rsidRPr="0053182F">
        <w:rPr>
          <w:color w:val="EE0000"/>
        </w:rPr>
        <w:t>.</w:t>
      </w:r>
    </w:p>
    <w:p w14:paraId="54D4BB5F" w14:textId="77777777" w:rsidR="004609BC" w:rsidRPr="0053182F" w:rsidRDefault="004609BC" w:rsidP="004609BC">
      <w:pPr>
        <w:pStyle w:val="paragraph"/>
        <w:spacing w:after="0" w:line="480" w:lineRule="auto"/>
        <w:ind w:firstLine="720"/>
        <w:jc w:val="both"/>
        <w:textAlignment w:val="baseline"/>
        <w:rPr>
          <w:color w:val="EE0000"/>
        </w:rPr>
      </w:pPr>
      <w:r w:rsidRPr="0053182F">
        <w:rPr>
          <w:color w:val="EE0000"/>
        </w:rPr>
        <w:t xml:space="preserve">This chapter adopts NIT as the overarching analytical lens to integrate these macro- and micro-level dynamics. NIT posits that organisational and state behaviour is shaped by coercive pressures (laws, regulations, enforcement mechanisms), normative pressures (societal expectations, professional standards, human rights norms), and mimetic pressures (policy diffusion, benchmarking, and legitimacy-seeking behaviour) </w:t>
      </w:r>
      <w:sdt>
        <w:sdtPr>
          <w:rPr>
            <w:color w:val="EE0000"/>
          </w:rPr>
          <w:tag w:val="MENDELEY_CITATION_v3_eyJjaXRhdGlvbklEIjoiTUVOREVMRVlfQ0lUQVRJT05fYjY4YjJlYmMtNWQ0ZC00MmE4LTgyZjYtM2U4MTI5ZDU3MGNj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85441476"/>
          <w:placeholder>
            <w:docPart w:val="4BF7FF4DA2334CB5BC9421A334F9E1B3"/>
          </w:placeholder>
        </w:sdtPr>
        <w:sdtContent>
          <w:r w:rsidRPr="0053182F">
            <w:rPr>
              <w:color w:val="EE0000"/>
            </w:rPr>
            <w:t>(DiMaggio and Powell, 1983; Scott, 2013)</w:t>
          </w:r>
        </w:sdtContent>
      </w:sdt>
      <w:r w:rsidRPr="0053182F">
        <w:rPr>
          <w:color w:val="EE0000"/>
        </w:rPr>
        <w:t xml:space="preserve">. At the macro level, these institutional pressures condition state capacity to prevent, detect, and respond to MS risks through governance quality, enforcement effectiveness, and accountability structures. At the micro level, the same pressures influence firms’ adoption of SGIs as strategies to secure legitimacy, manage uncertainty, and maintain access to global markets—often producing institutional decoupling between formal commitments and lived labour realities </w:t>
      </w:r>
      <w:sdt>
        <w:sdtPr>
          <w:rPr>
            <w:color w:val="EE0000"/>
          </w:rPr>
          <w:tag w:val="MENDELEY_CITATION_v3_eyJjaXRhdGlvbklEIjoiTUVOREVMRVlfQ0lUQVRJT05fMjMzZTE4OWItY2E1Mi00ZjU3LWI4MTItOTZkN2EyOWZjZTVkIiwicHJvcGVydGllcyI6eyJub3RlSW5kZXgiOjB9LCJpc0VkaXRlZCI6ZmFsc2UsIm1hbnVhbE92ZXJyaWRlIjp7ImlzTWFudWFsbHlPdmVycmlkZGVuIjpmYWxzZSwiY2l0ZXByb2NUZXh0IjoiKE1leWVyIGFuZCBSb3dhbiwgMTk3NzsgVmlkYWwgPGk+ZXQgYWwuPC9pPiwgMjAyM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
          <w:id w:val="-583060824"/>
          <w:placeholder>
            <w:docPart w:val="4BF7FF4DA2334CB5BC9421A334F9E1B3"/>
          </w:placeholder>
        </w:sdtPr>
        <w:sdtContent>
          <w:r w:rsidRPr="0053182F">
            <w:rPr>
              <w:color w:val="EE0000"/>
            </w:rPr>
            <w:t xml:space="preserve">(Meyer and Rowan, 1977; Vidal </w:t>
          </w:r>
          <w:r w:rsidRPr="0053182F">
            <w:rPr>
              <w:i/>
              <w:iCs/>
              <w:color w:val="EE0000"/>
            </w:rPr>
            <w:t>et al.</w:t>
          </w:r>
          <w:r w:rsidRPr="0053182F">
            <w:rPr>
              <w:color w:val="EE0000"/>
            </w:rPr>
            <w:t>, 2023)</w:t>
          </w:r>
        </w:sdtContent>
      </w:sdt>
      <w:r w:rsidRPr="0053182F">
        <w:rPr>
          <w:color w:val="EE0000"/>
        </w:rPr>
        <w:t>.</w:t>
      </w:r>
    </w:p>
    <w:p w14:paraId="00251085" w14:textId="77777777" w:rsidR="004609BC" w:rsidRPr="0053182F" w:rsidRDefault="004609BC" w:rsidP="004609BC">
      <w:pPr>
        <w:pStyle w:val="paragraph"/>
        <w:spacing w:after="0" w:line="480" w:lineRule="auto"/>
        <w:ind w:firstLine="720"/>
        <w:jc w:val="both"/>
        <w:textAlignment w:val="baseline"/>
        <w:rPr>
          <w:color w:val="EE0000"/>
        </w:rPr>
      </w:pPr>
      <w:r w:rsidRPr="0053182F">
        <w:rPr>
          <w:color w:val="EE0000"/>
        </w:rPr>
        <w:t xml:space="preserve">Accordingly, Chapter 5 develops a multi-level hypothesis framework that captures the interdependence between national institutional environments and firm-level governance responses. Part I (Macro level) theorises how IEQ, SDGI, and IHDI shape cross-country variation in MS prevalence, vulnerability, and government mitigation capacity </w:t>
      </w:r>
      <w:sdt>
        <w:sdtPr>
          <w:rPr>
            <w:color w:val="EE0000"/>
          </w:rPr>
          <w:tag w:val="MENDELEY_CITATION_v3_eyJjaXRhdGlvbklEIjoiTUVOREVMRVlfQ0lUQVRJT05fM2VjNTUyZTctY2JmOC00ODM2LThkNmMtM2U3YTE5NjU2NTM4IiwicHJvcGVydGllcyI6eyJub3RlSW5kZXgiOjB9LCJpc0VkaXRlZCI6ZmFsc2UsIm1hbnVhbE92ZXJyaWRlIjp7ImlzTWFudWFsbHlPdmVycmlkZGVuIjpmYWxzZSwiY2l0ZXByb2NUZXh0IjoiKEhvdXFlIGFuZCBLaGFuLCAyMDI1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"/>
          <w:id w:val="-1281485196"/>
          <w:placeholder>
            <w:docPart w:val="4BF7FF4DA2334CB5BC9421A334F9E1B3"/>
          </w:placeholder>
        </w:sdtPr>
        <w:sdtContent>
          <w:r w:rsidRPr="0053182F">
            <w:rPr>
              <w:color w:val="EE0000"/>
            </w:rPr>
            <w:t xml:space="preserve">(Houqe and Khan, 2025; Moussa </w:t>
          </w:r>
          <w:r w:rsidRPr="0053182F">
            <w:rPr>
              <w:i/>
              <w:iCs/>
              <w:color w:val="EE0000"/>
            </w:rPr>
            <w:t>et al.</w:t>
          </w:r>
          <w:r w:rsidRPr="0053182F">
            <w:rPr>
              <w:color w:val="EE0000"/>
            </w:rPr>
            <w:t>, 2022)</w:t>
          </w:r>
        </w:sdtContent>
      </w:sdt>
      <w:r w:rsidRPr="0053182F">
        <w:rPr>
          <w:color w:val="EE0000"/>
        </w:rPr>
        <w:t xml:space="preserve">. Part II (Meso-level) extends this analysis by examining how sustainability governance initiatives within firms function as organisational mechanisms through which institutional pressures are enacted, negotiated, or symbolically managed in addressing CMS risks </w:t>
      </w:r>
      <w:sdt>
        <w:sdtPr>
          <w:rPr>
            <w:color w:val="000000"/>
          </w:rPr>
          <w:tag w:val="MENDELEY_CITATION_v3_eyJjaXRhdGlvbklEIjoiTUVOREVMRVlfQ0lUQVRJT05fYTAwZmIwNmItMGFhMi00MGFkLTgxYTYtZmY0OWI2NmRhOWYyIiwicHJvcGVydGllcyI6eyJub3RlSW5kZXgiOjB9LCJpc0VkaXRlZCI6ZmFsc2UsIm1hbnVhbE92ZXJyaWRlIjp7ImlzTWFudWFsbHlPdmVycmlkZGVuIjpmYWxzZSwiY2l0ZXByb2NUZXh0IjoiKE50aW0gYW5kIFNvb2Jhcm95ZW4sIDIwMTM7IFZpZGFsIDxpPmV0IGFsLjwvaT4sIDIwMjMpIiwibWFudWFsT3ZlcnJpZGVUZXh0Ijoi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XX0="/>
          <w:id w:val="1552352192"/>
          <w:placeholder>
            <w:docPart w:val="4BF7FF4DA2334CB5BC9421A334F9E1B3"/>
          </w:placeholder>
        </w:sdtPr>
        <w:sdtContent>
          <w:r w:rsidRPr="0053182F">
            <w:rPr>
              <w:color w:val="000000"/>
            </w:rPr>
            <w:t xml:space="preserve">(Ntim and Soobaroyen, 2013; Vidal </w:t>
          </w:r>
          <w:r w:rsidRPr="0053182F">
            <w:rPr>
              <w:i/>
              <w:iCs/>
              <w:color w:val="000000"/>
            </w:rPr>
            <w:t>et al.</w:t>
          </w:r>
          <w:r w:rsidRPr="0053182F">
            <w:rPr>
              <w:color w:val="000000"/>
            </w:rPr>
            <w:t>, 2023)</w:t>
          </w:r>
        </w:sdtContent>
      </w:sdt>
      <w:r w:rsidRPr="0053182F">
        <w:rPr>
          <w:color w:val="EE0000"/>
        </w:rPr>
        <w:t>.</w:t>
      </w:r>
    </w:p>
    <w:p w14:paraId="28F76C19" w14:textId="77777777" w:rsidR="004609BC" w:rsidRPr="0053182F" w:rsidRDefault="004609BC" w:rsidP="004609BC">
      <w:pPr>
        <w:pStyle w:val="paragraph"/>
        <w:spacing w:before="0" w:beforeAutospacing="0" w:after="0" w:afterAutospacing="0" w:line="480" w:lineRule="auto"/>
        <w:ind w:firstLine="720"/>
        <w:jc w:val="both"/>
        <w:textAlignment w:val="baseline"/>
        <w:rPr>
          <w:color w:val="EE0000"/>
        </w:rPr>
      </w:pPr>
      <w:r w:rsidRPr="0053182F">
        <w:rPr>
          <w:color w:val="EE0000"/>
        </w:rPr>
        <w:t xml:space="preserve">By integrating macro-structural determinants with micro-organisational governance mechanisms, this chapter advances a holistic understanding of MS as a structural, institutional, and organisational phenomenon. It moves beyond fragmented explanations that isolate either state failure or corporate misconduct, instead demonstrating how MS outcomes emerge from the interaction between governance quality, development conditions, and firm-level responses within global institutional fields </w:t>
      </w:r>
      <w:sdt>
        <w:sdtPr>
          <w:rPr>
            <w:color w:val="EE0000"/>
          </w:rPr>
          <w:tag w:val="MENDELEY_CITATION_v3_eyJjaXRhdGlvbklEIjoiTUVOREVMRVlfQ0lUQVRJT05fODFmNjZhYjgtYjU0NS00YTA1LTllMzQtYmZjMDk1ODM2M2M4IiwicHJvcGVydGllcyI6eyJub3RlSW5kZXgiOjB9LCJpc0VkaXRlZCI6ZmFsc2UsIm1hbnVhbE92ZXJyaWRlIjp7ImlzTWFudWFsbHlPdmVycmlkZGVuIjpmYWxzZSwiY2l0ZXByb2NUZXh0IjoiKEJhcnRsZXksIDIwMTg7IENyYW5lIDxpPmV0IGFsLjwvaT4sIDIwMTk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"/>
          <w:id w:val="-1537581114"/>
          <w:placeholder>
            <w:docPart w:val="4BF7FF4DA2334CB5BC9421A334F9E1B3"/>
          </w:placeholder>
        </w:sdtPr>
        <w:sdtContent>
          <w:r w:rsidRPr="0053182F">
            <w:rPr>
              <w:color w:val="EE0000"/>
            </w:rPr>
            <w:t xml:space="preserve">(Bartley, 2018; Crane </w:t>
          </w:r>
          <w:r w:rsidRPr="0053182F">
            <w:rPr>
              <w:i/>
              <w:iCs/>
              <w:color w:val="EE0000"/>
            </w:rPr>
            <w:t>et al.</w:t>
          </w:r>
          <w:r w:rsidRPr="0053182F">
            <w:rPr>
              <w:color w:val="EE0000"/>
            </w:rPr>
            <w:t>, 2019)</w:t>
          </w:r>
        </w:sdtContent>
      </w:sdt>
      <w:r w:rsidRPr="0053182F">
        <w:rPr>
          <w:color w:val="EE0000"/>
        </w:rPr>
        <w:t>. This integrated framework provides the conceptual foundation for the empirical analyses that follow, enabling a systematic examination of how institutional strength and sustainability governance jointly shape the persistence—and potential elimination—of MS.</w:t>
      </w:r>
    </w:p>
    <w:p w14:paraId="36FAD440" w14:textId="77777777" w:rsidR="004609BC" w:rsidRPr="0053182F" w:rsidRDefault="004609BC" w:rsidP="004609BC">
      <w:pPr>
        <w:pStyle w:val="Heading1"/>
        <w:spacing w:before="0" w:after="0" w:line="480" w:lineRule="auto"/>
        <w:rPr>
          <w:rFonts w:cs="Times New Roman"/>
        </w:rPr>
      </w:pPr>
      <w:bookmarkStart w:id="198" w:name="_Toc218357129"/>
      <w:r w:rsidRPr="0053182F">
        <w:rPr>
          <w:rFonts w:cs="Times New Roman"/>
        </w:rPr>
        <w:t>Hypothesis Development: Part I Macro</w:t>
      </w:r>
      <w:bookmarkEnd w:id="198"/>
    </w:p>
    <w:p w14:paraId="4FAD62F5" w14:textId="77777777" w:rsidR="004609BC" w:rsidRPr="0053182F" w:rsidRDefault="004609BC" w:rsidP="004609BC">
      <w:pPr>
        <w:pStyle w:val="Heading2"/>
      </w:pPr>
      <w:bookmarkStart w:id="199" w:name="_Toc200603856"/>
      <w:bookmarkStart w:id="200" w:name="_Toc215651836"/>
      <w:bookmarkStart w:id="201" w:name="_Toc216557237"/>
      <w:bookmarkStart w:id="202" w:name="_Toc218357130"/>
      <w:r w:rsidRPr="0053182F">
        <w:rPr>
          <w:rStyle w:val="Strong"/>
          <w:b/>
        </w:rPr>
        <w:t>5.2 Institutional Environment Quality and Modern Slavery Risk</w:t>
      </w:r>
      <w:bookmarkEnd w:id="199"/>
      <w:bookmarkEnd w:id="200"/>
      <w:bookmarkEnd w:id="201"/>
      <w:bookmarkEnd w:id="202"/>
    </w:p>
    <w:p w14:paraId="49BA2453" w14:textId="77777777" w:rsidR="004609BC" w:rsidRPr="0053182F" w:rsidRDefault="004609BC" w:rsidP="004609BC">
      <w:pPr>
        <w:pStyle w:val="NormalWeb"/>
        <w:spacing w:before="0" w:beforeAutospacing="0" w:after="0" w:afterAutospacing="0" w:line="480" w:lineRule="auto"/>
        <w:jc w:val="both"/>
        <w:rPr>
          <w:color w:val="auto"/>
        </w:rPr>
      </w:pPr>
      <w:bookmarkStart w:id="203" w:name="_Toc200603857"/>
      <w:r w:rsidRPr="0053182F">
        <w:rPr>
          <w:color w:val="EE0000"/>
        </w:rPr>
        <w:t xml:space="preserve">IEQ refers to the effectiveness, credibility, and integrity of a country’s governance system in designing, implementing, and enforcing public policy </w:t>
      </w:r>
      <w:sdt>
        <w:sdtPr>
          <w:tag w:val="MENDELEY_CITATION_v3_eyJjaXRhdGlvbklEIjoiTUVOREVMRVlfQ0lUQVRJT05fODVlYTczMTktMjNiNS00OGE4LWI2YzQtMzRhMTI0MmQ1MjU3IiwicHJvcGVydGllcyI6eyJub3RlSW5kZXgiOjB9LCJpc0VkaXRlZCI6ZmFsc2UsIm1hbnVhbE92ZXJyaWRlIjp7ImlzTWFudWFsbHlPdmVycmlkZGVuIjpmYWxzZSwiY2l0ZXByb2NUZXh0IjoiKEFsYml0YXIgPGk+ZXQgYWwuPC9pPiwgMjAyNTsgTW91c3NhIDxpPmV0IGFsLjwvaT4sIDIwMjIpIiwibWFudWFsT3ZlcnJpZGVUZXh0IjoiIn0sImNpdGF0aW9uSXRlbXMiOlt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1979827416"/>
          <w:placeholder>
            <w:docPart w:val="5A23FCBD0D1849329CE5211A19FA7184"/>
          </w:placeholder>
        </w:sdtPr>
        <w:sdtContent>
          <w:r w:rsidRPr="0053182F">
            <w:t xml:space="preserve">(Albitar </w:t>
          </w:r>
          <w:r w:rsidRPr="0053182F">
            <w:rPr>
              <w:i/>
              <w:iCs/>
            </w:rPr>
            <w:t>et al.</w:t>
          </w:r>
          <w:r w:rsidRPr="0053182F">
            <w:t xml:space="preserve">, 2025; Moussa </w:t>
          </w:r>
          <w:r w:rsidRPr="0053182F">
            <w:rPr>
              <w:i/>
              <w:iCs/>
            </w:rPr>
            <w:t>et al.</w:t>
          </w:r>
          <w:r w:rsidRPr="0053182F">
            <w:t>, 2022)</w:t>
          </w:r>
        </w:sdtContent>
      </w:sdt>
      <w:r w:rsidRPr="0053182F">
        <w:rPr>
          <w:color w:val="EE0000"/>
        </w:rPr>
        <w:t xml:space="preserve">. It captures the extent to which legal frameworks, regulatory institutions, and accountability mechanisms function to uphold the rule of law, protect rights, and constrain abuse of power </w:t>
      </w:r>
      <w:sdt>
        <w:sdtPr>
          <w:tag w:val="MENDELEY_CITATION_v3_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"/>
          <w:id w:val="2088412588"/>
          <w:placeholder>
            <w:docPart w:val="A9B4AE4E7C5A4A98A16A1581DEBD6183"/>
          </w:placeholder>
        </w:sdtPr>
        <w:sdtContent>
          <w:r w:rsidRPr="0053182F">
            <w:t xml:space="preserve">(Kaufmann </w:t>
          </w:r>
          <w:r w:rsidRPr="0053182F">
            <w:rPr>
              <w:i/>
              <w:iCs/>
            </w:rPr>
            <w:t>et al.</w:t>
          </w:r>
          <w:r w:rsidRPr="0053182F">
            <w:t>, 2011)</w:t>
          </w:r>
        </w:sdtContent>
      </w:sdt>
      <w:r w:rsidRPr="0053182F">
        <w:rPr>
          <w:color w:val="EE0000"/>
        </w:rPr>
        <w:t xml:space="preserve">. </w:t>
      </w:r>
      <w:r w:rsidRPr="0053182F">
        <w:rPr>
          <w:color w:val="auto"/>
        </w:rPr>
        <w:t xml:space="preserve">The World Bank’s </w:t>
      </w:r>
      <w:r w:rsidRPr="0053182F">
        <w:t xml:space="preserve">WGIs </w:t>
      </w:r>
      <w:r w:rsidRPr="0053182F">
        <w:rPr>
          <w:color w:val="auto"/>
        </w:rPr>
        <w:t xml:space="preserve">provide a comprehensive measure of IEQ, covering six interrelated dimensions: </w:t>
      </w:r>
      <w:r w:rsidRPr="0053182F">
        <w:t xml:space="preserve">Rule of Law (RL), Voice and Accountability (VA), Regulatory Quality (RQ), Government Effectiveness (GE), Control of Corruption (CC), and Political Stability (PS) </w:t>
      </w:r>
      <w:r w:rsidRPr="0053182F">
        <w:rPr>
          <w:color w:val="auto"/>
        </w:rPr>
        <w:t xml:space="preserve">(See Table 5.1 for detailed definitions) </w:t>
      </w:r>
      <w:sdt>
        <w:sdtPr>
          <w:tag w:val="MENDELEY_CITATION_v3_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"/>
          <w:id w:val="1899785485"/>
          <w:placeholder>
            <w:docPart w:val="A32E4A171379488AB2863941AF5194A1"/>
          </w:placeholder>
        </w:sdtPr>
        <w:sdtContent>
          <w:r w:rsidRPr="0053182F">
            <w:t xml:space="preserve">(Kaufmann </w:t>
          </w:r>
          <w:r w:rsidRPr="0053182F">
            <w:rPr>
              <w:i/>
              <w:iCs/>
            </w:rPr>
            <w:t>et al.</w:t>
          </w:r>
          <w:r w:rsidRPr="0053182F">
            <w:t>, 2011)</w:t>
          </w:r>
        </w:sdtContent>
      </w:sdt>
      <w:r w:rsidRPr="0053182F">
        <w:t xml:space="preserve">. </w:t>
      </w:r>
      <w:r w:rsidRPr="0053182F">
        <w:rPr>
          <w:color w:val="auto"/>
        </w:rPr>
        <w:t xml:space="preserve">Each of these dimensions captures a specific facet of institutional performance relevant to governance legitimacy, policy implementation, legal enforcement, and public accountability </w:t>
      </w:r>
      <w:sdt>
        <w:sdtPr>
          <w:tag w:val="MENDELEY_CITATION_v3_eyJjaXRhdGlvbklEIjoiTUVOREVMRVlfQ0lUQVRJT05fYTgxMmMzYWMtMTgxMC00ZWM2LWJmMzgtMGM3M2VhZWM4MjJiIiwicHJvcGVydGllcyI6eyJub3RlSW5kZXgiOjB9LCJpc0VkaXRlZCI6ZmFsc2UsIm1hbnVhbE92ZXJyaWRlIjp7ImlzTWFudWFsbHlPdmVycmlkZGVuIjpmYWxzZSwiY2l0ZXByb2NUZXh0IjoiKERhdmlzLCAyMDE3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"/>
          <w:id w:val="-667250494"/>
          <w:placeholder>
            <w:docPart w:val="D00B389D65D2441DBF205655F656F152"/>
          </w:placeholder>
        </w:sdtPr>
        <w:sdtContent>
          <w:r w:rsidRPr="0053182F">
            <w:t xml:space="preserve">(Davis, 2017; Moussa </w:t>
          </w:r>
          <w:r w:rsidRPr="0053182F">
            <w:rPr>
              <w:i/>
              <w:iCs/>
            </w:rPr>
            <w:t>et al.</w:t>
          </w:r>
          <w:r w:rsidRPr="0053182F">
            <w:t>, 2022)</w:t>
          </w:r>
        </w:sdtContent>
      </w:sdt>
      <w:r w:rsidRPr="0053182F">
        <w:rPr>
          <w:color w:val="auto"/>
        </w:rPr>
        <w:t>.</w:t>
      </w:r>
    </w:p>
    <w:p w14:paraId="05105D65" w14:textId="77777777" w:rsidR="004609BC" w:rsidRPr="0053182F" w:rsidRDefault="004609BC" w:rsidP="004609BC">
      <w:pPr>
        <w:pStyle w:val="NormalWeb"/>
        <w:spacing w:before="0" w:beforeAutospacing="0" w:after="0" w:afterAutospacing="0" w:line="480" w:lineRule="auto"/>
        <w:jc w:val="both"/>
        <w:rPr>
          <w:color w:val="auto"/>
        </w:rPr>
      </w:pPr>
      <w:r w:rsidRPr="0053182F">
        <w:rPr>
          <w:b/>
          <w:bCs/>
          <w:color w:val="auto"/>
        </w:rPr>
        <w:t xml:space="preserve">Table 5.1: </w:t>
      </w:r>
      <w:r w:rsidRPr="0053182F">
        <w:rPr>
          <w:color w:val="auto"/>
        </w:rPr>
        <w:t>Details the definitions of the components of WGI</w:t>
      </w:r>
    </w:p>
    <w:tbl>
      <w:tblPr>
        <w:tblW w:w="9026" w:type="dxa"/>
        <w:tblLook w:val="04A0" w:firstRow="1" w:lastRow="0" w:firstColumn="1" w:lastColumn="0" w:noHBand="0" w:noVBand="1"/>
      </w:tblPr>
      <w:tblGrid>
        <w:gridCol w:w="1818"/>
        <w:gridCol w:w="1137"/>
        <w:gridCol w:w="4592"/>
        <w:gridCol w:w="1479"/>
      </w:tblGrid>
      <w:tr w:rsidR="004609BC" w:rsidRPr="0053182F" w14:paraId="2FFB69FA" w14:textId="77777777" w:rsidTr="00D20468">
        <w:trPr>
          <w:trHeight w:val="609"/>
        </w:trPr>
        <w:tc>
          <w:tcPr>
            <w:tcW w:w="1818" w:type="dxa"/>
            <w:tcBorders>
              <w:top w:val="single" w:sz="4" w:space="0" w:color="auto"/>
              <w:bottom w:val="single" w:sz="4" w:space="0" w:color="auto"/>
            </w:tcBorders>
            <w:vAlign w:val="center"/>
          </w:tcPr>
          <w:p w14:paraId="5FDBABFA" w14:textId="77777777" w:rsidR="004609BC" w:rsidRPr="0053182F" w:rsidRDefault="004609BC" w:rsidP="00D20468">
            <w:pPr>
              <w:spacing w:line="240" w:lineRule="auto"/>
              <w:rPr>
                <w:sz w:val="22"/>
                <w:szCs w:val="22"/>
              </w:rPr>
            </w:pPr>
            <w:r w:rsidRPr="0053182F">
              <w:rPr>
                <w:b/>
                <w:bCs/>
                <w:sz w:val="22"/>
                <w:szCs w:val="22"/>
              </w:rPr>
              <w:t>Variable name</w:t>
            </w:r>
          </w:p>
        </w:tc>
        <w:tc>
          <w:tcPr>
            <w:tcW w:w="1137" w:type="dxa"/>
            <w:tcBorders>
              <w:top w:val="single" w:sz="4" w:space="0" w:color="auto"/>
              <w:left w:val="nil"/>
              <w:bottom w:val="single" w:sz="4" w:space="0" w:color="auto"/>
              <w:right w:val="nil"/>
            </w:tcBorders>
            <w:vAlign w:val="center"/>
          </w:tcPr>
          <w:p w14:paraId="0961902F" w14:textId="77777777" w:rsidR="004609BC" w:rsidRPr="0053182F" w:rsidRDefault="004609BC" w:rsidP="00D20468">
            <w:pPr>
              <w:spacing w:line="240" w:lineRule="auto"/>
              <w:rPr>
                <w:b/>
                <w:bCs/>
                <w:sz w:val="22"/>
                <w:szCs w:val="22"/>
              </w:rPr>
            </w:pPr>
            <w:r w:rsidRPr="0053182F">
              <w:rPr>
                <w:b/>
                <w:bCs/>
                <w:sz w:val="22"/>
                <w:szCs w:val="22"/>
              </w:rPr>
              <w:t>Acronym</w:t>
            </w:r>
          </w:p>
        </w:tc>
        <w:tc>
          <w:tcPr>
            <w:tcW w:w="4592" w:type="dxa"/>
            <w:tcBorders>
              <w:top w:val="single" w:sz="4" w:space="0" w:color="auto"/>
              <w:left w:val="nil"/>
              <w:bottom w:val="single" w:sz="4" w:space="0" w:color="auto"/>
              <w:right w:val="nil"/>
            </w:tcBorders>
            <w:vAlign w:val="center"/>
          </w:tcPr>
          <w:p w14:paraId="7EE4FFEF" w14:textId="77777777" w:rsidR="004609BC" w:rsidRPr="0053182F" w:rsidRDefault="004609BC" w:rsidP="00D20468">
            <w:pPr>
              <w:spacing w:line="240" w:lineRule="auto"/>
              <w:jc w:val="both"/>
              <w:rPr>
                <w:sz w:val="22"/>
                <w:szCs w:val="22"/>
              </w:rPr>
            </w:pPr>
            <w:r w:rsidRPr="0053182F">
              <w:rPr>
                <w:b/>
                <w:bCs/>
                <w:sz w:val="22"/>
                <w:szCs w:val="22"/>
              </w:rPr>
              <w:t>Definition</w:t>
            </w:r>
          </w:p>
        </w:tc>
        <w:tc>
          <w:tcPr>
            <w:tcW w:w="1479" w:type="dxa"/>
            <w:tcBorders>
              <w:top w:val="single" w:sz="4" w:space="0" w:color="auto"/>
              <w:left w:val="nil"/>
              <w:bottom w:val="single" w:sz="4" w:space="0" w:color="auto"/>
              <w:right w:val="nil"/>
            </w:tcBorders>
          </w:tcPr>
          <w:p w14:paraId="323B821D" w14:textId="77777777" w:rsidR="004609BC" w:rsidRPr="0053182F" w:rsidRDefault="004609BC" w:rsidP="00D20468">
            <w:pPr>
              <w:spacing w:line="240" w:lineRule="auto"/>
              <w:jc w:val="both"/>
              <w:rPr>
                <w:sz w:val="22"/>
                <w:szCs w:val="22"/>
              </w:rPr>
            </w:pPr>
            <w:r w:rsidRPr="0053182F">
              <w:rPr>
                <w:b/>
                <w:bCs/>
                <w:sz w:val="22"/>
                <w:szCs w:val="22"/>
              </w:rPr>
              <w:t>Source</w:t>
            </w:r>
          </w:p>
        </w:tc>
      </w:tr>
      <w:tr w:rsidR="004609BC" w:rsidRPr="0053182F" w14:paraId="692D6CDF" w14:textId="77777777" w:rsidTr="00D20468">
        <w:trPr>
          <w:trHeight w:val="609"/>
        </w:trPr>
        <w:tc>
          <w:tcPr>
            <w:tcW w:w="1818" w:type="dxa"/>
            <w:tcBorders>
              <w:top w:val="single" w:sz="4" w:space="0" w:color="auto"/>
            </w:tcBorders>
            <w:vAlign w:val="center"/>
            <w:hideMark/>
          </w:tcPr>
          <w:p w14:paraId="5B1D74AF" w14:textId="77777777" w:rsidR="004609BC" w:rsidRPr="0053182F" w:rsidRDefault="004609BC" w:rsidP="00D20468">
            <w:pPr>
              <w:spacing w:line="240" w:lineRule="auto"/>
              <w:rPr>
                <w:sz w:val="22"/>
                <w:szCs w:val="22"/>
              </w:rPr>
            </w:pPr>
            <w:r w:rsidRPr="0053182F">
              <w:rPr>
                <w:sz w:val="22"/>
                <w:szCs w:val="22"/>
              </w:rPr>
              <w:t>Political Stability and Absence of Violence</w:t>
            </w:r>
          </w:p>
        </w:tc>
        <w:tc>
          <w:tcPr>
            <w:tcW w:w="1137" w:type="dxa"/>
            <w:tcBorders>
              <w:top w:val="single" w:sz="4" w:space="0" w:color="auto"/>
              <w:left w:val="nil"/>
              <w:bottom w:val="single" w:sz="4" w:space="0" w:color="auto"/>
              <w:right w:val="nil"/>
            </w:tcBorders>
            <w:vAlign w:val="center"/>
            <w:hideMark/>
          </w:tcPr>
          <w:p w14:paraId="141247C0" w14:textId="77777777" w:rsidR="004609BC" w:rsidRPr="0053182F" w:rsidRDefault="004609BC" w:rsidP="00D20468">
            <w:pPr>
              <w:spacing w:line="240" w:lineRule="auto"/>
              <w:rPr>
                <w:b/>
                <w:bCs/>
                <w:sz w:val="22"/>
                <w:szCs w:val="22"/>
              </w:rPr>
            </w:pPr>
            <w:r w:rsidRPr="0053182F">
              <w:rPr>
                <w:b/>
                <w:bCs/>
                <w:sz w:val="22"/>
                <w:szCs w:val="22"/>
              </w:rPr>
              <w:t>PS</w:t>
            </w:r>
          </w:p>
        </w:tc>
        <w:tc>
          <w:tcPr>
            <w:tcW w:w="4592" w:type="dxa"/>
            <w:tcBorders>
              <w:top w:val="single" w:sz="4" w:space="0" w:color="auto"/>
              <w:left w:val="nil"/>
              <w:bottom w:val="single" w:sz="4" w:space="0" w:color="auto"/>
              <w:right w:val="nil"/>
            </w:tcBorders>
            <w:vAlign w:val="center"/>
            <w:hideMark/>
          </w:tcPr>
          <w:p w14:paraId="1C5752FD" w14:textId="77777777" w:rsidR="004609BC" w:rsidRPr="0053182F" w:rsidRDefault="004609BC" w:rsidP="00D20468">
            <w:pPr>
              <w:spacing w:line="240" w:lineRule="auto"/>
              <w:jc w:val="both"/>
              <w:rPr>
                <w:sz w:val="22"/>
                <w:szCs w:val="22"/>
              </w:rPr>
            </w:pPr>
            <w:r w:rsidRPr="0053182F">
              <w:rPr>
                <w:sz w:val="22"/>
                <w:szCs w:val="22"/>
              </w:rPr>
              <w:t>Perceptions of the likelihood of political instability, violence, or terrorism.</w:t>
            </w:r>
          </w:p>
        </w:tc>
        <w:sdt>
          <w:sdtPr>
            <w:rPr>
              <w:sz w:val="22"/>
              <w:szCs w:val="22"/>
            </w:rPr>
            <w:tag w:val="MENDELEY_CITATION_v3_eyJjaXRhdGlvbklEIjoiTUVOREVMRVlfQ0lUQVRJT05fZDQ5NTE5ZmEtNWI4Ni00MDViLTgwMmMtNTY0NGQzYjFkN2Y1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
            <w:id w:val="-348181516"/>
            <w:placeholder>
              <w:docPart w:val="62B5D6A992BB4DB8979D2455F2448C4B"/>
            </w:placeholder>
          </w:sdtPr>
          <w:sdtContent>
            <w:tc>
              <w:tcPr>
                <w:tcW w:w="1479" w:type="dxa"/>
                <w:tcBorders>
                  <w:top w:val="single" w:sz="4" w:space="0" w:color="auto"/>
                  <w:left w:val="nil"/>
                  <w:bottom w:val="single" w:sz="4" w:space="0" w:color="auto"/>
                  <w:right w:val="nil"/>
                </w:tcBorders>
                <w:hideMark/>
              </w:tcPr>
              <w:p w14:paraId="5D177D43" w14:textId="77777777" w:rsidR="004609BC" w:rsidRPr="0053182F" w:rsidRDefault="004609BC" w:rsidP="00D20468">
                <w:pPr>
                  <w:spacing w:line="240" w:lineRule="auto"/>
                  <w:jc w:val="both"/>
                  <w:rPr>
                    <w:sz w:val="22"/>
                    <w:szCs w:val="22"/>
                  </w:rPr>
                </w:pPr>
                <w:r w:rsidRPr="0053182F">
                  <w:rPr>
                    <w:sz w:val="22"/>
                    <w:szCs w:val="22"/>
                  </w:rPr>
                  <w:t>(Kaufmann, 2022)</w:t>
                </w:r>
              </w:p>
            </w:tc>
          </w:sdtContent>
        </w:sdt>
      </w:tr>
      <w:tr w:rsidR="004609BC" w:rsidRPr="0053182F" w14:paraId="4536BE04" w14:textId="77777777" w:rsidTr="00D20468">
        <w:trPr>
          <w:trHeight w:val="1218"/>
        </w:trPr>
        <w:tc>
          <w:tcPr>
            <w:tcW w:w="1818" w:type="dxa"/>
            <w:vAlign w:val="center"/>
            <w:hideMark/>
          </w:tcPr>
          <w:p w14:paraId="0EB698AE" w14:textId="77777777" w:rsidR="004609BC" w:rsidRPr="0053182F" w:rsidRDefault="004609BC" w:rsidP="00D20468">
            <w:pPr>
              <w:spacing w:line="240" w:lineRule="auto"/>
              <w:rPr>
                <w:sz w:val="22"/>
                <w:szCs w:val="22"/>
              </w:rPr>
            </w:pPr>
            <w:r w:rsidRPr="0053182F">
              <w:rPr>
                <w:sz w:val="22"/>
                <w:szCs w:val="22"/>
              </w:rPr>
              <w:t>Rule of Law</w:t>
            </w:r>
          </w:p>
        </w:tc>
        <w:tc>
          <w:tcPr>
            <w:tcW w:w="1137" w:type="dxa"/>
            <w:tcBorders>
              <w:top w:val="single" w:sz="4" w:space="0" w:color="auto"/>
              <w:left w:val="nil"/>
              <w:bottom w:val="single" w:sz="4" w:space="0" w:color="auto"/>
              <w:right w:val="nil"/>
            </w:tcBorders>
            <w:vAlign w:val="center"/>
            <w:hideMark/>
          </w:tcPr>
          <w:p w14:paraId="0E0C13BF" w14:textId="77777777" w:rsidR="004609BC" w:rsidRPr="0053182F" w:rsidRDefault="004609BC" w:rsidP="00D20468">
            <w:pPr>
              <w:spacing w:line="240" w:lineRule="auto"/>
              <w:rPr>
                <w:b/>
                <w:bCs/>
                <w:sz w:val="22"/>
                <w:szCs w:val="22"/>
              </w:rPr>
            </w:pPr>
            <w:r w:rsidRPr="0053182F">
              <w:rPr>
                <w:b/>
                <w:bCs/>
                <w:sz w:val="22"/>
                <w:szCs w:val="22"/>
              </w:rPr>
              <w:t>RL</w:t>
            </w:r>
          </w:p>
        </w:tc>
        <w:tc>
          <w:tcPr>
            <w:tcW w:w="4592" w:type="dxa"/>
            <w:tcBorders>
              <w:top w:val="single" w:sz="4" w:space="0" w:color="auto"/>
              <w:left w:val="nil"/>
              <w:bottom w:val="single" w:sz="4" w:space="0" w:color="auto"/>
              <w:right w:val="nil"/>
            </w:tcBorders>
            <w:vAlign w:val="center"/>
            <w:hideMark/>
          </w:tcPr>
          <w:p w14:paraId="005E3346" w14:textId="77777777" w:rsidR="004609BC" w:rsidRPr="0053182F" w:rsidRDefault="004609BC" w:rsidP="00D20468">
            <w:pPr>
              <w:spacing w:line="240" w:lineRule="auto"/>
              <w:ind w:left="51"/>
              <w:jc w:val="both"/>
              <w:rPr>
                <w:sz w:val="22"/>
                <w:szCs w:val="22"/>
              </w:rPr>
            </w:pPr>
            <w:r w:rsidRPr="0053182F">
              <w:rPr>
                <w:sz w:val="22"/>
                <w:szCs w:val="22"/>
              </w:rPr>
              <w:t>The extent to which individuals have confidence in and abide by the rules of society, including the enforcement of contracts, property rights, and the functioning of the judiciary.</w:t>
            </w:r>
          </w:p>
        </w:tc>
        <w:sdt>
          <w:sdtPr>
            <w:rPr>
              <w:sz w:val="22"/>
              <w:szCs w:val="22"/>
            </w:rPr>
            <w:tag w:val="MENDELEY_CITATION_v3_eyJjaXRhdGlvbklEIjoiTUVOREVMRVlfQ0lUQVRJT05fNDM3N2QxZGItMzdjNC00ZGNhLTk3YzYtYzU5MzVjNDYxYmUw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
            <w:id w:val="-289211543"/>
            <w:placeholder>
              <w:docPart w:val="4D84874EE41746A7AD3A077ED870D2E4"/>
            </w:placeholder>
          </w:sdtPr>
          <w:sdtContent>
            <w:tc>
              <w:tcPr>
                <w:tcW w:w="1479" w:type="dxa"/>
                <w:tcBorders>
                  <w:top w:val="single" w:sz="4" w:space="0" w:color="auto"/>
                  <w:left w:val="nil"/>
                  <w:bottom w:val="single" w:sz="4" w:space="0" w:color="auto"/>
                  <w:right w:val="nil"/>
                </w:tcBorders>
                <w:hideMark/>
              </w:tcPr>
              <w:p w14:paraId="38E1B057" w14:textId="77777777" w:rsidR="004609BC" w:rsidRPr="0053182F" w:rsidRDefault="004609BC" w:rsidP="00D20468">
                <w:pPr>
                  <w:spacing w:line="240" w:lineRule="auto"/>
                  <w:jc w:val="both"/>
                  <w:rPr>
                    <w:sz w:val="22"/>
                    <w:szCs w:val="22"/>
                  </w:rPr>
                </w:pPr>
                <w:r w:rsidRPr="0053182F">
                  <w:rPr>
                    <w:sz w:val="22"/>
                    <w:szCs w:val="22"/>
                  </w:rPr>
                  <w:t>(Kaufmann, 2022)</w:t>
                </w:r>
              </w:p>
            </w:tc>
          </w:sdtContent>
        </w:sdt>
      </w:tr>
      <w:tr w:rsidR="004609BC" w:rsidRPr="0053182F" w14:paraId="7449F4E3" w14:textId="77777777" w:rsidTr="00D20468">
        <w:trPr>
          <w:trHeight w:val="914"/>
        </w:trPr>
        <w:tc>
          <w:tcPr>
            <w:tcW w:w="1818" w:type="dxa"/>
            <w:vAlign w:val="center"/>
            <w:hideMark/>
          </w:tcPr>
          <w:p w14:paraId="60248175" w14:textId="77777777" w:rsidR="004609BC" w:rsidRPr="0053182F" w:rsidRDefault="004609BC" w:rsidP="00D20468">
            <w:pPr>
              <w:spacing w:line="240" w:lineRule="auto"/>
              <w:rPr>
                <w:sz w:val="22"/>
                <w:szCs w:val="22"/>
              </w:rPr>
            </w:pPr>
            <w:r w:rsidRPr="0053182F">
              <w:rPr>
                <w:sz w:val="22"/>
                <w:szCs w:val="22"/>
              </w:rPr>
              <w:t>Voice and Accountability</w:t>
            </w:r>
          </w:p>
        </w:tc>
        <w:tc>
          <w:tcPr>
            <w:tcW w:w="1137" w:type="dxa"/>
            <w:tcBorders>
              <w:top w:val="single" w:sz="4" w:space="0" w:color="auto"/>
              <w:left w:val="nil"/>
              <w:bottom w:val="single" w:sz="4" w:space="0" w:color="auto"/>
              <w:right w:val="nil"/>
            </w:tcBorders>
            <w:vAlign w:val="center"/>
            <w:hideMark/>
          </w:tcPr>
          <w:p w14:paraId="738755D2" w14:textId="77777777" w:rsidR="004609BC" w:rsidRPr="0053182F" w:rsidRDefault="004609BC" w:rsidP="00D20468">
            <w:pPr>
              <w:spacing w:line="240" w:lineRule="auto"/>
              <w:rPr>
                <w:b/>
                <w:bCs/>
                <w:sz w:val="22"/>
                <w:szCs w:val="22"/>
              </w:rPr>
            </w:pPr>
            <w:r w:rsidRPr="0053182F">
              <w:rPr>
                <w:b/>
                <w:bCs/>
                <w:sz w:val="22"/>
                <w:szCs w:val="22"/>
              </w:rPr>
              <w:t>VA</w:t>
            </w:r>
          </w:p>
        </w:tc>
        <w:tc>
          <w:tcPr>
            <w:tcW w:w="4592" w:type="dxa"/>
            <w:tcBorders>
              <w:top w:val="single" w:sz="4" w:space="0" w:color="auto"/>
              <w:left w:val="nil"/>
              <w:bottom w:val="single" w:sz="4" w:space="0" w:color="auto"/>
              <w:right w:val="nil"/>
            </w:tcBorders>
            <w:vAlign w:val="center"/>
            <w:hideMark/>
          </w:tcPr>
          <w:p w14:paraId="29F43DD8" w14:textId="77777777" w:rsidR="004609BC" w:rsidRPr="0053182F" w:rsidRDefault="004609BC" w:rsidP="00D20468">
            <w:pPr>
              <w:spacing w:line="240" w:lineRule="auto"/>
              <w:jc w:val="both"/>
              <w:rPr>
                <w:sz w:val="22"/>
                <w:szCs w:val="22"/>
              </w:rPr>
            </w:pPr>
            <w:r w:rsidRPr="0053182F">
              <w:rPr>
                <w:sz w:val="22"/>
                <w:szCs w:val="22"/>
              </w:rPr>
              <w:t>The extent to which citizens are able to participate in selecting their government and enjoy the freedom of expression, association, and media.</w:t>
            </w:r>
          </w:p>
        </w:tc>
        <w:sdt>
          <w:sdtPr>
            <w:rPr>
              <w:sz w:val="22"/>
              <w:szCs w:val="22"/>
            </w:rPr>
            <w:tag w:val="MENDELEY_CITATION_v3_eyJjaXRhdGlvbklEIjoiTUVOREVMRVlfQ0lUQVRJT05fZjVjODMzOWMtZGFmOC00ZTBjLTk2MTAtOGZmYzgyZGI2YmEx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
            <w:id w:val="617497369"/>
            <w:placeholder>
              <w:docPart w:val="65FD81F7339047EFA1F53A1465466165"/>
            </w:placeholder>
          </w:sdtPr>
          <w:sdtContent>
            <w:tc>
              <w:tcPr>
                <w:tcW w:w="1479" w:type="dxa"/>
                <w:tcBorders>
                  <w:top w:val="single" w:sz="4" w:space="0" w:color="auto"/>
                  <w:left w:val="nil"/>
                  <w:bottom w:val="single" w:sz="4" w:space="0" w:color="auto"/>
                  <w:right w:val="nil"/>
                </w:tcBorders>
                <w:hideMark/>
              </w:tcPr>
              <w:p w14:paraId="19F55852" w14:textId="77777777" w:rsidR="004609BC" w:rsidRPr="0053182F" w:rsidRDefault="004609BC" w:rsidP="00D20468">
                <w:pPr>
                  <w:spacing w:line="240" w:lineRule="auto"/>
                  <w:jc w:val="both"/>
                  <w:rPr>
                    <w:sz w:val="22"/>
                    <w:szCs w:val="22"/>
                  </w:rPr>
                </w:pPr>
                <w:r w:rsidRPr="0053182F">
                  <w:rPr>
                    <w:sz w:val="22"/>
                    <w:szCs w:val="22"/>
                  </w:rPr>
                  <w:t>(Kaufmann, 2022)</w:t>
                </w:r>
              </w:p>
            </w:tc>
          </w:sdtContent>
        </w:sdt>
      </w:tr>
      <w:tr w:rsidR="004609BC" w:rsidRPr="0053182F" w14:paraId="6776F6A0" w14:textId="77777777" w:rsidTr="00D20468">
        <w:trPr>
          <w:trHeight w:val="914"/>
        </w:trPr>
        <w:tc>
          <w:tcPr>
            <w:tcW w:w="1818" w:type="dxa"/>
            <w:vAlign w:val="center"/>
            <w:hideMark/>
          </w:tcPr>
          <w:p w14:paraId="5444A405" w14:textId="77777777" w:rsidR="004609BC" w:rsidRPr="0053182F" w:rsidRDefault="004609BC" w:rsidP="00D20468">
            <w:pPr>
              <w:spacing w:line="240" w:lineRule="auto"/>
              <w:rPr>
                <w:sz w:val="22"/>
                <w:szCs w:val="22"/>
              </w:rPr>
            </w:pPr>
            <w:r w:rsidRPr="0053182F">
              <w:rPr>
                <w:sz w:val="22"/>
                <w:szCs w:val="22"/>
              </w:rPr>
              <w:t>Regulatory Quality</w:t>
            </w:r>
          </w:p>
        </w:tc>
        <w:tc>
          <w:tcPr>
            <w:tcW w:w="1137" w:type="dxa"/>
            <w:tcBorders>
              <w:top w:val="single" w:sz="4" w:space="0" w:color="auto"/>
              <w:left w:val="nil"/>
              <w:bottom w:val="single" w:sz="4" w:space="0" w:color="auto"/>
              <w:right w:val="nil"/>
            </w:tcBorders>
            <w:vAlign w:val="center"/>
            <w:hideMark/>
          </w:tcPr>
          <w:p w14:paraId="685541E2" w14:textId="77777777" w:rsidR="004609BC" w:rsidRPr="0053182F" w:rsidRDefault="004609BC" w:rsidP="00D20468">
            <w:pPr>
              <w:spacing w:line="240" w:lineRule="auto"/>
              <w:rPr>
                <w:b/>
                <w:bCs/>
                <w:sz w:val="22"/>
                <w:szCs w:val="22"/>
              </w:rPr>
            </w:pPr>
            <w:r w:rsidRPr="0053182F">
              <w:rPr>
                <w:b/>
                <w:bCs/>
                <w:sz w:val="22"/>
                <w:szCs w:val="22"/>
              </w:rPr>
              <w:t>RQ</w:t>
            </w:r>
          </w:p>
        </w:tc>
        <w:tc>
          <w:tcPr>
            <w:tcW w:w="4592" w:type="dxa"/>
            <w:tcBorders>
              <w:top w:val="single" w:sz="4" w:space="0" w:color="auto"/>
              <w:left w:val="nil"/>
              <w:bottom w:val="single" w:sz="4" w:space="0" w:color="auto"/>
              <w:right w:val="nil"/>
            </w:tcBorders>
            <w:vAlign w:val="center"/>
            <w:hideMark/>
          </w:tcPr>
          <w:p w14:paraId="29CD74C9" w14:textId="77777777" w:rsidR="004609BC" w:rsidRPr="0053182F" w:rsidRDefault="004609BC" w:rsidP="00D20468">
            <w:pPr>
              <w:spacing w:line="240" w:lineRule="auto"/>
              <w:jc w:val="both"/>
              <w:rPr>
                <w:sz w:val="22"/>
                <w:szCs w:val="22"/>
              </w:rPr>
            </w:pPr>
            <w:r w:rsidRPr="0053182F">
              <w:rPr>
                <w:sz w:val="22"/>
                <w:szCs w:val="22"/>
              </w:rPr>
              <w:t>Ability of the government to formulate and implement sound policies and regulations for private sector development.</w:t>
            </w:r>
          </w:p>
        </w:tc>
        <w:sdt>
          <w:sdtPr>
            <w:rPr>
              <w:sz w:val="22"/>
              <w:szCs w:val="22"/>
            </w:rPr>
            <w:tag w:val="MENDELEY_CITATION_v3_eyJjaXRhdGlvbklEIjoiTUVOREVMRVlfQ0lUQVRJT05fMjUwMDk1NGMtZDZhZS00MWY4LTlhMTktYWI1YjYxODAzNTJj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
            <w:id w:val="947119914"/>
            <w:placeholder>
              <w:docPart w:val="7CCCF00AE713436FBACCA23D0F1DB4D3"/>
            </w:placeholder>
          </w:sdtPr>
          <w:sdtContent>
            <w:tc>
              <w:tcPr>
                <w:tcW w:w="1479" w:type="dxa"/>
                <w:tcBorders>
                  <w:top w:val="single" w:sz="4" w:space="0" w:color="auto"/>
                  <w:left w:val="nil"/>
                  <w:bottom w:val="single" w:sz="4" w:space="0" w:color="auto"/>
                  <w:right w:val="nil"/>
                </w:tcBorders>
                <w:hideMark/>
              </w:tcPr>
              <w:p w14:paraId="4A061C42" w14:textId="77777777" w:rsidR="004609BC" w:rsidRPr="0053182F" w:rsidRDefault="004609BC" w:rsidP="00D20468">
                <w:pPr>
                  <w:spacing w:line="240" w:lineRule="auto"/>
                  <w:jc w:val="both"/>
                  <w:rPr>
                    <w:sz w:val="22"/>
                    <w:szCs w:val="22"/>
                  </w:rPr>
                </w:pPr>
                <w:r w:rsidRPr="0053182F">
                  <w:rPr>
                    <w:sz w:val="22"/>
                    <w:szCs w:val="22"/>
                  </w:rPr>
                  <w:t>(Kaufmann, 2022)</w:t>
                </w:r>
              </w:p>
            </w:tc>
          </w:sdtContent>
        </w:sdt>
      </w:tr>
      <w:tr w:rsidR="004609BC" w:rsidRPr="0053182F" w14:paraId="538498A5" w14:textId="77777777" w:rsidTr="00D20468">
        <w:trPr>
          <w:trHeight w:val="609"/>
        </w:trPr>
        <w:tc>
          <w:tcPr>
            <w:tcW w:w="1818" w:type="dxa"/>
            <w:vAlign w:val="center"/>
            <w:hideMark/>
          </w:tcPr>
          <w:p w14:paraId="59E0527B" w14:textId="77777777" w:rsidR="004609BC" w:rsidRPr="0053182F" w:rsidRDefault="004609BC" w:rsidP="00D20468">
            <w:pPr>
              <w:spacing w:line="240" w:lineRule="auto"/>
              <w:rPr>
                <w:sz w:val="22"/>
                <w:szCs w:val="22"/>
              </w:rPr>
            </w:pPr>
            <w:r w:rsidRPr="0053182F">
              <w:rPr>
                <w:sz w:val="22"/>
                <w:szCs w:val="22"/>
              </w:rPr>
              <w:t>Government Effectiveness</w:t>
            </w:r>
          </w:p>
        </w:tc>
        <w:tc>
          <w:tcPr>
            <w:tcW w:w="1137" w:type="dxa"/>
            <w:tcBorders>
              <w:top w:val="single" w:sz="4" w:space="0" w:color="auto"/>
              <w:left w:val="nil"/>
              <w:bottom w:val="single" w:sz="4" w:space="0" w:color="auto"/>
              <w:right w:val="nil"/>
            </w:tcBorders>
            <w:vAlign w:val="center"/>
            <w:hideMark/>
          </w:tcPr>
          <w:p w14:paraId="0DC92A47" w14:textId="77777777" w:rsidR="004609BC" w:rsidRPr="0053182F" w:rsidRDefault="004609BC" w:rsidP="00D20468">
            <w:pPr>
              <w:spacing w:line="240" w:lineRule="auto"/>
              <w:rPr>
                <w:b/>
                <w:bCs/>
                <w:sz w:val="22"/>
                <w:szCs w:val="22"/>
              </w:rPr>
            </w:pPr>
            <w:r w:rsidRPr="0053182F">
              <w:rPr>
                <w:b/>
                <w:bCs/>
                <w:sz w:val="22"/>
                <w:szCs w:val="22"/>
              </w:rPr>
              <w:t>GE</w:t>
            </w:r>
          </w:p>
        </w:tc>
        <w:tc>
          <w:tcPr>
            <w:tcW w:w="4592" w:type="dxa"/>
            <w:tcBorders>
              <w:top w:val="single" w:sz="4" w:space="0" w:color="auto"/>
              <w:left w:val="nil"/>
              <w:bottom w:val="single" w:sz="4" w:space="0" w:color="auto"/>
              <w:right w:val="nil"/>
            </w:tcBorders>
            <w:vAlign w:val="center"/>
            <w:hideMark/>
          </w:tcPr>
          <w:p w14:paraId="7967A75A" w14:textId="77777777" w:rsidR="004609BC" w:rsidRPr="0053182F" w:rsidRDefault="004609BC" w:rsidP="00D20468">
            <w:pPr>
              <w:spacing w:line="240" w:lineRule="auto"/>
              <w:jc w:val="both"/>
              <w:rPr>
                <w:sz w:val="22"/>
                <w:szCs w:val="22"/>
              </w:rPr>
            </w:pPr>
            <w:r w:rsidRPr="0053182F">
              <w:rPr>
                <w:sz w:val="22"/>
                <w:szCs w:val="22"/>
              </w:rPr>
              <w:t>Quality of public services, civil service competence, and government policy credibility.</w:t>
            </w:r>
          </w:p>
        </w:tc>
        <w:sdt>
          <w:sdtPr>
            <w:rPr>
              <w:sz w:val="22"/>
              <w:szCs w:val="22"/>
            </w:rPr>
            <w:tag w:val="MENDELEY_CITATION_v3_eyJjaXRhdGlvbklEIjoiTUVOREVMRVlfQ0lUQVRJT05fM2EzZGQyN2MtYTE2Ni00Nzg5LTgzYzctNjQxNWUyZDg2MzVm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
            <w:id w:val="-2088291682"/>
            <w:placeholder>
              <w:docPart w:val="A07846A41EAC4904B2E09F108678B5C9"/>
            </w:placeholder>
          </w:sdtPr>
          <w:sdtContent>
            <w:tc>
              <w:tcPr>
                <w:tcW w:w="1479" w:type="dxa"/>
                <w:tcBorders>
                  <w:top w:val="single" w:sz="4" w:space="0" w:color="auto"/>
                  <w:left w:val="nil"/>
                  <w:bottom w:val="single" w:sz="4" w:space="0" w:color="auto"/>
                  <w:right w:val="nil"/>
                </w:tcBorders>
                <w:hideMark/>
              </w:tcPr>
              <w:p w14:paraId="188C256D" w14:textId="77777777" w:rsidR="004609BC" w:rsidRPr="0053182F" w:rsidRDefault="004609BC" w:rsidP="00D20468">
                <w:pPr>
                  <w:spacing w:line="240" w:lineRule="auto"/>
                  <w:jc w:val="both"/>
                  <w:rPr>
                    <w:sz w:val="22"/>
                    <w:szCs w:val="22"/>
                  </w:rPr>
                </w:pPr>
                <w:r w:rsidRPr="0053182F">
                  <w:rPr>
                    <w:sz w:val="22"/>
                    <w:szCs w:val="22"/>
                  </w:rPr>
                  <w:t>(Kaufmann, 2022)</w:t>
                </w:r>
              </w:p>
            </w:tc>
          </w:sdtContent>
        </w:sdt>
      </w:tr>
      <w:tr w:rsidR="004609BC" w:rsidRPr="0053182F" w14:paraId="278B8E6D" w14:textId="77777777" w:rsidTr="00D20468">
        <w:trPr>
          <w:trHeight w:val="914"/>
        </w:trPr>
        <w:tc>
          <w:tcPr>
            <w:tcW w:w="1818" w:type="dxa"/>
            <w:tcBorders>
              <w:top w:val="nil"/>
              <w:left w:val="nil"/>
              <w:bottom w:val="single" w:sz="4" w:space="0" w:color="auto"/>
              <w:right w:val="nil"/>
            </w:tcBorders>
            <w:vAlign w:val="center"/>
            <w:hideMark/>
          </w:tcPr>
          <w:p w14:paraId="20E0C7D0" w14:textId="77777777" w:rsidR="004609BC" w:rsidRPr="0053182F" w:rsidRDefault="004609BC" w:rsidP="00D20468">
            <w:pPr>
              <w:spacing w:line="240" w:lineRule="auto"/>
              <w:rPr>
                <w:sz w:val="22"/>
                <w:szCs w:val="22"/>
              </w:rPr>
            </w:pPr>
            <w:r w:rsidRPr="0053182F">
              <w:rPr>
                <w:sz w:val="22"/>
                <w:szCs w:val="22"/>
              </w:rPr>
              <w:t>Control of Corruption</w:t>
            </w:r>
          </w:p>
        </w:tc>
        <w:tc>
          <w:tcPr>
            <w:tcW w:w="1137" w:type="dxa"/>
            <w:tcBorders>
              <w:top w:val="single" w:sz="4" w:space="0" w:color="auto"/>
              <w:left w:val="nil"/>
              <w:bottom w:val="single" w:sz="4" w:space="0" w:color="auto"/>
              <w:right w:val="nil"/>
            </w:tcBorders>
            <w:vAlign w:val="center"/>
            <w:hideMark/>
          </w:tcPr>
          <w:p w14:paraId="6A5E302E" w14:textId="77777777" w:rsidR="004609BC" w:rsidRPr="0053182F" w:rsidRDefault="004609BC" w:rsidP="00D20468">
            <w:pPr>
              <w:spacing w:line="240" w:lineRule="auto"/>
              <w:rPr>
                <w:b/>
                <w:bCs/>
                <w:sz w:val="22"/>
                <w:szCs w:val="22"/>
              </w:rPr>
            </w:pPr>
            <w:r w:rsidRPr="0053182F">
              <w:rPr>
                <w:b/>
                <w:bCs/>
                <w:sz w:val="22"/>
                <w:szCs w:val="22"/>
              </w:rPr>
              <w:t>CC</w:t>
            </w:r>
          </w:p>
        </w:tc>
        <w:tc>
          <w:tcPr>
            <w:tcW w:w="4592" w:type="dxa"/>
            <w:tcBorders>
              <w:top w:val="single" w:sz="4" w:space="0" w:color="auto"/>
              <w:left w:val="nil"/>
              <w:bottom w:val="single" w:sz="4" w:space="0" w:color="auto"/>
              <w:right w:val="nil"/>
            </w:tcBorders>
            <w:vAlign w:val="center"/>
            <w:hideMark/>
          </w:tcPr>
          <w:p w14:paraId="3A6B48B3" w14:textId="77777777" w:rsidR="004609BC" w:rsidRPr="0053182F" w:rsidRDefault="004609BC" w:rsidP="00D20468">
            <w:pPr>
              <w:spacing w:line="240" w:lineRule="auto"/>
              <w:jc w:val="both"/>
              <w:rPr>
                <w:sz w:val="22"/>
                <w:szCs w:val="22"/>
              </w:rPr>
            </w:pPr>
            <w:r w:rsidRPr="0053182F">
              <w:rPr>
                <w:sz w:val="22"/>
                <w:szCs w:val="22"/>
              </w:rPr>
              <w:t>The degree to which public power is exercised for private gain, including efforts to combat petty and grand corruption.</w:t>
            </w:r>
          </w:p>
        </w:tc>
        <w:sdt>
          <w:sdtPr>
            <w:rPr>
              <w:sz w:val="22"/>
              <w:szCs w:val="22"/>
            </w:rPr>
            <w:tag w:val="MENDELEY_CITATION_v3_eyJjaXRhdGlvbklEIjoiTUVOREVMRVlfQ0lUQVRJT05fMTk0NTM3YjEtMmE0Yy00NDQ3LTk4YzUtYjYxMzc2NDVlNTM0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
            <w:id w:val="-2090683139"/>
            <w:placeholder>
              <w:docPart w:val="C9A75205EE8B4477B118110B06CCBB9E"/>
            </w:placeholder>
          </w:sdtPr>
          <w:sdtContent>
            <w:tc>
              <w:tcPr>
                <w:tcW w:w="1479" w:type="dxa"/>
                <w:tcBorders>
                  <w:top w:val="single" w:sz="4" w:space="0" w:color="auto"/>
                  <w:left w:val="nil"/>
                  <w:bottom w:val="single" w:sz="4" w:space="0" w:color="auto"/>
                  <w:right w:val="nil"/>
                </w:tcBorders>
                <w:hideMark/>
              </w:tcPr>
              <w:p w14:paraId="40D0DBC3" w14:textId="77777777" w:rsidR="004609BC" w:rsidRPr="0053182F" w:rsidRDefault="004609BC" w:rsidP="00D20468">
                <w:pPr>
                  <w:spacing w:line="240" w:lineRule="auto"/>
                  <w:jc w:val="both"/>
                  <w:rPr>
                    <w:sz w:val="22"/>
                    <w:szCs w:val="22"/>
                  </w:rPr>
                </w:pPr>
                <w:r w:rsidRPr="0053182F">
                  <w:rPr>
                    <w:sz w:val="22"/>
                    <w:szCs w:val="22"/>
                  </w:rPr>
                  <w:t>(Kaufmann, 2022)</w:t>
                </w:r>
              </w:p>
            </w:tc>
          </w:sdtContent>
        </w:sdt>
      </w:tr>
    </w:tbl>
    <w:p w14:paraId="4AF5A697" w14:textId="77777777" w:rsidR="004609BC" w:rsidRPr="0053182F" w:rsidRDefault="004609BC" w:rsidP="004609BC">
      <w:pPr>
        <w:pStyle w:val="NormalWeb"/>
        <w:spacing w:after="0" w:line="480" w:lineRule="auto"/>
        <w:ind w:firstLine="720"/>
        <w:jc w:val="both"/>
        <w:rPr>
          <w:color w:val="EE0000"/>
        </w:rPr>
      </w:pPr>
      <w:r w:rsidRPr="0053182F">
        <w:rPr>
          <w:color w:val="EE0000"/>
        </w:rPr>
        <w:t xml:space="preserve">In the context of  MS, IEQ is theoretically salient because exploitative labour practices flourish where governance systems are weak, enforcement is inconsistent, and institutional accountability is limited </w:t>
      </w:r>
      <w:sdt>
        <w:sdtPr>
          <w:rPr>
            <w:color w:val="EE0000"/>
          </w:rPr>
          <w:tag w:val="MENDELEY_CITATION_v3_eyJjaXRhdGlvbklEIjoiTUVOREVMRVlfQ0lUQVRJT05fYTU2MjRjMzgtZmFmMi00NWJmLWJmMDItZGM5ZDVlNWNhMGIxIiwicHJvcGVydGllcyI6eyJub3RlSW5kZXgiOjB9LCJpc0VkaXRlZCI6ZmFsc2UsIm1hbnVhbE92ZXJyaWRlIjp7ImlzTWFudWFsbHlPdmVycmlkZGVuIjpmYWxzZSwiY2l0ZXByb2NUZXh0IjoiKEFsYml0YXIgPGk+ZXQgYWwuPC9pPiwgMjAyNTsgQ3JhbmUgPGk+ZXQgYWwuPC9pPiwgMjAxO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0s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XX0="/>
          <w:id w:val="-623155462"/>
          <w:placeholder>
            <w:docPart w:val="DBB2DD9EDFE14BC38D7ED5C80C44FECC"/>
          </w:placeholder>
        </w:sdtPr>
        <w:sdtContent>
          <w:r w:rsidRPr="0053182F">
            <w:rPr>
              <w:color w:val="EE0000"/>
            </w:rPr>
            <w:t xml:space="preserve">(Albitar </w:t>
          </w:r>
          <w:r w:rsidRPr="0053182F">
            <w:rPr>
              <w:i/>
              <w:iCs/>
              <w:color w:val="EE0000"/>
            </w:rPr>
            <w:t>et al.</w:t>
          </w:r>
          <w:r w:rsidRPr="0053182F">
            <w:rPr>
              <w:color w:val="EE0000"/>
            </w:rPr>
            <w:t xml:space="preserve">, 2025; Crane </w:t>
          </w:r>
          <w:r w:rsidRPr="0053182F">
            <w:rPr>
              <w:i/>
              <w:iCs/>
              <w:color w:val="EE0000"/>
            </w:rPr>
            <w:t>et al.</w:t>
          </w:r>
          <w:r w:rsidRPr="0053182F">
            <w:rPr>
              <w:color w:val="EE0000"/>
            </w:rPr>
            <w:t xml:space="preserve">, 2019; Moussa </w:t>
          </w:r>
          <w:r w:rsidRPr="0053182F">
            <w:rPr>
              <w:i/>
              <w:iCs/>
              <w:color w:val="EE0000"/>
            </w:rPr>
            <w:t>et al.</w:t>
          </w:r>
          <w:r w:rsidRPr="0053182F">
            <w:rPr>
              <w:color w:val="EE0000"/>
            </w:rPr>
            <w:t>, 2022)</w:t>
          </w:r>
        </w:sdtContent>
      </w:sdt>
      <w:r w:rsidRPr="0053182F">
        <w:rPr>
          <w:color w:val="EE0000"/>
        </w:rPr>
        <w:t xml:space="preserve">. MS is not merely a labour market failure but an institutional outcome shaped by the capacity of states to regulate markets, protect vulnerable populations, and sanction violations </w:t>
      </w:r>
      <w:sdt>
        <w:sdtPr>
          <w:rPr>
            <w:color w:val="EE0000"/>
          </w:rPr>
          <w:tag w:val="MENDELEY_CITATION_v3_eyJjaXRhdGlvbklEIjoiTUVOREVMRVlfQ0lUQVRJT05fZGE1ZDRmMDItZWM5OC00NTRmLWI5YjctYmMyODdkMGI4MGMw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896318514"/>
          <w:placeholder>
            <w:docPart w:val="4BF7FF4DA2334CB5BC9421A334F9E1B3"/>
          </w:placeholder>
        </w:sdtPr>
        <w:sdtContent>
          <w:r w:rsidRPr="0053182F">
            <w:rPr>
              <w:color w:val="EE0000"/>
            </w:rPr>
            <w:t xml:space="preserve">(Muthuthantrige </w:t>
          </w:r>
          <w:r w:rsidRPr="0053182F">
            <w:rPr>
              <w:i/>
              <w:iCs/>
              <w:color w:val="EE0000"/>
            </w:rPr>
            <w:t>et al.</w:t>
          </w:r>
          <w:r w:rsidRPr="0053182F">
            <w:rPr>
              <w:color w:val="EE0000"/>
            </w:rPr>
            <w:t>, 2026)</w:t>
          </w:r>
        </w:sdtContent>
      </w:sdt>
      <w:r w:rsidRPr="0053182F">
        <w:rPr>
          <w:color w:val="EE0000"/>
        </w:rPr>
        <w:t xml:space="preserve">. As this thesis seeks to explain cross-country variation in MS prevalence, vulnerability, and mitigation capacity, IEQ represents a foundational structural condition that conditions whether anti-slavery laws and policies translate into meaningful protection on the ground </w:t>
      </w:r>
      <w:sdt>
        <w:sdtPr>
          <w:rPr>
            <w:color w:val="EE0000"/>
          </w:rPr>
          <w:tag w:val="MENDELEY_CITATION_v3_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1616479483"/>
          <w:placeholder>
            <w:docPart w:val="4BF7FF4DA2334CB5BC9421A334F9E1B3"/>
          </w:placeholder>
        </w:sdtPr>
        <w:sdtContent>
          <w:r w:rsidRPr="0053182F">
            <w:rPr>
              <w:color w:val="EE0000"/>
            </w:rPr>
            <w:t xml:space="preserve">(Ahmed </w:t>
          </w:r>
          <w:r w:rsidRPr="0053182F">
            <w:rPr>
              <w:i/>
              <w:iCs/>
              <w:color w:val="EE0000"/>
            </w:rPr>
            <w:t>et al.</w:t>
          </w:r>
          <w:r w:rsidRPr="0053182F">
            <w:rPr>
              <w:color w:val="EE0000"/>
            </w:rPr>
            <w:t xml:space="preserve">, 2025; Moussa </w:t>
          </w:r>
          <w:r w:rsidRPr="0053182F">
            <w:rPr>
              <w:i/>
              <w:iCs/>
              <w:color w:val="EE0000"/>
            </w:rPr>
            <w:t>et al.</w:t>
          </w:r>
          <w:r w:rsidRPr="0053182F">
            <w:rPr>
              <w:color w:val="EE0000"/>
            </w:rPr>
            <w:t>, 2022)</w:t>
          </w:r>
        </w:sdtContent>
      </w:sdt>
      <w:r w:rsidRPr="0053182F">
        <w:rPr>
          <w:color w:val="EE0000"/>
        </w:rPr>
        <w:t xml:space="preserve">. Extant empirical research consistently indicates that MS risks are patterned by national governance capacity and institutional integrity. Across cross-country studies, weak institutional environments—characterised by ineffective regulation, limited accountability, and poor legal enforcement—are repeatedly associated with higher levels of labour exploitation, trafficking, and forced labour outcomes </w:t>
      </w:r>
      <w:sdt>
        <w:sdtPr>
          <w:rPr>
            <w:color w:val="EE0000"/>
          </w:rPr>
          <w:tag w:val="MENDELEY_CITATION_v3_eyJjaXRhdGlvbklEIjoiTUVOREVMRVlfQ0lUQVRJT05fMDRmODQyM2ItODQ3OS00Zjc1LWJjZDUtOGVlYzYwZGQ3YWJiIiwicHJvcGVydGllcyI6eyJub3RlSW5kZXgiOjB9LCJpc0VkaXRlZCI6ZmFsc2UsIm1hbnVhbE92ZXJyaWRlIjp7ImlzTWFudWFsbHlPdmVycmlkZGVuIjpmYWxzZSwiY2l0ZXByb2NUZXh0IjoiKEhvdXFlIGFuZCBLaGFuLCAyMDI1KSIsIm1hbnVhbE92ZXJyaWRlVGV4dCI6Ii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fSwiaXNUZW1wb3JhcnkiOmZhbHNlfV19"/>
          <w:id w:val="-520935148"/>
          <w:placeholder>
            <w:docPart w:val="4BF7FF4DA2334CB5BC9421A334F9E1B3"/>
          </w:placeholder>
        </w:sdtPr>
        <w:sdtContent>
          <w:r w:rsidRPr="0053182F">
            <w:rPr>
              <w:color w:val="EE0000"/>
            </w:rPr>
            <w:t>(Houqe and Khan, 2025)</w:t>
          </w:r>
        </w:sdtContent>
      </w:sdt>
      <w:r w:rsidRPr="0053182F">
        <w:rPr>
          <w:color w:val="EE0000"/>
        </w:rPr>
        <w:t xml:space="preserve">. Conversely, stronger institutional settings tend to exhibit lower prevalence of exploitation and greater capacity to detect, deter, and remediate abuses through functioning legal systems and administrative enforcement </w:t>
      </w:r>
      <w:sdt>
        <w:sdtPr>
          <w:rPr>
            <w:color w:val="EE0000"/>
          </w:rPr>
          <w:tag w:val="MENDELEY_CITATION_v3_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2106372051"/>
          <w:placeholder>
            <w:docPart w:val="4BF7FF4DA2334CB5BC9421A334F9E1B3"/>
          </w:placeholder>
        </w:sdtPr>
        <w:sdtContent>
          <w:r w:rsidRPr="0053182F">
            <w:rPr>
              <w:color w:val="EE0000"/>
            </w:rPr>
            <w:t xml:space="preserve">(Fudge, 2018; Moussa </w:t>
          </w:r>
          <w:r w:rsidRPr="0053182F">
            <w:rPr>
              <w:i/>
              <w:iCs/>
              <w:color w:val="EE0000"/>
            </w:rPr>
            <w:t>et al.</w:t>
          </w:r>
          <w:r w:rsidRPr="0053182F">
            <w:rPr>
              <w:color w:val="EE0000"/>
            </w:rPr>
            <w:t>, 2022)</w:t>
          </w:r>
        </w:sdtContent>
      </w:sdt>
      <w:r w:rsidRPr="0053182F">
        <w:rPr>
          <w:color w:val="EE0000"/>
        </w:rPr>
        <w:t>.</w:t>
      </w:r>
    </w:p>
    <w:p w14:paraId="4D04CFE3"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A first strand of evidence highlights the importance of rule-of-law institutions and enforcement capacity </w:t>
      </w:r>
      <w:sdt>
        <w:sdtPr>
          <w:rPr>
            <w:color w:val="EE0000"/>
          </w:rPr>
          <w:tag w:val="MENDELEY_CITATION_v3_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
          <w:id w:val="-1036270209"/>
          <w:placeholder>
            <w:docPart w:val="4BF7FF4DA2334CB5BC9421A334F9E1B3"/>
          </w:placeholder>
        </w:sdtPr>
        <w:sdtContent>
          <w:r w:rsidRPr="0053182F">
            <w:rPr>
              <w:color w:val="EE0000"/>
            </w:rPr>
            <w:t xml:space="preserve">(Crane </w:t>
          </w:r>
          <w:r w:rsidRPr="0053182F">
            <w:rPr>
              <w:i/>
              <w:iCs/>
              <w:color w:val="EE0000"/>
            </w:rPr>
            <w:t>et al.</w:t>
          </w:r>
          <w:r w:rsidRPr="0053182F">
            <w:rPr>
              <w:color w:val="EE0000"/>
            </w:rPr>
            <w:t>, 2019; Lebaron, 2018)</w:t>
          </w:r>
        </w:sdtContent>
      </w:sdt>
      <w:r w:rsidRPr="0053182F">
        <w:rPr>
          <w:color w:val="EE0000"/>
        </w:rPr>
        <w:t xml:space="preserve">. Where judicial systems are credible and contracts and rights are enforceable, exploitative labour arrangements are more likely to be detected and sanctioned, reducing incentives for coercive practices to flourish </w:t>
      </w:r>
      <w:sdt>
        <w:sdtPr>
          <w:rPr>
            <w:color w:val="EE0000"/>
          </w:rPr>
          <w:tag w:val="MENDELEY_CITATION_v3_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"/>
          <w:id w:val="1792017493"/>
          <w:placeholder>
            <w:docPart w:val="4BF7FF4DA2334CB5BC9421A334F9E1B3"/>
          </w:placeholder>
        </w:sdtPr>
        <w:sdtContent>
          <w:r w:rsidRPr="0053182F">
            <w:rPr>
              <w:color w:val="EE0000"/>
            </w:rPr>
            <w:t xml:space="preserve">(Ahmed </w:t>
          </w:r>
          <w:r w:rsidRPr="0053182F">
            <w:rPr>
              <w:i/>
              <w:iCs/>
              <w:color w:val="EE0000"/>
            </w:rPr>
            <w:t>et al.</w:t>
          </w:r>
          <w:r w:rsidRPr="0053182F">
            <w:rPr>
              <w:color w:val="EE0000"/>
            </w:rPr>
            <w:t>, 2025; Davis, 2017; Landman and Silverman, 2019)</w:t>
          </w:r>
        </w:sdtContent>
      </w:sdt>
      <w:r w:rsidRPr="0053182F">
        <w:rPr>
          <w:color w:val="EE0000"/>
        </w:rPr>
        <w:t xml:space="preserve">. Related work also suggests that government effectiveness—the ability to implement policy, deliver services, and coordinate enforcement—strengthens labour governance and improves the institutional conditions needed to prevent and respond to MS risks </w:t>
      </w:r>
      <w:sdt>
        <w:sdtPr>
          <w:rPr>
            <w:color w:val="EE0000"/>
          </w:rPr>
          <w:tag w:val="MENDELEY_CITATION_v3_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"/>
          <w:id w:val="-1398743859"/>
          <w:placeholder>
            <w:docPart w:val="4BF7FF4DA2334CB5BC9421A334F9E1B3"/>
          </w:placeholder>
        </w:sdtPr>
        <w:sdtContent>
          <w:r w:rsidRPr="0053182F">
            <w:rPr>
              <w:color w:val="EE0000"/>
            </w:rPr>
            <w:t>(Cuesta, 2013; Torgler and Schneider, 2009)</w:t>
          </w:r>
        </w:sdtContent>
      </w:sdt>
      <w:r w:rsidRPr="0053182F">
        <w:rPr>
          <w:color w:val="EE0000"/>
        </w:rPr>
        <w:t xml:space="preserve">. In contrast, weak administrative capacity contributes to regulatory blind spots and fragmented enforcement, conditions widely recognised as enabling exploitation in complex labour markets and supply chains </w:t>
      </w:r>
      <w:sdt>
        <w:sdtPr>
          <w:rPr>
            <w:color w:val="EE0000"/>
          </w:rPr>
          <w:tag w:val="MENDELEY_CITATION_v3_eyJjaXRhdGlvbklEIjoiTUVOREVMRVlfQ0lUQVRJT05fMjBjNGIwMmQtYTc5Yi00MTE0LWFlNGMtOWY5MGZlMmY5NmU4IiwicHJvcGVydGllcyI6eyJub3RlSW5kZXgiOjB9LCJpc0VkaXRlZCI6ZmFsc2UsIm1hbnVhbE92ZXJyaWRlIjp7ImlzTWFudWFsbHlPdmVycmlkZGVuIjpmYWxzZSwiY2l0ZXByb2NUZXh0IjoiKENyYW5lIDxpPmV0IGFsLjwvaT4sIDIwMTk7IFJvZ2Vyc29uIDxpPmV0IGFsLjwvaT4sIDIwMjA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"/>
          <w:id w:val="1169670926"/>
          <w:placeholder>
            <w:docPart w:val="4BF7FF4DA2334CB5BC9421A334F9E1B3"/>
          </w:placeholder>
        </w:sdtPr>
        <w:sdtContent>
          <w:r w:rsidRPr="0053182F">
            <w:rPr>
              <w:color w:val="EE0000"/>
            </w:rPr>
            <w:t xml:space="preserve">(Crane </w:t>
          </w:r>
          <w:r w:rsidRPr="0053182F">
            <w:rPr>
              <w:i/>
              <w:iCs/>
              <w:color w:val="EE0000"/>
            </w:rPr>
            <w:t>et al.</w:t>
          </w:r>
          <w:r w:rsidRPr="0053182F">
            <w:rPr>
              <w:color w:val="EE0000"/>
            </w:rPr>
            <w:t xml:space="preserve">, 2019; Rogerson </w:t>
          </w:r>
          <w:r w:rsidRPr="0053182F">
            <w:rPr>
              <w:i/>
              <w:iCs/>
              <w:color w:val="EE0000"/>
            </w:rPr>
            <w:t>et al.</w:t>
          </w:r>
          <w:r w:rsidRPr="0053182F">
            <w:rPr>
              <w:color w:val="EE0000"/>
            </w:rPr>
            <w:t>, 2020)</w:t>
          </w:r>
        </w:sdtContent>
      </w:sdt>
      <w:r w:rsidRPr="0053182F">
        <w:rPr>
          <w:color w:val="EE0000"/>
        </w:rPr>
        <w:t>.</w:t>
      </w:r>
    </w:p>
    <w:p w14:paraId="4CA819EC" w14:textId="77777777" w:rsidR="004609BC" w:rsidRPr="0053182F" w:rsidRDefault="004609BC" w:rsidP="004609BC">
      <w:pPr>
        <w:pStyle w:val="NormalWeb"/>
        <w:tabs>
          <w:tab w:val="left" w:pos="3402"/>
        </w:tabs>
        <w:spacing w:after="0" w:line="480" w:lineRule="auto"/>
        <w:ind w:firstLine="720"/>
        <w:jc w:val="both"/>
        <w:rPr>
          <w:color w:val="EE0000"/>
        </w:rPr>
      </w:pPr>
      <w:r w:rsidRPr="0053182F">
        <w:t>Complementing this view, subsequent studies argue that</w:t>
      </w:r>
      <w:r w:rsidRPr="0053182F">
        <w:rPr>
          <w:color w:val="EE0000"/>
        </w:rPr>
        <w:t xml:space="preserve"> corruption control and institutional integrity as critical determinants of MS vulnerability. High-corruption environments reduce the likelihood that labour abuses will be reported, investigated, or prosecuted, while simultaneously increasing opportunities for regulatory capture, bribery, and impunity—dynamics that expand the operating space for coercive labour intermediaries and exploitative employers </w:t>
      </w:r>
      <w:sdt>
        <w:sdtPr>
          <w:rPr>
            <w:color w:val="EE0000"/>
          </w:rPr>
          <w:tag w:val="MENDELEY_CITATION_v3_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"/>
          <w:id w:val="56451810"/>
          <w:placeholder>
            <w:docPart w:val="4BF7FF4DA2334CB5BC9421A334F9E1B3"/>
          </w:placeholder>
        </w:sdtPr>
        <w:sdtContent>
          <w:r w:rsidRPr="0053182F">
            <w:rPr>
              <w:color w:val="EE0000"/>
            </w:rPr>
            <w:t xml:space="preserve">(Aidt </w:t>
          </w:r>
          <w:r w:rsidRPr="0053182F">
            <w:rPr>
              <w:i/>
              <w:iCs/>
              <w:color w:val="EE0000"/>
            </w:rPr>
            <w:t>et al.</w:t>
          </w:r>
          <w:r w:rsidRPr="0053182F">
            <w:rPr>
              <w:color w:val="EE0000"/>
            </w:rPr>
            <w:t>, 2008; Rauscher and Willert, 2020)</w:t>
          </w:r>
        </w:sdtContent>
      </w:sdt>
      <w:r w:rsidRPr="0053182F">
        <w:rPr>
          <w:color w:val="EE0000"/>
        </w:rPr>
        <w:t xml:space="preserve">. Empirical evidence further suggests that corruption and weak governance interact with socio-economic vulnerability, amplifying the structural conditions that push workers into unsafe, informal, and coercive work arrangements </w:t>
      </w:r>
      <w:sdt>
        <w:sdtPr>
          <w:tag w:val="MENDELEY_CITATION_v3_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
          <w:id w:val="729508920"/>
          <w:placeholder>
            <w:docPart w:val="4BF7FF4DA2334CB5BC9421A334F9E1B3"/>
          </w:placeholder>
        </w:sdtPr>
        <w:sdtContent>
          <w:r w:rsidRPr="0053182F">
            <w:t xml:space="preserve">(Crane </w:t>
          </w:r>
          <w:r w:rsidRPr="0053182F">
            <w:rPr>
              <w:i/>
              <w:iCs/>
            </w:rPr>
            <w:t>et al.</w:t>
          </w:r>
          <w:r w:rsidRPr="0053182F">
            <w:t>, 2019; Rauscher and Willert, 2020)</w:t>
          </w:r>
        </w:sdtContent>
      </w:sdt>
      <w:r w:rsidRPr="0053182F">
        <w:rPr>
          <w:color w:val="EE0000"/>
        </w:rPr>
        <w:t>.</w:t>
      </w:r>
    </w:p>
    <w:p w14:paraId="67F74022" w14:textId="77777777" w:rsidR="004609BC" w:rsidRPr="0053182F" w:rsidRDefault="004609BC" w:rsidP="004609BC">
      <w:pPr>
        <w:pStyle w:val="NormalWeb"/>
        <w:tabs>
          <w:tab w:val="left" w:pos="3402"/>
        </w:tabs>
        <w:spacing w:after="0" w:line="480" w:lineRule="auto"/>
        <w:ind w:firstLine="720"/>
        <w:jc w:val="both"/>
        <w:rPr>
          <w:color w:val="EE0000"/>
        </w:rPr>
      </w:pPr>
      <w:r w:rsidRPr="0053182F">
        <w:t xml:space="preserve">A further stream of research highlights that </w:t>
      </w:r>
      <w:r w:rsidRPr="0053182F">
        <w:rPr>
          <w:color w:val="EE0000"/>
        </w:rPr>
        <w:t xml:space="preserve">the role of political stability and accountability mechanisms in shaping a state’s MS response capacity </w:t>
      </w:r>
      <w:sdt>
        <w:sdtPr>
          <w:rPr>
            <w:color w:val="EE0000"/>
          </w:rPr>
          <w:tag w:val="MENDELEY_CITATION_v3_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
          <w:id w:val="129066943"/>
          <w:placeholder>
            <w:docPart w:val="4BF7FF4DA2334CB5BC9421A334F9E1B3"/>
          </w:placeholder>
        </w:sdtPr>
        <w:sdtContent>
          <w:r w:rsidRPr="0053182F">
            <w:rPr>
              <w:color w:val="EE0000"/>
            </w:rPr>
            <w:t xml:space="preserve">(Albitar </w:t>
          </w:r>
          <w:r w:rsidRPr="0053182F">
            <w:rPr>
              <w:i/>
              <w:iCs/>
              <w:color w:val="EE0000"/>
            </w:rPr>
            <w:t>et al.</w:t>
          </w:r>
          <w:r w:rsidRPr="0053182F">
            <w:rPr>
              <w:color w:val="EE0000"/>
            </w:rPr>
            <w:t xml:space="preserve">, 2025; Bales </w:t>
          </w:r>
          <w:r w:rsidRPr="0053182F">
            <w:rPr>
              <w:i/>
              <w:iCs/>
              <w:color w:val="EE0000"/>
            </w:rPr>
            <w:t>et al.</w:t>
          </w:r>
          <w:r w:rsidRPr="0053182F">
            <w:rPr>
              <w:color w:val="EE0000"/>
            </w:rPr>
            <w:t>, 2009)</w:t>
          </w:r>
        </w:sdtContent>
      </w:sdt>
      <w:r w:rsidRPr="0053182F">
        <w:rPr>
          <w:color w:val="EE0000"/>
        </w:rPr>
        <w:t xml:space="preserve">. Countries with higher levels of voice, accountability, and civic freedoms tend to face stronger domestic scrutiny from civil society and media, strengthening pressure for enforcement and policy transparency and thereby reducing tolerance for exploitative labour practices </w:t>
      </w:r>
      <w:sdt>
        <w:sdtPr>
          <w:rPr>
            <w:color w:val="EE0000"/>
          </w:rPr>
          <w:tag w:val="MENDELEY_CITATION_v3_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1084528560"/>
          <w:placeholder>
            <w:docPart w:val="4BF7FF4DA2334CB5BC9421A334F9E1B3"/>
          </w:placeholder>
        </w:sdtPr>
        <w:sdtContent>
          <w:r w:rsidRPr="0053182F">
            <w:rPr>
              <w:color w:val="EE0000"/>
            </w:rPr>
            <w:t xml:space="preserve">(Landman and Silverman, 2019; Moussa </w:t>
          </w:r>
          <w:r w:rsidRPr="0053182F">
            <w:rPr>
              <w:i/>
              <w:iCs/>
              <w:color w:val="EE0000"/>
            </w:rPr>
            <w:t>et al.</w:t>
          </w:r>
          <w:r w:rsidRPr="0053182F">
            <w:rPr>
              <w:color w:val="EE0000"/>
            </w:rPr>
            <w:t>, 2022)</w:t>
          </w:r>
        </w:sdtContent>
      </w:sdt>
      <w:r w:rsidRPr="0053182F">
        <w:rPr>
          <w:color w:val="EE0000"/>
        </w:rPr>
        <w:t xml:space="preserve">. Political instability, by contrast, weakens institutional continuity and enforcement, creating governance vacuums that increase exploitation risks and reduce the effectiveness of protective labour institutions </w:t>
      </w:r>
      <w:sdt>
        <w:sdtPr>
          <w:rPr>
            <w:color w:val="EE0000"/>
          </w:rPr>
          <w:tag w:val="MENDELEY_CITATION_v3_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
          <w:id w:val="1016037620"/>
          <w:placeholder>
            <w:docPart w:val="4BF7FF4DA2334CB5BC9421A334F9E1B3"/>
          </w:placeholder>
        </w:sdtPr>
        <w:sdtContent>
          <w:r w:rsidRPr="0053182F">
            <w:rPr>
              <w:color w:val="EE0000"/>
            </w:rPr>
            <w:t xml:space="preserve">(Helfaya </w:t>
          </w:r>
          <w:r w:rsidRPr="0053182F">
            <w:rPr>
              <w:i/>
              <w:iCs/>
              <w:color w:val="EE0000"/>
            </w:rPr>
            <w:t>et al.</w:t>
          </w:r>
          <w:r w:rsidRPr="0053182F">
            <w:rPr>
              <w:color w:val="EE0000"/>
            </w:rPr>
            <w:t xml:space="preserve">, 2025; Méndez and Sepúlveda, 2006; Pyng </w:t>
          </w:r>
          <w:r w:rsidRPr="0053182F">
            <w:rPr>
              <w:i/>
              <w:iCs/>
              <w:color w:val="EE0000"/>
            </w:rPr>
            <w:t>et al.</w:t>
          </w:r>
          <w:r w:rsidRPr="0053182F">
            <w:rPr>
              <w:color w:val="EE0000"/>
            </w:rPr>
            <w:t>, 2021)</w:t>
          </w:r>
        </w:sdtContent>
      </w:sdt>
      <w:r w:rsidRPr="0053182F">
        <w:rPr>
          <w:color w:val="EE0000"/>
        </w:rPr>
        <w:t xml:space="preserve">. For example, Sri Lanka’s recent political and economic crises have severely disrupted regulatory oversight, eroded labour protections, and increased workers’ vulnerability to exploitation </w:t>
      </w:r>
      <w:sdt>
        <w:sdtPr>
          <w:rPr>
            <w:color w:val="EE0000"/>
          </w:rPr>
          <w:tag w:val="MENDELEY_CITATION_v3_eyJjaXRhdGlvbklEIjoiTUVOREVMRVlfQ0lUQVRJT05fNDcxMTc0ZmYtZTRhMS00MmMyLTlhMDktZmE3MDljM2FlMGU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848070830"/>
          <w:placeholder>
            <w:docPart w:val="4BF7FF4DA2334CB5BC9421A334F9E1B3"/>
          </w:placeholder>
        </w:sdtPr>
        <w:sdtContent>
          <w:r w:rsidRPr="0053182F">
            <w:rPr>
              <w:color w:val="EE0000"/>
            </w:rPr>
            <w:t xml:space="preserve">(Muthuthantrige </w:t>
          </w:r>
          <w:r w:rsidRPr="0053182F">
            <w:rPr>
              <w:i/>
              <w:iCs/>
              <w:color w:val="EE0000"/>
            </w:rPr>
            <w:t>et al.</w:t>
          </w:r>
          <w:r w:rsidRPr="0053182F">
            <w:rPr>
              <w:color w:val="EE0000"/>
            </w:rPr>
            <w:t>, 2026)</w:t>
          </w:r>
        </w:sdtContent>
      </w:sdt>
      <w:r w:rsidRPr="0053182F">
        <w:rPr>
          <w:color w:val="EE0000"/>
        </w:rPr>
        <w:t xml:space="preserve">. </w:t>
      </w:r>
    </w:p>
    <w:p w14:paraId="13644A8C" w14:textId="77777777" w:rsidR="004609BC" w:rsidRPr="0053182F" w:rsidRDefault="004609BC" w:rsidP="004609BC">
      <w:pPr>
        <w:pStyle w:val="NormalWeb"/>
        <w:tabs>
          <w:tab w:val="left" w:pos="3402"/>
        </w:tabs>
        <w:spacing w:before="0" w:beforeAutospacing="0" w:after="0" w:afterAutospacing="0" w:line="480" w:lineRule="auto"/>
        <w:ind w:firstLine="720"/>
        <w:jc w:val="both"/>
        <w:rPr>
          <w:color w:val="auto"/>
        </w:rPr>
      </w:pPr>
      <w:r w:rsidRPr="0053182F">
        <w:rPr>
          <w:color w:val="auto"/>
        </w:rPr>
        <w:t xml:space="preserve">Addtionally, a growing body of research supports the notion that stronger institutions are associated with reduced MS risks. For instance, </w:t>
      </w:r>
      <w:sdt>
        <w:sdtPr>
          <w:tag w:val="MENDELEY_CITATION_v3_eyJjaXRhdGlvbklEIjoiTUVOREVMRVlfQ0lUQVRJT05fOTIyZDc0ZWMtNjRkMS00NmU4LTkxYzYtODFiZjExZmViOTZmIiwicHJvcGVydGllcyI6eyJub3RlSW5kZXgiOjB9LCJpc0VkaXRlZCI6ZmFsc2UsIm1hbnVhbE92ZXJyaWRlIjp7ImlzTWFudWFsbHlPdmVycmlkZGVuIjp0cnVlLCJjaXRlcHJvY1RleHQiOiIoTGFuZG1hbiBhbmQgU2lsdmVybWFuLCAyMDE5KSIsIm1hbnVhbE92ZXJyaWRlVGV4dCI6IkxhbmRtYW4gYW5kIFNpbHZlcm1hbiAoMjAxOSkifSwiY2l0YXRpb25JdGVtcyI6W3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XX0="/>
          <w:id w:val="-709414488"/>
          <w:placeholder>
            <w:docPart w:val="E667825E9B964537A2480CA2CBBEDD7E"/>
          </w:placeholder>
        </w:sdtPr>
        <w:sdtContent>
          <w:r w:rsidRPr="0053182F">
            <w:t>Landman and Silverman (2019)</w:t>
          </w:r>
        </w:sdtContent>
      </w:sdt>
      <w:r w:rsidRPr="0053182F">
        <w:rPr>
          <w:color w:val="auto"/>
        </w:rPr>
        <w:t xml:space="preserve"> highlighted that democratic governance—reflected in greater voice and accountability—correlates with lower MS prevalence. Similarly, </w:t>
      </w:r>
      <w:sdt>
        <w:sdtPr>
          <w:tag w:val="MENDELEY_CITATION_v3_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"/>
          <w:id w:val="1456684473"/>
          <w:placeholder>
            <w:docPart w:val="B3563DB490044BEB9939A4A953639095"/>
          </w:placeholder>
        </w:sdtPr>
        <w:sdtEndPr>
          <w:rPr>
            <w:rStyle w:val="Strong"/>
            <w:rFonts w:eastAsiaTheme="majorEastAsia"/>
            <w:b/>
            <w:bCs/>
          </w:rPr>
        </w:sdtEndPr>
        <w:sdtContent>
          <w:r w:rsidRPr="0053182F">
            <w:rPr>
              <w:rStyle w:val="Strong"/>
              <w:rFonts w:eastAsiaTheme="majorEastAsia"/>
              <w:b w:val="0"/>
            </w:rPr>
            <w:t>Cuesta (2013)</w:t>
          </w:r>
        </w:sdtContent>
      </w:sdt>
      <w:r w:rsidRPr="0053182F">
        <w:rPr>
          <w:color w:val="auto"/>
        </w:rPr>
        <w:t xml:space="preserve"> and </w:t>
      </w:r>
      <w:sdt>
        <w:sdtPr>
          <w:tag w:val="MENDELEY_CITATION_v3_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"/>
          <w:id w:val="606629572"/>
          <w:placeholder>
            <w:docPart w:val="B3563DB490044BEB9939A4A953639095"/>
          </w:placeholder>
        </w:sdtPr>
        <w:sdtEndPr>
          <w:rPr>
            <w:rStyle w:val="Strong"/>
            <w:rFonts w:eastAsiaTheme="majorEastAsia"/>
            <w:b/>
            <w:bCs/>
          </w:rPr>
        </w:sdtEndPr>
        <w:sdtContent>
          <w:r w:rsidRPr="0053182F">
            <w:t>Torgler and Schneider (2009)</w:t>
          </w:r>
        </w:sdtContent>
      </w:sdt>
      <w:r w:rsidRPr="0053182F">
        <w:rPr>
          <w:color w:val="auto"/>
        </w:rPr>
        <w:t xml:space="preserve"> suggest that political stability and government effectiveness enhance law enforcement and legal compliance, thus lowering opportunities for exploitation. Countries with a stronger rule of law and effective anti-corruption mechanisms are more likely to detect, prosecute, and prevent coercive labour practices  </w:t>
      </w:r>
      <w:sdt>
        <w:sdtPr>
          <w:tag w:val="MENDELEY_CITATION_v3_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"/>
          <w:id w:val="-1271625172"/>
          <w:placeholder>
            <w:docPart w:val="B3563DB490044BEB9939A4A953639095"/>
          </w:placeholder>
        </w:sdtPr>
        <w:sdtContent>
          <w:r w:rsidRPr="0053182F">
            <w:t xml:space="preserve">(Davis, 2017; Elamer </w:t>
          </w:r>
          <w:r w:rsidRPr="0053182F">
            <w:rPr>
              <w:i/>
              <w:iCs/>
            </w:rPr>
            <w:t>et al.</w:t>
          </w:r>
          <w:r w:rsidRPr="0053182F">
            <w:t>, 2020; Rauscher and Willert, 2020)</w:t>
          </w:r>
        </w:sdtContent>
      </w:sdt>
      <w:r w:rsidRPr="0053182F">
        <w:rPr>
          <w:color w:val="auto"/>
        </w:rPr>
        <w:t xml:space="preserve">. Moreover, the reluctance of victims to report abuse in high-corruption environments underscores the critical role of institutional integrity in facilitating justice and accountability  </w:t>
      </w:r>
      <w:sdt>
        <w:sdtPr>
          <w:tag w:val="MENDELEY_CITATION_v3_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"/>
          <w:id w:val="622356675"/>
          <w:placeholder>
            <w:docPart w:val="B3563DB490044BEB9939A4A953639095"/>
          </w:placeholder>
        </w:sdtPr>
        <w:sdtContent>
          <w:r w:rsidRPr="0053182F">
            <w:t xml:space="preserve">(Aidt </w:t>
          </w:r>
          <w:r w:rsidRPr="0053182F">
            <w:rPr>
              <w:i/>
              <w:iCs/>
            </w:rPr>
            <w:t>et al.</w:t>
          </w:r>
          <w:r w:rsidRPr="0053182F">
            <w:t>, 2008; Rauscher and Willert, 2020)</w:t>
          </w:r>
        </w:sdtContent>
      </w:sdt>
      <w:r w:rsidRPr="0053182F">
        <w:rPr>
          <w:color w:val="auto"/>
        </w:rPr>
        <w:t>.</w:t>
      </w:r>
    </w:p>
    <w:p w14:paraId="098C8972" w14:textId="77777777" w:rsidR="004609BC" w:rsidRPr="0053182F" w:rsidRDefault="004609BC" w:rsidP="004609BC">
      <w:pPr>
        <w:pStyle w:val="NormalWeb"/>
        <w:tabs>
          <w:tab w:val="left" w:pos="3402"/>
        </w:tabs>
        <w:spacing w:after="0" w:line="480" w:lineRule="auto"/>
        <w:ind w:firstLine="720"/>
        <w:jc w:val="both"/>
        <w:rPr>
          <w:color w:val="auto"/>
        </w:rPr>
      </w:pPr>
      <w:r w:rsidRPr="0053182F">
        <w:rPr>
          <w:color w:val="EE0000"/>
        </w:rPr>
        <w:t xml:space="preserve">Importantly, recent MS-focused cross-national evidence directly supports these patterns </w:t>
      </w:r>
      <w:sdt>
        <w:sdtPr>
          <w:rPr>
            <w:color w:val="EE0000"/>
          </w:rPr>
          <w:tag w:val="MENDELEY_CITATION_v3_eyJjaXRhdGlvbklEIjoiTUVOREVMRVlfQ0lUQVRJT05fM2UwNzYwMjYtNDU1Zi00OTk4LThkOTctMTFmYjgxZDkwMGQ1IiwicHJvcGVydGllcyI6eyJub3RlSW5kZXgiOjB9LCJpc0VkaXRlZCI6ZmFsc2UsIm1hbnVhbE92ZXJyaWRlIjp7ImlzTWFudWFsbHlPdmVycmlkZGVuIjpmYWxzZSwiY2l0ZXByb2NUZXh0IjoiKEFsYml0YXI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
          <w:id w:val="634685178"/>
          <w:placeholder>
            <w:docPart w:val="948A13187C4A4DC6B43AC0EE968540AD"/>
          </w:placeholder>
        </w:sdtPr>
        <w:sdtContent>
          <w:r w:rsidRPr="0053182F">
            <w:rPr>
              <w:color w:val="EE0000"/>
            </w:rPr>
            <w:t xml:space="preserve">(Albitar </w:t>
          </w:r>
          <w:r w:rsidRPr="0053182F">
            <w:rPr>
              <w:i/>
              <w:iCs/>
              <w:color w:val="EE0000"/>
            </w:rPr>
            <w:t>et al.</w:t>
          </w:r>
          <w:r w:rsidRPr="0053182F">
            <w:rPr>
              <w:color w:val="EE0000"/>
            </w:rPr>
            <w:t xml:space="preserve">, 2025; Moussa </w:t>
          </w:r>
          <w:r w:rsidRPr="0053182F">
            <w:rPr>
              <w:i/>
              <w:iCs/>
              <w:color w:val="EE0000"/>
            </w:rPr>
            <w:t>et al.</w:t>
          </w:r>
          <w:r w:rsidRPr="0053182F">
            <w:rPr>
              <w:color w:val="EE0000"/>
            </w:rPr>
            <w:t>, 2022)</w:t>
          </w:r>
        </w:sdtContent>
      </w:sdt>
      <w:r w:rsidRPr="0053182F">
        <w:rPr>
          <w:color w:val="EE0000"/>
        </w:rPr>
        <w:t xml:space="preserve">. </w:t>
      </w:r>
      <w:r w:rsidRPr="0053182F">
        <w:rPr>
          <w:rStyle w:val="Strong"/>
          <w:rFonts w:eastAsiaTheme="majorEastAsia"/>
          <w:b w:val="0"/>
        </w:rPr>
        <w:t xml:space="preserve">For example; </w:t>
      </w:r>
      <w:sdt>
        <w:sdtPr>
          <w:rPr>
            <w:rStyle w:val="Strong"/>
            <w:rFonts w:eastAsiaTheme="majorEastAsia"/>
            <w:b w:val="0"/>
          </w:rPr>
          <w:tag w:val="MENDELEY_CITATION_v3_eyJjaXRhdGlvbklEIjoiTUVOREVMRVlfQ0lUQVRJT05fZjNhNTQxMzAtMDRhYi00NmQ5LThiZjktOTBlMjZhZWIxYjg1IiwicHJvcGVydGllcyI6eyJub3RlSW5kZXgiOjB9LCJpc0VkaXRlZCI6ZmFsc2UsIm1hbnVhbE92ZXJyaWRlIjp7ImlzTWFudWFsbHlPdmVycmlkZGVuIjp0cnVlLCJjaXRlcHJvY1RleHQiOiIoTW91c3NhIDxpPmV0IGFsLjwvaT4sIDIwMjIpIiwibWFudWFsT3ZlcnJpZGVUZXh0IjoiTW91c3NhIGV0IGFsLiAoMjAyMik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305363950"/>
          <w:placeholder>
            <w:docPart w:val="BE7440FC440B440E9AD66FD7C8AD9626"/>
          </w:placeholder>
        </w:sdtPr>
        <w:sdtContent>
          <w:r w:rsidRPr="0053182F">
            <w:rPr>
              <w:rStyle w:val="Strong"/>
              <w:rFonts w:eastAsiaTheme="majorEastAsia"/>
              <w:b w:val="0"/>
            </w:rPr>
            <w:t>Moussa et al. (2022)</w:t>
          </w:r>
        </w:sdtContent>
      </w:sdt>
      <w:r w:rsidRPr="0053182F">
        <w:rPr>
          <w:color w:val="auto"/>
        </w:rPr>
        <w:t xml:space="preserve"> offer robust empirical support for this theoretical claim, finding that higher IEQ is negatively associated with both MS prevalence and vulnerability and positively associated with MS risk-mitigation outcomes. Their study, based on data from 167 countries, demonstrates that democratically elected governments operating in politically stable environments—with high levels of accountability, rule of law, and anti-corruption measures—are more responsive and effective in tackling MS. The findings further suggest that such institutions are particularly crucial in low-development contexts, where governance alone may not be sufficient unless supported by equitable socio-economic progress. Further empirical research supports this theoretical expectation, showing that weak institutional environments enable impunity, regulatory capture, and non-enforcement of anti-slavery laws—conditions under which MS can proliferate </w:t>
      </w:r>
      <w:sdt>
        <w:sdtPr>
          <w:tag w:val="MENDELEY_CITATION_v3_eyJjaXRhdGlvbklEIjoiTUVOREVMRVlfQ0lUQVRJT05fMTlkM2I0YjUtMzEzNy00OGZhLWE1NTMtYThmOTllMjEyNWFkIiwicHJvcGVydGllcyI6eyJub3RlSW5kZXgiOjB9LCJpc0VkaXRlZCI6ZmFsc2UsIm1hbnVhbE92ZXJyaWRlIjp7ImlzTWFudWFsbHlPdmVycmlkZGVuIjpmYWxzZSwiY2l0ZXByb2NUZXh0IjoiKENyYW5lIDxpPmV0IGFsLjwvaT4sIDIwMTk7IE50aW0gYW5kIFNvb2Jhcm95ZW4sIDIwMTMpIiwibWFudWFsT3ZlcnJpZGVUZXh0Ijoi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
          <w:id w:val="-1338221754"/>
          <w:placeholder>
            <w:docPart w:val="079809F5234B4D73BE50CB38F0B1CDF6"/>
          </w:placeholder>
        </w:sdtPr>
        <w:sdtContent>
          <w:r w:rsidRPr="0053182F">
            <w:t xml:space="preserve">(Crane </w:t>
          </w:r>
          <w:r w:rsidRPr="0053182F">
            <w:rPr>
              <w:i/>
              <w:iCs/>
            </w:rPr>
            <w:t>et al.</w:t>
          </w:r>
          <w:r w:rsidRPr="0053182F">
            <w:t>, 2019; Ntim and Soobaroyen, 2013)</w:t>
          </w:r>
        </w:sdtContent>
      </w:sdt>
      <w:r w:rsidRPr="0053182F">
        <w:rPr>
          <w:color w:val="auto"/>
        </w:rPr>
        <w:t xml:space="preserve">. Conversely, robust institutions have been linked to lower human trafficking rates, stronger criminal justice responses, and more effective policy implementation </w:t>
      </w:r>
      <w:sdt>
        <w:sdtPr>
          <w:tag w:val="MENDELEY_CITATION_v3_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"/>
          <w:id w:val="-381637425"/>
          <w:placeholder>
            <w:docPart w:val="079809F5234B4D73BE50CB38F0B1CDF6"/>
          </w:placeholder>
        </w:sdtPr>
        <w:sdtContent>
          <w:r w:rsidRPr="0053182F">
            <w:t xml:space="preserve">(Elamer </w:t>
          </w:r>
          <w:r w:rsidRPr="0053182F">
            <w:rPr>
              <w:i/>
              <w:iCs/>
            </w:rPr>
            <w:t>et al.</w:t>
          </w:r>
          <w:r w:rsidRPr="0053182F">
            <w:t xml:space="preserve">, 2020; Moussa </w:t>
          </w:r>
          <w:r w:rsidRPr="0053182F">
            <w:rPr>
              <w:i/>
              <w:iCs/>
            </w:rPr>
            <w:t>et al.</w:t>
          </w:r>
          <w:r w:rsidRPr="0053182F">
            <w:t>, 2023)</w:t>
          </w:r>
        </w:sdtContent>
      </w:sdt>
      <w:r w:rsidRPr="0053182F">
        <w:rPr>
          <w:color w:val="auto"/>
        </w:rPr>
        <w:t>.</w:t>
      </w:r>
    </w:p>
    <w:p w14:paraId="6F8190CF"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auto"/>
        </w:rPr>
        <w:t xml:space="preserve">Moreover, the IEQ significantly influences a state’s capacity for mitigating MS risk. Governments that perform well on governance indices tend to implement more effective responses through legislation, regulatory enforcement, inter-agency coordination, and victim support </w:t>
      </w:r>
      <w:sdt>
        <w:sdtPr>
          <w:tag w:val="MENDELEY_CITATION_v3_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"/>
          <w:id w:val="-369293904"/>
          <w:placeholder>
            <w:docPart w:val="FCFA03FA91AF440E9F9FB6E32DA0455D"/>
          </w:placeholder>
        </w:sdtPr>
        <w:sdtContent>
          <w:r w:rsidRPr="0053182F">
            <w:t>(Broad and Turnbull, 2019; Knudsen, 2018; Mantouvalou, 2018)</w:t>
          </w:r>
        </w:sdtContent>
      </w:sdt>
      <w:r w:rsidRPr="0053182F">
        <w:rPr>
          <w:color w:val="auto"/>
        </w:rPr>
        <w:t xml:space="preserve">. These formal mechanisms reflect not only legal compliance but also normative commitment to human rights and labour protections. </w:t>
      </w:r>
      <w:r w:rsidRPr="0053182F">
        <w:rPr>
          <w:color w:val="EE0000"/>
        </w:rPr>
        <w:t>Taken together, the empirical literature converges on a clear implication: variation in IEQ is not merely background context, but a central structural condition shaping the scale of MS risk and the effectiveness of government response mechanisms.</w:t>
      </w:r>
    </w:p>
    <w:p w14:paraId="589D5075" w14:textId="77777777" w:rsidR="004609BC" w:rsidRPr="0053182F" w:rsidRDefault="004609BC" w:rsidP="004609BC">
      <w:pPr>
        <w:pStyle w:val="NormalWeb"/>
        <w:tabs>
          <w:tab w:val="left" w:pos="3402"/>
        </w:tabs>
        <w:spacing w:after="0" w:line="480" w:lineRule="auto"/>
        <w:ind w:firstLine="720"/>
        <w:jc w:val="both"/>
        <w:rPr>
          <w:color w:val="EE0000"/>
        </w:rPr>
      </w:pPr>
      <w:r w:rsidRPr="0053182F">
        <w:rPr>
          <w:color w:val="EE0000"/>
        </w:rPr>
        <w:t xml:space="preserve">The expected relationship between IEQ and MS outcomes is most convincingly explained through the lens of NIT </w:t>
      </w:r>
      <w:sdt>
        <w:sdtPr>
          <w:tag w:val="MENDELEY_CITATION_v3_eyJjaXRhdGlvbklEIjoiTUVOREVMRVlfQ0lUQVRJT05fM2E4NTRmOGQtZjZhNS00MTNjLWIzMTYtZmExMzQzMzIxNzhmIiwicHJvcGVydGllcyI6eyJub3RlSW5kZXgiOjB9LCJpc0VkaXRlZCI6ZmFsc2UsIm1hbnVhbE92ZXJyaWRlIjp7ImlzTWFudWFsbHlPdmVycmlkZGVuIjpmYWxzZSwiY2l0ZXByb2NUZXh0IjoiKEdlZWxzLCAyMDIwOyBWaWRhbCA8aT5ldCBhbC48L2k+LCAyMDIzKSIsIm1hbnVhbE92ZXJyaWRlVGV4dCI6IiJ9LCJjaXRhdGlvbkl0ZW1zIjpb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LH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1dfQ=="/>
          <w:id w:val="264510809"/>
          <w:placeholder>
            <w:docPart w:val="7917E9E2A63045CA94E7FFEE920C9A8B"/>
          </w:placeholder>
        </w:sdtPr>
        <w:sdtContent>
          <w:r w:rsidRPr="0053182F">
            <w:t xml:space="preserve">(Geels, 2020; Vidal </w:t>
          </w:r>
          <w:r w:rsidRPr="0053182F">
            <w:rPr>
              <w:i/>
              <w:iCs/>
            </w:rPr>
            <w:t>et al.</w:t>
          </w:r>
          <w:r w:rsidRPr="0053182F">
            <w:t>, 2023)</w:t>
          </w:r>
        </w:sdtContent>
      </w:sdt>
      <w:r w:rsidRPr="0053182F">
        <w:rPr>
          <w:color w:val="EE0000"/>
        </w:rPr>
        <w:t xml:space="preserve">. NIT posits that state behaviour and policy effectiveness are shaped not only by material capacity but by the institutional pressures embedded within broader governance environments </w:t>
      </w:r>
      <w:sdt>
        <w:sdtPr>
          <w:rPr>
            <w:color w:val="EE0000"/>
          </w:rPr>
          <w:tag w:val="MENDELEY_CITATION_v3_eyJjaXRhdGlvbklEIjoiTUVOREVMRVlfQ0lUQVRJT05fYTFiNzJiYWItOTJmNC00NTRmLWFmYTUtMTBkMjA0ZjU2YWFkIiwicHJvcGVydGllcyI6eyJub3RlSW5kZXgiOjB9LCJpc0VkaXRlZCI6ZmFsc2UsIm1hbnVhbE92ZXJyaWRlIjp7ImlzTWFudWFsbHlPdmVycmlkZGVuIjpmYWxzZSwiY2l0ZXByb2NUZXh0IjoiKERpTWFnZ2lvIGFuZCBQb3dlbGwsIDE5ODM7IE1leWVyIGFuZCBSb3dhbiwgMTk3Ny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XX0="/>
          <w:id w:val="542333141"/>
          <w:placeholder>
            <w:docPart w:val="4BF7FF4DA2334CB5BC9421A334F9E1B3"/>
          </w:placeholder>
        </w:sdtPr>
        <w:sdtContent>
          <w:r w:rsidRPr="0053182F">
            <w:rPr>
              <w:color w:val="EE0000"/>
            </w:rPr>
            <w:t>(DiMaggio and Powell, 1983; Meyer and Rowan, 1977)</w:t>
          </w:r>
        </w:sdtContent>
      </w:sdt>
      <w:r w:rsidRPr="0053182F">
        <w:rPr>
          <w:color w:val="EE0000"/>
        </w:rPr>
        <w:t xml:space="preserve">. Within this framework, countries with higher-quality IEQ are subject to stronger coercive, normative, and mimetic pressures, which collectively condition both the prevalence of exploitative labour practices and the effectiveness of state responses to MS risk </w:t>
      </w:r>
      <w:sdt>
        <w:sdtPr>
          <w:rPr>
            <w:color w:val="EE0000"/>
          </w:rPr>
          <w:tag w:val="MENDELEY_CITATION_v3_eyJjaXRhdGlvbklEIjoiTUVOREVMRVlfQ0lUQVRJT05fMDgzYjA2OTUtYzYyZS00MzhkLTkyMDQtYTk0YzY1NDA1OTU1IiwicHJvcGVydGllcyI6eyJub3RlSW5kZXgiOjB9LCJpc0VkaXRlZCI6ZmFsc2UsIm1hbnVhbE92ZXJyaWRlIjp7ImlzTWFudWFsbHlPdmVycmlkZGVuIjpmYWxzZSwiY2l0ZXByb2NUZXh0IjoiKFNjb3R0LCAyMDEzKSIsIm1hbnVhbE92ZXJyaWRlVGV4dCI6Ii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XX0="/>
          <w:id w:val="-917860829"/>
          <w:placeholder>
            <w:docPart w:val="4BF7FF4DA2334CB5BC9421A334F9E1B3"/>
          </w:placeholder>
        </w:sdtPr>
        <w:sdtContent>
          <w:r w:rsidRPr="0053182F">
            <w:rPr>
              <w:color w:val="EE0000"/>
            </w:rPr>
            <w:t>(Scott, 2013)</w:t>
          </w:r>
        </w:sdtContent>
      </w:sdt>
      <w:r w:rsidRPr="0053182F">
        <w:rPr>
          <w:color w:val="EE0000"/>
        </w:rPr>
        <w:t>.</w:t>
      </w:r>
    </w:p>
    <w:p w14:paraId="26246AB4" w14:textId="77777777" w:rsidR="004609BC" w:rsidRPr="0053182F" w:rsidRDefault="004609BC" w:rsidP="004609BC">
      <w:pPr>
        <w:pStyle w:val="NormalWeb"/>
        <w:tabs>
          <w:tab w:val="left" w:pos="3402"/>
        </w:tabs>
        <w:spacing w:after="0" w:line="480" w:lineRule="auto"/>
        <w:ind w:firstLine="720"/>
        <w:jc w:val="both"/>
        <w:rPr>
          <w:color w:val="EE0000"/>
        </w:rPr>
      </w:pPr>
      <w:r w:rsidRPr="0053182F">
        <w:rPr>
          <w:color w:val="EE0000"/>
        </w:rPr>
        <w:t xml:space="preserve">First, coercive institutional pressures operate through the formal authority of laws, regulations, and enforcement mechanisms </w:t>
      </w:r>
      <w:sdt>
        <w:sdtPr>
          <w:rPr>
            <w:color w:val="EE0000"/>
          </w:rPr>
          <w:tag w:val="MENDELEY_CITATION_v3_eyJjaXRhdGlvbklEIjoiTUVOREVMRVlfQ0lUQVRJT05fMGEwYThjOTAtMDk4ZS00MmI1LWI3MmItZGNiM2FlZGY0MWQxIiwicHJvcGVydGllcyI6eyJub3RlSW5kZXgiOjB9LCJpc0VkaXRlZCI6ZmFsc2UsIm1hbnVhbE92ZXJyaWRlIjp7ImlzTWFudWFsbHlPdmVycmlkZGVuIjpmYWxzZSwiY2l0ZXByb2NUZXh0IjoiKEhlbGZheWEgPGk+ZXQgYWwuPC9pPiwgMjAyNTsgTXV0aHV0aGFudHJpZ2UgPGk+ZXQgYWwuPC9pPiwgMjAyNikiLCJtYW51YWxPdmVycmlkZVRleHQiOiI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Sx7ImlkIjoiODMxOTRlNTUtOWEwMS0zMjUzLWJiMGMtYjcyMzE4ODAxZjZmIiwiaXRlbURhdGEiOnsidHlwZSI6ImFydGljbGUtam91cm5hbCIsImlkIjoiODMxOTRlNTUtOWEwMS0zMjUzLWJiMGMtYjcyMzE4ODAxZjZmIiwidGl0bGUiOiJGb3N0ZXJpbmcgaHVtYW4gZGV2ZWxvcG1lbnQ6IGRvIGluc3RpdHV0aW9uYWwgZW52aXJvbm1lbnQgcXVhbGl0eSBhbmQgb3ZlcmFsbCBVTi1TREdzIGF0dGFpbm1lbnQgbWF0dGVyPy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R2V5aSIsInBhcnNlLW5hbWVzIjpmYWxzZSwiZHJvcHBpbmctcGFydGljbGUiOiIiLCJub24tZHJvcHBpbmctcGFydGljbGUiOiIifV0sImNvbnRhaW5lci10aXRsZSI6IlN1c3RhaW5hYmlsaXR5IEFjY291bnRpbmcsIE1hbmFnZW1lbnQgYW5kIFBvbGljeSBKb3VybmFsIiwiRE9JIjoiMTAuMTEwOC9TQU1QSi0wOS0yMDI0LTA5NjAiLCJJU1NOIjoiMjA0MC04MDIxIiwiaXNzdWVkIjp7ImRhdGUtcGFydHMiOltbMjAyNSwxMCwxXV19LCJjb250YWluZXItdGl0bGUtc2hvcnQiOiIifSwiaXNUZW1wb3JhcnkiOmZhbHNlfV19"/>
          <w:id w:val="17671693"/>
          <w:placeholder>
            <w:docPart w:val="CB3287F49B904C328A7650445569AD3D"/>
          </w:placeholder>
        </w:sdtPr>
        <w:sdtContent>
          <w:r w:rsidRPr="0053182F">
            <w:rPr>
              <w:color w:val="EE0000"/>
            </w:rPr>
            <w:t xml:space="preserve">(Helfaya </w:t>
          </w:r>
          <w:r w:rsidRPr="0053182F">
            <w:rPr>
              <w:i/>
              <w:iCs/>
              <w:color w:val="EE0000"/>
            </w:rPr>
            <w:t>et al.</w:t>
          </w:r>
          <w:r w:rsidRPr="0053182F">
            <w:rPr>
              <w:color w:val="EE0000"/>
            </w:rPr>
            <w:t xml:space="preserve">, 2025; Muthuthantrige </w:t>
          </w:r>
          <w:r w:rsidRPr="0053182F">
            <w:rPr>
              <w:i/>
              <w:iCs/>
              <w:color w:val="EE0000"/>
            </w:rPr>
            <w:t>et al.</w:t>
          </w:r>
          <w:r w:rsidRPr="0053182F">
            <w:rPr>
              <w:color w:val="EE0000"/>
            </w:rPr>
            <w:t>, 2026)</w:t>
          </w:r>
        </w:sdtContent>
      </w:sdt>
      <w:r w:rsidRPr="0053182F">
        <w:rPr>
          <w:color w:val="EE0000"/>
        </w:rPr>
        <w:t xml:space="preserve"> </w:t>
      </w:r>
      <w:r w:rsidRPr="0053182F">
        <w:rPr>
          <w:color w:val="auto"/>
        </w:rPr>
        <w:t xml:space="preserve">Countries with high-quality institutions are subject to stronger </w:t>
      </w:r>
      <w:r w:rsidRPr="0053182F">
        <w:rPr>
          <w:rStyle w:val="Strong"/>
          <w:rFonts w:eastAsiaTheme="majorEastAsia"/>
          <w:b w:val="0"/>
          <w:bCs w:val="0"/>
          <w:color w:val="auto"/>
        </w:rPr>
        <w:t>coercive pressures</w:t>
      </w:r>
      <w:r w:rsidRPr="0053182F">
        <w:rPr>
          <w:color w:val="auto"/>
        </w:rPr>
        <w:t xml:space="preserve">, as they are better able to implement and enforce legal frameworks that prohibit exploitative practices </w:t>
      </w:r>
      <w:sdt>
        <w:sdtPr>
          <w:tag w:val="MENDELEY_CITATION_v3_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"/>
          <w:id w:val="746467833"/>
          <w:placeholder>
            <w:docPart w:val="CFB20A967969487197F19CD39AC73646"/>
          </w:placeholder>
        </w:sdtPr>
        <w:sdtContent>
          <w:r w:rsidRPr="0053182F">
            <w:t>(Huq and Stevenson, 2020; Kauppi and Luzzini, 2022)</w:t>
          </w:r>
        </w:sdtContent>
      </w:sdt>
      <w:r w:rsidRPr="0053182F">
        <w:rPr>
          <w:color w:val="auto"/>
        </w:rPr>
        <w:t>. Moreover, i</w:t>
      </w:r>
      <w:r w:rsidRPr="0053182F">
        <w:rPr>
          <w:color w:val="EE0000"/>
        </w:rPr>
        <w:t xml:space="preserve">n high-IEQ contexts, governments possess stronger legal infrastructures, more credible judicial systems, and greater enforcement capacity, enabling them to enact and operationalise anti-slavery legislation, labour protections, and criminal sanctions against forced labour and trafficking </w:t>
      </w:r>
      <w:sdt>
        <w:sdtPr>
          <w:rPr>
            <w:color w:val="EE0000"/>
          </w:rPr>
          <w:tag w:val="MENDELEY_CITATION_v3_eyJjaXRhdGlvbklEIjoiTUVOREVMRVlfQ0lUQVRJT05fMjZlY2VkZTYtNmJlZi00NGJmLTgxNjMtMzNmYTE0M2Y1MDQyIiwicHJvcGVydGllcyI6eyJub3RlSW5kZXgiOjB9LCJpc0VkaXRlZCI6ZmFsc2UsIm1hbnVhbE92ZXJyaWRlIjp7ImlzTWFudWFsbHlPdmVycmlkZGVuIjpmYWxzZSwiY2l0ZXByb2NUZXh0IjoiKEFobWVkIDxpPmV0IGFsLjwvaT4sIDIwMjU7IEFsYml0YXIgPGk+ZXQgYWwuPC9pPiwgMjAyNS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"/>
          <w:id w:val="-50918821"/>
          <w:placeholder>
            <w:docPart w:val="4BF7FF4DA2334CB5BC9421A334F9E1B3"/>
          </w:placeholder>
        </w:sdtPr>
        <w:sdtContent>
          <w:r w:rsidRPr="0053182F">
            <w:rPr>
              <w:color w:val="EE0000"/>
            </w:rPr>
            <w:t xml:space="preserve">(Ahmed </w:t>
          </w:r>
          <w:r w:rsidRPr="0053182F">
            <w:rPr>
              <w:i/>
              <w:iCs/>
              <w:color w:val="EE0000"/>
            </w:rPr>
            <w:t>et al.</w:t>
          </w:r>
          <w:r w:rsidRPr="0053182F">
            <w:rPr>
              <w:color w:val="EE0000"/>
            </w:rPr>
            <w:t xml:space="preserve">, 2025; Albitar </w:t>
          </w:r>
          <w:r w:rsidRPr="0053182F">
            <w:rPr>
              <w:i/>
              <w:iCs/>
              <w:color w:val="EE0000"/>
            </w:rPr>
            <w:t>et al.</w:t>
          </w:r>
          <w:r w:rsidRPr="0053182F">
            <w:rPr>
              <w:color w:val="EE0000"/>
            </w:rPr>
            <w:t>, 2025)</w:t>
          </w:r>
        </w:sdtContent>
      </w:sdt>
      <w:r w:rsidRPr="0053182F">
        <w:rPr>
          <w:color w:val="EE0000"/>
        </w:rPr>
        <w:t xml:space="preserve">. </w:t>
      </w:r>
    </w:p>
    <w:p w14:paraId="5E1E38D5" w14:textId="77777777" w:rsidR="004609BC" w:rsidRPr="0053182F" w:rsidRDefault="004609BC" w:rsidP="004609BC">
      <w:pPr>
        <w:pStyle w:val="NormalWeb"/>
        <w:tabs>
          <w:tab w:val="left" w:pos="3402"/>
        </w:tabs>
        <w:spacing w:after="0" w:line="480" w:lineRule="auto"/>
        <w:ind w:firstLine="720"/>
        <w:jc w:val="both"/>
        <w:rPr>
          <w:color w:val="EE0000"/>
        </w:rPr>
      </w:pPr>
      <w:r w:rsidRPr="0053182F">
        <w:rPr>
          <w:color w:val="EE0000"/>
        </w:rPr>
        <w:t xml:space="preserve">Effective regulatory quality and rule of law increase the likelihood that exploitative practices are detected, prosecuted, and penalised, thereby raising the costs of non-compliance and reducing incentives for coercion and abuse </w:t>
      </w:r>
      <w:sdt>
        <w:sdtPr>
          <w:rPr>
            <w:color w:val="EE0000"/>
          </w:rPr>
          <w:tag w:val="MENDELEY_CITATION_v3_eyJjaXRhdGlvbklEIjoiTUVOREVMRVlfQ0lUQVRJT05fNjdlM2UwN2UtZGEwMC00Zjg1LThhM2YtNTYzODcwZThkYmZiIiwicHJvcGVydGllcyI6eyJub3RlSW5kZXgiOjB9LCJpc0VkaXRlZCI6ZmFsc2UsIm1hbnVhbE92ZXJyaWRlIjp7ImlzTWFudWFsbHlPdmVycmlkZGVuIjpmYWxzZSwiY2l0ZXByb2NUZXh0IjoiKEJhbGVzIDxpPmV0IGFsLjwvaT4sIDIwMDk7IENyYW5lIDxpPmV0IGFsLjwvaT4sIDIwMTk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"/>
          <w:id w:val="-447463790"/>
          <w:placeholder>
            <w:docPart w:val="4BF7FF4DA2334CB5BC9421A334F9E1B3"/>
          </w:placeholder>
        </w:sdtPr>
        <w:sdtContent>
          <w:r w:rsidRPr="0053182F">
            <w:rPr>
              <w:color w:val="EE0000"/>
            </w:rPr>
            <w:t xml:space="preserve">(Bales </w:t>
          </w:r>
          <w:r w:rsidRPr="0053182F">
            <w:rPr>
              <w:i/>
              <w:iCs/>
              <w:color w:val="EE0000"/>
            </w:rPr>
            <w:t>et al.</w:t>
          </w:r>
          <w:r w:rsidRPr="0053182F">
            <w:rPr>
              <w:color w:val="EE0000"/>
            </w:rPr>
            <w:t xml:space="preserve">, 2009; Crane </w:t>
          </w:r>
          <w:r w:rsidRPr="0053182F">
            <w:rPr>
              <w:i/>
              <w:iCs/>
              <w:color w:val="EE0000"/>
            </w:rPr>
            <w:t>et al.</w:t>
          </w:r>
          <w:r w:rsidRPr="0053182F">
            <w:rPr>
              <w:color w:val="EE0000"/>
            </w:rPr>
            <w:t>, 2019)</w:t>
          </w:r>
        </w:sdtContent>
      </w:sdt>
      <w:r w:rsidRPr="0053182F">
        <w:rPr>
          <w:color w:val="EE0000"/>
        </w:rPr>
        <w:t xml:space="preserve">. From an NIT perspective, coercive pressures are more effective where institutional systems are capable of translating formal rules into actual behavioural constraints, rather than merely symbolic legal commitments </w:t>
      </w:r>
      <w:sdt>
        <w:sdtPr>
          <w:rPr>
            <w:color w:val="EE0000"/>
          </w:rPr>
          <w:tag w:val="MENDELEY_CITATION_v3_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335840489"/>
          <w:placeholder>
            <w:docPart w:val="4BF7FF4DA2334CB5BC9421A334F9E1B3"/>
          </w:placeholder>
        </w:sdtPr>
        <w:sdtContent>
          <w:r w:rsidRPr="0053182F">
            <w:rPr>
              <w:color w:val="EE0000"/>
            </w:rPr>
            <w:t xml:space="preserve">(Ahmed </w:t>
          </w:r>
          <w:r w:rsidRPr="0053182F">
            <w:rPr>
              <w:i/>
              <w:iCs/>
              <w:color w:val="EE0000"/>
            </w:rPr>
            <w:t>et al.</w:t>
          </w:r>
          <w:r w:rsidRPr="0053182F">
            <w:rPr>
              <w:color w:val="EE0000"/>
            </w:rPr>
            <w:t xml:space="preserve">, 2025; Chrispal </w:t>
          </w:r>
          <w:r w:rsidRPr="0053182F">
            <w:rPr>
              <w:i/>
              <w:iCs/>
              <w:color w:val="EE0000"/>
            </w:rPr>
            <w:t>et al.</w:t>
          </w:r>
          <w:r w:rsidRPr="0053182F">
            <w:rPr>
              <w:color w:val="EE0000"/>
            </w:rPr>
            <w:t>, 2021; Meyer and Rowan, 1977)</w:t>
          </w:r>
        </w:sdtContent>
      </w:sdt>
      <w:r w:rsidRPr="0053182F">
        <w:rPr>
          <w:color w:val="EE0000"/>
        </w:rPr>
        <w:t>.</w:t>
      </w:r>
    </w:p>
    <w:p w14:paraId="48771B1F" w14:textId="77777777" w:rsidR="004609BC" w:rsidRPr="0053182F" w:rsidRDefault="004609BC" w:rsidP="004609BC">
      <w:pPr>
        <w:pStyle w:val="NormalWeb"/>
        <w:tabs>
          <w:tab w:val="left" w:pos="3402"/>
        </w:tabs>
        <w:spacing w:after="0" w:line="480" w:lineRule="auto"/>
        <w:ind w:firstLine="720"/>
        <w:jc w:val="both"/>
        <w:rPr>
          <w:color w:val="EE0000"/>
        </w:rPr>
      </w:pPr>
      <w:r w:rsidRPr="0053182F">
        <w:rPr>
          <w:color w:val="EE0000"/>
        </w:rPr>
        <w:t xml:space="preserve">Second, normative pressures arise from societal expectations, professional standards, and shared norms regarding acceptable governance conduct. Countries with stronger IEQ typically exhibit higher levels of civic participation, media freedom, and civil society engagement, all of which amplify expectations for ethical labour governance and human rights protection </w:t>
      </w:r>
      <w:sdt>
        <w:sdtPr>
          <w:rPr>
            <w:color w:val="EE0000"/>
          </w:rPr>
          <w:tag w:val="MENDELEY_CITATION_v3_eyJjaXRhdGlvbklEIjoiTUVOREVMRVlfQ0lUQVRJT05fMWU4YTVhOWYtYWQwYi00NjY0LWFjNGItOWU4OTdkMzhhMjVhIiwicHJvcGVydGllcyI6eyJub3RlSW5kZXgiOjB9LCJpc0VkaXRlZCI6ZmFsc2UsIm1hbnVhbE92ZXJyaWRlIjp7ImlzTWFudWFsbHlPdmVycmlkZGVuIjpmYWxzZSwiY2l0ZXByb2NUZXh0IjoiKERhdmlkc29uLCAyMDE1OyBNdXRodXRoYW50cmlnZSA8aT5ldCBhbC48L2k+LCAyMDI2KSIsIm1hbnVhbE92ZXJyaWRlVGV4dCI6IiJ9LCJjaXRhdGlvbkl0ZW1zIjpb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"/>
          <w:id w:val="993061735"/>
          <w:placeholder>
            <w:docPart w:val="4BF7FF4DA2334CB5BC9421A334F9E1B3"/>
          </w:placeholder>
        </w:sdtPr>
        <w:sdtContent>
          <w:r w:rsidRPr="0053182F">
            <w:rPr>
              <w:color w:val="EE0000"/>
            </w:rPr>
            <w:t xml:space="preserve">(Davidson, 2015; Muthuthantrige </w:t>
          </w:r>
          <w:r w:rsidRPr="0053182F">
            <w:rPr>
              <w:i/>
              <w:iCs/>
              <w:color w:val="EE0000"/>
            </w:rPr>
            <w:t>et al.</w:t>
          </w:r>
          <w:r w:rsidRPr="0053182F">
            <w:rPr>
              <w:color w:val="EE0000"/>
            </w:rPr>
            <w:t>, 2026)</w:t>
          </w:r>
        </w:sdtContent>
      </w:sdt>
      <w:r w:rsidRPr="0053182F">
        <w:rPr>
          <w:color w:val="EE0000"/>
        </w:rPr>
        <w:t xml:space="preserve">. These normative forces reinforce accountability by subjecting governments to domestic and international scrutiny, increasing reputational costs associated with tolerating exploitation </w:t>
      </w:r>
      <w:sdt>
        <w:sdtPr>
          <w:rPr>
            <w:color w:val="EE0000"/>
          </w:rPr>
          <w:tag w:val="MENDELEY_CITATION_v3_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"/>
          <w:id w:val="217244536"/>
          <w:placeholder>
            <w:docPart w:val="4BF7FF4DA2334CB5BC9421A334F9E1B3"/>
          </w:placeholder>
        </w:sdtPr>
        <w:sdtContent>
          <w:r w:rsidRPr="0053182F">
            <w:rPr>
              <w:color w:val="EE0000"/>
            </w:rPr>
            <w:t xml:space="preserve">(Business and Human Rights Resource Centre, 2024; LeBaron </w:t>
          </w:r>
          <w:r w:rsidRPr="0053182F">
            <w:rPr>
              <w:i/>
              <w:iCs/>
              <w:color w:val="EE0000"/>
            </w:rPr>
            <w:t>et al.</w:t>
          </w:r>
          <w:r w:rsidRPr="0053182F">
            <w:rPr>
              <w:color w:val="EE0000"/>
            </w:rPr>
            <w:t>, 2018)</w:t>
          </w:r>
        </w:sdtContent>
      </w:sdt>
      <w:r w:rsidRPr="0053182F">
        <w:rPr>
          <w:color w:val="EE0000"/>
        </w:rPr>
        <w:t xml:space="preserve">. </w:t>
      </w:r>
    </w:p>
    <w:p w14:paraId="1C5842A4" w14:textId="77777777" w:rsidR="004609BC" w:rsidRPr="0053182F" w:rsidRDefault="004609BC" w:rsidP="004609BC">
      <w:pPr>
        <w:pStyle w:val="NormalWeb"/>
        <w:tabs>
          <w:tab w:val="left" w:pos="3402"/>
        </w:tabs>
        <w:spacing w:after="0" w:line="480" w:lineRule="auto"/>
        <w:ind w:firstLine="720"/>
        <w:jc w:val="both"/>
        <w:rPr>
          <w:color w:val="EE0000"/>
        </w:rPr>
      </w:pPr>
      <w:r w:rsidRPr="0053182F">
        <w:rPr>
          <w:color w:val="EE0000"/>
        </w:rPr>
        <w:t>Conversely, where such normative pressures are weak or suppressed, states may maintain formal commitments to international labour standards while permitting exploitative practices to persist in practice. High-profile allegations of forced labour in China, particularly in global supply chains linked to state-imposed labour programmes, illustrate how constrained civic space and limited transparency can undermine normative accountability despite the presence of formal regulatory frameworks</w:t>
      </w:r>
      <w:r w:rsidRPr="0053182F">
        <w:t xml:space="preserve"> </w:t>
      </w:r>
      <w:sdt>
        <w:sdtPr>
          <w:rPr>
            <w:color w:val="EE0000"/>
          </w:rPr>
          <w:tag w:val="MENDELEY_CITATION_v3_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"/>
          <w:id w:val="-2031486690"/>
          <w:placeholder>
            <w:docPart w:val="6466A14487B34161BF922B53D6AD4C4F"/>
          </w:placeholder>
        </w:sdtPr>
        <w:sdtContent>
          <w:r w:rsidRPr="0053182F">
            <w:rPr>
              <w:color w:val="EE0000"/>
            </w:rPr>
            <w:t>(UN News, 2022; UNHR, 2022)</w:t>
          </w:r>
        </w:sdtContent>
      </w:sdt>
      <w:r w:rsidRPr="0053182F">
        <w:t xml:space="preserve">. </w:t>
      </w:r>
      <w:r w:rsidRPr="0053182F">
        <w:rPr>
          <w:color w:val="EE0000"/>
        </w:rPr>
        <w:t>Within NIT, such pressures encourage states to internalise anti-slavery norms as legitimate and necessary components of good governance, rather than viewing them as externally imposed obligations. As a result, MS prevention becomes embedded within broader institutionalised expectations of fairness, transparency, and social justice.</w:t>
      </w:r>
    </w:p>
    <w:p w14:paraId="010140E8" w14:textId="77777777" w:rsidR="004609BC" w:rsidRPr="0053182F" w:rsidRDefault="004609BC" w:rsidP="004609BC">
      <w:pPr>
        <w:pStyle w:val="NormalWeb"/>
        <w:tabs>
          <w:tab w:val="left" w:pos="3402"/>
        </w:tabs>
        <w:spacing w:after="0" w:line="480" w:lineRule="auto"/>
        <w:ind w:firstLine="720"/>
        <w:jc w:val="both"/>
        <w:rPr>
          <w:color w:val="EE0000"/>
        </w:rPr>
      </w:pPr>
      <w:r w:rsidRPr="0053182F">
        <w:rPr>
          <w:color w:val="EE0000"/>
        </w:rPr>
        <w:t xml:space="preserve">Third, mimetic pressures shape state behaviour through processes of policy diffusion and legitimacy seeking. In an increasingly interconnected global governance environment, governments compare their institutional arrangements and performance against peer states, particularly those perceived as legitimate, successful, or developmentally advanced. Countries with higher IEQ are more likely to emulate internationally recognised best practices in labour governance, anti-trafficking policy, and victim protection to maintain credibility within global institutions and development rankings. Mimetic pressures thus reinforce convergence toward stronger MS mitigation frameworks, especially where states seek legitimacy, access to international funding, or reputational standing within global governance regimes. </w:t>
      </w:r>
      <w:r w:rsidRPr="0053182F">
        <w:rPr>
          <w:color w:val="auto"/>
        </w:rPr>
        <w:t xml:space="preserve">Moreover, strong institutions foster </w:t>
      </w:r>
      <w:r w:rsidRPr="0053182F">
        <w:rPr>
          <w:rStyle w:val="Strong"/>
          <w:rFonts w:eastAsiaTheme="majorEastAsia"/>
          <w:b w:val="0"/>
          <w:bCs w:val="0"/>
          <w:color w:val="auto"/>
        </w:rPr>
        <w:t>mimetic pressures</w:t>
      </w:r>
      <w:r w:rsidRPr="0053182F">
        <w:rPr>
          <w:color w:val="auto"/>
        </w:rPr>
        <w:t xml:space="preserve">, whereby governments emulate effective anti-slavery responses adopted by peers within the global governance system to gain legitimacy </w:t>
      </w:r>
      <w:sdt>
        <w:sdtPr>
          <w:tag w:val="MENDELEY_CITATION_v3_eyJjaXRhdGlvbklEIjoiTUVOREVMRVlfQ0lUQVRJT05fYzBmNmIzMzAtODllYi00MDViLTkzNmItMzYyZjRiOTVlOWUwIiwicHJvcGVydGllcyI6eyJub3RlSW5kZXgiOjB9LCJpc0VkaXRlZCI6ZmFsc2UsIm1hbnVhbE92ZXJyaWRlIjp7ImlzTWFudWFsbHlPdmVycmlkZGVuIjpmYWxzZSwiY2l0ZXByb2NUZXh0IjoiKERpTWFnZ2lvIGFuZCBQb3dlbGwsIDE5ODM7IEh1cSBhbmQgU3RldmVuc29uLCAyMDIwOyBLYXVwcGkgYW5kIEx1enppbmksIDIwMjI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b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"/>
          <w:id w:val="1647786693"/>
          <w:placeholder>
            <w:docPart w:val="082CCEF7F6004554BC4FBBB5F3E6F401"/>
          </w:placeholder>
        </w:sdtPr>
        <w:sdtContent>
          <w:r w:rsidRPr="0053182F">
            <w:t>(DiMaggio and Powell, 1983; Huq and Stevenson, 2020; Kauppi and Luzzini, 2022)</w:t>
          </w:r>
        </w:sdtContent>
      </w:sdt>
      <w:r w:rsidRPr="0053182F">
        <w:rPr>
          <w:color w:val="auto"/>
        </w:rPr>
        <w:t>.</w:t>
      </w:r>
    </w:p>
    <w:p w14:paraId="2823C805" w14:textId="77777777" w:rsidR="004609BC" w:rsidRPr="0053182F" w:rsidRDefault="004609BC" w:rsidP="004609BC">
      <w:pPr>
        <w:pStyle w:val="NormalWeb"/>
        <w:tabs>
          <w:tab w:val="left" w:pos="3402"/>
        </w:tabs>
        <w:spacing w:after="0" w:line="480" w:lineRule="auto"/>
        <w:ind w:firstLine="720"/>
        <w:jc w:val="both"/>
        <w:rPr>
          <w:color w:val="EE0000"/>
        </w:rPr>
      </w:pPr>
      <w:r w:rsidRPr="0053182F">
        <w:rPr>
          <w:color w:val="EE0000"/>
        </w:rPr>
        <w:t>Importantly, NIT also cautions that the presence of institutional pressures does not guarantee substantive outcomes. Where institutional environments are weak, coercive rules may exist only on paper, normative expectations may lack enforcement, and mimetic adoption may result in symbolic compliance rather than meaningful action. This insight is central to understanding why MS persists despite formal legal frameworks in many jurisdictions. In contrast, higher IEQ increases the likelihood that institutional pressures are mutually reinforcing rather than decoupled, enabling formal governance structures to translate into tangible reductions in MS prevalence and vulnerability, alongside stronger government mitigation responses. Taken together, NIT provides a coherent theoretical rationale for expecting IEQ to be systematically related to MS outcomes. By strengthening coercive enforcement capacity, embedding normative accountability, and facilitating the diffusion of effective governance practices, higher-quality IEQ create conditions under which exploitative labour practices are both less likely to emerge and more likely to be effectively addressed when they do.</w:t>
      </w:r>
    </w:p>
    <w:p w14:paraId="7FBD2315" w14:textId="77777777" w:rsidR="004609BC" w:rsidRPr="0053182F" w:rsidRDefault="004609BC" w:rsidP="004609BC">
      <w:pPr>
        <w:pStyle w:val="NormalWeb"/>
        <w:tabs>
          <w:tab w:val="left" w:pos="3402"/>
        </w:tabs>
        <w:spacing w:after="0" w:line="480" w:lineRule="auto"/>
        <w:ind w:firstLine="720"/>
        <w:jc w:val="both"/>
        <w:rPr>
          <w:color w:val="EE0000"/>
        </w:rPr>
      </w:pPr>
      <w:r w:rsidRPr="0053182F">
        <w:rPr>
          <w:color w:val="EE0000"/>
        </w:rPr>
        <w:t>Extending the above theoretical logic, IEQ is expected to influence multiple dimensions of MS risk in distinct yet interrelated ways. First, higher IEQ should be associated with lower MS prevalence because strong rule of law, effective regulation, and corruption control increase the probability that exploitative practices are detected and sanctioned, thereby discouraging their occurrence. Second, IEQ is expected to reduce vulnerability to MS by shaping the broader socio-institutional conditions—such as access to justice, political stability, and voice and accountability—that protect marginalised populations and mitigate structural risk factors that make individuals susceptible to exploitation. Third, IEQ should positively affect government responses to MS risk, as capable institutions are better positioned to design, coordinate, and implement comprehensive mitigation strategies, including legislation, labour inspections, inter-agency cooperation, and victim support. While these outcomes capture different stages of the MS continuum—incidence, exposure, and response—they are consistently conditioned by the same institutional mechanisms emphasised by NIT, namely the effectiveness with which coercive, normative, and mimetic pressures are translated into practice.</w:t>
      </w:r>
    </w:p>
    <w:p w14:paraId="15F7DBF9" w14:textId="77777777" w:rsidR="004609BC" w:rsidRPr="0053182F" w:rsidRDefault="004609BC" w:rsidP="004609BC">
      <w:pPr>
        <w:pStyle w:val="NormalWeb"/>
        <w:spacing w:before="0" w:beforeAutospacing="0" w:after="0" w:afterAutospacing="0" w:line="480" w:lineRule="auto"/>
        <w:ind w:firstLine="720"/>
        <w:jc w:val="both"/>
        <w:rPr>
          <w:color w:val="auto"/>
        </w:rPr>
      </w:pPr>
      <w:r w:rsidRPr="0053182F">
        <w:rPr>
          <w:color w:val="auto"/>
        </w:rPr>
        <w:t xml:space="preserve">Collectively, these evidence suggests that institutional capacity is central to both the prevention and mitigation of MS risk </w:t>
      </w:r>
      <w:sdt>
        <w:sdtPr>
          <w:tag w:val="MENDELEY_CITATION_v3_eyJjaXRhdGlvbklEIjoiTUVOREVMRVlfQ0lUQVRJT05fMDViZmJlNjMtNjdiMy00MTNmLTkxZGUtOTM2OWQwMGQ2NzM5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1165201045"/>
          <w:placeholder>
            <w:docPart w:val="1840F593A0DE4040976E19FE7C3DA8BE"/>
          </w:placeholder>
        </w:sdtPr>
        <w:sdtContent>
          <w:r w:rsidRPr="0053182F">
            <w:t xml:space="preserve">(Moussa </w:t>
          </w:r>
          <w:r w:rsidRPr="0053182F">
            <w:rPr>
              <w:i/>
              <w:iCs/>
            </w:rPr>
            <w:t>et al.</w:t>
          </w:r>
          <w:r w:rsidRPr="0053182F">
            <w:t>, 2022)</w:t>
          </w:r>
        </w:sdtContent>
      </w:sdt>
      <w:r w:rsidRPr="0053182F">
        <w:rPr>
          <w:color w:val="auto"/>
        </w:rPr>
        <w:t xml:space="preserve">. States with weak institutional structures often suffer from enforcement gaps, regulatory capture, and impunity—conditions that foster an environment conducive to exploitation </w:t>
      </w:r>
      <w:sdt>
        <w:sdtPr>
          <w:tag w:val="MENDELEY_CITATION_v3_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1215046554"/>
          <w:placeholder>
            <w:docPart w:val="2EEC14BF55CF4730A447386770AEF3E5"/>
          </w:placeholder>
        </w:sdtPr>
        <w:sdtContent>
          <w:r w:rsidRPr="0053182F">
            <w:t xml:space="preserve">(Moussa </w:t>
          </w:r>
          <w:r w:rsidRPr="0053182F">
            <w:rPr>
              <w:i/>
              <w:iCs/>
            </w:rPr>
            <w:t>et al.</w:t>
          </w:r>
          <w:r w:rsidRPr="0053182F">
            <w:t>, 2022; Rauscher and Willert, 2020)</w:t>
          </w:r>
        </w:sdtContent>
      </w:sdt>
      <w:r w:rsidRPr="0053182F">
        <w:rPr>
          <w:color w:val="auto"/>
        </w:rPr>
        <w:t xml:space="preserve">. In contrast, high-IEQ countries exhibit stronger legal frameworks, more engaged civil societies, and greater international legitimacy in combating MS </w:t>
      </w:r>
      <w:sdt>
        <w:sdtPr>
          <w:tag w:val="MENDELEY_CITATION_v3_eyJjaXRhdGlvbklEIjoiTUVOREVMRVlfQ0lUQVRJT05fZjEyNzU0MDktZTY5MS00MWU3LWExYzYtY2ZlMTljODA5NWQzIiwicHJvcGVydGllcyI6eyJub3RlSW5kZXgiOjB9LCJpc0VkaXRlZCI6ZmFsc2UsIm1hbnVhbE92ZXJyaWRlIjp7ImlzTWFudWFsbHlPdmVycmlkZGVuIjpmYWxzZSwiY2l0ZXByb2NUZXh0IjoiKEFsYml0YXI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
          <w:id w:val="-2101940684"/>
          <w:placeholder>
            <w:docPart w:val="1840F593A0DE4040976E19FE7C3DA8BE"/>
          </w:placeholder>
        </w:sdtPr>
        <w:sdtContent>
          <w:r w:rsidRPr="0053182F">
            <w:t xml:space="preserve">(Albitar </w:t>
          </w:r>
          <w:r w:rsidRPr="0053182F">
            <w:rPr>
              <w:i/>
              <w:iCs/>
            </w:rPr>
            <w:t>et al.</w:t>
          </w:r>
          <w:r w:rsidRPr="0053182F">
            <w:t xml:space="preserve">, 2025; Moussa </w:t>
          </w:r>
          <w:r w:rsidRPr="0053182F">
            <w:rPr>
              <w:i/>
              <w:iCs/>
            </w:rPr>
            <w:t>et al.</w:t>
          </w:r>
          <w:r w:rsidRPr="0053182F">
            <w:t>, 2022)</w:t>
          </w:r>
        </w:sdtContent>
      </w:sdt>
      <w:r w:rsidRPr="0053182F">
        <w:rPr>
          <w:color w:val="auto"/>
        </w:rPr>
        <w:t>. See figure 5.1 for the summerised these relationship. Based on the above theoretical arguments and empirical support, we propose the following hypothesis:</w:t>
      </w:r>
    </w:p>
    <w:p w14:paraId="60BE9A93" w14:textId="77777777" w:rsidR="004609BC" w:rsidRPr="0053182F" w:rsidRDefault="004609BC" w:rsidP="004609BC">
      <w:pPr>
        <w:pStyle w:val="NormalWeb"/>
        <w:spacing w:before="0" w:beforeAutospacing="0" w:after="0" w:afterAutospacing="0" w:line="480" w:lineRule="auto"/>
        <w:ind w:left="1134" w:hanging="1134"/>
        <w:rPr>
          <w:b/>
          <w:bCs/>
          <w:color w:val="auto"/>
        </w:rPr>
      </w:pPr>
      <w:r w:rsidRPr="0053182F">
        <w:rPr>
          <w:rStyle w:val="Strong"/>
          <w:rFonts w:eastAsiaTheme="majorEastAsia"/>
          <w:color w:val="auto"/>
        </w:rPr>
        <w:t>H1</w:t>
      </w:r>
      <w:r w:rsidRPr="0053182F">
        <w:rPr>
          <w:b/>
          <w:bCs/>
          <w:color w:val="auto"/>
        </w:rPr>
        <w:t xml:space="preserve">: </w:t>
      </w:r>
      <w:r w:rsidRPr="0053182F">
        <w:rPr>
          <w:color w:val="auto"/>
        </w:rPr>
        <w:t>Countries with higher</w:t>
      </w:r>
      <w:r w:rsidRPr="0053182F">
        <w:rPr>
          <w:b/>
          <w:bCs/>
          <w:color w:val="auto"/>
        </w:rPr>
        <w:t xml:space="preserve"> </w:t>
      </w:r>
      <w:r w:rsidRPr="0053182F">
        <w:rPr>
          <w:rStyle w:val="Strong"/>
          <w:rFonts w:eastAsiaTheme="majorEastAsia"/>
          <w:b w:val="0"/>
          <w:bCs w:val="0"/>
          <w:color w:val="auto"/>
        </w:rPr>
        <w:t xml:space="preserve">Institutional Environment Quality </w:t>
      </w:r>
      <w:r w:rsidRPr="0053182F">
        <w:rPr>
          <w:color w:val="auto"/>
        </w:rPr>
        <w:t>are expected to exhibit</w:t>
      </w:r>
      <w:r w:rsidRPr="0053182F">
        <w:rPr>
          <w:b/>
          <w:bCs/>
          <w:color w:val="auto"/>
        </w:rPr>
        <w:br/>
        <w:t xml:space="preserve">(a) </w:t>
      </w:r>
      <w:r w:rsidRPr="0053182F">
        <w:rPr>
          <w:rStyle w:val="Strong"/>
          <w:rFonts w:eastAsiaTheme="majorEastAsia"/>
          <w:b w:val="0"/>
          <w:bCs w:val="0"/>
          <w:color w:val="auto"/>
        </w:rPr>
        <w:t>lower MS prevalence (PREV)</w:t>
      </w:r>
      <w:r w:rsidRPr="0053182F">
        <w:rPr>
          <w:b/>
          <w:bCs/>
          <w:color w:val="auto"/>
        </w:rPr>
        <w:t>,</w:t>
      </w:r>
      <w:r w:rsidRPr="0053182F">
        <w:rPr>
          <w:b/>
          <w:bCs/>
          <w:color w:val="auto"/>
        </w:rPr>
        <w:br/>
        <w:t xml:space="preserve">(b) </w:t>
      </w:r>
      <w:r w:rsidRPr="0053182F">
        <w:rPr>
          <w:rStyle w:val="Strong"/>
          <w:rFonts w:eastAsiaTheme="majorEastAsia"/>
          <w:b w:val="0"/>
          <w:bCs w:val="0"/>
          <w:color w:val="auto"/>
        </w:rPr>
        <w:t>lower vulnerability to MS (VALN), and</w:t>
      </w:r>
      <w:r w:rsidRPr="0053182F">
        <w:rPr>
          <w:b/>
          <w:bCs/>
          <w:color w:val="auto"/>
        </w:rPr>
        <w:br/>
        <w:t xml:space="preserve">(c) </w:t>
      </w:r>
      <w:r w:rsidRPr="0053182F">
        <w:rPr>
          <w:rStyle w:val="Strong"/>
          <w:rFonts w:eastAsiaTheme="majorEastAsia"/>
          <w:b w:val="0"/>
          <w:bCs w:val="0"/>
          <w:color w:val="auto"/>
        </w:rPr>
        <w:t>stronger MS risk Mitigation (MSRM)</w:t>
      </w:r>
      <w:r w:rsidRPr="0053182F">
        <w:rPr>
          <w:b/>
          <w:bCs/>
          <w:color w:val="auto"/>
        </w:rPr>
        <w:t>.</w:t>
      </w:r>
    </w:p>
    <w:p w14:paraId="0B3CDF4F" w14:textId="77777777" w:rsidR="004609BC" w:rsidRPr="0053182F" w:rsidRDefault="004609BC" w:rsidP="004609BC"/>
    <w:p w14:paraId="394F8E60" w14:textId="77777777" w:rsidR="004609BC" w:rsidRPr="0053182F" w:rsidRDefault="004609BC" w:rsidP="004609BC">
      <w:r w:rsidRPr="0053182F">
        <w:rPr>
          <w:noProof/>
        </w:rPr>
        <mc:AlternateContent>
          <mc:Choice Requires="wps">
            <w:drawing>
              <wp:anchor distT="45720" distB="45720" distL="114300" distR="114300" simplePos="0" relativeHeight="251705474" behindDoc="0" locked="0" layoutInCell="1" allowOverlap="1" wp14:anchorId="6A63B093" wp14:editId="0D79E88C">
                <wp:simplePos x="0" y="0"/>
                <wp:positionH relativeFrom="column">
                  <wp:posOffset>4389120</wp:posOffset>
                </wp:positionH>
                <wp:positionV relativeFrom="paragraph">
                  <wp:posOffset>5087620</wp:posOffset>
                </wp:positionV>
                <wp:extent cx="429260" cy="246380"/>
                <wp:effectExtent l="0" t="0" r="27940" b="20320"/>
                <wp:wrapSquare wrapText="bothSides"/>
                <wp:docPr id="12551431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260" cy="246380"/>
                        </a:xfrm>
                        <a:prstGeom prst="rect">
                          <a:avLst/>
                        </a:prstGeom>
                        <a:solidFill>
                          <a:srgbClr val="FFFFFF"/>
                        </a:solidFill>
                        <a:ln w="9525">
                          <a:solidFill>
                            <a:srgbClr val="000000"/>
                          </a:solidFill>
                          <a:miter lim="800000"/>
                          <a:headEnd/>
                          <a:tailEnd/>
                        </a:ln>
                      </wps:spPr>
                      <wps:txbx>
                        <w:txbxContent>
                          <w:p w14:paraId="537074A0" w14:textId="77777777" w:rsidR="004609BC" w:rsidRPr="00DA7999" w:rsidRDefault="004609BC" w:rsidP="004609BC">
                            <w:pPr>
                              <w:rPr>
                                <w:sz w:val="22"/>
                                <w:szCs w:val="22"/>
                              </w:rPr>
                            </w:pPr>
                            <w:r>
                              <w:rPr>
                                <w:sz w:val="22"/>
                                <w:szCs w:val="22"/>
                              </w:rPr>
                              <w:t>+ve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63B093" id="_x0000_s1085" type="#_x0000_t202" style="position:absolute;margin-left:345.6pt;margin-top:400.6pt;width:33.8pt;height:19.4pt;z-index:25170547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">
                <v:textbox>
                  <w:txbxContent>
                    <w:p w14:paraId="537074A0" w14:textId="77777777" w:rsidR="004609BC" w:rsidRPr="00DA7999" w:rsidRDefault="004609BC" w:rsidP="004609BC">
                      <w:pPr>
                        <w:rPr>
                          <w:sz w:val="22"/>
                          <w:szCs w:val="22"/>
                        </w:rPr>
                      </w:pPr>
                      <w:r>
                        <w:rPr>
                          <w:sz w:val="22"/>
                          <w:szCs w:val="22"/>
                        </w:rPr>
                        <w:t>+ve</w:t>
                      </w:r>
                    </w:p>
                  </w:txbxContent>
                </v:textbox>
                <w10:wrap type="square"/>
              </v:shape>
            </w:pict>
          </mc:Fallback>
        </mc:AlternateContent>
      </w:r>
      <w:r w:rsidRPr="0053182F">
        <w:rPr>
          <w:noProof/>
        </w:rPr>
        <mc:AlternateContent>
          <mc:Choice Requires="wps">
            <w:drawing>
              <wp:anchor distT="45720" distB="45720" distL="114300" distR="114300" simplePos="0" relativeHeight="251706498" behindDoc="0" locked="0" layoutInCell="1" allowOverlap="1" wp14:anchorId="18DB00FA" wp14:editId="24C1408D">
                <wp:simplePos x="0" y="0"/>
                <wp:positionH relativeFrom="column">
                  <wp:posOffset>2242185</wp:posOffset>
                </wp:positionH>
                <wp:positionV relativeFrom="paragraph">
                  <wp:posOffset>5008245</wp:posOffset>
                </wp:positionV>
                <wp:extent cx="429260" cy="246380"/>
                <wp:effectExtent l="0" t="0" r="27940" b="20320"/>
                <wp:wrapSquare wrapText="bothSides"/>
                <wp:docPr id="12724213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9260" cy="246380"/>
                        </a:xfrm>
                        <a:prstGeom prst="rect">
                          <a:avLst/>
                        </a:prstGeom>
                        <a:solidFill>
                          <a:srgbClr val="FFFFFF"/>
                        </a:solidFill>
                        <a:ln w="9525">
                          <a:solidFill>
                            <a:srgbClr val="000000"/>
                          </a:solidFill>
                          <a:miter lim="800000"/>
                          <a:headEnd/>
                          <a:tailEnd/>
                        </a:ln>
                      </wps:spPr>
                      <wps:txbx>
                        <w:txbxContent>
                          <w:p w14:paraId="1C3707C7" w14:textId="77777777" w:rsidR="004609BC" w:rsidRPr="00DA7999" w:rsidRDefault="004609BC" w:rsidP="004609BC">
                            <w:pPr>
                              <w:rPr>
                                <w:sz w:val="22"/>
                                <w:szCs w:val="22"/>
                              </w:rPr>
                            </w:pPr>
                            <w:r>
                              <w:rPr>
                                <w:sz w:val="22"/>
                                <w:szCs w:val="22"/>
                              </w:rPr>
                              <w:t>-ve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DB00FA" id="_x0000_s1086" type="#_x0000_t202" style="position:absolute;margin-left:176.55pt;margin-top:394.35pt;width:33.8pt;height:19.4pt;z-index:25170649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">
                <v:textbox>
                  <w:txbxContent>
                    <w:p w14:paraId="1C3707C7" w14:textId="77777777" w:rsidR="004609BC" w:rsidRPr="00DA7999" w:rsidRDefault="004609BC" w:rsidP="004609BC">
                      <w:pPr>
                        <w:rPr>
                          <w:sz w:val="22"/>
                          <w:szCs w:val="22"/>
                        </w:rPr>
                      </w:pPr>
                      <w:r>
                        <w:rPr>
                          <w:sz w:val="22"/>
                          <w:szCs w:val="22"/>
                        </w:rPr>
                        <w:t>-ve</w:t>
                      </w:r>
                    </w:p>
                  </w:txbxContent>
                </v:textbox>
                <w10:wrap type="square"/>
              </v:shape>
            </w:pict>
          </mc:Fallback>
        </mc:AlternateContent>
      </w:r>
      <w:r w:rsidRPr="0053182F">
        <w:rPr>
          <w:noProof/>
        </w:rPr>
        <mc:AlternateContent>
          <mc:Choice Requires="wps">
            <w:drawing>
              <wp:anchor distT="45720" distB="45720" distL="114300" distR="114300" simplePos="0" relativeHeight="251707522" behindDoc="0" locked="0" layoutInCell="1" allowOverlap="1" wp14:anchorId="24D630E0" wp14:editId="481DB813">
                <wp:simplePos x="0" y="0"/>
                <wp:positionH relativeFrom="column">
                  <wp:posOffset>605045</wp:posOffset>
                </wp:positionH>
                <wp:positionV relativeFrom="paragraph">
                  <wp:posOffset>5065146</wp:posOffset>
                </wp:positionV>
                <wp:extent cx="476885" cy="246380"/>
                <wp:effectExtent l="0" t="0" r="18415" b="20320"/>
                <wp:wrapSquare wrapText="bothSides"/>
                <wp:docPr id="18791486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885" cy="246380"/>
                        </a:xfrm>
                        <a:prstGeom prst="rect">
                          <a:avLst/>
                        </a:prstGeom>
                        <a:solidFill>
                          <a:srgbClr val="FFFFFF"/>
                        </a:solidFill>
                        <a:ln w="9525">
                          <a:solidFill>
                            <a:srgbClr val="000000"/>
                          </a:solidFill>
                          <a:miter lim="800000"/>
                          <a:headEnd/>
                          <a:tailEnd/>
                        </a:ln>
                      </wps:spPr>
                      <wps:txbx>
                        <w:txbxContent>
                          <w:p w14:paraId="0632151E" w14:textId="77777777" w:rsidR="004609BC" w:rsidRPr="00DA7999" w:rsidRDefault="004609BC" w:rsidP="004609BC">
                            <w:pPr>
                              <w:rPr>
                                <w:sz w:val="22"/>
                                <w:szCs w:val="22"/>
                              </w:rPr>
                            </w:pPr>
                            <w:r>
                              <w:rPr>
                                <w:sz w:val="22"/>
                                <w:szCs w:val="22"/>
                              </w:rPr>
                              <w:t>-ve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630E0" id="_x0000_s1087" type="#_x0000_t202" style="position:absolute;margin-left:47.65pt;margin-top:398.85pt;width:37.55pt;height:19.4pt;z-index:25170752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">
                <v:textbox>
                  <w:txbxContent>
                    <w:p w14:paraId="0632151E" w14:textId="77777777" w:rsidR="004609BC" w:rsidRPr="00DA7999" w:rsidRDefault="004609BC" w:rsidP="004609BC">
                      <w:pPr>
                        <w:rPr>
                          <w:sz w:val="22"/>
                          <w:szCs w:val="22"/>
                        </w:rPr>
                      </w:pPr>
                      <w:r>
                        <w:rPr>
                          <w:sz w:val="22"/>
                          <w:szCs w:val="22"/>
                        </w:rPr>
                        <w:t>-ve</w:t>
                      </w:r>
                    </w:p>
                  </w:txbxContent>
                </v:textbox>
                <w10:wrap type="square"/>
              </v:shape>
            </w:pict>
          </mc:Fallback>
        </mc:AlternateContent>
      </w:r>
      <w:r w:rsidRPr="0053182F">
        <w:rPr>
          <w:noProof/>
        </w:rPr>
        <mc:AlternateContent>
          <mc:Choice Requires="wps">
            <w:drawing>
              <wp:anchor distT="0" distB="0" distL="114300" distR="114300" simplePos="0" relativeHeight="251704450" behindDoc="0" locked="0" layoutInCell="1" allowOverlap="1" wp14:anchorId="372B7B4F" wp14:editId="1A264757">
                <wp:simplePos x="0" y="0"/>
                <wp:positionH relativeFrom="column">
                  <wp:posOffset>2739887</wp:posOffset>
                </wp:positionH>
                <wp:positionV relativeFrom="paragraph">
                  <wp:posOffset>4503779</wp:posOffset>
                </wp:positionV>
                <wp:extent cx="2011708" cy="1160504"/>
                <wp:effectExtent l="0" t="0" r="83820" b="59055"/>
                <wp:wrapNone/>
                <wp:docPr id="1132490794" name="Straight Arrow Connector 9"/>
                <wp:cNvGraphicFramePr/>
                <a:graphic xmlns:a="http://schemas.openxmlformats.org/drawingml/2006/main">
                  <a:graphicData uri="http://schemas.microsoft.com/office/word/2010/wordprocessingShape">
                    <wps:wsp>
                      <wps:cNvCnPr/>
                      <wps:spPr>
                        <a:xfrm>
                          <a:off x="0" y="0"/>
                          <a:ext cx="2011708" cy="116050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7246BFF" id="Straight Arrow Connector 9" o:spid="_x0000_s1026" type="#_x0000_t32" style="position:absolute;margin-left:215.75pt;margin-top:354.65pt;width:158.4pt;height:91.4pt;z-index:2517044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" strokecolor="black [3200]" strokeweight="1.5pt">
                <v:stroke endarrow="block" joinstyle="miter"/>
              </v:shape>
            </w:pict>
          </mc:Fallback>
        </mc:AlternateContent>
      </w:r>
      <w:r w:rsidRPr="0053182F">
        <w:rPr>
          <w:noProof/>
        </w:rPr>
        <mc:AlternateContent>
          <mc:Choice Requires="wps">
            <w:drawing>
              <wp:anchor distT="0" distB="0" distL="114300" distR="114300" simplePos="0" relativeHeight="251703426" behindDoc="0" locked="0" layoutInCell="1" allowOverlap="1" wp14:anchorId="498B8C94" wp14:editId="099CD78B">
                <wp:simplePos x="0" y="0"/>
                <wp:positionH relativeFrom="column">
                  <wp:posOffset>2739887</wp:posOffset>
                </wp:positionH>
                <wp:positionV relativeFrom="paragraph">
                  <wp:posOffset>4499693</wp:posOffset>
                </wp:positionV>
                <wp:extent cx="4390" cy="1164590"/>
                <wp:effectExtent l="76200" t="0" r="72390" b="54610"/>
                <wp:wrapNone/>
                <wp:docPr id="1751258945" name="Straight Arrow Connector 8"/>
                <wp:cNvGraphicFramePr/>
                <a:graphic xmlns:a="http://schemas.openxmlformats.org/drawingml/2006/main">
                  <a:graphicData uri="http://schemas.microsoft.com/office/word/2010/wordprocessingShape">
                    <wps:wsp>
                      <wps:cNvCnPr/>
                      <wps:spPr>
                        <a:xfrm>
                          <a:off x="0" y="0"/>
                          <a:ext cx="4390" cy="116459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A3A04B0" id="Straight Arrow Connector 8" o:spid="_x0000_s1026" type="#_x0000_t32" style="position:absolute;margin-left:215.75pt;margin-top:354.3pt;width:.35pt;height:91.7pt;z-index:25170342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" strokecolor="black [3200]" strokeweight="1.5pt">
                <v:stroke endarrow="block" joinstyle="miter"/>
              </v:shape>
            </w:pict>
          </mc:Fallback>
        </mc:AlternateContent>
      </w:r>
      <w:r w:rsidRPr="0053182F">
        <w:rPr>
          <w:noProof/>
        </w:rPr>
        <mc:AlternateContent>
          <mc:Choice Requires="wps">
            <w:drawing>
              <wp:anchor distT="0" distB="0" distL="114300" distR="114300" simplePos="0" relativeHeight="251702402" behindDoc="0" locked="0" layoutInCell="1" allowOverlap="1" wp14:anchorId="6105B7CD" wp14:editId="3369182D">
                <wp:simplePos x="0" y="0"/>
                <wp:positionH relativeFrom="column">
                  <wp:posOffset>524786</wp:posOffset>
                </wp:positionH>
                <wp:positionV relativeFrom="paragraph">
                  <wp:posOffset>4503779</wp:posOffset>
                </wp:positionV>
                <wp:extent cx="2219491" cy="1164756"/>
                <wp:effectExtent l="38100" t="0" r="28575" b="54610"/>
                <wp:wrapNone/>
                <wp:docPr id="1539530975" name="Straight Arrow Connector 7"/>
                <wp:cNvGraphicFramePr/>
                <a:graphic xmlns:a="http://schemas.openxmlformats.org/drawingml/2006/main">
                  <a:graphicData uri="http://schemas.microsoft.com/office/word/2010/wordprocessingShape">
                    <wps:wsp>
                      <wps:cNvCnPr/>
                      <wps:spPr>
                        <a:xfrm flipH="1">
                          <a:off x="0" y="0"/>
                          <a:ext cx="2219491" cy="116475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2CC6024" id="Straight Arrow Connector 7" o:spid="_x0000_s1026" type="#_x0000_t32" style="position:absolute;margin-left:41.3pt;margin-top:354.65pt;width:174.75pt;height:91.7pt;flip:x;z-index:25170240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" strokecolor="black [3200]" strokeweight="1.5pt">
                <v:stroke endarrow="block" joinstyle="miter"/>
              </v:shape>
            </w:pict>
          </mc:Fallback>
        </mc:AlternateContent>
      </w:r>
      <w:r w:rsidRPr="0053182F">
        <w:rPr>
          <w:noProof/>
        </w:rPr>
        <mc:AlternateContent>
          <mc:Choice Requires="wps">
            <w:drawing>
              <wp:anchor distT="45720" distB="45720" distL="114300" distR="114300" simplePos="0" relativeHeight="251691138" behindDoc="0" locked="0" layoutInCell="1" allowOverlap="1" wp14:anchorId="61D154FB" wp14:editId="36B60AD5">
                <wp:simplePos x="0" y="0"/>
                <wp:positionH relativeFrom="column">
                  <wp:posOffset>1859915</wp:posOffset>
                </wp:positionH>
                <wp:positionV relativeFrom="paragraph">
                  <wp:posOffset>5668010</wp:posOffset>
                </wp:positionV>
                <wp:extent cx="1701165" cy="1404620"/>
                <wp:effectExtent l="0" t="0" r="13335" b="19050"/>
                <wp:wrapSquare wrapText="bothSides"/>
                <wp:docPr id="19880492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1165" cy="1404620"/>
                        </a:xfrm>
                        <a:prstGeom prst="rect">
                          <a:avLst/>
                        </a:prstGeom>
                        <a:solidFill>
                          <a:srgbClr val="FFFFFF"/>
                        </a:solidFill>
                        <a:ln w="9525">
                          <a:solidFill>
                            <a:srgbClr val="000000"/>
                          </a:solidFill>
                          <a:miter lim="800000"/>
                          <a:headEnd/>
                          <a:tailEnd/>
                        </a:ln>
                      </wps:spPr>
                      <wps:txbx>
                        <w:txbxContent>
                          <w:p w14:paraId="4A60DFBD" w14:textId="77777777" w:rsidR="004609BC" w:rsidRPr="00DA7999" w:rsidRDefault="004609BC" w:rsidP="004609BC">
                            <w:pPr>
                              <w:rPr>
                                <w:sz w:val="22"/>
                                <w:szCs w:val="22"/>
                              </w:rPr>
                            </w:pPr>
                            <w:r w:rsidRPr="00DA7999">
                              <w:rPr>
                                <w:sz w:val="22"/>
                                <w:szCs w:val="22"/>
                              </w:rPr>
                              <w:t>Lower Vulnerability to Modern Slavery (VALN)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D154FB" id="_x0000_s1088" type="#_x0000_t202" style="position:absolute;margin-left:146.45pt;margin-top:446.3pt;width:133.95pt;height:110.6pt;z-index:25169113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">
                <v:textbox style="mso-fit-shape-to-text:t">
                  <w:txbxContent>
                    <w:p w14:paraId="4A60DFBD" w14:textId="77777777" w:rsidR="004609BC" w:rsidRPr="00DA7999" w:rsidRDefault="004609BC" w:rsidP="004609BC">
                      <w:pPr>
                        <w:rPr>
                          <w:sz w:val="22"/>
                          <w:szCs w:val="22"/>
                        </w:rPr>
                      </w:pPr>
                      <w:r w:rsidRPr="00DA7999">
                        <w:rPr>
                          <w:sz w:val="22"/>
                          <w:szCs w:val="22"/>
                        </w:rPr>
                        <w:t>Lower Vulnerability to Modern Slavery (VALN)</w:t>
                      </w:r>
                    </w:p>
                  </w:txbxContent>
                </v:textbox>
                <w10:wrap type="square"/>
              </v:shape>
            </w:pict>
          </mc:Fallback>
        </mc:AlternateContent>
      </w:r>
      <w:r w:rsidRPr="0053182F">
        <w:rPr>
          <w:noProof/>
        </w:rPr>
        <mc:AlternateContent>
          <mc:Choice Requires="wps">
            <w:drawing>
              <wp:anchor distT="45720" distB="45720" distL="114300" distR="114300" simplePos="0" relativeHeight="251700354" behindDoc="0" locked="0" layoutInCell="1" allowOverlap="1" wp14:anchorId="00CA6B91" wp14:editId="708D5983">
                <wp:simplePos x="0" y="0"/>
                <wp:positionH relativeFrom="column">
                  <wp:posOffset>3991030</wp:posOffset>
                </wp:positionH>
                <wp:positionV relativeFrom="paragraph">
                  <wp:posOffset>5668148</wp:posOffset>
                </wp:positionV>
                <wp:extent cx="1812290" cy="1404620"/>
                <wp:effectExtent l="0" t="0" r="16510" b="19050"/>
                <wp:wrapSquare wrapText="bothSides"/>
                <wp:docPr id="1992147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12290" cy="1404620"/>
                        </a:xfrm>
                        <a:prstGeom prst="rect">
                          <a:avLst/>
                        </a:prstGeom>
                        <a:solidFill>
                          <a:srgbClr val="FFFFFF"/>
                        </a:solidFill>
                        <a:ln w="9525">
                          <a:solidFill>
                            <a:srgbClr val="000000"/>
                          </a:solidFill>
                          <a:miter lim="800000"/>
                          <a:headEnd/>
                          <a:tailEnd/>
                        </a:ln>
                      </wps:spPr>
                      <wps:txbx>
                        <w:txbxContent>
                          <w:p w14:paraId="01742636" w14:textId="77777777" w:rsidR="004609BC" w:rsidRPr="00DA7999" w:rsidRDefault="004609BC" w:rsidP="004609BC">
                            <w:pPr>
                              <w:rPr>
                                <w:sz w:val="22"/>
                                <w:szCs w:val="22"/>
                              </w:rPr>
                            </w:pPr>
                            <w:r w:rsidRPr="00DA7999">
                              <w:rPr>
                                <w:sz w:val="22"/>
                                <w:szCs w:val="22"/>
                              </w:rPr>
                              <w:t>Stronger Government MS Risk Mitigation (MSRM)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CA6B91" id="_x0000_s1089" type="#_x0000_t202" style="position:absolute;margin-left:314.25pt;margin-top:446.3pt;width:142.7pt;height:110.6pt;z-index:25170035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">
                <v:textbox style="mso-fit-shape-to-text:t">
                  <w:txbxContent>
                    <w:p w14:paraId="01742636" w14:textId="77777777" w:rsidR="004609BC" w:rsidRPr="00DA7999" w:rsidRDefault="004609BC" w:rsidP="004609BC">
                      <w:pPr>
                        <w:rPr>
                          <w:sz w:val="22"/>
                          <w:szCs w:val="22"/>
                        </w:rPr>
                      </w:pPr>
                      <w:r w:rsidRPr="00DA7999">
                        <w:rPr>
                          <w:sz w:val="22"/>
                          <w:szCs w:val="22"/>
                        </w:rPr>
                        <w:t>Stronger Government MS Risk Mitigation (MSRM)</w:t>
                      </w:r>
                    </w:p>
                  </w:txbxContent>
                </v:textbox>
                <w10:wrap type="square"/>
              </v:shape>
            </w:pict>
          </mc:Fallback>
        </mc:AlternateContent>
      </w:r>
      <w:r w:rsidRPr="0053182F">
        <w:rPr>
          <w:noProof/>
        </w:rPr>
        <mc:AlternateContent>
          <mc:Choice Requires="wps">
            <w:drawing>
              <wp:anchor distT="45720" distB="45720" distL="114300" distR="114300" simplePos="0" relativeHeight="251701378" behindDoc="0" locked="0" layoutInCell="1" allowOverlap="1" wp14:anchorId="79AFED80" wp14:editId="6D373711">
                <wp:simplePos x="0" y="0"/>
                <wp:positionH relativeFrom="column">
                  <wp:posOffset>-390111</wp:posOffset>
                </wp:positionH>
                <wp:positionV relativeFrom="paragraph">
                  <wp:posOffset>5668342</wp:posOffset>
                </wp:positionV>
                <wp:extent cx="1796415" cy="1404620"/>
                <wp:effectExtent l="0" t="0" r="13335" b="19050"/>
                <wp:wrapSquare wrapText="bothSides"/>
                <wp:docPr id="16523799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6415" cy="1404620"/>
                        </a:xfrm>
                        <a:prstGeom prst="rect">
                          <a:avLst/>
                        </a:prstGeom>
                        <a:solidFill>
                          <a:srgbClr val="FFFFFF"/>
                        </a:solidFill>
                        <a:ln w="9525">
                          <a:solidFill>
                            <a:srgbClr val="000000"/>
                          </a:solidFill>
                          <a:miter lim="800000"/>
                          <a:headEnd/>
                          <a:tailEnd/>
                        </a:ln>
                      </wps:spPr>
                      <wps:txbx>
                        <w:txbxContent>
                          <w:p w14:paraId="5FEAA335" w14:textId="77777777" w:rsidR="004609BC" w:rsidRPr="00DA7999" w:rsidRDefault="004609BC" w:rsidP="004609BC">
                            <w:pPr>
                              <w:rPr>
                                <w:sz w:val="22"/>
                                <w:szCs w:val="22"/>
                              </w:rPr>
                            </w:pPr>
                            <w:r w:rsidRPr="00DA7999">
                              <w:rPr>
                                <w:sz w:val="22"/>
                                <w:szCs w:val="22"/>
                              </w:rPr>
                              <w:t>Lower Modern Slavery Prevalence (PREV)</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AFED80" id="_x0000_s1090" type="#_x0000_t202" style="position:absolute;margin-left:-30.7pt;margin-top:446.35pt;width:141.45pt;height:110.6pt;z-index:25170137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">
                <v:textbox style="mso-fit-shape-to-text:t">
                  <w:txbxContent>
                    <w:p w14:paraId="5FEAA335" w14:textId="77777777" w:rsidR="004609BC" w:rsidRPr="00DA7999" w:rsidRDefault="004609BC" w:rsidP="004609BC">
                      <w:pPr>
                        <w:rPr>
                          <w:sz w:val="22"/>
                          <w:szCs w:val="22"/>
                        </w:rPr>
                      </w:pPr>
                      <w:r w:rsidRPr="00DA7999">
                        <w:rPr>
                          <w:sz w:val="22"/>
                          <w:szCs w:val="22"/>
                        </w:rPr>
                        <w:t>Lower Modern Slavery Prevalence (PREV)</w:t>
                      </w:r>
                    </w:p>
                  </w:txbxContent>
                </v:textbox>
                <w10:wrap type="square"/>
              </v:shape>
            </w:pict>
          </mc:Fallback>
        </mc:AlternateContent>
      </w:r>
      <w:r w:rsidRPr="0053182F">
        <w:rPr>
          <w:noProof/>
        </w:rPr>
        <mc:AlternateContent>
          <mc:Choice Requires="wps">
            <w:drawing>
              <wp:anchor distT="0" distB="0" distL="114300" distR="114300" simplePos="0" relativeHeight="251699330" behindDoc="0" locked="0" layoutInCell="1" allowOverlap="1" wp14:anchorId="7A4872D8" wp14:editId="486AC96C">
                <wp:simplePos x="0" y="0"/>
                <wp:positionH relativeFrom="column">
                  <wp:posOffset>2719374</wp:posOffset>
                </wp:positionH>
                <wp:positionV relativeFrom="paragraph">
                  <wp:posOffset>1852295</wp:posOffset>
                </wp:positionV>
                <wp:extent cx="2034181" cy="429701"/>
                <wp:effectExtent l="38100" t="0" r="23495" b="85090"/>
                <wp:wrapNone/>
                <wp:docPr id="1244870361" name="Straight Arrow Connector 6"/>
                <wp:cNvGraphicFramePr/>
                <a:graphic xmlns:a="http://schemas.openxmlformats.org/drawingml/2006/main">
                  <a:graphicData uri="http://schemas.microsoft.com/office/word/2010/wordprocessingShape">
                    <wps:wsp>
                      <wps:cNvCnPr/>
                      <wps:spPr>
                        <a:xfrm flipH="1">
                          <a:off x="0" y="0"/>
                          <a:ext cx="2034181" cy="42970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1F434322" id="Straight Arrow Connector 6" o:spid="_x0000_s1026" type="#_x0000_t32" style="position:absolute;margin-left:214.1pt;margin-top:145.85pt;width:160.15pt;height:33.85pt;flip:x;z-index:25169933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" strokecolor="black [3200]" strokeweight="1.5pt">
                <v:stroke endarrow="block" joinstyle="miter"/>
              </v:shape>
            </w:pict>
          </mc:Fallback>
        </mc:AlternateContent>
      </w:r>
      <w:r w:rsidRPr="0053182F">
        <w:rPr>
          <w:noProof/>
        </w:rPr>
        <mc:AlternateContent>
          <mc:Choice Requires="wps">
            <w:drawing>
              <wp:anchor distT="0" distB="0" distL="114300" distR="114300" simplePos="0" relativeHeight="251698306" behindDoc="0" locked="0" layoutInCell="1" allowOverlap="1" wp14:anchorId="43BDFEF0" wp14:editId="6AEA1AB2">
                <wp:simplePos x="0" y="0"/>
                <wp:positionH relativeFrom="column">
                  <wp:posOffset>2744277</wp:posOffset>
                </wp:positionH>
                <wp:positionV relativeFrom="paragraph">
                  <wp:posOffset>1841942</wp:posOffset>
                </wp:positionV>
                <wp:extent cx="0" cy="440082"/>
                <wp:effectExtent l="76200" t="0" r="57150" b="55245"/>
                <wp:wrapNone/>
                <wp:docPr id="2022491671" name="Straight Arrow Connector 5"/>
                <wp:cNvGraphicFramePr/>
                <a:graphic xmlns:a="http://schemas.openxmlformats.org/drawingml/2006/main">
                  <a:graphicData uri="http://schemas.microsoft.com/office/word/2010/wordprocessingShape">
                    <wps:wsp>
                      <wps:cNvCnPr/>
                      <wps:spPr>
                        <a:xfrm>
                          <a:off x="0" y="0"/>
                          <a:ext cx="0" cy="440082"/>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FF6CE92" id="Straight Arrow Connector 5" o:spid="_x0000_s1026" type="#_x0000_t32" style="position:absolute;margin-left:216.1pt;margin-top:145.05pt;width:0;height:34.65pt;z-index:25169830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" strokecolor="black [3200]" strokeweight="1.5pt">
                <v:stroke endarrow="block" joinstyle="miter"/>
              </v:shape>
            </w:pict>
          </mc:Fallback>
        </mc:AlternateContent>
      </w:r>
      <w:r w:rsidRPr="0053182F">
        <w:rPr>
          <w:noProof/>
        </w:rPr>
        <mc:AlternateContent>
          <mc:Choice Requires="wps">
            <w:drawing>
              <wp:anchor distT="0" distB="0" distL="114300" distR="114300" simplePos="0" relativeHeight="251697282" behindDoc="0" locked="0" layoutInCell="1" allowOverlap="1" wp14:anchorId="320F12E1" wp14:editId="07541117">
                <wp:simplePos x="0" y="0"/>
                <wp:positionH relativeFrom="column">
                  <wp:posOffset>801424</wp:posOffset>
                </wp:positionH>
                <wp:positionV relativeFrom="paragraph">
                  <wp:posOffset>1786283</wp:posOffset>
                </wp:positionV>
                <wp:extent cx="1941775" cy="495741"/>
                <wp:effectExtent l="0" t="0" r="78105" b="76200"/>
                <wp:wrapNone/>
                <wp:docPr id="1642075449" name="Straight Arrow Connector 4"/>
                <wp:cNvGraphicFramePr/>
                <a:graphic xmlns:a="http://schemas.openxmlformats.org/drawingml/2006/main">
                  <a:graphicData uri="http://schemas.microsoft.com/office/word/2010/wordprocessingShape">
                    <wps:wsp>
                      <wps:cNvCnPr/>
                      <wps:spPr>
                        <a:xfrm>
                          <a:off x="0" y="0"/>
                          <a:ext cx="1941775" cy="495741"/>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4756B0F" id="Straight Arrow Connector 4" o:spid="_x0000_s1026" type="#_x0000_t32" style="position:absolute;margin-left:63.1pt;margin-top:140.65pt;width:152.9pt;height:39.05pt;z-index:25169728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" strokecolor="black [3200]" strokeweight="1.5pt">
                <v:stroke endarrow="block" joinstyle="miter"/>
              </v:shape>
            </w:pict>
          </mc:Fallback>
        </mc:AlternateContent>
      </w:r>
      <w:r w:rsidRPr="0053182F">
        <w:rPr>
          <w:noProof/>
        </w:rPr>
        <mc:AlternateContent>
          <mc:Choice Requires="wps">
            <w:drawing>
              <wp:anchor distT="0" distB="0" distL="114300" distR="114300" simplePos="0" relativeHeight="251696258" behindDoc="0" locked="0" layoutInCell="1" allowOverlap="1" wp14:anchorId="3F20608B" wp14:editId="58248F62">
                <wp:simplePos x="0" y="0"/>
                <wp:positionH relativeFrom="column">
                  <wp:posOffset>803082</wp:posOffset>
                </wp:positionH>
                <wp:positionV relativeFrom="paragraph">
                  <wp:posOffset>516835</wp:posOffset>
                </wp:positionV>
                <wp:extent cx="1801633" cy="596265"/>
                <wp:effectExtent l="38100" t="0" r="27305" b="70485"/>
                <wp:wrapNone/>
                <wp:docPr id="2071177456" name="Straight Arrow Connector 3"/>
                <wp:cNvGraphicFramePr/>
                <a:graphic xmlns:a="http://schemas.openxmlformats.org/drawingml/2006/main">
                  <a:graphicData uri="http://schemas.microsoft.com/office/word/2010/wordprocessingShape">
                    <wps:wsp>
                      <wps:cNvCnPr/>
                      <wps:spPr>
                        <a:xfrm flipH="1">
                          <a:off x="0" y="0"/>
                          <a:ext cx="1801633" cy="59626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89BFF9D" id="Straight Arrow Connector 3" o:spid="_x0000_s1026" type="#_x0000_t32" style="position:absolute;margin-left:63.25pt;margin-top:40.7pt;width:141.85pt;height:46.95pt;flip:x;z-index:2516962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" strokecolor="black [3200]" strokeweight="1.5pt">
                <v:stroke endarrow="block" joinstyle="miter"/>
              </v:shape>
            </w:pict>
          </mc:Fallback>
        </mc:AlternateContent>
      </w:r>
      <w:r w:rsidRPr="0053182F">
        <w:rPr>
          <w:noProof/>
        </w:rPr>
        <mc:AlternateContent>
          <mc:Choice Requires="wps">
            <w:drawing>
              <wp:anchor distT="0" distB="0" distL="114300" distR="114300" simplePos="0" relativeHeight="251695234" behindDoc="0" locked="0" layoutInCell="1" allowOverlap="1" wp14:anchorId="0D9D891B" wp14:editId="6FA196DD">
                <wp:simplePos x="0" y="0"/>
                <wp:positionH relativeFrom="column">
                  <wp:posOffset>2608028</wp:posOffset>
                </wp:positionH>
                <wp:positionV relativeFrom="paragraph">
                  <wp:posOffset>516835</wp:posOffset>
                </wp:positionV>
                <wp:extent cx="0" cy="596348"/>
                <wp:effectExtent l="76200" t="0" r="57150" b="51435"/>
                <wp:wrapNone/>
                <wp:docPr id="1322300993" name="Straight Arrow Connector 2"/>
                <wp:cNvGraphicFramePr/>
                <a:graphic xmlns:a="http://schemas.openxmlformats.org/drawingml/2006/main">
                  <a:graphicData uri="http://schemas.microsoft.com/office/word/2010/wordprocessingShape">
                    <wps:wsp>
                      <wps:cNvCnPr/>
                      <wps:spPr>
                        <a:xfrm>
                          <a:off x="0" y="0"/>
                          <a:ext cx="0" cy="59634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F0954EB" id="Straight Arrow Connector 2" o:spid="_x0000_s1026" type="#_x0000_t32" style="position:absolute;margin-left:205.35pt;margin-top:40.7pt;width:0;height:46.95pt;z-index:25169523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" strokecolor="black [3200]" strokeweight="1.5pt">
                <v:stroke endarrow="block" joinstyle="miter"/>
              </v:shape>
            </w:pict>
          </mc:Fallback>
        </mc:AlternateContent>
      </w:r>
      <w:r w:rsidRPr="0053182F">
        <w:rPr>
          <w:noProof/>
        </w:rPr>
        <mc:AlternateContent>
          <mc:Choice Requires="wps">
            <w:drawing>
              <wp:anchor distT="0" distB="0" distL="114300" distR="114300" simplePos="0" relativeHeight="251694210" behindDoc="0" locked="0" layoutInCell="1" allowOverlap="1" wp14:anchorId="2525961F" wp14:editId="2DFCE43A">
                <wp:simplePos x="0" y="0"/>
                <wp:positionH relativeFrom="column">
                  <wp:posOffset>2608028</wp:posOffset>
                </wp:positionH>
                <wp:positionV relativeFrom="paragraph">
                  <wp:posOffset>516835</wp:posOffset>
                </wp:positionV>
                <wp:extent cx="2170706" cy="652007"/>
                <wp:effectExtent l="0" t="0" r="39370" b="72390"/>
                <wp:wrapNone/>
                <wp:docPr id="234738498" name="Straight Arrow Connector 1"/>
                <wp:cNvGraphicFramePr/>
                <a:graphic xmlns:a="http://schemas.openxmlformats.org/drawingml/2006/main">
                  <a:graphicData uri="http://schemas.microsoft.com/office/word/2010/wordprocessingShape">
                    <wps:wsp>
                      <wps:cNvCnPr/>
                      <wps:spPr>
                        <a:xfrm>
                          <a:off x="0" y="0"/>
                          <a:ext cx="2170706" cy="65200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B1D918" id="Straight Arrow Connector 1" o:spid="_x0000_s1026" type="#_x0000_t32" style="position:absolute;margin-left:205.35pt;margin-top:40.7pt;width:170.9pt;height:51.35pt;z-index:2516942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" strokecolor="black [3200]" strokeweight="1.5pt">
                <v:stroke endarrow="block" joinstyle="miter"/>
              </v:shape>
            </w:pict>
          </mc:Fallback>
        </mc:AlternateContent>
      </w:r>
      <w:r w:rsidRPr="0053182F">
        <w:rPr>
          <w:noProof/>
        </w:rPr>
        <mc:AlternateContent>
          <mc:Choice Requires="wps">
            <w:drawing>
              <wp:anchor distT="45720" distB="45720" distL="114300" distR="114300" simplePos="0" relativeHeight="251688066" behindDoc="0" locked="0" layoutInCell="1" allowOverlap="1" wp14:anchorId="59CC4B0D" wp14:editId="0D682497">
                <wp:simplePos x="0" y="0"/>
                <wp:positionH relativeFrom="column">
                  <wp:posOffset>1351280</wp:posOffset>
                </wp:positionH>
                <wp:positionV relativeFrom="paragraph">
                  <wp:posOffset>2281555</wp:posOffset>
                </wp:positionV>
                <wp:extent cx="2917825" cy="1404620"/>
                <wp:effectExtent l="0" t="0" r="15875" b="25400"/>
                <wp:wrapSquare wrapText="bothSides"/>
                <wp:docPr id="15011645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7825" cy="1404620"/>
                        </a:xfrm>
                        <a:prstGeom prst="rect">
                          <a:avLst/>
                        </a:prstGeom>
                        <a:solidFill>
                          <a:srgbClr val="FFFFFF"/>
                        </a:solidFill>
                        <a:ln w="9525">
                          <a:solidFill>
                            <a:srgbClr val="000000"/>
                          </a:solidFill>
                          <a:miter lim="800000"/>
                          <a:headEnd/>
                          <a:tailEnd/>
                        </a:ln>
                      </wps:spPr>
                      <wps:txbx>
                        <w:txbxContent>
                          <w:p w14:paraId="47840DEF" w14:textId="77777777" w:rsidR="004609BC" w:rsidRPr="00DA7999" w:rsidRDefault="004609BC" w:rsidP="004609BC">
                            <w:pPr>
                              <w:jc w:val="center"/>
                              <w:rPr>
                                <w:b/>
                                <w:bCs/>
                              </w:rPr>
                            </w:pPr>
                            <w:r w:rsidRPr="00DA7999">
                              <w:rPr>
                                <w:b/>
                                <w:bCs/>
                              </w:rPr>
                              <w:t>Institutional Environment Quality (IEQ)</w:t>
                            </w:r>
                          </w:p>
                          <w:p w14:paraId="30175B6C" w14:textId="77777777" w:rsidR="004609BC" w:rsidRDefault="004609BC" w:rsidP="004609BC">
                            <w:pPr>
                              <w:jc w:val="center"/>
                            </w:pPr>
                            <w:r>
                              <w:t>• Rule of Law</w:t>
                            </w:r>
                          </w:p>
                          <w:p w14:paraId="0B1B10A9" w14:textId="77777777" w:rsidR="004609BC" w:rsidRDefault="004609BC" w:rsidP="004609BC">
                            <w:pPr>
                              <w:jc w:val="center"/>
                            </w:pPr>
                            <w:r>
                              <w:t>• Voice &amp; Accountability</w:t>
                            </w:r>
                          </w:p>
                          <w:p w14:paraId="285ACF61" w14:textId="77777777" w:rsidR="004609BC" w:rsidRDefault="004609BC" w:rsidP="004609BC">
                            <w:pPr>
                              <w:jc w:val="center"/>
                            </w:pPr>
                            <w:r>
                              <w:t>• Regulatory Quality</w:t>
                            </w:r>
                          </w:p>
                          <w:p w14:paraId="3ED2879E" w14:textId="77777777" w:rsidR="004609BC" w:rsidRDefault="004609BC" w:rsidP="004609BC">
                            <w:pPr>
                              <w:jc w:val="center"/>
                            </w:pPr>
                            <w:r>
                              <w:t>• Government Effectiveness</w:t>
                            </w:r>
                          </w:p>
                          <w:p w14:paraId="2DA987E6" w14:textId="77777777" w:rsidR="004609BC" w:rsidRDefault="004609BC" w:rsidP="004609BC">
                            <w:pPr>
                              <w:jc w:val="center"/>
                            </w:pPr>
                            <w:r>
                              <w:t>• Control of Corruption</w:t>
                            </w:r>
                          </w:p>
                          <w:p w14:paraId="5BCF51AD" w14:textId="77777777" w:rsidR="004609BC" w:rsidRDefault="004609BC" w:rsidP="004609BC">
                            <w:pPr>
                              <w:jc w:val="center"/>
                            </w:pPr>
                            <w:r>
                              <w:t>• Political Stability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CC4B0D" id="_x0000_s1091" type="#_x0000_t202" style="position:absolute;margin-left:106.4pt;margin-top:179.65pt;width:229.75pt;height:110.6pt;z-index:25168806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">
                <v:textbox style="mso-fit-shape-to-text:t">
                  <w:txbxContent>
                    <w:p w14:paraId="47840DEF" w14:textId="77777777" w:rsidR="004609BC" w:rsidRPr="00DA7999" w:rsidRDefault="004609BC" w:rsidP="004609BC">
                      <w:pPr>
                        <w:jc w:val="center"/>
                        <w:rPr>
                          <w:b/>
                          <w:bCs/>
                        </w:rPr>
                      </w:pPr>
                      <w:r w:rsidRPr="00DA7999">
                        <w:rPr>
                          <w:b/>
                          <w:bCs/>
                        </w:rPr>
                        <w:t>Institutional Environment Quality (IEQ)</w:t>
                      </w:r>
                    </w:p>
                    <w:p w14:paraId="30175B6C" w14:textId="77777777" w:rsidR="004609BC" w:rsidRDefault="004609BC" w:rsidP="004609BC">
                      <w:pPr>
                        <w:jc w:val="center"/>
                      </w:pPr>
                      <w:r>
                        <w:t>• Rule of Law</w:t>
                      </w:r>
                    </w:p>
                    <w:p w14:paraId="0B1B10A9" w14:textId="77777777" w:rsidR="004609BC" w:rsidRDefault="004609BC" w:rsidP="004609BC">
                      <w:pPr>
                        <w:jc w:val="center"/>
                      </w:pPr>
                      <w:r>
                        <w:t>• Voice &amp; Accountability</w:t>
                      </w:r>
                    </w:p>
                    <w:p w14:paraId="285ACF61" w14:textId="77777777" w:rsidR="004609BC" w:rsidRDefault="004609BC" w:rsidP="004609BC">
                      <w:pPr>
                        <w:jc w:val="center"/>
                      </w:pPr>
                      <w:r>
                        <w:t>• Regulatory Quality</w:t>
                      </w:r>
                    </w:p>
                    <w:p w14:paraId="3ED2879E" w14:textId="77777777" w:rsidR="004609BC" w:rsidRDefault="004609BC" w:rsidP="004609BC">
                      <w:pPr>
                        <w:jc w:val="center"/>
                      </w:pPr>
                      <w:r>
                        <w:t>• Government Effectiveness</w:t>
                      </w:r>
                    </w:p>
                    <w:p w14:paraId="2DA987E6" w14:textId="77777777" w:rsidR="004609BC" w:rsidRDefault="004609BC" w:rsidP="004609BC">
                      <w:pPr>
                        <w:jc w:val="center"/>
                      </w:pPr>
                      <w:r>
                        <w:t>• Control of Corruption</w:t>
                      </w:r>
                    </w:p>
                    <w:p w14:paraId="5BCF51AD" w14:textId="77777777" w:rsidR="004609BC" w:rsidRDefault="004609BC" w:rsidP="004609BC">
                      <w:pPr>
                        <w:jc w:val="center"/>
                      </w:pPr>
                      <w:r>
                        <w:t>• Political Stability</w:t>
                      </w:r>
                    </w:p>
                  </w:txbxContent>
                </v:textbox>
                <w10:wrap type="square"/>
              </v:shape>
            </w:pict>
          </mc:Fallback>
        </mc:AlternateContent>
      </w:r>
      <w:r w:rsidRPr="0053182F">
        <w:rPr>
          <w:noProof/>
        </w:rPr>
        <mc:AlternateContent>
          <mc:Choice Requires="wps">
            <w:drawing>
              <wp:anchor distT="45720" distB="45720" distL="114300" distR="114300" simplePos="0" relativeHeight="251692162" behindDoc="0" locked="0" layoutInCell="1" allowOverlap="1" wp14:anchorId="6F5079C9" wp14:editId="7D5D186A">
                <wp:simplePos x="0" y="0"/>
                <wp:positionH relativeFrom="column">
                  <wp:posOffset>3640676</wp:posOffset>
                </wp:positionH>
                <wp:positionV relativeFrom="paragraph">
                  <wp:posOffset>1171106</wp:posOffset>
                </wp:positionV>
                <wp:extent cx="2313305" cy="1404620"/>
                <wp:effectExtent l="0" t="0" r="10795" b="12700"/>
                <wp:wrapSquare wrapText="bothSides"/>
                <wp:docPr id="6306432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3305" cy="1404620"/>
                        </a:xfrm>
                        <a:prstGeom prst="rect">
                          <a:avLst/>
                        </a:prstGeom>
                        <a:solidFill>
                          <a:srgbClr val="FFFFFF"/>
                        </a:solidFill>
                        <a:ln w="9525">
                          <a:solidFill>
                            <a:srgbClr val="000000"/>
                          </a:solidFill>
                          <a:miter lim="800000"/>
                          <a:headEnd/>
                          <a:tailEnd/>
                        </a:ln>
                      </wps:spPr>
                      <wps:txbx>
                        <w:txbxContent>
                          <w:p w14:paraId="3B7D52DC" w14:textId="77777777" w:rsidR="004609BC" w:rsidRPr="00DA7999" w:rsidRDefault="004609BC" w:rsidP="004609BC">
                            <w:pPr>
                              <w:jc w:val="center"/>
                              <w:rPr>
                                <w:sz w:val="22"/>
                                <w:szCs w:val="22"/>
                              </w:rPr>
                            </w:pPr>
                            <w:r w:rsidRPr="00DA7999">
                              <w:rPr>
                                <w:sz w:val="22"/>
                                <w:szCs w:val="22"/>
                              </w:rPr>
                              <w:t>Mimetic pressures</w:t>
                            </w:r>
                          </w:p>
                          <w:p w14:paraId="51E082CF" w14:textId="77777777" w:rsidR="004609BC" w:rsidRPr="00DA7999" w:rsidRDefault="004609BC" w:rsidP="004609BC">
                            <w:pPr>
                              <w:jc w:val="center"/>
                              <w:rPr>
                                <w:sz w:val="22"/>
                                <w:szCs w:val="22"/>
                              </w:rPr>
                            </w:pPr>
                            <w:r w:rsidRPr="00DA7999">
                              <w:rPr>
                                <w:sz w:val="22"/>
                                <w:szCs w:val="22"/>
                              </w:rPr>
                              <w:t>(policy diffusion, legitimacy seeking)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F5079C9" id="_x0000_s1092" type="#_x0000_t202" style="position:absolute;margin-left:286.65pt;margin-top:92.2pt;width:182.15pt;height:110.6pt;z-index:25169216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">
                <v:textbox style="mso-fit-shape-to-text:t">
                  <w:txbxContent>
                    <w:p w14:paraId="3B7D52DC" w14:textId="77777777" w:rsidR="004609BC" w:rsidRPr="00DA7999" w:rsidRDefault="004609BC" w:rsidP="004609BC">
                      <w:pPr>
                        <w:jc w:val="center"/>
                        <w:rPr>
                          <w:sz w:val="22"/>
                          <w:szCs w:val="22"/>
                        </w:rPr>
                      </w:pPr>
                      <w:r w:rsidRPr="00DA7999">
                        <w:rPr>
                          <w:sz w:val="22"/>
                          <w:szCs w:val="22"/>
                        </w:rPr>
                        <w:t>Mimetic pressures</w:t>
                      </w:r>
                    </w:p>
                    <w:p w14:paraId="51E082CF" w14:textId="77777777" w:rsidR="004609BC" w:rsidRPr="00DA7999" w:rsidRDefault="004609BC" w:rsidP="004609BC">
                      <w:pPr>
                        <w:jc w:val="center"/>
                        <w:rPr>
                          <w:sz w:val="22"/>
                          <w:szCs w:val="22"/>
                        </w:rPr>
                      </w:pPr>
                      <w:r w:rsidRPr="00DA7999">
                        <w:rPr>
                          <w:sz w:val="22"/>
                          <w:szCs w:val="22"/>
                        </w:rPr>
                        <w:t>(policy diffusion, legitimacy seeking)</w:t>
                      </w:r>
                    </w:p>
                  </w:txbxContent>
                </v:textbox>
                <w10:wrap type="square"/>
              </v:shape>
            </w:pict>
          </mc:Fallback>
        </mc:AlternateContent>
      </w:r>
      <w:r w:rsidRPr="0053182F">
        <w:rPr>
          <w:noProof/>
        </w:rPr>
        <mc:AlternateContent>
          <mc:Choice Requires="wps">
            <w:drawing>
              <wp:anchor distT="45720" distB="45720" distL="114300" distR="114300" simplePos="0" relativeHeight="251693186" behindDoc="0" locked="0" layoutInCell="1" allowOverlap="1" wp14:anchorId="777E9935" wp14:editId="4EC88C73">
                <wp:simplePos x="0" y="0"/>
                <wp:positionH relativeFrom="column">
                  <wp:posOffset>2011045</wp:posOffset>
                </wp:positionH>
                <wp:positionV relativeFrom="paragraph">
                  <wp:posOffset>1113100</wp:posOffset>
                </wp:positionV>
                <wp:extent cx="1494155" cy="739140"/>
                <wp:effectExtent l="0" t="0" r="10795" b="22860"/>
                <wp:wrapSquare wrapText="bothSides"/>
                <wp:docPr id="12001555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4155" cy="739140"/>
                        </a:xfrm>
                        <a:prstGeom prst="rect">
                          <a:avLst/>
                        </a:prstGeom>
                        <a:solidFill>
                          <a:srgbClr val="FFFFFF"/>
                        </a:solidFill>
                        <a:ln w="9525">
                          <a:solidFill>
                            <a:srgbClr val="000000"/>
                          </a:solidFill>
                          <a:miter lim="800000"/>
                          <a:headEnd/>
                          <a:tailEnd/>
                        </a:ln>
                      </wps:spPr>
                      <wps:txbx>
                        <w:txbxContent>
                          <w:p w14:paraId="2D072494" w14:textId="77777777" w:rsidR="004609BC" w:rsidRPr="00DA7999" w:rsidRDefault="004609BC" w:rsidP="004609BC">
                            <w:pPr>
                              <w:rPr>
                                <w:sz w:val="22"/>
                                <w:szCs w:val="22"/>
                              </w:rPr>
                            </w:pPr>
                            <w:r w:rsidRPr="00DA7999">
                              <w:rPr>
                                <w:sz w:val="22"/>
                                <w:szCs w:val="22"/>
                              </w:rPr>
                              <w:t>Normative pressures</w:t>
                            </w:r>
                          </w:p>
                          <w:p w14:paraId="06131264" w14:textId="77777777" w:rsidR="004609BC" w:rsidRPr="00DA7999" w:rsidRDefault="004609BC" w:rsidP="004609BC">
                            <w:pPr>
                              <w:rPr>
                                <w:sz w:val="22"/>
                                <w:szCs w:val="22"/>
                              </w:rPr>
                            </w:pPr>
                            <w:r w:rsidRPr="00DA7999">
                              <w:rPr>
                                <w:sz w:val="22"/>
                                <w:szCs w:val="22"/>
                              </w:rPr>
                              <w:t xml:space="preserve">  (civil society, media, human rights norms)</w:t>
                            </w:r>
                          </w:p>
                          <w:p w14:paraId="24B54AE4" w14:textId="77777777" w:rsidR="004609BC" w:rsidRDefault="004609BC" w:rsidP="004609BC">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7E9935" id="_x0000_s1093" type="#_x0000_t202" style="position:absolute;margin-left:158.35pt;margin-top:87.65pt;width:117.65pt;height:58.2pt;z-index:2516931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">
                <v:textbox>
                  <w:txbxContent>
                    <w:p w14:paraId="2D072494" w14:textId="77777777" w:rsidR="004609BC" w:rsidRPr="00DA7999" w:rsidRDefault="004609BC" w:rsidP="004609BC">
                      <w:pPr>
                        <w:rPr>
                          <w:sz w:val="22"/>
                          <w:szCs w:val="22"/>
                        </w:rPr>
                      </w:pPr>
                      <w:r w:rsidRPr="00DA7999">
                        <w:rPr>
                          <w:sz w:val="22"/>
                          <w:szCs w:val="22"/>
                        </w:rPr>
                        <w:t>Normative pressures</w:t>
                      </w:r>
                    </w:p>
                    <w:p w14:paraId="06131264" w14:textId="77777777" w:rsidR="004609BC" w:rsidRPr="00DA7999" w:rsidRDefault="004609BC" w:rsidP="004609BC">
                      <w:pPr>
                        <w:rPr>
                          <w:sz w:val="22"/>
                          <w:szCs w:val="22"/>
                        </w:rPr>
                      </w:pPr>
                      <w:r w:rsidRPr="00DA7999">
                        <w:rPr>
                          <w:sz w:val="22"/>
                          <w:szCs w:val="22"/>
                        </w:rPr>
                        <w:t xml:space="preserve">  (civil society, media, human rights norms)</w:t>
                      </w:r>
                    </w:p>
                    <w:p w14:paraId="24B54AE4" w14:textId="77777777" w:rsidR="004609BC" w:rsidRDefault="004609BC" w:rsidP="004609BC">
                      <w:pPr>
                        <w:jc w:val="center"/>
                      </w:pPr>
                    </w:p>
                  </w:txbxContent>
                </v:textbox>
                <w10:wrap type="square"/>
              </v:shape>
            </w:pict>
          </mc:Fallback>
        </mc:AlternateContent>
      </w:r>
      <w:r w:rsidRPr="0053182F">
        <w:rPr>
          <w:noProof/>
        </w:rPr>
        <mc:AlternateContent>
          <mc:Choice Requires="wps">
            <w:drawing>
              <wp:anchor distT="45720" distB="45720" distL="114300" distR="114300" simplePos="0" relativeHeight="251690114" behindDoc="0" locked="0" layoutInCell="1" allowOverlap="1" wp14:anchorId="7EC0FDE7" wp14:editId="4CD976DC">
                <wp:simplePos x="0" y="0"/>
                <wp:positionH relativeFrom="column">
                  <wp:posOffset>-215182</wp:posOffset>
                </wp:positionH>
                <wp:positionV relativeFrom="paragraph">
                  <wp:posOffset>1113100</wp:posOffset>
                </wp:positionV>
                <wp:extent cx="2027555" cy="1404620"/>
                <wp:effectExtent l="0" t="0" r="10795" b="12700"/>
                <wp:wrapSquare wrapText="bothSides"/>
                <wp:docPr id="1557838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7555" cy="1404620"/>
                        </a:xfrm>
                        <a:prstGeom prst="rect">
                          <a:avLst/>
                        </a:prstGeom>
                        <a:solidFill>
                          <a:srgbClr val="FFFFFF"/>
                        </a:solidFill>
                        <a:ln w="9525">
                          <a:solidFill>
                            <a:srgbClr val="000000"/>
                          </a:solidFill>
                          <a:miter lim="800000"/>
                          <a:headEnd/>
                          <a:tailEnd/>
                        </a:ln>
                      </wps:spPr>
                      <wps:txbx>
                        <w:txbxContent>
                          <w:p w14:paraId="5A06C805" w14:textId="77777777" w:rsidR="004609BC" w:rsidRPr="00DA7999" w:rsidRDefault="004609BC" w:rsidP="004609BC">
                            <w:pPr>
                              <w:jc w:val="center"/>
                              <w:rPr>
                                <w:sz w:val="22"/>
                                <w:szCs w:val="22"/>
                              </w:rPr>
                            </w:pPr>
                            <w:r w:rsidRPr="00DA7999">
                              <w:rPr>
                                <w:sz w:val="22"/>
                                <w:szCs w:val="22"/>
                              </w:rPr>
                              <w:t>Coercive pressures</w:t>
                            </w:r>
                          </w:p>
                          <w:p w14:paraId="513454B0" w14:textId="77777777" w:rsidR="004609BC" w:rsidRPr="00DA7999" w:rsidRDefault="004609BC" w:rsidP="004609BC">
                            <w:pPr>
                              <w:jc w:val="center"/>
                              <w:rPr>
                                <w:sz w:val="22"/>
                                <w:szCs w:val="22"/>
                              </w:rPr>
                            </w:pPr>
                            <w:r w:rsidRPr="00DA7999">
                              <w:rPr>
                                <w:sz w:val="22"/>
                                <w:szCs w:val="22"/>
                              </w:rPr>
                              <w:t>(laws, enforcement, sanctions)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C0FDE7" id="_x0000_s1094" type="#_x0000_t202" style="position:absolute;margin-left:-16.95pt;margin-top:87.65pt;width:159.65pt;height:110.6pt;z-index:25169011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">
                <v:textbox style="mso-fit-shape-to-text:t">
                  <w:txbxContent>
                    <w:p w14:paraId="5A06C805" w14:textId="77777777" w:rsidR="004609BC" w:rsidRPr="00DA7999" w:rsidRDefault="004609BC" w:rsidP="004609BC">
                      <w:pPr>
                        <w:jc w:val="center"/>
                        <w:rPr>
                          <w:sz w:val="22"/>
                          <w:szCs w:val="22"/>
                        </w:rPr>
                      </w:pPr>
                      <w:r w:rsidRPr="00DA7999">
                        <w:rPr>
                          <w:sz w:val="22"/>
                          <w:szCs w:val="22"/>
                        </w:rPr>
                        <w:t>Coercive pressures</w:t>
                      </w:r>
                    </w:p>
                    <w:p w14:paraId="513454B0" w14:textId="77777777" w:rsidR="004609BC" w:rsidRPr="00DA7999" w:rsidRDefault="004609BC" w:rsidP="004609BC">
                      <w:pPr>
                        <w:jc w:val="center"/>
                        <w:rPr>
                          <w:sz w:val="22"/>
                          <w:szCs w:val="22"/>
                        </w:rPr>
                      </w:pPr>
                      <w:r w:rsidRPr="00DA7999">
                        <w:rPr>
                          <w:sz w:val="22"/>
                          <w:szCs w:val="22"/>
                        </w:rPr>
                        <w:t>(laws, enforcement, sanctions)</w:t>
                      </w:r>
                    </w:p>
                  </w:txbxContent>
                </v:textbox>
                <w10:wrap type="square"/>
              </v:shape>
            </w:pict>
          </mc:Fallback>
        </mc:AlternateContent>
      </w:r>
      <w:r w:rsidRPr="0053182F">
        <w:rPr>
          <w:noProof/>
        </w:rPr>
        <mc:AlternateContent>
          <mc:Choice Requires="wps">
            <w:drawing>
              <wp:anchor distT="45720" distB="45720" distL="114300" distR="114300" simplePos="0" relativeHeight="251689090" behindDoc="0" locked="0" layoutInCell="1" allowOverlap="1" wp14:anchorId="4DB1BE26" wp14:editId="36D884AF">
                <wp:simplePos x="0" y="0"/>
                <wp:positionH relativeFrom="column">
                  <wp:posOffset>1542415</wp:posOffset>
                </wp:positionH>
                <wp:positionV relativeFrom="paragraph">
                  <wp:posOffset>111125</wp:posOffset>
                </wp:positionV>
                <wp:extent cx="2194560" cy="1404620"/>
                <wp:effectExtent l="0" t="0" r="15240" b="15875"/>
                <wp:wrapSquare wrapText="bothSides"/>
                <wp:docPr id="18922328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4560" cy="1404620"/>
                        </a:xfrm>
                        <a:prstGeom prst="rect">
                          <a:avLst/>
                        </a:prstGeom>
                        <a:solidFill>
                          <a:srgbClr val="FFFFFF"/>
                        </a:solidFill>
                        <a:ln w="9525">
                          <a:solidFill>
                            <a:srgbClr val="000000"/>
                          </a:solidFill>
                          <a:miter lim="800000"/>
                          <a:headEnd/>
                          <a:tailEnd/>
                        </a:ln>
                      </wps:spPr>
                      <wps:txbx>
                        <w:txbxContent>
                          <w:p w14:paraId="5FA1BADA" w14:textId="77777777" w:rsidR="004609BC" w:rsidRPr="00DA7999" w:rsidRDefault="004609BC" w:rsidP="004609BC">
                            <w:pPr>
                              <w:rPr>
                                <w:b/>
                                <w:bCs/>
                              </w:rPr>
                            </w:pPr>
                            <w:r w:rsidRPr="00DA7999">
                              <w:rPr>
                                <w:b/>
                                <w:bCs/>
                              </w:rPr>
                              <w:t>Neo-Institutional Pressures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DB1BE26" id="_x0000_s1095" type="#_x0000_t202" style="position:absolute;margin-left:121.45pt;margin-top:8.75pt;width:172.8pt;height:110.6pt;z-index:25168909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">
                <v:textbox style="mso-fit-shape-to-text:t">
                  <w:txbxContent>
                    <w:p w14:paraId="5FA1BADA" w14:textId="77777777" w:rsidR="004609BC" w:rsidRPr="00DA7999" w:rsidRDefault="004609BC" w:rsidP="004609BC">
                      <w:pPr>
                        <w:rPr>
                          <w:b/>
                          <w:bCs/>
                        </w:rPr>
                      </w:pPr>
                      <w:r w:rsidRPr="00DA7999">
                        <w:rPr>
                          <w:b/>
                          <w:bCs/>
                        </w:rPr>
                        <w:t>Neo-Institutional Pressures</w:t>
                      </w:r>
                    </w:p>
                  </w:txbxContent>
                </v:textbox>
                <w10:wrap type="square"/>
              </v:shape>
            </w:pict>
          </mc:Fallback>
        </mc:AlternateContent>
      </w:r>
    </w:p>
    <w:p w14:paraId="3C15C6F3"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2A7E3C75"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47E228B9"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4A412157"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3FA8E22B"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4CF9641C"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168273DF"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25A3E27E"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1B34C342"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52337964"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1BC4D6EF"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69764DFD"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7A9AC177"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1DFCFB47" w14:textId="77777777" w:rsidR="004609BC" w:rsidRPr="0053182F" w:rsidRDefault="004609BC" w:rsidP="004609BC">
      <w:pPr>
        <w:pStyle w:val="NormalWeb"/>
        <w:spacing w:before="0" w:beforeAutospacing="0" w:after="0" w:afterAutospacing="0" w:line="480" w:lineRule="auto"/>
        <w:ind w:left="1134" w:hanging="1134"/>
        <w:rPr>
          <w:b/>
          <w:bCs/>
          <w:color w:val="auto"/>
        </w:rPr>
      </w:pPr>
    </w:p>
    <w:p w14:paraId="0D408ED0" w14:textId="77777777" w:rsidR="004609BC" w:rsidRPr="0053182F" w:rsidRDefault="004609BC" w:rsidP="004609BC">
      <w:pPr>
        <w:pStyle w:val="NormalWeb"/>
        <w:spacing w:before="0" w:beforeAutospacing="0" w:after="0" w:afterAutospacing="0" w:line="480" w:lineRule="auto"/>
        <w:ind w:left="1134" w:hanging="1134"/>
        <w:rPr>
          <w:color w:val="auto"/>
        </w:rPr>
      </w:pPr>
      <w:r w:rsidRPr="0053182F">
        <w:rPr>
          <w:b/>
          <w:bCs/>
          <w:color w:val="auto"/>
        </w:rPr>
        <w:t xml:space="preserve">Figure 5.1: </w:t>
      </w:r>
      <w:r w:rsidRPr="0053182F">
        <w:rPr>
          <w:color w:val="auto"/>
        </w:rPr>
        <w:t>Relationship between IEQ and Modern slavery</w:t>
      </w:r>
    </w:p>
    <w:p w14:paraId="00B38800" w14:textId="77777777" w:rsidR="004609BC" w:rsidRPr="0053182F" w:rsidRDefault="004609BC" w:rsidP="004609BC">
      <w:pPr>
        <w:pStyle w:val="Heading2"/>
      </w:pPr>
      <w:bookmarkStart w:id="204" w:name="_Toc215651837"/>
      <w:bookmarkStart w:id="205" w:name="_Toc216557238"/>
      <w:bookmarkStart w:id="206" w:name="_Toc218357131"/>
      <w:r w:rsidRPr="0053182F">
        <w:rPr>
          <w:rStyle w:val="Strong"/>
          <w:b/>
        </w:rPr>
        <w:t xml:space="preserve">5.3. Sustainable Development Performance and Modern </w:t>
      </w:r>
      <w:bookmarkEnd w:id="203"/>
      <w:r w:rsidRPr="0053182F">
        <w:rPr>
          <w:rStyle w:val="Strong"/>
          <w:b/>
        </w:rPr>
        <w:t>slavery risk</w:t>
      </w:r>
      <w:bookmarkEnd w:id="204"/>
      <w:bookmarkEnd w:id="205"/>
      <w:bookmarkEnd w:id="206"/>
    </w:p>
    <w:p w14:paraId="02751197" w14:textId="77777777" w:rsidR="004609BC" w:rsidRPr="0053182F" w:rsidRDefault="004609BC" w:rsidP="004609BC">
      <w:pPr>
        <w:pStyle w:val="NormalWeb"/>
        <w:spacing w:before="0" w:beforeAutospacing="0" w:after="0" w:afterAutospacing="0" w:line="480" w:lineRule="auto"/>
        <w:jc w:val="both"/>
        <w:rPr>
          <w:color w:val="EE0000"/>
        </w:rPr>
      </w:pPr>
      <w:bookmarkStart w:id="207" w:name="_Hlk214796922"/>
      <w:bookmarkStart w:id="208" w:name="_Toc200603858"/>
      <w:r w:rsidRPr="0053182F">
        <w:rPr>
          <w:color w:val="EE0000"/>
        </w:rPr>
        <w:t xml:space="preserve">The relationship between the UN-SDGs and MS has attracted increasing attention in both scholarly and policy debates; however, empirical evidence remains mixed and inconclusive. The 2030 Agenda articulates an ambitious global framework that embeds human </w:t>
      </w:r>
      <w:r w:rsidRPr="0053182F">
        <w:rPr>
          <w:color w:val="auto"/>
        </w:rPr>
        <w:t xml:space="preserve">dignity, social justice, and ethical governance at the heart of national development strategies. Among the 17 UN-SDGs, </w:t>
      </w:r>
      <w:r w:rsidRPr="0053182F">
        <w:t xml:space="preserve">several goals are directly relevant to MS risk, including SDG 5 (gender equality), SDG 8 (decent work and economic growth), SDG 10 (reduced inequalities), and SDG 16 (peace, justice, and strong institutions). In particular, </w:t>
      </w:r>
      <w:r w:rsidRPr="0053182F">
        <w:rPr>
          <w:color w:val="auto"/>
        </w:rPr>
        <w:t xml:space="preserve"> </w:t>
      </w:r>
      <w:r w:rsidRPr="0053182F">
        <w:rPr>
          <w:rStyle w:val="Strong"/>
          <w:rFonts w:eastAsiaTheme="majorEastAsia"/>
          <w:b w:val="0"/>
          <w:bCs w:val="0"/>
          <w:color w:val="auto"/>
        </w:rPr>
        <w:t>Target 8.7</w:t>
      </w:r>
      <w:r w:rsidRPr="0053182F">
        <w:rPr>
          <w:color w:val="auto"/>
        </w:rPr>
        <w:t xml:space="preserve"> commits states to “take immediate and effective measures to eradicate forced labour, end MS and human trafficking,” underscoring the integral role of </w:t>
      </w:r>
      <w:r w:rsidRPr="0053182F">
        <w:rPr>
          <w:rStyle w:val="Strong"/>
          <w:rFonts w:eastAsiaTheme="majorEastAsia"/>
          <w:b w:val="0"/>
          <w:bCs w:val="0"/>
          <w:color w:val="auto"/>
        </w:rPr>
        <w:t>sustainable development performance</w:t>
      </w:r>
      <w:r w:rsidRPr="0053182F">
        <w:rPr>
          <w:color w:val="auto"/>
        </w:rPr>
        <w:t xml:space="preserve"> in combating MS </w:t>
      </w:r>
      <w:sdt>
        <w:sdtPr>
          <w:tag w:val="MENDELEY_CITATION_v3_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"/>
          <w:id w:val="791557593"/>
          <w:placeholder>
            <w:docPart w:val="99D16CB35D06453FA29C95B5607B82F4"/>
          </w:placeholder>
        </w:sdtPr>
        <w:sdtContent>
          <w:r w:rsidRPr="0053182F">
            <w:t>(United Nations, 2015a)</w:t>
          </w:r>
        </w:sdtContent>
      </w:sdt>
      <w:r w:rsidRPr="0053182F">
        <w:rPr>
          <w:color w:val="auto"/>
        </w:rPr>
        <w:t xml:space="preserve">. </w:t>
      </w:r>
      <w:r w:rsidRPr="0053182F">
        <w:rPr>
          <w:color w:val="EE0000"/>
        </w:rPr>
        <w:t>However, the persistence of MS across both developed and developing economies suggests that the relationship between UN-SDGs commitments and actual labour outcomes is neither linear nor automatic, highlighting the need for empirical examination of how national UN-SDGs performance translates into tangible reductions in MS practices.</w:t>
      </w:r>
    </w:p>
    <w:p w14:paraId="60307A10"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Nonetheless, the literature also highlights a critical tension between formal UN-SDGs alignment and substantive governance outcomes. Several studies argue that UN-SDGs implementation may be subject to symbolic adoption, particularly in contexts where institutional capacity and enforcement mechanisms remain weak </w:t>
      </w:r>
      <w:sdt>
        <w:sdtPr>
          <w:rPr>
            <w:color w:val="EE0000"/>
          </w:rPr>
          <w:tag w:val="MENDELEY_CITATION_v3_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
          <w:id w:val="1822238829"/>
          <w:placeholder>
            <w:docPart w:val="4BF7FF4DA2334CB5BC9421A334F9E1B3"/>
          </w:placeholder>
        </w:sdtPr>
        <w:sdtContent>
          <w:r w:rsidRPr="0053182F">
            <w:rPr>
              <w:color w:val="EE0000"/>
            </w:rPr>
            <w:t xml:space="preserve">(Helfaya </w:t>
          </w:r>
          <w:r w:rsidRPr="0053182F">
            <w:rPr>
              <w:i/>
              <w:iCs/>
              <w:color w:val="EE0000"/>
            </w:rPr>
            <w:t>et al.</w:t>
          </w:r>
          <w:r w:rsidRPr="0053182F">
            <w:rPr>
              <w:color w:val="EE0000"/>
            </w:rPr>
            <w:t>, 2025; LeBaron, 2020; Obayi and Ebrahimi, 2021)</w:t>
          </w:r>
        </w:sdtContent>
      </w:sdt>
      <w:r w:rsidRPr="0053182F">
        <w:rPr>
          <w:color w:val="EE0000"/>
        </w:rPr>
        <w:t xml:space="preserve">. This critique resonates with NIT’s concept of institutional decoupling, in which formal structures and commitments coexist alongside persistent operational failures </w:t>
      </w:r>
      <w:sdt>
        <w:sdtPr>
          <w:rPr>
            <w:color w:val="EE0000"/>
          </w:rPr>
          <w:tag w:val="MENDELEY_CITATION_v3_eyJjaXRhdGlvbklEIjoiTUVOREVMRVlfQ0lUQVRJT05fYWZjNGRlNWQtZDYwMy00NTAxLWIzMzUtM2IzN2I4MmYwOTMyIiwicHJvcGVydGllcyI6eyJub3RlSW5kZXgiOjB9LCJpc0VkaXRlZCI6ZmFsc2UsIm1hbnVhbE92ZXJyaWRlIjp7ImlzTWFudWFsbHlPdmVycmlkZGVuIjpmYWxzZSwiY2l0ZXByb2NUZXh0IjoiKEFobWVkIDxpPmV0IGFsLjwvaT4sIDIwMjU7I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"/>
          <w:id w:val="-702785964"/>
          <w:placeholder>
            <w:docPart w:val="4BF7FF4DA2334CB5BC9421A334F9E1B3"/>
          </w:placeholder>
        </w:sdtPr>
        <w:sdtContent>
          <w:r w:rsidRPr="0053182F">
            <w:rPr>
              <w:color w:val="EE0000"/>
            </w:rPr>
            <w:t xml:space="preserve">(Ahmed </w:t>
          </w:r>
          <w:r w:rsidRPr="0053182F">
            <w:rPr>
              <w:i/>
              <w:iCs/>
              <w:color w:val="EE0000"/>
            </w:rPr>
            <w:t>et al.</w:t>
          </w:r>
          <w:r w:rsidRPr="0053182F">
            <w:rPr>
              <w:color w:val="EE0000"/>
            </w:rPr>
            <w:t>, 2025; Meyer and Rowan, 1977)</w:t>
          </w:r>
        </w:sdtContent>
      </w:sdt>
      <w:r w:rsidRPr="0053182F">
        <w:rPr>
          <w:color w:val="EE0000"/>
        </w:rPr>
        <w:t>. As such, improved SDGI performance should not be interpreted as a guarantee of MS eradication, but rather as an indicator of greater institutional readiness and policy coherence to address MS risks.</w:t>
      </w:r>
    </w:p>
    <w:p w14:paraId="3EC7A398"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Despite these limitations, empirical evidence suggests that countries with stronger UN-SDGs performance tend to demonstrate more robust labour regulation, broader access to justice, and higher levels of inter-institutional coordination—all of which are associated with lower MS prevalence and vulnerability </w:t>
      </w:r>
      <w:sdt>
        <w:sdtPr>
          <w:rPr>
            <w:color w:val="EE0000"/>
          </w:rPr>
          <w:tag w:val="MENDELEY_CITATION_v3_eyJjaXRhdGlvbklEIjoiTUVOREVMRVlfQ0lUQVRJT05fMWYwMGQwM2UtYzMyMi00Nzg5LTk4ZWEtZjhkMTYxZjNhNTQ2IiwicHJvcGVydGllcyI6eyJub3RlSW5kZXgiOjB9LCJpc0VkaXRlZCI6ZmFsc2UsIm1hbnVhbE92ZXJyaWRlIjp7ImlzTWFudWFsbHlPdmVycmlkZGVuIjpmYWxzZSwiY2l0ZXByb2NUZXh0IjoiKExhbmRtYW4gYW5kIFNpbHZlcm1hbiwgMjAxO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"/>
          <w:id w:val="-634794181"/>
          <w:placeholder>
            <w:docPart w:val="4BF7FF4DA2334CB5BC9421A334F9E1B3"/>
          </w:placeholder>
        </w:sdtPr>
        <w:sdtContent>
          <w:r w:rsidRPr="0053182F">
            <w:rPr>
              <w:color w:val="EE0000"/>
            </w:rPr>
            <w:t xml:space="preserve">(Landman and Silverman, 2019; Moussa </w:t>
          </w:r>
          <w:r w:rsidRPr="0053182F">
            <w:rPr>
              <w:i/>
              <w:iCs/>
              <w:color w:val="EE0000"/>
            </w:rPr>
            <w:t>et al.</w:t>
          </w:r>
          <w:r w:rsidRPr="0053182F">
            <w:rPr>
              <w:color w:val="EE0000"/>
            </w:rPr>
            <w:t>, 2022)</w:t>
          </w:r>
        </w:sdtContent>
      </w:sdt>
      <w:r w:rsidRPr="0053182F">
        <w:rPr>
          <w:color w:val="EE0000"/>
        </w:rPr>
        <w:t xml:space="preserve">. Moreover, SDGI assessments incorporate indicators related to stakeholder inclusion, rights protection, and institutional transparency, reinforcing the expectation that higher SDGI scores reflect governance environments less conducive to exploitative labour practices </w:t>
      </w:r>
      <w:sdt>
        <w:sdtPr>
          <w:rPr>
            <w:color w:val="EE0000"/>
          </w:rPr>
          <w:tag w:val="MENDELEY_CITATION_v3_eyJjaXRhdGlvbklEIjoiTUVOREVMRVlfQ0lUQVRJT05fNTcxNWVkZTgtZTlhMy00NjQ0LTg3MzMtZGEwMjA3ZTMyNzg4IiwicHJvcGVydGllcyI6eyJub3RlSW5kZXgiOjB9LCJpc0VkaXRlZCI6ZmFsc2UsIm1hbnVhbE92ZXJyaWRlIjp7ImlzTWFudWFsbHlPdmVycmlkZGVuIjpmYWxzZSwiY2l0ZXByb2NUZXh0IjoiKEhlbGZheWEgPGk+ZXQgYWwuPC9pPiwgMjAyNS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
          <w:id w:val="-521629781"/>
          <w:placeholder>
            <w:docPart w:val="4BF7FF4DA2334CB5BC9421A334F9E1B3"/>
          </w:placeholder>
        </w:sdtPr>
        <w:sdtContent>
          <w:r w:rsidRPr="0053182F">
            <w:rPr>
              <w:color w:val="EE0000"/>
            </w:rPr>
            <w:t xml:space="preserve">(Helfaya </w:t>
          </w:r>
          <w:r w:rsidRPr="0053182F">
            <w:rPr>
              <w:i/>
              <w:iCs/>
              <w:color w:val="EE0000"/>
            </w:rPr>
            <w:t>et al.</w:t>
          </w:r>
          <w:r w:rsidRPr="0053182F">
            <w:rPr>
              <w:color w:val="EE0000"/>
            </w:rPr>
            <w:t>, 2025)</w:t>
          </w:r>
        </w:sdtContent>
      </w:sdt>
      <w:r w:rsidRPr="0053182F">
        <w:rPr>
          <w:color w:val="EE0000"/>
        </w:rPr>
        <w:t>.</w:t>
      </w:r>
    </w:p>
    <w:p w14:paraId="0BDBDF67" w14:textId="77777777" w:rsidR="004609BC" w:rsidRPr="0053182F" w:rsidRDefault="004609BC" w:rsidP="004609BC">
      <w:pPr>
        <w:pStyle w:val="NormalWeb"/>
        <w:spacing w:before="0" w:beforeAutospacing="0" w:after="0" w:afterAutospacing="0" w:line="480" w:lineRule="auto"/>
        <w:ind w:firstLine="720"/>
        <w:jc w:val="both"/>
        <w:rPr>
          <w:color w:val="auto"/>
        </w:rPr>
      </w:pPr>
      <w:r w:rsidRPr="0053182F">
        <w:rPr>
          <w:color w:val="EE0000"/>
        </w:rPr>
        <w:t xml:space="preserve">Critically, sustainable development performance is also linked to state response capacity. Governments that perform well on the UN-SDGs are more likely to invest in labour inspection systems, data collection, victim protection mechanisms, and cross-sectoral coordination—key components of effective MS risk mitigation </w:t>
      </w:r>
      <w:sdt>
        <w:sdtPr>
          <w:rPr>
            <w:color w:val="EE0000"/>
          </w:rPr>
          <w:tag w:val="MENDELEY_CITATION_v3_eyJjaXRhdGlvbklEIjoiTUVOREVMRVlfQ0lUQVRJT05fNzRlMjMwYTktMjA2Ny00M2YzLTk4ZTctYTUwNGE4ZGVmNjkzIiwicHJvcGVydGllcyI6eyJub3RlSW5kZXgiOjB9LCJpc0VkaXRlZCI6ZmFsc2UsIm1hbnVhbE92ZXJyaWRlIjp7ImlzTWFudWFsbHlPdmVycmlkZGVuIjpmYWxzZSwiY2l0ZXByb2NUZXh0IjoiKENocmlzdCA8aT5ldCBhbC48L2k+LCAyMDIzOyBDcmFuZSA8aT5ldCBhbC48L2k+LCAyMDE5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IwY2UyM2ZmNy04MDYzLTM0ODktOWQ3My02YWNmOWNlZmUwNjMiLCJpdGVtRGF0YSI6eyJ0eXBlIjoiYXJ0aWNsZS1qb3VybmFsIiwiaWQiOiIwY2UyM2ZmNy04MDYzLTM0ODktOWQ3My02YWNmOWNlZmUwNjMiLCJ0aXRsZSI6Ik1vZGVybiBzbGF2ZXJ5IGFuZCB0aGUgYWNjb3VudGluZyBwcm9mZXNzaW9u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LHsiZmFtaWx5IjoiSXNsYW0iLCJnaXZlbiI6Ik11aGFtbWFkIEF6aXp1bC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
          <w:id w:val="1919595209"/>
          <w:placeholder>
            <w:docPart w:val="4BF7FF4DA2334CB5BC9421A334F9E1B3"/>
          </w:placeholder>
        </w:sdtPr>
        <w:sdtContent>
          <w:r w:rsidRPr="0053182F">
            <w:rPr>
              <w:color w:val="EE0000"/>
            </w:rPr>
            <w:t xml:space="preserve">(Christ </w:t>
          </w:r>
          <w:r w:rsidRPr="0053182F">
            <w:rPr>
              <w:i/>
              <w:iCs/>
              <w:color w:val="EE0000"/>
            </w:rPr>
            <w:t>et al.</w:t>
          </w:r>
          <w:r w:rsidRPr="0053182F">
            <w:rPr>
              <w:color w:val="EE0000"/>
            </w:rPr>
            <w:t xml:space="preserve">, 2023; Crane </w:t>
          </w:r>
          <w:r w:rsidRPr="0053182F">
            <w:rPr>
              <w:i/>
              <w:iCs/>
              <w:color w:val="EE0000"/>
            </w:rPr>
            <w:t>et al.</w:t>
          </w:r>
          <w:r w:rsidRPr="0053182F">
            <w:rPr>
              <w:color w:val="EE0000"/>
            </w:rPr>
            <w:t>, 2019)</w:t>
          </w:r>
        </w:sdtContent>
      </w:sdt>
      <w:r w:rsidRPr="0053182F">
        <w:rPr>
          <w:color w:val="EE0000"/>
        </w:rPr>
        <w:t>. In contrast, low UN-SDGs performance often signals fragmented governance, regulatory gaps, and limited enforcement capacity, conditions under which MS practices are more likely to persist. Moreover, some e</w:t>
      </w:r>
      <w:r w:rsidRPr="0053182F">
        <w:rPr>
          <w:color w:val="auto"/>
        </w:rPr>
        <w:t xml:space="preserve">mpirical research supports this connection. Studies have shown that UN-SDGs-aligned countries tend to invest more in social protection, labour regulation, and ethical supply chain oversight—all of which are critical mechanisms for mitigating MS risks </w:t>
      </w:r>
      <w:sdt>
        <w:sdtPr>
          <w:tag w:val="MENDELEY_CITATION_v3_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"/>
          <w:id w:val="-719669409"/>
          <w:placeholder>
            <w:docPart w:val="93FB7BD932A64239A60811654F5065AB"/>
          </w:placeholder>
        </w:sdtPr>
        <w:sdtContent>
          <w:r w:rsidRPr="0053182F">
            <w:t xml:space="preserve">(Landman and Silverman, 2019; Moussa </w:t>
          </w:r>
          <w:r w:rsidRPr="0053182F">
            <w:rPr>
              <w:i/>
              <w:iCs/>
            </w:rPr>
            <w:t>et al.</w:t>
          </w:r>
          <w:r w:rsidRPr="0053182F">
            <w:t>, 2021)</w:t>
          </w:r>
        </w:sdtContent>
      </w:sdt>
      <w:r w:rsidRPr="0053182F">
        <w:rPr>
          <w:color w:val="auto"/>
        </w:rPr>
        <w:t>. Moreover, governments that actively pursue UN-SDGs targets are more likely to engage in coordinated institutional responses, including inter-ministerial collaboration, cross-sectoral monitoring, and data-driven policy interventions.</w:t>
      </w:r>
    </w:p>
    <w:p w14:paraId="0D163C73"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Improved national performance on the UN-SDGs is theoretically and empirically associated with a reduction in MS risks, as UN-SDGs achievement reflects the presence of coordinated, inclusive, and institutionally embedded governance processes rather than isolated policy outcomes </w:t>
      </w:r>
      <w:sdt>
        <w:sdtPr>
          <w:rPr>
            <w:color w:val="EE0000"/>
          </w:rPr>
          <w:tag w:val="MENDELEY_CITATION_v3_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"/>
          <w:id w:val="-689758926"/>
          <w:placeholder>
            <w:docPart w:val="4BF7FF4DA2334CB5BC9421A334F9E1B3"/>
          </w:placeholder>
        </w:sdtPr>
        <w:sdtContent>
          <w:r w:rsidRPr="0053182F">
            <w:rPr>
              <w:color w:val="EE0000"/>
            </w:rPr>
            <w:t xml:space="preserve">(Sachs </w:t>
          </w:r>
          <w:r w:rsidRPr="0053182F">
            <w:rPr>
              <w:i/>
              <w:iCs/>
              <w:color w:val="EE0000"/>
            </w:rPr>
            <w:t>et al.</w:t>
          </w:r>
          <w:r w:rsidRPr="0053182F">
            <w:rPr>
              <w:color w:val="EE0000"/>
            </w:rPr>
            <w:t>, 2022; United Nations- Economic and Social Council, 2022)</w:t>
          </w:r>
        </w:sdtContent>
      </w:sdt>
      <w:r w:rsidRPr="0053182F">
        <w:rPr>
          <w:color w:val="EE0000"/>
        </w:rPr>
        <w:t xml:space="preserve">. The UN-SDGs performance assessment conducted by the Sustainable Development Solutions Network (SDSN) extends beyond outcome-based indicators to evaluate the extent to which governments maintain effective monitoring mechanisms, incorporate multi-stakeholder participation, and demonstrate sustained policy commitment across interconnected social and institutional domains </w:t>
      </w:r>
      <w:sdt>
        <w:sdtPr>
          <w:rPr>
            <w:color w:val="EE0000"/>
          </w:rPr>
          <w:tag w:val="MENDELEY_CITATION_v3_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"/>
          <w:id w:val="2143765800"/>
          <w:placeholder>
            <w:docPart w:val="4BF7FF4DA2334CB5BC9421A334F9E1B3"/>
          </w:placeholder>
        </w:sdtPr>
        <w:sdtContent>
          <w:r w:rsidRPr="0053182F">
            <w:rPr>
              <w:color w:val="EE0000"/>
            </w:rPr>
            <w:t xml:space="preserve">(Boyd </w:t>
          </w:r>
          <w:r w:rsidRPr="0053182F">
            <w:rPr>
              <w:i/>
              <w:iCs/>
              <w:color w:val="EE0000"/>
            </w:rPr>
            <w:t>et al.</w:t>
          </w:r>
          <w:r w:rsidRPr="0053182F">
            <w:rPr>
              <w:color w:val="EE0000"/>
            </w:rPr>
            <w:t xml:space="preserve">, 2021; Sachs </w:t>
          </w:r>
          <w:r w:rsidRPr="0053182F">
            <w:rPr>
              <w:i/>
              <w:iCs/>
              <w:color w:val="EE0000"/>
            </w:rPr>
            <w:t>et al.</w:t>
          </w:r>
          <w:r w:rsidRPr="0053182F">
            <w:rPr>
              <w:color w:val="EE0000"/>
            </w:rPr>
            <w:t>, 2019)</w:t>
          </w:r>
        </w:sdtContent>
      </w:sdt>
      <w:r w:rsidRPr="0053182F">
        <w:rPr>
          <w:color w:val="EE0000"/>
        </w:rPr>
        <w:t xml:space="preserve">. These domains include gender equality, social inclusion, non-discrimination, labour protection, anti-trafficking initiatives, and access to justice for marginalised populations—areas that are structurally linked to vulnerability to labour exploitation and coercive work practices </w:t>
      </w:r>
      <w:sdt>
        <w:sdtPr>
          <w:rPr>
            <w:color w:val="EE0000"/>
          </w:rPr>
          <w:tag w:val="MENDELEY_CITATION_v3_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928108632"/>
          <w:placeholder>
            <w:docPart w:val="4BF7FF4DA2334CB5BC9421A334F9E1B3"/>
          </w:placeholder>
        </w:sdtPr>
        <w:sdtContent>
          <w:r w:rsidRPr="0053182F">
            <w:rPr>
              <w:color w:val="EE0000"/>
            </w:rPr>
            <w:t xml:space="preserve">(Landman and Silverman, 2019; Moussa </w:t>
          </w:r>
          <w:r w:rsidRPr="0053182F">
            <w:rPr>
              <w:i/>
              <w:iCs/>
              <w:color w:val="EE0000"/>
            </w:rPr>
            <w:t>et al.</w:t>
          </w:r>
          <w:r w:rsidRPr="0053182F">
            <w:rPr>
              <w:color w:val="EE0000"/>
            </w:rPr>
            <w:t>, 2022; United Nations, 2015b)</w:t>
          </w:r>
        </w:sdtContent>
      </w:sdt>
      <w:r w:rsidRPr="0053182F">
        <w:rPr>
          <w:color w:val="EE0000"/>
        </w:rPr>
        <w:t>. Consequently, higher SDG performance signals a governance environment more capable of addressing the institutional drivers of MS through integrated policy design, enforcement capacity, and accountability mechanisms.</w:t>
      </w:r>
    </w:p>
    <w:p w14:paraId="2919CCF0"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From a governance perspective, improvements in UN-SDGs performance signal not isolated policy interventions but broader state capacity to mobilise cross-sectoral coordination and institutional coherence—conditions that are essential for addressing structurally embedded forms of labour exploitation </w:t>
      </w:r>
      <w:sdt>
        <w:sdtPr>
          <w:rPr>
            <w:color w:val="EE0000"/>
          </w:rPr>
          <w:tag w:val="MENDELEY_CITATION_v3_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"/>
          <w:id w:val="-1409919624"/>
          <w:placeholder>
            <w:docPart w:val="4BF7FF4DA2334CB5BC9421A334F9E1B3"/>
          </w:placeholder>
        </w:sdtPr>
        <w:sdtContent>
          <w:r w:rsidRPr="0053182F">
            <w:rPr>
              <w:color w:val="EE0000"/>
            </w:rPr>
            <w:t xml:space="preserve">(Massuga </w:t>
          </w:r>
          <w:r w:rsidRPr="0053182F">
            <w:rPr>
              <w:i/>
              <w:iCs/>
              <w:color w:val="EE0000"/>
            </w:rPr>
            <w:t>et al.</w:t>
          </w:r>
          <w:r w:rsidRPr="0053182F">
            <w:rPr>
              <w:color w:val="EE0000"/>
            </w:rPr>
            <w:t>, 2023; Skrivankova, 2010)</w:t>
          </w:r>
        </w:sdtContent>
      </w:sdt>
      <w:r w:rsidRPr="0053182F">
        <w:rPr>
          <w:color w:val="EE0000"/>
        </w:rPr>
        <w:t xml:space="preserve">. Combating MS requires sustained government engagement across labour regulation, social protection, criminal justice, and human rights enforcement; consequently, fragmented or symbolic policy approaches are unlikely to yield meaningful reductions in MS prevalence </w:t>
      </w:r>
      <w:sdt>
        <w:sdtPr>
          <w:rPr>
            <w:color w:val="EE0000"/>
          </w:rPr>
          <w:tag w:val="MENDELEY_CITATION_v3_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"/>
          <w:id w:val="-1509590984"/>
          <w:placeholder>
            <w:docPart w:val="4BF7FF4DA2334CB5BC9421A334F9E1B3"/>
          </w:placeholder>
        </w:sdtPr>
        <w:sdtContent>
          <w:r w:rsidRPr="0053182F">
            <w:rPr>
              <w:color w:val="EE0000"/>
            </w:rPr>
            <w:t>(Davidson, 2015; Fudge, 2018)</w:t>
          </w:r>
        </w:sdtContent>
      </w:sdt>
      <w:r w:rsidRPr="0053182F">
        <w:rPr>
          <w:color w:val="EE0000"/>
        </w:rPr>
        <w:t xml:space="preserve">. Where national authorities lack political will or fail to engage powerful domestic actors, progress toward both UN-SDGs attainment and MS mitigation remains constrained, undermining the foundational principles of the 2030 Agenda </w:t>
      </w:r>
      <w:sdt>
        <w:sdtPr>
          <w:rPr>
            <w:color w:val="EE0000"/>
          </w:rPr>
          <w:tag w:val="MENDELEY_CITATION_v3_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"/>
          <w:id w:val="207150701"/>
          <w:placeholder>
            <w:docPart w:val="4BF7FF4DA2334CB5BC9421A334F9E1B3"/>
          </w:placeholder>
        </w:sdtPr>
        <w:sdtContent>
          <w:r w:rsidRPr="0053182F">
            <w:rPr>
              <w:color w:val="EE0000"/>
            </w:rPr>
            <w:t>(Walk Free, 2025)</w:t>
          </w:r>
        </w:sdtContent>
      </w:sdt>
      <w:r w:rsidRPr="0053182F">
        <w:rPr>
          <w:color w:val="EE0000"/>
        </w:rPr>
        <w:t xml:space="preserve">. </w:t>
      </w:r>
    </w:p>
    <w:p w14:paraId="5DD7DFC3"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Critically, UN-SDGs performance is also shaped by the extent to which governments recognise and incorporate the interests of diverse stakeholder groups, including minorities, migrant workers, women, and other structurally marginalised populations </w:t>
      </w:r>
      <w:sdt>
        <w:sdtPr>
          <w:rPr>
            <w:color w:val="EE0000"/>
          </w:rPr>
          <w:tag w:val="MENDELEY_CITATION_v3_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"/>
          <w:id w:val="173070107"/>
          <w:placeholder>
            <w:docPart w:val="4BF7FF4DA2334CB5BC9421A334F9E1B3"/>
          </w:placeholder>
        </w:sdtPr>
        <w:sdtContent>
          <w:r w:rsidRPr="0053182F">
            <w:rPr>
              <w:color w:val="EE0000"/>
            </w:rPr>
            <w:t xml:space="preserve">(Howard and Forin, 2019; Lewis </w:t>
          </w:r>
          <w:r w:rsidRPr="0053182F">
            <w:rPr>
              <w:i/>
              <w:iCs/>
              <w:color w:val="EE0000"/>
            </w:rPr>
            <w:t>et al.</w:t>
          </w:r>
          <w:r w:rsidRPr="0053182F">
            <w:rPr>
              <w:color w:val="EE0000"/>
            </w:rPr>
            <w:t>, 2015; Maury, 2020)</w:t>
          </w:r>
        </w:sdtContent>
      </w:sdt>
      <w:r w:rsidRPr="0053182F">
        <w:rPr>
          <w:color w:val="EE0000"/>
        </w:rPr>
        <w:t xml:space="preserve">. Building on prior cross-national research, UN-SDGs performance is conceptualised through the SDGI, a composite indicator capturing country-level progress across core socio-economic and institutional domains, including poverty alleviation, education, gender equality, institutional integrity, and labour rights </w:t>
      </w:r>
      <w:sdt>
        <w:sdtPr>
          <w:rPr>
            <w:color w:val="EE0000"/>
          </w:rPr>
          <w:tag w:val="MENDELEY_CITATION_v3_eyJjaXRhdGlvbklEIjoiTUVOREVMRVlfQ0lUQVRJT05fMDA3YWM3MzgtY2Q3MC00YTQwLWFlMDAtZWI5NjFhNGY3NjE3IiwicHJvcGVydGllcyI6eyJub3RlSW5kZXgiOjB9LCJpc0VkaXRlZCI6ZmFsc2UsIm1hbnVhbE92ZXJyaWRlIjp7ImlzTWFudWFsbHlPdmVycmlkZGVuIjpmYWxzZSwiY2l0ZXByb2NUZXh0IjoiKEhlbGZheWEgPGk+ZXQgYWwuPC9pPiwgMjAyNTsgU2FjaHMgPGk+ZXQgYWwuPC9pPiwgMjAxOS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"/>
          <w:id w:val="1363398856"/>
          <w:placeholder>
            <w:docPart w:val="4BF7FF4DA2334CB5BC9421A334F9E1B3"/>
          </w:placeholder>
        </w:sdtPr>
        <w:sdtContent>
          <w:r w:rsidRPr="0053182F">
            <w:rPr>
              <w:color w:val="EE0000"/>
            </w:rPr>
            <w:t xml:space="preserve">(Helfaya </w:t>
          </w:r>
          <w:r w:rsidRPr="0053182F">
            <w:rPr>
              <w:i/>
              <w:iCs/>
              <w:color w:val="EE0000"/>
            </w:rPr>
            <w:t>et al.</w:t>
          </w:r>
          <w:r w:rsidRPr="0053182F">
            <w:rPr>
              <w:color w:val="EE0000"/>
            </w:rPr>
            <w:t xml:space="preserve">, 2025; Sachs </w:t>
          </w:r>
          <w:r w:rsidRPr="0053182F">
            <w:rPr>
              <w:i/>
              <w:iCs/>
              <w:color w:val="EE0000"/>
            </w:rPr>
            <w:t>et al.</w:t>
          </w:r>
          <w:r w:rsidRPr="0053182F">
            <w:rPr>
              <w:color w:val="EE0000"/>
            </w:rPr>
            <w:t>, 2019)</w:t>
          </w:r>
        </w:sdtContent>
      </w:sdt>
      <w:r w:rsidRPr="0053182F">
        <w:rPr>
          <w:color w:val="EE0000"/>
        </w:rPr>
        <w:t xml:space="preserve">. Following the analytical approach adopted by </w:t>
      </w:r>
      <w:sdt>
        <w:sdtPr>
          <w:rPr>
            <w:color w:val="EE0000"/>
          </w:rPr>
          <w:tag w:val="MENDELEY_CITATION_v3_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194981085"/>
          <w:placeholder>
            <w:docPart w:val="4BF7FF4DA2334CB5BC9421A334F9E1B3"/>
          </w:placeholder>
        </w:sdtPr>
        <w:sdtContent>
          <w:r w:rsidRPr="0053182F">
            <w:rPr>
              <w:color w:val="EE0000"/>
            </w:rPr>
            <w:t>Houqe and Khan, (2025) and Moussa et al. (2022)</w:t>
          </w:r>
        </w:sdtContent>
      </w:sdt>
      <w:r w:rsidRPr="0053182F">
        <w:rPr>
          <w:color w:val="EE0000"/>
        </w:rPr>
        <w:t xml:space="preserve">, higher SDGI scores are commonly associated with more inclusive development trajectories, stronger public accountability structures, and closer alignment with international labour and human rights standards. From a neo-institutional perspective, such conditions reflect environments in which coercive regulatory capacity, normative commitments to social justice, and mimetic alignment with globally endorsed governance models are more deeply institutionalised </w:t>
      </w:r>
      <w:sdt>
        <w:sdtPr>
          <w:rPr>
            <w:color w:val="EE0000"/>
          </w:rPr>
          <w:tag w:val="MENDELEY_CITATION_v3_eyJjaXRhdGlvbklEIjoiTUVOREVMRVlfQ0lUQVRJT05fMGFhODkwM2QtZGMwMi00ZDA0LTk3NzAtMDdmOTY1OGFmMjQ1IiwicHJvcGVydGllcyI6eyJub3RlSW5kZXgiOjB9LCJpc0VkaXRlZCI6ZmFsc2UsIm1hbnVhbE92ZXJyaWRlIjp7ImlzTWFudWFsbHlPdmVycmlkZGVuIjpmYWxzZSwiY2l0ZXByb2NUZXh0IjoiKERpTWFnZ2lvIGFuZCBQb3dlbGwsIDE5ODM7IFNjb3R0LCAyMDEzKSIsIm1hbnVhbE92ZXJyaWRlVGV4dCI6Ii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LH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V19"/>
          <w:id w:val="-342168774"/>
          <w:placeholder>
            <w:docPart w:val="4BF7FF4DA2334CB5BC9421A334F9E1B3"/>
          </w:placeholder>
        </w:sdtPr>
        <w:sdtContent>
          <w:r w:rsidRPr="0053182F">
            <w:rPr>
              <w:color w:val="EE0000"/>
            </w:rPr>
            <w:t>(DiMaggio and Powell, 1983; Scott, 2013)</w:t>
          </w:r>
        </w:sdtContent>
      </w:sdt>
      <w:r w:rsidRPr="0053182F">
        <w:rPr>
          <w:color w:val="EE0000"/>
        </w:rPr>
        <w:t>.</w:t>
      </w:r>
    </w:p>
    <w:p w14:paraId="3DB02E1B"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However, NIT  also cautions that strong formal development performance may partly reflect legitimacy-seeking behaviour rather than substantive governance effectiveness </w:t>
      </w:r>
      <w:sdt>
        <w:sdtPr>
          <w:rPr>
            <w:color w:val="EE0000"/>
          </w:rPr>
          <w:tag w:val="MENDELEY_CITATION_v3_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XX0="/>
          <w:id w:val="330023786"/>
          <w:placeholder>
            <w:docPart w:val="4BF7FF4DA2334CB5BC9421A334F9E1B3"/>
          </w:placeholder>
        </w:sdtPr>
        <w:sdtContent>
          <w:r w:rsidRPr="0053182F">
            <w:rPr>
              <w:color w:val="EE0000"/>
            </w:rPr>
            <w:t xml:space="preserve">(Ahmed </w:t>
          </w:r>
          <w:r w:rsidRPr="0053182F">
            <w:rPr>
              <w:i/>
              <w:iCs/>
              <w:color w:val="EE0000"/>
            </w:rPr>
            <w:t>et al.</w:t>
          </w:r>
          <w:r w:rsidRPr="0053182F">
            <w:rPr>
              <w:color w:val="EE0000"/>
            </w:rPr>
            <w:t>, 2025; DiMaggio and Powell, 1983)</w:t>
          </w:r>
        </w:sdtContent>
      </w:sdt>
      <w:r w:rsidRPr="0053182F">
        <w:rPr>
          <w:color w:val="EE0000"/>
        </w:rPr>
        <w:t xml:space="preserve">. Governments may adopt internationally sanctioned development frameworks, reporting practices, and policy architectures to signal conformity with global norms while allowing implementation gaps and enforcement weaknesses to persist </w:t>
      </w:r>
      <w:sdt>
        <w:sdtPr>
          <w:rPr>
            <w:color w:val="EE0000"/>
          </w:rPr>
          <w:tag w:val="MENDELEY_CITATION_v3_eyJjaXRhdGlvbklEIjoiTUVOREVMRVlfQ0lUQVRJT05fNTkyMTE3YTktMjU1Ny00ZDA0LWE3YWYtMDk3OTJhMTdmNWZhIiwicHJvcGVydGllcyI6eyJub3RlSW5kZXgiOjB9LCJpc0VkaXRlZCI6ZmFsc2UsIm1hbnVhbE92ZXJyaWRlIjp7ImlzTWFudWFsbHlPdmVycmlkZGVuIjpmYWxzZSwiY2l0ZXByb2NUZXh0IjoiKExlQmFyb24sIDIwMjA7IE1leWVyIGFuZCBSb3dhbiwgMTk3NzsgU2NvdHQsIDIwMTM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"/>
          <w:id w:val="-1569181600"/>
          <w:placeholder>
            <w:docPart w:val="4BF7FF4DA2334CB5BC9421A334F9E1B3"/>
          </w:placeholder>
        </w:sdtPr>
        <w:sdtContent>
          <w:r w:rsidRPr="0053182F">
            <w:rPr>
              <w:color w:val="EE0000"/>
            </w:rPr>
            <w:t>(LeBaron, 2020; Meyer and Rowan, 1977; Scott, 2013)</w:t>
          </w:r>
        </w:sdtContent>
      </w:sdt>
      <w:r w:rsidRPr="0053182F">
        <w:rPr>
          <w:color w:val="EE0000"/>
        </w:rPr>
        <w:t>. In this sense, higher SDGI performance may simultaneously capture both enhanced institutional capacity and elements of symbolic compliance. This institutional tension underscores the need to empirically examine whether improved SDGI performance corresponds to substantive reductions in MS prevalence and vulnerability, as well as stronger state-level mitigation responses, rather than assuming a linear or automatic relationship between sustainable development alignment and labour exploitation outcomes.</w:t>
      </w:r>
    </w:p>
    <w:p w14:paraId="2AE59BB9" w14:textId="77777777" w:rsidR="004609BC" w:rsidRPr="0053182F" w:rsidRDefault="004609BC" w:rsidP="004609BC">
      <w:pPr>
        <w:pStyle w:val="NormalWeb"/>
        <w:spacing w:before="0" w:beforeAutospacing="0" w:after="0" w:afterAutospacing="0" w:line="480" w:lineRule="auto"/>
        <w:ind w:firstLine="720"/>
        <w:jc w:val="both"/>
        <w:rPr>
          <w:color w:val="auto"/>
        </w:rPr>
      </w:pPr>
      <w:r w:rsidRPr="0053182F">
        <w:rPr>
          <w:color w:val="auto"/>
        </w:rPr>
        <w:t xml:space="preserve">From an NIT perspective, alignment with global development targets exerts </w:t>
      </w:r>
      <w:r w:rsidRPr="0053182F">
        <w:rPr>
          <w:rStyle w:val="Strong"/>
          <w:rFonts w:eastAsiaTheme="majorEastAsia"/>
          <w:b w:val="0"/>
          <w:bCs w:val="0"/>
          <w:color w:val="auto"/>
        </w:rPr>
        <w:t>normative and mimetic pressures</w:t>
      </w:r>
      <w:r w:rsidRPr="0053182F">
        <w:rPr>
          <w:color w:val="auto"/>
        </w:rPr>
        <w:t xml:space="preserve"> on states to institutionalise socially responsible practices and integrate anti-exploitation policies into national governance systems </w:t>
      </w:r>
      <w:sdt>
        <w:sdtPr>
          <w:tag w:val="MENDELEY_CITATION_v3_eyJjaXRhdGlvbklEIjoiTUVOREVMRVlfQ0lUQVRJT05fOTVlZjNmOTEtZmQ1Mi00YTI2LWEyODMtYTgyNzgwMWE5ODZlIiwicHJvcGVydGllcyI6eyJub3RlSW5kZXgiOjB9LCJpc0VkaXRlZCI6ZmFsc2UsIm1hbnVhbE92ZXJyaWRlIjp7ImlzTWFudWFsbHlPdmVycmlkZGVuIjpmYWxzZSwiY2l0ZXByb2NUZXh0IjoiKERpTWFnZ2lvIGFuZCBQb3dlbGwsIDE5ODM7IEh1cSBhbmQgU3RldmVuc29uLCAyMDIw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W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"/>
          <w:id w:val="-1207643163"/>
          <w:placeholder>
            <w:docPart w:val="99D16CB35D06453FA29C95B5607B82F4"/>
          </w:placeholder>
        </w:sdtPr>
        <w:sdtContent>
          <w:r w:rsidRPr="0053182F">
            <w:t>(DiMaggio and Powell, 1983; Huq and Stevenson, 2020)</w:t>
          </w:r>
        </w:sdtContent>
      </w:sdt>
      <w:r w:rsidRPr="0053182F">
        <w:rPr>
          <w:color w:val="auto"/>
        </w:rPr>
        <w:t>. Countries that aspire to global legitimacy or leadership in sustainability rankings are likely to emulate successful models by embedding AMS interventions into their institutional and legal frameworks. Such alignment not only enhances reputational capital but also improves access to international partnerships and development funding.</w:t>
      </w:r>
    </w:p>
    <w:p w14:paraId="4593E0D9"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auto"/>
        </w:rPr>
        <w:t xml:space="preserve">Empirical research supports this connection. Studies have shown that UN-SDGs-aligned countries tend to invest more in social protection, labour regulation, and ethical supply chain oversight—all of which are critical mechanisms for mitigating MS risks </w:t>
      </w:r>
      <w:sdt>
        <w:sdtPr>
          <w:tag w:val="MENDELEY_CITATION_v3_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"/>
          <w:id w:val="215094976"/>
          <w:placeholder>
            <w:docPart w:val="99D16CB35D06453FA29C95B5607B82F4"/>
          </w:placeholder>
        </w:sdtPr>
        <w:sdtContent>
          <w:r w:rsidRPr="0053182F">
            <w:t xml:space="preserve">(Landman and Silverman, 2019; Moussa </w:t>
          </w:r>
          <w:r w:rsidRPr="0053182F">
            <w:rPr>
              <w:i/>
              <w:iCs/>
            </w:rPr>
            <w:t>et al.</w:t>
          </w:r>
          <w:r w:rsidRPr="0053182F">
            <w:t>, 2021)</w:t>
          </w:r>
        </w:sdtContent>
      </w:sdt>
      <w:r w:rsidRPr="0053182F">
        <w:rPr>
          <w:color w:val="auto"/>
        </w:rPr>
        <w:t xml:space="preserve">. Moreover, governments that actively pursue UN-SDGs targets are more likely to engage in coordinated institutional responses, including inter-ministerial collaboration, cross-sectoral monitoring, and data-driven policy interventions. </w:t>
      </w:r>
      <w:r w:rsidRPr="0053182F">
        <w:rPr>
          <w:color w:val="EE0000"/>
        </w:rPr>
        <w:t>Taken together, these patterns suggest a systematic relationship between national progress on the SDGs and the institutional capacity to prevent and respond to MS.</w:t>
      </w:r>
    </w:p>
    <w:p w14:paraId="5525BA19" w14:textId="77777777" w:rsidR="004609BC" w:rsidRPr="0053182F" w:rsidRDefault="004609BC" w:rsidP="004609BC">
      <w:pPr>
        <w:pStyle w:val="NormalWeb"/>
        <w:spacing w:before="0" w:beforeAutospacing="0" w:after="0" w:afterAutospacing="0" w:line="480" w:lineRule="auto"/>
        <w:rPr>
          <w:color w:val="auto"/>
        </w:rPr>
      </w:pPr>
      <w:r w:rsidRPr="0053182F">
        <w:rPr>
          <w:rStyle w:val="Strong"/>
          <w:rFonts w:eastAsiaTheme="majorEastAsia"/>
          <w:color w:val="auto"/>
        </w:rPr>
        <w:t>H2</w:t>
      </w:r>
      <w:r w:rsidRPr="0053182F">
        <w:rPr>
          <w:color w:val="auto"/>
        </w:rPr>
        <w:t xml:space="preserve">: Countries with better performance on the </w:t>
      </w:r>
      <w:r w:rsidRPr="0053182F">
        <w:rPr>
          <w:rStyle w:val="Strong"/>
          <w:rFonts w:eastAsiaTheme="majorEastAsia"/>
          <w:b w:val="0"/>
          <w:bCs w:val="0"/>
          <w:color w:val="auto"/>
        </w:rPr>
        <w:t>Sustainable Development Goals Index (SDGI)</w:t>
      </w:r>
      <w:r w:rsidRPr="0053182F">
        <w:rPr>
          <w:color w:val="auto"/>
        </w:rPr>
        <w:t xml:space="preserve"> are expected to exhibit:</w:t>
      </w:r>
    </w:p>
    <w:p w14:paraId="2361460C" w14:textId="77777777" w:rsidR="004609BC" w:rsidRPr="0053182F" w:rsidRDefault="004609BC" w:rsidP="004609BC">
      <w:pPr>
        <w:pStyle w:val="NormalWeb"/>
        <w:spacing w:before="0" w:beforeAutospacing="0" w:after="0" w:afterAutospacing="0" w:line="480" w:lineRule="auto"/>
        <w:ind w:left="1134"/>
        <w:rPr>
          <w:b/>
          <w:bCs/>
          <w:color w:val="auto"/>
        </w:rPr>
      </w:pPr>
      <w:r w:rsidRPr="0053182F">
        <w:rPr>
          <w:color w:val="auto"/>
        </w:rPr>
        <w:t>(</w:t>
      </w:r>
      <w:r w:rsidRPr="0053182F">
        <w:rPr>
          <w:b/>
          <w:bCs/>
          <w:color w:val="auto"/>
        </w:rPr>
        <w:t xml:space="preserve">a) </w:t>
      </w:r>
      <w:r w:rsidRPr="0053182F">
        <w:rPr>
          <w:rStyle w:val="Strong"/>
          <w:rFonts w:eastAsiaTheme="majorEastAsia"/>
          <w:b w:val="0"/>
          <w:bCs w:val="0"/>
          <w:color w:val="auto"/>
        </w:rPr>
        <w:t>lower prevalence of MS (PREV)</w:t>
      </w:r>
      <w:r w:rsidRPr="0053182F">
        <w:rPr>
          <w:b/>
          <w:bCs/>
          <w:color w:val="auto"/>
        </w:rPr>
        <w:t>,</w:t>
      </w:r>
      <w:r w:rsidRPr="0053182F">
        <w:rPr>
          <w:b/>
          <w:bCs/>
          <w:color w:val="auto"/>
        </w:rPr>
        <w:br/>
        <w:t xml:space="preserve">(b) </w:t>
      </w:r>
      <w:r w:rsidRPr="0053182F">
        <w:rPr>
          <w:rStyle w:val="Strong"/>
          <w:rFonts w:eastAsiaTheme="majorEastAsia"/>
          <w:b w:val="0"/>
          <w:bCs w:val="0"/>
          <w:color w:val="auto"/>
        </w:rPr>
        <w:t>lower vulnerability to MS (VALN)</w:t>
      </w:r>
      <w:r w:rsidRPr="0053182F">
        <w:rPr>
          <w:b/>
          <w:bCs/>
          <w:color w:val="auto"/>
        </w:rPr>
        <w:t xml:space="preserve">, </w:t>
      </w:r>
      <w:r w:rsidRPr="0053182F">
        <w:rPr>
          <w:color w:val="auto"/>
        </w:rPr>
        <w:t>and</w:t>
      </w:r>
      <w:r w:rsidRPr="0053182F">
        <w:rPr>
          <w:b/>
          <w:bCs/>
          <w:color w:val="auto"/>
        </w:rPr>
        <w:br/>
        <w:t xml:space="preserve">(c) </w:t>
      </w:r>
      <w:r w:rsidRPr="0053182F">
        <w:rPr>
          <w:rStyle w:val="Strong"/>
          <w:rFonts w:eastAsiaTheme="majorEastAsia"/>
          <w:b w:val="0"/>
          <w:bCs w:val="0"/>
          <w:color w:val="auto"/>
        </w:rPr>
        <w:t>stronger government responses to mitigate MS risk (MSRM)</w:t>
      </w:r>
      <w:r w:rsidRPr="0053182F">
        <w:rPr>
          <w:b/>
          <w:bCs/>
          <w:color w:val="auto"/>
        </w:rPr>
        <w:t>.</w:t>
      </w:r>
    </w:p>
    <w:p w14:paraId="65C90297" w14:textId="77777777" w:rsidR="004609BC" w:rsidRPr="0053182F" w:rsidRDefault="004609BC" w:rsidP="004609BC">
      <w:pPr>
        <w:pStyle w:val="Heading2"/>
      </w:pPr>
      <w:bookmarkStart w:id="209" w:name="_Toc215651838"/>
      <w:bookmarkStart w:id="210" w:name="_Toc216557239"/>
      <w:bookmarkStart w:id="211" w:name="_Toc218357132"/>
      <w:bookmarkEnd w:id="207"/>
      <w:r w:rsidRPr="0053182F">
        <w:t>5.4 Inequality-adjusted Human Development and Modern Slavery Risk</w:t>
      </w:r>
      <w:bookmarkEnd w:id="208"/>
      <w:bookmarkEnd w:id="209"/>
      <w:bookmarkEnd w:id="210"/>
      <w:bookmarkEnd w:id="211"/>
    </w:p>
    <w:p w14:paraId="6B753897" w14:textId="77777777" w:rsidR="004609BC" w:rsidRPr="0053182F" w:rsidRDefault="004609BC" w:rsidP="004609BC">
      <w:pPr>
        <w:pStyle w:val="NormalWeb"/>
        <w:spacing w:before="0" w:beforeAutospacing="0" w:after="0" w:afterAutospacing="0" w:line="480" w:lineRule="auto"/>
        <w:jc w:val="both"/>
        <w:rPr>
          <w:color w:val="EE0000"/>
        </w:rPr>
      </w:pPr>
      <w:r w:rsidRPr="0053182F">
        <w:rPr>
          <w:color w:val="auto"/>
        </w:rPr>
        <w:t xml:space="preserve">The eradication of MS is inseparable from broader commitments to inclusive and human development. </w:t>
      </w:r>
      <w:r w:rsidRPr="0053182F">
        <w:rPr>
          <w:color w:val="EE0000"/>
        </w:rPr>
        <w:t xml:space="preserve">Human development—traditionally captured by the HDI through access to education, healthcare, and economic opportunities—has long been recognised as a foundation for individual empowerment, social mobility, and institutional resilience </w:t>
      </w:r>
      <w:sdt>
        <w:sdtPr>
          <w:tag w:val="MENDELEY_CITATION_v3_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"/>
          <w:id w:val="-318351109"/>
          <w:placeholder>
            <w:docPart w:val="5DC12551D94645ED9EC6ECAE67CD432F"/>
          </w:placeholder>
        </w:sdtPr>
        <w:sdtContent>
          <w:r w:rsidRPr="0053182F">
            <w:t xml:space="preserve">(Davis, 2017; Moussa </w:t>
          </w:r>
          <w:r w:rsidRPr="0053182F">
            <w:rPr>
              <w:i/>
              <w:iCs/>
            </w:rPr>
            <w:t>et al.</w:t>
          </w:r>
          <w:r w:rsidRPr="0053182F">
            <w:t>, 2022; UNDP, 2009)</w:t>
          </w:r>
        </w:sdtContent>
      </w:sdt>
      <w:r w:rsidRPr="0053182F">
        <w:rPr>
          <w:color w:val="auto"/>
        </w:rPr>
        <w:t xml:space="preserve">. </w:t>
      </w:r>
      <w:r w:rsidRPr="0053182F">
        <w:rPr>
          <w:color w:val="EE0000"/>
        </w:rPr>
        <w:t>Higher levels of human development are generally associated with stronger labour market participation, improved legal awareness, and enhanced state capacity to regulate employment relations. However, these aggregate gains may conceal deep structural inequalities that significantly undermine their protective effects against labour exploitation.</w:t>
      </w:r>
    </w:p>
    <w:p w14:paraId="0B08DB9D"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Inequality remains a critical factor in shaping exposure to MS risk </w:t>
      </w:r>
      <w:sdt>
        <w:sdtPr>
          <w:rPr>
            <w:color w:val="EE0000"/>
          </w:rPr>
          <w:tag w:val="MENDELEY_CITATION_v3_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"/>
          <w:id w:val="-1917156515"/>
          <w:placeholder>
            <w:docPart w:val="4BF7FF4DA2334CB5BC9421A334F9E1B3"/>
          </w:placeholder>
        </w:sdtPr>
        <w:sdtContent>
          <w:r w:rsidRPr="0053182F">
            <w:rPr>
              <w:color w:val="EE0000"/>
            </w:rPr>
            <w:t>(Nunn, 2007)</w:t>
          </w:r>
        </w:sdtContent>
      </w:sdt>
      <w:r w:rsidRPr="0053182F">
        <w:rPr>
          <w:color w:val="EE0000"/>
        </w:rPr>
        <w:t xml:space="preserve">. Unequal access to income, education, and healthcare reinforces socio-economic marginalisation and heightens individuals’ susceptibility to coercion, debt bondage, and forced labour, particularly among women, migrants, ethnic minorities, and informal workers </w:t>
      </w:r>
      <w:sdt>
        <w:sdtPr>
          <w:rPr>
            <w:color w:val="EE0000"/>
          </w:rPr>
          <w:tag w:val="MENDELEY_CITATION_v3_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"/>
          <w:id w:val="-1387173643"/>
          <w:placeholder>
            <w:docPart w:val="4BF7FF4DA2334CB5BC9421A334F9E1B3"/>
          </w:placeholder>
        </w:sdtPr>
        <w:sdtContent>
          <w:r w:rsidRPr="0053182F">
            <w:rPr>
              <w:color w:val="EE0000"/>
            </w:rPr>
            <w:t>(UNDP, 2025a)</w:t>
          </w:r>
        </w:sdtContent>
      </w:sdt>
      <w:r w:rsidRPr="0053182F">
        <w:rPr>
          <w:color w:val="EE0000"/>
        </w:rPr>
        <w:t xml:space="preserve">. As a result, countries may display relatively high average human development while simultaneously harbouring persistent pockets of extreme vulnerability. To address this limitation, the IHDI provides a more analytically appropriate measure by adjusting HDI achievements according to their distribution across the population (UNDP, 2019). By explicitly incorporating inequality, the IHDI aligns more closely with the structural conditions that enable or constrain MS practices </w:t>
      </w:r>
      <w:sdt>
        <w:sdtPr>
          <w:rPr>
            <w:color w:val="EE0000"/>
          </w:rPr>
          <w:tag w:val="MENDELEY_CITATION_v3_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"/>
          <w:id w:val="-1470277509"/>
          <w:placeholder>
            <w:docPart w:val="4BF7FF4DA2334CB5BC9421A334F9E1B3"/>
          </w:placeholder>
        </w:sdtPr>
        <w:sdtContent>
          <w:r w:rsidRPr="0053182F">
            <w:rPr>
              <w:color w:val="EE0000"/>
            </w:rPr>
            <w:t>(OECD, 2024)</w:t>
          </w:r>
        </w:sdtContent>
      </w:sdt>
      <w:r w:rsidRPr="0053182F">
        <w:rPr>
          <w:color w:val="EE0000"/>
        </w:rPr>
        <w:t>.</w:t>
      </w:r>
    </w:p>
    <w:p w14:paraId="6DDDD918"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At the macro level, a growing body of scholarship emphasises that development equity—rather than development alone—is central to reducing poverty, social exclusion, and exploitative labour outcomes. OECD (2024) evidence, alongside studies by </w:t>
      </w:r>
      <w:sdt>
        <w:sdtPr>
          <w:rPr>
            <w:color w:val="EE0000"/>
          </w:rPr>
          <w:tag w:val="MENDELEY_CITATION_v3_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"/>
          <w:id w:val="1490981340"/>
          <w:placeholder>
            <w:docPart w:val="4BF7FF4DA2334CB5BC9421A334F9E1B3"/>
          </w:placeholder>
        </w:sdtPr>
        <w:sdtContent>
          <w:r w:rsidRPr="0053182F">
            <w:rPr>
              <w:color w:val="EE0000"/>
            </w:rPr>
            <w:t>Jindra and Vaz (2019)</w:t>
          </w:r>
        </w:sdtContent>
      </w:sdt>
      <w:r w:rsidRPr="0053182F">
        <w:rPr>
          <w:color w:val="EE0000"/>
        </w:rPr>
        <w:t xml:space="preserve"> demonstrates that countries with higher inequality-adjusted development are better positioned to deliver public services, protect marginalised populations, and implement redistributive and regulatory policies that address systemic risk factors associated with trafficking and forced labour. In contrast, uneven development erodes institutional effectiveness and weakens the enforcement of labour protections, thereby creating environments in which MS practices can persist.</w:t>
      </w:r>
    </w:p>
    <w:p w14:paraId="72DE5D5C"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Sector-specific evidence further illustrates the mechanisms through which inequality-adjusted development influences MS risk. Health systems, for example, play a critical role in identifying and supporting victims of MS, yet their effectiveness is severely constrained in contexts characterised by unequal or under-resourced healthcare provision </w:t>
      </w:r>
      <w:sdt>
        <w:sdtPr>
          <w:rPr>
            <w:color w:val="EE0000"/>
          </w:rPr>
          <w:tag w:val="MENDELEY_CITATION_v3_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"/>
          <w:id w:val="2131824148"/>
          <w:placeholder>
            <w:docPart w:val="4BF7FF4DA2334CB5BC9421A334F9E1B3"/>
          </w:placeholder>
        </w:sdtPr>
        <w:sdtContent>
          <w:r w:rsidRPr="0053182F">
            <w:rPr>
              <w:color w:val="EE0000"/>
            </w:rPr>
            <w:t xml:space="preserve">(Brian Snyder, 2015; Such </w:t>
          </w:r>
          <w:r w:rsidRPr="0053182F">
            <w:rPr>
              <w:i/>
              <w:iCs/>
              <w:color w:val="EE0000"/>
            </w:rPr>
            <w:t>et al.</w:t>
          </w:r>
          <w:r w:rsidRPr="0053182F">
            <w:rPr>
              <w:color w:val="EE0000"/>
            </w:rPr>
            <w:t>, 2020; Such and Salway, 2017)</w:t>
          </w:r>
        </w:sdtContent>
      </w:sdt>
      <w:r w:rsidRPr="0053182F">
        <w:rPr>
          <w:color w:val="EE0000"/>
        </w:rPr>
        <w:t xml:space="preserve">). Similarly, education functions as a key protective factor against exploitation by expanding economic opportunities, strengthening legal awareness, and reducing susceptibility to coercion. Empirical studies show that higher and more equitably distributed education outcomes are associated with lower levels of crime and labour exploitation </w:t>
      </w:r>
      <w:sdt>
        <w:sdtPr>
          <w:rPr>
            <w:color w:val="EE0000"/>
          </w:rPr>
          <w:tag w:val="MENDELEY_CITATION_v3_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"/>
          <w:id w:val="-1253817477"/>
          <w:placeholder>
            <w:docPart w:val="4BF7FF4DA2334CB5BC9421A334F9E1B3"/>
          </w:placeholder>
        </w:sdtPr>
        <w:sdtContent>
          <w:r w:rsidRPr="0053182F">
            <w:rPr>
              <w:color w:val="EE0000"/>
            </w:rPr>
            <w:t>(Lochner, 2020)</w:t>
          </w:r>
        </w:sdtContent>
      </w:sdt>
      <w:r w:rsidRPr="0053182F">
        <w:rPr>
          <w:color w:val="EE0000"/>
        </w:rPr>
        <w:t>. These sectoral dynamics underscore how inequality-adjusted human development operates not only as a macro indicator but also as a structural determinant of individual vulnerability and institutional responsiveness.</w:t>
      </w:r>
    </w:p>
    <w:p w14:paraId="57B08523" w14:textId="77777777" w:rsidR="004609BC" w:rsidRPr="0053182F" w:rsidRDefault="004609BC" w:rsidP="004609BC">
      <w:pPr>
        <w:pStyle w:val="NormalWeb"/>
        <w:spacing w:before="0" w:beforeAutospacing="0" w:after="0" w:afterAutospacing="0" w:line="480" w:lineRule="auto"/>
        <w:ind w:firstLine="720"/>
        <w:jc w:val="both"/>
      </w:pPr>
      <w:r w:rsidRPr="0053182F">
        <w:rPr>
          <w:color w:val="EE0000"/>
        </w:rPr>
        <w:t>Sector-specific evidence further illustrates the mechanisms through which inequality-adjusted development influences MS risk. Health systems, for example, play a critical role in identifying and supporting victims of MS, yet their effectiveness is severely constrained in contexts characterised by unequal or under-resourced healthcare provision (Snyder, 2015; Such and Salway, 2017; Such et al., 2020). Similarly, education functions as a key protective factor against exploitation by expanding economic opportunities, strengthening legal awareness, and reducing susceptibility to coercion. Empirical studies show that higher and more equitably distributed education outcomes are associated with lower levels of crime and labour exploitation (Lochner, 2020). These sectoral dynamics underscore how inequality-adjusted human development operates not only as a macro indicator but also as a structural determinant of individual vulnerability and institutional responsiveness</w:t>
      </w:r>
      <w:r w:rsidRPr="0053182F">
        <w:t>.</w:t>
      </w:r>
    </w:p>
    <w:p w14:paraId="29F06D27"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Empirical research further highlights the context-dependent relationship between human development and MS outcomes. </w:t>
      </w:r>
      <w:sdt>
        <w:sdtPr>
          <w:tag w:val="MENDELEY_CITATION_v3_eyJjaXRhdGlvbklEIjoiTUVOREVMRVlfQ0lUQVRJT05fYmVjYWY4MGUtODcwNS00OTljLTk0YzMtYTRhZWI1NWRlY2IxIiwicHJvcGVydGllcyI6eyJub3RlSW5kZXgiOjB9LCJpc0VkaXRlZCI6ZmFsc2UsIm1hbnVhbE92ZXJyaWRlIjp7ImlzTWFudWFsbHlPdmVycmlkZGVuIjp0cnVlLCJjaXRlcHJvY1RleHQiOiIoTW91c3NhIDxpPmV0IGFsLjwvaT4sIDIwMjIpIiwibWFudWFsT3ZlcnJpZGVUZXh0IjoiTW91c3NhIGV0IGFsLiAoMjAyMik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1392537143"/>
          <w:placeholder>
            <w:docPart w:val="800E0A9F7DAE46EA8E5E5B47EE0EFB23"/>
          </w:placeholder>
        </w:sdtPr>
        <w:sdtEndPr>
          <w:rPr>
            <w:rStyle w:val="Strong"/>
            <w:rFonts w:eastAsiaTheme="majorEastAsia"/>
            <w:b/>
            <w:bCs/>
          </w:rPr>
        </w:sdtEndPr>
        <w:sdtContent>
          <w:r w:rsidRPr="0053182F">
            <w:t>Moussa et al. (2022)</w:t>
          </w:r>
        </w:sdtContent>
      </w:sdt>
      <w:r w:rsidRPr="0053182F">
        <w:rPr>
          <w:rStyle w:val="Strong"/>
          <w:rFonts w:eastAsiaTheme="majorEastAsia"/>
          <w:b w:val="0"/>
        </w:rPr>
        <w:t xml:space="preserve"> </w:t>
      </w:r>
      <w:r w:rsidRPr="0053182F">
        <w:rPr>
          <w:color w:val="EE0000"/>
        </w:rPr>
        <w:t xml:space="preserve">find that MS vulnerability and state-level mitigation capacity are strongly influenced by HDI, with particularly pronounced effects in countries exhibiting higher levels of institutional capacity. In low-income contexts, improvements in human development contribute directly to reducing vulnerability and strengthening government responses to MS </w:t>
      </w:r>
      <w:sdt>
        <w:sdtPr>
          <w:tag w:val="MENDELEY_CITATION_v3_eyJjaXRhdGlvbklEIjoiTUVOREVMRVlfQ0lUQVRJT05fNWZmNTBkMDMtYzhmYy00Yjk5LTgxNmItYzE5YTMwY2U2ZGEx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1271045205"/>
          <w:placeholder>
            <w:docPart w:val="ED220BF1A5574B93B7ABB9680BC33069"/>
          </w:placeholder>
        </w:sdtPr>
        <w:sdtContent>
          <w:r w:rsidRPr="0053182F">
            <w:t xml:space="preserve">(Moussa </w:t>
          </w:r>
          <w:r w:rsidRPr="0053182F">
            <w:rPr>
              <w:i/>
              <w:iCs/>
            </w:rPr>
            <w:t>et al.</w:t>
          </w:r>
          <w:r w:rsidRPr="0053182F">
            <w:t>, 2022)</w:t>
          </w:r>
        </w:sdtContent>
      </w:sdt>
      <w:r w:rsidRPr="0053182F">
        <w:rPr>
          <w:color w:val="EE0000"/>
        </w:rPr>
        <w:t xml:space="preserve">. In high-income countries, however, higher HDI levels may coincide with increased reporting of MS cases—not because exploitation is more prevalent, but because stronger institutions, regulatory frameworks, and monitoring systems enhance detection, transparency, and accountability </w:t>
      </w:r>
      <w:sdt>
        <w:sdtPr>
          <w:rPr>
            <w:color w:val="EE0000"/>
          </w:rPr>
          <w:tag w:val="MENDELEY_CITATION_v3_eyJjaXRhdGlvbklEIjoiTUVOREVMRVlfQ0lUQVRJT05fN2U5MjBjNTYtMWU3Ny00ODY0LWI1MzUtNmEzNmVhMzJlNjQyIiwicHJvcGVydGllcyI6eyJub3RlSW5kZXgiOjB9LCJpc0VkaXRlZCI6ZmFsc2UsIm1hbnVhbE92ZXJyaWRlIjp7ImlzTWFudWFsbHlPdmVycmlkZGVuIjpmYWxzZSwiY2l0ZXByb2NUZXh0IjoiKENocmlzdCA8aT5ldCBhbC48L2k+LCAyMDIzOyBTdGV2ZW5zb24gYW5kIENvbGUsIDIwMTgpIiwibWFudWFsT3ZlcnJpZGVUZXh0IjoiIn0sImNpdGF0aW9uSXRlbXMiOlt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"/>
          <w:id w:val="330561277"/>
          <w:placeholder>
            <w:docPart w:val="4BF7FF4DA2334CB5BC9421A334F9E1B3"/>
          </w:placeholder>
        </w:sdtPr>
        <w:sdtContent>
          <w:r w:rsidRPr="0053182F">
            <w:rPr>
              <w:color w:val="EE0000"/>
            </w:rPr>
            <w:t xml:space="preserve">(Christ </w:t>
          </w:r>
          <w:r w:rsidRPr="0053182F">
            <w:rPr>
              <w:i/>
              <w:iCs/>
              <w:color w:val="EE0000"/>
            </w:rPr>
            <w:t>et al.</w:t>
          </w:r>
          <w:r w:rsidRPr="0053182F">
            <w:rPr>
              <w:color w:val="EE0000"/>
            </w:rPr>
            <w:t>, 2023; Stevenson and Cole, 2018)</w:t>
          </w:r>
        </w:sdtContent>
      </w:sdt>
      <w:r w:rsidRPr="0053182F">
        <w:rPr>
          <w:color w:val="EE0000"/>
        </w:rPr>
        <w:t>. This distinction suggests that human development not only mitigates structural vulnerability but also facilitates institutional visibility and responsiveness in anti-slavery governance.</w:t>
      </w:r>
    </w:p>
    <w:p w14:paraId="0798380E" w14:textId="77777777" w:rsidR="004609BC" w:rsidRPr="0053182F" w:rsidRDefault="004609BC" w:rsidP="004609BC">
      <w:pPr>
        <w:pStyle w:val="NormalWeb"/>
        <w:spacing w:before="0" w:beforeAutospacing="0" w:after="0" w:afterAutospacing="0" w:line="480" w:lineRule="auto"/>
        <w:ind w:firstLine="720"/>
        <w:jc w:val="both"/>
        <w:rPr>
          <w:color w:val="EE0000"/>
        </w:rPr>
      </w:pPr>
      <w:r w:rsidRPr="0053182F">
        <w:rPr>
          <w:color w:val="EE0000"/>
        </w:rPr>
        <w:t xml:space="preserve">From an NIT perspective, inclusive and equitable development constitutes a powerful normative benchmark that governments are increasingly expected to meet in order to maintain domestic and international legitimacy </w:t>
      </w:r>
      <w:sdt>
        <w:sdtPr>
          <w:rPr>
            <w:color w:val="EE0000"/>
          </w:rPr>
          <w:tag w:val="MENDELEY_CITATION_v3_eyJjaXRhdGlvbklEIjoiTUVOREVMRVlfQ0lUQVRJT05fZTRjNTMxNDAtN2QyYS00MTQ0LThjMGYtYTc4YWZlMjAyMmZiIiwicHJvcGVydGllcyI6eyJub3RlSW5kZXgiOjB9LCJpc0VkaXRlZCI6ZmFsc2UsIm1hbnVhbE92ZXJyaWRlIjp7ImlzTWFudWFsbHlPdmVycmlkZGVuIjpmYWxzZSwiY2l0ZXByb2NUZXh0IjoiKFNjb3R0LCAyMDEzOyBVTkRQLCAyMDI1YikiLCJtYW51YWxPdmVycmlkZVRleHQiOiIifSwiY2l0YXRpb25JdGVtcyI6W3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"/>
          <w:id w:val="-936048407"/>
          <w:placeholder>
            <w:docPart w:val="4BF7FF4DA2334CB5BC9421A334F9E1B3"/>
          </w:placeholder>
        </w:sdtPr>
        <w:sdtContent>
          <w:r w:rsidRPr="0053182F">
            <w:rPr>
              <w:color w:val="EE0000"/>
            </w:rPr>
            <w:t>(Scott, 2013; UNDP, 2025b)</w:t>
          </w:r>
        </w:sdtContent>
      </w:sdt>
      <w:r w:rsidRPr="0053182F">
        <w:rPr>
          <w:color w:val="EE0000"/>
        </w:rPr>
        <w:t xml:space="preserve">. Higher IHDI scores signal stronger institutional capacity, greater social inclusion, and more robust governance infrastructures—conditions that reinforce coercive pressures through effective regulation, normative pressures through social expectations of fairness and justice, and mimetic pressures through alignment with internationally recognised development standards. Conversely, where inequality undermines human development, institutional arrangements are more likely to tolerate or obscure exploitative practices, reflecting patterns of institutional decoupling between formal commitments and lived realities </w:t>
      </w:r>
      <w:sdt>
        <w:sdtPr>
          <w:rPr>
            <w:color w:val="EE0000"/>
          </w:rPr>
          <w:tag w:val="MENDELEY_CITATION_v3_eyJjaXRhdGlvbklEIjoiTUVOREVMRVlfQ0lUQVRJT05fM2NjOGQyOWYtY2MxNy00ZTY4LThmOWEtMmMxYWRkNmZjZDg5IiwicHJvcGVydGllcyI6eyJub3RlSW5kZXgiOjB9LCJpc0VkaXRlZCI6ZmFsc2UsIm1hbnVhbE92ZXJyaWRlIjp7ImlzTWFudWFsbHlPdmVycmlkZGVuIjpmYWxzZSwiY2l0ZXByb2NUZXh0IjoiKE1leWVyIGFuZCBSb3dhbiwgMTk3NzsgTXV0aHV0aGFudHJpZ2UgPGk+ZXQgYWwuPC9pPiwgMjAyNikiLCJtYW51YWxPdmVycmlkZVRleHQiOiI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Sx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XX0="/>
          <w:id w:val="-224538289"/>
          <w:placeholder>
            <w:docPart w:val="4BF7FF4DA2334CB5BC9421A334F9E1B3"/>
          </w:placeholder>
        </w:sdtPr>
        <w:sdtContent>
          <w:r w:rsidRPr="0053182F">
            <w:rPr>
              <w:color w:val="EE0000"/>
            </w:rPr>
            <w:t xml:space="preserve">(Meyer and Rowan, 1977; Muthuthantrige </w:t>
          </w:r>
          <w:r w:rsidRPr="0053182F">
            <w:rPr>
              <w:i/>
              <w:iCs/>
              <w:color w:val="EE0000"/>
            </w:rPr>
            <w:t>et al.</w:t>
          </w:r>
          <w:r w:rsidRPr="0053182F">
            <w:rPr>
              <w:color w:val="EE0000"/>
            </w:rPr>
            <w:t>, 2026)</w:t>
          </w:r>
        </w:sdtContent>
      </w:sdt>
      <w:r w:rsidRPr="0053182F">
        <w:rPr>
          <w:color w:val="EE0000"/>
        </w:rPr>
        <w:t>.</w:t>
      </w:r>
    </w:p>
    <w:p w14:paraId="75AB1E1D" w14:textId="77777777" w:rsidR="004609BC" w:rsidRPr="0053182F" w:rsidRDefault="004609BC" w:rsidP="004609BC">
      <w:pPr>
        <w:pStyle w:val="NormalWeb"/>
        <w:spacing w:before="0" w:beforeAutospacing="0" w:after="0" w:afterAutospacing="0" w:line="480" w:lineRule="auto"/>
        <w:ind w:firstLine="720"/>
        <w:jc w:val="both"/>
      </w:pPr>
      <w:r w:rsidRPr="0053182F">
        <w:rPr>
          <w:color w:val="EE0000"/>
        </w:rPr>
        <w:t xml:space="preserve">Taken together, the theoretical and empirical literature suggests that IHDI is a critical conditioning factor shaping both the prevalence of MS and the effectiveness of state-level responses. Higher IHDI scores reflect governance environments characterised by reduced structural vulnerability, stronger social protection systems, and enhanced institutional capacity to prevent, detect, and remediate MS practices. </w:t>
      </w:r>
      <w:r w:rsidRPr="0053182F">
        <w:rPr>
          <w:color w:val="auto"/>
        </w:rPr>
        <w:t>Based on this theoretical rationale and empirical evidence, we propose the following hypothesis:</w:t>
      </w:r>
    </w:p>
    <w:p w14:paraId="40AF451B" w14:textId="77777777" w:rsidR="004609BC" w:rsidRPr="0053182F" w:rsidRDefault="004609BC" w:rsidP="004609BC">
      <w:pPr>
        <w:pStyle w:val="NormalWeb"/>
        <w:spacing w:before="0" w:beforeAutospacing="0" w:after="0" w:afterAutospacing="0" w:line="480" w:lineRule="auto"/>
        <w:rPr>
          <w:color w:val="auto"/>
        </w:rPr>
      </w:pPr>
      <w:r w:rsidRPr="0053182F">
        <w:rPr>
          <w:rStyle w:val="Strong"/>
          <w:rFonts w:eastAsiaTheme="majorEastAsia"/>
          <w:color w:val="auto"/>
        </w:rPr>
        <w:t>H3</w:t>
      </w:r>
      <w:r w:rsidRPr="0053182F">
        <w:rPr>
          <w:color w:val="auto"/>
        </w:rPr>
        <w:t>: Countries with higher</w:t>
      </w:r>
      <w:r w:rsidRPr="0053182F">
        <w:rPr>
          <w:b/>
          <w:bCs/>
          <w:color w:val="auto"/>
        </w:rPr>
        <w:t xml:space="preserve"> </w:t>
      </w:r>
      <w:r w:rsidRPr="0053182F">
        <w:rPr>
          <w:rStyle w:val="Strong"/>
          <w:rFonts w:eastAsiaTheme="majorEastAsia"/>
          <w:b w:val="0"/>
          <w:bCs w:val="0"/>
          <w:color w:val="auto"/>
        </w:rPr>
        <w:t>Inequality-adjusted Human Development Index (IHDI)</w:t>
      </w:r>
      <w:r w:rsidRPr="0053182F">
        <w:rPr>
          <w:color w:val="auto"/>
        </w:rPr>
        <w:t xml:space="preserve"> scores will exhibit</w:t>
      </w:r>
    </w:p>
    <w:p w14:paraId="1EFAFF57" w14:textId="77777777" w:rsidR="004609BC" w:rsidRPr="0053182F" w:rsidRDefault="004609BC" w:rsidP="004609BC">
      <w:pPr>
        <w:pStyle w:val="NormalWeb"/>
        <w:spacing w:before="0" w:beforeAutospacing="0" w:after="0" w:afterAutospacing="0" w:line="480" w:lineRule="auto"/>
        <w:ind w:left="1134"/>
        <w:rPr>
          <w:b/>
          <w:bCs/>
          <w:color w:val="auto"/>
        </w:rPr>
      </w:pPr>
      <w:r w:rsidRPr="0053182F">
        <w:rPr>
          <w:color w:val="auto"/>
        </w:rPr>
        <w:t xml:space="preserve">(H3a) </w:t>
      </w:r>
      <w:r w:rsidRPr="0053182F">
        <w:rPr>
          <w:rStyle w:val="Strong"/>
          <w:rFonts w:eastAsiaTheme="majorEastAsia"/>
          <w:b w:val="0"/>
          <w:bCs w:val="0"/>
          <w:color w:val="auto"/>
        </w:rPr>
        <w:t>lower prevalence of MS (PREV)</w:t>
      </w:r>
      <w:r w:rsidRPr="0053182F">
        <w:rPr>
          <w:b/>
          <w:bCs/>
          <w:color w:val="auto"/>
        </w:rPr>
        <w:t>,</w:t>
      </w:r>
      <w:r w:rsidRPr="0053182F">
        <w:rPr>
          <w:color w:val="auto"/>
        </w:rPr>
        <w:br/>
        <w:t xml:space="preserve">(H3b) </w:t>
      </w:r>
      <w:r w:rsidRPr="0053182F">
        <w:rPr>
          <w:rStyle w:val="Strong"/>
          <w:rFonts w:eastAsiaTheme="majorEastAsia"/>
          <w:b w:val="0"/>
          <w:bCs w:val="0"/>
          <w:color w:val="auto"/>
        </w:rPr>
        <w:t>lower</w:t>
      </w:r>
      <w:r w:rsidRPr="0053182F">
        <w:rPr>
          <w:rStyle w:val="Strong"/>
          <w:rFonts w:eastAsiaTheme="majorEastAsia"/>
          <w:color w:val="auto"/>
        </w:rPr>
        <w:t xml:space="preserve"> </w:t>
      </w:r>
      <w:r w:rsidRPr="0053182F">
        <w:rPr>
          <w:rStyle w:val="Strong"/>
          <w:rFonts w:eastAsiaTheme="majorEastAsia"/>
          <w:b w:val="0"/>
          <w:bCs w:val="0"/>
          <w:color w:val="auto"/>
        </w:rPr>
        <w:t>vulnerability to MS (VALN)</w:t>
      </w:r>
      <w:r w:rsidRPr="0053182F">
        <w:rPr>
          <w:b/>
          <w:bCs/>
          <w:color w:val="auto"/>
        </w:rPr>
        <w:t xml:space="preserve">, </w:t>
      </w:r>
      <w:r w:rsidRPr="0053182F">
        <w:rPr>
          <w:color w:val="auto"/>
        </w:rPr>
        <w:t>and</w:t>
      </w:r>
      <w:r w:rsidRPr="0053182F">
        <w:rPr>
          <w:b/>
          <w:bCs/>
          <w:color w:val="auto"/>
        </w:rPr>
        <w:br/>
      </w:r>
      <w:r w:rsidRPr="0053182F">
        <w:rPr>
          <w:color w:val="auto"/>
        </w:rPr>
        <w:t>(H3c)</w:t>
      </w:r>
      <w:r w:rsidRPr="0053182F">
        <w:rPr>
          <w:b/>
          <w:bCs/>
          <w:color w:val="auto"/>
        </w:rPr>
        <w:t xml:space="preserve"> </w:t>
      </w:r>
      <w:r w:rsidRPr="0053182F">
        <w:rPr>
          <w:rStyle w:val="Strong"/>
          <w:rFonts w:eastAsiaTheme="majorEastAsia"/>
          <w:b w:val="0"/>
          <w:bCs w:val="0"/>
          <w:color w:val="auto"/>
        </w:rPr>
        <w:t>stronger government responses to mitigate MS risk (MSRM)</w:t>
      </w:r>
      <w:r w:rsidRPr="0053182F">
        <w:rPr>
          <w:b/>
          <w:bCs/>
          <w:color w:val="auto"/>
        </w:rPr>
        <w:t>.</w:t>
      </w:r>
    </w:p>
    <w:p w14:paraId="1E2280FA" w14:textId="77777777" w:rsidR="004609BC" w:rsidRPr="0053182F" w:rsidRDefault="004609BC" w:rsidP="004609BC">
      <w:pPr>
        <w:pStyle w:val="NormalWeb"/>
        <w:spacing w:before="0" w:beforeAutospacing="0" w:after="0" w:afterAutospacing="0" w:line="480" w:lineRule="auto"/>
        <w:rPr>
          <w:color w:val="auto"/>
        </w:rPr>
      </w:pPr>
      <w:r w:rsidRPr="0053182F">
        <w:rPr>
          <w:color w:val="auto"/>
        </w:rPr>
        <w:t xml:space="preserve">Below figure 5.2 present the research scheme of macro level. </w:t>
      </w:r>
    </w:p>
    <w:p w14:paraId="2CBABE87" w14:textId="77777777" w:rsidR="004609BC" w:rsidRPr="0053182F" w:rsidRDefault="004609BC" w:rsidP="004609BC">
      <w:pPr>
        <w:spacing w:after="0" w:line="480" w:lineRule="auto"/>
      </w:pPr>
      <w:r w:rsidRPr="0053182F">
        <w:rPr>
          <w:noProof/>
        </w:rPr>
        <mc:AlternateContent>
          <mc:Choice Requires="wps">
            <w:drawing>
              <wp:anchor distT="0" distB="0" distL="114300" distR="114300" simplePos="0" relativeHeight="251663490" behindDoc="0" locked="0" layoutInCell="1" allowOverlap="1" wp14:anchorId="2B66EEFD" wp14:editId="26EB2957">
                <wp:simplePos x="0" y="0"/>
                <wp:positionH relativeFrom="column">
                  <wp:posOffset>122945</wp:posOffset>
                </wp:positionH>
                <wp:positionV relativeFrom="paragraph">
                  <wp:posOffset>49050</wp:posOffset>
                </wp:positionV>
                <wp:extent cx="1630616" cy="1859536"/>
                <wp:effectExtent l="0" t="0" r="27305" b="26670"/>
                <wp:wrapNone/>
                <wp:docPr id="1662444383" name="TextBox 47">
                  <a:extLst xmlns:a="http://schemas.openxmlformats.org/drawingml/2006/main">
                    <a:ext uri="{FF2B5EF4-FFF2-40B4-BE49-F238E27FC236}">
                      <a16:creationId xmlns:a16="http://schemas.microsoft.com/office/drawing/2014/main" id="{DD9BE1D9-53EF-E391-3BE5-304BD6F5785E}"/>
                    </a:ext>
                  </a:extLst>
                </wp:docPr>
                <wp:cNvGraphicFramePr/>
                <a:graphic xmlns:a="http://schemas.openxmlformats.org/drawingml/2006/main">
                  <a:graphicData uri="http://schemas.microsoft.com/office/word/2010/wordprocessingShape">
                    <wps:wsp>
                      <wps:cNvSpPr txBox="1"/>
                      <wps:spPr>
                        <a:xfrm>
                          <a:off x="0" y="0"/>
                          <a:ext cx="1630616" cy="1859536"/>
                        </a:xfrm>
                        <a:prstGeom prst="rect">
                          <a:avLst/>
                        </a:prstGeom>
                        <a:noFill/>
                        <a:ln w="3175">
                          <a:solidFill>
                            <a:schemeClr val="accent2">
                              <a:lumMod val="50000"/>
                            </a:schemeClr>
                          </a:solidFill>
                        </a:ln>
                      </wps:spPr>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C8EC62E" id="TextBox 47" o:spid="_x0000_s1026" type="#_x0000_t202" style="position:absolute;margin-left:9.7pt;margin-top:3.85pt;width:128.4pt;height:146.4pt;z-index:2516634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" filled="f" strokecolor="#7f340d [1605]" strokeweight=".25pt"/>
            </w:pict>
          </mc:Fallback>
        </mc:AlternateContent>
      </w:r>
      <w:r w:rsidRPr="0053182F">
        <w:rPr>
          <w:noProof/>
        </w:rPr>
        <mc:AlternateContent>
          <mc:Choice Requires="wps">
            <w:drawing>
              <wp:anchor distT="0" distB="0" distL="114300" distR="114300" simplePos="0" relativeHeight="251664514" behindDoc="0" locked="0" layoutInCell="1" allowOverlap="1" wp14:anchorId="269DC8BF" wp14:editId="0E2B0E92">
                <wp:simplePos x="0" y="0"/>
                <wp:positionH relativeFrom="column">
                  <wp:posOffset>3630044</wp:posOffset>
                </wp:positionH>
                <wp:positionV relativeFrom="paragraph">
                  <wp:posOffset>169758</wp:posOffset>
                </wp:positionV>
                <wp:extent cx="1616075" cy="1606550"/>
                <wp:effectExtent l="0" t="0" r="22225" b="12700"/>
                <wp:wrapNone/>
                <wp:docPr id="49" name="TextBox 48">
                  <a:extLst xmlns:a="http://schemas.openxmlformats.org/drawingml/2006/main">
                    <a:ext uri="{FF2B5EF4-FFF2-40B4-BE49-F238E27FC236}">
                      <a16:creationId xmlns:a16="http://schemas.microsoft.com/office/drawing/2014/main" id="{7DA450B6-C56C-81CC-CE70-2DD6FA20F7AC}"/>
                    </a:ext>
                  </a:extLst>
                </wp:docPr>
                <wp:cNvGraphicFramePr/>
                <a:graphic xmlns:a="http://schemas.openxmlformats.org/drawingml/2006/main">
                  <a:graphicData uri="http://schemas.microsoft.com/office/word/2010/wordprocessingShape">
                    <wps:wsp>
                      <wps:cNvSpPr txBox="1"/>
                      <wps:spPr>
                        <a:xfrm>
                          <a:off x="0" y="0"/>
                          <a:ext cx="1616075" cy="1606550"/>
                        </a:xfrm>
                        <a:prstGeom prst="rect">
                          <a:avLst/>
                        </a:prstGeom>
                        <a:noFill/>
                        <a:ln>
                          <a:solidFill>
                            <a:srgbClr val="FFC000"/>
                          </a:solidFill>
                        </a:ln>
                      </wps:spPr>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C094AF4" id="TextBox 48" o:spid="_x0000_s1026" type="#_x0000_t202" style="position:absolute;margin-left:285.85pt;margin-top:13.35pt;width:127.25pt;height:126.5pt;z-index:2516645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" filled="f" strokecolor="#ffc000"/>
            </w:pict>
          </mc:Fallback>
        </mc:AlternateContent>
      </w:r>
      <w:r w:rsidRPr="0053182F">
        <w:rPr>
          <w:noProof/>
        </w:rPr>
        <mc:AlternateContent>
          <mc:Choice Requires="wps">
            <w:drawing>
              <wp:anchor distT="0" distB="0" distL="114300" distR="114300" simplePos="0" relativeHeight="251665538" behindDoc="0" locked="0" layoutInCell="1" allowOverlap="1" wp14:anchorId="24DABFF2" wp14:editId="770276A2">
                <wp:simplePos x="0" y="0"/>
                <wp:positionH relativeFrom="column">
                  <wp:posOffset>126820</wp:posOffset>
                </wp:positionH>
                <wp:positionV relativeFrom="paragraph">
                  <wp:posOffset>52591</wp:posOffset>
                </wp:positionV>
                <wp:extent cx="1638605" cy="368935"/>
                <wp:effectExtent l="0" t="0" r="0" b="0"/>
                <wp:wrapNone/>
                <wp:docPr id="14" name="TextBox 13">
                  <a:extLst xmlns:a="http://schemas.openxmlformats.org/drawingml/2006/main">
                    <a:ext uri="{FF2B5EF4-FFF2-40B4-BE49-F238E27FC236}">
                      <a16:creationId xmlns:a16="http://schemas.microsoft.com/office/drawing/2014/main" id="{E1744149-5138-AEDD-7463-D9B037A249AE}"/>
                    </a:ext>
                  </a:extLst>
                </wp:docPr>
                <wp:cNvGraphicFramePr/>
                <a:graphic xmlns:a="http://schemas.openxmlformats.org/drawingml/2006/main">
                  <a:graphicData uri="http://schemas.microsoft.com/office/word/2010/wordprocessingShape">
                    <wps:wsp>
                      <wps:cNvSpPr txBox="1"/>
                      <wps:spPr>
                        <a:xfrm>
                          <a:off x="0" y="0"/>
                          <a:ext cx="1638605" cy="368935"/>
                        </a:xfrm>
                        <a:prstGeom prst="rect">
                          <a:avLst/>
                        </a:prstGeom>
                        <a:noFill/>
                        <a:ln w="3175">
                          <a:noFill/>
                        </a:ln>
                      </wps:spPr>
                      <wps:txbx>
                        <w:txbxContent>
                          <w:p w14:paraId="5A8A3202" w14:textId="77777777" w:rsidR="004609BC" w:rsidRPr="00ED0D4E" w:rsidRDefault="004609BC" w:rsidP="004609BC">
                            <w:pPr>
                              <w:rPr>
                                <w:b/>
                                <w:bCs/>
                                <w:color w:val="000000" w:themeColor="text1"/>
                                <w:kern w:val="24"/>
                              </w:rPr>
                            </w:pPr>
                            <w:r w:rsidRPr="00ED0D4E">
                              <w:rPr>
                                <w:b/>
                                <w:bCs/>
                                <w:color w:val="000000" w:themeColor="text1"/>
                                <w:kern w:val="24"/>
                              </w:rPr>
                              <w:t>Independent variables</w:t>
                            </w:r>
                          </w:p>
                        </w:txbxContent>
                      </wps:txbx>
                      <wps:bodyPr wrap="square" rtlCol="0">
                        <a:spAutoFit/>
                      </wps:bodyPr>
                    </wps:wsp>
                  </a:graphicData>
                </a:graphic>
                <wp14:sizeRelH relativeFrom="margin">
                  <wp14:pctWidth>0</wp14:pctWidth>
                </wp14:sizeRelH>
              </wp:anchor>
            </w:drawing>
          </mc:Choice>
          <mc:Fallback>
            <w:pict>
              <v:shape w14:anchorId="24DABFF2" id="_x0000_s1096" type="#_x0000_t202" style="position:absolute;margin-left:10pt;margin-top:4.15pt;width:129pt;height:29.05pt;z-index:25166553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" filled="f" stroked="f" strokeweight=".25pt">
                <v:textbox style="mso-fit-shape-to-text:t">
                  <w:txbxContent>
                    <w:p w14:paraId="5A8A3202" w14:textId="77777777" w:rsidR="004609BC" w:rsidRPr="00ED0D4E" w:rsidRDefault="004609BC" w:rsidP="004609BC">
                      <w:pPr>
                        <w:rPr>
                          <w:b/>
                          <w:bCs/>
                          <w:color w:val="000000" w:themeColor="text1"/>
                          <w:kern w:val="24"/>
                        </w:rPr>
                      </w:pPr>
                      <w:r w:rsidRPr="00ED0D4E">
                        <w:rPr>
                          <w:b/>
                          <w:bCs/>
                          <w:color w:val="000000" w:themeColor="text1"/>
                          <w:kern w:val="24"/>
                        </w:rPr>
                        <w:t>Independent variables</w:t>
                      </w:r>
                    </w:p>
                  </w:txbxContent>
                </v:textbox>
              </v:shape>
            </w:pict>
          </mc:Fallback>
        </mc:AlternateContent>
      </w:r>
      <w:r w:rsidRPr="0053182F">
        <w:rPr>
          <w:noProof/>
        </w:rPr>
        <mc:AlternateContent>
          <mc:Choice Requires="wps">
            <w:drawing>
              <wp:anchor distT="0" distB="0" distL="114300" distR="114300" simplePos="0" relativeHeight="251666562" behindDoc="0" locked="0" layoutInCell="1" allowOverlap="1" wp14:anchorId="348E2F3F" wp14:editId="4DB74A3E">
                <wp:simplePos x="0" y="0"/>
                <wp:positionH relativeFrom="column">
                  <wp:posOffset>3701415</wp:posOffset>
                </wp:positionH>
                <wp:positionV relativeFrom="paragraph">
                  <wp:posOffset>175260</wp:posOffset>
                </wp:positionV>
                <wp:extent cx="1660525" cy="336550"/>
                <wp:effectExtent l="0" t="0" r="0" b="6350"/>
                <wp:wrapNone/>
                <wp:docPr id="15" name="TextBox 14">
                  <a:extLst xmlns:a="http://schemas.openxmlformats.org/drawingml/2006/main">
                    <a:ext uri="{FF2B5EF4-FFF2-40B4-BE49-F238E27FC236}">
                      <a16:creationId xmlns:a16="http://schemas.microsoft.com/office/drawing/2014/main" id="{3C516264-57F7-C1E2-0555-C0537C017E8C}"/>
                    </a:ext>
                  </a:extLst>
                </wp:docPr>
                <wp:cNvGraphicFramePr/>
                <a:graphic xmlns:a="http://schemas.openxmlformats.org/drawingml/2006/main">
                  <a:graphicData uri="http://schemas.microsoft.com/office/word/2010/wordprocessingShape">
                    <wps:wsp>
                      <wps:cNvSpPr txBox="1"/>
                      <wps:spPr>
                        <a:xfrm>
                          <a:off x="0" y="0"/>
                          <a:ext cx="1660525" cy="336550"/>
                        </a:xfrm>
                        <a:prstGeom prst="rect">
                          <a:avLst/>
                        </a:prstGeom>
                        <a:noFill/>
                        <a:ln w="3175">
                          <a:noFill/>
                        </a:ln>
                      </wps:spPr>
                      <wps:txbx>
                        <w:txbxContent>
                          <w:p w14:paraId="4EFE3094" w14:textId="77777777" w:rsidR="004609BC" w:rsidRPr="008136FC" w:rsidRDefault="004609BC" w:rsidP="004609BC">
                            <w:pPr>
                              <w:rPr>
                                <w:b/>
                                <w:bCs/>
                                <w:color w:val="000000" w:themeColor="text1"/>
                                <w:kern w:val="24"/>
                              </w:rPr>
                            </w:pPr>
                            <w:r w:rsidRPr="008136FC">
                              <w:rPr>
                                <w:b/>
                                <w:bCs/>
                                <w:color w:val="000000" w:themeColor="text1"/>
                                <w:kern w:val="24"/>
                              </w:rPr>
                              <w:t xml:space="preserve">Dependent </w:t>
                            </w:r>
                            <w:r>
                              <w:rPr>
                                <w:b/>
                                <w:bCs/>
                                <w:color w:val="000000" w:themeColor="text1"/>
                                <w:kern w:val="24"/>
                              </w:rPr>
                              <w:t>V</w:t>
                            </w:r>
                            <w:r w:rsidRPr="008136FC">
                              <w:rPr>
                                <w:b/>
                                <w:bCs/>
                                <w:color w:val="000000" w:themeColor="text1"/>
                                <w:kern w:val="24"/>
                              </w:rPr>
                              <w:t>ariables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48E2F3F" id="TextBox 14" o:spid="_x0000_s1097" type="#_x0000_t202" style="position:absolute;margin-left:291.45pt;margin-top:13.8pt;width:130.75pt;height:26.5pt;z-index:2516665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" filled="f" stroked="f" strokeweight=".25pt">
                <v:textbox>
                  <w:txbxContent>
                    <w:p w14:paraId="4EFE3094" w14:textId="77777777" w:rsidR="004609BC" w:rsidRPr="008136FC" w:rsidRDefault="004609BC" w:rsidP="004609BC">
                      <w:pPr>
                        <w:rPr>
                          <w:b/>
                          <w:bCs/>
                          <w:color w:val="000000" w:themeColor="text1"/>
                          <w:kern w:val="24"/>
                        </w:rPr>
                      </w:pPr>
                      <w:r w:rsidRPr="008136FC">
                        <w:rPr>
                          <w:b/>
                          <w:bCs/>
                          <w:color w:val="000000" w:themeColor="text1"/>
                          <w:kern w:val="24"/>
                        </w:rPr>
                        <w:t xml:space="preserve">Dependent </w:t>
                      </w:r>
                      <w:r>
                        <w:rPr>
                          <w:b/>
                          <w:bCs/>
                          <w:color w:val="000000" w:themeColor="text1"/>
                          <w:kern w:val="24"/>
                        </w:rPr>
                        <w:t>V</w:t>
                      </w:r>
                      <w:r w:rsidRPr="008136FC">
                        <w:rPr>
                          <w:b/>
                          <w:bCs/>
                          <w:color w:val="000000" w:themeColor="text1"/>
                          <w:kern w:val="24"/>
                        </w:rPr>
                        <w:t>ariables</w:t>
                      </w:r>
                    </w:p>
                  </w:txbxContent>
                </v:textbox>
              </v:shape>
            </w:pict>
          </mc:Fallback>
        </mc:AlternateContent>
      </w:r>
    </w:p>
    <w:p w14:paraId="132C145E" w14:textId="77777777" w:rsidR="004609BC" w:rsidRPr="0053182F" w:rsidRDefault="004609BC" w:rsidP="004609BC">
      <w:pPr>
        <w:pStyle w:val="NormalWeb"/>
        <w:spacing w:before="0" w:beforeAutospacing="0" w:after="0" w:afterAutospacing="0" w:line="480" w:lineRule="auto"/>
      </w:pPr>
      <w:r w:rsidRPr="0053182F">
        <w:rPr>
          <w:noProof/>
        </w:rPr>
        <mc:AlternateContent>
          <mc:Choice Requires="wps">
            <w:drawing>
              <wp:anchor distT="0" distB="0" distL="114300" distR="114300" simplePos="0" relativeHeight="251669634" behindDoc="0" locked="0" layoutInCell="1" allowOverlap="1" wp14:anchorId="0BA81BDF" wp14:editId="4B41EA57">
                <wp:simplePos x="0" y="0"/>
                <wp:positionH relativeFrom="column">
                  <wp:posOffset>3813175</wp:posOffset>
                </wp:positionH>
                <wp:positionV relativeFrom="paragraph">
                  <wp:posOffset>269240</wp:posOffset>
                </wp:positionV>
                <wp:extent cx="1076960" cy="252730"/>
                <wp:effectExtent l="0" t="0" r="27940" b="13970"/>
                <wp:wrapNone/>
                <wp:docPr id="16" name="TextBox 15">
                  <a:extLst xmlns:a="http://schemas.openxmlformats.org/drawingml/2006/main">
                    <a:ext uri="{FF2B5EF4-FFF2-40B4-BE49-F238E27FC236}">
                      <a16:creationId xmlns:a16="http://schemas.microsoft.com/office/drawing/2014/main" id="{1E1B05AC-BC9F-E2B5-111B-0FB323280B3F}"/>
                    </a:ext>
                  </a:extLst>
                </wp:docPr>
                <wp:cNvGraphicFramePr/>
                <a:graphic xmlns:a="http://schemas.openxmlformats.org/drawingml/2006/main">
                  <a:graphicData uri="http://schemas.microsoft.com/office/word/2010/wordprocessingShape">
                    <wps:wsp>
                      <wps:cNvSpPr txBox="1"/>
                      <wps:spPr>
                        <a:xfrm>
                          <a:off x="0" y="0"/>
                          <a:ext cx="1076960" cy="252730"/>
                        </a:xfrm>
                        <a:prstGeom prst="rect">
                          <a:avLst/>
                        </a:prstGeom>
                        <a:noFill/>
                        <a:ln w="3175">
                          <a:solidFill>
                            <a:schemeClr val="tx1"/>
                          </a:solidFill>
                        </a:ln>
                      </wps:spPr>
                      <wps:txbx>
                        <w:txbxContent>
                          <w:p w14:paraId="2A24AFE3" w14:textId="77777777" w:rsidR="004609BC" w:rsidRPr="00023A89" w:rsidRDefault="004609BC" w:rsidP="004609BC">
                            <w:pPr>
                              <w:jc w:val="center"/>
                              <w:rPr>
                                <w:rFonts w:asciiTheme="minorHAnsi" w:hAnsi="Aptos" w:cstheme="minorBidi"/>
                                <w:color w:val="000000" w:themeColor="text1"/>
                                <w:kern w:val="24"/>
                                <w:sz w:val="20"/>
                                <w:szCs w:val="20"/>
                              </w:rPr>
                            </w:pPr>
                            <w:r w:rsidRPr="0066503B">
                              <w:rPr>
                                <w:color w:val="000000" w:themeColor="text1"/>
                                <w:kern w:val="24"/>
                                <w:sz w:val="20"/>
                                <w:szCs w:val="20"/>
                              </w:rPr>
                              <w:t>VAL</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BA81BDF" id="TextBox 15" o:spid="_x0000_s1098" type="#_x0000_t202" style="position:absolute;margin-left:300.25pt;margin-top:21.2pt;width:84.8pt;height:19.9pt;z-index:25166963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" filled="f" strokecolor="black [3213]" strokeweight=".25pt">
                <v:textbox>
                  <w:txbxContent>
                    <w:p w14:paraId="2A24AFE3" w14:textId="77777777" w:rsidR="004609BC" w:rsidRPr="00023A89" w:rsidRDefault="004609BC" w:rsidP="004609BC">
                      <w:pPr>
                        <w:jc w:val="center"/>
                        <w:rPr>
                          <w:rFonts w:asciiTheme="minorHAnsi" w:hAnsi="Aptos" w:cstheme="minorBidi"/>
                          <w:color w:val="000000" w:themeColor="text1"/>
                          <w:kern w:val="24"/>
                          <w:sz w:val="20"/>
                          <w:szCs w:val="20"/>
                        </w:rPr>
                      </w:pPr>
                      <w:r w:rsidRPr="0066503B">
                        <w:rPr>
                          <w:color w:val="000000" w:themeColor="text1"/>
                          <w:kern w:val="24"/>
                          <w:sz w:val="20"/>
                          <w:szCs w:val="20"/>
                        </w:rPr>
                        <w:t>VAL</w:t>
                      </w:r>
                    </w:p>
                  </w:txbxContent>
                </v:textbox>
              </v:shape>
            </w:pict>
          </mc:Fallback>
        </mc:AlternateContent>
      </w:r>
      <w:r w:rsidRPr="0053182F">
        <w:rPr>
          <w:noProof/>
          <w14:ligatures w14:val="standardContextual"/>
        </w:rPr>
        <mc:AlternateContent>
          <mc:Choice Requires="wps">
            <w:drawing>
              <wp:anchor distT="0" distB="0" distL="114300" distR="114300" simplePos="0" relativeHeight="251671682" behindDoc="0" locked="0" layoutInCell="1" allowOverlap="1" wp14:anchorId="3AC7EB84" wp14:editId="22A2ED9D">
                <wp:simplePos x="0" y="0"/>
                <wp:positionH relativeFrom="column">
                  <wp:posOffset>1310185</wp:posOffset>
                </wp:positionH>
                <wp:positionV relativeFrom="paragraph">
                  <wp:posOffset>302478</wp:posOffset>
                </wp:positionV>
                <wp:extent cx="2488565" cy="389862"/>
                <wp:effectExtent l="0" t="0" r="64135" b="86995"/>
                <wp:wrapNone/>
                <wp:docPr id="1954676444" name="Straight Arrow Connector 26"/>
                <wp:cNvGraphicFramePr/>
                <a:graphic xmlns:a="http://schemas.openxmlformats.org/drawingml/2006/main">
                  <a:graphicData uri="http://schemas.microsoft.com/office/word/2010/wordprocessingShape">
                    <wps:wsp>
                      <wps:cNvCnPr/>
                      <wps:spPr>
                        <a:xfrm>
                          <a:off x="0" y="0"/>
                          <a:ext cx="2488565" cy="3898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76D3B0" id="Straight Arrow Connector 26" o:spid="_x0000_s1026" type="#_x0000_t32" style="position:absolute;margin-left:103.15pt;margin-top:23.8pt;width:195.95pt;height:30.7pt;z-index:25167168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" strokecolor="#156082 [3204]" strokeweight="1pt">
                <v:stroke endarrow="block" joinstyle="miter"/>
              </v:shape>
            </w:pict>
          </mc:Fallback>
        </mc:AlternateContent>
      </w:r>
      <w:r w:rsidRPr="0053182F">
        <w:rPr>
          <w:noProof/>
          <w14:ligatures w14:val="standardContextual"/>
        </w:rPr>
        <mc:AlternateContent>
          <mc:Choice Requires="wps">
            <w:drawing>
              <wp:anchor distT="0" distB="0" distL="114300" distR="114300" simplePos="0" relativeHeight="251672706" behindDoc="0" locked="0" layoutInCell="1" allowOverlap="1" wp14:anchorId="5F825E86" wp14:editId="27712741">
                <wp:simplePos x="0" y="0"/>
                <wp:positionH relativeFrom="column">
                  <wp:posOffset>1310185</wp:posOffset>
                </wp:positionH>
                <wp:positionV relativeFrom="paragraph">
                  <wp:posOffset>302479</wp:posOffset>
                </wp:positionV>
                <wp:extent cx="2488707" cy="847270"/>
                <wp:effectExtent l="0" t="0" r="83185" b="67310"/>
                <wp:wrapNone/>
                <wp:docPr id="1769794521" name="Straight Arrow Connector 27"/>
                <wp:cNvGraphicFramePr/>
                <a:graphic xmlns:a="http://schemas.openxmlformats.org/drawingml/2006/main">
                  <a:graphicData uri="http://schemas.microsoft.com/office/word/2010/wordprocessingShape">
                    <wps:wsp>
                      <wps:cNvCnPr/>
                      <wps:spPr>
                        <a:xfrm>
                          <a:off x="0" y="0"/>
                          <a:ext cx="2488707" cy="8472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F83FD8C" id="Straight Arrow Connector 27" o:spid="_x0000_s1026" type="#_x0000_t32" style="position:absolute;margin-left:103.15pt;margin-top:23.8pt;width:195.95pt;height:66.7pt;z-index:25167270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" strokecolor="#156082 [3204]" strokeweight="1pt">
                <v:stroke endarrow="block" joinstyle="miter"/>
              </v:shape>
            </w:pict>
          </mc:Fallback>
        </mc:AlternateContent>
      </w:r>
      <w:r w:rsidRPr="0053182F">
        <w:rPr>
          <w:noProof/>
          <w14:ligatures w14:val="standardContextual"/>
        </w:rPr>
        <mc:AlternateContent>
          <mc:Choice Requires="wps">
            <w:drawing>
              <wp:anchor distT="0" distB="0" distL="114300" distR="114300" simplePos="0" relativeHeight="251679874" behindDoc="0" locked="0" layoutInCell="1" allowOverlap="1" wp14:anchorId="3AFBA3A8" wp14:editId="62C242F7">
                <wp:simplePos x="0" y="0"/>
                <wp:positionH relativeFrom="column">
                  <wp:posOffset>368231</wp:posOffset>
                </wp:positionH>
                <wp:positionV relativeFrom="paragraph">
                  <wp:posOffset>191221</wp:posOffset>
                </wp:positionV>
                <wp:extent cx="946041" cy="244131"/>
                <wp:effectExtent l="0" t="0" r="26035" b="22860"/>
                <wp:wrapNone/>
                <wp:docPr id="1604511098" name="TextBox 9">
                  <a:extLst xmlns:a="http://schemas.openxmlformats.org/drawingml/2006/main">
                    <a:ext uri="{FF2B5EF4-FFF2-40B4-BE49-F238E27FC236}">
                      <a16:creationId xmlns:a16="http://schemas.microsoft.com/office/drawing/2014/main" id="{B9B06325-C3EA-98EC-E2DA-509FCD244B24}"/>
                    </a:ext>
                  </a:extLst>
                </wp:docPr>
                <wp:cNvGraphicFramePr/>
                <a:graphic xmlns:a="http://schemas.openxmlformats.org/drawingml/2006/main">
                  <a:graphicData uri="http://schemas.microsoft.com/office/word/2010/wordprocessingShape">
                    <wps:wsp>
                      <wps:cNvSpPr txBox="1"/>
                      <wps:spPr>
                        <a:xfrm>
                          <a:off x="0" y="0"/>
                          <a:ext cx="946041" cy="244131"/>
                        </a:xfrm>
                        <a:prstGeom prst="rect">
                          <a:avLst/>
                        </a:prstGeom>
                        <a:noFill/>
                        <a:ln w="3175">
                          <a:solidFill>
                            <a:schemeClr val="tx1"/>
                          </a:solidFill>
                        </a:ln>
                      </wps:spPr>
                      <wps:txbx>
                        <w:txbxContent>
                          <w:p w14:paraId="2D52CC2A" w14:textId="77777777" w:rsidR="004609BC" w:rsidRPr="00023A89" w:rsidRDefault="004609BC" w:rsidP="004609BC">
                            <w:pPr>
                              <w:jc w:val="center"/>
                              <w:rPr>
                                <w:rFonts w:asciiTheme="minorHAnsi" w:hAnsi="Aptos" w:cstheme="minorBidi"/>
                                <w:color w:val="000000" w:themeColor="text1"/>
                                <w:kern w:val="24"/>
                                <w:sz w:val="20"/>
                                <w:szCs w:val="20"/>
                              </w:rPr>
                            </w:pPr>
                            <w:r w:rsidRPr="00023A89">
                              <w:rPr>
                                <w:rFonts w:asciiTheme="minorHAnsi" w:hAnsi="Aptos" w:cstheme="minorBidi"/>
                                <w:color w:val="000000" w:themeColor="text1"/>
                                <w:kern w:val="24"/>
                                <w:sz w:val="20"/>
                                <w:szCs w:val="20"/>
                              </w:rPr>
                              <w:t>IEQ</w:t>
                            </w:r>
                          </w:p>
                        </w:txbxContent>
                      </wps:txbx>
                      <wps:bodyPr wrap="square" rtlCol="0">
                        <a:noAutofit/>
                      </wps:bodyPr>
                    </wps:wsp>
                  </a:graphicData>
                </a:graphic>
              </wp:anchor>
            </w:drawing>
          </mc:Choice>
          <mc:Fallback>
            <w:pict>
              <v:shape w14:anchorId="3AFBA3A8" id="_x0000_s1099" type="#_x0000_t202" style="position:absolute;margin-left:29pt;margin-top:15.05pt;width:74.5pt;height:19.2pt;z-index:2516798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" filled="f" strokecolor="black [3213]" strokeweight=".25pt">
                <v:textbox>
                  <w:txbxContent>
                    <w:p w14:paraId="2D52CC2A" w14:textId="77777777" w:rsidR="004609BC" w:rsidRPr="00023A89" w:rsidRDefault="004609BC" w:rsidP="004609BC">
                      <w:pPr>
                        <w:jc w:val="center"/>
                        <w:rPr>
                          <w:rFonts w:asciiTheme="minorHAnsi" w:hAnsi="Aptos" w:cstheme="minorBidi"/>
                          <w:color w:val="000000" w:themeColor="text1"/>
                          <w:kern w:val="24"/>
                          <w:sz w:val="20"/>
                          <w:szCs w:val="20"/>
                        </w:rPr>
                      </w:pPr>
                      <w:r w:rsidRPr="00023A89">
                        <w:rPr>
                          <w:rFonts w:asciiTheme="minorHAnsi" w:hAnsi="Aptos" w:cstheme="minorBidi"/>
                          <w:color w:val="000000" w:themeColor="text1"/>
                          <w:kern w:val="24"/>
                          <w:sz w:val="20"/>
                          <w:szCs w:val="20"/>
                        </w:rPr>
                        <w:t>IEQ</w:t>
                      </w:r>
                    </w:p>
                  </w:txbxContent>
                </v:textbox>
              </v:shape>
            </w:pict>
          </mc:Fallback>
        </mc:AlternateContent>
      </w:r>
      <w:r w:rsidRPr="0053182F">
        <w:rPr>
          <w:noProof/>
          <w14:ligatures w14:val="standardContextual"/>
        </w:rPr>
        <mc:AlternateContent>
          <mc:Choice Requires="wps">
            <w:drawing>
              <wp:anchor distT="0" distB="0" distL="114300" distR="114300" simplePos="0" relativeHeight="251670658" behindDoc="0" locked="0" layoutInCell="1" allowOverlap="1" wp14:anchorId="518FDCE3" wp14:editId="1719E488">
                <wp:simplePos x="0" y="0"/>
                <wp:positionH relativeFrom="column">
                  <wp:posOffset>1311910</wp:posOffset>
                </wp:positionH>
                <wp:positionV relativeFrom="paragraph">
                  <wp:posOffset>303022</wp:posOffset>
                </wp:positionV>
                <wp:extent cx="2491994" cy="136986"/>
                <wp:effectExtent l="0" t="0" r="60960" b="92075"/>
                <wp:wrapNone/>
                <wp:docPr id="457780563" name="Straight Arrow Connector 25"/>
                <wp:cNvGraphicFramePr/>
                <a:graphic xmlns:a="http://schemas.openxmlformats.org/drawingml/2006/main">
                  <a:graphicData uri="http://schemas.microsoft.com/office/word/2010/wordprocessingShape">
                    <wps:wsp>
                      <wps:cNvCnPr/>
                      <wps:spPr>
                        <a:xfrm>
                          <a:off x="0" y="0"/>
                          <a:ext cx="2491994" cy="1369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7F2663" id="Straight Arrow Connector 25" o:spid="_x0000_s1026" type="#_x0000_t32" style="position:absolute;margin-left:103.3pt;margin-top:23.85pt;width:196.2pt;height:10.8pt;z-index:25167065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" strokecolor="#156082 [3204]" strokeweight="1pt">
                <v:stroke endarrow="block" joinstyle="miter"/>
              </v:shape>
            </w:pict>
          </mc:Fallback>
        </mc:AlternateContent>
      </w:r>
    </w:p>
    <w:p w14:paraId="1D160D07" w14:textId="77777777" w:rsidR="004609BC" w:rsidRPr="0053182F" w:rsidRDefault="004609BC" w:rsidP="004609BC">
      <w:pPr>
        <w:pStyle w:val="NormalWeb"/>
        <w:spacing w:before="0" w:beforeAutospacing="0" w:after="0" w:afterAutospacing="0" w:line="480" w:lineRule="auto"/>
      </w:pPr>
      <w:r w:rsidRPr="0053182F">
        <w:rPr>
          <w:noProof/>
        </w:rPr>
        <mc:AlternateContent>
          <mc:Choice Requires="wps">
            <w:drawing>
              <wp:anchor distT="0" distB="0" distL="114300" distR="114300" simplePos="0" relativeHeight="251668610" behindDoc="0" locked="0" layoutInCell="1" allowOverlap="1" wp14:anchorId="5760F6BE" wp14:editId="3DE6BFD9">
                <wp:simplePos x="0" y="0"/>
                <wp:positionH relativeFrom="column">
                  <wp:posOffset>3810000</wp:posOffset>
                </wp:positionH>
                <wp:positionV relativeFrom="paragraph">
                  <wp:posOffset>290830</wp:posOffset>
                </wp:positionV>
                <wp:extent cx="1077232" cy="253093"/>
                <wp:effectExtent l="0" t="0" r="27940" b="13970"/>
                <wp:wrapNone/>
                <wp:docPr id="18" name="TextBox 17">
                  <a:extLst xmlns:a="http://schemas.openxmlformats.org/drawingml/2006/main">
                    <a:ext uri="{FF2B5EF4-FFF2-40B4-BE49-F238E27FC236}">
                      <a16:creationId xmlns:a16="http://schemas.microsoft.com/office/drawing/2014/main" id="{73993EA7-8087-6631-048D-1D0592508626}"/>
                    </a:ext>
                  </a:extLst>
                </wp:docPr>
                <wp:cNvGraphicFramePr/>
                <a:graphic xmlns:a="http://schemas.openxmlformats.org/drawingml/2006/main">
                  <a:graphicData uri="http://schemas.microsoft.com/office/word/2010/wordprocessingShape">
                    <wps:wsp>
                      <wps:cNvSpPr txBox="1"/>
                      <wps:spPr>
                        <a:xfrm>
                          <a:off x="0" y="0"/>
                          <a:ext cx="1077232" cy="253093"/>
                        </a:xfrm>
                        <a:prstGeom prst="rect">
                          <a:avLst/>
                        </a:prstGeom>
                        <a:noFill/>
                        <a:ln w="3175">
                          <a:solidFill>
                            <a:schemeClr val="tx1"/>
                          </a:solidFill>
                        </a:ln>
                      </wps:spPr>
                      <wps:txbx>
                        <w:txbxContent>
                          <w:p w14:paraId="30F94696" w14:textId="77777777" w:rsidR="004609BC" w:rsidRPr="0066503B" w:rsidRDefault="004609BC" w:rsidP="004609BC">
                            <w:pPr>
                              <w:jc w:val="center"/>
                              <w:rPr>
                                <w:color w:val="000000" w:themeColor="text1"/>
                                <w:kern w:val="24"/>
                                <w:sz w:val="20"/>
                                <w:szCs w:val="20"/>
                              </w:rPr>
                            </w:pPr>
                            <w:r w:rsidRPr="0066503B">
                              <w:rPr>
                                <w:color w:val="000000" w:themeColor="text1"/>
                                <w:kern w:val="24"/>
                                <w:sz w:val="20"/>
                                <w:szCs w:val="20"/>
                              </w:rPr>
                              <w:t>PREV</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5760F6BE" id="TextBox 17" o:spid="_x0000_s1100" type="#_x0000_t202" style="position:absolute;margin-left:300pt;margin-top:22.9pt;width:84.8pt;height:19.95pt;z-index:2516686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" filled="f" strokecolor="black [3213]" strokeweight=".25pt">
                <v:textbox>
                  <w:txbxContent>
                    <w:p w14:paraId="30F94696" w14:textId="77777777" w:rsidR="004609BC" w:rsidRPr="0066503B" w:rsidRDefault="004609BC" w:rsidP="004609BC">
                      <w:pPr>
                        <w:jc w:val="center"/>
                        <w:rPr>
                          <w:color w:val="000000" w:themeColor="text1"/>
                          <w:kern w:val="24"/>
                          <w:sz w:val="20"/>
                          <w:szCs w:val="20"/>
                        </w:rPr>
                      </w:pPr>
                      <w:r w:rsidRPr="0066503B">
                        <w:rPr>
                          <w:color w:val="000000" w:themeColor="text1"/>
                          <w:kern w:val="24"/>
                          <w:sz w:val="20"/>
                          <w:szCs w:val="20"/>
                        </w:rPr>
                        <w:t>PREV</w:t>
                      </w:r>
                    </w:p>
                  </w:txbxContent>
                </v:textbox>
              </v:shape>
            </w:pict>
          </mc:Fallback>
        </mc:AlternateContent>
      </w:r>
      <w:r w:rsidRPr="0053182F">
        <w:rPr>
          <w:noProof/>
          <w14:ligatures w14:val="standardContextual"/>
        </w:rPr>
        <mc:AlternateContent>
          <mc:Choice Requires="wps">
            <w:drawing>
              <wp:anchor distT="0" distB="0" distL="114300" distR="114300" simplePos="0" relativeHeight="251673730" behindDoc="0" locked="0" layoutInCell="1" allowOverlap="1" wp14:anchorId="585AC617" wp14:editId="2D6E4D87">
                <wp:simplePos x="0" y="0"/>
                <wp:positionH relativeFrom="column">
                  <wp:posOffset>1357951</wp:posOffset>
                </wp:positionH>
                <wp:positionV relativeFrom="paragraph">
                  <wp:posOffset>90994</wp:posOffset>
                </wp:positionV>
                <wp:extent cx="2441433" cy="251061"/>
                <wp:effectExtent l="0" t="57150" r="16510" b="34925"/>
                <wp:wrapNone/>
                <wp:docPr id="1752923670" name="Straight Arrow Connector 28"/>
                <wp:cNvGraphicFramePr/>
                <a:graphic xmlns:a="http://schemas.openxmlformats.org/drawingml/2006/main">
                  <a:graphicData uri="http://schemas.microsoft.com/office/word/2010/wordprocessingShape">
                    <wps:wsp>
                      <wps:cNvCnPr/>
                      <wps:spPr>
                        <a:xfrm flipV="1">
                          <a:off x="0" y="0"/>
                          <a:ext cx="2441433" cy="25106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615951" id="Straight Arrow Connector 28" o:spid="_x0000_s1026" type="#_x0000_t32" style="position:absolute;margin-left:106.95pt;margin-top:7.15pt;width:192.25pt;height:19.75pt;flip:y;z-index:25167373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" strokecolor="#e97132 [3205]" strokeweight="1pt">
                <v:stroke endarrow="block" joinstyle="miter"/>
              </v:shape>
            </w:pict>
          </mc:Fallback>
        </mc:AlternateContent>
      </w:r>
      <w:r w:rsidRPr="0053182F">
        <w:rPr>
          <w:noProof/>
          <w14:ligatures w14:val="standardContextual"/>
        </w:rPr>
        <mc:AlternateContent>
          <mc:Choice Requires="wps">
            <w:drawing>
              <wp:anchor distT="0" distB="0" distL="114300" distR="114300" simplePos="0" relativeHeight="251676802" behindDoc="0" locked="0" layoutInCell="1" allowOverlap="1" wp14:anchorId="7BA10077" wp14:editId="6A9BDFEC">
                <wp:simplePos x="0" y="0"/>
                <wp:positionH relativeFrom="column">
                  <wp:posOffset>1357951</wp:posOffset>
                </wp:positionH>
                <wp:positionV relativeFrom="paragraph">
                  <wp:posOffset>92416</wp:posOffset>
                </wp:positionV>
                <wp:extent cx="2441433" cy="819709"/>
                <wp:effectExtent l="0" t="38100" r="54610" b="19050"/>
                <wp:wrapNone/>
                <wp:docPr id="1672537292" name="Straight Arrow Connector 31"/>
                <wp:cNvGraphicFramePr/>
                <a:graphic xmlns:a="http://schemas.openxmlformats.org/drawingml/2006/main">
                  <a:graphicData uri="http://schemas.microsoft.com/office/word/2010/wordprocessingShape">
                    <wps:wsp>
                      <wps:cNvCnPr/>
                      <wps:spPr>
                        <a:xfrm flipV="1">
                          <a:off x="0" y="0"/>
                          <a:ext cx="2441433" cy="819709"/>
                        </a:xfrm>
                        <a:prstGeom prst="straightConnector1">
                          <a:avLst/>
                        </a:prstGeom>
                        <a:ln>
                          <a:tailEnd type="triangle"/>
                        </a:ln>
                      </wps:spPr>
                      <wps:style>
                        <a:lnRef idx="1">
                          <a:schemeClr val="accent5"/>
                        </a:lnRef>
                        <a:fillRef idx="0">
                          <a:schemeClr val="accent5"/>
                        </a:fillRef>
                        <a:effectRef idx="0">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BDA685" id="Straight Arrow Connector 31" o:spid="_x0000_s1026" type="#_x0000_t32" style="position:absolute;margin-left:106.95pt;margin-top:7.3pt;width:192.25pt;height:64.55pt;flip:y;z-index:2516768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" strokecolor="#a02b93 [3208]" strokeweight="1pt">
                <v:stroke endarrow="block" joinstyle="miter"/>
              </v:shape>
            </w:pict>
          </mc:Fallback>
        </mc:AlternateContent>
      </w:r>
      <w:r w:rsidRPr="0053182F">
        <w:rPr>
          <w:noProof/>
          <w14:ligatures w14:val="standardContextual"/>
        </w:rPr>
        <mc:AlternateContent>
          <mc:Choice Requires="wps">
            <w:drawing>
              <wp:anchor distT="0" distB="0" distL="114300" distR="114300" simplePos="0" relativeHeight="251681922" behindDoc="0" locked="0" layoutInCell="1" allowOverlap="1" wp14:anchorId="78EA42F6" wp14:editId="4E17DC97">
                <wp:simplePos x="0" y="0"/>
                <wp:positionH relativeFrom="column">
                  <wp:posOffset>368231</wp:posOffset>
                </wp:positionH>
                <wp:positionV relativeFrom="paragraph">
                  <wp:posOffset>243052</wp:posOffset>
                </wp:positionV>
                <wp:extent cx="946041" cy="244131"/>
                <wp:effectExtent l="0" t="0" r="26035" b="22860"/>
                <wp:wrapNone/>
                <wp:docPr id="1026992613" name="TextBox 11">
                  <a:extLst xmlns:a="http://schemas.openxmlformats.org/drawingml/2006/main">
                    <a:ext uri="{FF2B5EF4-FFF2-40B4-BE49-F238E27FC236}">
                      <a16:creationId xmlns:a16="http://schemas.microsoft.com/office/drawing/2014/main" id="{7AAFC7EE-E58E-0146-0389-BF6CDAC7970C}"/>
                    </a:ext>
                  </a:extLst>
                </wp:docPr>
                <wp:cNvGraphicFramePr/>
                <a:graphic xmlns:a="http://schemas.openxmlformats.org/drawingml/2006/main">
                  <a:graphicData uri="http://schemas.microsoft.com/office/word/2010/wordprocessingShape">
                    <wps:wsp>
                      <wps:cNvSpPr txBox="1"/>
                      <wps:spPr>
                        <a:xfrm>
                          <a:off x="0" y="0"/>
                          <a:ext cx="946041" cy="244131"/>
                        </a:xfrm>
                        <a:prstGeom prst="rect">
                          <a:avLst/>
                        </a:prstGeom>
                        <a:noFill/>
                        <a:ln w="3175">
                          <a:solidFill>
                            <a:schemeClr val="tx1"/>
                          </a:solidFill>
                        </a:ln>
                      </wps:spPr>
                      <wps:txbx>
                        <w:txbxContent>
                          <w:p w14:paraId="6993E228" w14:textId="77777777" w:rsidR="004609BC" w:rsidRPr="00023A89" w:rsidRDefault="004609BC" w:rsidP="004609BC">
                            <w:pPr>
                              <w:jc w:val="center"/>
                              <w:rPr>
                                <w:rFonts w:asciiTheme="minorHAnsi" w:hAnsi="Aptos" w:cstheme="minorBidi"/>
                                <w:color w:val="000000" w:themeColor="text1"/>
                                <w:kern w:val="24"/>
                                <w:sz w:val="20"/>
                                <w:szCs w:val="20"/>
                              </w:rPr>
                            </w:pPr>
                            <w:r w:rsidRPr="00023A89">
                              <w:rPr>
                                <w:rFonts w:asciiTheme="minorHAnsi" w:hAnsi="Aptos" w:cstheme="minorBidi"/>
                                <w:color w:val="000000" w:themeColor="text1"/>
                                <w:kern w:val="24"/>
                                <w:sz w:val="20"/>
                                <w:szCs w:val="20"/>
                              </w:rPr>
                              <w:t>IHDI</w:t>
                            </w:r>
                          </w:p>
                        </w:txbxContent>
                      </wps:txbx>
                      <wps:bodyPr wrap="square" rtlCol="0">
                        <a:noAutofit/>
                      </wps:bodyPr>
                    </wps:wsp>
                  </a:graphicData>
                </a:graphic>
              </wp:anchor>
            </w:drawing>
          </mc:Choice>
          <mc:Fallback>
            <w:pict>
              <v:shape w14:anchorId="78EA42F6" id="_x0000_s1101" type="#_x0000_t202" style="position:absolute;margin-left:29pt;margin-top:19.15pt;width:74.5pt;height:19.2pt;z-index:2516819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" filled="f" strokecolor="black [3213]" strokeweight=".25pt">
                <v:textbox>
                  <w:txbxContent>
                    <w:p w14:paraId="6993E228" w14:textId="77777777" w:rsidR="004609BC" w:rsidRPr="00023A89" w:rsidRDefault="004609BC" w:rsidP="004609BC">
                      <w:pPr>
                        <w:jc w:val="center"/>
                        <w:rPr>
                          <w:rFonts w:asciiTheme="minorHAnsi" w:hAnsi="Aptos" w:cstheme="minorBidi"/>
                          <w:color w:val="000000" w:themeColor="text1"/>
                          <w:kern w:val="24"/>
                          <w:sz w:val="20"/>
                          <w:szCs w:val="20"/>
                        </w:rPr>
                      </w:pPr>
                      <w:r w:rsidRPr="00023A89">
                        <w:rPr>
                          <w:rFonts w:asciiTheme="minorHAnsi" w:hAnsi="Aptos" w:cstheme="minorBidi"/>
                          <w:color w:val="000000" w:themeColor="text1"/>
                          <w:kern w:val="24"/>
                          <w:sz w:val="20"/>
                          <w:szCs w:val="20"/>
                        </w:rPr>
                        <w:t>IHDI</w:t>
                      </w:r>
                    </w:p>
                  </w:txbxContent>
                </v:textbox>
              </v:shape>
            </w:pict>
          </mc:Fallback>
        </mc:AlternateContent>
      </w:r>
      <w:r w:rsidRPr="0053182F">
        <w:rPr>
          <w:noProof/>
          <w14:ligatures w14:val="standardContextual"/>
        </w:rPr>
        <mc:AlternateContent>
          <mc:Choice Requires="wps">
            <w:drawing>
              <wp:anchor distT="0" distB="0" distL="114300" distR="114300" simplePos="0" relativeHeight="251675778" behindDoc="0" locked="0" layoutInCell="1" allowOverlap="1" wp14:anchorId="04766533" wp14:editId="4D150EEC">
                <wp:simplePos x="0" y="0"/>
                <wp:positionH relativeFrom="column">
                  <wp:posOffset>1311909</wp:posOffset>
                </wp:positionH>
                <wp:positionV relativeFrom="paragraph">
                  <wp:posOffset>345745</wp:posOffset>
                </wp:positionV>
                <wp:extent cx="2499309" cy="451891"/>
                <wp:effectExtent l="0" t="0" r="73025" b="81915"/>
                <wp:wrapNone/>
                <wp:docPr id="868223014" name="Straight Arrow Connector 30"/>
                <wp:cNvGraphicFramePr/>
                <a:graphic xmlns:a="http://schemas.openxmlformats.org/drawingml/2006/main">
                  <a:graphicData uri="http://schemas.microsoft.com/office/word/2010/wordprocessingShape">
                    <wps:wsp>
                      <wps:cNvCnPr/>
                      <wps:spPr>
                        <a:xfrm>
                          <a:off x="0" y="0"/>
                          <a:ext cx="2499309" cy="45189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FDDA5E6" id="Straight Arrow Connector 30" o:spid="_x0000_s1026" type="#_x0000_t32" style="position:absolute;margin-left:103.3pt;margin-top:27.2pt;width:196.8pt;height:35.6pt;z-index:25167577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" strokecolor="#e97132 [3205]" strokeweight="1pt">
                <v:stroke endarrow="block" joinstyle="miter"/>
              </v:shape>
            </w:pict>
          </mc:Fallback>
        </mc:AlternateContent>
      </w:r>
      <w:r w:rsidRPr="0053182F">
        <w:rPr>
          <w:noProof/>
          <w14:ligatures w14:val="standardContextual"/>
        </w:rPr>
        <mc:AlternateContent>
          <mc:Choice Requires="wps">
            <w:drawing>
              <wp:anchor distT="0" distB="0" distL="114300" distR="114300" simplePos="0" relativeHeight="251674754" behindDoc="0" locked="0" layoutInCell="1" allowOverlap="1" wp14:anchorId="3BEA52D2" wp14:editId="27780906">
                <wp:simplePos x="0" y="0"/>
                <wp:positionH relativeFrom="column">
                  <wp:posOffset>1311909</wp:posOffset>
                </wp:positionH>
                <wp:positionV relativeFrom="paragraph">
                  <wp:posOffset>343433</wp:posOffset>
                </wp:positionV>
                <wp:extent cx="2499309" cy="0"/>
                <wp:effectExtent l="0" t="76200" r="15875" b="95250"/>
                <wp:wrapNone/>
                <wp:docPr id="1998203312" name="Straight Arrow Connector 29"/>
                <wp:cNvGraphicFramePr/>
                <a:graphic xmlns:a="http://schemas.openxmlformats.org/drawingml/2006/main">
                  <a:graphicData uri="http://schemas.microsoft.com/office/word/2010/wordprocessingShape">
                    <wps:wsp>
                      <wps:cNvCnPr/>
                      <wps:spPr>
                        <a:xfrm>
                          <a:off x="0" y="0"/>
                          <a:ext cx="2499309" cy="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0D24831" id="Straight Arrow Connector 29" o:spid="_x0000_s1026" type="#_x0000_t32" style="position:absolute;margin-left:103.3pt;margin-top:27.05pt;width:196.8pt;height:0;z-index:25167475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" strokecolor="#e97132 [3205]" strokeweight="1pt">
                <v:stroke endarrow="block" joinstyle="miter"/>
              </v:shape>
            </w:pict>
          </mc:Fallback>
        </mc:AlternateContent>
      </w:r>
    </w:p>
    <w:p w14:paraId="71FE85D4" w14:textId="77777777" w:rsidR="004609BC" w:rsidRPr="0053182F" w:rsidRDefault="004609BC" w:rsidP="004609BC">
      <w:pPr>
        <w:pStyle w:val="NormalWeb"/>
        <w:spacing w:before="0" w:beforeAutospacing="0" w:after="0" w:afterAutospacing="0" w:line="480" w:lineRule="auto"/>
      </w:pPr>
      <w:r w:rsidRPr="0053182F">
        <w:rPr>
          <w:noProof/>
          <w14:ligatures w14:val="standardContextual"/>
        </w:rPr>
        <mc:AlternateContent>
          <mc:Choice Requires="wps">
            <w:drawing>
              <wp:anchor distT="0" distB="0" distL="114300" distR="114300" simplePos="0" relativeHeight="251677826" behindDoc="0" locked="0" layoutInCell="1" allowOverlap="1" wp14:anchorId="42FEF0A3" wp14:editId="496285AA">
                <wp:simplePos x="0" y="0"/>
                <wp:positionH relativeFrom="column">
                  <wp:posOffset>1314450</wp:posOffset>
                </wp:positionH>
                <wp:positionV relativeFrom="paragraph">
                  <wp:posOffset>6985</wp:posOffset>
                </wp:positionV>
                <wp:extent cx="2494483" cy="577393"/>
                <wp:effectExtent l="0" t="57150" r="1270" b="32385"/>
                <wp:wrapNone/>
                <wp:docPr id="1894278989" name="Straight Arrow Connector 32"/>
                <wp:cNvGraphicFramePr/>
                <a:graphic xmlns:a="http://schemas.openxmlformats.org/drawingml/2006/main">
                  <a:graphicData uri="http://schemas.microsoft.com/office/word/2010/wordprocessingShape">
                    <wps:wsp>
                      <wps:cNvCnPr/>
                      <wps:spPr>
                        <a:xfrm flipV="1">
                          <a:off x="0" y="0"/>
                          <a:ext cx="2494483" cy="577393"/>
                        </a:xfrm>
                        <a:prstGeom prst="straightConnector1">
                          <a:avLst/>
                        </a:prstGeom>
                        <a:ln>
                          <a:tailEnd type="triangle"/>
                        </a:ln>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shape w14:anchorId="7FC3D877" id="Straight Arrow Connector 32" o:spid="_x0000_s1026" type="#_x0000_t32" style="position:absolute;margin-left:103.5pt;margin-top:.55pt;width:196.4pt;height:45.45pt;flip:y;z-index:25167782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" strokecolor="#a02b93 [3208]" strokeweight="1pt">
                <v:stroke endarrow="block" joinstyle="miter"/>
              </v:shape>
            </w:pict>
          </mc:Fallback>
        </mc:AlternateContent>
      </w:r>
      <w:r w:rsidRPr="0053182F">
        <w:rPr>
          <w:noProof/>
        </w:rPr>
        <mc:AlternateContent>
          <mc:Choice Requires="wps">
            <w:drawing>
              <wp:anchor distT="0" distB="0" distL="114300" distR="114300" simplePos="0" relativeHeight="251667586" behindDoc="0" locked="0" layoutInCell="1" allowOverlap="1" wp14:anchorId="63AEAC8A" wp14:editId="3F1E058C">
                <wp:simplePos x="0" y="0"/>
                <wp:positionH relativeFrom="column">
                  <wp:posOffset>3807993</wp:posOffset>
                </wp:positionH>
                <wp:positionV relativeFrom="paragraph">
                  <wp:posOffset>315087</wp:posOffset>
                </wp:positionV>
                <wp:extent cx="1076960" cy="252730"/>
                <wp:effectExtent l="0" t="0" r="27940" b="13970"/>
                <wp:wrapNone/>
                <wp:docPr id="1824929515" name="TextBox 16"/>
                <wp:cNvGraphicFramePr/>
                <a:graphic xmlns:a="http://schemas.openxmlformats.org/drawingml/2006/main">
                  <a:graphicData uri="http://schemas.microsoft.com/office/word/2010/wordprocessingShape">
                    <wps:wsp>
                      <wps:cNvSpPr txBox="1"/>
                      <wps:spPr>
                        <a:xfrm>
                          <a:off x="0" y="0"/>
                          <a:ext cx="1076960" cy="252730"/>
                        </a:xfrm>
                        <a:prstGeom prst="rect">
                          <a:avLst/>
                        </a:prstGeom>
                        <a:noFill/>
                        <a:ln w="3175">
                          <a:solidFill>
                            <a:schemeClr val="accent1"/>
                          </a:solidFill>
                        </a:ln>
                      </wps:spPr>
                      <wps:txbx>
                        <w:txbxContent>
                          <w:p w14:paraId="6F75671C" w14:textId="77777777" w:rsidR="004609BC" w:rsidRPr="0066503B" w:rsidRDefault="004609BC" w:rsidP="004609BC">
                            <w:pPr>
                              <w:jc w:val="center"/>
                              <w:rPr>
                                <w:color w:val="000000" w:themeColor="text1"/>
                                <w:kern w:val="24"/>
                                <w:sz w:val="20"/>
                                <w:szCs w:val="20"/>
                              </w:rPr>
                            </w:pPr>
                            <w:r w:rsidRPr="0066503B">
                              <w:rPr>
                                <w:color w:val="000000" w:themeColor="text1"/>
                                <w:kern w:val="24"/>
                                <w:sz w:val="20"/>
                                <w:szCs w:val="20"/>
                              </w:rPr>
                              <w:t>MSRM</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3AEAC8A" id="TextBox 16" o:spid="_x0000_s1102" type="#_x0000_t202" style="position:absolute;margin-left:299.85pt;margin-top:24.8pt;width:84.8pt;height:19.9pt;z-index:25166758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" filled="f" strokecolor="#156082 [3204]" strokeweight=".25pt">
                <v:textbox>
                  <w:txbxContent>
                    <w:p w14:paraId="6F75671C" w14:textId="77777777" w:rsidR="004609BC" w:rsidRPr="0066503B" w:rsidRDefault="004609BC" w:rsidP="004609BC">
                      <w:pPr>
                        <w:jc w:val="center"/>
                        <w:rPr>
                          <w:color w:val="000000" w:themeColor="text1"/>
                          <w:kern w:val="24"/>
                          <w:sz w:val="20"/>
                          <w:szCs w:val="20"/>
                        </w:rPr>
                      </w:pPr>
                      <w:r w:rsidRPr="0066503B">
                        <w:rPr>
                          <w:color w:val="000000" w:themeColor="text1"/>
                          <w:kern w:val="24"/>
                          <w:sz w:val="20"/>
                          <w:szCs w:val="20"/>
                        </w:rPr>
                        <w:t>MSRM</w:t>
                      </w:r>
                    </w:p>
                  </w:txbxContent>
                </v:textbox>
              </v:shape>
            </w:pict>
          </mc:Fallback>
        </mc:AlternateContent>
      </w:r>
    </w:p>
    <w:p w14:paraId="4C611060" w14:textId="77777777" w:rsidR="004609BC" w:rsidRPr="0053182F" w:rsidRDefault="004609BC" w:rsidP="004609BC">
      <w:pPr>
        <w:pStyle w:val="NormalWeb"/>
        <w:spacing w:before="0" w:beforeAutospacing="0" w:after="0" w:afterAutospacing="0" w:line="480" w:lineRule="auto"/>
      </w:pPr>
      <w:r w:rsidRPr="0053182F">
        <w:rPr>
          <w:noProof/>
          <w14:ligatures w14:val="standardContextual"/>
        </w:rPr>
        <mc:AlternateContent>
          <mc:Choice Requires="wps">
            <w:drawing>
              <wp:anchor distT="0" distB="0" distL="114300" distR="114300" simplePos="0" relativeHeight="251680898" behindDoc="0" locked="0" layoutInCell="1" allowOverlap="1" wp14:anchorId="7DC79669" wp14:editId="6CE23014">
                <wp:simplePos x="0" y="0"/>
                <wp:positionH relativeFrom="column">
                  <wp:posOffset>368231</wp:posOffset>
                </wp:positionH>
                <wp:positionV relativeFrom="paragraph">
                  <wp:posOffset>87508</wp:posOffset>
                </wp:positionV>
                <wp:extent cx="946041" cy="244131"/>
                <wp:effectExtent l="0" t="0" r="26035" b="22860"/>
                <wp:wrapNone/>
                <wp:docPr id="1376898617" name="TextBox 10">
                  <a:extLst xmlns:a="http://schemas.openxmlformats.org/drawingml/2006/main">
                    <a:ext uri="{FF2B5EF4-FFF2-40B4-BE49-F238E27FC236}">
                      <a16:creationId xmlns:a16="http://schemas.microsoft.com/office/drawing/2014/main" id="{1D9AA572-C27E-81D2-33AD-2761CCB30B7F}"/>
                    </a:ext>
                  </a:extLst>
                </wp:docPr>
                <wp:cNvGraphicFramePr/>
                <a:graphic xmlns:a="http://schemas.openxmlformats.org/drawingml/2006/main">
                  <a:graphicData uri="http://schemas.microsoft.com/office/word/2010/wordprocessingShape">
                    <wps:wsp>
                      <wps:cNvSpPr txBox="1"/>
                      <wps:spPr>
                        <a:xfrm>
                          <a:off x="0" y="0"/>
                          <a:ext cx="946041" cy="244131"/>
                        </a:xfrm>
                        <a:prstGeom prst="rect">
                          <a:avLst/>
                        </a:prstGeom>
                        <a:noFill/>
                        <a:ln w="3175">
                          <a:solidFill>
                            <a:schemeClr val="tx1"/>
                          </a:solidFill>
                        </a:ln>
                      </wps:spPr>
                      <wps:txbx>
                        <w:txbxContent>
                          <w:p w14:paraId="05E58A4D" w14:textId="77777777" w:rsidR="004609BC" w:rsidRPr="00023A89" w:rsidRDefault="004609BC" w:rsidP="004609BC">
                            <w:pPr>
                              <w:jc w:val="center"/>
                              <w:rPr>
                                <w:rFonts w:asciiTheme="minorHAnsi" w:hAnsi="Aptos" w:cstheme="minorBidi"/>
                                <w:color w:val="000000" w:themeColor="text1"/>
                                <w:kern w:val="24"/>
                                <w:sz w:val="20"/>
                                <w:szCs w:val="20"/>
                              </w:rPr>
                            </w:pPr>
                            <w:r w:rsidRPr="00023A89">
                              <w:rPr>
                                <w:rFonts w:asciiTheme="minorHAnsi" w:hAnsi="Aptos" w:cstheme="minorBidi"/>
                                <w:color w:val="000000" w:themeColor="text1"/>
                                <w:kern w:val="24"/>
                                <w:sz w:val="20"/>
                                <w:szCs w:val="20"/>
                              </w:rPr>
                              <w:t>SDGI</w:t>
                            </w:r>
                          </w:p>
                        </w:txbxContent>
                      </wps:txbx>
                      <wps:bodyPr wrap="square" rtlCol="0">
                        <a:noAutofit/>
                      </wps:bodyPr>
                    </wps:wsp>
                  </a:graphicData>
                </a:graphic>
              </wp:anchor>
            </w:drawing>
          </mc:Choice>
          <mc:Fallback>
            <w:pict>
              <v:shape w14:anchorId="7DC79669" id="TextBox 10" o:spid="_x0000_s1103" type="#_x0000_t202" style="position:absolute;margin-left:29pt;margin-top:6.9pt;width:74.5pt;height:19.2pt;z-index:25168089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" filled="f" strokecolor="black [3213]" strokeweight=".25pt">
                <v:textbox>
                  <w:txbxContent>
                    <w:p w14:paraId="05E58A4D" w14:textId="77777777" w:rsidR="004609BC" w:rsidRPr="00023A89" w:rsidRDefault="004609BC" w:rsidP="004609BC">
                      <w:pPr>
                        <w:jc w:val="center"/>
                        <w:rPr>
                          <w:rFonts w:asciiTheme="minorHAnsi" w:hAnsi="Aptos" w:cstheme="minorBidi"/>
                          <w:color w:val="000000" w:themeColor="text1"/>
                          <w:kern w:val="24"/>
                          <w:sz w:val="20"/>
                          <w:szCs w:val="20"/>
                        </w:rPr>
                      </w:pPr>
                      <w:r w:rsidRPr="00023A89">
                        <w:rPr>
                          <w:rFonts w:asciiTheme="minorHAnsi" w:hAnsi="Aptos" w:cstheme="minorBidi"/>
                          <w:color w:val="000000" w:themeColor="text1"/>
                          <w:kern w:val="24"/>
                          <w:sz w:val="20"/>
                          <w:szCs w:val="20"/>
                        </w:rPr>
                        <w:t>SDGI</w:t>
                      </w:r>
                    </w:p>
                  </w:txbxContent>
                </v:textbox>
              </v:shape>
            </w:pict>
          </mc:Fallback>
        </mc:AlternateContent>
      </w:r>
      <w:r w:rsidRPr="0053182F">
        <w:rPr>
          <w:noProof/>
          <w14:ligatures w14:val="standardContextual"/>
        </w:rPr>
        <mc:AlternateContent>
          <mc:Choice Requires="wps">
            <w:drawing>
              <wp:anchor distT="0" distB="0" distL="114300" distR="114300" simplePos="0" relativeHeight="251678850" behindDoc="0" locked="0" layoutInCell="1" allowOverlap="1" wp14:anchorId="3C5B6BDF" wp14:editId="1A46268D">
                <wp:simplePos x="0" y="0"/>
                <wp:positionH relativeFrom="column">
                  <wp:posOffset>1311909</wp:posOffset>
                </wp:positionH>
                <wp:positionV relativeFrom="paragraph">
                  <wp:posOffset>88062</wp:posOffset>
                </wp:positionV>
                <wp:extent cx="2499309" cy="125552"/>
                <wp:effectExtent l="0" t="57150" r="15875" b="27305"/>
                <wp:wrapNone/>
                <wp:docPr id="500911305" name="Straight Arrow Connector 33"/>
                <wp:cNvGraphicFramePr/>
                <a:graphic xmlns:a="http://schemas.openxmlformats.org/drawingml/2006/main">
                  <a:graphicData uri="http://schemas.microsoft.com/office/word/2010/wordprocessingShape">
                    <wps:wsp>
                      <wps:cNvCnPr/>
                      <wps:spPr>
                        <a:xfrm flipV="1">
                          <a:off x="0" y="0"/>
                          <a:ext cx="2499309" cy="125552"/>
                        </a:xfrm>
                        <a:prstGeom prst="straightConnector1">
                          <a:avLst/>
                        </a:prstGeom>
                        <a:ln>
                          <a:tailEnd type="triangle"/>
                        </a:ln>
                      </wps:spPr>
                      <wps:style>
                        <a:lnRef idx="1">
                          <a:schemeClr val="accent5"/>
                        </a:lnRef>
                        <a:fillRef idx="0">
                          <a:schemeClr val="accent5"/>
                        </a:fillRef>
                        <a:effectRef idx="0">
                          <a:schemeClr val="accent5"/>
                        </a:effectRef>
                        <a:fontRef idx="minor">
                          <a:schemeClr val="tx1"/>
                        </a:fontRef>
                      </wps:style>
                      <wps:bodyPr/>
                    </wps:wsp>
                  </a:graphicData>
                </a:graphic>
              </wp:anchor>
            </w:drawing>
          </mc:Choice>
          <mc:Fallback>
            <w:pict>
              <v:shape w14:anchorId="59ED4312" id="Straight Arrow Connector 33" o:spid="_x0000_s1026" type="#_x0000_t32" style="position:absolute;margin-left:103.3pt;margin-top:6.95pt;width:196.8pt;height:9.9pt;flip:y;z-index:25167885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" strokecolor="#a02b93 [3208]" strokeweight="1pt">
                <v:stroke endarrow="block" joinstyle="miter"/>
              </v:shape>
            </w:pict>
          </mc:Fallback>
        </mc:AlternateContent>
      </w:r>
    </w:p>
    <w:p w14:paraId="42BDFE2E" w14:textId="77777777" w:rsidR="004609BC" w:rsidRPr="0053182F" w:rsidRDefault="004609BC" w:rsidP="004609BC">
      <w:pPr>
        <w:pStyle w:val="NormalWeb"/>
        <w:spacing w:before="0" w:beforeAutospacing="0" w:after="0" w:afterAutospacing="0" w:line="480" w:lineRule="auto"/>
      </w:pPr>
    </w:p>
    <w:p w14:paraId="0DCCF33F" w14:textId="77777777" w:rsidR="004609BC" w:rsidRPr="0053182F" w:rsidRDefault="004609BC" w:rsidP="004609BC">
      <w:pPr>
        <w:spacing w:after="0" w:line="240" w:lineRule="auto"/>
        <w:jc w:val="center"/>
      </w:pPr>
      <w:r w:rsidRPr="0053182F">
        <w:rPr>
          <w:b/>
          <w:bCs/>
        </w:rPr>
        <w:t xml:space="preserve">Figure 5.2 </w:t>
      </w:r>
      <w:r w:rsidRPr="0053182F">
        <w:t>Research Schema</w:t>
      </w:r>
    </w:p>
    <w:p w14:paraId="0A9C64C6" w14:textId="77777777" w:rsidR="004609BC" w:rsidRPr="0053182F" w:rsidRDefault="004609BC" w:rsidP="004609BC">
      <w:pPr>
        <w:spacing w:after="0" w:line="240" w:lineRule="auto"/>
        <w:jc w:val="center"/>
        <w:rPr>
          <w:b/>
          <w:bCs/>
        </w:rPr>
      </w:pPr>
      <w:r w:rsidRPr="0053182F">
        <w:rPr>
          <w:b/>
          <w:bCs/>
        </w:rPr>
        <w:t xml:space="preserve">Source: </w:t>
      </w:r>
      <w:r w:rsidRPr="0053182F">
        <w:t>Author’s own work</w:t>
      </w:r>
    </w:p>
    <w:p w14:paraId="2CD2ABD7" w14:textId="77777777" w:rsidR="004609BC" w:rsidRPr="0053182F" w:rsidRDefault="004609BC" w:rsidP="004609BC">
      <w:pPr>
        <w:pStyle w:val="paragraph"/>
        <w:spacing w:before="0" w:beforeAutospacing="0" w:after="0" w:afterAutospacing="0" w:line="480" w:lineRule="auto"/>
        <w:ind w:firstLine="720"/>
        <w:jc w:val="both"/>
        <w:textAlignment w:val="baseline"/>
        <w:rPr>
          <w:rStyle w:val="normaltextrun"/>
          <w:rFonts w:eastAsiaTheme="majorEastAsia"/>
        </w:rPr>
      </w:pPr>
    </w:p>
    <w:p w14:paraId="2904454C" w14:textId="77777777" w:rsidR="00DB2005" w:rsidRPr="0053182F" w:rsidRDefault="00DB2005" w:rsidP="00DB2005">
      <w:pPr>
        <w:pStyle w:val="Heading1"/>
        <w:spacing w:line="480" w:lineRule="auto"/>
        <w:rPr>
          <w:rFonts w:cs="Times New Roman"/>
        </w:rPr>
      </w:pPr>
      <w:bookmarkStart w:id="212" w:name="_Toc215651840"/>
      <w:bookmarkStart w:id="213" w:name="_Toc216557241"/>
      <w:bookmarkStart w:id="214" w:name="_Toc218357133"/>
      <w:r w:rsidRPr="0053182F">
        <w:rPr>
          <w:rFonts w:cs="Times New Roman"/>
        </w:rPr>
        <w:t>Hypothesis development: Part II -Meso-Level</w:t>
      </w:r>
      <w:bookmarkEnd w:id="212"/>
      <w:bookmarkEnd w:id="213"/>
      <w:bookmarkEnd w:id="214"/>
    </w:p>
    <w:p w14:paraId="23E34B27"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The persistence of CMS in global supply chains represents one of the most pressing ethical challenges in contemporary corporate governance. CMS practices encompass a wide range of exploitative labour conditions, including forced labour, debt bondage, child labour, and human trafficking. These practices undermine fundamental human rights and corporate ethics and directly threaten the achievement of the UN-SDGs, particularly Goals 8 (Decent Work and Economic Growth) and 12 (Responsible Consumption and Production) </w:t>
      </w:r>
      <w:sdt>
        <w:sdtPr>
          <w:rPr>
            <w:rFonts w:eastAsia="Times New Roman"/>
            <w:kern w:val="0"/>
            <w:lang w:eastAsia="en-GB"/>
            <w14:ligatures w14:val="none"/>
          </w:rPr>
          <w:tag w:val="MENDELEY_CITATION_v3_eyJjaXRhdGlvbklEIjoiTUVOREVMRVlfQ0lUQVRJT05fY2U0MWRhNTctZTg2Ni00Yjk4LTk5OGYtYjUxODY2ODhkZGU2IiwicHJvcGVydGllcyI6eyJub3RlSW5kZXgiOjB9LCJpc0VkaXRlZCI6ZmFsc2UsIm1hbnVhbE92ZXJyaWRlIjp7ImlzTWFudWFsbHlPdmVycmlkZGVuIjpmYWxzZSwiY2l0ZXByb2NUZXh0IjoiKENyYW5lIDxpPmV0IGFsLjwvaT4sIDIwMTk7IE1vdXNzYSA8aT5ldCBhbC48L2k+LCAyMDIyOyBTaGVwaGVyZCA8aT5ldCBhbC48L2k+LCAyMDIy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761225303"/>
          <w:placeholder>
            <w:docPart w:val="B43058B2B68A4A9FAE8750CC019AF18D"/>
          </w:placeholder>
        </w:sdtPr>
        <w:sdtContent>
          <w:r w:rsidRPr="0053182F">
            <w:rPr>
              <w:rFonts w:eastAsia="Times New Roman"/>
            </w:rPr>
            <w:t xml:space="preserve">(Crane </w:t>
          </w:r>
          <w:r w:rsidRPr="0053182F">
            <w:rPr>
              <w:rFonts w:eastAsia="Times New Roman"/>
              <w:i/>
              <w:iCs/>
            </w:rPr>
            <w:t>et al.</w:t>
          </w:r>
          <w:r w:rsidRPr="0053182F">
            <w:rPr>
              <w:rFonts w:eastAsia="Times New Roman"/>
            </w:rPr>
            <w:t xml:space="preserve">, 2019; Moussa </w:t>
          </w:r>
          <w:r w:rsidRPr="0053182F">
            <w:rPr>
              <w:rFonts w:eastAsia="Times New Roman"/>
              <w:i/>
              <w:iCs/>
            </w:rPr>
            <w:t>et al.</w:t>
          </w:r>
          <w:r w:rsidRPr="0053182F">
            <w:rPr>
              <w:rFonts w:eastAsia="Times New Roman"/>
            </w:rPr>
            <w:t xml:space="preserve">, 2022; Shepherd </w:t>
          </w:r>
          <w:r w:rsidRPr="0053182F">
            <w:rPr>
              <w:rFonts w:eastAsia="Times New Roman"/>
              <w:i/>
              <w:iCs/>
            </w:rPr>
            <w:t>et al.</w:t>
          </w:r>
          <w:r w:rsidRPr="0053182F">
            <w:rPr>
              <w:rFonts w:eastAsia="Times New Roman"/>
            </w:rPr>
            <w:t>, 2022)</w:t>
          </w:r>
        </w:sdtContent>
      </w:sdt>
      <w:r w:rsidRPr="0053182F">
        <w:rPr>
          <w:rFonts w:eastAsia="Times New Roman"/>
          <w:color w:val="auto"/>
          <w:kern w:val="0"/>
          <w:lang w:eastAsia="en-GB"/>
          <w14:ligatures w14:val="none"/>
        </w:rPr>
        <w:t>.</w:t>
      </w:r>
    </w:p>
    <w:p w14:paraId="61C6E923" w14:textId="77777777" w:rsidR="00DB2005" w:rsidRPr="0053182F" w:rsidRDefault="00DB2005" w:rsidP="00DB2005">
      <w:pPr>
        <w:spacing w:after="0"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Despite increasing regulatory interventions—such as the UK MSA (2015) and the EU’s </w:t>
      </w:r>
      <w:r w:rsidRPr="0053182F">
        <w:rPr>
          <w:rStyle w:val="Strong"/>
          <w:rFonts w:eastAsiaTheme="majorEastAsia"/>
          <w:b w:val="0"/>
          <w:bCs w:val="0"/>
          <w:color w:val="auto"/>
        </w:rPr>
        <w:t xml:space="preserve">CSDDD </w:t>
      </w:r>
      <w:r w:rsidRPr="0053182F">
        <w:rPr>
          <w:rFonts w:eastAsia="Times New Roman"/>
          <w:color w:val="auto"/>
          <w:kern w:val="0"/>
          <w:lang w:eastAsia="en-GB"/>
          <w14:ligatures w14:val="none"/>
        </w:rPr>
        <w:t xml:space="preserve">(2024)—enforcement remains uneven, and firms’ compliance is frequently symbolic rather than substantive </w:t>
      </w:r>
      <w:sdt>
        <w:sdtPr>
          <w:rPr>
            <w:rFonts w:eastAsia="Times New Roman"/>
            <w:kern w:val="0"/>
            <w:lang w:eastAsia="en-GB"/>
            <w14:ligatures w14:val="none"/>
          </w:rPr>
          <w:tag w:val="MENDELEY_CITATION_v3_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1dfQ=="/>
          <w:id w:val="-924563139"/>
          <w:placeholder>
            <w:docPart w:val="B43058B2B68A4A9FAE8750CC019AF18D"/>
          </w:placeholder>
        </w:sdtPr>
        <w:sdtContent>
          <w:r w:rsidRPr="0053182F">
            <w:rPr>
              <w:rFonts w:eastAsia="Times New Roman"/>
            </w:rPr>
            <w:t>(HR Government, 2015; KPMG, 2023; Makower, 2023; Vidal et al., 2023)</w:t>
          </w:r>
        </w:sdtContent>
      </w:sdt>
      <w:r w:rsidRPr="0053182F">
        <w:rPr>
          <w:rFonts w:eastAsia="Times New Roman"/>
          <w:color w:val="auto"/>
          <w:kern w:val="0"/>
          <w:lang w:eastAsia="en-GB"/>
          <w14:ligatures w14:val="none"/>
        </w:rPr>
        <w:t>. In this context, SGIs have emerged as an essential institutional mechanism through which firms demonstrate their alignment with ethical and regulatory expectations. However, the actual effectiveness of SGIs in eradicating CMS practices remains underexplored and contested.</w:t>
      </w:r>
    </w:p>
    <w:p w14:paraId="26EAD8FB" w14:textId="77777777" w:rsidR="00DB2005" w:rsidRPr="0053182F" w:rsidRDefault="00DB2005" w:rsidP="00DB2005">
      <w:pPr>
        <w:spacing w:after="0"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NIT provides a valuable lens for examining how firms adopt SGIs in response to institutional pressures rather than purely intrinsic ethical motives </w:t>
      </w:r>
      <w:sdt>
        <w:sdtPr>
          <w:rPr>
            <w:rFonts w:eastAsia="Times New Roman"/>
            <w:kern w:val="0"/>
            <w:lang w:eastAsia="en-GB"/>
            <w14:ligatures w14:val="none"/>
          </w:rPr>
          <w:tag w:val="MENDELEY_CITATION_v3_eyJjaXRhdGlvbklEIjoiTUVOREVMRVlfQ0lUQVRJT05fMTU3MGU3MGEtY2JkMC00MGNmLWEzM2UtY2IyMGIyNGRhNGE0IiwicHJvcGVydGllcyI6eyJub3RlSW5kZXgiOjB9LCJpc0VkaXRlZCI6ZmFsc2UsIm1hbnVhbE92ZXJyaWRlIjp7ImlzTWFudWFsbHlPdmVycmlkZGVuIjpmYWxzZSwiY2l0ZXByb2NUZXh0IjoiKERpTWFnZ2lvIGFuZCBQb3dlbGwsIDE5ODM7IE50aW0gYW5kIFNvb2Jhcm95ZW4sIDIwMTM7IFZpZGFsIDxpPmV0IGFsLjwvaT4sIDIwMj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
          <w:id w:val="1188021225"/>
          <w:placeholder>
            <w:docPart w:val="B43058B2B68A4A9FAE8750CC019AF18D"/>
          </w:placeholder>
        </w:sdtPr>
        <w:sdtContent>
          <w:r w:rsidRPr="0053182F">
            <w:rPr>
              <w:rFonts w:eastAsia="Times New Roman"/>
            </w:rPr>
            <w:t xml:space="preserve">(DiMaggio and Powell, 1983; Ntim and Soobaroyen, 2013; Vidal </w:t>
          </w:r>
          <w:r w:rsidRPr="0053182F">
            <w:rPr>
              <w:rFonts w:eastAsia="Times New Roman"/>
              <w:i/>
              <w:iCs/>
            </w:rPr>
            <w:t>et al.</w:t>
          </w:r>
          <w:r w:rsidRPr="0053182F">
            <w:rPr>
              <w:rFonts w:eastAsia="Times New Roman"/>
            </w:rPr>
            <w:t>, 2023)</w:t>
          </w:r>
        </w:sdtContent>
      </w:sdt>
      <w:r w:rsidRPr="0053182F">
        <w:rPr>
          <w:rFonts w:eastAsia="Times New Roman"/>
          <w:color w:val="auto"/>
          <w:kern w:val="0"/>
          <w:lang w:eastAsia="en-GB"/>
          <w14:ligatures w14:val="none"/>
        </w:rPr>
        <w:t xml:space="preserve">. NIT delineates three types of institutional pressures that shape corporate behaviour: coercive (e.g., legal mandates), normative (e.g., professional and stakeholder expectations), and mimetic (e.g., imitation of peer organisations). These pressures collectively influence firms to institutionalise socially responsible practices, including anti-CMS policies, in order to preserve legitimacy, manage reputational risk, and secure continued access to markets and resources </w:t>
      </w:r>
      <w:sdt>
        <w:sdtPr>
          <w:rPr>
            <w:rFonts w:eastAsia="Times New Roman"/>
            <w:kern w:val="0"/>
            <w:lang w:eastAsia="en-GB"/>
            <w14:ligatures w14:val="none"/>
          </w:rPr>
          <w:tag w:val="MENDELEY_CITATION_v3_eyJjaXRhdGlvbklEIjoiTUVOREVMRVlfQ0lUQVRJT05fMTBiMGIwYmUtMGU5Ni00NmNjLWI4YWYtYTllNTIxZGM1Nzlh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
          <w:id w:val="1989278865"/>
          <w:placeholder>
            <w:docPart w:val="B43058B2B68A4A9FAE8750CC019AF18D"/>
          </w:placeholder>
        </w:sdtPr>
        <w:sdtContent>
          <w:r w:rsidRPr="0053182F">
            <w:rPr>
              <w:rFonts w:eastAsia="Times New Roman"/>
              <w:kern w:val="0"/>
              <w:lang w:eastAsia="en-GB"/>
              <w14:ligatures w14:val="none"/>
            </w:rPr>
            <w:t>(Meyer and Rowan, 1977)</w:t>
          </w:r>
        </w:sdtContent>
      </w:sdt>
      <w:r w:rsidRPr="0053182F">
        <w:rPr>
          <w:rFonts w:eastAsia="Times New Roman"/>
          <w:color w:val="auto"/>
          <w:kern w:val="0"/>
          <w:lang w:eastAsia="en-GB"/>
          <w14:ligatures w14:val="none"/>
        </w:rPr>
        <w:t>.</w:t>
      </w:r>
    </w:p>
    <w:p w14:paraId="1A92D2ED"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Coercive pressures stem from regulatory requirements such as the MSA and CSR reporting obligations, compelling firms to formalise compliance frameworks. Normative pressures arise from industry standards and stakeholder expectations, which encourage firms to adopt internal governance mechanisms, such as board diversity, CSR committees, and strategic CSR integration. Mimetic pressures influence firms to imitate industry leaders who have gained legitimacy through high ESG ratings or CSR awards </w:t>
      </w:r>
      <w:sdt>
        <w:sdtPr>
          <w:rPr>
            <w:rFonts w:eastAsia="Times New Roman"/>
            <w:kern w:val="0"/>
            <w:lang w:eastAsia="en-GB"/>
            <w14:ligatures w14:val="none"/>
          </w:rPr>
          <w:tag w:val="MENDELEY_CITATION_v3_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XX0="/>
          <w:id w:val="-255675365"/>
          <w:placeholder>
            <w:docPart w:val="EC53491F88C141C186512B1833472EE1"/>
          </w:placeholder>
        </w:sdtPr>
        <w:sdtContent>
          <w:r w:rsidRPr="0053182F">
            <w:rPr>
              <w:rFonts w:eastAsia="Times New Roman"/>
            </w:rPr>
            <w:t xml:space="preserve">(Flynn and Walker, 2021b; Moussa </w:t>
          </w:r>
          <w:r w:rsidRPr="0053182F">
            <w:rPr>
              <w:rFonts w:eastAsia="Times New Roman"/>
              <w:i/>
              <w:iCs/>
            </w:rPr>
            <w:t>et al.</w:t>
          </w:r>
          <w:r w:rsidRPr="0053182F">
            <w:rPr>
              <w:rFonts w:eastAsia="Times New Roman"/>
            </w:rPr>
            <w:t xml:space="preserve">, 2023; Vidal </w:t>
          </w:r>
          <w:r w:rsidRPr="0053182F">
            <w:rPr>
              <w:rFonts w:eastAsia="Times New Roman"/>
              <w:i/>
              <w:iCs/>
            </w:rPr>
            <w:t>et al.</w:t>
          </w:r>
          <w:r w:rsidRPr="0053182F">
            <w:rPr>
              <w:rFonts w:eastAsia="Times New Roman"/>
            </w:rPr>
            <w:t>, 2023)</w:t>
          </w:r>
        </w:sdtContent>
      </w:sdt>
      <w:r w:rsidRPr="0053182F">
        <w:rPr>
          <w:rFonts w:eastAsia="Times New Roman"/>
          <w:kern w:val="0"/>
          <w:lang w:eastAsia="en-GB"/>
          <w14:ligatures w14:val="none"/>
        </w:rPr>
        <w:t>.</w:t>
      </w:r>
    </w:p>
    <w:p w14:paraId="0DB29B5A" w14:textId="61C0B8F3" w:rsidR="00DB2005" w:rsidRPr="0053182F" w:rsidRDefault="00DB2005" w:rsidP="00DB2005">
      <w:pPr>
        <w:pStyle w:val="paragraph"/>
        <w:spacing w:before="0" w:beforeAutospacing="0" w:after="0" w:afterAutospacing="0" w:line="480" w:lineRule="auto"/>
        <w:jc w:val="both"/>
        <w:textAlignment w:val="baseline"/>
      </w:pPr>
      <w:r w:rsidRPr="0053182F">
        <w:t xml:space="preserve">Building on these theoretical foundations, this study conceptualises SGIs as encompassing both internal governance features (e.g., </w:t>
      </w:r>
      <w:r w:rsidR="00F371B9">
        <w:t>BGD</w:t>
      </w:r>
      <w:r w:rsidRPr="0053182F">
        <w:t>, CSRST, dedicated CSRC) and external accountability mechanisms (e.g., third-party audits, CSR recognition, CSR reporting). Section</w:t>
      </w:r>
      <w:r w:rsidR="00F30B15" w:rsidRPr="0053182F">
        <w:t>s 5.5-5.10 elaborated the six sub-hypotheses (H1a–H1g), each addressing</w:t>
      </w:r>
      <w:r w:rsidRPr="0053182F">
        <w:t xml:space="preserve"> </w:t>
      </w:r>
      <w:r w:rsidR="00F30B15" w:rsidRPr="0053182F">
        <w:t>a</w:t>
      </w:r>
      <w:r w:rsidRPr="0053182F">
        <w:t xml:space="preserve"> distinct SGI component. These initiatives are hypothesised to positively influence firms’ efforts to address CMS risks substantively, rather than symbolically. Accordingly, the study posits the following overarching hypothesis:</w:t>
      </w:r>
    </w:p>
    <w:p w14:paraId="17FE8997" w14:textId="77777777" w:rsidR="00DB2005" w:rsidRPr="0053182F" w:rsidRDefault="00DB2005" w:rsidP="00DB2005">
      <w:pPr>
        <w:spacing w:beforeAutospacing="1" w:after="100" w:afterAutospacing="1" w:line="480" w:lineRule="auto"/>
        <w:jc w:val="both"/>
        <w:rPr>
          <w:rFonts w:eastAsia="Times New Roman"/>
          <w:color w:val="auto"/>
          <w:kern w:val="0"/>
          <w:lang w:eastAsia="en-GB"/>
          <w14:ligatures w14:val="none"/>
        </w:rPr>
      </w:pPr>
      <w:r w:rsidRPr="0053182F">
        <w:rPr>
          <w:rFonts w:eastAsia="Times New Roman"/>
          <w:b/>
          <w:bCs/>
          <w:color w:val="auto"/>
          <w:kern w:val="0"/>
          <w:lang w:eastAsia="en-GB"/>
          <w14:ligatures w14:val="none"/>
        </w:rPr>
        <w:t>H1</w:t>
      </w:r>
      <w:r w:rsidRPr="0053182F">
        <w:rPr>
          <w:rFonts w:eastAsia="Times New Roman"/>
          <w:color w:val="auto"/>
          <w:kern w:val="0"/>
          <w:lang w:eastAsia="en-GB"/>
          <w14:ligatures w14:val="none"/>
        </w:rPr>
        <w:t>: Firms with stronger SGIs exhibit greater compliance with ACMS measures.</w:t>
      </w:r>
    </w:p>
    <w:p w14:paraId="1AF11AAF"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p>
    <w:p w14:paraId="2E996139" w14:textId="77777777" w:rsidR="00DB2005" w:rsidRPr="0053182F" w:rsidRDefault="00DB2005" w:rsidP="00DB2005">
      <w:pPr>
        <w:pStyle w:val="Heading2"/>
        <w:rPr>
          <w:lang w:eastAsia="en-GB"/>
        </w:rPr>
      </w:pPr>
      <w:bookmarkStart w:id="215" w:name="_Toc218357134"/>
      <w:bookmarkStart w:id="216" w:name="_Toc215651844"/>
      <w:bookmarkStart w:id="217" w:name="_Toc216557245"/>
      <w:bookmarkStart w:id="218" w:name="_Toc215651845"/>
      <w:bookmarkStart w:id="219" w:name="_Toc216557246"/>
      <w:bookmarkStart w:id="220" w:name="_Toc215651852"/>
      <w:r w:rsidRPr="0053182F">
        <w:rPr>
          <w:lang w:eastAsia="en-GB"/>
        </w:rPr>
        <w:t xml:space="preserve">5.5 </w:t>
      </w:r>
      <w:bookmarkStart w:id="221" w:name="_Toc215651846"/>
      <w:bookmarkStart w:id="222" w:name="_Toc216557247"/>
      <w:r w:rsidRPr="0053182F">
        <w:rPr>
          <w:lang w:eastAsia="en-GB"/>
        </w:rPr>
        <w:t>CSR Strategy Integration and Anti-Corporate Modern Slavery Practices</w:t>
      </w:r>
      <w:bookmarkEnd w:id="215"/>
      <w:bookmarkEnd w:id="221"/>
      <w:bookmarkEnd w:id="222"/>
    </w:p>
    <w:p w14:paraId="4D33A3A5" w14:textId="77777777" w:rsidR="00DB2005" w:rsidRPr="0053182F" w:rsidRDefault="00DB2005" w:rsidP="00DB2005">
      <w:pPr>
        <w:spacing w:before="100" w:beforeAutospacing="1" w:after="0" w:line="48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CSRST integration refers to the extent to which sustainability objectives are embedded into a firm’s core business model, strategic planning, and decision-making processes. This integration signifies a shift from ad hoc CSR activities toward a systematic approach in which ethical, social, and environmental concerns are internalised within corporate governance structures </w:t>
      </w:r>
      <w:sdt>
        <w:sdtPr>
          <w:rPr>
            <w:rFonts w:eastAsia="Times New Roman"/>
            <w:kern w:val="0"/>
            <w:lang w:eastAsia="en-GB"/>
            <w14:ligatures w14:val="none"/>
          </w:rPr>
          <w:tag w:val="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"/>
          <w:id w:val="-398290017"/>
          <w:placeholder>
            <w:docPart w:val="7D5CAC64C71C44F4AEAB658CE3107228"/>
          </w:placeholder>
        </w:sdtPr>
        <w:sdtContent>
          <w:r w:rsidRPr="0053182F">
            <w:rPr>
              <w:rFonts w:eastAsia="Times New Roman"/>
            </w:rPr>
            <w:t xml:space="preserve">(Johannsdottir </w:t>
          </w:r>
          <w:r w:rsidRPr="0053182F">
            <w:rPr>
              <w:rFonts w:eastAsia="Times New Roman"/>
              <w:i/>
              <w:iCs/>
            </w:rPr>
            <w:t>et al.</w:t>
          </w:r>
          <w:r w:rsidRPr="0053182F">
            <w:rPr>
              <w:rFonts w:eastAsia="Times New Roman"/>
            </w:rPr>
            <w:t xml:space="preserve">, 2025; Rogerson </w:t>
          </w:r>
          <w:r w:rsidRPr="0053182F">
            <w:rPr>
              <w:rFonts w:eastAsia="Times New Roman"/>
              <w:i/>
              <w:iCs/>
            </w:rPr>
            <w:t>et al.</w:t>
          </w:r>
          <w:r w:rsidRPr="0053182F">
            <w:rPr>
              <w:rFonts w:eastAsia="Times New Roman"/>
            </w:rPr>
            <w:t xml:space="preserve">, 2020; Shaukat </w:t>
          </w:r>
          <w:r w:rsidRPr="0053182F">
            <w:rPr>
              <w:rFonts w:eastAsia="Times New Roman"/>
              <w:i/>
              <w:iCs/>
            </w:rPr>
            <w:t>et al.</w:t>
          </w:r>
          <w:r w:rsidRPr="0053182F">
            <w:rPr>
              <w:rFonts w:eastAsia="Times New Roman"/>
            </w:rPr>
            <w:t>, 2016)</w:t>
          </w:r>
        </w:sdtContent>
      </w:sdt>
      <w:r w:rsidRPr="0053182F">
        <w:rPr>
          <w:rFonts w:eastAsia="Times New Roman"/>
          <w:color w:val="auto"/>
          <w:kern w:val="0"/>
          <w:lang w:eastAsia="en-GB"/>
          <w14:ligatures w14:val="none"/>
        </w:rPr>
        <w:t>. In the context of CMS, CSRST integration is critical because it determines whether firms view AMS efforts as central to their business mission or as peripheral compliance tasks.</w:t>
      </w:r>
    </w:p>
    <w:p w14:paraId="5119C5E9"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Recent research underscores the strategic and operational benefits of integrated CSR. For example, </w:t>
      </w:r>
      <w:sdt>
        <w:sdtPr>
          <w:rPr>
            <w:rFonts w:eastAsia="Times New Roman"/>
            <w:kern w:val="0"/>
            <w:lang w:eastAsia="en-GB"/>
            <w14:ligatures w14:val="none"/>
          </w:rPr>
          <w:tag w:val="MENDELEY_CITATION_v3_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"/>
          <w:id w:val="-1076896343"/>
          <w:placeholder>
            <w:docPart w:val="7D5CAC64C71C44F4AEAB658CE3107228"/>
          </w:placeholder>
        </w:sdtPr>
        <w:sdtContent>
          <w:r w:rsidRPr="0053182F">
            <w:rPr>
              <w:rFonts w:eastAsia="Times New Roman"/>
            </w:rPr>
            <w:t>Khan et al. (2016)</w:t>
          </w:r>
        </w:sdtContent>
      </w:sdt>
      <w:r w:rsidRPr="0053182F">
        <w:rPr>
          <w:rFonts w:eastAsia="Times New Roman"/>
          <w:color w:val="auto"/>
          <w:kern w:val="0"/>
          <w:lang w:eastAsia="en-GB"/>
          <w14:ligatures w14:val="none"/>
        </w:rPr>
        <w:t xml:space="preserve"> show that firms that prioritise material sustainability issues—those most relevant to stakeholder well-being—achieve better long-term financial and reputational outcomes. Similarly, Kuzey </w:t>
      </w:r>
      <w:r w:rsidRPr="0053182F">
        <w:rPr>
          <w:rFonts w:eastAsia="Times New Roman"/>
          <w:i/>
          <w:iCs/>
          <w:color w:val="auto"/>
          <w:kern w:val="0"/>
          <w:lang w:eastAsia="en-GB"/>
          <w14:ligatures w14:val="none"/>
        </w:rPr>
        <w:t>et al</w:t>
      </w:r>
      <w:r w:rsidRPr="0053182F">
        <w:rPr>
          <w:rFonts w:eastAsia="Times New Roman"/>
          <w:color w:val="auto"/>
          <w:kern w:val="0"/>
          <w:lang w:eastAsia="en-GB"/>
          <w14:ligatures w14:val="none"/>
        </w:rPr>
        <w:t xml:space="preserve">. (2022) demonstrate that integrated CSR practices enhance social responsibility performance and mitigate risks associated with unethical supply chain practices. Firms with CSR embedded in their strategic logic are also more likely to adopt due diligence policies that monitor working conditions across tiers of suppliers </w:t>
      </w:r>
      <w:sdt>
        <w:sdtPr>
          <w:rPr>
            <w:rFonts w:eastAsia="Times New Roman"/>
            <w:kern w:val="0"/>
            <w:lang w:eastAsia="en-GB"/>
            <w14:ligatures w14:val="none"/>
          </w:rPr>
          <w:tag w:val="MENDELEY_CITATION_v3_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XX0="/>
          <w:id w:val="-72202070"/>
          <w:placeholder>
            <w:docPart w:val="7D5CAC64C71C44F4AEAB658CE3107228"/>
          </w:placeholder>
        </w:sdtPr>
        <w:sdtContent>
          <w:r w:rsidRPr="0053182F">
            <w:rPr>
              <w:rFonts w:eastAsia="Times New Roman"/>
            </w:rPr>
            <w:t xml:space="preserve">(Crane </w:t>
          </w:r>
          <w:r w:rsidRPr="0053182F">
            <w:rPr>
              <w:rFonts w:eastAsia="Times New Roman"/>
              <w:i/>
              <w:iCs/>
            </w:rPr>
            <w:t>et al.</w:t>
          </w:r>
          <w:r w:rsidRPr="0053182F">
            <w:rPr>
              <w:rFonts w:eastAsia="Times New Roman"/>
            </w:rPr>
            <w:t xml:space="preserve">, 2019; Shaukat </w:t>
          </w:r>
          <w:r w:rsidRPr="0053182F">
            <w:rPr>
              <w:rFonts w:eastAsia="Times New Roman"/>
              <w:i/>
              <w:iCs/>
            </w:rPr>
            <w:t>et al.</w:t>
          </w:r>
          <w:r w:rsidRPr="0053182F">
            <w:rPr>
              <w:rFonts w:eastAsia="Times New Roman"/>
            </w:rPr>
            <w:t>, 2016)</w:t>
          </w:r>
        </w:sdtContent>
      </w:sdt>
      <w:r w:rsidRPr="0053182F">
        <w:rPr>
          <w:rFonts w:eastAsia="Times New Roman"/>
          <w:kern w:val="0"/>
          <w:lang w:eastAsia="en-GB"/>
          <w14:ligatures w14:val="none"/>
        </w:rPr>
        <w:t>.</w:t>
      </w:r>
    </w:p>
    <w:p w14:paraId="64CA54BB"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From a NIT perspective, CSR integration serves as both a symbolic and substantive response to institutional pressures. On the one hand, it can reflect mimetic behaviour, in which firms emulate industry leaders to gain legitimacy and maintain investor confidence (Moussa et al., 2023). On the other hand, when CSRST is substantively embedded, it signifies alignment with coercive pressures from regulators and normative expectations from professional bodies and consumers </w:t>
      </w:r>
      <w:sdt>
        <w:sdtPr>
          <w:rPr>
            <w:rFonts w:eastAsia="Times New Roman"/>
            <w:kern w:val="0"/>
            <w:lang w:eastAsia="en-GB"/>
            <w14:ligatures w14:val="none"/>
          </w:rPr>
          <w:tag w:val="MENDELEY_CITATION_v3_eyJjaXRhdGlvbklEIjoiTUVOREVMRVlfQ0lUQVRJT05fN2Q0NWMwODEtNWQwNS00MWM2LWE5YTEtZWI3NGU3YzZkMWY5IiwicHJvcGVydGllcyI6eyJub3RlSW5kZXgiOjB9LCJpc0VkaXRlZCI6ZmFsc2UsIm1hbnVhbE92ZXJyaWRlIjp7ImlzTWFudWFsbHlPdmVycmlkZGVuIjpmYWxzZSwiY2l0ZXByb2NUZXh0IjoiKERpTWFnZ2lvIGFuZCBQb3dlbGwsIDE5ODM7IEhlbGZheWEgPGk+ZXQgYWwuPC9pPiwgMjAyNC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NGYyZmY3OGQtMjgwYi0zZWY0LWEwMWItNzQyYjgyNWJlYjRjIiwiaXRlbURhdGEiOnsidHlwZSI6ImFydGljbGUtam91cm5hbCIsImlkIjoiNGYyZmY3OGQtMjgwYi0zZWY0LWEwMWItNzQyYjgyNWJlYjRjIiwidGl0bGUiOiJHcmVlbmluZyB0aGUgV29ya3BsYWNlOiBFeHBsb3JpbmcgdGhlIEluZmx1ZW5jZSBvZiBDb3Jwb3JhdGUgU3VzdGFpbmFiaWxpdHkgR292ZXJuYW5jZSBvbiBDb3Jwb3JhdGUgTGFib3VyIFJpZ2h0cyBpbiB0aGUgQ2FzZSBvZiBJbmRpYW4gTGlzdGVkIENvbXBhbmllcyBmb3IgdGhlIFBlcmlvZCBvZiAyMDEwIHRvIDIwMjE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"/>
          <w:id w:val="2120643078"/>
          <w:placeholder>
            <w:docPart w:val="7D5CAC64C71C44F4AEAB658CE3107228"/>
          </w:placeholder>
        </w:sdtPr>
        <w:sdtContent>
          <w:r w:rsidRPr="0053182F">
            <w:rPr>
              <w:rFonts w:eastAsia="Times New Roman"/>
            </w:rPr>
            <w:t xml:space="preserve">(DiMaggio and Powell, 1983; Helfaya </w:t>
          </w:r>
          <w:r w:rsidRPr="0053182F">
            <w:rPr>
              <w:rFonts w:eastAsia="Times New Roman"/>
              <w:i/>
              <w:iCs/>
            </w:rPr>
            <w:t>et al.</w:t>
          </w:r>
          <w:r w:rsidRPr="0053182F">
            <w:rPr>
              <w:rFonts w:eastAsia="Times New Roman"/>
            </w:rPr>
            <w:t>, 2024)</w:t>
          </w:r>
        </w:sdtContent>
      </w:sdt>
      <w:r w:rsidRPr="0053182F">
        <w:rPr>
          <w:rFonts w:eastAsia="Times New Roman"/>
          <w:color w:val="auto"/>
          <w:kern w:val="0"/>
          <w:lang w:eastAsia="en-GB"/>
          <w14:ligatures w14:val="none"/>
        </w:rPr>
        <w:t xml:space="preserve">. Research, however, warns that some firms engage in “greenwashing,” adopting CSR strategies superficially to deflect criticism rather than drive meaningful change </w:t>
      </w:r>
      <w:sdt>
        <w:sdtPr>
          <w:rPr>
            <w:rFonts w:eastAsia="Times New Roman"/>
            <w:kern w:val="0"/>
            <w:lang w:eastAsia="en-GB"/>
            <w14:ligatures w14:val="none"/>
          </w:rPr>
          <w:tag w:val="MENDELEY_CITATION_v3_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"/>
          <w:id w:val="-36594626"/>
          <w:placeholder>
            <w:docPart w:val="7D5CAC64C71C44F4AEAB658CE3107228"/>
          </w:placeholder>
        </w:sdtPr>
        <w:sdtContent>
          <w:r w:rsidRPr="0053182F">
            <w:rPr>
              <w:rFonts w:eastAsia="Times New Roman"/>
            </w:rPr>
            <w:t xml:space="preserve">(Nekhili </w:t>
          </w:r>
          <w:r w:rsidRPr="0053182F">
            <w:rPr>
              <w:rFonts w:eastAsia="Times New Roman"/>
              <w:i/>
              <w:iCs/>
            </w:rPr>
            <w:t>et al.</w:t>
          </w:r>
          <w:r w:rsidRPr="0053182F">
            <w:rPr>
              <w:rFonts w:eastAsia="Times New Roman"/>
            </w:rPr>
            <w:t>, 2021; Young and Gad, 2022)</w:t>
          </w:r>
        </w:sdtContent>
      </w:sdt>
      <w:r w:rsidRPr="0053182F">
        <w:rPr>
          <w:rFonts w:eastAsia="Times New Roman"/>
          <w:kern w:val="0"/>
          <w:lang w:eastAsia="en-GB"/>
          <w14:ligatures w14:val="none"/>
        </w:rPr>
        <w:t>.</w:t>
      </w:r>
    </w:p>
    <w:p w14:paraId="41218903" w14:textId="260C128B"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The distinction between symbolic and substantive CSRST is particularly salient in the context of  MS governance. Firms that adopt CSR strategies to meet regulatory checkboxes may produce impressive sustainability reports without implementing real change on the ground. In contrast, substantively integrated CSR is associated with long-term commitments to supplier engagement, risk-based auditing, and the implementation of grievance mechanisms—hallmarks of effective ACMS governance </w:t>
      </w:r>
      <w:sdt>
        <w:sdtPr>
          <w:rPr>
            <w:rFonts w:eastAsia="Times New Roman"/>
            <w:kern w:val="0"/>
            <w:lang w:eastAsia="en-GB"/>
            <w14:ligatures w14:val="none"/>
          </w:rPr>
          <w:tag w:val="MENDELEY_CITATION_v3_eyJjaXRhdGlvbklEIjoiTUVOREVMRVlfQ0lUQVRJT05fNGQxNjczYjQtMGFkMS00NjUzLTg0ZjItZGY4YTYwZDUwM2ZmIiwicHJvcGVydGllcyI6eyJub3RlSW5kZXgiOjB9LCJpc0VkaXRlZCI6ZmFsc2UsIm1hbnVhbE92ZXJyaWRlIjp7ImlzTWFudWFsbHlPdmVycmlkZGVuIjpmYWxzZSwiY2l0ZXByb2NUZXh0IjoiKENyYW5lIDxpPmV0IGFsLjwvaT4sIDIwMTk7IElzbGFtIGFuZCBWYW4gU3RhZGVuLCAyMDIy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"/>
          <w:id w:val="41412788"/>
          <w:placeholder>
            <w:docPart w:val="7D5CAC64C71C44F4AEAB658CE3107228"/>
          </w:placeholder>
        </w:sdtPr>
        <w:sdtContent>
          <w:r w:rsidRPr="0053182F">
            <w:rPr>
              <w:rFonts w:eastAsia="Times New Roman"/>
            </w:rPr>
            <w:t xml:space="preserve">(Crane </w:t>
          </w:r>
          <w:r w:rsidRPr="0053182F">
            <w:rPr>
              <w:rFonts w:eastAsia="Times New Roman"/>
              <w:i/>
              <w:iCs/>
            </w:rPr>
            <w:t>et al.</w:t>
          </w:r>
          <w:r w:rsidRPr="0053182F">
            <w:rPr>
              <w:rFonts w:eastAsia="Times New Roman"/>
            </w:rPr>
            <w:t>, 2019; Islam and Van Staden, 202</w:t>
          </w:r>
          <w:r w:rsidR="00DF28DA">
            <w:rPr>
              <w:rFonts w:eastAsia="Times New Roman"/>
            </w:rPr>
            <w:t>1</w:t>
          </w:r>
          <w:r w:rsidRPr="0053182F">
            <w:rPr>
              <w:rFonts w:eastAsia="Times New Roman"/>
            </w:rPr>
            <w:t>)</w:t>
          </w:r>
        </w:sdtContent>
      </w:sdt>
      <w:r w:rsidR="00DF28DA">
        <w:rPr>
          <w:rFonts w:eastAsia="Times New Roman"/>
          <w:kern w:val="0"/>
          <w:lang w:eastAsia="en-GB"/>
          <w14:ligatures w14:val="none"/>
        </w:rPr>
        <w:t>.</w:t>
      </w:r>
    </w:p>
    <w:p w14:paraId="3E921454"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Therefore, CSRST integration functions as both a governance enabler and a legitimacy-seeking device. Its role in embedding ethical labour practices across the supply chain makes it a critical antecedent of firms’ capacity to eliminate CMS practices.</w:t>
      </w:r>
    </w:p>
    <w:p w14:paraId="0522A500" w14:textId="77777777" w:rsidR="00DB2005" w:rsidRPr="0053182F" w:rsidRDefault="00DB2005" w:rsidP="00DB2005">
      <w:pPr>
        <w:spacing w:line="480" w:lineRule="auto"/>
        <w:rPr>
          <w:bCs/>
          <w:lang w:eastAsia="en-GB"/>
        </w:rPr>
      </w:pPr>
      <w:bookmarkStart w:id="223" w:name="_Toc215651847"/>
      <w:r w:rsidRPr="0053182F">
        <w:rPr>
          <w:b/>
          <w:lang w:eastAsia="en-GB"/>
        </w:rPr>
        <w:t>H1a:</w:t>
      </w:r>
      <w:r w:rsidRPr="0053182F">
        <w:rPr>
          <w:bCs/>
          <w:lang w:eastAsia="en-GB"/>
        </w:rPr>
        <w:t xml:space="preserve"> Firms with well-integrated CSR strategies (CSRST) have a positive impact on ACMS practices</w:t>
      </w:r>
      <w:bookmarkEnd w:id="223"/>
    </w:p>
    <w:p w14:paraId="1D20933F" w14:textId="77777777" w:rsidR="00DB2005" w:rsidRPr="0053182F" w:rsidRDefault="00DB2005" w:rsidP="00DB2005">
      <w:pPr>
        <w:pStyle w:val="Heading2"/>
        <w:rPr>
          <w:lang w:eastAsia="en-GB"/>
        </w:rPr>
      </w:pPr>
      <w:bookmarkStart w:id="224" w:name="_Toc218357135"/>
      <w:r w:rsidRPr="0053182F">
        <w:rPr>
          <w:lang w:eastAsia="en-GB"/>
        </w:rPr>
        <w:t>5.6 Board Gender Diversity and Anti-Corporate Modern Slavery Practices</w:t>
      </w:r>
      <w:bookmarkEnd w:id="224"/>
    </w:p>
    <w:p w14:paraId="05BD8BBE" w14:textId="77777777" w:rsidR="00DB2005" w:rsidRPr="0053182F" w:rsidRDefault="00DB2005" w:rsidP="00DB2005">
      <w:pPr>
        <w:spacing w:after="0" w:line="48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BGD has emerged as a critical dimension of corporate governance reform, reflecting both ethical imperatives and regulatory priorities for more inclusive and accountable leadership structures. Gender-diverse boards are increasingly recognised for their contribution to enhancing the oversight of environmental, social, and governance (ESG) practices, particularly those relating to corporate ethics, stakeholder engagement, and human rights protections (Bear et al., 2010; Terjesen et al., 2016).</w:t>
      </w:r>
    </w:p>
    <w:p w14:paraId="53A69FCF"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Empirical evidence supports the view that gender-diverse boards are positively associated with superior ESG performance and social sustainability outcomes. For instance, Shaukat et al. (2016) find that firms with higher female representation on boards disclose more extensive sustainability information and demonstrate stronger social responsibility. Similarly, Kuzey et al. (2022) demonstrate that female directors significantly influence corporate environmental and social practices, leading to more proactive risk management related to supply chain ethics.</w:t>
      </w:r>
    </w:p>
    <w:p w14:paraId="3A4DB359"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From a NIT standpoint, BGD can also be understood as a response to both normative and coercive institutional pressures. Regulatory bodies and governance codes in many jurisdictions now mandate or strongly encourage gender representation targets </w:t>
      </w:r>
      <w:sdt>
        <w:sdtPr>
          <w:rPr>
            <w:rFonts w:eastAsia="Times New Roman"/>
            <w:kern w:val="0"/>
            <w:lang w:eastAsia="en-GB"/>
            <w14:ligatures w14:val="none"/>
          </w:rPr>
          <w:tag w:val="MENDELEY_CITATION_v3_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"/>
          <w:id w:val="578178422"/>
          <w:placeholder>
            <w:docPart w:val="9D32E3985DA14234A737264FDD503071"/>
          </w:placeholder>
        </w:sdtPr>
        <w:sdtContent>
          <w:r w:rsidRPr="0053182F">
            <w:rPr>
              <w:rFonts w:eastAsia="Times New Roman"/>
            </w:rPr>
            <w:t xml:space="preserve">(Adams and Ferreira, 2009; Al-Shaer </w:t>
          </w:r>
          <w:r w:rsidRPr="0053182F">
            <w:rPr>
              <w:rFonts w:eastAsia="Times New Roman"/>
              <w:i/>
              <w:iCs/>
            </w:rPr>
            <w:t>et al.</w:t>
          </w:r>
          <w:r w:rsidRPr="0053182F">
            <w:rPr>
              <w:rFonts w:eastAsia="Times New Roman"/>
            </w:rPr>
            <w:t>, 2024)</w:t>
          </w:r>
        </w:sdtContent>
      </w:sdt>
      <w:r w:rsidRPr="0053182F">
        <w:rPr>
          <w:rFonts w:eastAsia="Times New Roman"/>
          <w:color w:val="auto"/>
          <w:kern w:val="0"/>
          <w:lang w:eastAsia="en-GB"/>
          <w14:ligatures w14:val="none"/>
        </w:rPr>
        <w:t xml:space="preserve">. These institutional norms compel firms to reform their board compositions not only to enhance legitimacy but also to signal alignment with broader societal values concerning equality, inclusiveness, and human rights </w:t>
      </w:r>
      <w:sdt>
        <w:sdtPr>
          <w:rPr>
            <w:rFonts w:eastAsia="Times New Roman"/>
            <w:kern w:val="0"/>
            <w:lang w:eastAsia="en-GB"/>
            <w14:ligatures w14:val="none"/>
          </w:rPr>
          <w:tag w:val="MENDELEY_CITATION_v3_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XX0="/>
          <w:id w:val="-1799376946"/>
          <w:placeholder>
            <w:docPart w:val="9D32E3985DA14234A737264FDD503071"/>
          </w:placeholder>
        </w:sdtPr>
        <w:sdtContent>
          <w:r w:rsidRPr="0053182F">
            <w:rPr>
              <w:rFonts w:eastAsia="Times New Roman"/>
            </w:rPr>
            <w:t xml:space="preserve">(De Masi </w:t>
          </w:r>
          <w:r w:rsidRPr="0053182F">
            <w:rPr>
              <w:rFonts w:eastAsia="Times New Roman"/>
              <w:i/>
              <w:iCs/>
            </w:rPr>
            <w:t>et al.</w:t>
          </w:r>
          <w:r w:rsidRPr="0053182F">
            <w:rPr>
              <w:rFonts w:eastAsia="Times New Roman"/>
            </w:rPr>
            <w:t>, 2021; Ntim and Soobaroyen, 2013)</w:t>
          </w:r>
        </w:sdtContent>
      </w:sdt>
      <w:r w:rsidRPr="0053182F">
        <w:rPr>
          <w:rFonts w:eastAsia="Times New Roman"/>
          <w:kern w:val="0"/>
          <w:lang w:eastAsia="en-GB"/>
          <w14:ligatures w14:val="none"/>
        </w:rPr>
        <w:t>.</w:t>
      </w:r>
      <w:r w:rsidRPr="0053182F">
        <w:rPr>
          <w:rFonts w:eastAsia="Times New Roman"/>
          <w:color w:val="auto"/>
          <w:kern w:val="0"/>
          <w:lang w:eastAsia="en-GB"/>
          <w14:ligatures w14:val="none"/>
        </w:rPr>
        <w:t xml:space="preserve"> This institutional alignment is particularly salient in contexts where MS practices attract public, investor, and regulatory scrutiny.</w:t>
      </w:r>
    </w:p>
    <w:p w14:paraId="51E62D6E"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Moreover, recent research suggests that gender-diverse boards exert greater influence over sustainability committees and actively push for external audits and social impact evaluations—governance features closely associated with ACMS commitments </w:t>
      </w:r>
      <w:sdt>
        <w:sdtPr>
          <w:rPr>
            <w:rFonts w:eastAsia="Times New Roman"/>
            <w:kern w:val="0"/>
            <w:lang w:eastAsia="en-GB"/>
            <w14:ligatures w14:val="none"/>
          </w:rPr>
          <w:tag w:val="MENDELEY_CITATION_v3_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"/>
          <w:id w:val="-942297031"/>
          <w:placeholder>
            <w:docPart w:val="9D32E3985DA14234A737264FDD503071"/>
          </w:placeholder>
        </w:sdtPr>
        <w:sdtContent>
          <w:r w:rsidRPr="0053182F">
            <w:rPr>
              <w:rFonts w:eastAsia="Times New Roman"/>
            </w:rPr>
            <w:t xml:space="preserve">(Al-Shaer </w:t>
          </w:r>
          <w:r w:rsidRPr="0053182F">
            <w:rPr>
              <w:rFonts w:eastAsia="Times New Roman"/>
              <w:i/>
              <w:iCs/>
            </w:rPr>
            <w:t>et al.</w:t>
          </w:r>
          <w:r w:rsidRPr="0053182F">
            <w:rPr>
              <w:rFonts w:eastAsia="Times New Roman"/>
            </w:rPr>
            <w:t xml:space="preserve">, 2024; Hoang </w:t>
          </w:r>
          <w:r w:rsidRPr="0053182F">
            <w:rPr>
              <w:rFonts w:eastAsia="Times New Roman"/>
              <w:i/>
              <w:iCs/>
            </w:rPr>
            <w:t>et al.</w:t>
          </w:r>
          <w:r w:rsidRPr="0053182F">
            <w:rPr>
              <w:rFonts w:eastAsia="Times New Roman"/>
            </w:rPr>
            <w:t>, 2023)</w:t>
          </w:r>
        </w:sdtContent>
      </w:sdt>
      <w:r w:rsidRPr="0053182F">
        <w:rPr>
          <w:rFonts w:eastAsia="Times New Roman"/>
          <w:color w:val="auto"/>
          <w:kern w:val="0"/>
          <w:lang w:eastAsia="en-GB"/>
          <w14:ligatures w14:val="none"/>
        </w:rPr>
        <w:t>. Female directors have also been shown to question management more rigorously and to advocate for stronger supply chain accountability, both of which are vital to addressing exploitative labour practices hidden deep within GVCs</w:t>
      </w:r>
      <w:sdt>
        <w:sdtPr>
          <w:rPr>
            <w:rFonts w:eastAsia="Times New Roman"/>
            <w:kern w:val="0"/>
            <w:lang w:eastAsia="en-GB"/>
            <w14:ligatures w14:val="none"/>
          </w:rPr>
          <w:tag w:val="MENDELEY_CITATION_v3_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"/>
          <w:id w:val="-1056397294"/>
          <w:placeholder>
            <w:docPart w:val="9D32E3985DA14234A737264FDD503071"/>
          </w:placeholder>
        </w:sdtPr>
        <w:sdtContent>
          <w:r w:rsidRPr="0053182F">
            <w:rPr>
              <w:rFonts w:eastAsia="Times New Roman"/>
            </w:rPr>
            <w:t xml:space="preserve">(Terjesen </w:t>
          </w:r>
          <w:r w:rsidRPr="0053182F">
            <w:rPr>
              <w:rFonts w:eastAsia="Times New Roman"/>
              <w:i/>
              <w:iCs/>
            </w:rPr>
            <w:t>et al.</w:t>
          </w:r>
          <w:r w:rsidRPr="0053182F">
            <w:rPr>
              <w:rFonts w:eastAsia="Times New Roman"/>
            </w:rPr>
            <w:t>, 2016)</w:t>
          </w:r>
        </w:sdtContent>
      </w:sdt>
      <w:r w:rsidRPr="0053182F">
        <w:rPr>
          <w:rFonts w:eastAsia="Times New Roman"/>
          <w:kern w:val="0"/>
          <w:lang w:eastAsia="en-GB"/>
          <w14:ligatures w14:val="none"/>
        </w:rPr>
        <w:t>.</w:t>
      </w:r>
    </w:p>
    <w:p w14:paraId="0669B579" w14:textId="77777777" w:rsidR="00DB2005" w:rsidRPr="0053182F" w:rsidRDefault="00DB2005" w:rsidP="00DB2005">
      <w:p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Therefore, BGD contributes not only to ethical legitimacy but also to structural oversight capacity, making it a critical factor in advancing meaningful ACMS efforts.</w:t>
      </w:r>
    </w:p>
    <w:p w14:paraId="206394A3" w14:textId="77777777" w:rsidR="00DB2005" w:rsidRPr="0053182F" w:rsidRDefault="00DB2005" w:rsidP="00DB2005">
      <w:pPr>
        <w:spacing w:beforeAutospacing="1" w:after="0" w:line="480" w:lineRule="auto"/>
        <w:jc w:val="both"/>
        <w:rPr>
          <w:rFonts w:eastAsia="Times New Roman"/>
          <w:color w:val="auto"/>
          <w:kern w:val="0"/>
          <w:lang w:eastAsia="en-GB"/>
          <w14:ligatures w14:val="none"/>
        </w:rPr>
      </w:pPr>
      <w:r w:rsidRPr="0053182F">
        <w:rPr>
          <w:rFonts w:eastAsia="Times New Roman"/>
          <w:b/>
          <w:bCs/>
          <w:color w:val="auto"/>
          <w:kern w:val="0"/>
          <w:lang w:eastAsia="en-GB"/>
          <w14:ligatures w14:val="none"/>
        </w:rPr>
        <w:t>H1b</w:t>
      </w:r>
      <w:r w:rsidRPr="0053182F">
        <w:rPr>
          <w:rFonts w:eastAsia="Times New Roman"/>
          <w:color w:val="auto"/>
          <w:kern w:val="0"/>
          <w:lang w:eastAsia="en-GB"/>
          <w14:ligatures w14:val="none"/>
        </w:rPr>
        <w:t>: Firms with greater board gender diversity (BGD) demonstrate stronger commitments to ACMS practices.</w:t>
      </w:r>
    </w:p>
    <w:p w14:paraId="2749F51A" w14:textId="77777777" w:rsidR="00DB2005" w:rsidRPr="0053182F" w:rsidRDefault="00DB2005" w:rsidP="00DB2005">
      <w:pPr>
        <w:pStyle w:val="Heading2"/>
        <w:rPr>
          <w:lang w:eastAsia="en-GB"/>
        </w:rPr>
      </w:pPr>
      <w:bookmarkStart w:id="225" w:name="_Toc215651848"/>
      <w:bookmarkStart w:id="226" w:name="_Toc216557248"/>
      <w:bookmarkStart w:id="227" w:name="_Toc218357136"/>
      <w:r w:rsidRPr="0053182F">
        <w:rPr>
          <w:lang w:eastAsia="en-GB"/>
        </w:rPr>
        <w:t>5.7 CSR Committees and Anti-Corporate Modern Slavery Practices</w:t>
      </w:r>
      <w:bookmarkEnd w:id="225"/>
      <w:bookmarkEnd w:id="226"/>
      <w:bookmarkEnd w:id="227"/>
    </w:p>
    <w:p w14:paraId="5B4CAFA6" w14:textId="17279509"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CSRC</w:t>
      </w:r>
      <w:r w:rsidR="00C40453">
        <w:rPr>
          <w:rStyle w:val="FootnoteReference"/>
          <w:rFonts w:eastAsia="Times New Roman"/>
          <w:color w:val="auto"/>
          <w:kern w:val="0"/>
          <w:lang w:eastAsia="en-GB"/>
          <w14:ligatures w14:val="none"/>
        </w:rPr>
        <w:footnoteReference w:id="18"/>
      </w:r>
      <w:r w:rsidRPr="0053182F">
        <w:rPr>
          <w:rFonts w:eastAsia="Times New Roman"/>
          <w:color w:val="auto"/>
          <w:kern w:val="0"/>
          <w:lang w:eastAsia="en-GB"/>
          <w14:ligatures w14:val="none"/>
        </w:rPr>
        <w:t xml:space="preserve"> represents a formal governance mechanism through which firms institutionalise oversight of their sustainability and ethical performance. Positioned at the board or executive level, CSRCs are charged with developing, monitoring, and enforcing CSR policies, including those related to labour rights, stakeholder engagement, and human rights due diligence </w:t>
      </w:r>
      <w:sdt>
        <w:sdtPr>
          <w:rPr>
            <w:rFonts w:eastAsia="Times New Roman"/>
            <w:kern w:val="0"/>
            <w:lang w:eastAsia="en-GB"/>
            <w14:ligatures w14:val="none"/>
          </w:rPr>
          <w:tag w:val="MENDELEY_CITATION_v3_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"/>
          <w:id w:val="923065489"/>
          <w:placeholder>
            <w:docPart w:val="F241B520C54D4CC6AB120C921D6BC5C2"/>
          </w:placeholder>
        </w:sdtPr>
        <w:sdtContent>
          <w:r w:rsidRPr="0053182F">
            <w:rPr>
              <w:rFonts w:eastAsia="Times New Roman"/>
            </w:rPr>
            <w:t xml:space="preserve">(Allam </w:t>
          </w:r>
          <w:r w:rsidRPr="0053182F">
            <w:rPr>
              <w:rFonts w:eastAsia="Times New Roman"/>
              <w:i/>
              <w:iCs/>
            </w:rPr>
            <w:t>et al.</w:t>
          </w:r>
          <w:r w:rsidRPr="0053182F">
            <w:rPr>
              <w:rFonts w:eastAsia="Times New Roman"/>
            </w:rPr>
            <w:t xml:space="preserve">, 2024; Helfaya </w:t>
          </w:r>
          <w:r w:rsidRPr="0053182F">
            <w:rPr>
              <w:rFonts w:eastAsia="Times New Roman"/>
              <w:i/>
              <w:iCs/>
            </w:rPr>
            <w:t>et al.</w:t>
          </w:r>
          <w:r w:rsidRPr="0053182F">
            <w:rPr>
              <w:rFonts w:eastAsia="Times New Roman"/>
            </w:rPr>
            <w:t>, 2024; Helfaya and Moussa, 2017)</w:t>
          </w:r>
        </w:sdtContent>
      </w:sdt>
      <w:r w:rsidRPr="0053182F">
        <w:rPr>
          <w:rFonts w:eastAsia="Times New Roman"/>
          <w:color w:val="auto"/>
          <w:kern w:val="0"/>
          <w:lang w:eastAsia="en-GB"/>
          <w14:ligatures w14:val="none"/>
        </w:rPr>
        <w:t>. Their establishment signals a firm’s intent to align internal governance structures with external sustainability expectations and enhance transparency in social and environmental performance.</w:t>
      </w:r>
    </w:p>
    <w:p w14:paraId="27FB5EE7"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Recent empirical evidence supports the positive relationship between CSRC and the implementation of meaningful sustainability practices. </w:t>
      </w:r>
      <w:sdt>
        <w:sdtPr>
          <w:rPr>
            <w:rFonts w:eastAsia="Times New Roman"/>
            <w:kern w:val="0"/>
            <w:lang w:eastAsia="en-GB"/>
            <w14:ligatures w14:val="none"/>
          </w:rPr>
          <w:tag w:val="MENDELEY_CITATION_v3_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"/>
          <w:id w:val="-600114114"/>
          <w:placeholder>
            <w:docPart w:val="F241B520C54D4CC6AB120C921D6BC5C2"/>
          </w:placeholder>
        </w:sdtPr>
        <w:sdtContent>
          <w:r w:rsidRPr="0053182F">
            <w:rPr>
              <w:rFonts w:eastAsia="Times New Roman"/>
              <w:kern w:val="0"/>
              <w:lang w:eastAsia="en-GB"/>
              <w14:ligatures w14:val="none"/>
            </w:rPr>
            <w:t>García-Sánchez et al (2019)</w:t>
          </w:r>
        </w:sdtContent>
      </w:sdt>
      <w:r w:rsidRPr="0053182F">
        <w:rPr>
          <w:rFonts w:eastAsia="Times New Roman"/>
          <w:color w:val="auto"/>
          <w:kern w:val="0"/>
          <w:lang w:eastAsia="en-GB"/>
          <w14:ligatures w14:val="none"/>
        </w:rPr>
        <w:t xml:space="preserve"> find that CSRC significantly enhances the quality and scope of sustainability reporting, while Orazalin and Mahmood (2021) report that their presence improves ESG performance across multiple dimensions. Furthermore, </w:t>
      </w:r>
      <w:sdt>
        <w:sdtPr>
          <w:rPr>
            <w:rFonts w:eastAsia="Times New Roman"/>
            <w:kern w:val="0"/>
            <w:lang w:eastAsia="en-GB"/>
            <w14:ligatures w14:val="none"/>
          </w:rPr>
          <w:tag w:val="MENDELEY_CITATION_v3_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"/>
          <w:id w:val="699203545"/>
          <w:placeholder>
            <w:docPart w:val="F241B520C54D4CC6AB120C921D6BC5C2"/>
          </w:placeholder>
        </w:sdtPr>
        <w:sdtContent>
          <w:r w:rsidRPr="0053182F">
            <w:rPr>
              <w:rFonts w:eastAsia="Times New Roman"/>
            </w:rPr>
            <w:t>Helfaya et al. (2024)</w:t>
          </w:r>
        </w:sdtContent>
      </w:sdt>
      <w:r w:rsidRPr="0053182F">
        <w:rPr>
          <w:rFonts w:eastAsia="Times New Roman"/>
          <w:color w:val="auto"/>
          <w:kern w:val="0"/>
          <w:lang w:eastAsia="en-GB"/>
          <w14:ligatures w14:val="none"/>
        </w:rPr>
        <w:t xml:space="preserve"> demonstrate that CSRC increases firms’ responsiveness to social sustainability challenges, including labour rights abuses, by formalising ethical oversight and improving accountability structures.</w:t>
      </w:r>
    </w:p>
    <w:p w14:paraId="71749776"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From a NIT</w:t>
      </w:r>
      <w:r w:rsidRPr="0053182F">
        <w:rPr>
          <w:rFonts w:eastAsia="Times New Roman"/>
          <w:b/>
          <w:bCs/>
          <w:color w:val="auto"/>
          <w:kern w:val="0"/>
          <w:lang w:eastAsia="en-GB"/>
          <w14:ligatures w14:val="none"/>
        </w:rPr>
        <w:t xml:space="preserve"> </w:t>
      </w:r>
      <w:r w:rsidRPr="0053182F">
        <w:rPr>
          <w:rFonts w:eastAsia="Times New Roman"/>
          <w:color w:val="auto"/>
          <w:kern w:val="0"/>
          <w:lang w:eastAsia="en-GB"/>
          <w14:ligatures w14:val="none"/>
        </w:rPr>
        <w:t xml:space="preserve">standpoint, the proliferation of CSRC can be interpreted as a response to normative pressures from investors, proxy advisors, and global governance standards, as well as coercive pressures from regulatory bodies that increasingly mandate ESG disclosures and board-level responsibility for sustainability </w:t>
      </w:r>
      <w:sdt>
        <w:sdtPr>
          <w:rPr>
            <w:rFonts w:eastAsia="Times New Roman"/>
            <w:kern w:val="0"/>
            <w:lang w:eastAsia="en-GB"/>
            <w14:ligatures w14:val="none"/>
          </w:rPr>
          <w:tag w:val="MENDELEY_CITATION_v3_eyJjaXRhdGlvbklEIjoiTUVOREVMRVlfQ0lUQVRJT05fM2ZiM2JhN2ItYjkyYS00MzY3LWIxZWEtYmVkNzRhY2EzNDQ0IiwicHJvcGVydGllcyI6eyJub3RlSW5kZXgiOjB9LCJpc0VkaXRlZCI6ZmFsc2UsIm1hbnVhbE92ZXJyaWRlIjp7ImlzTWFudWFsbHlPdmVycmlkZGVuIjpmYWxzZSwiY2l0ZXByb2NUZXh0IjoiKERpTWFnZ2lvIGFuZCBQb3dlbGwsIDE5ODM7IFZpZGFsIDxpPmV0IGFsLjwvaT4sIDIwMj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
          <w:id w:val="-273710945"/>
          <w:placeholder>
            <w:docPart w:val="F241B520C54D4CC6AB120C921D6BC5C2"/>
          </w:placeholder>
        </w:sdtPr>
        <w:sdtContent>
          <w:r w:rsidRPr="0053182F">
            <w:rPr>
              <w:rFonts w:eastAsia="Times New Roman"/>
            </w:rPr>
            <w:t xml:space="preserve">(DiMaggio and Powell, 1983; Vidal </w:t>
          </w:r>
          <w:r w:rsidRPr="0053182F">
            <w:rPr>
              <w:rFonts w:eastAsia="Times New Roman"/>
              <w:i/>
              <w:iCs/>
            </w:rPr>
            <w:t>et al.</w:t>
          </w:r>
          <w:r w:rsidRPr="0053182F">
            <w:rPr>
              <w:rFonts w:eastAsia="Times New Roman"/>
            </w:rPr>
            <w:t>, 2023)</w:t>
          </w:r>
        </w:sdtContent>
      </w:sdt>
      <w:r w:rsidRPr="0053182F">
        <w:rPr>
          <w:rFonts w:eastAsia="Times New Roman"/>
          <w:color w:val="auto"/>
          <w:kern w:val="0"/>
          <w:lang w:eastAsia="en-GB"/>
          <w14:ligatures w14:val="none"/>
        </w:rPr>
        <w:t xml:space="preserve">. The UK Corporate Governance Code (2018), for instance, recommends board-level oversight of stakeholder interests and ethical risk management, prompting firms to institutionalise CSRCs as part of broader efforts to comply with evolving governance norms </w:t>
      </w:r>
      <w:sdt>
        <w:sdtPr>
          <w:rPr>
            <w:rFonts w:eastAsia="Times New Roman"/>
            <w:kern w:val="0"/>
            <w:lang w:eastAsia="en-GB"/>
            <w14:ligatures w14:val="none"/>
          </w:rPr>
          <w:tag w:val="MENDELEY_CITATION_v3_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"/>
          <w:id w:val="178011906"/>
          <w:placeholder>
            <w:docPart w:val="F241B520C54D4CC6AB120C921D6BC5C2"/>
          </w:placeholder>
        </w:sdtPr>
        <w:sdtContent>
          <w:r w:rsidRPr="0053182F">
            <w:rPr>
              <w:rFonts w:eastAsia="Times New Roman"/>
              <w:kern w:val="0"/>
              <w:lang w:eastAsia="en-GB"/>
              <w14:ligatures w14:val="none"/>
            </w:rPr>
            <w:t>(FRC, 2022)</w:t>
          </w:r>
        </w:sdtContent>
      </w:sdt>
      <w:r w:rsidRPr="0053182F">
        <w:rPr>
          <w:rFonts w:eastAsia="Times New Roman"/>
          <w:color w:val="auto"/>
          <w:kern w:val="0"/>
          <w:lang w:eastAsia="en-GB"/>
          <w14:ligatures w14:val="none"/>
        </w:rPr>
        <w:t>.</w:t>
      </w:r>
    </w:p>
    <w:p w14:paraId="20E37804" w14:textId="2C66F2FE"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Importantly, CSRCs can help shift firms from symbolic compliance to substantive engagement with ACMS goals. By embedding human rights due diligence into the governance infrastructure, CSRC enables ongoing monitoring, risk identification, and escalation procedures in response to MS incidents </w:t>
      </w:r>
      <w:sdt>
        <w:sdtPr>
          <w:rPr>
            <w:rFonts w:eastAsia="Times New Roman"/>
            <w:kern w:val="0"/>
            <w:lang w:eastAsia="en-GB"/>
            <w14:ligatures w14:val="none"/>
          </w:rPr>
          <w:tag w:val="MENDELEY_CITATION_v3_eyJjaXRhdGlvbklEIjoiTUVOREVMRVlfQ0lUQVRJT05fMjZjMzRlYjEtMzAzYi00ZjU3LWIyYTAtMmJiZWY1OWQ1ZGQyIiwicHJvcGVydGllcyI6eyJub3RlSW5kZXgiOjB9LCJpc0VkaXRlZCI6ZmFsc2UsIm1hbnVhbE92ZXJyaWRlIjp7ImlzTWFudWFsbHlPdmVycmlkZGVuIjpmYWxzZSwiY2l0ZXByb2NUZXh0IjoiKENyYW5lIDxpPmV0IGFsLjwvaT4sIDIwMTk7IElzbGFtIGFuZCBWYW4gU3RhZGVuLCAyMDIy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"/>
          <w:id w:val="1399477594"/>
          <w:placeholder>
            <w:docPart w:val="F241B520C54D4CC6AB120C921D6BC5C2"/>
          </w:placeholder>
        </w:sdtPr>
        <w:sdtContent>
          <w:r w:rsidRPr="0053182F">
            <w:rPr>
              <w:rFonts w:eastAsia="Times New Roman"/>
            </w:rPr>
            <w:t xml:space="preserve">(Crane </w:t>
          </w:r>
          <w:r w:rsidRPr="0053182F">
            <w:rPr>
              <w:rFonts w:eastAsia="Times New Roman"/>
              <w:i/>
              <w:iCs/>
            </w:rPr>
            <w:t>et al.</w:t>
          </w:r>
          <w:r w:rsidRPr="0053182F">
            <w:rPr>
              <w:rFonts w:eastAsia="Times New Roman"/>
            </w:rPr>
            <w:t>, 2019; Islam and Van Staden, 202</w:t>
          </w:r>
          <w:r w:rsidR="00DF28DA">
            <w:rPr>
              <w:rFonts w:eastAsia="Times New Roman"/>
            </w:rPr>
            <w:t>1</w:t>
          </w:r>
          <w:r w:rsidRPr="0053182F">
            <w:rPr>
              <w:rFonts w:eastAsia="Times New Roman"/>
            </w:rPr>
            <w:t>)</w:t>
          </w:r>
        </w:sdtContent>
      </w:sdt>
      <w:r w:rsidRPr="0053182F">
        <w:rPr>
          <w:rFonts w:eastAsia="Times New Roman"/>
          <w:color w:val="auto"/>
          <w:kern w:val="0"/>
          <w:lang w:eastAsia="en-GB"/>
          <w14:ligatures w14:val="none"/>
        </w:rPr>
        <w:t>. They also facilitate cross-departmental collaboration between procurement, compliance, and sustainability teams, enhancing the firm’s ability to implement coherent ACMS strategies across its operations and supply chains.</w:t>
      </w:r>
    </w:p>
    <w:p w14:paraId="517FE587"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Thus, the presence of a CSRC reflects a governance commitment to aligning firm strategy with stakeholder expectations and institutional demands. It is expected that such formalised oversight structures significantly enhance the firm’s capacity to engage in ACMS practices.</w:t>
      </w:r>
    </w:p>
    <w:p w14:paraId="32954F19" w14:textId="77777777" w:rsidR="00DB2005" w:rsidRPr="0053182F" w:rsidRDefault="00DB2005" w:rsidP="00DB2005">
      <w:pPr>
        <w:spacing w:beforeAutospacing="1" w:after="100" w:afterAutospacing="1" w:line="480" w:lineRule="auto"/>
        <w:jc w:val="both"/>
        <w:rPr>
          <w:rFonts w:eastAsia="Times New Roman"/>
          <w:color w:val="auto"/>
          <w:kern w:val="0"/>
          <w:lang w:eastAsia="en-GB"/>
          <w14:ligatures w14:val="none"/>
        </w:rPr>
      </w:pPr>
      <w:r w:rsidRPr="0053182F">
        <w:rPr>
          <w:rFonts w:eastAsia="Times New Roman"/>
          <w:b/>
          <w:bCs/>
          <w:color w:val="auto"/>
          <w:kern w:val="0"/>
          <w:lang w:eastAsia="en-GB"/>
          <w14:ligatures w14:val="none"/>
        </w:rPr>
        <w:t>H1c</w:t>
      </w:r>
      <w:r w:rsidRPr="0053182F">
        <w:rPr>
          <w:rFonts w:eastAsia="Times New Roman"/>
          <w:color w:val="auto"/>
          <w:kern w:val="0"/>
          <w:lang w:eastAsia="en-GB"/>
          <w14:ligatures w14:val="none"/>
        </w:rPr>
        <w:t>: Firms with a dedicated Corporate Social Responsibility Committee (CSRC) exhibit stronger commitments to ACMS practices.</w:t>
      </w:r>
    </w:p>
    <w:p w14:paraId="250850DE" w14:textId="77777777" w:rsidR="00DB2005" w:rsidRPr="0053182F" w:rsidRDefault="00DB2005" w:rsidP="00DB2005">
      <w:pPr>
        <w:pStyle w:val="Heading2"/>
        <w:rPr>
          <w:lang w:eastAsia="en-GB"/>
        </w:rPr>
      </w:pPr>
      <w:bookmarkStart w:id="228" w:name="_Toc215651849"/>
      <w:bookmarkStart w:id="229" w:name="_Toc216557249"/>
      <w:bookmarkStart w:id="230" w:name="_Toc218357137"/>
      <w:r w:rsidRPr="0053182F">
        <w:rPr>
          <w:lang w:eastAsia="en-GB"/>
        </w:rPr>
        <w:t>5.8 External CSR Assurance and Anti-Corporate Modern Slavery Practices</w:t>
      </w:r>
      <w:bookmarkEnd w:id="228"/>
      <w:bookmarkEnd w:id="229"/>
      <w:bookmarkEnd w:id="230"/>
    </w:p>
    <w:p w14:paraId="4B1325DF" w14:textId="77777777" w:rsidR="00DB2005" w:rsidRPr="0053182F" w:rsidRDefault="00DB2005" w:rsidP="00DB2005">
      <w:p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CSRA involves engaging independent third-party auditors to verify the credibility, completeness, and reliability of a firm’s sustainability disclosures, including those related to labour practices and human rights risks. This form of assurance is intended to enhance stakeholder trust, improve corporate transparency, and mitigate the risk of “greenwashing” or symbolic compliance with ESG principles </w:t>
      </w:r>
      <w:sdt>
        <w:sdtPr>
          <w:rPr>
            <w:rFonts w:eastAsia="Times New Roman"/>
            <w:kern w:val="0"/>
            <w:lang w:eastAsia="en-GB"/>
            <w14:ligatures w14:val="none"/>
          </w:rPr>
          <w:tag w:val="MENDELEY_CITATION_v3_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"/>
          <w:id w:val="-1592540991"/>
          <w:placeholder>
            <w:docPart w:val="BCCEAE7D05104FADA86FC174F5159B65"/>
          </w:placeholder>
        </w:sdtPr>
        <w:sdtContent>
          <w:r w:rsidRPr="0053182F">
            <w:rPr>
              <w:rFonts w:eastAsia="Times New Roman"/>
            </w:rPr>
            <w:t xml:space="preserve">(García-Sánchez </w:t>
          </w:r>
          <w:r w:rsidRPr="0053182F">
            <w:rPr>
              <w:rFonts w:eastAsia="Times New Roman"/>
              <w:i/>
              <w:iCs/>
            </w:rPr>
            <w:t>et al.</w:t>
          </w:r>
          <w:r w:rsidRPr="0053182F">
            <w:rPr>
              <w:rFonts w:eastAsia="Times New Roman"/>
            </w:rPr>
            <w:t xml:space="preserve">, 2022; Mat Zain </w:t>
          </w:r>
          <w:r w:rsidRPr="0053182F">
            <w:rPr>
              <w:rFonts w:eastAsia="Times New Roman"/>
              <w:i/>
              <w:iCs/>
            </w:rPr>
            <w:t>et al.</w:t>
          </w:r>
          <w:r w:rsidRPr="0053182F">
            <w:rPr>
              <w:rFonts w:eastAsia="Times New Roman"/>
            </w:rPr>
            <w:t>, 2015)</w:t>
          </w:r>
        </w:sdtContent>
      </w:sdt>
    </w:p>
    <w:p w14:paraId="38A0B1F5"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Assurance strengthens the legitimacy of CSR reporting by validating internal assessments of working conditions, human rights compliance, and ACMS protocols. Firms that subject their disclosures to external scrutiny demonstrate a stronger commitment to ethical performance and are more likely to implement corrective actions when abuses are identified </w:t>
      </w:r>
      <w:sdt>
        <w:sdtPr>
          <w:rPr>
            <w:rFonts w:eastAsia="Times New Roman"/>
            <w:kern w:val="0"/>
            <w:lang w:eastAsia="en-GB"/>
            <w14:ligatures w14:val="none"/>
          </w:rPr>
          <w:tag w:val="MENDELEY_CITATION_v3_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"/>
          <w:id w:val="539864339"/>
          <w:placeholder>
            <w:docPart w:val="BCCEAE7D05104FADA86FC174F5159B65"/>
          </w:placeholder>
        </w:sdtPr>
        <w:sdtContent>
          <w:r w:rsidRPr="0053182F">
            <w:rPr>
              <w:rFonts w:eastAsia="Times New Roman"/>
            </w:rPr>
            <w:t>(Al-Shaer, Malik, and Zaman, 2022; Sayari and Marcum, 2022a; Adelopo, Cheung, and Zaman, 2024)</w:t>
          </w:r>
        </w:sdtContent>
      </w:sdt>
      <w:r w:rsidRPr="0053182F">
        <w:rPr>
          <w:rFonts w:eastAsia="Times New Roman"/>
          <w:color w:val="auto"/>
          <w:kern w:val="0"/>
          <w:lang w:eastAsia="en-GB"/>
          <w14:ligatures w14:val="none"/>
        </w:rPr>
        <w:t xml:space="preserve">. This is particularly salient in high-risk sectors—such as apparel, electronics, construction, and agriculture—where MS violations are more prevalent and regulatory expectations for transparency are intensifying </w:t>
      </w:r>
      <w:sdt>
        <w:sdtPr>
          <w:rPr>
            <w:rFonts w:eastAsia="Times New Roman"/>
            <w:kern w:val="0"/>
            <w:lang w:eastAsia="en-GB"/>
            <w14:ligatures w14:val="none"/>
          </w:rPr>
          <w:tag w:val="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"/>
          <w:id w:val="-1022853423"/>
          <w:placeholder>
            <w:docPart w:val="BCCEAE7D05104FADA86FC174F5159B65"/>
          </w:placeholder>
        </w:sdtPr>
        <w:sdtContent>
          <w:r w:rsidRPr="0053182F">
            <w:rPr>
              <w:rFonts w:eastAsia="Times New Roman"/>
            </w:rPr>
            <w:t xml:space="preserve">(Liu and Cheng, 2024; Lopatta </w:t>
          </w:r>
          <w:r w:rsidRPr="0053182F">
            <w:rPr>
              <w:rFonts w:eastAsia="Times New Roman"/>
              <w:i/>
              <w:iCs/>
            </w:rPr>
            <w:t>et al.</w:t>
          </w:r>
          <w:r w:rsidRPr="0053182F">
            <w:rPr>
              <w:rFonts w:eastAsia="Times New Roman"/>
            </w:rPr>
            <w:t>, 2023; Pesterfield and Rogerson, 2024)</w:t>
          </w:r>
        </w:sdtContent>
      </w:sdt>
      <w:r w:rsidRPr="0053182F">
        <w:rPr>
          <w:rFonts w:eastAsia="Times New Roman"/>
          <w:kern w:val="0"/>
          <w:lang w:eastAsia="en-GB"/>
          <w14:ligatures w14:val="none"/>
        </w:rPr>
        <w:t>.</w:t>
      </w:r>
    </w:p>
    <w:p w14:paraId="07D7C499"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From the standpoint of NIT, external assurance can be interpreted as a firm’s response to coercive and normative institutional pressures. Coercive pressures arise from laws and soft regulatory frameworks—such as the EU Corporate Sustainability Reporting Directive (CSRD) and national MSAs—that require firms to provide credible evidence of their sustainability performance. Normative pressures stem from professional assurance standards (e.g., AA1000AS, ISAE 3000), investor expectations, and stakeholder norms that emphasise verified and material ESG data </w:t>
      </w:r>
      <w:sdt>
        <w:sdtPr>
          <w:rPr>
            <w:rFonts w:eastAsia="Times New Roman"/>
            <w:kern w:val="0"/>
            <w:lang w:eastAsia="en-GB"/>
            <w14:ligatures w14:val="none"/>
          </w:rPr>
          <w:tag w:val="MENDELEY_CITATION_v3_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"/>
          <w:id w:val="1751468231"/>
          <w:placeholder>
            <w:docPart w:val="BCCEAE7D05104FADA86FC174F5159B65"/>
          </w:placeholder>
        </w:sdtPr>
        <w:sdtContent>
          <w:r w:rsidRPr="0053182F">
            <w:rPr>
              <w:rFonts w:eastAsia="Times New Roman"/>
            </w:rPr>
            <w:t xml:space="preserve">(Pesterfield and Rogerson, 2024; Zainuddin </w:t>
          </w:r>
          <w:r w:rsidRPr="0053182F">
            <w:rPr>
              <w:rFonts w:eastAsia="Times New Roman"/>
              <w:i/>
              <w:iCs/>
            </w:rPr>
            <w:t>et al.</w:t>
          </w:r>
          <w:r w:rsidRPr="0053182F">
            <w:rPr>
              <w:rFonts w:eastAsia="Times New Roman"/>
            </w:rPr>
            <w:t>, 2025)</w:t>
          </w:r>
        </w:sdtContent>
      </w:sdt>
      <w:r w:rsidRPr="0053182F">
        <w:rPr>
          <w:rFonts w:eastAsia="Times New Roman"/>
          <w:color w:val="auto"/>
          <w:kern w:val="0"/>
          <w:lang w:eastAsia="en-GB"/>
          <w14:ligatures w14:val="none"/>
        </w:rPr>
        <w:t>.</w:t>
      </w:r>
    </w:p>
    <w:p w14:paraId="7B9DC4B8"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Firms often adopt assurance to build or maintain legitimacy, particularly when faced with reputational risk or public scrutiny </w:t>
      </w:r>
      <w:sdt>
        <w:sdtPr>
          <w:rPr>
            <w:rFonts w:eastAsia="Times New Roman"/>
            <w:kern w:val="0"/>
            <w:lang w:eastAsia="en-GB"/>
            <w14:ligatures w14:val="none"/>
          </w:rPr>
          <w:tag w:val="MENDELEY_CITATION_v3_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"/>
          <w:id w:val="1804958492"/>
          <w:placeholder>
            <w:docPart w:val="BCCEAE7D05104FADA86FC174F5159B65"/>
          </w:placeholder>
        </w:sdtPr>
        <w:sdtContent>
          <w:r w:rsidRPr="0053182F">
            <w:rPr>
              <w:rFonts w:eastAsia="Times New Roman"/>
              <w:kern w:val="0"/>
              <w:lang w:eastAsia="en-GB"/>
              <w14:ligatures w14:val="none"/>
            </w:rPr>
            <w:t>(Al-Shaer and Zaman, 2019; Dando and Swift, 2003; Martínez-Ferrero and García-Sánchez, 2016)</w:t>
          </w:r>
        </w:sdtContent>
      </w:sdt>
      <w:r w:rsidRPr="0053182F">
        <w:rPr>
          <w:rFonts w:eastAsia="Times New Roman"/>
          <w:color w:val="auto"/>
          <w:kern w:val="0"/>
          <w:lang w:eastAsia="en-GB"/>
          <w14:ligatures w14:val="none"/>
        </w:rPr>
        <w:t xml:space="preserve">. However, empirical studies suggest that assurance is not merely symbolic: companies with assured CSR disclosures tend to exhibit stronger ESG performance, more substantive labour policies, and greater alignment with international frameworks such as the UN Guiding Principles on Business and Human Rights </w:t>
      </w:r>
      <w:sdt>
        <w:sdtPr>
          <w:rPr>
            <w:rFonts w:eastAsia="Times New Roman"/>
            <w:kern w:val="0"/>
            <w:lang w:eastAsia="en-GB"/>
            <w14:ligatures w14:val="none"/>
          </w:rPr>
          <w:tag w:val="MENDELEY_CITATION_v3_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XX0="/>
          <w:id w:val="283232561"/>
          <w:placeholder>
            <w:docPart w:val="BCCEAE7D05104FADA86FC174F5159B65"/>
          </w:placeholder>
        </w:sdtPr>
        <w:sdtContent>
          <w:r w:rsidRPr="0053182F">
            <w:rPr>
              <w:rFonts w:eastAsia="Times New Roman"/>
              <w:kern w:val="0"/>
              <w:lang w:eastAsia="en-GB"/>
              <w14:ligatures w14:val="none"/>
            </w:rPr>
            <w:t>(Kolk and Perego, 2010; Obayi and Ebrahimi, 2021a; Young and Gad, 2022)</w:t>
          </w:r>
        </w:sdtContent>
      </w:sdt>
      <w:r w:rsidRPr="0053182F">
        <w:rPr>
          <w:rFonts w:eastAsia="Times New Roman"/>
          <w:color w:val="auto"/>
          <w:kern w:val="0"/>
          <w:lang w:eastAsia="en-GB"/>
          <w14:ligatures w14:val="none"/>
        </w:rPr>
        <w:t xml:space="preserve">. Furthermore, </w:t>
      </w:r>
      <w:sdt>
        <w:sdtPr>
          <w:rPr>
            <w:rFonts w:eastAsia="Times New Roman"/>
            <w:kern w:val="0"/>
            <w:lang w:eastAsia="en-GB"/>
            <w14:ligatures w14:val="none"/>
          </w:rPr>
          <w:tag w:val="MENDELEY_CITATION_v3_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"/>
          <w:id w:val="1878961208"/>
          <w:placeholder>
            <w:docPart w:val="BCCEAE7D05104FADA86FC174F5159B65"/>
          </w:placeholder>
        </w:sdtPr>
        <w:sdtContent>
          <w:r w:rsidRPr="0053182F">
            <w:rPr>
              <w:rFonts w:eastAsia="Times New Roman"/>
            </w:rPr>
            <w:t>Lopatta et al. (2023)</w:t>
          </w:r>
        </w:sdtContent>
      </w:sdt>
      <w:r w:rsidRPr="0053182F">
        <w:rPr>
          <w:rFonts w:eastAsia="Times New Roman"/>
          <w:color w:val="auto"/>
          <w:kern w:val="0"/>
          <w:lang w:eastAsia="en-GB"/>
          <w14:ligatures w14:val="none"/>
        </w:rPr>
        <w:t xml:space="preserve"> provide evidence that third-party verification improves social impact credibility and reduces the incidence of stakeholder litigation or reputational crises.</w:t>
      </w:r>
    </w:p>
    <w:p w14:paraId="6E90CE50"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Importantly, external assurance also promotes internal accountability by subjecting internal controls and data collection processes to review and verification. This institutionalised scrutiny encourages firms to adopt robust AMS procedures, including supplier audits, traceability systems, grievance mechanisms, and worker engagement platforms.</w:t>
      </w:r>
    </w:p>
    <w:p w14:paraId="4447BC7D"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Thus, CSR assurance strengthens the governance infrastructure that underpins corporate efforts to eliminate MS, making it a critical enabler of ACMS practices. </w:t>
      </w:r>
      <w:r w:rsidRPr="0053182F">
        <w:rPr>
          <w:rFonts w:eastAsia="Times New Roman"/>
          <w:color w:val="EE0000"/>
          <w:kern w:val="0"/>
          <w:lang w:eastAsia="en-GB"/>
          <w14:ligatures w14:val="none"/>
        </w:rPr>
        <w:t>Accordingly, we advance the following hypothesis.</w:t>
      </w:r>
    </w:p>
    <w:p w14:paraId="0F16D0C5" w14:textId="77777777" w:rsidR="00DB2005" w:rsidRPr="0053182F" w:rsidRDefault="00DB2005" w:rsidP="00DB2005">
      <w:pPr>
        <w:spacing w:beforeAutospacing="1" w:after="100" w:afterAutospacing="1" w:line="480" w:lineRule="auto"/>
        <w:jc w:val="both"/>
        <w:rPr>
          <w:rFonts w:eastAsia="Times New Roman"/>
          <w:color w:val="auto"/>
          <w:kern w:val="0"/>
          <w:lang w:eastAsia="en-GB"/>
          <w14:ligatures w14:val="none"/>
        </w:rPr>
      </w:pPr>
      <w:r w:rsidRPr="0053182F">
        <w:rPr>
          <w:rFonts w:eastAsia="Times New Roman"/>
          <w:b/>
          <w:bCs/>
          <w:color w:val="auto"/>
          <w:kern w:val="0"/>
          <w:lang w:eastAsia="en-GB"/>
          <w14:ligatures w14:val="none"/>
        </w:rPr>
        <w:t>H1d</w:t>
      </w:r>
      <w:r w:rsidRPr="0053182F">
        <w:rPr>
          <w:rFonts w:eastAsia="Times New Roman"/>
          <w:color w:val="auto"/>
          <w:kern w:val="0"/>
          <w:lang w:eastAsia="en-GB"/>
          <w14:ligatures w14:val="none"/>
        </w:rPr>
        <w:t>: Firms that undergo external CSR assurance (CSRA) exhibit stronger commitments to ACMS practices.</w:t>
      </w:r>
    </w:p>
    <w:p w14:paraId="1D54A82E" w14:textId="77777777" w:rsidR="00DB2005" w:rsidRPr="0053182F" w:rsidRDefault="00DB2005" w:rsidP="00DB2005">
      <w:pPr>
        <w:pStyle w:val="Heading2"/>
        <w:rPr>
          <w:lang w:eastAsia="en-GB"/>
        </w:rPr>
      </w:pPr>
      <w:bookmarkStart w:id="231" w:name="_Toc218357138"/>
      <w:r w:rsidRPr="0053182F">
        <w:rPr>
          <w:lang w:eastAsia="en-GB"/>
        </w:rPr>
        <w:t>5.9 Corporate Social Performance  and Anti-Corporate Modern Slavery  Practices</w:t>
      </w:r>
      <w:bookmarkEnd w:id="216"/>
      <w:bookmarkEnd w:id="217"/>
      <w:bookmarkEnd w:id="231"/>
    </w:p>
    <w:p w14:paraId="53C4B551" w14:textId="77777777" w:rsidR="00DB2005" w:rsidRPr="0053182F" w:rsidRDefault="00DB2005" w:rsidP="00DB2005">
      <w:pPr>
        <w:spacing w:before="100" w:beforeAutospacing="1" w:after="100" w:afterAutospacing="1" w:line="480" w:lineRule="auto"/>
        <w:jc w:val="both"/>
        <w:rPr>
          <w:rFonts w:eastAsia="Times New Roman"/>
          <w:color w:val="auto"/>
          <w:kern w:val="0"/>
          <w:lang w:eastAsia="en-GB"/>
          <w14:ligatures w14:val="none"/>
        </w:rPr>
      </w:pPr>
      <w:bookmarkStart w:id="232" w:name="_Hlk213621450"/>
      <w:r w:rsidRPr="0053182F">
        <w:rPr>
          <w:rFonts w:eastAsia="Times New Roman"/>
          <w:color w:val="auto"/>
          <w:kern w:val="0"/>
          <w:lang w:eastAsia="en-GB"/>
          <w14:ligatures w14:val="none"/>
        </w:rPr>
        <w:t>CSP</w:t>
      </w:r>
      <w:bookmarkEnd w:id="232"/>
      <w:r w:rsidRPr="0053182F">
        <w:rPr>
          <w:rFonts w:eastAsia="Times New Roman"/>
          <w:color w:val="auto"/>
          <w:kern w:val="0"/>
          <w:lang w:eastAsia="en-GB"/>
          <w14:ligatures w14:val="none"/>
        </w:rPr>
        <w:t xml:space="preserve">, typically assessed through ESG-based social pillar scores, reflects a firm’s engagement with key social sustainability dimensions—labour rights, human rights, working conditions, employee welfare, and stakeholder inclusion </w:t>
      </w:r>
      <w:sdt>
        <w:sdtPr>
          <w:rPr>
            <w:rFonts w:eastAsia="Times New Roman"/>
            <w:kern w:val="0"/>
            <w:lang w:eastAsia="en-GB"/>
            <w14:ligatures w14:val="none"/>
          </w:rPr>
          <w:tag w:val="MENDELEY_CITATION_v3_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"/>
          <w:id w:val="-222214669"/>
          <w:placeholder>
            <w:docPart w:val="85E23D0FCC524B8C97182DEB795E8A84"/>
          </w:placeholder>
        </w:sdtPr>
        <w:sdtContent>
          <w:r w:rsidRPr="0053182F">
            <w:rPr>
              <w:rFonts w:eastAsia="Times New Roman"/>
            </w:rPr>
            <w:t xml:space="preserve">(Nekhili </w:t>
          </w:r>
          <w:r w:rsidRPr="0053182F">
            <w:rPr>
              <w:rFonts w:eastAsia="Times New Roman"/>
              <w:i/>
              <w:iCs/>
            </w:rPr>
            <w:t>et al.</w:t>
          </w:r>
          <w:r w:rsidRPr="0053182F">
            <w:rPr>
              <w:rFonts w:eastAsia="Times New Roman"/>
            </w:rPr>
            <w:t xml:space="preserve">, 2021; Yan-Leung </w:t>
          </w:r>
          <w:r w:rsidRPr="0053182F">
            <w:rPr>
              <w:rFonts w:eastAsia="Times New Roman"/>
              <w:i/>
              <w:iCs/>
            </w:rPr>
            <w:t>et al.</w:t>
          </w:r>
          <w:r w:rsidRPr="0053182F">
            <w:rPr>
              <w:rFonts w:eastAsia="Times New Roman"/>
            </w:rPr>
            <w:t>, 2018)</w:t>
          </w:r>
        </w:sdtContent>
      </w:sdt>
      <w:r w:rsidRPr="0053182F">
        <w:rPr>
          <w:rFonts w:eastAsia="Times New Roman"/>
          <w:color w:val="auto"/>
          <w:kern w:val="0"/>
          <w:lang w:eastAsia="en-GB"/>
          <w14:ligatures w14:val="none"/>
        </w:rPr>
        <w:t xml:space="preserve">. High CSP scores indicate the extent to which firms institutionalise social values and embed ethical standards across their governance and operations. Firms demonstrating elevated social performance tend to exhibit proactive stakeholder engagement, improved transparency, and robust responses to reputational and regulatory risks associated with labour exploitation </w:t>
      </w:r>
      <w:bookmarkStart w:id="233" w:name="_Hlk216561594"/>
      <w:sdt>
        <w:sdtPr>
          <w:rPr>
            <w:rFonts w:eastAsia="Times New Roman"/>
            <w:kern w:val="0"/>
            <w:lang w:eastAsia="en-GB"/>
            <w14:ligatures w14:val="none"/>
          </w:rPr>
          <w:tag w:val="MENDELEY_CITATION_v3_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"/>
          <w:id w:val="1692028393"/>
          <w:placeholder>
            <w:docPart w:val="85E23D0FCC524B8C97182DEB795E8A84"/>
          </w:placeholder>
        </w:sdtPr>
        <w:sdtContent>
          <w:r w:rsidRPr="0053182F">
            <w:rPr>
              <w:rFonts w:eastAsia="Times New Roman"/>
            </w:rPr>
            <w:t xml:space="preserve">(García-Sánchez </w:t>
          </w:r>
          <w:r w:rsidRPr="0053182F">
            <w:rPr>
              <w:rFonts w:eastAsia="Times New Roman"/>
              <w:i/>
              <w:iCs/>
            </w:rPr>
            <w:t>et al.</w:t>
          </w:r>
          <w:r w:rsidRPr="0053182F">
            <w:rPr>
              <w:rFonts w:eastAsia="Times New Roman"/>
            </w:rPr>
            <w:t xml:space="preserve">, 2022; Hummel </w:t>
          </w:r>
          <w:r w:rsidRPr="0053182F">
            <w:rPr>
              <w:rFonts w:eastAsia="Times New Roman"/>
              <w:i/>
              <w:iCs/>
            </w:rPr>
            <w:t>et al.</w:t>
          </w:r>
          <w:r w:rsidRPr="0053182F">
            <w:rPr>
              <w:rFonts w:eastAsia="Times New Roman"/>
            </w:rPr>
            <w:t>, 2022)</w:t>
          </w:r>
        </w:sdtContent>
      </w:sdt>
    </w:p>
    <w:bookmarkEnd w:id="233"/>
    <w:p w14:paraId="3C6CBEA4"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From a NIT lens, CSP also serves as a legitimacy-seeking mechanism, in which firms conform to normative and coercive pressures from regulators, rating agencies, investors, and civil society </w:t>
      </w:r>
      <w:sdt>
        <w:sdtPr>
          <w:rPr>
            <w:rFonts w:eastAsia="Times New Roman"/>
            <w:kern w:val="0"/>
            <w:lang w:eastAsia="en-GB"/>
            <w14:ligatures w14:val="none"/>
          </w:rPr>
          <w:tag w:val="MENDELEY_CITATION_v3_eyJjaXRhdGlvbklEIjoiTUVOREVMRVlfQ0lUQVRJT05fNGVmYjY5MTItODcxMi00M2Q1LTgyMTktMTg0OTk5MzQyM2VlIiwicHJvcGVydGllcyI6eyJub3RlSW5kZXgiOjB9LCJpc0VkaXRlZCI6ZmFsc2UsIm1hbnVhbE92ZXJyaWRlIjp7ImlzTWFudWFsbHlPdmVycmlkZGVuIjpmYWxzZSwiY2l0ZXByb2NUZXh0IjoiKERpTWFnZ2lvIGFuZCBQb3dlbGwsIDE5ODM7IE11dGh1dGhhbnRyaWdlIDxpPmV0IGFsLjwvaT4sIDIwMjY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
          <w:id w:val="-616764858"/>
          <w:placeholder>
            <w:docPart w:val="85E23D0FCC524B8C97182DEB795E8A84"/>
          </w:placeholder>
        </w:sdtPr>
        <w:sdtContent>
          <w:r w:rsidRPr="0053182F">
            <w:rPr>
              <w:rFonts w:eastAsia="Times New Roman"/>
            </w:rPr>
            <w:t xml:space="preserve">(DiMaggio and Powell, 1983; Muthuthantrige </w:t>
          </w:r>
          <w:r w:rsidRPr="0053182F">
            <w:rPr>
              <w:rFonts w:eastAsia="Times New Roman"/>
              <w:i/>
              <w:iCs/>
            </w:rPr>
            <w:t>et al.</w:t>
          </w:r>
          <w:r w:rsidRPr="0053182F">
            <w:rPr>
              <w:rFonts w:eastAsia="Times New Roman"/>
            </w:rPr>
            <w:t>, 2026)</w:t>
          </w:r>
        </w:sdtContent>
      </w:sdt>
      <w:r w:rsidRPr="0053182F">
        <w:rPr>
          <w:rFonts w:eastAsia="Times New Roman"/>
          <w:kern w:val="0"/>
          <w:lang w:eastAsia="en-GB"/>
          <w14:ligatures w14:val="none"/>
        </w:rPr>
        <w:t>.</w:t>
      </w:r>
      <w:r w:rsidRPr="0053182F">
        <w:rPr>
          <w:rFonts w:eastAsia="Times New Roman"/>
          <w:color w:val="auto"/>
          <w:kern w:val="0"/>
          <w:lang w:eastAsia="en-GB"/>
          <w14:ligatures w14:val="none"/>
        </w:rPr>
        <w:t xml:space="preserve"> In high-risk sectors, where scrutiny over MS practices is particularly intense, high CSP scores can act as institutional signals of compliance and ethical governance. Firms that invest in social sustainability are better positioned to respond to regulatory frameworks such as the UK MSA (2015) or the EU </w:t>
      </w:r>
      <w:r w:rsidRPr="0053182F">
        <w:rPr>
          <w:rStyle w:val="Strong"/>
          <w:b w:val="0"/>
          <w:bCs w:val="0"/>
          <w:color w:val="auto"/>
        </w:rPr>
        <w:t>CSDDD</w:t>
      </w:r>
      <w:r w:rsidRPr="0053182F">
        <w:rPr>
          <w:rStyle w:val="Strong"/>
          <w:color w:val="auto"/>
        </w:rPr>
        <w:t xml:space="preserve"> </w:t>
      </w:r>
      <w:r w:rsidRPr="0053182F">
        <w:rPr>
          <w:rFonts w:eastAsia="Times New Roman"/>
          <w:color w:val="auto"/>
          <w:kern w:val="0"/>
          <w:lang w:eastAsia="en-GB"/>
          <w14:ligatures w14:val="none"/>
        </w:rPr>
        <w:t xml:space="preserve">(2022), both of which mandate transparency and accountability for labour rights violations in supply chains </w:t>
      </w:r>
      <w:sdt>
        <w:sdtPr>
          <w:rPr>
            <w:rFonts w:eastAsia="Times New Roman"/>
            <w:kern w:val="0"/>
            <w:lang w:eastAsia="en-GB"/>
            <w14:ligatures w14:val="none"/>
          </w:rPr>
          <w:tag w:val="MENDELEY_CITATION_v3_eyJjaXRhdGlvbklEIjoiTUVOREVMRVlfQ0lUQVRJT05fNDUyNzBjN2UtMWFiMi00OGZkLWI0ZTgtY2YwZDIzMzVmN2Y3IiwicHJvcGVydGllcyI6eyJub3RlSW5kZXgiOjB9LCJpc0VkaXRlZCI6ZmFsc2UsIm1hbnVhbE92ZXJyaWRlIjp7ImlzTWFudWFsbHlPdmVycmlkZGVuIjpmYWxzZSwiY2l0ZXByb2NUZXh0IjoiKFBlc3RlcmZpZWxkIGFuZCBSb2dlcnNvbiwgMjAyNDsgVmlkYWwgPGk+ZXQgYWwuPC9pPiwgMjAyMykiLCJtYW51YWxPdmVycmlkZVRleHQiOiIifSwiY2l0YXRpb25JdGVtcyI6W3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"/>
          <w:id w:val="1349602879"/>
          <w:placeholder>
            <w:docPart w:val="85E23D0FCC524B8C97182DEB795E8A84"/>
          </w:placeholder>
        </w:sdtPr>
        <w:sdtContent>
          <w:r w:rsidRPr="0053182F">
            <w:rPr>
              <w:rFonts w:eastAsia="Times New Roman"/>
            </w:rPr>
            <w:t xml:space="preserve">(Pesterfield and Rogerson, 2024; Vidal </w:t>
          </w:r>
          <w:r w:rsidRPr="0053182F">
            <w:rPr>
              <w:rFonts w:eastAsia="Times New Roman"/>
              <w:i/>
              <w:iCs/>
            </w:rPr>
            <w:t>et al.</w:t>
          </w:r>
          <w:r w:rsidRPr="0053182F">
            <w:rPr>
              <w:rFonts w:eastAsia="Times New Roman"/>
            </w:rPr>
            <w:t>, 2023)</w:t>
          </w:r>
        </w:sdtContent>
      </w:sdt>
    </w:p>
    <w:p w14:paraId="32DA67BB" w14:textId="7700CBBF"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Recent empirical research supports the positive relationship between CSP and anti-slavery practices. For example, Islam and Van Staden (202</w:t>
      </w:r>
      <w:r w:rsidR="00DF28DA">
        <w:rPr>
          <w:rFonts w:eastAsia="Times New Roman"/>
          <w:color w:val="auto"/>
          <w:kern w:val="0"/>
          <w:lang w:eastAsia="en-GB"/>
          <w14:ligatures w14:val="none"/>
        </w:rPr>
        <w:t>1</w:t>
      </w:r>
      <w:r w:rsidRPr="0053182F">
        <w:rPr>
          <w:rFonts w:eastAsia="Times New Roman"/>
          <w:color w:val="auto"/>
          <w:kern w:val="0"/>
          <w:lang w:eastAsia="en-GB"/>
          <w14:ligatures w14:val="none"/>
        </w:rPr>
        <w:t xml:space="preserve">) find that high social ESG performance is associated with fewer labour rights controversies and stronger human rights disclosures. Similarly, </w:t>
      </w:r>
      <w:sdt>
        <w:sdtPr>
          <w:rPr>
            <w:rFonts w:eastAsia="Times New Roman"/>
            <w:kern w:val="0"/>
            <w:lang w:eastAsia="en-GB"/>
            <w14:ligatures w14:val="none"/>
          </w:rPr>
          <w:tag w:val="MENDELEY_CITATION_v3_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"/>
          <w:id w:val="-72752362"/>
          <w:placeholder>
            <w:docPart w:val="72BB8172F1384A53A46B9BAB874FEFE8"/>
          </w:placeholder>
        </w:sdtPr>
        <w:sdtContent>
          <w:r w:rsidRPr="0053182F">
            <w:rPr>
              <w:rFonts w:eastAsia="Times New Roman"/>
              <w:kern w:val="0"/>
              <w14:ligatures w14:val="none"/>
            </w:rPr>
            <w:t>Lopatta et al. (2023)</w:t>
          </w:r>
        </w:sdtContent>
      </w:sdt>
      <w:r w:rsidRPr="0053182F">
        <w:rPr>
          <w:rFonts w:eastAsia="Times New Roman"/>
          <w:color w:val="auto"/>
          <w:kern w:val="0"/>
          <w:lang w:eastAsia="en-GB"/>
          <w14:ligatures w14:val="none"/>
        </w:rPr>
        <w:t xml:space="preserve"> show that firms with strong social performance metrics are more likely to adopt external assurance practices and third-party audits—critical mechanisms for identifying and mitigating CMS risks. Furthermore, </w:t>
      </w:r>
      <w:sdt>
        <w:sdtPr>
          <w:rPr>
            <w:rFonts w:eastAsia="Times New Roman"/>
            <w:kern w:val="0"/>
            <w:lang w:eastAsia="en-GB"/>
            <w14:ligatures w14:val="none"/>
          </w:rPr>
          <w:tag w:val="MENDELEY_CITATION_v3_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"/>
          <w:id w:val="-1230387770"/>
          <w:placeholder>
            <w:docPart w:val="8DC9630AABC048B0A48678A5ADA51E21"/>
          </w:placeholder>
        </w:sdtPr>
        <w:sdtContent>
          <w:r w:rsidRPr="0053182F">
            <w:rPr>
              <w:rFonts w:eastAsia="Times New Roman"/>
              <w:kern w:val="0"/>
              <w:lang w:eastAsia="en-GB"/>
              <w14:ligatures w14:val="none"/>
            </w:rPr>
            <w:t>Khan et al (2016)</w:t>
          </w:r>
        </w:sdtContent>
      </w:sdt>
      <w:r w:rsidRPr="0053182F">
        <w:rPr>
          <w:rFonts w:eastAsia="Times New Roman"/>
          <w:kern w:val="0"/>
          <w:lang w:eastAsia="en-GB"/>
          <w14:ligatures w14:val="none"/>
        </w:rPr>
        <w:t xml:space="preserve"> </w:t>
      </w:r>
      <w:r w:rsidRPr="0053182F">
        <w:rPr>
          <w:rFonts w:eastAsia="Times New Roman"/>
          <w:color w:val="auto"/>
          <w:kern w:val="0"/>
          <w:lang w:eastAsia="en-GB"/>
          <w14:ligatures w14:val="none"/>
        </w:rPr>
        <w:t xml:space="preserve"> demonstrate that firms prioritising material social sustainability issues achieve superior risk-adjusted returns, indicating that CSP is not only a moral imperative but also a strategic advantage.</w:t>
      </w:r>
    </w:p>
    <w:p w14:paraId="7FCA35B7"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In light of the above, CSP can be viewed as both a normative commitment to stakeholder values and a strategic response to institutional pressures. It contributes to stronger governance accountability, more rigorous supplier oversight, and the implementation of measurable ACMS practices.</w:t>
      </w:r>
    </w:p>
    <w:p w14:paraId="0B7BA3F2" w14:textId="77777777" w:rsidR="00DB2005" w:rsidRPr="0053182F" w:rsidRDefault="00DB2005" w:rsidP="00DB2005">
      <w:pPr>
        <w:spacing w:after="0" w:line="480" w:lineRule="auto"/>
        <w:jc w:val="both"/>
        <w:rPr>
          <w:rFonts w:eastAsia="Times New Roman"/>
          <w:color w:val="auto"/>
          <w:kern w:val="0"/>
          <w:lang w:eastAsia="en-GB"/>
          <w14:ligatures w14:val="none"/>
        </w:rPr>
      </w:pPr>
      <w:r w:rsidRPr="0053182F">
        <w:rPr>
          <w:rFonts w:eastAsia="Times New Roman"/>
          <w:b/>
          <w:bCs/>
          <w:color w:val="auto"/>
          <w:kern w:val="0"/>
          <w:lang w:eastAsia="en-GB"/>
          <w14:ligatures w14:val="none"/>
        </w:rPr>
        <w:t>H1e</w:t>
      </w:r>
      <w:r w:rsidRPr="0053182F">
        <w:rPr>
          <w:rFonts w:eastAsia="Times New Roman"/>
          <w:color w:val="auto"/>
          <w:kern w:val="0"/>
          <w:lang w:eastAsia="en-GB"/>
          <w14:ligatures w14:val="none"/>
        </w:rPr>
        <w:t>: Firms with higher corporate social performance (CSP) have a positive impact on ACMS practices.</w:t>
      </w:r>
    </w:p>
    <w:p w14:paraId="214D3523" w14:textId="77777777" w:rsidR="00DB2005" w:rsidRPr="0053182F" w:rsidRDefault="00DB2005" w:rsidP="00DB2005">
      <w:pPr>
        <w:pStyle w:val="Heading2"/>
        <w:rPr>
          <w:lang w:eastAsia="en-GB"/>
        </w:rPr>
      </w:pPr>
      <w:bookmarkStart w:id="234" w:name="_Toc215651850"/>
      <w:bookmarkStart w:id="235" w:name="_Toc216557250"/>
      <w:bookmarkStart w:id="236" w:name="_Toc218357139"/>
      <w:bookmarkEnd w:id="218"/>
      <w:bookmarkEnd w:id="219"/>
      <w:r w:rsidRPr="0053182F">
        <w:rPr>
          <w:lang w:eastAsia="en-GB"/>
        </w:rPr>
        <w:t>5.10 CSR Awards and Recognition and Anti-Corporate Modern Slavery Practices</w:t>
      </w:r>
      <w:bookmarkEnd w:id="234"/>
      <w:bookmarkEnd w:id="235"/>
      <w:bookmarkEnd w:id="236"/>
    </w:p>
    <w:p w14:paraId="29FC385D" w14:textId="19A998E9" w:rsidR="00DB2005" w:rsidRPr="0053182F" w:rsidRDefault="00DB2005" w:rsidP="00DB2005">
      <w:p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CSRAW represents a form of reputational capital th</w:t>
      </w:r>
      <w:r w:rsidR="00345234" w:rsidRPr="0053182F">
        <w:rPr>
          <w:rFonts w:eastAsia="Times New Roman"/>
          <w:color w:val="auto"/>
          <w:kern w:val="0"/>
          <w:lang w:eastAsia="en-GB"/>
          <w14:ligatures w14:val="none"/>
        </w:rPr>
        <w:t>at enables firms to</w:t>
      </w:r>
      <w:r w:rsidRPr="0053182F">
        <w:rPr>
          <w:rFonts w:eastAsia="Times New Roman"/>
          <w:color w:val="auto"/>
          <w:kern w:val="0"/>
          <w:lang w:eastAsia="en-GB"/>
          <w14:ligatures w14:val="none"/>
        </w:rPr>
        <w:t xml:space="preserve"> signal leadership in sustainability, ethical conduct, and social impact. These awards—granted by NGOs, industry bodies, media, and professional associations—acknowledge firms that demonstrate excellence in ESG practices, including human rights governance and supply chain ethics </w:t>
      </w:r>
      <w:sdt>
        <w:sdtPr>
          <w:rPr>
            <w:rFonts w:eastAsia="Times New Roman"/>
            <w:kern w:val="0"/>
            <w:lang w:eastAsia="en-GB"/>
            <w14:ligatures w14:val="none"/>
          </w:rPr>
          <w:tag w:val="MENDELEY_CITATION_v3_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"/>
          <w:id w:val="-1786566708"/>
          <w:placeholder>
            <w:docPart w:val="20F575B3C9104E508DC973F6C59B3C0B"/>
          </w:placeholder>
        </w:sdtPr>
        <w:sdtContent>
          <w:r w:rsidRPr="0053182F">
            <w:rPr>
              <w:rFonts w:eastAsia="Times New Roman"/>
            </w:rPr>
            <w:t xml:space="preserve">(Burritt and Christ, 2021; Strauss </w:t>
          </w:r>
          <w:r w:rsidRPr="0053182F">
            <w:rPr>
              <w:rFonts w:eastAsia="Times New Roman"/>
              <w:i/>
              <w:iCs/>
            </w:rPr>
            <w:t>et al.</w:t>
          </w:r>
          <w:r w:rsidRPr="0053182F">
            <w:rPr>
              <w:rFonts w:eastAsia="Times New Roman"/>
            </w:rPr>
            <w:t xml:space="preserve">, 2025; Zhang </w:t>
          </w:r>
          <w:r w:rsidRPr="0053182F">
            <w:rPr>
              <w:rFonts w:eastAsia="Times New Roman"/>
              <w:i/>
              <w:iCs/>
            </w:rPr>
            <w:t>et al.</w:t>
          </w:r>
          <w:r w:rsidRPr="0053182F">
            <w:rPr>
              <w:rFonts w:eastAsia="Times New Roman"/>
            </w:rPr>
            <w:t>, 2025)</w:t>
          </w:r>
        </w:sdtContent>
      </w:sdt>
      <w:r w:rsidRPr="0053182F">
        <w:rPr>
          <w:rFonts w:eastAsia="Times New Roman"/>
          <w:color w:val="auto"/>
          <w:kern w:val="0"/>
          <w:lang w:eastAsia="en-GB"/>
          <w14:ligatures w14:val="none"/>
        </w:rPr>
        <w:t>. Recognition in the form of CSR rankings, awards, and certifications can incentivise firms to institutionalise visible, measurable CSR practices, particularly in areas subject to stakeholder and media scrutiny, such as CMS.</w:t>
      </w:r>
    </w:p>
    <w:p w14:paraId="4C0B078C"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CSR recognition is also tightly linked to mimetic pressures in NIT, which holds that firms facing uncertainty or legitimacy challenges often imitate the structures and practices of perceived leaders in their field </w:t>
      </w:r>
      <w:sdt>
        <w:sdtPr>
          <w:rPr>
            <w:rFonts w:eastAsia="Times New Roman"/>
            <w:kern w:val="0"/>
            <w:lang w:eastAsia="en-GB"/>
            <w14:ligatures w14:val="none"/>
          </w:rPr>
          <w:tag w:val="MENDELEY_CITATION_v3_eyJjaXRhdGlvbklEIjoiTUVOREVMRVlfQ0lUQVRJT05fNGM5NjNiNDctZTg4NS00NDc0LWI1ZjctN2RhNGZmNzIzMzJmIiwicHJvcGVydGllcyI6eyJub3RlSW5kZXgiOjB9LCJpc0VkaXRlZCI6ZmFsc2UsIm1hbnVhbE92ZXJyaWRlIjp7ImlzTWFudWFsbHlPdmVycmlkZGVuIjpmYWxzZSwiY2l0ZXByb2NUZXh0IjoiKERpTWFnZ2lvIGFuZCBQb3dlbGwsIDE5OD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143672831"/>
          <w:placeholder>
            <w:docPart w:val="5AFC4A528ECC42D395A9FE58AEA51410"/>
          </w:placeholder>
        </w:sdtPr>
        <w:sdtContent>
          <w:r w:rsidRPr="0053182F">
            <w:rPr>
              <w:rFonts w:eastAsia="Times New Roman"/>
              <w:kern w:val="0"/>
              <w:lang w:eastAsia="en-GB"/>
              <w14:ligatures w14:val="none"/>
            </w:rPr>
            <w:t>(DiMaggio and Powell, 1983)</w:t>
          </w:r>
        </w:sdtContent>
      </w:sdt>
      <w:r w:rsidRPr="0053182F">
        <w:rPr>
          <w:rFonts w:eastAsia="Times New Roman"/>
          <w:color w:val="auto"/>
          <w:kern w:val="0"/>
          <w:lang w:eastAsia="en-GB"/>
          <w14:ligatures w14:val="none"/>
        </w:rPr>
        <w:t xml:space="preserve">. Firms that observe competitors gaining reputational advantage through CSR accolades may adopt similar ACMS practices to maintain their own legitimacy and market positioning </w:t>
      </w:r>
      <w:sdt>
        <w:sdtPr>
          <w:rPr>
            <w:rFonts w:eastAsia="Times New Roman"/>
            <w:kern w:val="0"/>
            <w:lang w:eastAsia="en-GB"/>
            <w14:ligatures w14:val="none"/>
          </w:rPr>
          <w:tag w:val="MENDELEY_CITATION_v3_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XX0="/>
          <w:id w:val="-1460329188"/>
          <w:placeholder>
            <w:docPart w:val="5AFC4A528ECC42D395A9FE58AEA51410"/>
          </w:placeholder>
        </w:sdtPr>
        <w:sdtContent>
          <w:r w:rsidRPr="0053182F">
            <w:rPr>
              <w:rFonts w:eastAsia="Times New Roman"/>
            </w:rPr>
            <w:t xml:space="preserve">(Moussa </w:t>
          </w:r>
          <w:r w:rsidRPr="0053182F">
            <w:rPr>
              <w:rFonts w:eastAsia="Times New Roman"/>
              <w:i/>
              <w:iCs/>
            </w:rPr>
            <w:t>et al.</w:t>
          </w:r>
          <w:r w:rsidRPr="0053182F">
            <w:rPr>
              <w:rFonts w:eastAsia="Times New Roman"/>
            </w:rPr>
            <w:t xml:space="preserve">, 2023; Vidal </w:t>
          </w:r>
          <w:r w:rsidRPr="0053182F">
            <w:rPr>
              <w:rFonts w:eastAsia="Times New Roman"/>
              <w:i/>
              <w:iCs/>
            </w:rPr>
            <w:t>et al.</w:t>
          </w:r>
          <w:r w:rsidRPr="0053182F">
            <w:rPr>
              <w:rFonts w:eastAsia="Times New Roman"/>
            </w:rPr>
            <w:t>, 2023)</w:t>
          </w:r>
        </w:sdtContent>
      </w:sdt>
      <w:r w:rsidRPr="0053182F">
        <w:rPr>
          <w:rFonts w:eastAsia="Times New Roman"/>
          <w:color w:val="auto"/>
          <w:kern w:val="0"/>
          <w:lang w:eastAsia="en-GB"/>
          <w14:ligatures w14:val="none"/>
        </w:rPr>
        <w:t>. This process contributes to the industry-wide diffusion of best practices in sustainability and anti-slavery governance.</w:t>
      </w:r>
    </w:p>
    <w:p w14:paraId="5E2D75CD"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Furthermore, receiving CSR-related awards can reinforce internal commitment to ethical practices by validating efforts already underway. It serves as a form of external feedback that motivates firms to sustain and deepen their investments in governance mechanisms such as CSRST, third-party audits, supplier codes of conduct, and human rights training </w:t>
      </w:r>
      <w:sdt>
        <w:sdtPr>
          <w:rPr>
            <w:rFonts w:eastAsia="Times New Roman"/>
            <w:kern w:val="0"/>
            <w:lang w:eastAsia="en-GB"/>
            <w14:ligatures w14:val="none"/>
          </w:rPr>
          <w:tag w:val="MENDELEY_CITATION_v3_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"/>
          <w:id w:val="1519118285"/>
          <w:placeholder>
            <w:docPart w:val="5AFC4A528ECC42D395A9FE58AEA51410"/>
          </w:placeholder>
        </w:sdtPr>
        <w:sdtContent>
          <w:r w:rsidRPr="0053182F">
            <w:rPr>
              <w:rFonts w:eastAsia="Times New Roman"/>
            </w:rPr>
            <w:t xml:space="preserve">(García-Sánchez </w:t>
          </w:r>
          <w:r w:rsidRPr="0053182F">
            <w:rPr>
              <w:rFonts w:eastAsia="Times New Roman"/>
              <w:i/>
              <w:iCs/>
            </w:rPr>
            <w:t>et al.</w:t>
          </w:r>
          <w:r w:rsidRPr="0053182F">
            <w:rPr>
              <w:rFonts w:eastAsia="Times New Roman"/>
            </w:rPr>
            <w:t>, 2022; Rogerson and Parry, 2020)</w:t>
          </w:r>
        </w:sdtContent>
      </w:sdt>
      <w:r w:rsidRPr="0053182F">
        <w:rPr>
          <w:rFonts w:eastAsia="Times New Roman"/>
          <w:color w:val="auto"/>
          <w:kern w:val="0"/>
          <w:lang w:eastAsia="en-GB"/>
          <w14:ligatures w14:val="none"/>
        </w:rPr>
        <w:t>. These mechanisms are central to identifying and mitigating risks associated with forced labour, debt bondage, and other forms of CMS.</w:t>
      </w:r>
    </w:p>
    <w:p w14:paraId="110D218D" w14:textId="77777777" w:rsidR="00DB2005" w:rsidRPr="0053182F" w:rsidRDefault="00DB2005" w:rsidP="00DB2005">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Empirical studies support the notion that CSR recognition is positively associated with improved ESG outcomes. For example, García-Sánchez </w:t>
      </w:r>
      <w:r w:rsidRPr="0053182F">
        <w:rPr>
          <w:rFonts w:eastAsia="Times New Roman"/>
          <w:i/>
          <w:iCs/>
          <w:color w:val="auto"/>
          <w:kern w:val="0"/>
          <w:lang w:eastAsia="en-GB"/>
          <w14:ligatures w14:val="none"/>
        </w:rPr>
        <w:t>et al</w:t>
      </w:r>
      <w:r w:rsidRPr="0053182F">
        <w:rPr>
          <w:rFonts w:eastAsia="Times New Roman"/>
          <w:color w:val="auto"/>
          <w:kern w:val="0"/>
          <w:lang w:eastAsia="en-GB"/>
          <w14:ligatures w14:val="none"/>
        </w:rPr>
        <w:t xml:space="preserve">. (2022) find that firms that receive sustainability awards are more likely to produce detailed and externally verified CSR reports. Similarly, Eccles et al. (2014) report that firms with visible CSR reputations exhibit stronger alignment of governance with long-term social and environmental goals. In the context of CMS, firms recognised for social performance are more likely to adopt preventive frameworks, including due diligence processes, risk assessments, and supplier engagement programs </w:t>
      </w:r>
      <w:sdt>
        <w:sdtPr>
          <w:rPr>
            <w:rFonts w:eastAsia="Times New Roman"/>
            <w:kern w:val="0"/>
            <w:lang w:eastAsia="en-GB"/>
            <w14:ligatures w14:val="none"/>
          </w:rPr>
          <w:tag w:val="MENDELEY_CITATION_v3_eyJjaXRhdGlvbklEIjoiTUVOREVMRVlfQ0lUQVRJT05fZWZhMjU1N2ItZTMxMy00Mjg5LWFiMWYtMjUwNTA2YmNlODUyIiwicHJvcGVydGllcyI6eyJub3RlSW5kZXgiOjB9LCJpc0VkaXRlZCI6ZmFsc2UsIm1hbnVhbE92ZXJyaWRlIjp7ImlzTWFudWFsbHlPdmVycmlkZGVuIjpmYWxzZSwiY2l0ZXByb2NUZXh0IjoiKENyYW5lIDxpPmV0IGFsLjwvaT4sIDIwMTk7IFZpZGFsIDxpPmV0IGFsLjwvaT4sIDIwMjM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
          <w:id w:val="866878276"/>
          <w:placeholder>
            <w:docPart w:val="5AFC4A528ECC42D395A9FE58AEA51410"/>
          </w:placeholder>
        </w:sdtPr>
        <w:sdtContent>
          <w:r w:rsidRPr="0053182F">
            <w:rPr>
              <w:rFonts w:eastAsia="Times New Roman"/>
            </w:rPr>
            <w:t xml:space="preserve">(Crane </w:t>
          </w:r>
          <w:r w:rsidRPr="0053182F">
            <w:rPr>
              <w:rFonts w:eastAsia="Times New Roman"/>
              <w:i/>
              <w:iCs/>
            </w:rPr>
            <w:t>et al.</w:t>
          </w:r>
          <w:r w:rsidRPr="0053182F">
            <w:rPr>
              <w:rFonts w:eastAsia="Times New Roman"/>
            </w:rPr>
            <w:t xml:space="preserve">, 2019; Vidal </w:t>
          </w:r>
          <w:r w:rsidRPr="0053182F">
            <w:rPr>
              <w:rFonts w:eastAsia="Times New Roman"/>
              <w:i/>
              <w:iCs/>
            </w:rPr>
            <w:t>et al.</w:t>
          </w:r>
          <w:r w:rsidRPr="0053182F">
            <w:rPr>
              <w:rFonts w:eastAsia="Times New Roman"/>
            </w:rPr>
            <w:t>, 2023)</w:t>
          </w:r>
        </w:sdtContent>
      </w:sdt>
      <w:r w:rsidRPr="0053182F">
        <w:rPr>
          <w:rFonts w:eastAsia="Times New Roman"/>
          <w:kern w:val="0"/>
          <w:lang w:eastAsia="en-GB"/>
          <w14:ligatures w14:val="none"/>
        </w:rPr>
        <w:t xml:space="preserve">. </w:t>
      </w:r>
    </w:p>
    <w:p w14:paraId="3FCCDD2A" w14:textId="77777777" w:rsidR="00DB2005" w:rsidRPr="0053182F" w:rsidRDefault="00DB2005" w:rsidP="00DB2005">
      <w:pPr>
        <w:spacing w:before="100" w:beforeAutospacing="1" w:after="100" w:afterAutospacing="1" w:line="480" w:lineRule="auto"/>
        <w:ind w:firstLine="720"/>
        <w:jc w:val="both"/>
        <w:rPr>
          <w:rFonts w:eastAsia="Times New Roman"/>
          <w:color w:val="EE0000"/>
          <w:kern w:val="0"/>
          <w:lang w:eastAsia="en-GB"/>
          <w14:ligatures w14:val="none"/>
        </w:rPr>
      </w:pPr>
      <w:r w:rsidRPr="0053182F">
        <w:rPr>
          <w:rFonts w:eastAsia="Times New Roman"/>
          <w:color w:val="auto"/>
          <w:kern w:val="0"/>
          <w:lang w:eastAsia="en-GB"/>
          <w14:ligatures w14:val="none"/>
        </w:rPr>
        <w:t xml:space="preserve">However, there is also a risk that firms pursue recognition for reputational gains without embedding substantive change. Thus, while CSR awards may originate as symbolic capital, they often reinforce normative and mimetic pressures that push firms toward more embedded and effective ACMS practices. </w:t>
      </w:r>
      <w:r w:rsidRPr="0053182F">
        <w:rPr>
          <w:rFonts w:eastAsia="Times New Roman"/>
          <w:color w:val="EE0000"/>
          <w:kern w:val="0"/>
          <w:lang w:eastAsia="en-GB"/>
          <w14:ligatures w14:val="none"/>
        </w:rPr>
        <w:t>These institutional mechanisms, therefore, motivate the hypothesis outlined below.</w:t>
      </w:r>
    </w:p>
    <w:p w14:paraId="314D5DEA" w14:textId="77777777" w:rsidR="00DB2005" w:rsidRPr="0053182F" w:rsidRDefault="00DB2005" w:rsidP="00DB2005">
      <w:pPr>
        <w:spacing w:beforeAutospacing="1" w:after="100" w:afterAutospacing="1" w:line="480" w:lineRule="auto"/>
        <w:jc w:val="both"/>
        <w:rPr>
          <w:rFonts w:eastAsia="Times New Roman"/>
          <w:color w:val="auto"/>
          <w:kern w:val="0"/>
          <w:lang w:eastAsia="en-GB"/>
          <w14:ligatures w14:val="none"/>
        </w:rPr>
      </w:pPr>
      <w:r w:rsidRPr="0053182F">
        <w:rPr>
          <w:rFonts w:eastAsia="Times New Roman"/>
          <w:b/>
          <w:bCs/>
          <w:color w:val="auto"/>
          <w:kern w:val="0"/>
          <w:lang w:eastAsia="en-GB"/>
          <w14:ligatures w14:val="none"/>
        </w:rPr>
        <w:t>H1f</w:t>
      </w:r>
      <w:r w:rsidRPr="0053182F">
        <w:rPr>
          <w:rFonts w:eastAsia="Times New Roman"/>
          <w:color w:val="auto"/>
          <w:kern w:val="0"/>
          <w:lang w:eastAsia="en-GB"/>
          <w14:ligatures w14:val="none"/>
        </w:rPr>
        <w:t>: Firms receiving CSR-related awards and recognition exhibit stronger commitments to ACMS practices.</w:t>
      </w:r>
    </w:p>
    <w:p w14:paraId="0018A2B1" w14:textId="77777777" w:rsidR="00DB2005" w:rsidRPr="0053182F" w:rsidRDefault="00DB2005" w:rsidP="00DB2005">
      <w:pPr>
        <w:pStyle w:val="Heading2"/>
        <w:rPr>
          <w:rFonts w:eastAsia="Times New Roman"/>
          <w:color w:val="EE0000"/>
          <w:kern w:val="0"/>
          <w:lang w:eastAsia="en-GB"/>
          <w14:ligatures w14:val="none"/>
        </w:rPr>
      </w:pPr>
      <w:bookmarkStart w:id="237" w:name="_Toc218357140"/>
      <w:r w:rsidRPr="0053182F">
        <w:rPr>
          <w:rFonts w:eastAsia="Times New Roman"/>
          <w:color w:val="EE0000"/>
          <w:kern w:val="0"/>
          <w:lang w:eastAsia="en-GB"/>
          <w14:ligatures w14:val="none"/>
        </w:rPr>
        <w:t xml:space="preserve">5.11: CSR reporting </w:t>
      </w:r>
      <w:r w:rsidRPr="0053182F">
        <w:rPr>
          <w:color w:val="EE0000"/>
          <w:lang w:eastAsia="en-GB"/>
        </w:rPr>
        <w:t>and Anti-Corporate Modern Slavery Practices</w:t>
      </w:r>
      <w:bookmarkEnd w:id="237"/>
    </w:p>
    <w:p w14:paraId="4C261B1E" w14:textId="77777777" w:rsidR="00DB2005" w:rsidRPr="0053182F" w:rsidRDefault="00DB2005" w:rsidP="00DB2005">
      <w:pPr>
        <w:spacing w:beforeAutospacing="1" w:after="100" w:afterAutospacing="1" w:line="480" w:lineRule="auto"/>
        <w:jc w:val="both"/>
        <w:rPr>
          <w:rFonts w:eastAsia="Times New Roman"/>
          <w:color w:val="EE0000"/>
          <w:kern w:val="0"/>
          <w:lang w:eastAsia="en-GB"/>
          <w14:ligatures w14:val="none"/>
        </w:rPr>
      </w:pPr>
      <w:r w:rsidRPr="0053182F">
        <w:rPr>
          <w:rFonts w:eastAsia="Times New Roman"/>
          <w:color w:val="EE0000"/>
          <w:kern w:val="0"/>
          <w:lang w:eastAsia="en-GB"/>
          <w14:ligatures w14:val="none"/>
        </w:rPr>
        <w:t xml:space="preserve">CSR reporting has become a central mechanism through which firms communicate their social and ethical commitments to external stakeholders, particularly in response to rising regulatory, normative, and reputational pressures surrounding CMS in global supply chains </w:t>
      </w:r>
      <w:sdt>
        <w:sdtPr>
          <w:rPr>
            <w:rFonts w:eastAsia="Times New Roman"/>
            <w:color w:val="EE0000"/>
            <w:kern w:val="0"/>
            <w:lang w:eastAsia="en-GB"/>
            <w14:ligatures w14:val="none"/>
          </w:rPr>
          <w:tag w:val="MENDELEY_CITATION_v3_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"/>
          <w:id w:val="130677077"/>
          <w:placeholder>
            <w:docPart w:val="453DA41CF2AA45E6B242612D6BE59CD3"/>
          </w:placeholder>
        </w:sdtPr>
        <w:sdtContent>
          <w:r w:rsidRPr="0053182F">
            <w:rPr>
              <w:rFonts w:eastAsia="Times New Roman"/>
              <w:color w:val="EE0000"/>
            </w:rPr>
            <w:t xml:space="preserve">(Hamed </w:t>
          </w:r>
          <w:r w:rsidRPr="0053182F">
            <w:rPr>
              <w:rFonts w:eastAsia="Times New Roman"/>
              <w:i/>
              <w:iCs/>
              <w:color w:val="EE0000"/>
            </w:rPr>
            <w:t>et al.</w:t>
          </w:r>
          <w:r w:rsidRPr="0053182F">
            <w:rPr>
              <w:rFonts w:eastAsia="Times New Roman"/>
              <w:color w:val="EE0000"/>
            </w:rPr>
            <w:t>, 2022; PWC, 2023)</w:t>
          </w:r>
        </w:sdtContent>
      </w:sdt>
      <w:r w:rsidRPr="0053182F">
        <w:rPr>
          <w:rFonts w:eastAsia="Times New Roman"/>
          <w:color w:val="EE0000"/>
          <w:kern w:val="0"/>
          <w:lang w:eastAsia="en-GB"/>
          <w14:ligatures w14:val="none"/>
        </w:rPr>
        <w:t xml:space="preserve">. Under legislative frameworks such as the UK MSA 2015 and similar disclosure regimes, firms are increasingly required to publicly report on their policies, due diligence processes, and actions to address CMS risks. From a NIT perspective, CSR reporting functions as a legitimacy-seeking practice through which organisations align themselves with dominant social expectations and global governance norms </w:t>
      </w:r>
      <w:sdt>
        <w:sdtPr>
          <w:rPr>
            <w:rFonts w:eastAsia="Times New Roman"/>
            <w:color w:val="EE0000"/>
            <w:kern w:val="0"/>
            <w:lang w:eastAsia="en-GB"/>
            <w14:ligatures w14:val="none"/>
          </w:rPr>
          <w:tag w:val="MENDELEY_CITATION_v3_eyJjaXRhdGlvbklEIjoiTUVOREVMRVlfQ0lUQVRJT05fODEyNTY2MWItOTkzOC00NmIwLWJmNTQtZDlhZmQ5ZjM3ZDMzIiwicHJvcGVydGllcyI6eyJub3RlSW5kZXgiOjB9LCJpc0VkaXRlZCI6ZmFsc2UsIm1hbnVhbE92ZXJyaWRlIjp7ImlzTWFudWFsbHlPdmVycmlkZGVuIjpmYWxzZSwiY2l0ZXByb2NUZXh0IjoiKERpTWFnZ2lvIGFuZCBQb3dlbGwsIDE5ODM7IFBlc3RlcmZpZWxkIGFuZCBSb2dlcnNvbiwgMjAyNC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"/>
          <w:id w:val="-1228225596"/>
          <w:placeholder>
            <w:docPart w:val="59737F6D5E3D47E6AB9419BE6B36B319"/>
          </w:placeholder>
        </w:sdtPr>
        <w:sdtContent>
          <w:r w:rsidRPr="0053182F">
            <w:rPr>
              <w:rFonts w:eastAsia="Times New Roman"/>
              <w:color w:val="EE0000"/>
              <w:kern w:val="0"/>
              <w:lang w:eastAsia="en-GB"/>
              <w14:ligatures w14:val="none"/>
            </w:rPr>
            <w:t>(DiMaggio and Powell, 1983; Pesterfield and Rogerson, 2024)</w:t>
          </w:r>
        </w:sdtContent>
      </w:sdt>
      <w:r w:rsidRPr="0053182F">
        <w:rPr>
          <w:rFonts w:eastAsia="Times New Roman"/>
          <w:color w:val="EE0000"/>
          <w:kern w:val="0"/>
          <w:lang w:eastAsia="en-GB"/>
          <w14:ligatures w14:val="none"/>
        </w:rPr>
        <w:t>.</w:t>
      </w:r>
    </w:p>
    <w:p w14:paraId="6CEB3E4A" w14:textId="751A10FD" w:rsidR="00DB2005" w:rsidRPr="0053182F" w:rsidRDefault="00DB2005" w:rsidP="00DB2005">
      <w:pPr>
        <w:spacing w:beforeAutospacing="1" w:after="100" w:afterAutospacing="1" w:line="480" w:lineRule="auto"/>
        <w:ind w:firstLine="720"/>
        <w:jc w:val="both"/>
        <w:rPr>
          <w:rFonts w:eastAsia="Times New Roman"/>
          <w:color w:val="EE0000"/>
          <w:kern w:val="0"/>
          <w:lang w:eastAsia="en-GB"/>
          <w14:ligatures w14:val="none"/>
        </w:rPr>
      </w:pPr>
      <w:r w:rsidRPr="0053182F">
        <w:rPr>
          <w:rFonts w:eastAsia="Times New Roman"/>
          <w:color w:val="EE0000"/>
          <w:kern w:val="0"/>
          <w:lang w:eastAsia="en-GB"/>
          <w14:ligatures w14:val="none"/>
        </w:rPr>
        <w:t xml:space="preserve">A growing body of empirical research suggests that firms with more extensive CSR reporting are more likely to articulate formal commitments to ACMS initiatives </w:t>
      </w:r>
      <w:sdt>
        <w:sdtPr>
          <w:rPr>
            <w:rFonts w:eastAsia="Times New Roman"/>
            <w:color w:val="EE0000"/>
            <w:kern w:val="0"/>
            <w:lang w:eastAsia="en-GB"/>
            <w14:ligatures w14:val="none"/>
          </w:rPr>
          <w:tag w:val="MENDELEY_CITATION_v3_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"/>
          <w:id w:val="210157108"/>
          <w:placeholder>
            <w:docPart w:val="453DA41CF2AA45E6B242612D6BE59CD3"/>
          </w:placeholder>
        </w:sdtPr>
        <w:sdtContent>
          <w:r w:rsidRPr="0053182F">
            <w:rPr>
              <w:rFonts w:eastAsia="Times New Roman"/>
              <w:color w:val="EE0000"/>
            </w:rPr>
            <w:t xml:space="preserve">(KPMG, 2024; Michelon </w:t>
          </w:r>
          <w:r w:rsidRPr="0053182F">
            <w:rPr>
              <w:rFonts w:eastAsia="Times New Roman"/>
              <w:i/>
              <w:iCs/>
              <w:color w:val="EE0000"/>
            </w:rPr>
            <w:t>et al.</w:t>
          </w:r>
          <w:r w:rsidRPr="0053182F">
            <w:rPr>
              <w:rFonts w:eastAsia="Times New Roman"/>
              <w:color w:val="EE0000"/>
            </w:rPr>
            <w:t xml:space="preserve">, 2015; Raimo </w:t>
          </w:r>
          <w:r w:rsidRPr="0053182F">
            <w:rPr>
              <w:rFonts w:eastAsia="Times New Roman"/>
              <w:i/>
              <w:iCs/>
              <w:color w:val="EE0000"/>
            </w:rPr>
            <w:t>et al.</w:t>
          </w:r>
          <w:r w:rsidRPr="0053182F">
            <w:rPr>
              <w:rFonts w:eastAsia="Times New Roman"/>
              <w:color w:val="EE0000"/>
            </w:rPr>
            <w:t>, 2020; Young and Gad, 2022)</w:t>
          </w:r>
        </w:sdtContent>
      </w:sdt>
      <w:r w:rsidRPr="0053182F">
        <w:rPr>
          <w:rFonts w:eastAsia="Times New Roman"/>
          <w:color w:val="EE0000"/>
          <w:kern w:val="0"/>
          <w:lang w:eastAsia="en-GB"/>
          <w14:ligatures w14:val="none"/>
        </w:rPr>
        <w:t xml:space="preserve">. Enhanced reporting increases transparency, exposes firms to greater stakeholder scrutiny, and creates reputational incentives to demonstrate compliance with labour and human rights standards </w:t>
      </w:r>
      <w:sdt>
        <w:sdtPr>
          <w:rPr>
            <w:rFonts w:eastAsia="Times New Roman"/>
            <w:color w:val="EE0000"/>
            <w:kern w:val="0"/>
            <w:lang w:eastAsia="en-GB"/>
            <w14:ligatures w14:val="none"/>
          </w:rPr>
          <w:tag w:val="MENDELEY_CITATION_v3_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
          <w:id w:val="-398138924"/>
          <w:placeholder>
            <w:docPart w:val="453DA41CF2AA45E6B242612D6BE59CD3"/>
          </w:placeholder>
        </w:sdtPr>
        <w:sdtContent>
          <w:r w:rsidRPr="0053182F">
            <w:rPr>
              <w:rFonts w:eastAsia="Times New Roman"/>
              <w:color w:val="EE0000"/>
            </w:rPr>
            <w:t xml:space="preserve">(Christ </w:t>
          </w:r>
          <w:r w:rsidRPr="0053182F">
            <w:rPr>
              <w:rFonts w:eastAsia="Times New Roman"/>
              <w:i/>
              <w:iCs/>
              <w:color w:val="EE0000"/>
            </w:rPr>
            <w:t>et al.</w:t>
          </w:r>
          <w:r w:rsidRPr="0053182F">
            <w:rPr>
              <w:rFonts w:eastAsia="Times New Roman"/>
              <w:color w:val="EE0000"/>
            </w:rPr>
            <w:t xml:space="preserve">, 2023; Hoang </w:t>
          </w:r>
          <w:r w:rsidRPr="0053182F">
            <w:rPr>
              <w:rFonts w:eastAsia="Times New Roman"/>
              <w:i/>
              <w:iCs/>
              <w:color w:val="EE0000"/>
            </w:rPr>
            <w:t>et al.</w:t>
          </w:r>
          <w:r w:rsidRPr="0053182F">
            <w:rPr>
              <w:rFonts w:eastAsia="Times New Roman"/>
              <w:color w:val="EE0000"/>
            </w:rPr>
            <w:t>, 2023; Sikka, 2011</w:t>
          </w:r>
        </w:sdtContent>
      </w:sdt>
      <w:r w:rsidRPr="0053182F">
        <w:rPr>
          <w:rFonts w:eastAsia="Times New Roman"/>
          <w:color w:val="EE0000"/>
          <w:kern w:val="0"/>
          <w:lang w:eastAsia="en-GB"/>
          <w14:ligatures w14:val="none"/>
        </w:rPr>
        <w:t>). In this sense, CSR reporting can act as a governance mechanism that institutionalises ACMS commitments within corporate accountability structures, encouraging firms to adopt policies and frameworks aimed at mitigating exploitation risks.</w:t>
      </w:r>
    </w:p>
    <w:p w14:paraId="17C1960B" w14:textId="3E4E15F4" w:rsidR="00DB2005" w:rsidRPr="0053182F" w:rsidRDefault="00DB2005" w:rsidP="00DB2005">
      <w:pPr>
        <w:spacing w:beforeAutospacing="1" w:after="100" w:afterAutospacing="1" w:line="480" w:lineRule="auto"/>
        <w:ind w:firstLine="720"/>
        <w:jc w:val="both"/>
        <w:rPr>
          <w:rFonts w:eastAsia="Times New Roman"/>
          <w:color w:val="EE0000"/>
          <w:kern w:val="0"/>
          <w:lang w:eastAsia="en-GB"/>
          <w14:ligatures w14:val="none"/>
        </w:rPr>
      </w:pPr>
      <w:r w:rsidRPr="0053182F">
        <w:rPr>
          <w:rFonts w:eastAsia="Times New Roman"/>
          <w:color w:val="EE0000"/>
          <w:kern w:val="0"/>
          <w:lang w:eastAsia="en-GB"/>
          <w14:ligatures w14:val="none"/>
        </w:rPr>
        <w:t xml:space="preserve">However, the literature also cautions that CSR reporting may not always reflect substantive change. Several studies document the risk of symbolic compliance, </w:t>
      </w:r>
      <w:r w:rsidR="00646C31" w:rsidRPr="0053182F">
        <w:rPr>
          <w:rFonts w:eastAsia="Times New Roman"/>
          <w:color w:val="EE0000"/>
          <w:kern w:val="0"/>
          <w:lang w:eastAsia="en-GB"/>
          <w14:ligatures w14:val="none"/>
        </w:rPr>
        <w:t>in which firms disclose extensive narratives about</w:t>
      </w:r>
      <w:r w:rsidRPr="0053182F">
        <w:rPr>
          <w:rFonts w:eastAsia="Times New Roman"/>
          <w:color w:val="EE0000"/>
          <w:kern w:val="0"/>
          <w:lang w:eastAsia="en-GB"/>
          <w14:ligatures w14:val="none"/>
        </w:rPr>
        <w:t xml:space="preserve"> without implementing meaningful operational reforms </w:t>
      </w:r>
      <w:sdt>
        <w:sdtPr>
          <w:rPr>
            <w:rFonts w:eastAsia="Times New Roman"/>
            <w:color w:val="EE0000"/>
            <w:kern w:val="0"/>
            <w:lang w:eastAsia="en-GB"/>
            <w14:ligatures w14:val="none"/>
          </w:rPr>
          <w:tag w:val="MENDELEY_CITATION_v3_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"/>
          <w:id w:val="-339082261"/>
          <w:placeholder>
            <w:docPart w:val="453DA41CF2AA45E6B242612D6BE59CD3"/>
          </w:placeholder>
        </w:sdtPr>
        <w:sdtContent>
          <w:r w:rsidRPr="0053182F">
            <w:rPr>
              <w:rFonts w:eastAsia="Times New Roman"/>
              <w:color w:val="EE0000"/>
            </w:rPr>
            <w:t xml:space="preserve">(Gutierrez-Huerter O </w:t>
          </w:r>
          <w:r w:rsidRPr="0053182F">
            <w:rPr>
              <w:rFonts w:eastAsia="Times New Roman"/>
              <w:i/>
              <w:iCs/>
              <w:color w:val="EE0000"/>
            </w:rPr>
            <w:t>et al.</w:t>
          </w:r>
          <w:r w:rsidRPr="0053182F">
            <w:rPr>
              <w:rFonts w:eastAsia="Times New Roman"/>
              <w:color w:val="EE0000"/>
            </w:rPr>
            <w:t>, 2023; Schaper and Pollach, 2021)</w:t>
          </w:r>
        </w:sdtContent>
      </w:sdt>
      <w:r w:rsidRPr="0053182F">
        <w:rPr>
          <w:rFonts w:eastAsia="Times New Roman"/>
          <w:color w:val="EE0000"/>
          <w:kern w:val="0"/>
          <w:lang w:eastAsia="en-GB"/>
          <w14:ligatures w14:val="none"/>
        </w:rPr>
        <w:t xml:space="preserve">. This reflects NIT’s concept of institutional decoupling, whereby formal reporting structures coexist with persistent exploitative practices in supply chains </w:t>
      </w:r>
      <w:sdt>
        <w:sdtPr>
          <w:rPr>
            <w:rFonts w:eastAsia="Times New Roman"/>
            <w:color w:val="EE0000"/>
            <w:kern w:val="0"/>
            <w:lang w:eastAsia="en-GB"/>
            <w14:ligatures w14:val="none"/>
          </w:rPr>
          <w:tag w:val="MENDELEY_CITATION_v3_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XX0="/>
          <w:id w:val="1908258653"/>
          <w:placeholder>
            <w:docPart w:val="453DA41CF2AA45E6B242612D6BE59CD3"/>
          </w:placeholder>
        </w:sdtPr>
        <w:sdtContent>
          <w:r w:rsidRPr="0053182F">
            <w:rPr>
              <w:rFonts w:eastAsia="Times New Roman"/>
              <w:color w:val="EE0000"/>
              <w:kern w:val="0"/>
              <w:lang w:eastAsia="en-GB"/>
              <w14:ligatures w14:val="none"/>
            </w:rPr>
            <w:t>(LeBaron, 2020; Meyer and Rowan, 1977)</w:t>
          </w:r>
        </w:sdtContent>
      </w:sdt>
      <w:r w:rsidRPr="0053182F">
        <w:rPr>
          <w:rFonts w:eastAsia="Times New Roman"/>
          <w:color w:val="EE0000"/>
          <w:kern w:val="0"/>
          <w:lang w:eastAsia="en-GB"/>
          <w14:ligatures w14:val="none"/>
        </w:rPr>
        <w:t>. Nevertheless, even when partially symbolic, CSR reporting still signals organisational responsiveness to coercive and normative pressures and is often associated with higher levels of formal commitment to ACMS governance.</w:t>
      </w:r>
    </w:p>
    <w:p w14:paraId="78A5F2E4" w14:textId="77777777" w:rsidR="00DB2005" w:rsidRPr="0053182F" w:rsidRDefault="00DB2005" w:rsidP="00DB2005">
      <w:pPr>
        <w:spacing w:beforeAutospacing="1" w:after="100" w:afterAutospacing="1" w:line="480" w:lineRule="auto"/>
        <w:ind w:firstLine="720"/>
        <w:jc w:val="both"/>
        <w:rPr>
          <w:rFonts w:eastAsia="Times New Roman"/>
          <w:color w:val="EE0000"/>
          <w:kern w:val="0"/>
          <w:lang w:eastAsia="en-GB"/>
          <w14:ligatures w14:val="none"/>
        </w:rPr>
      </w:pPr>
      <w:r w:rsidRPr="0053182F">
        <w:rPr>
          <w:rFonts w:eastAsia="Times New Roman"/>
          <w:color w:val="EE0000"/>
          <w:kern w:val="0"/>
          <w:lang w:eastAsia="en-GB"/>
          <w14:ligatures w14:val="none"/>
        </w:rPr>
        <w:t>Consistent with this reasoning, firms that engage more intensively in CSR reporting are expected to demonstrate stronger ACMS commitments, as reporting serves both as a legitimising response to external expectations and as a platform for articulating governance intentions related to CMS. Accordingly, this study advances the following hypothesis:</w:t>
      </w:r>
    </w:p>
    <w:p w14:paraId="11641F4C" w14:textId="77777777" w:rsidR="00DB2005" w:rsidRPr="0053182F" w:rsidRDefault="00DB2005" w:rsidP="00DB2005">
      <w:pPr>
        <w:spacing w:beforeAutospacing="1" w:after="100" w:afterAutospacing="1" w:line="480" w:lineRule="auto"/>
        <w:jc w:val="both"/>
        <w:rPr>
          <w:rFonts w:eastAsia="Times New Roman"/>
          <w:color w:val="EE0000"/>
          <w:kern w:val="0"/>
          <w:lang w:eastAsia="en-GB"/>
          <w14:ligatures w14:val="none"/>
        </w:rPr>
      </w:pPr>
      <w:r w:rsidRPr="0053182F">
        <w:rPr>
          <w:rFonts w:eastAsia="Times New Roman"/>
          <w:color w:val="EE0000"/>
          <w:kern w:val="0"/>
          <w:lang w:eastAsia="en-GB"/>
          <w14:ligatures w14:val="none"/>
        </w:rPr>
        <w:t>H1g: Firms with higher levels of CSR reporting are positively associated with stronger ACMS commitments.</w:t>
      </w:r>
    </w:p>
    <w:p w14:paraId="491173DC" w14:textId="53BF8ED9" w:rsidR="00DB2005" w:rsidRPr="0053182F" w:rsidRDefault="00DB2005" w:rsidP="00DB2005">
      <w:p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See Figure 5.3 for the </w:t>
      </w:r>
      <w:r w:rsidRPr="0053182F">
        <w:t>conceptual framew</w:t>
      </w:r>
      <w:r w:rsidR="00646C31" w:rsidRPr="0053182F">
        <w:t>ork</w:t>
      </w:r>
      <w:r w:rsidRPr="0053182F">
        <w:t xml:space="preserve"> </w:t>
      </w:r>
      <w:r w:rsidR="00646C31" w:rsidRPr="0053182F">
        <w:t xml:space="preserve">of </w:t>
      </w:r>
      <w:r w:rsidRPr="0053182F">
        <w:t>meso-level analysis.</w:t>
      </w:r>
    </w:p>
    <w:p w14:paraId="3D96A32D" w14:textId="77777777" w:rsidR="00DB2005" w:rsidRPr="0053182F" w:rsidRDefault="00DB2005" w:rsidP="00DB2005">
      <w:pPr>
        <w:spacing w:line="240" w:lineRule="auto"/>
      </w:pPr>
      <w:r w:rsidRPr="0053182F">
        <w:rPr>
          <w:b/>
          <w:noProof/>
        </w:rPr>
        <mc:AlternateContent>
          <mc:Choice Requires="wps">
            <w:drawing>
              <wp:anchor distT="45720" distB="45720" distL="114300" distR="114300" simplePos="0" relativeHeight="251709570" behindDoc="0" locked="0" layoutInCell="1" allowOverlap="1" wp14:anchorId="3493D2EA" wp14:editId="260F2497">
                <wp:simplePos x="0" y="0"/>
                <wp:positionH relativeFrom="column">
                  <wp:posOffset>361315</wp:posOffset>
                </wp:positionH>
                <wp:positionV relativeFrom="paragraph">
                  <wp:posOffset>95250</wp:posOffset>
                </wp:positionV>
                <wp:extent cx="4667250" cy="2101215"/>
                <wp:effectExtent l="0" t="0" r="19050" b="13335"/>
                <wp:wrapSquare wrapText="bothSides"/>
                <wp:docPr id="1327386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7250" cy="2101215"/>
                        </a:xfrm>
                        <a:prstGeom prst="rect">
                          <a:avLst/>
                        </a:prstGeom>
                        <a:solidFill>
                          <a:srgbClr val="FFFFFF"/>
                        </a:solidFill>
                        <a:ln w="9525">
                          <a:solidFill>
                            <a:srgbClr val="000000"/>
                          </a:solidFill>
                          <a:miter lim="800000"/>
                          <a:headEnd/>
                          <a:tailEnd/>
                        </a:ln>
                      </wps:spPr>
                      <wps:txbx>
                        <w:txbxContent>
                          <w:p w14:paraId="51501D7E" w14:textId="77777777" w:rsidR="00DB2005" w:rsidRDefault="00DB2005" w:rsidP="00DB2005">
                            <w:pPr>
                              <w:spacing w:line="240" w:lineRule="auto"/>
                              <w:jc w:val="center"/>
                            </w:pPr>
                            <w:r>
                              <w:rPr>
                                <w:b/>
                              </w:rPr>
                              <w:t>External Institutional Pressures</w:t>
                            </w:r>
                          </w:p>
                          <w:p w14:paraId="09883BC6" w14:textId="77777777" w:rsidR="00DB2005" w:rsidRDefault="00DB2005" w:rsidP="00DB2005">
                            <w:pPr>
                              <w:spacing w:line="240" w:lineRule="auto"/>
                              <w:jc w:val="center"/>
                            </w:pPr>
                            <w:r>
                              <w:t xml:space="preserve">- Coercive Pressures </w:t>
                            </w:r>
                          </w:p>
                          <w:p w14:paraId="4A69DBF8" w14:textId="77777777" w:rsidR="00DB2005" w:rsidRDefault="00DB2005" w:rsidP="00DB2005">
                            <w:pPr>
                              <w:spacing w:line="240" w:lineRule="auto"/>
                              <w:jc w:val="center"/>
                            </w:pPr>
                            <w:r>
                              <w:t>(e.g., UK Modern Slavery Act, EU Due Diligence Directive, ESG regulations)</w:t>
                            </w:r>
                          </w:p>
                          <w:p w14:paraId="5A28860B" w14:textId="77777777" w:rsidR="00DB2005" w:rsidRDefault="00DB2005" w:rsidP="00DB2005">
                            <w:pPr>
                              <w:spacing w:line="240" w:lineRule="auto"/>
                              <w:jc w:val="center"/>
                            </w:pPr>
                            <w:r>
                              <w:t xml:space="preserve">- Normative Pressures </w:t>
                            </w:r>
                          </w:p>
                          <w:p w14:paraId="5FAB42BD" w14:textId="77777777" w:rsidR="00DB2005" w:rsidRDefault="00DB2005" w:rsidP="00DB2005">
                            <w:pPr>
                              <w:spacing w:line="240" w:lineRule="auto"/>
                              <w:jc w:val="center"/>
                            </w:pPr>
                            <w:r>
                              <w:t>(e.g., stakeholder expectations, industry standards, governance codes)</w:t>
                            </w:r>
                          </w:p>
                          <w:p w14:paraId="482C3855" w14:textId="77777777" w:rsidR="00DB2005" w:rsidRDefault="00DB2005" w:rsidP="00DB2005">
                            <w:pPr>
                              <w:spacing w:line="240" w:lineRule="auto"/>
                              <w:jc w:val="center"/>
                            </w:pPr>
                            <w:r>
                              <w:t xml:space="preserve">- Mimetic Pressures </w:t>
                            </w:r>
                          </w:p>
                          <w:p w14:paraId="6379EF64" w14:textId="77777777" w:rsidR="00DB2005" w:rsidRDefault="00DB2005" w:rsidP="00DB2005">
                            <w:pPr>
                              <w:spacing w:line="240" w:lineRule="auto"/>
                              <w:jc w:val="center"/>
                            </w:pPr>
                            <w:r>
                              <w:t>(e.g., imitation of sustainability leaders, CSR benchmarking)</w:t>
                            </w:r>
                          </w:p>
                          <w:p w14:paraId="57E1B95A" w14:textId="77777777" w:rsidR="00DB2005" w:rsidRDefault="00DB2005" w:rsidP="00DB200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93D2EA" id="_x0000_s1104" type="#_x0000_t202" style="position:absolute;margin-left:28.45pt;margin-top:7.5pt;width:367.5pt;height:165.45pt;z-index:25170957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">
                <v:textbox>
                  <w:txbxContent>
                    <w:p w14:paraId="51501D7E" w14:textId="77777777" w:rsidR="00DB2005" w:rsidRDefault="00DB2005" w:rsidP="00DB2005">
                      <w:pPr>
                        <w:spacing w:line="240" w:lineRule="auto"/>
                        <w:jc w:val="center"/>
                      </w:pPr>
                      <w:r>
                        <w:rPr>
                          <w:b/>
                        </w:rPr>
                        <w:t>External Institutional Pressures</w:t>
                      </w:r>
                    </w:p>
                    <w:p w14:paraId="09883BC6" w14:textId="77777777" w:rsidR="00DB2005" w:rsidRDefault="00DB2005" w:rsidP="00DB2005">
                      <w:pPr>
                        <w:spacing w:line="240" w:lineRule="auto"/>
                        <w:jc w:val="center"/>
                      </w:pPr>
                      <w:r>
                        <w:t xml:space="preserve">- Coercive Pressures </w:t>
                      </w:r>
                    </w:p>
                    <w:p w14:paraId="4A69DBF8" w14:textId="77777777" w:rsidR="00DB2005" w:rsidRDefault="00DB2005" w:rsidP="00DB2005">
                      <w:pPr>
                        <w:spacing w:line="240" w:lineRule="auto"/>
                        <w:jc w:val="center"/>
                      </w:pPr>
                      <w:r>
                        <w:t>(e.g., UK Modern Slavery Act, EU Due Diligence Directive, ESG regulations)</w:t>
                      </w:r>
                    </w:p>
                    <w:p w14:paraId="5A28860B" w14:textId="77777777" w:rsidR="00DB2005" w:rsidRDefault="00DB2005" w:rsidP="00DB2005">
                      <w:pPr>
                        <w:spacing w:line="240" w:lineRule="auto"/>
                        <w:jc w:val="center"/>
                      </w:pPr>
                      <w:r>
                        <w:t xml:space="preserve">- Normative Pressures </w:t>
                      </w:r>
                    </w:p>
                    <w:p w14:paraId="5FAB42BD" w14:textId="77777777" w:rsidR="00DB2005" w:rsidRDefault="00DB2005" w:rsidP="00DB2005">
                      <w:pPr>
                        <w:spacing w:line="240" w:lineRule="auto"/>
                        <w:jc w:val="center"/>
                      </w:pPr>
                      <w:r>
                        <w:t>(e.g., stakeholder expectations, industry standards, governance codes)</w:t>
                      </w:r>
                    </w:p>
                    <w:p w14:paraId="482C3855" w14:textId="77777777" w:rsidR="00DB2005" w:rsidRDefault="00DB2005" w:rsidP="00DB2005">
                      <w:pPr>
                        <w:spacing w:line="240" w:lineRule="auto"/>
                        <w:jc w:val="center"/>
                      </w:pPr>
                      <w:r>
                        <w:t xml:space="preserve">- Mimetic Pressures </w:t>
                      </w:r>
                    </w:p>
                    <w:p w14:paraId="6379EF64" w14:textId="77777777" w:rsidR="00DB2005" w:rsidRDefault="00DB2005" w:rsidP="00DB2005">
                      <w:pPr>
                        <w:spacing w:line="240" w:lineRule="auto"/>
                        <w:jc w:val="center"/>
                      </w:pPr>
                      <w:r>
                        <w:t>(e.g., imitation of sustainability leaders, CSR benchmarking)</w:t>
                      </w:r>
                    </w:p>
                    <w:p w14:paraId="57E1B95A" w14:textId="77777777" w:rsidR="00DB2005" w:rsidRDefault="00DB2005" w:rsidP="00DB2005"/>
                  </w:txbxContent>
                </v:textbox>
                <w10:wrap type="square"/>
              </v:shape>
            </w:pict>
          </mc:Fallback>
        </mc:AlternateContent>
      </w:r>
    </w:p>
    <w:p w14:paraId="56FED089" w14:textId="77777777" w:rsidR="00DB2005" w:rsidRPr="0053182F" w:rsidRDefault="00DB2005" w:rsidP="00DB2005">
      <w:pPr>
        <w:spacing w:line="240" w:lineRule="auto"/>
        <w:jc w:val="center"/>
      </w:pPr>
    </w:p>
    <w:p w14:paraId="0892F3C9" w14:textId="77777777" w:rsidR="00DB2005" w:rsidRPr="0053182F" w:rsidRDefault="00DB2005" w:rsidP="00DB2005">
      <w:pPr>
        <w:spacing w:line="240" w:lineRule="auto"/>
        <w:jc w:val="center"/>
      </w:pPr>
    </w:p>
    <w:p w14:paraId="089F1B99" w14:textId="77777777" w:rsidR="00DB2005" w:rsidRPr="0053182F" w:rsidRDefault="00DB2005" w:rsidP="00DB2005">
      <w:pPr>
        <w:spacing w:line="240" w:lineRule="auto"/>
        <w:jc w:val="center"/>
      </w:pPr>
    </w:p>
    <w:p w14:paraId="5AF26B30" w14:textId="77777777" w:rsidR="00DB2005" w:rsidRPr="0053182F" w:rsidRDefault="00DB2005" w:rsidP="00DB2005">
      <w:pPr>
        <w:spacing w:line="240" w:lineRule="auto"/>
        <w:jc w:val="center"/>
      </w:pPr>
    </w:p>
    <w:p w14:paraId="2106E988" w14:textId="77777777" w:rsidR="00DB2005" w:rsidRPr="0053182F" w:rsidRDefault="00DB2005" w:rsidP="00DB2005">
      <w:pPr>
        <w:spacing w:line="240" w:lineRule="auto"/>
        <w:jc w:val="center"/>
      </w:pPr>
    </w:p>
    <w:p w14:paraId="2139B8C3" w14:textId="77777777" w:rsidR="00DB2005" w:rsidRPr="0053182F" w:rsidRDefault="00DB2005" w:rsidP="00DB2005">
      <w:pPr>
        <w:spacing w:line="240" w:lineRule="auto"/>
        <w:jc w:val="center"/>
      </w:pPr>
    </w:p>
    <w:p w14:paraId="3E71C6B7" w14:textId="77777777" w:rsidR="00DB2005" w:rsidRPr="0053182F" w:rsidRDefault="00DB2005" w:rsidP="00DB2005">
      <w:pPr>
        <w:spacing w:line="240" w:lineRule="auto"/>
        <w:jc w:val="center"/>
      </w:pPr>
      <w:r w:rsidRPr="0053182F">
        <w:rPr>
          <w:noProof/>
        </w:rPr>
        <mc:AlternateContent>
          <mc:Choice Requires="wps">
            <w:drawing>
              <wp:anchor distT="0" distB="0" distL="114300" distR="114300" simplePos="0" relativeHeight="251713666" behindDoc="0" locked="0" layoutInCell="1" allowOverlap="1" wp14:anchorId="2DFB7692" wp14:editId="23007DFB">
                <wp:simplePos x="0" y="0"/>
                <wp:positionH relativeFrom="column">
                  <wp:posOffset>2852420</wp:posOffset>
                </wp:positionH>
                <wp:positionV relativeFrom="paragraph">
                  <wp:posOffset>259080</wp:posOffset>
                </wp:positionV>
                <wp:extent cx="0" cy="397510"/>
                <wp:effectExtent l="95250" t="0" r="114300" b="59690"/>
                <wp:wrapNone/>
                <wp:docPr id="1767182412" name="Straight Arrow Connector 1"/>
                <wp:cNvGraphicFramePr/>
                <a:graphic xmlns:a="http://schemas.openxmlformats.org/drawingml/2006/main">
                  <a:graphicData uri="http://schemas.microsoft.com/office/word/2010/wordprocessingShape">
                    <wps:wsp>
                      <wps:cNvCnPr/>
                      <wps:spPr>
                        <a:xfrm>
                          <a:off x="0" y="0"/>
                          <a:ext cx="0" cy="39751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4758DDCC" id="Straight Arrow Connector 1" o:spid="_x0000_s1026" type="#_x0000_t32" style="position:absolute;margin-left:224.6pt;margin-top:20.4pt;width:0;height:31.3pt;z-index:25171366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" strokecolor="black [3200]" strokeweight="1.5pt">
                <v:stroke endarrow="open"/>
              </v:shape>
            </w:pict>
          </mc:Fallback>
        </mc:AlternateContent>
      </w:r>
    </w:p>
    <w:p w14:paraId="2DE124F6" w14:textId="77777777" w:rsidR="00DB2005" w:rsidRPr="0053182F" w:rsidRDefault="00DB2005" w:rsidP="00DB2005">
      <w:pPr>
        <w:spacing w:before="240" w:after="0" w:line="240" w:lineRule="auto"/>
        <w:jc w:val="center"/>
      </w:pPr>
    </w:p>
    <w:p w14:paraId="3153B9F9" w14:textId="77777777" w:rsidR="00DB2005" w:rsidRPr="0053182F" w:rsidRDefault="00DB2005" w:rsidP="00DB2005">
      <w:pPr>
        <w:spacing w:line="240" w:lineRule="auto"/>
        <w:jc w:val="center"/>
      </w:pPr>
      <w:r w:rsidRPr="0053182F">
        <w:rPr>
          <w:noProof/>
        </w:rPr>
        <mc:AlternateContent>
          <mc:Choice Requires="wps">
            <w:drawing>
              <wp:anchor distT="45720" distB="45720" distL="114300" distR="114300" simplePos="0" relativeHeight="251710594" behindDoc="0" locked="0" layoutInCell="1" allowOverlap="1" wp14:anchorId="64EDCFD6" wp14:editId="124B33CA">
                <wp:simplePos x="0" y="0"/>
                <wp:positionH relativeFrom="column">
                  <wp:posOffset>1000705</wp:posOffset>
                </wp:positionH>
                <wp:positionV relativeFrom="paragraph">
                  <wp:posOffset>186690</wp:posOffset>
                </wp:positionV>
                <wp:extent cx="3667125" cy="2404110"/>
                <wp:effectExtent l="0" t="0" r="28575" b="15240"/>
                <wp:wrapSquare wrapText="bothSides"/>
                <wp:docPr id="2228190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7125" cy="2404110"/>
                        </a:xfrm>
                        <a:prstGeom prst="rect">
                          <a:avLst/>
                        </a:prstGeom>
                        <a:solidFill>
                          <a:srgbClr val="FFFFFF"/>
                        </a:solidFill>
                        <a:ln w="9525">
                          <a:solidFill>
                            <a:srgbClr val="000000"/>
                          </a:solidFill>
                          <a:miter lim="800000"/>
                          <a:headEnd/>
                          <a:tailEnd/>
                        </a:ln>
                      </wps:spPr>
                      <wps:txbx>
                        <w:txbxContent>
                          <w:p w14:paraId="09908C5D" w14:textId="77777777" w:rsidR="00DB2005" w:rsidRPr="00B83D13" w:rsidRDefault="00DB2005" w:rsidP="00DB2005">
                            <w:pPr>
                              <w:jc w:val="both"/>
                            </w:pPr>
                            <w:r w:rsidRPr="00B83D13">
                              <w:rPr>
                                <w:b/>
                              </w:rPr>
                              <w:t>Sustainability Governance Initiatives (SGIs)</w:t>
                            </w:r>
                          </w:p>
                          <w:p w14:paraId="09657706" w14:textId="77777777" w:rsidR="00DB2005" w:rsidRPr="00B83D13" w:rsidRDefault="00DB2005" w:rsidP="00DB2005">
                            <w:pPr>
                              <w:ind w:left="993" w:hanging="567"/>
                              <w:jc w:val="both"/>
                            </w:pPr>
                            <w:r w:rsidRPr="00B83D13">
                              <w:t>H1a → CSR Strategy Integration (CSRST)</w:t>
                            </w:r>
                            <w:r>
                              <w:t xml:space="preserve"> </w:t>
                            </w:r>
                          </w:p>
                          <w:p w14:paraId="1493CD3E" w14:textId="77777777" w:rsidR="00DB2005" w:rsidRPr="00B83D13" w:rsidRDefault="00DB2005" w:rsidP="00DB2005">
                            <w:pPr>
                              <w:ind w:left="993" w:hanging="567"/>
                              <w:jc w:val="both"/>
                            </w:pPr>
                            <w:r w:rsidRPr="00B83D13">
                              <w:t>H1b → Board Gender Diversity (BG</w:t>
                            </w:r>
                            <w:r>
                              <w:t>D</w:t>
                            </w:r>
                            <w:r w:rsidRPr="00B83D13">
                              <w:t>)</w:t>
                            </w:r>
                          </w:p>
                          <w:p w14:paraId="05356F83" w14:textId="77777777" w:rsidR="00DB2005" w:rsidRPr="00B83D13" w:rsidRDefault="00DB2005" w:rsidP="00DB2005">
                            <w:pPr>
                              <w:ind w:left="993" w:hanging="567"/>
                              <w:jc w:val="both"/>
                            </w:pPr>
                            <w:r w:rsidRPr="00B83D13">
                              <w:t>H1c → CSR Committees (CSRC)</w:t>
                            </w:r>
                          </w:p>
                          <w:p w14:paraId="6E03999A" w14:textId="77777777" w:rsidR="00DB2005" w:rsidRPr="00B83D13" w:rsidRDefault="00DB2005" w:rsidP="00DB2005">
                            <w:pPr>
                              <w:ind w:left="993" w:hanging="567"/>
                              <w:jc w:val="both"/>
                            </w:pPr>
                            <w:r w:rsidRPr="00B83D13">
                              <w:t>H1d → External CSR Assurance (CSR</w:t>
                            </w:r>
                            <w:r>
                              <w:t>A</w:t>
                            </w:r>
                            <w:r w:rsidRPr="00B83D13">
                              <w:t>)</w:t>
                            </w:r>
                            <w:r>
                              <w:t xml:space="preserve"> </w:t>
                            </w:r>
                          </w:p>
                          <w:p w14:paraId="1B289ECF" w14:textId="77777777" w:rsidR="00DB2005" w:rsidRPr="00FD0593" w:rsidRDefault="00DB2005" w:rsidP="00DB2005">
                            <w:pPr>
                              <w:ind w:left="2268" w:hanging="1842"/>
                              <w:jc w:val="both"/>
                              <w:rPr>
                                <w:b/>
                                <w:bCs/>
                              </w:rPr>
                            </w:pPr>
                            <w:r w:rsidRPr="00B83D13">
                              <w:t>H1e → Corporate Social Performance (CSP)</w:t>
                            </w:r>
                          </w:p>
                          <w:p w14:paraId="00613A67" w14:textId="77777777" w:rsidR="00DB2005" w:rsidRDefault="00DB2005" w:rsidP="00DB2005">
                            <w:pPr>
                              <w:ind w:left="2268" w:hanging="1842"/>
                              <w:jc w:val="both"/>
                            </w:pPr>
                            <w:r w:rsidRPr="00B83D13">
                              <w:t>H1f → CSR Awards and Recognition (CSRAW)</w:t>
                            </w:r>
                          </w:p>
                          <w:p w14:paraId="2D0A34AC" w14:textId="77777777" w:rsidR="00DB2005" w:rsidRPr="00595E8D" w:rsidRDefault="00DB2005" w:rsidP="00DB2005">
                            <w:pPr>
                              <w:ind w:left="2268" w:hanging="1842"/>
                              <w:jc w:val="both"/>
                              <w:rPr>
                                <w:color w:val="EE0000"/>
                              </w:rPr>
                            </w:pPr>
                            <w:r w:rsidRPr="00595E8D">
                              <w:rPr>
                                <w:color w:val="EE0000"/>
                              </w:rPr>
                              <w:t>H1g→ CSR reporting (CSRREP)</w:t>
                            </w:r>
                          </w:p>
                          <w:p w14:paraId="7B936740" w14:textId="77777777" w:rsidR="00DB2005" w:rsidRDefault="00DB2005" w:rsidP="00DB200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EDCFD6" id="_x0000_s1105" type="#_x0000_t202" style="position:absolute;left:0;text-align:left;margin-left:78.8pt;margin-top:14.7pt;width:288.75pt;height:189.3pt;z-index:25171059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">
                <v:textbox>
                  <w:txbxContent>
                    <w:p w14:paraId="09908C5D" w14:textId="77777777" w:rsidR="00DB2005" w:rsidRPr="00B83D13" w:rsidRDefault="00DB2005" w:rsidP="00DB2005">
                      <w:pPr>
                        <w:jc w:val="both"/>
                      </w:pPr>
                      <w:r w:rsidRPr="00B83D13">
                        <w:rPr>
                          <w:b/>
                        </w:rPr>
                        <w:t>Sustainability Governance Initiatives (SGIs)</w:t>
                      </w:r>
                    </w:p>
                    <w:p w14:paraId="09657706" w14:textId="77777777" w:rsidR="00DB2005" w:rsidRPr="00B83D13" w:rsidRDefault="00DB2005" w:rsidP="00DB2005">
                      <w:pPr>
                        <w:ind w:left="993" w:hanging="567"/>
                        <w:jc w:val="both"/>
                      </w:pPr>
                      <w:r w:rsidRPr="00B83D13">
                        <w:t>H1a → CSR Strategy Integration (CSRST)</w:t>
                      </w:r>
                      <w:r>
                        <w:t xml:space="preserve"> </w:t>
                      </w:r>
                    </w:p>
                    <w:p w14:paraId="1493CD3E" w14:textId="77777777" w:rsidR="00DB2005" w:rsidRPr="00B83D13" w:rsidRDefault="00DB2005" w:rsidP="00DB2005">
                      <w:pPr>
                        <w:ind w:left="993" w:hanging="567"/>
                        <w:jc w:val="both"/>
                      </w:pPr>
                      <w:r w:rsidRPr="00B83D13">
                        <w:t>H1b → Board Gender Diversity (BG</w:t>
                      </w:r>
                      <w:r>
                        <w:t>D</w:t>
                      </w:r>
                      <w:r w:rsidRPr="00B83D13">
                        <w:t>)</w:t>
                      </w:r>
                    </w:p>
                    <w:p w14:paraId="05356F83" w14:textId="77777777" w:rsidR="00DB2005" w:rsidRPr="00B83D13" w:rsidRDefault="00DB2005" w:rsidP="00DB2005">
                      <w:pPr>
                        <w:ind w:left="993" w:hanging="567"/>
                        <w:jc w:val="both"/>
                      </w:pPr>
                      <w:r w:rsidRPr="00B83D13">
                        <w:t>H1c → CSR Committees (CSRC)</w:t>
                      </w:r>
                    </w:p>
                    <w:p w14:paraId="6E03999A" w14:textId="77777777" w:rsidR="00DB2005" w:rsidRPr="00B83D13" w:rsidRDefault="00DB2005" w:rsidP="00DB2005">
                      <w:pPr>
                        <w:ind w:left="993" w:hanging="567"/>
                        <w:jc w:val="both"/>
                      </w:pPr>
                      <w:r w:rsidRPr="00B83D13">
                        <w:t>H1d → External CSR Assurance (CSR</w:t>
                      </w:r>
                      <w:r>
                        <w:t>A</w:t>
                      </w:r>
                      <w:r w:rsidRPr="00B83D13">
                        <w:t>)</w:t>
                      </w:r>
                      <w:r>
                        <w:t xml:space="preserve"> </w:t>
                      </w:r>
                    </w:p>
                    <w:p w14:paraId="1B289ECF" w14:textId="77777777" w:rsidR="00DB2005" w:rsidRPr="00FD0593" w:rsidRDefault="00DB2005" w:rsidP="00DB2005">
                      <w:pPr>
                        <w:ind w:left="2268" w:hanging="1842"/>
                        <w:jc w:val="both"/>
                        <w:rPr>
                          <w:b/>
                          <w:bCs/>
                        </w:rPr>
                      </w:pPr>
                      <w:r w:rsidRPr="00B83D13">
                        <w:t>H1e → Corporate Social Performance (CSP)</w:t>
                      </w:r>
                    </w:p>
                    <w:p w14:paraId="00613A67" w14:textId="77777777" w:rsidR="00DB2005" w:rsidRDefault="00DB2005" w:rsidP="00DB2005">
                      <w:pPr>
                        <w:ind w:left="2268" w:hanging="1842"/>
                        <w:jc w:val="both"/>
                      </w:pPr>
                      <w:r w:rsidRPr="00B83D13">
                        <w:t>H1f → CSR Awards and Recognition (CSRAW)</w:t>
                      </w:r>
                    </w:p>
                    <w:p w14:paraId="2D0A34AC" w14:textId="77777777" w:rsidR="00DB2005" w:rsidRPr="00595E8D" w:rsidRDefault="00DB2005" w:rsidP="00DB2005">
                      <w:pPr>
                        <w:ind w:left="2268" w:hanging="1842"/>
                        <w:jc w:val="both"/>
                        <w:rPr>
                          <w:color w:val="EE0000"/>
                        </w:rPr>
                      </w:pPr>
                      <w:r w:rsidRPr="00595E8D">
                        <w:rPr>
                          <w:color w:val="EE0000"/>
                        </w:rPr>
                        <w:t>H1g→ CSR reporting (CSRREP)</w:t>
                      </w:r>
                    </w:p>
                    <w:p w14:paraId="7B936740" w14:textId="77777777" w:rsidR="00DB2005" w:rsidRDefault="00DB2005" w:rsidP="00DB2005"/>
                  </w:txbxContent>
                </v:textbox>
                <w10:wrap type="square"/>
              </v:shape>
            </w:pict>
          </mc:Fallback>
        </mc:AlternateContent>
      </w:r>
    </w:p>
    <w:p w14:paraId="74125FAB" w14:textId="77777777" w:rsidR="00DB2005" w:rsidRPr="0053182F" w:rsidRDefault="00DB2005" w:rsidP="00DB2005">
      <w:pPr>
        <w:spacing w:line="240" w:lineRule="auto"/>
        <w:jc w:val="center"/>
      </w:pPr>
    </w:p>
    <w:p w14:paraId="7FED17A2" w14:textId="77777777" w:rsidR="00DB2005" w:rsidRPr="0053182F" w:rsidRDefault="00DB2005" w:rsidP="00DB2005">
      <w:pPr>
        <w:spacing w:line="240" w:lineRule="auto"/>
        <w:jc w:val="center"/>
      </w:pPr>
    </w:p>
    <w:p w14:paraId="45B08D13" w14:textId="77777777" w:rsidR="00DB2005" w:rsidRPr="0053182F" w:rsidRDefault="00DB2005" w:rsidP="00DB2005">
      <w:pPr>
        <w:spacing w:line="240" w:lineRule="auto"/>
        <w:jc w:val="center"/>
      </w:pPr>
    </w:p>
    <w:p w14:paraId="2120E90C" w14:textId="77777777" w:rsidR="00DB2005" w:rsidRPr="0053182F" w:rsidRDefault="00DB2005" w:rsidP="00DB2005">
      <w:pPr>
        <w:spacing w:line="240" w:lineRule="auto"/>
        <w:jc w:val="center"/>
      </w:pPr>
    </w:p>
    <w:p w14:paraId="06992E5B" w14:textId="77777777" w:rsidR="00DB2005" w:rsidRPr="0053182F" w:rsidRDefault="00DB2005" w:rsidP="00DB2005">
      <w:pPr>
        <w:spacing w:line="240" w:lineRule="auto"/>
        <w:jc w:val="center"/>
      </w:pPr>
    </w:p>
    <w:p w14:paraId="3D9406FD" w14:textId="77777777" w:rsidR="00DB2005" w:rsidRPr="0053182F" w:rsidRDefault="00DB2005" w:rsidP="00DB2005">
      <w:pPr>
        <w:spacing w:line="240" w:lineRule="auto"/>
        <w:jc w:val="center"/>
      </w:pPr>
    </w:p>
    <w:p w14:paraId="72DCFF02" w14:textId="77777777" w:rsidR="00DB2005" w:rsidRPr="0053182F" w:rsidRDefault="00DB2005" w:rsidP="00DB2005">
      <w:pPr>
        <w:spacing w:line="240" w:lineRule="auto"/>
        <w:jc w:val="center"/>
      </w:pPr>
    </w:p>
    <w:p w14:paraId="232FED89" w14:textId="77777777" w:rsidR="00DB2005" w:rsidRPr="0053182F" w:rsidRDefault="00DB2005" w:rsidP="00DB2005">
      <w:pPr>
        <w:spacing w:line="240" w:lineRule="auto"/>
        <w:jc w:val="center"/>
      </w:pPr>
    </w:p>
    <w:p w14:paraId="00B8535A" w14:textId="77777777" w:rsidR="00DB2005" w:rsidRPr="0053182F" w:rsidRDefault="00DB2005" w:rsidP="00DB2005">
      <w:pPr>
        <w:spacing w:after="0" w:line="240" w:lineRule="auto"/>
        <w:ind w:left="720"/>
        <w:jc w:val="center"/>
      </w:pPr>
      <w:r w:rsidRPr="0053182F">
        <w:rPr>
          <w:noProof/>
        </w:rPr>
        <mc:AlternateContent>
          <mc:Choice Requires="wps">
            <w:drawing>
              <wp:anchor distT="0" distB="0" distL="114300" distR="114300" simplePos="0" relativeHeight="251712642" behindDoc="0" locked="0" layoutInCell="1" allowOverlap="1" wp14:anchorId="6A0E8733" wp14:editId="4A659FEB">
                <wp:simplePos x="0" y="0"/>
                <wp:positionH relativeFrom="column">
                  <wp:posOffset>2782570</wp:posOffset>
                </wp:positionH>
                <wp:positionV relativeFrom="paragraph">
                  <wp:posOffset>61434</wp:posOffset>
                </wp:positionV>
                <wp:extent cx="0" cy="397565"/>
                <wp:effectExtent l="95250" t="0" r="114300" b="59690"/>
                <wp:wrapNone/>
                <wp:docPr id="209799840" name="Straight Arrow Connector 1"/>
                <wp:cNvGraphicFramePr/>
                <a:graphic xmlns:a="http://schemas.openxmlformats.org/drawingml/2006/main">
                  <a:graphicData uri="http://schemas.microsoft.com/office/word/2010/wordprocessingShape">
                    <wps:wsp>
                      <wps:cNvCnPr/>
                      <wps:spPr>
                        <a:xfrm>
                          <a:off x="0" y="0"/>
                          <a:ext cx="0" cy="397565"/>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02325B94" id="Straight Arrow Connector 1" o:spid="_x0000_s1026" type="#_x0000_t32" style="position:absolute;margin-left:219.1pt;margin-top:4.85pt;width:0;height:31.3pt;z-index:25171264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" strokecolor="black [3200]" strokeweight="1.5pt">
                <v:stroke endarrow="open"/>
              </v:shape>
            </w:pict>
          </mc:Fallback>
        </mc:AlternateContent>
      </w:r>
      <w:r w:rsidRPr="0053182F">
        <w:t xml:space="preserve">               </w:t>
      </w:r>
    </w:p>
    <w:p w14:paraId="3A62481C" w14:textId="77777777" w:rsidR="00DB2005" w:rsidRPr="0053182F" w:rsidRDefault="00DB2005" w:rsidP="00DB2005">
      <w:r w:rsidRPr="0053182F">
        <w:rPr>
          <w:noProof/>
        </w:rPr>
        <mc:AlternateContent>
          <mc:Choice Requires="wps">
            <w:drawing>
              <wp:anchor distT="45720" distB="45720" distL="114300" distR="114300" simplePos="0" relativeHeight="251711618" behindDoc="0" locked="0" layoutInCell="1" allowOverlap="1" wp14:anchorId="37B4E5E5" wp14:editId="31E44EC5">
                <wp:simplePos x="0" y="0"/>
                <wp:positionH relativeFrom="column">
                  <wp:posOffset>-656590</wp:posOffset>
                </wp:positionH>
                <wp:positionV relativeFrom="paragraph">
                  <wp:posOffset>317500</wp:posOffset>
                </wp:positionV>
                <wp:extent cx="6718300" cy="1404620"/>
                <wp:effectExtent l="0" t="0" r="25400" b="27305"/>
                <wp:wrapSquare wrapText="bothSides"/>
                <wp:docPr id="7301198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18300" cy="1404620"/>
                        </a:xfrm>
                        <a:prstGeom prst="rect">
                          <a:avLst/>
                        </a:prstGeom>
                        <a:solidFill>
                          <a:srgbClr val="FFFFFF"/>
                        </a:solidFill>
                        <a:ln w="9525">
                          <a:solidFill>
                            <a:srgbClr val="000000"/>
                          </a:solidFill>
                          <a:miter lim="800000"/>
                          <a:headEnd/>
                          <a:tailEnd/>
                        </a:ln>
                      </wps:spPr>
                      <wps:txbx>
                        <w:txbxContent>
                          <w:p w14:paraId="60ECF663" w14:textId="77777777" w:rsidR="00DB2005" w:rsidRDefault="00DB2005" w:rsidP="00DB2005">
                            <w:pPr>
                              <w:jc w:val="center"/>
                            </w:pPr>
                            <w:r>
                              <w:rPr>
                                <w:b/>
                              </w:rPr>
                              <w:t>Anti-Corporate Modern Slavery (ACMS) Practices</w:t>
                            </w:r>
                          </w:p>
                          <w:p w14:paraId="7DB522C8" w14:textId="77777777" w:rsidR="00DB2005" w:rsidRDefault="00DB2005" w:rsidP="00DB2005">
                            <w:r>
                              <w:t>(</w:t>
                            </w:r>
                            <w:r w:rsidRPr="00B83D13">
                              <w:t>A</w:t>
                            </w:r>
                            <w:r>
                              <w:t>C</w:t>
                            </w:r>
                            <w:r w:rsidRPr="00B83D13">
                              <w:t>MS Performance Index - commitment to addressing modern slavery in operations and supply chains)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7B4E5E5" id="_x0000_s1106" type="#_x0000_t202" style="position:absolute;margin-left:-51.7pt;margin-top:25pt;width:529pt;height:110.6pt;z-index:25171161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">
                <v:textbox style="mso-fit-shape-to-text:t">
                  <w:txbxContent>
                    <w:p w14:paraId="60ECF663" w14:textId="77777777" w:rsidR="00DB2005" w:rsidRDefault="00DB2005" w:rsidP="00DB2005">
                      <w:pPr>
                        <w:jc w:val="center"/>
                      </w:pPr>
                      <w:r>
                        <w:rPr>
                          <w:b/>
                        </w:rPr>
                        <w:t>Anti-Corporate Modern Slavery (ACMS) Practices</w:t>
                      </w:r>
                    </w:p>
                    <w:p w14:paraId="7DB522C8" w14:textId="77777777" w:rsidR="00DB2005" w:rsidRDefault="00DB2005" w:rsidP="00DB2005">
                      <w:r>
                        <w:t>(</w:t>
                      </w:r>
                      <w:r w:rsidRPr="00B83D13">
                        <w:t>A</w:t>
                      </w:r>
                      <w:r>
                        <w:t>C</w:t>
                      </w:r>
                      <w:r w:rsidRPr="00B83D13">
                        <w:t>MS Performance Index - commitment to addressing modern slavery in operations and supply chains)</w:t>
                      </w:r>
                    </w:p>
                  </w:txbxContent>
                </v:textbox>
                <w10:wrap type="square"/>
              </v:shape>
            </w:pict>
          </mc:Fallback>
        </mc:AlternateContent>
      </w:r>
      <w:r w:rsidRPr="0053182F">
        <w:t xml:space="preserve">                                                                            </w:t>
      </w:r>
    </w:p>
    <w:p w14:paraId="67753EA6" w14:textId="77777777" w:rsidR="00DB2005" w:rsidRPr="0053182F" w:rsidRDefault="00DB2005" w:rsidP="00DB2005">
      <w:pPr>
        <w:rPr>
          <w:color w:val="auto"/>
        </w:rPr>
      </w:pPr>
      <w:r w:rsidRPr="0053182F">
        <w:rPr>
          <w:b/>
          <w:bCs/>
        </w:rPr>
        <w:t>Figure 5.3</w:t>
      </w:r>
      <w:r w:rsidRPr="0053182F">
        <w:t xml:space="preserve">: Conceptual Framework – The Role of SGIs in Eliminating </w:t>
      </w:r>
      <w:r w:rsidRPr="0053182F">
        <w:rPr>
          <w:color w:val="auto"/>
        </w:rPr>
        <w:t>CMS Practices</w:t>
      </w:r>
    </w:p>
    <w:p w14:paraId="17F161DD" w14:textId="77777777" w:rsidR="00DB2005" w:rsidRPr="0053182F" w:rsidRDefault="00DB2005" w:rsidP="00DB2005">
      <w:pPr>
        <w:jc w:val="center"/>
      </w:pPr>
      <w:r w:rsidRPr="0053182F">
        <w:rPr>
          <w:b/>
          <w:bCs/>
        </w:rPr>
        <w:t>Source:</w:t>
      </w:r>
      <w:r w:rsidRPr="0053182F">
        <w:t xml:space="preserve"> Author’s own work</w:t>
      </w:r>
    </w:p>
    <w:p w14:paraId="224422EB" w14:textId="77777777" w:rsidR="00DB2005" w:rsidRPr="0053182F" w:rsidRDefault="00DB2005" w:rsidP="00DB2005">
      <w:pPr>
        <w:pStyle w:val="Heading2"/>
        <w:numPr>
          <w:ilvl w:val="1"/>
          <w:numId w:val="48"/>
        </w:numPr>
        <w:ind w:left="360" w:hanging="360"/>
      </w:pPr>
      <w:bookmarkStart w:id="238" w:name="_Toc216557251"/>
      <w:bookmarkStart w:id="239" w:name="_Toc218357141"/>
      <w:r w:rsidRPr="0053182F">
        <w:t>Summary</w:t>
      </w:r>
      <w:bookmarkEnd w:id="238"/>
      <w:bookmarkEnd w:id="239"/>
    </w:p>
    <w:p w14:paraId="2AFC5DBA" w14:textId="28F1EF1C" w:rsidR="00DB2005" w:rsidRPr="0053182F" w:rsidRDefault="00DB2005" w:rsidP="00DB2005">
      <w:pPr>
        <w:spacing w:line="480" w:lineRule="auto"/>
        <w:jc w:val="both"/>
        <w:rPr>
          <w:color w:val="auto"/>
        </w:rPr>
      </w:pPr>
      <w:r w:rsidRPr="0053182F">
        <w:rPr>
          <w:color w:val="auto"/>
        </w:rPr>
        <w:t>This chapter has developed a coherent, theoretically grounded, and empirically testable hypothesis framework to examine MS and CMS as outcomes of interacting institutional, developmental, and governance forces operating across macro- and meso-levels. Drawing on NIT, the chapter conceptualised MS not as an isolated labour</w:t>
      </w:r>
      <w:r w:rsidR="006B43A3" w:rsidRPr="0053182F">
        <w:rPr>
          <w:color w:val="auto"/>
        </w:rPr>
        <w:t>-market anomaly</w:t>
      </w:r>
      <w:r w:rsidRPr="0053182F">
        <w:rPr>
          <w:color w:val="auto"/>
        </w:rPr>
        <w:t xml:space="preserve"> but as a structural governance problem shaped by the quality of national institutions and the organisational responses of firms embedded within those institutional environments.</w:t>
      </w:r>
    </w:p>
    <w:p w14:paraId="2EA45F92" w14:textId="6068EDAC" w:rsidR="00DB2005" w:rsidRPr="0053182F" w:rsidRDefault="00DB2005" w:rsidP="00DB2005">
      <w:pPr>
        <w:spacing w:line="480" w:lineRule="auto"/>
        <w:jc w:val="both"/>
        <w:rPr>
          <w:color w:val="EE0000"/>
        </w:rPr>
      </w:pPr>
      <w:r w:rsidRPr="0053182F">
        <w:rPr>
          <w:color w:val="auto"/>
        </w:rPr>
        <w:tab/>
      </w:r>
      <w:r w:rsidRPr="0053182F">
        <w:rPr>
          <w:color w:val="EE0000"/>
        </w:rPr>
        <w:t xml:space="preserve">Part I (Macro level) focused on the structural determinants of MS risk at the country level. Three key macro-structural variables—IEQ, SDGI, and IHDI—were introduced as proxies for state capacity, development inclusivity, institutional integrity, and public sector accountability. Drawing on both theoretical arguments and empirical evidence, the chapter demonstrated how these constructs shape cross-national variation in three central dimensions of MS risk: prevalence, vulnerability, and government risk-mitigation capacity. On this basis, a set of macro-level hypotheses proposed that stronger institutional environments, higher sustainable development performance, and more equitable human development are systematically associated with lower MS prevalence and vulnerability </w:t>
      </w:r>
      <w:r w:rsidR="00467F7A" w:rsidRPr="0053182F">
        <w:rPr>
          <w:color w:val="EE0000"/>
        </w:rPr>
        <w:t>as well as</w:t>
      </w:r>
      <w:r w:rsidRPr="0053182F">
        <w:rPr>
          <w:color w:val="EE0000"/>
        </w:rPr>
        <w:t xml:space="preserve"> stronger government responses.</w:t>
      </w:r>
    </w:p>
    <w:p w14:paraId="72F323F3" w14:textId="77777777" w:rsidR="00DB2005" w:rsidRPr="0053182F" w:rsidRDefault="00DB2005" w:rsidP="00DB2005">
      <w:pPr>
        <w:spacing w:line="480" w:lineRule="auto"/>
        <w:ind w:firstLine="720"/>
        <w:jc w:val="both"/>
        <w:rPr>
          <w:color w:val="EE0000"/>
        </w:rPr>
      </w:pPr>
      <w:r w:rsidRPr="0053182F">
        <w:rPr>
          <w:color w:val="EE0000"/>
        </w:rPr>
        <w:t>Part II (Meso level) extended the analysis to the corporate domain by examining how firms respond to institutional pressures through SGIs. SGIs were conceptualised as organisational mechanisms through which coercive, normative, and mimetic institutional pressures are enacted, negotiated, or symbolically managed. Six firm-level hypotheses (H1a–H1f) were developed to assess whether these governance mechanisms contribute to substantive ACMS outcomes or primarily serve legitimacy-seeking and compliance objectives within global institutional fields.</w:t>
      </w:r>
    </w:p>
    <w:p w14:paraId="74B71F27" w14:textId="77777777" w:rsidR="00DB2005" w:rsidRPr="0053182F" w:rsidRDefault="00DB2005" w:rsidP="00DB2005">
      <w:pPr>
        <w:spacing w:line="480" w:lineRule="auto"/>
        <w:ind w:firstLine="720"/>
        <w:jc w:val="both"/>
        <w:rPr>
          <w:color w:val="EE0000"/>
        </w:rPr>
      </w:pPr>
      <w:r w:rsidRPr="0053182F">
        <w:rPr>
          <w:color w:val="EE0000"/>
        </w:rPr>
        <w:t>Taken together, Chapter 5 provides an integrated multi-level analytical framework that links national institutional quality and development trajectories with firm-level governance responses to MS risks. By combining macro-structural determinants with meso-level organisational mechanisms, the chapter advances a comprehensive understanding of MS and CMS as institutionally embedded phenomena rather than isolated failures of either states or firms. The hypotheses developed herein establish a robust foundation for the empirical investigation that follows.</w:t>
      </w:r>
    </w:p>
    <w:p w14:paraId="3033215E" w14:textId="77777777" w:rsidR="00DB2005" w:rsidRPr="0053182F" w:rsidRDefault="00DB2005" w:rsidP="00DB2005">
      <w:pPr>
        <w:spacing w:line="480" w:lineRule="auto"/>
        <w:ind w:firstLine="720"/>
        <w:jc w:val="both"/>
        <w:rPr>
          <w:color w:val="EE0000"/>
        </w:rPr>
      </w:pPr>
      <w:r w:rsidRPr="0053182F">
        <w:rPr>
          <w:color w:val="EE0000"/>
        </w:rPr>
        <w:t>The next chapter, Chapter 6, builds directly on this conceptual framework by outlining the research design, including the study’s philosophical positioning, mixed-methods strategy, data sources, analytical techniques, and procedures for testing the hypotheses across macro-, meso-, and micro-levels. In doing so, Chapter 6 demonstrates how the methodological choices flow logically from the theoretical and hypothesis structure developed in this chapter.</w:t>
      </w:r>
      <w:bookmarkEnd w:id="220"/>
    </w:p>
    <w:p w14:paraId="6F2C7A9F" w14:textId="458715FF" w:rsidR="00D221EA" w:rsidRPr="0053182F" w:rsidRDefault="00D221EA" w:rsidP="004609BC">
      <w:pPr>
        <w:pStyle w:val="Heading1"/>
        <w:spacing w:before="0" w:after="0" w:line="480" w:lineRule="auto"/>
        <w:rPr>
          <w:rFonts w:cs="Times New Roman"/>
        </w:rPr>
      </w:pPr>
      <w:bookmarkStart w:id="240" w:name="_Toc218357142"/>
      <w:r w:rsidRPr="0053182F">
        <w:rPr>
          <w:rFonts w:cs="Times New Roman"/>
        </w:rPr>
        <w:t>Chapter 6: Research design</w:t>
      </w:r>
      <w:bookmarkEnd w:id="240"/>
    </w:p>
    <w:p w14:paraId="18692405" w14:textId="77777777" w:rsidR="00D221EA" w:rsidRPr="0053182F" w:rsidRDefault="00D221EA" w:rsidP="00467F7A">
      <w:pPr>
        <w:pStyle w:val="Heading2"/>
      </w:pPr>
      <w:bookmarkStart w:id="241" w:name="_Toc159763549"/>
      <w:bookmarkStart w:id="242" w:name="_Toc215651853"/>
      <w:bookmarkStart w:id="243" w:name="_Toc218357143"/>
      <w:r w:rsidRPr="0053182F">
        <w:t>6.1 Introduction</w:t>
      </w:r>
      <w:bookmarkEnd w:id="241"/>
      <w:bookmarkEnd w:id="242"/>
      <w:bookmarkEnd w:id="243"/>
    </w:p>
    <w:p w14:paraId="149789D8" w14:textId="77777777" w:rsidR="00D221EA" w:rsidRPr="0053182F" w:rsidRDefault="00D221EA" w:rsidP="00D221EA">
      <w:pPr>
        <w:spacing w:line="480" w:lineRule="auto"/>
        <w:jc w:val="both"/>
        <w:rPr>
          <w:color w:val="auto"/>
        </w:rPr>
      </w:pPr>
      <w:r w:rsidRPr="0053182F">
        <w:rPr>
          <w:color w:val="auto"/>
        </w:rPr>
        <w:t>Building on the theoretical and philosophical foundations outlined in the previous chapter, this methodology chapter sets out the research design adopted to investigate how institutional governance systems, corporate mechanisms, and worker-level dynamics interact to shape CMS within global supply chains. The study’s overarching aim is to examine how coercive, normative, and mimetic institutional pressures influence both the persistence and mitigation of CMS across macro-, meso-, and micro-level contexts. In particular, it explores how macro environment, SGIs, and corporate practices translate—or fail to translate—into substantive action against labour exploitation.</w:t>
      </w:r>
    </w:p>
    <w:p w14:paraId="148FD586" w14:textId="77777777" w:rsidR="00D221EA" w:rsidRPr="0053182F" w:rsidRDefault="00D221EA" w:rsidP="00D221EA">
      <w:pPr>
        <w:spacing w:line="480" w:lineRule="auto"/>
        <w:ind w:firstLine="720"/>
        <w:jc w:val="both"/>
        <w:rPr>
          <w:color w:val="auto"/>
        </w:rPr>
      </w:pPr>
      <w:r w:rsidRPr="0053182F">
        <w:rPr>
          <w:color w:val="auto"/>
        </w:rPr>
        <w:t>To address these aims, this study adopts a mixed-methods approach that combines large-scale quantitative analysis with qualitative inquiry. The quantitative strand examines macro- and meso-level relationships between institutional governance factors, sustainability indicators, and ACMS responses using secondary global datasets and firm-level data from the G500. This is complemented by the qualitative strand, which draws on interviews, survey questionnaires, document analysis, and case-based insights from Sri Lanka’s A&amp;TI to explore the lived realities of governance gaps, institutional decoupling, and worker experiences. The integration of these two strands allows for both breadth and depth of analysis—quantitative data identify patterns and relationships, while qualitative data provide contextual meaning and explanation. This combination is philosophically grounded in pragmatism, which recognises that understanding CMS requires multiple forms of evidence to bridge structural and experiential realities.</w:t>
      </w:r>
    </w:p>
    <w:p w14:paraId="6CFF360A" w14:textId="77777777" w:rsidR="00D221EA" w:rsidRPr="0053182F" w:rsidRDefault="00D221EA" w:rsidP="00D221EA">
      <w:pPr>
        <w:spacing w:line="480" w:lineRule="auto"/>
        <w:ind w:firstLine="720"/>
        <w:jc w:val="both"/>
        <w:rPr>
          <w:color w:val="auto"/>
        </w:rPr>
      </w:pPr>
      <w:r w:rsidRPr="0053182F">
        <w:rPr>
          <w:color w:val="auto"/>
        </w:rPr>
        <w:t>A mixed-methods design is particularly justified for this research, given the complex, multi-level nature of CMS, which a single methodological lens cannot capture. Quantitative methods enable the identification of structural patterns across countries and corporations, while qualitative inquiry reveals how these institutional dynamics manifest in everyday workplace practices. Together, they enable a holistic examination of both the formal and informal mechanisms sustaining MS, addressing both the “what” and “why” of institutional and corporate behaviour.</w:t>
      </w:r>
    </w:p>
    <w:p w14:paraId="15C91EF6" w14:textId="77777777" w:rsidR="00D221EA" w:rsidRPr="0053182F" w:rsidRDefault="00D221EA" w:rsidP="00191C32">
      <w:pPr>
        <w:spacing w:after="0" w:line="480" w:lineRule="auto"/>
        <w:ind w:firstLine="720"/>
        <w:jc w:val="both"/>
        <w:rPr>
          <w:color w:val="auto"/>
        </w:rPr>
      </w:pPr>
      <w:r w:rsidRPr="0053182F">
        <w:rPr>
          <w:color w:val="auto"/>
        </w:rPr>
        <w:t>This chapter outlines the overall research design guiding the study. It begins by establishing the philosophical foundations and the methodological rationale, then introduces the adopted mixed-methods approach. The chapter then explains the explanatory sequential design and its integration logic, followed by a description of the multi-level research context across global, corporate, and local settings. The quantitative and qualitative approaches are presented in turn, detailing how data were collected and analysed at the macro, meso, and micro levels. The chapter concludes by addressing methodological limitations and summarising how the chosen design aligns with the study’s objectives and prepares the foundation for the subsequent empirical analysis.</w:t>
      </w:r>
    </w:p>
    <w:p w14:paraId="5FB58A9F" w14:textId="77777777" w:rsidR="00D221EA" w:rsidRPr="0053182F" w:rsidRDefault="00D221EA" w:rsidP="00191C32">
      <w:pPr>
        <w:pStyle w:val="Heading2"/>
      </w:pPr>
      <w:bookmarkStart w:id="244" w:name="_Toc215651854"/>
      <w:bookmarkStart w:id="245" w:name="_Toc218357144"/>
      <w:r w:rsidRPr="0053182F">
        <w:t xml:space="preserve">6.2 Research </w:t>
      </w:r>
      <w:commentRangeStart w:id="246"/>
      <w:r w:rsidRPr="0053182F">
        <w:t>Philosophy and Paradigm</w:t>
      </w:r>
      <w:bookmarkEnd w:id="244"/>
      <w:bookmarkEnd w:id="245"/>
      <w:commentRangeEnd w:id="246"/>
      <w:r w:rsidR="000A603D" w:rsidRPr="0053182F">
        <w:rPr>
          <w:rStyle w:val="CommentReference"/>
          <w:sz w:val="28"/>
          <w:szCs w:val="24"/>
        </w:rPr>
        <w:commentReference w:id="246"/>
      </w:r>
    </w:p>
    <w:p w14:paraId="0FD1879B" w14:textId="77777777" w:rsidR="00D221EA" w:rsidRPr="0053182F" w:rsidRDefault="00D221EA" w:rsidP="00191C32">
      <w:pPr>
        <w:spacing w:after="0" w:line="480" w:lineRule="auto"/>
        <w:jc w:val="both"/>
        <w:rPr>
          <w:rFonts w:eastAsia="Palatino Linotype"/>
          <w:color w:val="auto"/>
        </w:rPr>
      </w:pPr>
      <w:r w:rsidRPr="0053182F">
        <w:rPr>
          <w:rFonts w:eastAsia="Palatino Linotype"/>
          <w:color w:val="auto"/>
        </w:rPr>
        <w:t>The methodological choices of this study are underpinned by a combination of critical realism as the ontological foundation and pragmatism as the guiding epistemological stance. This dual philosophical orientation provides both the theoretical and methodological coherence necessary to address the complex, multi-dimensional nature of CMS. It enables the research to bridge macro-level institutional structures, meso-level corporate mechanisms, and micro-level worker experiences through a mixed-methods design.</w:t>
      </w:r>
    </w:p>
    <w:p w14:paraId="744C0359" w14:textId="77777777" w:rsidR="00D221EA" w:rsidRPr="0053182F" w:rsidRDefault="00D221EA" w:rsidP="00D221EA">
      <w:pPr>
        <w:pStyle w:val="Heading3"/>
        <w:rPr>
          <w:rFonts w:eastAsia="Palatino Linotype"/>
        </w:rPr>
      </w:pPr>
      <w:bookmarkStart w:id="247" w:name="_Toc215651855"/>
      <w:bookmarkStart w:id="248" w:name="_Toc218357145"/>
      <w:r w:rsidRPr="0053182F">
        <w:rPr>
          <w:rFonts w:eastAsia="Palatino Linotype"/>
        </w:rPr>
        <w:t>6.2.1 Ontological Position: Critical Realism</w:t>
      </w:r>
      <w:bookmarkEnd w:id="247"/>
      <w:bookmarkEnd w:id="248"/>
    </w:p>
    <w:p w14:paraId="23295675" w14:textId="77777777" w:rsidR="00D221EA" w:rsidRPr="0053182F" w:rsidRDefault="00D221EA" w:rsidP="00D221EA">
      <w:pPr>
        <w:spacing w:after="0" w:line="480" w:lineRule="auto"/>
        <w:jc w:val="both"/>
        <w:rPr>
          <w:rFonts w:eastAsia="Palatino Linotype"/>
          <w:color w:val="auto"/>
        </w:rPr>
      </w:pPr>
      <w:r w:rsidRPr="0053182F">
        <w:rPr>
          <w:rFonts w:eastAsia="Palatino Linotype"/>
          <w:color w:val="auto"/>
        </w:rPr>
        <w:t>From an ontological standpoint, the study is grounded in critical realism, which posits that social phenomena—such as CMS—exist independently of human perception but are mediated through socially constructed mechanisms and institutional arrangements (Bhaskar, 1978; Archer et al., 2016). This perspective recognises that while MS can be empirically observed through measurable indicators (e.g., prevalence rates, vulnerability rates, government response rates), its underlying causes are embedded in deeper, often invisible, institutional, economic, and political structures.</w:t>
      </w:r>
    </w:p>
    <w:p w14:paraId="03E69A5A" w14:textId="332D240D" w:rsidR="00D221EA" w:rsidRPr="0053182F" w:rsidRDefault="00D221EA" w:rsidP="00027833">
      <w:pPr>
        <w:spacing w:line="480" w:lineRule="auto"/>
        <w:ind w:firstLine="720"/>
        <w:jc w:val="both"/>
      </w:pPr>
      <w:r w:rsidRPr="0053182F">
        <w:rPr>
          <w:rFonts w:eastAsia="Palatino Linotype"/>
          <w:color w:val="auto"/>
        </w:rPr>
        <w:t xml:space="preserve">Critical realism thus provides a philosophical foundation for examining how coercive, normative, and mimetic pressures interact to sustain exploitative practices under the guise of compliance </w:t>
      </w:r>
      <w:sdt>
        <w:sdtPr>
          <w:tag w:val="MENDELEY_CITATION_v3_eyJjaXRhdGlvbklEIjoiTUVOREVMRVlfQ0lUQVRJT05fYTNlNjIwNWYtOTE3ZC00NGUyLTgyYTItNzYzNTljNjQ0M2YzIiwicHJvcGVydGllcyI6eyJub3RlSW5kZXgiOjB9LCJpc0VkaXRlZCI6ZmFsc2UsIm1hbnVhbE92ZXJyaWRlIjp7ImlzTWFudWFsbHlPdmVycmlkZGVuIjpmYWxzZSwiY2l0ZXByb2NUZXh0IjoiKERpTWFnZ2lvIGFuZCBQb3dlbGwsIDE5ODM7I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0s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XX0="/>
          <w:id w:val="-744571614"/>
          <w:placeholder>
            <w:docPart w:val="5CBB3897923445DEB646331668C58E07"/>
          </w:placeholder>
        </w:sdtPr>
        <w:sdtContent>
          <w:r w:rsidR="00CC1788" w:rsidRPr="0053182F">
            <w:rPr>
              <w:rFonts w:eastAsia="Times New Roman"/>
            </w:rPr>
            <w:t xml:space="preserve">(DiMaggio and Powell, 1983; Muthuthantrige </w:t>
          </w:r>
          <w:r w:rsidR="00CC1788" w:rsidRPr="0053182F">
            <w:rPr>
              <w:rFonts w:eastAsia="Times New Roman"/>
              <w:i/>
              <w:iCs/>
            </w:rPr>
            <w:t>et al.</w:t>
          </w:r>
          <w:r w:rsidR="00CC1788" w:rsidRPr="0053182F">
            <w:rPr>
              <w:rFonts w:eastAsia="Times New Roman"/>
            </w:rPr>
            <w:t>, 2026)</w:t>
          </w:r>
        </w:sdtContent>
      </w:sdt>
      <w:r w:rsidRPr="0053182F">
        <w:rPr>
          <w:rFonts w:eastAsia="Palatino Linotype"/>
          <w:color w:val="auto"/>
        </w:rPr>
        <w:t>. It also supports inquiry across multiple analytical levels—macro (institutional governance), meso (corporate governance and sustainability systems), and micro (worker realities)—by acknowledging that causal relationships are layered and context-dependent.</w:t>
      </w:r>
    </w:p>
    <w:p w14:paraId="40BC2BFD" w14:textId="77777777" w:rsidR="00D221EA" w:rsidRPr="0053182F" w:rsidRDefault="00D221EA" w:rsidP="00D221EA">
      <w:pPr>
        <w:pStyle w:val="Heading3"/>
      </w:pPr>
      <w:bookmarkStart w:id="249" w:name="_Toc215651856"/>
      <w:bookmarkStart w:id="250" w:name="_Toc218357146"/>
      <w:r w:rsidRPr="0053182F">
        <w:t>6.2.2 Epistemological Position: Pragmatism</w:t>
      </w:r>
      <w:bookmarkEnd w:id="249"/>
      <w:bookmarkEnd w:id="250"/>
    </w:p>
    <w:p w14:paraId="57A20D19" w14:textId="7E9F13B0" w:rsidR="00D221EA" w:rsidRPr="0053182F" w:rsidRDefault="00D221EA" w:rsidP="00D221EA">
      <w:pPr>
        <w:spacing w:after="0" w:line="480" w:lineRule="auto"/>
        <w:jc w:val="both"/>
        <w:rPr>
          <w:rFonts w:eastAsia="Palatino Linotype"/>
          <w:color w:val="auto"/>
        </w:rPr>
      </w:pPr>
      <w:r w:rsidRPr="0053182F">
        <w:rPr>
          <w:rFonts w:eastAsia="Palatino Linotype"/>
          <w:color w:val="auto"/>
        </w:rPr>
        <w:t xml:space="preserve">Epistemologically, this study adopts a pragmatic paradigm, which values methodological pluralism and focuses on generating solutions to real-world problems </w:t>
      </w:r>
      <w:sdt>
        <w:sdtPr>
          <w:rPr>
            <w:rFonts w:eastAsia="Palatino Linotype"/>
          </w:rPr>
          <w:tag w:val="MENDELEY_CITATION_v3_eyJjaXRhdGlvbklEIjoiTUVOREVMRVlfQ0lUQVRJT05fOGJjZTAyMWMtNmEwYy00NjljLTljMTEtMzNkMDVjNTFiMDZk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117066697"/>
          <w:placeholder>
            <w:docPart w:val="0B3937618FEE4EFD876876B93776DAE0"/>
          </w:placeholder>
        </w:sdtPr>
        <w:sdtContent>
          <w:r w:rsidR="00CC1788" w:rsidRPr="0053182F">
            <w:rPr>
              <w:rFonts w:eastAsia="Palatino Linotype"/>
            </w:rPr>
            <w:t>(Creswell and Plano, 2018)</w:t>
          </w:r>
        </w:sdtContent>
      </w:sdt>
      <w:r w:rsidRPr="0053182F">
        <w:rPr>
          <w:rFonts w:eastAsia="Palatino Linotype"/>
          <w:color w:val="auto"/>
        </w:rPr>
        <w:t>. Pragmatism rejects the notion of an absolute epistemic hierarchy between qualitative and quantitative methods, instead prioritising the use of approaches that best answer the research questions. This aligns with the study’s aim to explore both structural determinants (quantitative) and lived experiences (qualitative) of CMS.</w:t>
      </w:r>
    </w:p>
    <w:p w14:paraId="7EDD5105" w14:textId="77777777" w:rsidR="00D221EA" w:rsidRPr="0053182F" w:rsidRDefault="00D221EA" w:rsidP="00D221EA">
      <w:pPr>
        <w:spacing w:after="0" w:line="480" w:lineRule="auto"/>
        <w:ind w:firstLine="720"/>
        <w:jc w:val="both"/>
        <w:rPr>
          <w:rFonts w:eastAsia="Palatino Linotype"/>
          <w:color w:val="auto"/>
        </w:rPr>
      </w:pPr>
      <w:r w:rsidRPr="0053182F">
        <w:rPr>
          <w:rFonts w:eastAsia="Palatino Linotype"/>
          <w:color w:val="auto"/>
        </w:rPr>
        <w:t>Pragmatism also supports the integration of diverse data sources, allowing findings from statistical models (macro–meso) to inform qualitative inquiry (micro), and vice versa. It enables the researcher to interpret patterns not as deterministic outcomes but as manifestations of the dynamic interaction between institutional logics and human agency.</w:t>
      </w:r>
    </w:p>
    <w:p w14:paraId="0B7A1DF6" w14:textId="77777777" w:rsidR="00D221EA" w:rsidRPr="0053182F" w:rsidRDefault="00D221EA" w:rsidP="00D221EA">
      <w:pPr>
        <w:pStyle w:val="Heading3"/>
      </w:pPr>
      <w:bookmarkStart w:id="251" w:name="_Toc215651857"/>
      <w:bookmarkStart w:id="252" w:name="_Toc218357147"/>
      <w:r w:rsidRPr="0053182F">
        <w:t>6.2.3 Philosophical Coherence and Alignment with Mixed-Methods Logic</w:t>
      </w:r>
      <w:bookmarkEnd w:id="251"/>
      <w:bookmarkEnd w:id="252"/>
    </w:p>
    <w:p w14:paraId="26763285" w14:textId="77777777" w:rsidR="00D221EA" w:rsidRPr="0053182F" w:rsidRDefault="00D221EA" w:rsidP="00D221EA">
      <w:pPr>
        <w:spacing w:after="0" w:line="480" w:lineRule="auto"/>
        <w:jc w:val="both"/>
        <w:rPr>
          <w:rFonts w:eastAsia="Palatino Linotype"/>
        </w:rPr>
      </w:pPr>
      <w:r w:rsidRPr="0053182F">
        <w:rPr>
          <w:rFonts w:eastAsia="Palatino Linotype"/>
        </w:rPr>
        <w:t>The combination of critical realism and pragmatism ensures philosophical coherence in integrating quantitative and qualitative strands. Critical realism provides the ontological depth needed to uncover the underlying mechanisms and institutional structures that influence CMS, while pragmatism offers the epistemological flexibility to employ both numerical and narrative data to understand them. Together, they acknowledge that no single method can fully capture the complexity of governance, power, and legitimacy shaping CMS.</w:t>
      </w:r>
    </w:p>
    <w:p w14:paraId="1F7CDFBA" w14:textId="77777777" w:rsidR="00D221EA" w:rsidRPr="0053182F" w:rsidRDefault="00D221EA" w:rsidP="00D221EA">
      <w:pPr>
        <w:spacing w:after="0" w:line="480" w:lineRule="auto"/>
        <w:ind w:firstLine="720"/>
        <w:jc w:val="both"/>
        <w:rPr>
          <w:rFonts w:eastAsia="Palatino Linotype"/>
        </w:rPr>
      </w:pPr>
      <w:r w:rsidRPr="0053182F">
        <w:rPr>
          <w:rFonts w:eastAsia="Palatino Linotype"/>
        </w:rPr>
        <w:t>Within this framework, quantitative analysis identifies statistically significant patterns in institutional governance and corporate accountability (e.g., using panel regressions on HDI, IEQ, and SDGI variables). At the same time, qualitative inquiry contextualises these findings by examining the meanings and lived realities of policy–practice gaps through interviews, questionnaires, and document analysis. The integration of both strands facilitates triangulation, enhances validity, and strengthens theoretical inference within the Neo-Institutional framework guiding the study.</w:t>
      </w:r>
    </w:p>
    <w:p w14:paraId="149F9A05" w14:textId="77777777" w:rsidR="00D221EA" w:rsidRPr="0053182F" w:rsidRDefault="00D221EA" w:rsidP="00D221EA">
      <w:pPr>
        <w:spacing w:after="0" w:line="480" w:lineRule="auto"/>
        <w:ind w:firstLine="720"/>
        <w:jc w:val="both"/>
        <w:rPr>
          <w:rFonts w:eastAsia="Palatino Linotype"/>
        </w:rPr>
      </w:pPr>
      <w:r w:rsidRPr="0053182F">
        <w:rPr>
          <w:rFonts w:eastAsia="Palatino Linotype"/>
        </w:rPr>
        <w:t>Thus, the philosophical and methodological coherence of this research lies in its alignment among ontology (a structured but complex social reality), epistemology (pragmatic inquiry into multiple forms of evidence), and methodology (a sequential, explanatory, mixed-methods design). This combination provides both the depth and breadth required to understand CMS as a structural, relational, and lived phenomenon within global business systems.</w:t>
      </w:r>
    </w:p>
    <w:p w14:paraId="49E4752D" w14:textId="77777777" w:rsidR="00D221EA" w:rsidRPr="0053182F" w:rsidRDefault="00D221EA" w:rsidP="00E04A08">
      <w:pPr>
        <w:pStyle w:val="Heading2"/>
        <w:jc w:val="both"/>
      </w:pPr>
      <w:bookmarkStart w:id="253" w:name="_Toc159763550"/>
      <w:bookmarkStart w:id="254" w:name="_Toc215651858"/>
      <w:bookmarkStart w:id="255" w:name="_Toc218357148"/>
      <w:r w:rsidRPr="0053182F">
        <w:t>6.3 Different types of mixed methods design</w:t>
      </w:r>
      <w:bookmarkEnd w:id="253"/>
      <w:bookmarkEnd w:id="254"/>
      <w:bookmarkEnd w:id="255"/>
    </w:p>
    <w:p w14:paraId="55352495" w14:textId="6DA5A9C6" w:rsidR="00D221EA" w:rsidRPr="0053182F" w:rsidRDefault="00D20468" w:rsidP="00E04A08">
      <w:pPr>
        <w:spacing w:after="0" w:line="480" w:lineRule="auto"/>
        <w:jc w:val="both"/>
        <w:rPr>
          <w:rFonts w:eastAsia="Palatino Linotype"/>
        </w:rPr>
      </w:pPr>
      <w:sdt>
        <w:sdtPr>
          <w:rPr>
            <w:rFonts w:eastAsia="Palatino Linotype"/>
          </w:rPr>
          <w:tag w:val="MENDELEY_CITATION_v3_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"/>
          <w:id w:val="2118705186"/>
          <w:placeholder>
            <w:docPart w:val="430F9D1CF6594998B1BC9C4C1D029E8C"/>
          </w:placeholder>
        </w:sdtPr>
        <w:sdtContent>
          <w:r w:rsidR="00CC1788" w:rsidRPr="0053182F">
            <w:rPr>
              <w:rFonts w:eastAsia="Palatino Linotype"/>
            </w:rPr>
            <w:t xml:space="preserve">Bryman and Bell (2015) </w:t>
          </w:r>
        </w:sdtContent>
      </w:sdt>
      <w:r w:rsidR="00D221EA" w:rsidRPr="0053182F">
        <w:rPr>
          <w:rFonts w:eastAsia="Palatino Linotype"/>
        </w:rPr>
        <w:t xml:space="preserve"> have presented four basic mixed research designs out of six (</w:t>
      </w:r>
      <w:sdt>
        <w:sdtPr>
          <w:rPr>
            <w:rFonts w:eastAsia="Palatino Linotype"/>
          </w:rPr>
          <w:tag w:val="MENDELEY_CITATION_v3_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"/>
          <w:id w:val="-473288907"/>
          <w:placeholder>
            <w:docPart w:val="65868B4DA3C049EC8CCDDD251FE5D1A6"/>
          </w:placeholder>
        </w:sdtPr>
        <w:sdtContent>
          <w:r w:rsidR="00CC1788" w:rsidRPr="0053182F">
            <w:rPr>
              <w:rFonts w:eastAsia="Palatino Linotype"/>
            </w:rPr>
            <w:t>Creswell and Plano</w:t>
          </w:r>
          <w:r w:rsidR="00E04A08" w:rsidRPr="0053182F">
            <w:rPr>
              <w:rFonts w:eastAsia="Palatino Linotype"/>
            </w:rPr>
            <w:t>,</w:t>
          </w:r>
          <w:r w:rsidR="00CC1788" w:rsidRPr="0053182F">
            <w:rPr>
              <w:rFonts w:eastAsia="Palatino Linotype"/>
            </w:rPr>
            <w:t xml:space="preserve"> 2011)</w:t>
          </w:r>
        </w:sdtContent>
      </w:sdt>
      <w:r w:rsidR="00D221EA" w:rsidRPr="0053182F">
        <w:rPr>
          <w:rFonts w:eastAsia="Palatino Linotype"/>
        </w:rPr>
        <w:t xml:space="preserve">. See Figure 6.1 for the four basic components of the mixed-methods design. However, the </w:t>
      </w:r>
      <w:sdt>
        <w:sdtPr>
          <w:rPr>
            <w:rFonts w:eastAsia="Palatino Linotype"/>
          </w:rPr>
          <w:tag w:val="MENDELEY_CITATION_v3_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"/>
          <w:id w:val="-1316023567"/>
          <w:placeholder>
            <w:docPart w:val="95AD510BBF6A418EBE95CF9E9A5EE952"/>
          </w:placeholder>
        </w:sdtPr>
        <w:sdtContent>
          <w:r w:rsidR="00CC1788" w:rsidRPr="0053182F">
            <w:rPr>
              <w:rFonts w:eastAsia="Palatino Linotype"/>
            </w:rPr>
            <w:t>Guest and Fleming (2015, p. 587)</w:t>
          </w:r>
        </w:sdtContent>
      </w:sdt>
      <w:r w:rsidR="00D221EA" w:rsidRPr="0053182F">
        <w:rPr>
          <w:rFonts w:eastAsia="Palatino Linotype"/>
        </w:rPr>
        <w:t xml:space="preserve"> had expanded by presenting all six mixed methods designs while adding Transformative (theoretical framework seeking to address the needs of a specific population and to call for change) and multi-phase designs (sequential and concurrent strands, collected over a period, and the implementation of distinct projects or phases within an overall program of study). Among the different research designs, this study used the explanatory sequential design to interpret its overall findings.</w:t>
      </w:r>
    </w:p>
    <w:p w14:paraId="72C9390C" w14:textId="77777777" w:rsidR="00D221EA" w:rsidRPr="0053182F" w:rsidRDefault="00D221EA" w:rsidP="00D221EA">
      <w:pPr>
        <w:pStyle w:val="ListParagraph"/>
        <w:numPr>
          <w:ilvl w:val="0"/>
          <w:numId w:val="31"/>
        </w:numPr>
        <w:spacing w:line="259" w:lineRule="auto"/>
        <w:rPr>
          <w:b/>
          <w:bCs/>
        </w:rPr>
      </w:pPr>
      <w:r w:rsidRPr="0053182F">
        <w:rPr>
          <w:b/>
          <w:bCs/>
        </w:rPr>
        <w:t>Convergent parallel design</w:t>
      </w:r>
    </w:p>
    <w:p w14:paraId="2C9E8828" w14:textId="77777777" w:rsidR="00D221EA" w:rsidRPr="0053182F" w:rsidRDefault="00D221EA" w:rsidP="00D221EA">
      <w:pPr>
        <w:spacing w:line="360" w:lineRule="auto"/>
        <w:rPr>
          <w:rFonts w:eastAsia="Palatino Linotype"/>
          <w:b/>
          <w:bCs/>
        </w:rPr>
      </w:pPr>
      <w:r w:rsidRPr="0053182F">
        <w:rPr>
          <w:rFonts w:eastAsia="Palatino Linotype"/>
          <w:b/>
          <w:bCs/>
          <w:noProof/>
        </w:rPr>
        <mc:AlternateContent>
          <mc:Choice Requires="wps">
            <w:drawing>
              <wp:anchor distT="0" distB="0" distL="114300" distR="114300" simplePos="0" relativeHeight="251658348" behindDoc="0" locked="0" layoutInCell="1" allowOverlap="1" wp14:anchorId="5A0A6158" wp14:editId="5B4551D2">
                <wp:simplePos x="0" y="0"/>
                <wp:positionH relativeFrom="column">
                  <wp:posOffset>1</wp:posOffset>
                </wp:positionH>
                <wp:positionV relativeFrom="paragraph">
                  <wp:posOffset>41366</wp:posOffset>
                </wp:positionV>
                <wp:extent cx="1371328" cy="297180"/>
                <wp:effectExtent l="0" t="0" r="19685" b="26670"/>
                <wp:wrapNone/>
                <wp:docPr id="408832212" name="Text Box 2"/>
                <wp:cNvGraphicFramePr/>
                <a:graphic xmlns:a="http://schemas.openxmlformats.org/drawingml/2006/main">
                  <a:graphicData uri="http://schemas.microsoft.com/office/word/2010/wordprocessingShape">
                    <wps:wsp>
                      <wps:cNvSpPr txBox="1"/>
                      <wps:spPr>
                        <a:xfrm>
                          <a:off x="0" y="0"/>
                          <a:ext cx="1371328" cy="297180"/>
                        </a:xfrm>
                        <a:prstGeom prst="rect">
                          <a:avLst/>
                        </a:prstGeom>
                        <a:solidFill>
                          <a:schemeClr val="lt1"/>
                        </a:solidFill>
                        <a:ln w="19050">
                          <a:solidFill>
                            <a:prstClr val="black"/>
                          </a:solidFill>
                        </a:ln>
                      </wps:spPr>
                      <wps:txbx>
                        <w:txbxContent>
                          <w:p w14:paraId="2655A9A1" w14:textId="77777777" w:rsidR="00D221EA" w:rsidRDefault="00D221EA" w:rsidP="00D221EA">
                            <w:pPr>
                              <w:jc w:val="center"/>
                            </w:pPr>
                            <w:r>
                              <w:t>Quantitative</w:t>
                            </w:r>
                          </w:p>
                          <w:p w14:paraId="3F593A3D" w14:textId="77777777" w:rsidR="00D221EA" w:rsidRDefault="00D221EA" w:rsidP="00D221E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0A6158" id="_x0000_s1107" type="#_x0000_t202" style="position:absolute;margin-left:0;margin-top:3.25pt;width:108pt;height:23.4pt;z-index:2516583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" fillcolor="white [3201]" strokeweight="1.5pt">
                <v:textbox>
                  <w:txbxContent>
                    <w:p w14:paraId="2655A9A1" w14:textId="77777777" w:rsidR="00D221EA" w:rsidRDefault="00D221EA" w:rsidP="00D221EA">
                      <w:pPr>
                        <w:jc w:val="center"/>
                      </w:pPr>
                      <w:r>
                        <w:t>Quantitative</w:t>
                      </w:r>
                    </w:p>
                    <w:p w14:paraId="3F593A3D" w14:textId="77777777" w:rsidR="00D221EA" w:rsidRDefault="00D221EA" w:rsidP="00D221EA">
                      <w:pPr>
                        <w:jc w:val="center"/>
                      </w:pPr>
                    </w:p>
                  </w:txbxContent>
                </v:textbox>
              </v:shape>
            </w:pict>
          </mc:Fallback>
        </mc:AlternateContent>
      </w:r>
      <w:r w:rsidRPr="0053182F">
        <w:rPr>
          <w:rFonts w:eastAsia="Palatino Linotype"/>
          <w:b/>
          <w:bCs/>
          <w:noProof/>
        </w:rPr>
        <mc:AlternateContent>
          <mc:Choice Requires="wps">
            <w:drawing>
              <wp:anchor distT="0" distB="0" distL="114300" distR="114300" simplePos="0" relativeHeight="251658353" behindDoc="0" locked="0" layoutInCell="1" allowOverlap="1" wp14:anchorId="0D60D1DD" wp14:editId="565FC654">
                <wp:simplePos x="0" y="0"/>
                <wp:positionH relativeFrom="column">
                  <wp:posOffset>1690370</wp:posOffset>
                </wp:positionH>
                <wp:positionV relativeFrom="paragraph">
                  <wp:posOffset>120015</wp:posOffset>
                </wp:positionV>
                <wp:extent cx="0" cy="572951"/>
                <wp:effectExtent l="0" t="0" r="38100" b="36830"/>
                <wp:wrapNone/>
                <wp:docPr id="1442106291" name="Straight Connector 6"/>
                <wp:cNvGraphicFramePr/>
                <a:graphic xmlns:a="http://schemas.openxmlformats.org/drawingml/2006/main">
                  <a:graphicData uri="http://schemas.microsoft.com/office/word/2010/wordprocessingShape">
                    <wps:wsp>
                      <wps:cNvCnPr/>
                      <wps:spPr>
                        <a:xfrm>
                          <a:off x="0" y="0"/>
                          <a:ext cx="0" cy="572951"/>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0B175F4" id="Straight Connector 6" o:spid="_x0000_s1026" style="position:absolute;z-index:251658353;visibility:visible;mso-wrap-style:square;mso-wrap-distance-left:9pt;mso-wrap-distance-top:0;mso-wrap-distance-right:9pt;mso-wrap-distance-bottom:0;mso-position-horizontal:absolute;mso-position-horizontal-relative:text;mso-position-vertical:absolute;mso-position-vertical-relative:text" from="133.1pt,9.45pt" to="133.1pt,5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" strokecolor="black [3200]" strokeweight="1pt">
                <v:stroke joinstyle="miter"/>
              </v:line>
            </w:pict>
          </mc:Fallback>
        </mc:AlternateContent>
      </w:r>
      <w:r w:rsidRPr="0053182F">
        <w:rPr>
          <w:rFonts w:eastAsia="Palatino Linotype"/>
          <w:b/>
          <w:bCs/>
          <w:noProof/>
        </w:rPr>
        <mc:AlternateContent>
          <mc:Choice Requires="wps">
            <w:drawing>
              <wp:anchor distT="0" distB="0" distL="114300" distR="114300" simplePos="0" relativeHeight="251658355" behindDoc="0" locked="0" layoutInCell="1" allowOverlap="1" wp14:anchorId="33486373" wp14:editId="7B1C11EF">
                <wp:simplePos x="0" y="0"/>
                <wp:positionH relativeFrom="column">
                  <wp:posOffset>1378857</wp:posOffset>
                </wp:positionH>
                <wp:positionV relativeFrom="paragraph">
                  <wp:posOffset>120378</wp:posOffset>
                </wp:positionV>
                <wp:extent cx="312057" cy="0"/>
                <wp:effectExtent l="0" t="0" r="0" b="0"/>
                <wp:wrapNone/>
                <wp:docPr id="1670710519" name="Straight Connector 8"/>
                <wp:cNvGraphicFramePr/>
                <a:graphic xmlns:a="http://schemas.openxmlformats.org/drawingml/2006/main">
                  <a:graphicData uri="http://schemas.microsoft.com/office/word/2010/wordprocessingShape">
                    <wps:wsp>
                      <wps:cNvCnPr/>
                      <wps:spPr>
                        <a:xfrm flipH="1">
                          <a:off x="0" y="0"/>
                          <a:ext cx="31205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04DFA3A" id="Straight Connector 8" o:spid="_x0000_s1026" style="position:absolute;flip:x;z-index:251658355;visibility:visible;mso-wrap-style:square;mso-wrap-distance-left:9pt;mso-wrap-distance-top:0;mso-wrap-distance-right:9pt;mso-wrap-distance-bottom:0;mso-position-horizontal:absolute;mso-position-horizontal-relative:text;mso-position-vertical:absolute;mso-position-vertical-relative:text" from="108.55pt,9.5pt" to="133.1pt,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" strokecolor="black [3200]" strokeweight="1pt">
                <v:stroke joinstyle="miter"/>
              </v:line>
            </w:pict>
          </mc:Fallback>
        </mc:AlternateContent>
      </w:r>
      <w:r w:rsidRPr="0053182F">
        <w:rPr>
          <w:rFonts w:eastAsia="Palatino Linotype"/>
          <w:b/>
          <w:bCs/>
          <w:noProof/>
        </w:rPr>
        <mc:AlternateContent>
          <mc:Choice Requires="wps">
            <w:drawing>
              <wp:anchor distT="0" distB="0" distL="114300" distR="114300" simplePos="0" relativeHeight="251658352" behindDoc="0" locked="0" layoutInCell="1" allowOverlap="1" wp14:anchorId="7EE8F1E2" wp14:editId="4994793E">
                <wp:simplePos x="0" y="0"/>
                <wp:positionH relativeFrom="column">
                  <wp:posOffset>3562985</wp:posOffset>
                </wp:positionH>
                <wp:positionV relativeFrom="paragraph">
                  <wp:posOffset>337729</wp:posOffset>
                </wp:positionV>
                <wp:extent cx="755015" cy="0"/>
                <wp:effectExtent l="0" t="76200" r="26035" b="95250"/>
                <wp:wrapNone/>
                <wp:docPr id="1472946843" name="Straight Arrow Connector 5"/>
                <wp:cNvGraphicFramePr/>
                <a:graphic xmlns:a="http://schemas.openxmlformats.org/drawingml/2006/main">
                  <a:graphicData uri="http://schemas.microsoft.com/office/word/2010/wordprocessingShape">
                    <wps:wsp>
                      <wps:cNvCnPr/>
                      <wps:spPr>
                        <a:xfrm>
                          <a:off x="0" y="0"/>
                          <a:ext cx="75501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0E7A7FA" id="Straight Arrow Connector 5" o:spid="_x0000_s1026" type="#_x0000_t32" style="position:absolute;margin-left:280.55pt;margin-top:26.6pt;width:59.45pt;height:0;z-index:2516583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" strokecolor="black [3200]" strokeweight="1pt">
                <v:stroke endarrow="block" joinstyle="miter"/>
              </v:shape>
            </w:pict>
          </mc:Fallback>
        </mc:AlternateContent>
      </w:r>
      <w:r w:rsidRPr="0053182F">
        <w:rPr>
          <w:rFonts w:eastAsia="Palatino Linotype"/>
          <w:b/>
          <w:bCs/>
          <w:noProof/>
        </w:rPr>
        <mc:AlternateContent>
          <mc:Choice Requires="wps">
            <w:drawing>
              <wp:anchor distT="0" distB="0" distL="114300" distR="114300" simplePos="0" relativeHeight="251658350" behindDoc="0" locked="0" layoutInCell="1" allowOverlap="1" wp14:anchorId="5FFC0907" wp14:editId="62F332A6">
                <wp:simplePos x="0" y="0"/>
                <wp:positionH relativeFrom="column">
                  <wp:posOffset>2437765</wp:posOffset>
                </wp:positionH>
                <wp:positionV relativeFrom="paragraph">
                  <wp:posOffset>122101</wp:posOffset>
                </wp:positionV>
                <wp:extent cx="1124857" cy="486229"/>
                <wp:effectExtent l="0" t="0" r="18415" b="28575"/>
                <wp:wrapNone/>
                <wp:docPr id="1752858294" name="Text Box 2"/>
                <wp:cNvGraphicFramePr/>
                <a:graphic xmlns:a="http://schemas.openxmlformats.org/drawingml/2006/main">
                  <a:graphicData uri="http://schemas.microsoft.com/office/word/2010/wordprocessingShape">
                    <wps:wsp>
                      <wps:cNvSpPr txBox="1"/>
                      <wps:spPr>
                        <a:xfrm>
                          <a:off x="0" y="0"/>
                          <a:ext cx="1124857" cy="486229"/>
                        </a:xfrm>
                        <a:prstGeom prst="rect">
                          <a:avLst/>
                        </a:prstGeom>
                        <a:solidFill>
                          <a:schemeClr val="lt1"/>
                        </a:solidFill>
                        <a:ln w="19050">
                          <a:solidFill>
                            <a:prstClr val="black"/>
                          </a:solidFill>
                        </a:ln>
                      </wps:spPr>
                      <wps:txbx>
                        <w:txbxContent>
                          <w:p w14:paraId="5D1C0B34" w14:textId="77777777" w:rsidR="00D221EA" w:rsidRDefault="00D221EA" w:rsidP="00D221EA">
                            <w:r>
                              <w:t>Compare and/or merged</w:t>
                            </w:r>
                          </w:p>
                          <w:p w14:paraId="17E6A9F4" w14:textId="77777777" w:rsidR="00D221EA" w:rsidRDefault="00D221EA" w:rsidP="00D221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FC0907" id="_x0000_s1108" type="#_x0000_t202" style="position:absolute;margin-left:191.95pt;margin-top:9.6pt;width:88.55pt;height:38.3pt;z-index:2516583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" fillcolor="white [3201]" strokeweight="1.5pt">
                <v:textbox>
                  <w:txbxContent>
                    <w:p w14:paraId="5D1C0B34" w14:textId="77777777" w:rsidR="00D221EA" w:rsidRDefault="00D221EA" w:rsidP="00D221EA">
                      <w:r>
                        <w:t>Compare and/or merged</w:t>
                      </w:r>
                    </w:p>
                    <w:p w14:paraId="17E6A9F4" w14:textId="77777777" w:rsidR="00D221EA" w:rsidRDefault="00D221EA" w:rsidP="00D221EA"/>
                  </w:txbxContent>
                </v:textbox>
              </v:shape>
            </w:pict>
          </mc:Fallback>
        </mc:AlternateContent>
      </w:r>
      <w:r w:rsidRPr="0053182F">
        <w:rPr>
          <w:rFonts w:eastAsia="Palatino Linotype"/>
          <w:b/>
          <w:bCs/>
          <w:noProof/>
        </w:rPr>
        <mc:AlternateContent>
          <mc:Choice Requires="wps">
            <w:drawing>
              <wp:anchor distT="0" distB="0" distL="114300" distR="114300" simplePos="0" relativeHeight="251658351" behindDoc="0" locked="0" layoutInCell="1" allowOverlap="1" wp14:anchorId="26EAF3BB" wp14:editId="1E951637">
                <wp:simplePos x="0" y="0"/>
                <wp:positionH relativeFrom="column">
                  <wp:posOffset>4390481</wp:posOffset>
                </wp:positionH>
                <wp:positionV relativeFrom="paragraph">
                  <wp:posOffset>214811</wp:posOffset>
                </wp:positionV>
                <wp:extent cx="1124585" cy="275771"/>
                <wp:effectExtent l="0" t="0" r="18415" b="10160"/>
                <wp:wrapNone/>
                <wp:docPr id="1911622826" name="Text Box 2"/>
                <wp:cNvGraphicFramePr/>
                <a:graphic xmlns:a="http://schemas.openxmlformats.org/drawingml/2006/main">
                  <a:graphicData uri="http://schemas.microsoft.com/office/word/2010/wordprocessingShape">
                    <wps:wsp>
                      <wps:cNvSpPr txBox="1"/>
                      <wps:spPr>
                        <a:xfrm>
                          <a:off x="0" y="0"/>
                          <a:ext cx="1124585" cy="275771"/>
                        </a:xfrm>
                        <a:prstGeom prst="rect">
                          <a:avLst/>
                        </a:prstGeom>
                        <a:solidFill>
                          <a:schemeClr val="lt1"/>
                        </a:solidFill>
                        <a:ln w="19050">
                          <a:solidFill>
                            <a:prstClr val="black"/>
                          </a:solidFill>
                        </a:ln>
                      </wps:spPr>
                      <wps:txbx>
                        <w:txbxContent>
                          <w:p w14:paraId="0712A3E0" w14:textId="77777777" w:rsidR="00D221EA" w:rsidRDefault="00D221EA" w:rsidP="00D221EA">
                            <w:pPr>
                              <w:jc w:val="center"/>
                            </w:pPr>
                            <w:r>
                              <w:t>Findings</w:t>
                            </w:r>
                          </w:p>
                          <w:p w14:paraId="71257E9F" w14:textId="77777777" w:rsidR="00D221EA" w:rsidRDefault="00D221EA" w:rsidP="00D221E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EAF3BB" id="_x0000_s1109" type="#_x0000_t202" style="position:absolute;margin-left:345.7pt;margin-top:16.9pt;width:88.55pt;height:21.7pt;z-index:2516583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" fillcolor="white [3201]" strokeweight="1.5pt">
                <v:textbox>
                  <w:txbxContent>
                    <w:p w14:paraId="0712A3E0" w14:textId="77777777" w:rsidR="00D221EA" w:rsidRDefault="00D221EA" w:rsidP="00D221EA">
                      <w:pPr>
                        <w:jc w:val="center"/>
                      </w:pPr>
                      <w:r>
                        <w:t>Findings</w:t>
                      </w:r>
                    </w:p>
                    <w:p w14:paraId="71257E9F" w14:textId="77777777" w:rsidR="00D221EA" w:rsidRDefault="00D221EA" w:rsidP="00D221EA">
                      <w:pPr>
                        <w:jc w:val="center"/>
                      </w:pPr>
                    </w:p>
                  </w:txbxContent>
                </v:textbox>
              </v:shape>
            </w:pict>
          </mc:Fallback>
        </mc:AlternateContent>
      </w:r>
    </w:p>
    <w:p w14:paraId="58DA37AD" w14:textId="77777777" w:rsidR="00D221EA" w:rsidRPr="0053182F" w:rsidRDefault="00D221EA" w:rsidP="00D221EA">
      <w:pPr>
        <w:spacing w:line="360" w:lineRule="auto"/>
        <w:rPr>
          <w:rFonts w:eastAsia="Palatino Linotype"/>
        </w:rPr>
      </w:pPr>
      <w:r w:rsidRPr="0053182F">
        <w:rPr>
          <w:rFonts w:eastAsia="Palatino Linotype"/>
          <w:b/>
          <w:bCs/>
          <w:noProof/>
        </w:rPr>
        <mc:AlternateContent>
          <mc:Choice Requires="wps">
            <w:drawing>
              <wp:anchor distT="0" distB="0" distL="114300" distR="114300" simplePos="0" relativeHeight="251658349" behindDoc="0" locked="0" layoutInCell="1" allowOverlap="1" wp14:anchorId="5882082E" wp14:editId="0F80C280">
                <wp:simplePos x="0" y="0"/>
                <wp:positionH relativeFrom="column">
                  <wp:posOffset>0</wp:posOffset>
                </wp:positionH>
                <wp:positionV relativeFrom="paragraph">
                  <wp:posOffset>148590</wp:posOffset>
                </wp:positionV>
                <wp:extent cx="1370965" cy="297180"/>
                <wp:effectExtent l="0" t="0" r="19685" b="26670"/>
                <wp:wrapNone/>
                <wp:docPr id="1972797092" name="Text Box 2"/>
                <wp:cNvGraphicFramePr/>
                <a:graphic xmlns:a="http://schemas.openxmlformats.org/drawingml/2006/main">
                  <a:graphicData uri="http://schemas.microsoft.com/office/word/2010/wordprocessingShape">
                    <wps:wsp>
                      <wps:cNvSpPr txBox="1"/>
                      <wps:spPr>
                        <a:xfrm>
                          <a:off x="0" y="0"/>
                          <a:ext cx="1370965" cy="297180"/>
                        </a:xfrm>
                        <a:prstGeom prst="rect">
                          <a:avLst/>
                        </a:prstGeom>
                        <a:solidFill>
                          <a:schemeClr val="lt1"/>
                        </a:solidFill>
                        <a:ln w="19050">
                          <a:solidFill>
                            <a:prstClr val="black"/>
                          </a:solidFill>
                        </a:ln>
                      </wps:spPr>
                      <wps:txbx>
                        <w:txbxContent>
                          <w:p w14:paraId="46778715" w14:textId="77777777" w:rsidR="00D221EA" w:rsidRDefault="00D221EA" w:rsidP="00D221EA">
                            <w:pPr>
                              <w:jc w:val="center"/>
                            </w:pPr>
                            <w:r>
                              <w:t>Qualitative</w:t>
                            </w:r>
                          </w:p>
                          <w:p w14:paraId="72860B11" w14:textId="77777777" w:rsidR="00D221EA" w:rsidRDefault="00D221EA" w:rsidP="00D221E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2082E" id="_x0000_s1110" type="#_x0000_t202" style="position:absolute;margin-left:0;margin-top:11.7pt;width:107.95pt;height:23.4pt;z-index:2516583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" fillcolor="white [3201]" strokeweight="1.5pt">
                <v:textbox>
                  <w:txbxContent>
                    <w:p w14:paraId="46778715" w14:textId="77777777" w:rsidR="00D221EA" w:rsidRDefault="00D221EA" w:rsidP="00D221EA">
                      <w:pPr>
                        <w:jc w:val="center"/>
                      </w:pPr>
                      <w:r>
                        <w:t>Qualitative</w:t>
                      </w:r>
                    </w:p>
                    <w:p w14:paraId="72860B11" w14:textId="77777777" w:rsidR="00D221EA" w:rsidRDefault="00D221EA" w:rsidP="00D221EA"/>
                  </w:txbxContent>
                </v:textbox>
              </v:shape>
            </w:pict>
          </mc:Fallback>
        </mc:AlternateContent>
      </w:r>
      <w:r w:rsidRPr="0053182F">
        <w:rPr>
          <w:rFonts w:eastAsia="Palatino Linotype"/>
          <w:b/>
          <w:bCs/>
          <w:noProof/>
        </w:rPr>
        <mc:AlternateContent>
          <mc:Choice Requires="wps">
            <w:drawing>
              <wp:anchor distT="0" distB="0" distL="114300" distR="114300" simplePos="0" relativeHeight="251658356" behindDoc="0" locked="0" layoutInCell="1" allowOverlap="1" wp14:anchorId="59B270A8" wp14:editId="2D98B3CD">
                <wp:simplePos x="0" y="0"/>
                <wp:positionH relativeFrom="column">
                  <wp:posOffset>1375410</wp:posOffset>
                </wp:positionH>
                <wp:positionV relativeFrom="paragraph">
                  <wp:posOffset>344170</wp:posOffset>
                </wp:positionV>
                <wp:extent cx="311785" cy="0"/>
                <wp:effectExtent l="0" t="0" r="0" b="0"/>
                <wp:wrapNone/>
                <wp:docPr id="1177952342" name="Straight Connector 8"/>
                <wp:cNvGraphicFramePr/>
                <a:graphic xmlns:a="http://schemas.openxmlformats.org/drawingml/2006/main">
                  <a:graphicData uri="http://schemas.microsoft.com/office/word/2010/wordprocessingShape">
                    <wps:wsp>
                      <wps:cNvCnPr/>
                      <wps:spPr>
                        <a:xfrm flipH="1">
                          <a:off x="0" y="0"/>
                          <a:ext cx="31178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4D240E5" id="Straight Connector 8" o:spid="_x0000_s1026" style="position:absolute;flip:x;z-index:251658356;visibility:visible;mso-wrap-style:square;mso-wrap-distance-left:9pt;mso-wrap-distance-top:0;mso-wrap-distance-right:9pt;mso-wrap-distance-bottom:0;mso-position-horizontal:absolute;mso-position-horizontal-relative:text;mso-position-vertical:absolute;mso-position-vertical-relative:text" from="108.3pt,27.1pt" to="132.85pt,27.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" strokecolor="black [3200]" strokeweight="1pt">
                <v:stroke joinstyle="miter"/>
              </v:line>
            </w:pict>
          </mc:Fallback>
        </mc:AlternateContent>
      </w:r>
      <w:r w:rsidRPr="0053182F">
        <w:rPr>
          <w:rFonts w:eastAsia="Palatino Linotype"/>
          <w:b/>
          <w:bCs/>
          <w:noProof/>
        </w:rPr>
        <mc:AlternateContent>
          <mc:Choice Requires="wps">
            <w:drawing>
              <wp:anchor distT="0" distB="0" distL="114300" distR="114300" simplePos="0" relativeHeight="251658354" behindDoc="0" locked="0" layoutInCell="1" allowOverlap="1" wp14:anchorId="56367FFC" wp14:editId="03D8CF73">
                <wp:simplePos x="0" y="0"/>
                <wp:positionH relativeFrom="column">
                  <wp:posOffset>1690914</wp:posOffset>
                </wp:positionH>
                <wp:positionV relativeFrom="paragraph">
                  <wp:posOffset>53884</wp:posOffset>
                </wp:positionV>
                <wp:extent cx="747486" cy="0"/>
                <wp:effectExtent l="0" t="76200" r="14605" b="95250"/>
                <wp:wrapNone/>
                <wp:docPr id="1463305296" name="Straight Arrow Connector 7"/>
                <wp:cNvGraphicFramePr/>
                <a:graphic xmlns:a="http://schemas.openxmlformats.org/drawingml/2006/main">
                  <a:graphicData uri="http://schemas.microsoft.com/office/word/2010/wordprocessingShape">
                    <wps:wsp>
                      <wps:cNvCnPr/>
                      <wps:spPr>
                        <a:xfrm>
                          <a:off x="0" y="0"/>
                          <a:ext cx="74748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E5B062" id="Straight Arrow Connector 7" o:spid="_x0000_s1026" type="#_x0000_t32" style="position:absolute;margin-left:133.15pt;margin-top:4.25pt;width:58.85pt;height:0;z-index:25165835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" strokecolor="black [3200]" strokeweight="1pt">
                <v:stroke endarrow="block" joinstyle="miter"/>
              </v:shape>
            </w:pict>
          </mc:Fallback>
        </mc:AlternateContent>
      </w:r>
      <w:r w:rsidRPr="0053182F">
        <w:rPr>
          <w:rFonts w:eastAsia="Palatino Linotype"/>
        </w:rPr>
        <w:t xml:space="preserve">  </w:t>
      </w:r>
    </w:p>
    <w:p w14:paraId="4696DD2F" w14:textId="77777777" w:rsidR="00D221EA" w:rsidRPr="0053182F" w:rsidRDefault="00D221EA" w:rsidP="00D221EA">
      <w:pPr>
        <w:spacing w:line="360" w:lineRule="auto"/>
        <w:rPr>
          <w:rFonts w:eastAsia="Palatino Linotype"/>
        </w:rPr>
      </w:pPr>
    </w:p>
    <w:p w14:paraId="24B03F26" w14:textId="77777777" w:rsidR="00D221EA" w:rsidRPr="0053182F" w:rsidRDefault="00D221EA" w:rsidP="00D221EA">
      <w:pPr>
        <w:pStyle w:val="ListParagraph"/>
        <w:numPr>
          <w:ilvl w:val="0"/>
          <w:numId w:val="32"/>
        </w:numPr>
        <w:spacing w:line="259" w:lineRule="auto"/>
      </w:pPr>
      <w:r w:rsidRPr="0053182F">
        <w:rPr>
          <w:b/>
          <w:bCs/>
        </w:rPr>
        <w:t>Exploratory sequential design</w:t>
      </w:r>
      <w:r w:rsidRPr="0053182F">
        <w:rPr>
          <w:noProof/>
        </w:rPr>
        <mc:AlternateContent>
          <mc:Choice Requires="wps">
            <w:drawing>
              <wp:anchor distT="0" distB="0" distL="114300" distR="114300" simplePos="0" relativeHeight="251658358" behindDoc="0" locked="0" layoutInCell="1" allowOverlap="1" wp14:anchorId="2F9B2DA5" wp14:editId="6F32D5A0">
                <wp:simplePos x="0" y="0"/>
                <wp:positionH relativeFrom="column">
                  <wp:posOffset>1257300</wp:posOffset>
                </wp:positionH>
                <wp:positionV relativeFrom="paragraph">
                  <wp:posOffset>158750</wp:posOffset>
                </wp:positionV>
                <wp:extent cx="1704975" cy="561975"/>
                <wp:effectExtent l="0" t="19050" r="47625" b="47625"/>
                <wp:wrapNone/>
                <wp:docPr id="1639171174" name="Arrow: Right 1"/>
                <wp:cNvGraphicFramePr/>
                <a:graphic xmlns:a="http://schemas.openxmlformats.org/drawingml/2006/main">
                  <a:graphicData uri="http://schemas.microsoft.com/office/word/2010/wordprocessingShape">
                    <wps:wsp>
                      <wps:cNvSpPr/>
                      <wps:spPr>
                        <a:xfrm>
                          <a:off x="0" y="0"/>
                          <a:ext cx="1704975" cy="561975"/>
                        </a:xfrm>
                        <a:prstGeom prst="rightArrow">
                          <a:avLst/>
                        </a:prstGeom>
                      </wps:spPr>
                      <wps:style>
                        <a:lnRef idx="2">
                          <a:schemeClr val="dk1"/>
                        </a:lnRef>
                        <a:fillRef idx="1">
                          <a:schemeClr val="lt1"/>
                        </a:fillRef>
                        <a:effectRef idx="0">
                          <a:schemeClr val="dk1"/>
                        </a:effectRef>
                        <a:fontRef idx="minor">
                          <a:schemeClr val="dk1"/>
                        </a:fontRef>
                      </wps:style>
                      <wps:txbx>
                        <w:txbxContent>
                          <w:p w14:paraId="1B636E3C" w14:textId="77777777" w:rsidR="00D221EA" w:rsidRDefault="00D221EA" w:rsidP="00D221EA">
                            <w:pPr>
                              <w:jc w:val="center"/>
                            </w:pPr>
                            <w:r>
                              <w:t>Act as preparation for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F9B2DA5" id="Arrow: Right 1" o:spid="_x0000_s1111" type="#_x0000_t13" style="position:absolute;left:0;text-align:left;margin-left:99pt;margin-top:12.5pt;width:134.25pt;height:44.25pt;z-index:25165835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" adj="18040" fillcolor="white [3201]" strokecolor="black [3200]" strokeweight="1.5pt">
                <v:textbox>
                  <w:txbxContent>
                    <w:p w14:paraId="1B636E3C" w14:textId="77777777" w:rsidR="00D221EA" w:rsidRDefault="00D221EA" w:rsidP="00D221EA">
                      <w:pPr>
                        <w:jc w:val="center"/>
                      </w:pPr>
                      <w:r>
                        <w:t>Act as preparation for</w:t>
                      </w:r>
                    </w:p>
                  </w:txbxContent>
                </v:textbox>
              </v:shape>
            </w:pict>
          </mc:Fallback>
        </mc:AlternateContent>
      </w:r>
    </w:p>
    <w:p w14:paraId="18735DF0" w14:textId="77777777" w:rsidR="00D221EA" w:rsidRPr="0053182F" w:rsidRDefault="00D221EA" w:rsidP="00D221EA">
      <w:pPr>
        <w:spacing w:line="360" w:lineRule="auto"/>
        <w:rPr>
          <w:rFonts w:eastAsia="Palatino Linotype"/>
        </w:rPr>
      </w:pPr>
      <w:r w:rsidRPr="0053182F">
        <w:rPr>
          <w:rFonts w:eastAsia="Palatino Linotype"/>
          <w:b/>
          <w:bCs/>
          <w:noProof/>
        </w:rPr>
        <mc:AlternateContent>
          <mc:Choice Requires="wps">
            <w:drawing>
              <wp:anchor distT="0" distB="0" distL="114300" distR="114300" simplePos="0" relativeHeight="251658360" behindDoc="0" locked="0" layoutInCell="1" allowOverlap="1" wp14:anchorId="0C3A4E4B" wp14:editId="33DA4DC4">
                <wp:simplePos x="0" y="0"/>
                <wp:positionH relativeFrom="column">
                  <wp:posOffset>5019675</wp:posOffset>
                </wp:positionH>
                <wp:positionV relativeFrom="paragraph">
                  <wp:posOffset>8890</wp:posOffset>
                </wp:positionV>
                <wp:extent cx="1124585" cy="275590"/>
                <wp:effectExtent l="0" t="0" r="18415" b="10160"/>
                <wp:wrapNone/>
                <wp:docPr id="927314539" name="Text Box 2"/>
                <wp:cNvGraphicFramePr/>
                <a:graphic xmlns:a="http://schemas.openxmlformats.org/drawingml/2006/main">
                  <a:graphicData uri="http://schemas.microsoft.com/office/word/2010/wordprocessingShape">
                    <wps:wsp>
                      <wps:cNvSpPr txBox="1"/>
                      <wps:spPr>
                        <a:xfrm>
                          <a:off x="0" y="0"/>
                          <a:ext cx="1124585" cy="275590"/>
                        </a:xfrm>
                        <a:prstGeom prst="rect">
                          <a:avLst/>
                        </a:prstGeom>
                        <a:solidFill>
                          <a:schemeClr val="lt1"/>
                        </a:solidFill>
                        <a:ln w="19050">
                          <a:solidFill>
                            <a:prstClr val="black"/>
                          </a:solidFill>
                        </a:ln>
                      </wps:spPr>
                      <wps:txbx>
                        <w:txbxContent>
                          <w:p w14:paraId="5088AC5E" w14:textId="77777777" w:rsidR="00D221EA" w:rsidRDefault="00D221EA" w:rsidP="00D221EA">
                            <w:pPr>
                              <w:jc w:val="center"/>
                            </w:pPr>
                            <w:r>
                              <w:t>Findings</w:t>
                            </w:r>
                          </w:p>
                          <w:p w14:paraId="2649714F" w14:textId="77777777" w:rsidR="00D221EA" w:rsidRDefault="00D221EA" w:rsidP="00D221E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3A4E4B" id="_x0000_s1112" type="#_x0000_t202" style="position:absolute;margin-left:395.25pt;margin-top:.7pt;width:88.55pt;height:21.7pt;z-index:251658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" fillcolor="white [3201]" strokeweight="1.5pt">
                <v:textbox>
                  <w:txbxContent>
                    <w:p w14:paraId="5088AC5E" w14:textId="77777777" w:rsidR="00D221EA" w:rsidRDefault="00D221EA" w:rsidP="00D221EA">
                      <w:pPr>
                        <w:jc w:val="center"/>
                      </w:pPr>
                      <w:r>
                        <w:t>Findings</w:t>
                      </w:r>
                    </w:p>
                    <w:p w14:paraId="2649714F" w14:textId="77777777" w:rsidR="00D221EA" w:rsidRDefault="00D221EA" w:rsidP="00D221EA">
                      <w:pPr>
                        <w:jc w:val="center"/>
                      </w:pPr>
                    </w:p>
                  </w:txbxContent>
                </v:textbox>
              </v:shape>
            </w:pict>
          </mc:Fallback>
        </mc:AlternateContent>
      </w:r>
      <w:r w:rsidRPr="0053182F">
        <w:rPr>
          <w:rFonts w:eastAsia="Palatino Linotype"/>
          <w:b/>
          <w:bCs/>
          <w:noProof/>
        </w:rPr>
        <mc:AlternateContent>
          <mc:Choice Requires="wps">
            <w:drawing>
              <wp:anchor distT="0" distB="0" distL="114300" distR="114300" simplePos="0" relativeHeight="251658361" behindDoc="0" locked="0" layoutInCell="1" allowOverlap="1" wp14:anchorId="58E62CB9" wp14:editId="114E8ADA">
                <wp:simplePos x="0" y="0"/>
                <wp:positionH relativeFrom="column">
                  <wp:posOffset>4258945</wp:posOffset>
                </wp:positionH>
                <wp:positionV relativeFrom="paragraph">
                  <wp:posOffset>160020</wp:posOffset>
                </wp:positionV>
                <wp:extent cx="755015" cy="0"/>
                <wp:effectExtent l="0" t="76200" r="26035" b="95250"/>
                <wp:wrapNone/>
                <wp:docPr id="1430167990" name="Straight Arrow Connector 5"/>
                <wp:cNvGraphicFramePr/>
                <a:graphic xmlns:a="http://schemas.openxmlformats.org/drawingml/2006/main">
                  <a:graphicData uri="http://schemas.microsoft.com/office/word/2010/wordprocessingShape">
                    <wps:wsp>
                      <wps:cNvCnPr/>
                      <wps:spPr>
                        <a:xfrm>
                          <a:off x="0" y="0"/>
                          <a:ext cx="75501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D1C15D5" id="Straight Arrow Connector 5" o:spid="_x0000_s1026" type="#_x0000_t32" style="position:absolute;margin-left:335.35pt;margin-top:12.6pt;width:59.45pt;height:0;z-index:251658361;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" strokecolor="black [3200]" strokeweight="1pt">
                <v:stroke endarrow="block" joinstyle="miter"/>
              </v:shape>
            </w:pict>
          </mc:Fallback>
        </mc:AlternateContent>
      </w:r>
      <w:r w:rsidRPr="0053182F">
        <w:rPr>
          <w:rFonts w:eastAsia="Palatino Linotype"/>
          <w:b/>
          <w:bCs/>
          <w:noProof/>
        </w:rPr>
        <mc:AlternateContent>
          <mc:Choice Requires="wps">
            <w:drawing>
              <wp:anchor distT="0" distB="0" distL="114300" distR="114300" simplePos="0" relativeHeight="251658359" behindDoc="0" locked="0" layoutInCell="1" allowOverlap="1" wp14:anchorId="0D319847" wp14:editId="42AB8F6B">
                <wp:simplePos x="0" y="0"/>
                <wp:positionH relativeFrom="column">
                  <wp:posOffset>3105150</wp:posOffset>
                </wp:positionH>
                <wp:positionV relativeFrom="paragraph">
                  <wp:posOffset>8890</wp:posOffset>
                </wp:positionV>
                <wp:extent cx="1124585" cy="297180"/>
                <wp:effectExtent l="0" t="0" r="18415" b="26670"/>
                <wp:wrapNone/>
                <wp:docPr id="350845393" name="Text Box 2"/>
                <wp:cNvGraphicFramePr/>
                <a:graphic xmlns:a="http://schemas.openxmlformats.org/drawingml/2006/main">
                  <a:graphicData uri="http://schemas.microsoft.com/office/word/2010/wordprocessingShape">
                    <wps:wsp>
                      <wps:cNvSpPr txBox="1"/>
                      <wps:spPr>
                        <a:xfrm>
                          <a:off x="0" y="0"/>
                          <a:ext cx="1124585" cy="297180"/>
                        </a:xfrm>
                        <a:prstGeom prst="rect">
                          <a:avLst/>
                        </a:prstGeom>
                        <a:solidFill>
                          <a:schemeClr val="lt1"/>
                        </a:solidFill>
                        <a:ln w="19050">
                          <a:solidFill>
                            <a:prstClr val="black"/>
                          </a:solidFill>
                        </a:ln>
                      </wps:spPr>
                      <wps:txbx>
                        <w:txbxContent>
                          <w:p w14:paraId="6A8CB166" w14:textId="77777777" w:rsidR="00D221EA" w:rsidRDefault="00D221EA" w:rsidP="00D221EA">
                            <w:pPr>
                              <w:jc w:val="center"/>
                            </w:pPr>
                            <w:r>
                              <w:t>Quantitative</w:t>
                            </w:r>
                          </w:p>
                          <w:p w14:paraId="327E7DC2" w14:textId="77777777" w:rsidR="00D221EA" w:rsidRDefault="00D221EA" w:rsidP="00D221E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319847" id="_x0000_s1113" type="#_x0000_t202" style="position:absolute;margin-left:244.5pt;margin-top:.7pt;width:88.55pt;height:23.4pt;z-index:25165835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" fillcolor="white [3201]" strokeweight="1.5pt">
                <v:textbox>
                  <w:txbxContent>
                    <w:p w14:paraId="6A8CB166" w14:textId="77777777" w:rsidR="00D221EA" w:rsidRDefault="00D221EA" w:rsidP="00D221EA">
                      <w:pPr>
                        <w:jc w:val="center"/>
                      </w:pPr>
                      <w:r>
                        <w:t>Quantitative</w:t>
                      </w:r>
                    </w:p>
                    <w:p w14:paraId="327E7DC2" w14:textId="77777777" w:rsidR="00D221EA" w:rsidRDefault="00D221EA" w:rsidP="00D221EA">
                      <w:pPr>
                        <w:jc w:val="center"/>
                      </w:pPr>
                    </w:p>
                  </w:txbxContent>
                </v:textbox>
              </v:shape>
            </w:pict>
          </mc:Fallback>
        </mc:AlternateContent>
      </w:r>
      <w:r w:rsidRPr="0053182F">
        <w:rPr>
          <w:rFonts w:eastAsia="Palatino Linotype"/>
          <w:b/>
          <w:bCs/>
          <w:noProof/>
        </w:rPr>
        <mc:AlternateContent>
          <mc:Choice Requires="wps">
            <w:drawing>
              <wp:anchor distT="0" distB="0" distL="114300" distR="114300" simplePos="0" relativeHeight="251658357" behindDoc="0" locked="0" layoutInCell="1" allowOverlap="1" wp14:anchorId="4AA9DB7B" wp14:editId="7155CED4">
                <wp:simplePos x="0" y="0"/>
                <wp:positionH relativeFrom="column">
                  <wp:posOffset>0</wp:posOffset>
                </wp:positionH>
                <wp:positionV relativeFrom="paragraph">
                  <wp:posOffset>0</wp:posOffset>
                </wp:positionV>
                <wp:extent cx="1124585" cy="297180"/>
                <wp:effectExtent l="0" t="0" r="18415" b="26670"/>
                <wp:wrapNone/>
                <wp:docPr id="1628473861" name="Text Box 2"/>
                <wp:cNvGraphicFramePr/>
                <a:graphic xmlns:a="http://schemas.openxmlformats.org/drawingml/2006/main">
                  <a:graphicData uri="http://schemas.microsoft.com/office/word/2010/wordprocessingShape">
                    <wps:wsp>
                      <wps:cNvSpPr txBox="1"/>
                      <wps:spPr>
                        <a:xfrm>
                          <a:off x="0" y="0"/>
                          <a:ext cx="1124585" cy="297180"/>
                        </a:xfrm>
                        <a:prstGeom prst="rect">
                          <a:avLst/>
                        </a:prstGeom>
                        <a:solidFill>
                          <a:schemeClr val="lt1"/>
                        </a:solidFill>
                        <a:ln w="19050">
                          <a:solidFill>
                            <a:prstClr val="black"/>
                          </a:solidFill>
                        </a:ln>
                      </wps:spPr>
                      <wps:txbx>
                        <w:txbxContent>
                          <w:p w14:paraId="39AB3DF0" w14:textId="77777777" w:rsidR="00D221EA" w:rsidRDefault="00D221EA" w:rsidP="00D221EA">
                            <w:pPr>
                              <w:jc w:val="center"/>
                            </w:pPr>
                            <w:r>
                              <w:t>Quantitative</w:t>
                            </w:r>
                          </w:p>
                          <w:p w14:paraId="7973FE72" w14:textId="77777777" w:rsidR="00D221EA" w:rsidRDefault="00D221EA" w:rsidP="00D221E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A9DB7B" id="_x0000_s1114" type="#_x0000_t202" style="position:absolute;margin-left:0;margin-top:0;width:88.55pt;height:23.4pt;z-index:25165835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" fillcolor="white [3201]" strokeweight="1.5pt">
                <v:textbox>
                  <w:txbxContent>
                    <w:p w14:paraId="39AB3DF0" w14:textId="77777777" w:rsidR="00D221EA" w:rsidRDefault="00D221EA" w:rsidP="00D221EA">
                      <w:pPr>
                        <w:jc w:val="center"/>
                      </w:pPr>
                      <w:r>
                        <w:t>Quantitative</w:t>
                      </w:r>
                    </w:p>
                    <w:p w14:paraId="7973FE72" w14:textId="77777777" w:rsidR="00D221EA" w:rsidRDefault="00D221EA" w:rsidP="00D221EA">
                      <w:pPr>
                        <w:jc w:val="center"/>
                      </w:pPr>
                    </w:p>
                  </w:txbxContent>
                </v:textbox>
              </v:shape>
            </w:pict>
          </mc:Fallback>
        </mc:AlternateContent>
      </w:r>
    </w:p>
    <w:p w14:paraId="1CE77E75" w14:textId="77777777" w:rsidR="00D221EA" w:rsidRPr="0053182F" w:rsidRDefault="00D221EA" w:rsidP="00D221EA">
      <w:pPr>
        <w:spacing w:line="360" w:lineRule="auto"/>
        <w:rPr>
          <w:rFonts w:eastAsia="Palatino Linotype"/>
        </w:rPr>
      </w:pPr>
    </w:p>
    <w:p w14:paraId="77EAFFCE" w14:textId="77777777" w:rsidR="00D221EA" w:rsidRPr="0053182F" w:rsidRDefault="00D221EA" w:rsidP="00D221EA">
      <w:pPr>
        <w:pStyle w:val="ListParagraph"/>
        <w:numPr>
          <w:ilvl w:val="0"/>
          <w:numId w:val="33"/>
        </w:numPr>
        <w:spacing w:line="259" w:lineRule="auto"/>
      </w:pPr>
      <w:r w:rsidRPr="0053182F">
        <w:rPr>
          <w:noProof/>
        </w:rPr>
        <mc:AlternateContent>
          <mc:Choice Requires="wps">
            <w:drawing>
              <wp:anchor distT="0" distB="0" distL="114300" distR="114300" simplePos="0" relativeHeight="251658363" behindDoc="0" locked="0" layoutInCell="1" allowOverlap="1" wp14:anchorId="03EC905B" wp14:editId="256AB7EB">
                <wp:simplePos x="0" y="0"/>
                <wp:positionH relativeFrom="column">
                  <wp:posOffset>1213164</wp:posOffset>
                </wp:positionH>
                <wp:positionV relativeFrom="paragraph">
                  <wp:posOffset>159599</wp:posOffset>
                </wp:positionV>
                <wp:extent cx="1750243" cy="578478"/>
                <wp:effectExtent l="0" t="19050" r="40640" b="31750"/>
                <wp:wrapNone/>
                <wp:docPr id="1094944524" name="Arrow: Right 1"/>
                <wp:cNvGraphicFramePr/>
                <a:graphic xmlns:a="http://schemas.openxmlformats.org/drawingml/2006/main">
                  <a:graphicData uri="http://schemas.microsoft.com/office/word/2010/wordprocessingShape">
                    <wps:wsp>
                      <wps:cNvSpPr/>
                      <wps:spPr>
                        <a:xfrm>
                          <a:off x="0" y="0"/>
                          <a:ext cx="1750243" cy="578478"/>
                        </a:xfrm>
                        <a:prstGeom prst="rightArrow">
                          <a:avLst/>
                        </a:prstGeom>
                      </wps:spPr>
                      <wps:style>
                        <a:lnRef idx="2">
                          <a:schemeClr val="dk1"/>
                        </a:lnRef>
                        <a:fillRef idx="1">
                          <a:schemeClr val="lt1"/>
                        </a:fillRef>
                        <a:effectRef idx="0">
                          <a:schemeClr val="dk1"/>
                        </a:effectRef>
                        <a:fontRef idx="minor">
                          <a:schemeClr val="dk1"/>
                        </a:fontRef>
                      </wps:style>
                      <wps:txbx>
                        <w:txbxContent>
                          <w:p w14:paraId="71F54895" w14:textId="77777777" w:rsidR="00D221EA" w:rsidRPr="00591334" w:rsidRDefault="00D221EA" w:rsidP="00D221EA">
                            <w:pPr>
                              <w:jc w:val="center"/>
                              <w:rPr>
                                <w:sz w:val="20"/>
                                <w:szCs w:val="20"/>
                              </w:rPr>
                            </w:pPr>
                            <w:r w:rsidRPr="00591334">
                              <w:rPr>
                                <w:sz w:val="20"/>
                                <w:szCs w:val="20"/>
                              </w:rPr>
                              <w:t>Explained or elaborated by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EC905B" id="_x0000_s1115" type="#_x0000_t13" style="position:absolute;left:0;text-align:left;margin-left:95.5pt;margin-top:12.55pt;width:137.8pt;height:45.55pt;z-index:25165836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" adj="18030" fillcolor="white [3201]" strokecolor="black [3200]" strokeweight="1.5pt">
                <v:textbox>
                  <w:txbxContent>
                    <w:p w14:paraId="71F54895" w14:textId="77777777" w:rsidR="00D221EA" w:rsidRPr="00591334" w:rsidRDefault="00D221EA" w:rsidP="00D221EA">
                      <w:pPr>
                        <w:jc w:val="center"/>
                        <w:rPr>
                          <w:sz w:val="20"/>
                          <w:szCs w:val="20"/>
                        </w:rPr>
                      </w:pPr>
                      <w:r w:rsidRPr="00591334">
                        <w:rPr>
                          <w:sz w:val="20"/>
                          <w:szCs w:val="20"/>
                        </w:rPr>
                        <w:t>Explained or elaborated by</w:t>
                      </w:r>
                    </w:p>
                  </w:txbxContent>
                </v:textbox>
              </v:shape>
            </w:pict>
          </mc:Fallback>
        </mc:AlternateContent>
      </w:r>
      <w:r w:rsidRPr="0053182F">
        <w:rPr>
          <w:b/>
          <w:bCs/>
        </w:rPr>
        <w:t>Explanatory sequential design</w:t>
      </w:r>
    </w:p>
    <w:p w14:paraId="0D646F9C" w14:textId="77777777" w:rsidR="00D221EA" w:rsidRPr="0053182F" w:rsidRDefault="00D221EA" w:rsidP="00D221EA">
      <w:pPr>
        <w:spacing w:line="360" w:lineRule="auto"/>
        <w:rPr>
          <w:rFonts w:eastAsia="Palatino Linotype"/>
        </w:rPr>
      </w:pPr>
      <w:r w:rsidRPr="0053182F">
        <w:rPr>
          <w:rFonts w:eastAsia="Palatino Linotype"/>
          <w:b/>
          <w:bCs/>
          <w:noProof/>
        </w:rPr>
        <mc:AlternateContent>
          <mc:Choice Requires="wps">
            <w:drawing>
              <wp:anchor distT="0" distB="0" distL="114300" distR="114300" simplePos="0" relativeHeight="251658365" behindDoc="0" locked="0" layoutInCell="1" allowOverlap="1" wp14:anchorId="0A1E8971" wp14:editId="508B6A13">
                <wp:simplePos x="0" y="0"/>
                <wp:positionH relativeFrom="column">
                  <wp:posOffset>5019675</wp:posOffset>
                </wp:positionH>
                <wp:positionV relativeFrom="paragraph">
                  <wp:posOffset>8890</wp:posOffset>
                </wp:positionV>
                <wp:extent cx="1124585" cy="275590"/>
                <wp:effectExtent l="0" t="0" r="18415" b="10160"/>
                <wp:wrapNone/>
                <wp:docPr id="59797717" name="Text Box 2"/>
                <wp:cNvGraphicFramePr/>
                <a:graphic xmlns:a="http://schemas.openxmlformats.org/drawingml/2006/main">
                  <a:graphicData uri="http://schemas.microsoft.com/office/word/2010/wordprocessingShape">
                    <wps:wsp>
                      <wps:cNvSpPr txBox="1"/>
                      <wps:spPr>
                        <a:xfrm>
                          <a:off x="0" y="0"/>
                          <a:ext cx="1124585" cy="275590"/>
                        </a:xfrm>
                        <a:prstGeom prst="rect">
                          <a:avLst/>
                        </a:prstGeom>
                        <a:solidFill>
                          <a:schemeClr val="lt1"/>
                        </a:solidFill>
                        <a:ln w="19050">
                          <a:solidFill>
                            <a:prstClr val="black"/>
                          </a:solidFill>
                        </a:ln>
                      </wps:spPr>
                      <wps:txbx>
                        <w:txbxContent>
                          <w:p w14:paraId="69EE6EFE" w14:textId="77777777" w:rsidR="00D221EA" w:rsidRDefault="00D221EA" w:rsidP="00D221EA">
                            <w:pPr>
                              <w:jc w:val="center"/>
                            </w:pPr>
                            <w:r>
                              <w:t>Findings</w:t>
                            </w:r>
                          </w:p>
                          <w:p w14:paraId="7B24F1A4" w14:textId="77777777" w:rsidR="00D221EA" w:rsidRDefault="00D221EA" w:rsidP="00D221E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1E8971" id="_x0000_s1116" type="#_x0000_t202" style="position:absolute;margin-left:395.25pt;margin-top:.7pt;width:88.55pt;height:21.7pt;z-index:25165836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" fillcolor="white [3201]" strokeweight="1.5pt">
                <v:textbox>
                  <w:txbxContent>
                    <w:p w14:paraId="69EE6EFE" w14:textId="77777777" w:rsidR="00D221EA" w:rsidRDefault="00D221EA" w:rsidP="00D221EA">
                      <w:pPr>
                        <w:jc w:val="center"/>
                      </w:pPr>
                      <w:r>
                        <w:t>Findings</w:t>
                      </w:r>
                    </w:p>
                    <w:p w14:paraId="7B24F1A4" w14:textId="77777777" w:rsidR="00D221EA" w:rsidRDefault="00D221EA" w:rsidP="00D221EA">
                      <w:pPr>
                        <w:jc w:val="center"/>
                      </w:pPr>
                    </w:p>
                  </w:txbxContent>
                </v:textbox>
              </v:shape>
            </w:pict>
          </mc:Fallback>
        </mc:AlternateContent>
      </w:r>
      <w:r w:rsidRPr="0053182F">
        <w:rPr>
          <w:rFonts w:eastAsia="Palatino Linotype"/>
          <w:b/>
          <w:bCs/>
          <w:noProof/>
        </w:rPr>
        <mc:AlternateContent>
          <mc:Choice Requires="wps">
            <w:drawing>
              <wp:anchor distT="0" distB="0" distL="114300" distR="114300" simplePos="0" relativeHeight="251658366" behindDoc="0" locked="0" layoutInCell="1" allowOverlap="1" wp14:anchorId="0F713352" wp14:editId="04CA9128">
                <wp:simplePos x="0" y="0"/>
                <wp:positionH relativeFrom="column">
                  <wp:posOffset>4258945</wp:posOffset>
                </wp:positionH>
                <wp:positionV relativeFrom="paragraph">
                  <wp:posOffset>160020</wp:posOffset>
                </wp:positionV>
                <wp:extent cx="755015" cy="0"/>
                <wp:effectExtent l="0" t="76200" r="26035" b="95250"/>
                <wp:wrapNone/>
                <wp:docPr id="1917336885" name="Straight Arrow Connector 5"/>
                <wp:cNvGraphicFramePr/>
                <a:graphic xmlns:a="http://schemas.openxmlformats.org/drawingml/2006/main">
                  <a:graphicData uri="http://schemas.microsoft.com/office/word/2010/wordprocessingShape">
                    <wps:wsp>
                      <wps:cNvCnPr/>
                      <wps:spPr>
                        <a:xfrm>
                          <a:off x="0" y="0"/>
                          <a:ext cx="75501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D952235" id="Straight Arrow Connector 5" o:spid="_x0000_s1026" type="#_x0000_t32" style="position:absolute;margin-left:335.35pt;margin-top:12.6pt;width:59.45pt;height:0;z-index:25165836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" strokecolor="black [3200]" strokeweight="1pt">
                <v:stroke endarrow="block" joinstyle="miter"/>
              </v:shape>
            </w:pict>
          </mc:Fallback>
        </mc:AlternateContent>
      </w:r>
      <w:r w:rsidRPr="0053182F">
        <w:rPr>
          <w:rFonts w:eastAsia="Palatino Linotype"/>
          <w:b/>
          <w:bCs/>
          <w:noProof/>
        </w:rPr>
        <mc:AlternateContent>
          <mc:Choice Requires="wps">
            <w:drawing>
              <wp:anchor distT="0" distB="0" distL="114300" distR="114300" simplePos="0" relativeHeight="251658364" behindDoc="0" locked="0" layoutInCell="1" allowOverlap="1" wp14:anchorId="6A2F6021" wp14:editId="3687BF76">
                <wp:simplePos x="0" y="0"/>
                <wp:positionH relativeFrom="column">
                  <wp:posOffset>3105150</wp:posOffset>
                </wp:positionH>
                <wp:positionV relativeFrom="paragraph">
                  <wp:posOffset>8890</wp:posOffset>
                </wp:positionV>
                <wp:extent cx="1124585" cy="297180"/>
                <wp:effectExtent l="0" t="0" r="18415" b="26670"/>
                <wp:wrapNone/>
                <wp:docPr id="476633234" name="Text Box 2"/>
                <wp:cNvGraphicFramePr/>
                <a:graphic xmlns:a="http://schemas.openxmlformats.org/drawingml/2006/main">
                  <a:graphicData uri="http://schemas.microsoft.com/office/word/2010/wordprocessingShape">
                    <wps:wsp>
                      <wps:cNvSpPr txBox="1"/>
                      <wps:spPr>
                        <a:xfrm>
                          <a:off x="0" y="0"/>
                          <a:ext cx="1124585" cy="297180"/>
                        </a:xfrm>
                        <a:prstGeom prst="rect">
                          <a:avLst/>
                        </a:prstGeom>
                        <a:solidFill>
                          <a:schemeClr val="lt1"/>
                        </a:solidFill>
                        <a:ln w="19050">
                          <a:solidFill>
                            <a:prstClr val="black"/>
                          </a:solidFill>
                        </a:ln>
                      </wps:spPr>
                      <wps:txbx>
                        <w:txbxContent>
                          <w:p w14:paraId="53572BF2" w14:textId="77777777" w:rsidR="00D221EA" w:rsidRDefault="00D221EA" w:rsidP="00D221EA">
                            <w:pPr>
                              <w:jc w:val="center"/>
                            </w:pPr>
                            <w:r>
                              <w:t>Qualitative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2F6021" id="_x0000_s1117" type="#_x0000_t202" style="position:absolute;margin-left:244.5pt;margin-top:.7pt;width:88.55pt;height:23.4pt;z-index:2516583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" fillcolor="white [3201]" strokeweight="1.5pt">
                <v:textbox>
                  <w:txbxContent>
                    <w:p w14:paraId="53572BF2" w14:textId="77777777" w:rsidR="00D221EA" w:rsidRDefault="00D221EA" w:rsidP="00D221EA">
                      <w:pPr>
                        <w:jc w:val="center"/>
                      </w:pPr>
                      <w:r>
                        <w:t>Qualitative</w:t>
                      </w:r>
                    </w:p>
                  </w:txbxContent>
                </v:textbox>
              </v:shape>
            </w:pict>
          </mc:Fallback>
        </mc:AlternateContent>
      </w:r>
      <w:r w:rsidRPr="0053182F">
        <w:rPr>
          <w:rFonts w:eastAsia="Palatino Linotype"/>
          <w:b/>
          <w:bCs/>
          <w:noProof/>
        </w:rPr>
        <mc:AlternateContent>
          <mc:Choice Requires="wps">
            <w:drawing>
              <wp:anchor distT="0" distB="0" distL="114300" distR="114300" simplePos="0" relativeHeight="251658362" behindDoc="0" locked="0" layoutInCell="1" allowOverlap="1" wp14:anchorId="10C8D3CF" wp14:editId="037259AF">
                <wp:simplePos x="0" y="0"/>
                <wp:positionH relativeFrom="column">
                  <wp:posOffset>0</wp:posOffset>
                </wp:positionH>
                <wp:positionV relativeFrom="paragraph">
                  <wp:posOffset>0</wp:posOffset>
                </wp:positionV>
                <wp:extent cx="1124585" cy="297180"/>
                <wp:effectExtent l="0" t="0" r="18415" b="26670"/>
                <wp:wrapNone/>
                <wp:docPr id="767391457" name="Text Box 2"/>
                <wp:cNvGraphicFramePr/>
                <a:graphic xmlns:a="http://schemas.openxmlformats.org/drawingml/2006/main">
                  <a:graphicData uri="http://schemas.microsoft.com/office/word/2010/wordprocessingShape">
                    <wps:wsp>
                      <wps:cNvSpPr txBox="1"/>
                      <wps:spPr>
                        <a:xfrm>
                          <a:off x="0" y="0"/>
                          <a:ext cx="1124585" cy="297180"/>
                        </a:xfrm>
                        <a:prstGeom prst="rect">
                          <a:avLst/>
                        </a:prstGeom>
                        <a:solidFill>
                          <a:schemeClr val="lt1"/>
                        </a:solidFill>
                        <a:ln w="19050">
                          <a:solidFill>
                            <a:prstClr val="black"/>
                          </a:solidFill>
                        </a:ln>
                      </wps:spPr>
                      <wps:txbx>
                        <w:txbxContent>
                          <w:p w14:paraId="523DB70F" w14:textId="77777777" w:rsidR="00D221EA" w:rsidRDefault="00D221EA" w:rsidP="00D221EA">
                            <w:pPr>
                              <w:jc w:val="center"/>
                            </w:pPr>
                            <w:r>
                              <w:t>Quantitative</w:t>
                            </w:r>
                          </w:p>
                          <w:p w14:paraId="24A4939E" w14:textId="77777777" w:rsidR="00D221EA" w:rsidRDefault="00D221EA" w:rsidP="00D221E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C8D3CF" id="_x0000_s1118" type="#_x0000_t202" style="position:absolute;margin-left:0;margin-top:0;width:88.55pt;height:23.4pt;z-index:25165836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" fillcolor="white [3201]" strokeweight="1.5pt">
                <v:textbox>
                  <w:txbxContent>
                    <w:p w14:paraId="523DB70F" w14:textId="77777777" w:rsidR="00D221EA" w:rsidRDefault="00D221EA" w:rsidP="00D221EA">
                      <w:pPr>
                        <w:jc w:val="center"/>
                      </w:pPr>
                      <w:r>
                        <w:t>Quantitative</w:t>
                      </w:r>
                    </w:p>
                    <w:p w14:paraId="24A4939E" w14:textId="77777777" w:rsidR="00D221EA" w:rsidRDefault="00D221EA" w:rsidP="00D221EA">
                      <w:pPr>
                        <w:jc w:val="center"/>
                      </w:pPr>
                    </w:p>
                  </w:txbxContent>
                </v:textbox>
              </v:shape>
            </w:pict>
          </mc:Fallback>
        </mc:AlternateContent>
      </w:r>
    </w:p>
    <w:p w14:paraId="611A6B31" w14:textId="77777777" w:rsidR="00D221EA" w:rsidRPr="0053182F" w:rsidRDefault="00D221EA" w:rsidP="00D221EA">
      <w:pPr>
        <w:rPr>
          <w:rFonts w:eastAsia="Palatino Linotype"/>
        </w:rPr>
      </w:pPr>
    </w:p>
    <w:p w14:paraId="4D8F277E" w14:textId="77777777" w:rsidR="00D221EA" w:rsidRPr="0053182F" w:rsidRDefault="00D221EA" w:rsidP="00D221EA">
      <w:pPr>
        <w:pStyle w:val="ListParagraph"/>
        <w:numPr>
          <w:ilvl w:val="0"/>
          <w:numId w:val="34"/>
        </w:numPr>
        <w:spacing w:line="259" w:lineRule="auto"/>
        <w:rPr>
          <w:rFonts w:eastAsia="Palatino Linotype"/>
          <w:b/>
          <w:bCs/>
        </w:rPr>
      </w:pPr>
      <w:r w:rsidRPr="0053182F">
        <w:rPr>
          <w:rFonts w:eastAsia="Palatino Linotype"/>
          <w:b/>
          <w:bCs/>
          <w:noProof/>
        </w:rPr>
        <mc:AlternateContent>
          <mc:Choice Requires="wps">
            <w:drawing>
              <wp:anchor distT="0" distB="0" distL="114300" distR="114300" simplePos="0" relativeHeight="251658367" behindDoc="0" locked="0" layoutInCell="1" allowOverlap="1" wp14:anchorId="54E74BDD" wp14:editId="48564D74">
                <wp:simplePos x="0" y="0"/>
                <wp:positionH relativeFrom="column">
                  <wp:posOffset>19050</wp:posOffset>
                </wp:positionH>
                <wp:positionV relativeFrom="paragraph">
                  <wp:posOffset>300990</wp:posOffset>
                </wp:positionV>
                <wp:extent cx="1971675" cy="647700"/>
                <wp:effectExtent l="0" t="0" r="28575" b="19050"/>
                <wp:wrapNone/>
                <wp:docPr id="1830710301" name="Text Box 2"/>
                <wp:cNvGraphicFramePr/>
                <a:graphic xmlns:a="http://schemas.openxmlformats.org/drawingml/2006/main">
                  <a:graphicData uri="http://schemas.microsoft.com/office/word/2010/wordprocessingShape">
                    <wps:wsp>
                      <wps:cNvSpPr txBox="1"/>
                      <wps:spPr>
                        <a:xfrm>
                          <a:off x="0" y="0"/>
                          <a:ext cx="1971675" cy="647700"/>
                        </a:xfrm>
                        <a:prstGeom prst="rect">
                          <a:avLst/>
                        </a:prstGeom>
                        <a:solidFill>
                          <a:schemeClr val="lt1"/>
                        </a:solidFill>
                        <a:ln w="19050">
                          <a:solidFill>
                            <a:prstClr val="black"/>
                          </a:solidFill>
                        </a:ln>
                      </wps:spPr>
                      <wps:txbx>
                        <w:txbxContent>
                          <w:p w14:paraId="58BFCDB8" w14:textId="77777777" w:rsidR="00D221EA" w:rsidRDefault="00D221EA" w:rsidP="00D221EA">
                            <w:r>
                              <w:t>Quantitative or qualitative</w:t>
                            </w:r>
                          </w:p>
                          <w:p w14:paraId="5143E3F5" w14:textId="77777777" w:rsidR="00D221EA" w:rsidRDefault="00D221EA" w:rsidP="00D221EA">
                            <w:r>
                              <w:t>Qualitative or Quantitative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E74BDD" id="_x0000_s1119" type="#_x0000_t202" style="position:absolute;left:0;text-align:left;margin-left:1.5pt;margin-top:23.7pt;width:155.25pt;height:51pt;z-index:25165836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" fillcolor="white [3201]" strokeweight="1.5pt">
                <v:textbox>
                  <w:txbxContent>
                    <w:p w14:paraId="58BFCDB8" w14:textId="77777777" w:rsidR="00D221EA" w:rsidRDefault="00D221EA" w:rsidP="00D221EA">
                      <w:r>
                        <w:t>Quantitative or qualitative</w:t>
                      </w:r>
                    </w:p>
                    <w:p w14:paraId="5143E3F5" w14:textId="77777777" w:rsidR="00D221EA" w:rsidRDefault="00D221EA" w:rsidP="00D221EA">
                      <w:r>
                        <w:t>Qualitative or Quantitative</w:t>
                      </w:r>
                    </w:p>
                  </w:txbxContent>
                </v:textbox>
              </v:shape>
            </w:pict>
          </mc:Fallback>
        </mc:AlternateContent>
      </w:r>
      <w:r w:rsidRPr="0053182F">
        <w:rPr>
          <w:rFonts w:eastAsia="Palatino Linotype"/>
          <w:b/>
          <w:bCs/>
          <w:noProof/>
        </w:rPr>
        <mc:AlternateContent>
          <mc:Choice Requires="wps">
            <w:drawing>
              <wp:anchor distT="0" distB="0" distL="114300" distR="114300" simplePos="0" relativeHeight="251658369" behindDoc="0" locked="0" layoutInCell="1" allowOverlap="1" wp14:anchorId="31E631C2" wp14:editId="670FB86A">
                <wp:simplePos x="0" y="0"/>
                <wp:positionH relativeFrom="column">
                  <wp:posOffset>2020570</wp:posOffset>
                </wp:positionH>
                <wp:positionV relativeFrom="paragraph">
                  <wp:posOffset>617855</wp:posOffset>
                </wp:positionV>
                <wp:extent cx="755015" cy="0"/>
                <wp:effectExtent l="0" t="76200" r="26035" b="95250"/>
                <wp:wrapNone/>
                <wp:docPr id="549202370" name="Straight Arrow Connector 5"/>
                <wp:cNvGraphicFramePr/>
                <a:graphic xmlns:a="http://schemas.openxmlformats.org/drawingml/2006/main">
                  <a:graphicData uri="http://schemas.microsoft.com/office/word/2010/wordprocessingShape">
                    <wps:wsp>
                      <wps:cNvCnPr/>
                      <wps:spPr>
                        <a:xfrm>
                          <a:off x="0" y="0"/>
                          <a:ext cx="755015"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8D0972B" id="Straight Arrow Connector 5" o:spid="_x0000_s1026" type="#_x0000_t32" style="position:absolute;margin-left:159.1pt;margin-top:48.65pt;width:59.45pt;height:0;z-index:251658369;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" strokecolor="black [3200]" strokeweight="1pt">
                <v:stroke endarrow="block" joinstyle="miter"/>
              </v:shape>
            </w:pict>
          </mc:Fallback>
        </mc:AlternateContent>
      </w:r>
      <w:r w:rsidRPr="0053182F">
        <w:rPr>
          <w:rFonts w:eastAsia="Palatino Linotype"/>
          <w:b/>
          <w:bCs/>
          <w:noProof/>
        </w:rPr>
        <mc:AlternateContent>
          <mc:Choice Requires="wps">
            <w:drawing>
              <wp:anchor distT="0" distB="0" distL="114300" distR="114300" simplePos="0" relativeHeight="251658368" behindDoc="0" locked="0" layoutInCell="1" allowOverlap="1" wp14:anchorId="6122ABA6" wp14:editId="0A1FE3CA">
                <wp:simplePos x="0" y="0"/>
                <wp:positionH relativeFrom="column">
                  <wp:posOffset>2781300</wp:posOffset>
                </wp:positionH>
                <wp:positionV relativeFrom="paragraph">
                  <wp:posOffset>466725</wp:posOffset>
                </wp:positionV>
                <wp:extent cx="1124585" cy="275590"/>
                <wp:effectExtent l="0" t="0" r="18415" b="10160"/>
                <wp:wrapNone/>
                <wp:docPr id="572114244" name="Text Box 2"/>
                <wp:cNvGraphicFramePr/>
                <a:graphic xmlns:a="http://schemas.openxmlformats.org/drawingml/2006/main">
                  <a:graphicData uri="http://schemas.microsoft.com/office/word/2010/wordprocessingShape">
                    <wps:wsp>
                      <wps:cNvSpPr txBox="1"/>
                      <wps:spPr>
                        <a:xfrm>
                          <a:off x="0" y="0"/>
                          <a:ext cx="1124585" cy="275590"/>
                        </a:xfrm>
                        <a:prstGeom prst="rect">
                          <a:avLst/>
                        </a:prstGeom>
                        <a:solidFill>
                          <a:schemeClr val="lt1"/>
                        </a:solidFill>
                        <a:ln w="19050">
                          <a:solidFill>
                            <a:prstClr val="black"/>
                          </a:solidFill>
                        </a:ln>
                      </wps:spPr>
                      <wps:txbx>
                        <w:txbxContent>
                          <w:p w14:paraId="348D1F39" w14:textId="77777777" w:rsidR="00D221EA" w:rsidRDefault="00D221EA" w:rsidP="00D221EA">
                            <w:pPr>
                              <w:jc w:val="center"/>
                            </w:pPr>
                            <w:r>
                              <w:t>Findings</w:t>
                            </w:r>
                          </w:p>
                          <w:p w14:paraId="24F392CB" w14:textId="77777777" w:rsidR="00D221EA" w:rsidRDefault="00D221EA" w:rsidP="00D221EA">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22ABA6" id="_x0000_s1120" type="#_x0000_t202" style="position:absolute;left:0;text-align:left;margin-left:219pt;margin-top:36.75pt;width:88.55pt;height:21.7pt;z-index:251658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" fillcolor="white [3201]" strokeweight="1.5pt">
                <v:textbox>
                  <w:txbxContent>
                    <w:p w14:paraId="348D1F39" w14:textId="77777777" w:rsidR="00D221EA" w:rsidRDefault="00D221EA" w:rsidP="00D221EA">
                      <w:pPr>
                        <w:jc w:val="center"/>
                      </w:pPr>
                      <w:r>
                        <w:t>Findings</w:t>
                      </w:r>
                    </w:p>
                    <w:p w14:paraId="24F392CB" w14:textId="77777777" w:rsidR="00D221EA" w:rsidRDefault="00D221EA" w:rsidP="00D221EA">
                      <w:pPr>
                        <w:jc w:val="center"/>
                      </w:pPr>
                    </w:p>
                  </w:txbxContent>
                </v:textbox>
              </v:shape>
            </w:pict>
          </mc:Fallback>
        </mc:AlternateContent>
      </w:r>
      <w:r w:rsidRPr="0053182F">
        <w:rPr>
          <w:b/>
          <w:bCs/>
        </w:rPr>
        <w:t>Embedded design</w:t>
      </w:r>
      <w:r w:rsidRPr="0053182F">
        <w:rPr>
          <w:rFonts w:eastAsia="Palatino Linotype"/>
          <w:b/>
          <w:bCs/>
          <w:noProof/>
        </w:rPr>
        <w:t xml:space="preserve"> </w:t>
      </w:r>
    </w:p>
    <w:p w14:paraId="07EAEDCF" w14:textId="77777777" w:rsidR="00D221EA" w:rsidRPr="0053182F" w:rsidRDefault="00D221EA" w:rsidP="00D221EA">
      <w:pPr>
        <w:spacing w:line="360" w:lineRule="auto"/>
        <w:rPr>
          <w:rFonts w:eastAsia="Palatino Linotype"/>
        </w:rPr>
      </w:pPr>
    </w:p>
    <w:p w14:paraId="5AB1DA4A" w14:textId="77777777" w:rsidR="00D221EA" w:rsidRPr="0053182F" w:rsidRDefault="00D221EA" w:rsidP="00D221EA">
      <w:pPr>
        <w:spacing w:line="360" w:lineRule="auto"/>
        <w:rPr>
          <w:rFonts w:eastAsia="Palatino Linotype"/>
        </w:rPr>
      </w:pPr>
    </w:p>
    <w:p w14:paraId="581BD40E" w14:textId="77777777" w:rsidR="00E04A08" w:rsidRPr="0053182F" w:rsidRDefault="00E04A08" w:rsidP="00E04A08">
      <w:pPr>
        <w:spacing w:line="360" w:lineRule="auto"/>
        <w:jc w:val="center"/>
        <w:rPr>
          <w:rFonts w:eastAsia="Palatino Linotype"/>
        </w:rPr>
      </w:pPr>
      <w:r w:rsidRPr="0053182F">
        <w:rPr>
          <w:rFonts w:eastAsia="Palatino Linotype"/>
          <w:b/>
          <w:bCs/>
        </w:rPr>
        <w:t>Figure 6.1</w:t>
      </w:r>
      <w:r w:rsidRPr="0053182F">
        <w:rPr>
          <w:rFonts w:eastAsia="Palatino Linotype"/>
        </w:rPr>
        <w:t xml:space="preserve"> Four basic Mixed Methods Design</w:t>
      </w:r>
    </w:p>
    <w:p w14:paraId="74103CA5" w14:textId="6DB680B1" w:rsidR="00D221EA" w:rsidRPr="0053182F" w:rsidRDefault="00D221EA" w:rsidP="00D221EA">
      <w:pPr>
        <w:spacing w:line="360" w:lineRule="auto"/>
        <w:jc w:val="center"/>
        <w:rPr>
          <w:rFonts w:eastAsia="Palatino Linotype"/>
        </w:rPr>
      </w:pPr>
      <w:r w:rsidRPr="0053182F">
        <w:rPr>
          <w:rFonts w:eastAsia="Palatino Linotype"/>
          <w:b/>
          <w:bCs/>
        </w:rPr>
        <w:t>Source:</w:t>
      </w:r>
      <w:r w:rsidRPr="0053182F">
        <w:rPr>
          <w:rFonts w:eastAsia="Palatino Linotype"/>
        </w:rPr>
        <w:t xml:space="preserve"> </w:t>
      </w:r>
      <w:sdt>
        <w:sdtPr>
          <w:rPr>
            <w:rFonts w:eastAsia="Palatino Linotype"/>
          </w:rPr>
          <w:tag w:val="MENDELEY_CITATION_v3_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"/>
          <w:id w:val="1952280483"/>
          <w:placeholder>
            <w:docPart w:val="5F9EA2A7F388413C9B4330802A2623ED"/>
          </w:placeholder>
        </w:sdtPr>
        <w:sdtContent>
          <w:r w:rsidR="00CC1788" w:rsidRPr="0053182F">
            <w:rPr>
              <w:rFonts w:eastAsia="Palatino Linotype"/>
            </w:rPr>
            <w:t>Bell et al., 2019, p. 573</w:t>
          </w:r>
        </w:sdtContent>
      </w:sdt>
    </w:p>
    <w:p w14:paraId="7054834B" w14:textId="77777777" w:rsidR="00D221EA" w:rsidRPr="0053182F" w:rsidRDefault="00D221EA" w:rsidP="00D221EA">
      <w:pPr>
        <w:pStyle w:val="Heading2"/>
      </w:pPr>
      <w:bookmarkStart w:id="256" w:name="_Toc215651859"/>
      <w:bookmarkStart w:id="257" w:name="_Toc218357149"/>
      <w:r w:rsidRPr="0053182F">
        <w:t>6.4 Pros and Cons of Mixed Method</w:t>
      </w:r>
      <w:bookmarkEnd w:id="256"/>
      <w:bookmarkEnd w:id="257"/>
    </w:p>
    <w:p w14:paraId="753DD75E" w14:textId="48B510C2" w:rsidR="00D221EA" w:rsidRPr="0053182F" w:rsidRDefault="00D221EA" w:rsidP="00D221EA">
      <w:pPr>
        <w:spacing w:line="480" w:lineRule="auto"/>
        <w:ind w:left="142" w:firstLine="578"/>
        <w:jc w:val="both"/>
      </w:pPr>
      <w:r w:rsidRPr="0053182F">
        <w:t xml:space="preserve">Mixed-methods research offers a comprehensive framework that integrates qualitative and quantitative approaches, enabling researchers to capture both the depth and breadth of a phenomenon. Its strengths lie in enhancing validity through triangulation, contextualising statistical findings, and producing insights applicable to real-world contexts </w:t>
      </w:r>
      <w:sdt>
        <w:sdtPr>
          <w:tag w:val="MENDELEY_CITATION_v3_eyJjaXRhdGlvbklEIjoiTUVOREVMRVlfQ0lUQVRJT05fOTdjNzY4YWMtOTRmNi00Y2I5LWJlMmMtMWRhNDEyN2E2ZWJmIiwicHJvcGVydGllcyI6eyJub3RlSW5kZXgiOjB9LCJpc0VkaXRlZCI6ZmFsc2UsIm1hbnVhbE92ZXJyaWRlIjp7ImlzTWFudWFsbHlPdmVycmlkZGVuIjp0cnVlLCJjaXRlcHJvY1RleHQiOiIoQ3Jlc3dlbGwgYW5kIFBsYW5vLCAyMDE4OyBUZWRkbGllIGFuZCBUYXNoYWtrb3JpLCAyMDA5KSIsIm1hbnVhbE92ZXJyaWRlVGV4dCI6IihDcmVzd2VsbCBhbmQgUGxhbm8gQ2xhcmssIDIwMTg7IFRlZGRsaWUgYW5kIFRhc2hha2tvcmksIDIwMDkpIn0sImNpdGF0aW9uSXRlbXMiOlt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"/>
          <w:id w:val="1372657153"/>
          <w:placeholder>
            <w:docPart w:val="5CBDF14D6B714996BBD35DC8831092E3"/>
          </w:placeholder>
        </w:sdtPr>
        <w:sdtContent>
          <w:r w:rsidR="00CC1788" w:rsidRPr="0053182F">
            <w:t>(Creswell and Plano, 2018; Teddlie and Tashakkori, 2009)</w:t>
          </w:r>
        </w:sdtContent>
      </w:sdt>
      <w:r w:rsidRPr="0053182F">
        <w:t xml:space="preserve">. However, the approach also presents notable challenges, including the need for methodological expertise, increased time and resource demands, and potential complexity in integrating diverse data types </w:t>
      </w:r>
      <w:sdt>
        <w:sdtPr>
          <w:tag w:val="MENDELEY_CITATION_v3_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"/>
          <w:id w:val="1912741691"/>
          <w:placeholder>
            <w:docPart w:val="5CBDF14D6B714996BBD35DC8831092E3"/>
          </w:placeholder>
        </w:sdtPr>
        <w:sdtContent>
          <w:r w:rsidR="00CC1788" w:rsidRPr="0053182F">
            <w:t>(Bergman, 2008; Gibson, 2017)</w:t>
          </w:r>
        </w:sdtContent>
      </w:sdt>
      <w:r w:rsidRPr="0053182F">
        <w:t>. Despite these limitations, when applied rigorously, mixed methods research remains a robust design that enriches understanding and strengthens the robustness of empirical inquiry. A summary of the principal advantages and disadvantages of mixed methods research is presented in Table 6.1.</w:t>
      </w:r>
    </w:p>
    <w:p w14:paraId="607C2C8E" w14:textId="77777777" w:rsidR="00D221EA" w:rsidRPr="0053182F" w:rsidRDefault="00D221EA" w:rsidP="00D221EA">
      <w:pPr>
        <w:spacing w:before="100" w:beforeAutospacing="1" w:after="100" w:afterAutospacing="1" w:line="240" w:lineRule="auto"/>
      </w:pPr>
      <w:r w:rsidRPr="0053182F">
        <w:rPr>
          <w:b/>
          <w:bCs/>
        </w:rPr>
        <w:t>Table 6.1:</w:t>
      </w:r>
      <w:r w:rsidRPr="0053182F">
        <w:t xml:space="preserve"> Advantages and Disadvantages of Mixed Methods Research</w:t>
      </w:r>
    </w:p>
    <w:tbl>
      <w:tblPr>
        <w:tblpPr w:leftFromText="180" w:rightFromText="180" w:vertAnchor="page" w:horzAnchor="margin" w:tblpY="5523"/>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2164"/>
        <w:gridCol w:w="2667"/>
        <w:gridCol w:w="2381"/>
        <w:gridCol w:w="1814"/>
      </w:tblGrid>
      <w:tr w:rsidR="00E64A0F" w:rsidRPr="0053182F" w14:paraId="2CF477CB" w14:textId="77777777" w:rsidTr="00E64A0F">
        <w:trPr>
          <w:tblHeader/>
          <w:tblCellSpacing w:w="15" w:type="dxa"/>
        </w:trPr>
        <w:tc>
          <w:tcPr>
            <w:tcW w:w="0" w:type="auto"/>
            <w:tcBorders>
              <w:top w:val="nil"/>
              <w:bottom w:val="single" w:sz="4" w:space="0" w:color="auto"/>
            </w:tcBorders>
            <w:vAlign w:val="center"/>
            <w:hideMark/>
          </w:tcPr>
          <w:p w14:paraId="1D37657E" w14:textId="77777777" w:rsidR="00E64A0F" w:rsidRPr="0053182F" w:rsidRDefault="00E64A0F" w:rsidP="00E64A0F">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Aspect</w:t>
            </w:r>
          </w:p>
        </w:tc>
        <w:tc>
          <w:tcPr>
            <w:tcW w:w="0" w:type="auto"/>
            <w:tcBorders>
              <w:top w:val="nil"/>
              <w:bottom w:val="single" w:sz="4" w:space="0" w:color="auto"/>
            </w:tcBorders>
            <w:vAlign w:val="center"/>
            <w:hideMark/>
          </w:tcPr>
          <w:p w14:paraId="713D5109" w14:textId="77777777" w:rsidR="00E64A0F" w:rsidRPr="0053182F" w:rsidRDefault="00E64A0F" w:rsidP="00E64A0F">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Advantages</w:t>
            </w:r>
          </w:p>
        </w:tc>
        <w:tc>
          <w:tcPr>
            <w:tcW w:w="0" w:type="auto"/>
            <w:tcBorders>
              <w:top w:val="nil"/>
              <w:bottom w:val="single" w:sz="4" w:space="0" w:color="auto"/>
            </w:tcBorders>
            <w:vAlign w:val="center"/>
            <w:hideMark/>
          </w:tcPr>
          <w:p w14:paraId="585AC44C" w14:textId="77777777" w:rsidR="00E64A0F" w:rsidRPr="0053182F" w:rsidRDefault="00E64A0F" w:rsidP="00E64A0F">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Disadvantages</w:t>
            </w:r>
          </w:p>
        </w:tc>
        <w:tc>
          <w:tcPr>
            <w:tcW w:w="0" w:type="auto"/>
            <w:tcBorders>
              <w:top w:val="nil"/>
              <w:bottom w:val="single" w:sz="4" w:space="0" w:color="auto"/>
            </w:tcBorders>
            <w:vAlign w:val="center"/>
            <w:hideMark/>
          </w:tcPr>
          <w:p w14:paraId="2D298588" w14:textId="77777777" w:rsidR="00E64A0F" w:rsidRPr="0053182F" w:rsidRDefault="00E64A0F" w:rsidP="00E64A0F">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Key References</w:t>
            </w:r>
          </w:p>
        </w:tc>
      </w:tr>
      <w:tr w:rsidR="00E64A0F" w:rsidRPr="0053182F" w14:paraId="2F8795BE" w14:textId="77777777" w:rsidTr="00E64A0F">
        <w:trPr>
          <w:tblCellSpacing w:w="15" w:type="dxa"/>
        </w:trPr>
        <w:tc>
          <w:tcPr>
            <w:tcW w:w="0" w:type="auto"/>
            <w:vAlign w:val="center"/>
            <w:hideMark/>
          </w:tcPr>
          <w:p w14:paraId="39A461DD"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Comprehensiveness</w:t>
            </w:r>
          </w:p>
        </w:tc>
        <w:tc>
          <w:tcPr>
            <w:tcW w:w="0" w:type="auto"/>
            <w:vAlign w:val="center"/>
            <w:hideMark/>
          </w:tcPr>
          <w:p w14:paraId="724B412F"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Combines qualitative depth with quantitative breadth, offering a holistic understanding of complex phenomena.</w:t>
            </w:r>
          </w:p>
        </w:tc>
        <w:tc>
          <w:tcPr>
            <w:tcW w:w="0" w:type="auto"/>
            <w:vAlign w:val="center"/>
            <w:hideMark/>
          </w:tcPr>
          <w:p w14:paraId="4C10A97A"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Integration can be conceptually and practically demanding.</w:t>
            </w:r>
          </w:p>
        </w:tc>
        <w:sdt>
          <w:sdtPr>
            <w:rPr>
              <w:rFonts w:eastAsia="Times New Roman"/>
              <w:kern w:val="0"/>
              <w:lang w:eastAsia="en-GB"/>
              <w14:ligatures w14:val="none"/>
            </w:rPr>
            <w:tag w:val="MENDELEY_CITATION_v3_eyJjaXRhdGlvbklEIjoiTUVOREVMRVlfQ0lUQVRJT05fZjgwOTc4NTItN2JmYi00MmNjLTljNTMtZjVjNTg0MmMzNjM2IiwicHJvcGVydGllcyI6eyJub3RlSW5kZXgiOjB9LCJpc0VkaXRlZCI6ZmFsc2UsIm1hbnVhbE92ZXJyaWRlIjp7ImlzTWFudWFsbHlPdmVycmlkZGVuIjpmYWxzZSwiY2l0ZXByb2NUZXh0IjoiKENyZXN3ZWxsIGFuZCBQbGFubywgMjAxODsgVGVkZGxpZSBhbmQgVGFzaGFra29yaSwgMjAwOS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"/>
            <w:id w:val="1569227500"/>
            <w:placeholder>
              <w:docPart w:val="DD5DCC7ADB674CC59D57E16D369D3523"/>
            </w:placeholder>
          </w:sdtPr>
          <w:sdtContent>
            <w:tc>
              <w:tcPr>
                <w:tcW w:w="0" w:type="auto"/>
                <w:vAlign w:val="center"/>
                <w:hideMark/>
              </w:tcPr>
              <w:p w14:paraId="36427B79"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kern w:val="0"/>
                    <w:lang w:eastAsia="en-GB"/>
                    <w14:ligatures w14:val="none"/>
                  </w:rPr>
                  <w:t>(Creswell and Plano, 2018; Teddlie and Tashakkori, 2009)</w:t>
                </w:r>
              </w:p>
            </w:tc>
          </w:sdtContent>
        </w:sdt>
      </w:tr>
      <w:tr w:rsidR="00E64A0F" w:rsidRPr="0053182F" w14:paraId="69CB734D" w14:textId="77777777" w:rsidTr="00E64A0F">
        <w:trPr>
          <w:tblCellSpacing w:w="15" w:type="dxa"/>
        </w:trPr>
        <w:tc>
          <w:tcPr>
            <w:tcW w:w="0" w:type="auto"/>
            <w:vAlign w:val="center"/>
            <w:hideMark/>
          </w:tcPr>
          <w:p w14:paraId="7F886A1E"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Triangulation</w:t>
            </w:r>
          </w:p>
        </w:tc>
        <w:tc>
          <w:tcPr>
            <w:tcW w:w="0" w:type="auto"/>
            <w:vAlign w:val="center"/>
            <w:hideMark/>
          </w:tcPr>
          <w:p w14:paraId="2F5C07C5"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Enables validation of findings across different data sources, enhancing credibility and reliability.</w:t>
            </w:r>
          </w:p>
        </w:tc>
        <w:tc>
          <w:tcPr>
            <w:tcW w:w="0" w:type="auto"/>
            <w:vAlign w:val="center"/>
            <w:hideMark/>
          </w:tcPr>
          <w:p w14:paraId="78A2E89B"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Merging results may be challenging and open to the researcher’s interpretation.</w:t>
            </w:r>
          </w:p>
        </w:tc>
        <w:tc>
          <w:tcPr>
            <w:tcW w:w="0" w:type="auto"/>
            <w:vAlign w:val="center"/>
            <w:hideMark/>
          </w:tcPr>
          <w:sdt>
            <w:sdtPr>
              <w:rPr>
                <w:rFonts w:eastAsia="Times New Roman"/>
                <w:kern w:val="0"/>
                <w:lang w:eastAsia="en-GB"/>
                <w14:ligatures w14:val="none"/>
              </w:rPr>
              <w:tag w:val="MENDELEY_CITATION_v3_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"/>
              <w:id w:val="1387609340"/>
              <w:placeholder>
                <w:docPart w:val="DD5DCC7ADB674CC59D57E16D369D3523"/>
              </w:placeholder>
            </w:sdtPr>
            <w:sdtContent>
              <w:p w14:paraId="1CC26C8F"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kern w:val="0"/>
                    <w:lang w:eastAsia="en-GB"/>
                    <w14:ligatures w14:val="none"/>
                  </w:rPr>
                  <w:t>(Brannen, 1992; Teddlie and Tashakkori, 2009)</w:t>
                </w:r>
              </w:p>
            </w:sdtContent>
          </w:sdt>
        </w:tc>
      </w:tr>
      <w:tr w:rsidR="00E64A0F" w:rsidRPr="0053182F" w14:paraId="68F7CF98" w14:textId="77777777" w:rsidTr="00E64A0F">
        <w:trPr>
          <w:tblCellSpacing w:w="15" w:type="dxa"/>
        </w:trPr>
        <w:tc>
          <w:tcPr>
            <w:tcW w:w="0" w:type="auto"/>
            <w:vAlign w:val="center"/>
            <w:hideMark/>
          </w:tcPr>
          <w:p w14:paraId="3D134A82"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Contextual Insight</w:t>
            </w:r>
          </w:p>
        </w:tc>
        <w:tc>
          <w:tcPr>
            <w:tcW w:w="0" w:type="auto"/>
            <w:vAlign w:val="center"/>
            <w:hideMark/>
          </w:tcPr>
          <w:p w14:paraId="281E2888"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 xml:space="preserve">Qualitative data explain the </w:t>
            </w:r>
            <w:r w:rsidRPr="0053182F">
              <w:rPr>
                <w:rFonts w:eastAsia="Times New Roman"/>
                <w:i/>
                <w:iCs/>
                <w:color w:val="auto"/>
                <w:kern w:val="0"/>
                <w:lang w:eastAsia="en-GB"/>
                <w14:ligatures w14:val="none"/>
              </w:rPr>
              <w:t>why</w:t>
            </w:r>
            <w:r w:rsidRPr="0053182F">
              <w:rPr>
                <w:rFonts w:eastAsia="Times New Roman"/>
                <w:color w:val="auto"/>
                <w:kern w:val="0"/>
                <w:lang w:eastAsia="en-GB"/>
                <w14:ligatures w14:val="none"/>
              </w:rPr>
              <w:t xml:space="preserve"> behind quantitative </w:t>
            </w:r>
            <w:r w:rsidRPr="0053182F">
              <w:rPr>
                <w:rFonts w:eastAsia="Times New Roman"/>
                <w:i/>
                <w:iCs/>
                <w:color w:val="auto"/>
                <w:kern w:val="0"/>
                <w:lang w:eastAsia="en-GB"/>
                <w14:ligatures w14:val="none"/>
              </w:rPr>
              <w:t>what</w:t>
            </w:r>
            <w:r w:rsidRPr="0053182F">
              <w:rPr>
                <w:rFonts w:eastAsia="Times New Roman"/>
                <w:color w:val="auto"/>
                <w:kern w:val="0"/>
                <w:lang w:eastAsia="en-GB"/>
                <w14:ligatures w14:val="none"/>
              </w:rPr>
              <w:t xml:space="preserve"> and </w:t>
            </w:r>
            <w:r w:rsidRPr="0053182F">
              <w:rPr>
                <w:rFonts w:eastAsia="Times New Roman"/>
                <w:i/>
                <w:iCs/>
                <w:color w:val="auto"/>
                <w:kern w:val="0"/>
                <w:lang w:eastAsia="en-GB"/>
                <w14:ligatures w14:val="none"/>
              </w:rPr>
              <w:t>how</w:t>
            </w:r>
            <w:r w:rsidRPr="0053182F">
              <w:rPr>
                <w:rFonts w:eastAsia="Times New Roman"/>
                <w:color w:val="auto"/>
                <w:kern w:val="0"/>
                <w:lang w:eastAsia="en-GB"/>
                <w14:ligatures w14:val="none"/>
              </w:rPr>
              <w:t>, providing richer insights.</w:t>
            </w:r>
          </w:p>
        </w:tc>
        <w:tc>
          <w:tcPr>
            <w:tcW w:w="0" w:type="auto"/>
            <w:vAlign w:val="center"/>
            <w:hideMark/>
          </w:tcPr>
          <w:p w14:paraId="2805B1F0"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Requires expertise in both methods, which may exceed the researcher’s capacity.</w:t>
            </w:r>
          </w:p>
        </w:tc>
        <w:tc>
          <w:tcPr>
            <w:tcW w:w="0" w:type="auto"/>
            <w:vAlign w:val="center"/>
            <w:hideMark/>
          </w:tcPr>
          <w:sdt>
            <w:sdtPr>
              <w:rPr>
                <w:rFonts w:eastAsia="Times New Roman"/>
                <w:kern w:val="0"/>
                <w:lang w:eastAsia="en-GB"/>
                <w14:ligatures w14:val="none"/>
              </w:rPr>
              <w:tag w:val="MENDELEY_CITATION_v3_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"/>
              <w:id w:val="-172872978"/>
              <w:placeholder>
                <w:docPart w:val="DD5DCC7ADB674CC59D57E16D369D3523"/>
              </w:placeholder>
            </w:sdtPr>
            <w:sdtContent>
              <w:p w14:paraId="7D88176E"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rPr>
                  <w:t xml:space="preserve">(Bryman and Bell, 2015; Morse </w:t>
                </w:r>
                <w:r w:rsidRPr="0053182F">
                  <w:rPr>
                    <w:rFonts w:eastAsia="Times New Roman"/>
                    <w:i/>
                    <w:iCs/>
                  </w:rPr>
                  <w:t>et al.</w:t>
                </w:r>
                <w:r w:rsidRPr="0053182F">
                  <w:rPr>
                    <w:rFonts w:eastAsia="Times New Roman"/>
                  </w:rPr>
                  <w:t>, 2002)</w:t>
                </w:r>
              </w:p>
            </w:sdtContent>
          </w:sdt>
        </w:tc>
      </w:tr>
      <w:tr w:rsidR="00E64A0F" w:rsidRPr="0053182F" w14:paraId="72464812" w14:textId="77777777" w:rsidTr="00E64A0F">
        <w:trPr>
          <w:tblCellSpacing w:w="15" w:type="dxa"/>
        </w:trPr>
        <w:tc>
          <w:tcPr>
            <w:tcW w:w="0" w:type="auto"/>
            <w:vAlign w:val="center"/>
            <w:hideMark/>
          </w:tcPr>
          <w:p w14:paraId="05E3E525"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Validity and Robustness</w:t>
            </w:r>
          </w:p>
        </w:tc>
        <w:tc>
          <w:tcPr>
            <w:tcW w:w="0" w:type="auto"/>
            <w:vAlign w:val="center"/>
            <w:hideMark/>
          </w:tcPr>
          <w:p w14:paraId="12DA77A3"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Reduces limitations of single-method designs and strengthens overall validity.</w:t>
            </w:r>
          </w:p>
        </w:tc>
        <w:tc>
          <w:tcPr>
            <w:tcW w:w="0" w:type="auto"/>
            <w:vAlign w:val="center"/>
            <w:hideMark/>
          </w:tcPr>
          <w:p w14:paraId="622C6EB8"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Potential for researcher bias during data integration and interpretation.</w:t>
            </w:r>
          </w:p>
        </w:tc>
        <w:tc>
          <w:tcPr>
            <w:tcW w:w="0" w:type="auto"/>
            <w:vAlign w:val="center"/>
            <w:hideMark/>
          </w:tcPr>
          <w:sdt>
            <w:sdtPr>
              <w:rPr>
                <w:rFonts w:eastAsia="Times New Roman"/>
                <w:kern w:val="0"/>
                <w:lang w:eastAsia="en-GB"/>
                <w14:ligatures w14:val="none"/>
              </w:rPr>
              <w:tag w:val="MENDELEY_CITATION_v3_eyJjaXRhdGlvbklEIjoiTUVOREVMRVlfQ0lUQVRJT05fOGI2NzEyNzgtZDIwYi00ZTQ4LWI0NDEtNWVhZjFmMDVkYTE0IiwicHJvcGVydGllcyI6eyJub3RlSW5kZXgiOjB9LCJpc0VkaXRlZCI6ZmFsc2UsIm1hbnVhbE92ZXJyaWRlIjp7ImlzTWFudWFsbHlPdmVycmlkZGVuIjpmYWxzZSwiY2l0ZXByb2NUZXh0IjoiKENyZXN3ZWxsIGFuZCBQbGFubywgMjAxODsgR3Vlc3QgYW5kIEZsZW1pbmcsIDIwMTUpIiwibWFudWFsT3ZlcnJpZGVUZXh0IjoiIn0sImNpdGF0aW9uSXRlbXMiOlt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"/>
              <w:id w:val="-749187114"/>
              <w:placeholder>
                <w:docPart w:val="DD5DCC7ADB674CC59D57E16D369D3523"/>
              </w:placeholder>
            </w:sdtPr>
            <w:sdtContent>
              <w:p w14:paraId="5DA0861F"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kern w:val="0"/>
                    <w:lang w:eastAsia="en-GB"/>
                    <w14:ligatures w14:val="none"/>
                  </w:rPr>
                  <w:t>(Creswell and Plano, 2018; Guest and Fleming, 2015)</w:t>
                </w:r>
              </w:p>
            </w:sdtContent>
          </w:sdt>
        </w:tc>
      </w:tr>
      <w:tr w:rsidR="00E64A0F" w:rsidRPr="0053182F" w14:paraId="498584E0" w14:textId="77777777" w:rsidTr="00E64A0F">
        <w:trPr>
          <w:tblCellSpacing w:w="15" w:type="dxa"/>
        </w:trPr>
        <w:tc>
          <w:tcPr>
            <w:tcW w:w="0" w:type="auto"/>
            <w:vAlign w:val="center"/>
            <w:hideMark/>
          </w:tcPr>
          <w:p w14:paraId="0D47E190"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Practical Utility</w:t>
            </w:r>
          </w:p>
        </w:tc>
        <w:tc>
          <w:tcPr>
            <w:tcW w:w="0" w:type="auto"/>
            <w:vAlign w:val="center"/>
            <w:hideMark/>
          </w:tcPr>
          <w:p w14:paraId="19A51114"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Produces findings applicable to real-world contexts (e.g., education, healthcare, social sciences).</w:t>
            </w:r>
          </w:p>
        </w:tc>
        <w:tc>
          <w:tcPr>
            <w:tcW w:w="0" w:type="auto"/>
            <w:vAlign w:val="center"/>
            <w:hideMark/>
          </w:tcPr>
          <w:p w14:paraId="6C8CF5D8"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Involves high time, cost, and resource demands.</w:t>
            </w:r>
          </w:p>
        </w:tc>
        <w:tc>
          <w:tcPr>
            <w:tcW w:w="0" w:type="auto"/>
            <w:vAlign w:val="center"/>
            <w:hideMark/>
          </w:tcPr>
          <w:sdt>
            <w:sdtPr>
              <w:rPr>
                <w:rFonts w:eastAsia="Times New Roman"/>
                <w:kern w:val="0"/>
                <w:lang w:eastAsia="en-GB"/>
                <w14:ligatures w14:val="none"/>
              </w:rPr>
              <w:tag w:val="MENDELEY_CITATION_v3_eyJjaXRhdGlvbklEIjoiTUVOREVMRVlfQ0lUQVRJT05fOTI4NWEwZTItZDRjMS00ZjRkLWFiYTMtZDg3OTMyMmZjY2Y2IiwicHJvcGVydGllcyI6eyJub3RlSW5kZXgiOjB9LCJpc0VkaXRlZCI6ZmFsc2UsIm1hbnVhbE92ZXJyaWRlIjp7ImlzTWFudWFsbHlPdmVycmlkZGVuIjpmYWxzZSwiY2l0ZXByb2NUZXh0IjoiKEJlcmdtYW4sIDIwMDg7I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1dfQ=="/>
              <w:id w:val="4563010"/>
              <w:placeholder>
                <w:docPart w:val="DD5DCC7ADB674CC59D57E16D369D3523"/>
              </w:placeholder>
            </w:sdtPr>
            <w:sdtContent>
              <w:p w14:paraId="76C0478B"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kern w:val="0"/>
                    <w:lang w:eastAsia="en-GB"/>
                    <w14:ligatures w14:val="none"/>
                  </w:rPr>
                  <w:t>(Bergman, 2008; Creswell and Plano, 2018)</w:t>
                </w:r>
              </w:p>
            </w:sdtContent>
          </w:sdt>
        </w:tc>
      </w:tr>
      <w:tr w:rsidR="00E64A0F" w:rsidRPr="0053182F" w14:paraId="55A18895" w14:textId="77777777" w:rsidTr="00E64A0F">
        <w:trPr>
          <w:tblCellSpacing w:w="15" w:type="dxa"/>
        </w:trPr>
        <w:tc>
          <w:tcPr>
            <w:tcW w:w="0" w:type="auto"/>
            <w:vAlign w:val="center"/>
            <w:hideMark/>
          </w:tcPr>
          <w:p w14:paraId="22475613"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Flexibility</w:t>
            </w:r>
          </w:p>
        </w:tc>
        <w:tc>
          <w:tcPr>
            <w:tcW w:w="0" w:type="auto"/>
            <w:vAlign w:val="center"/>
            <w:hideMark/>
          </w:tcPr>
          <w:p w14:paraId="25BDE26F"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Allows adaptation during the research process as new insights emerge.</w:t>
            </w:r>
          </w:p>
        </w:tc>
        <w:tc>
          <w:tcPr>
            <w:tcW w:w="0" w:type="auto"/>
            <w:vAlign w:val="center"/>
            <w:hideMark/>
          </w:tcPr>
          <w:p w14:paraId="00A47367"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Logistical and analytical complexity in managing multiple data types.</w:t>
            </w:r>
          </w:p>
        </w:tc>
        <w:tc>
          <w:tcPr>
            <w:tcW w:w="0" w:type="auto"/>
            <w:vAlign w:val="center"/>
            <w:hideMark/>
          </w:tcPr>
          <w:sdt>
            <w:sdtPr>
              <w:rPr>
                <w:rFonts w:eastAsia="Times New Roman"/>
                <w:kern w:val="0"/>
                <w:lang w:eastAsia="en-GB"/>
                <w14:ligatures w14:val="none"/>
              </w:rPr>
              <w:tag w:val="MENDELEY_CITATION_v3_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"/>
              <w:id w:val="-233697568"/>
              <w:placeholder>
                <w:docPart w:val="DD5DCC7ADB674CC59D57E16D369D3523"/>
              </w:placeholder>
            </w:sdtPr>
            <w:sdtContent>
              <w:p w14:paraId="3FEBD6F0" w14:textId="77777777" w:rsidR="00E64A0F" w:rsidRPr="0053182F" w:rsidRDefault="00E64A0F" w:rsidP="00E64A0F">
                <w:pPr>
                  <w:spacing w:after="0" w:line="240" w:lineRule="auto"/>
                  <w:rPr>
                    <w:rFonts w:eastAsia="Times New Roman"/>
                    <w:color w:val="auto"/>
                    <w:kern w:val="0"/>
                    <w:lang w:eastAsia="en-GB"/>
                    <w14:ligatures w14:val="none"/>
                  </w:rPr>
                </w:pPr>
                <w:r w:rsidRPr="0053182F">
                  <w:rPr>
                    <w:rFonts w:eastAsia="Times New Roman"/>
                    <w:kern w:val="0"/>
                    <w:lang w:eastAsia="en-GB"/>
                    <w14:ligatures w14:val="none"/>
                  </w:rPr>
                  <w:t>(Brannen, 1992; Creswell and Plano, 2018; Gibson, 2017)</w:t>
                </w:r>
              </w:p>
            </w:sdtContent>
          </w:sdt>
        </w:tc>
      </w:tr>
    </w:tbl>
    <w:p w14:paraId="19A83A97" w14:textId="77777777" w:rsidR="00D221EA" w:rsidRPr="0053182F" w:rsidRDefault="00D221EA" w:rsidP="00D221EA">
      <w:pPr>
        <w:spacing w:line="480" w:lineRule="auto"/>
        <w:ind w:left="142" w:firstLine="578"/>
        <w:jc w:val="both"/>
      </w:pPr>
      <w:r w:rsidRPr="0053182F">
        <w:rPr>
          <w:b/>
          <w:bCs/>
        </w:rPr>
        <w:t xml:space="preserve">Source: </w:t>
      </w:r>
      <w:r w:rsidRPr="0053182F">
        <w:t>Author’s own works</w:t>
      </w:r>
    </w:p>
    <w:p w14:paraId="65DC6462" w14:textId="77777777" w:rsidR="00D221EA" w:rsidRPr="0053182F" w:rsidRDefault="00D221EA" w:rsidP="00D221EA">
      <w:pPr>
        <w:pStyle w:val="Heading2"/>
      </w:pPr>
      <w:bookmarkStart w:id="258" w:name="_Toc215651860"/>
      <w:bookmarkStart w:id="259" w:name="_Toc218357150"/>
      <w:r w:rsidRPr="0053182F">
        <w:t>6.5 Rationale for Multi-phase approach</w:t>
      </w:r>
      <w:bookmarkEnd w:id="258"/>
      <w:bookmarkEnd w:id="259"/>
    </w:p>
    <w:p w14:paraId="5303DFEA" w14:textId="52A6E305" w:rsidR="00D221EA" w:rsidRPr="0053182F" w:rsidRDefault="00D221EA" w:rsidP="00D221EA">
      <w:pPr>
        <w:spacing w:after="0" w:line="480" w:lineRule="auto"/>
        <w:jc w:val="both"/>
        <w:rPr>
          <w:rFonts w:eastAsia="Times New Roman"/>
          <w:color w:val="000000" w:themeColor="text1"/>
        </w:rPr>
      </w:pPr>
      <w:r w:rsidRPr="0053182F">
        <w:rPr>
          <w:rFonts w:eastAsia="Times New Roman"/>
          <w:color w:val="000000" w:themeColor="text1"/>
        </w:rPr>
        <w:t xml:space="preserve">The multi-phase structure adopted in this study is grounded in the logic of the explanatory sequential mixed-methods design, which begins with quantitative analysis and is subsequently enriched through qualitative inquiry. This sequencing is particularly suited to the study of CMS, a phenomenon that is institutional, multi-layered, and often intentionally obscured within global production systems </w:t>
      </w:r>
      <w:sdt>
        <w:sdtPr>
          <w:rPr>
            <w:rFonts w:eastAsia="Times New Roman"/>
          </w:rPr>
          <w:tag w:val="MENDELEY_CITATION_v3_eyJjaXRhdGlvbklEIjoiTUVOREVMRVlfQ0lUQVRJT05fZThjMTdiYWYtYWMwNy00ZTE4LTk3Y2MtY2QwZmVjZTJmZDc4IiwicHJvcGVydGllcyI6eyJub3RlSW5kZXgiOjB9LCJpc0VkaXRlZCI6ZmFsc2UsIm1hbnVhbE92ZXJyaWRlIjp7ImlzTWFudWFsbHlPdmVycmlkZGVuIjpmYWxzZSwiY2l0ZXByb2NUZXh0IjoiKEJlcmdtYW4sIDIwMDg7I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1dfQ=="/>
          <w:id w:val="1823457606"/>
          <w:placeholder>
            <w:docPart w:val="7DE8E45A53FD40E8979A9D5ADB82EBA8"/>
          </w:placeholder>
        </w:sdtPr>
        <w:sdtContent>
          <w:r w:rsidR="00CC1788" w:rsidRPr="0053182F">
            <w:rPr>
              <w:rFonts w:eastAsia="Times New Roman"/>
            </w:rPr>
            <w:t>(Bergman, 2008; Creswell and Plano, 2018)</w:t>
          </w:r>
        </w:sdtContent>
      </w:sdt>
      <w:r w:rsidRPr="0053182F">
        <w:rPr>
          <w:rFonts w:eastAsia="Times New Roman"/>
          <w:color w:val="000000" w:themeColor="text1"/>
        </w:rPr>
        <w:t xml:space="preserve">. The approach enables the research to address the “what,” “how,” and “why” of CMS governance in a systematic and theoretically coherent manner </w:t>
      </w:r>
      <w:sdt>
        <w:sdtPr>
          <w:rPr>
            <w:rFonts w:eastAsia="Times New Roman"/>
          </w:rPr>
          <w:tag w:val="MENDELEY_CITATION_v3_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XX0="/>
          <w:id w:val="548112873"/>
          <w:placeholder>
            <w:docPart w:val="7DE8E45A53FD40E8979A9D5ADB82EBA8"/>
          </w:placeholder>
        </w:sdtPr>
        <w:sdtContent>
          <w:r w:rsidR="00CC1788" w:rsidRPr="0053182F">
            <w:rPr>
              <w:rFonts w:eastAsia="Times New Roman"/>
            </w:rPr>
            <w:t>(Creswell and Plano, 2018; Guest and Fleming, 2015)</w:t>
          </w:r>
        </w:sdtContent>
      </w:sdt>
      <w:r w:rsidRPr="0053182F">
        <w:rPr>
          <w:rFonts w:eastAsia="Times New Roman"/>
          <w:color w:val="000000" w:themeColor="text1"/>
        </w:rPr>
        <w:t>.</w:t>
      </w:r>
    </w:p>
    <w:p w14:paraId="56B1E574" w14:textId="77777777" w:rsidR="00D221EA" w:rsidRPr="0053182F" w:rsidRDefault="00D221EA" w:rsidP="00D221EA">
      <w:pPr>
        <w:spacing w:after="0" w:line="480" w:lineRule="auto"/>
        <w:ind w:firstLine="720"/>
        <w:jc w:val="both"/>
        <w:rPr>
          <w:rFonts w:eastAsia="Times New Roman"/>
          <w:color w:val="000000" w:themeColor="text1"/>
        </w:rPr>
      </w:pPr>
      <w:r w:rsidRPr="0053182F">
        <w:rPr>
          <w:rFonts w:eastAsia="Times New Roman"/>
          <w:color w:val="000000" w:themeColor="text1"/>
        </w:rPr>
        <w:t>The first phase—macro- and meso-level quantitative analysis—provides broad, generalisable insights into the structural patterns shaping CMS outcomes across countries and MNCs. By examining large-scale datasets (WGI, SDGI, IHDI, GSI, and G500 corporate governance indicators), this phase identifies statistically significant relationships between institutional conditions, SGIs, and ACMS commitments. However, quantitative patterns alone cannot fully explain the mechanisms underlying these relationships, nor can they reveal the organisational, cultural, and power dynamics that underpin corporate behaviour. Quantitative findings often point to associations but leave unanswered questions about causality, contradictions, and the real-world translation of policies into practice.</w:t>
      </w:r>
    </w:p>
    <w:p w14:paraId="01BC7DFE" w14:textId="1F3998CE" w:rsidR="00D221EA" w:rsidRPr="0053182F" w:rsidRDefault="00D221EA" w:rsidP="00D221EA">
      <w:pPr>
        <w:spacing w:after="0" w:line="480" w:lineRule="auto"/>
        <w:ind w:firstLine="720"/>
        <w:jc w:val="both"/>
        <w:rPr>
          <w:rFonts w:eastAsia="Times New Roman"/>
          <w:color w:val="000000" w:themeColor="text1"/>
        </w:rPr>
      </w:pPr>
      <w:r w:rsidRPr="0053182F">
        <w:rPr>
          <w:rFonts w:eastAsia="Times New Roman"/>
          <w:color w:val="000000" w:themeColor="text1"/>
        </w:rPr>
        <w:t xml:space="preserve">For this reason, the second and third phases introduce qualitative analysis to illuminate the meanings, processes, and lived realities behind the statistical associations. The meso-level qualitative extension examines corporate disclosures to interrogate whether firms’ ACMS commitments are substantive or symbolic, thereby uncovering potential institutional decoupling between policy and performance. This step is essential because NIT argues that organisations often adopt formal structures—such as CSR policies, codes of conduct, or human rights statements—not necessarily to enforce them, but to gain legitimacy under coercive, normative, and mimetic pressures </w:t>
      </w:r>
      <w:sdt>
        <w:sdtPr>
          <w:rPr>
            <w:rFonts w:eastAsia="Times New Roman"/>
          </w:rPr>
          <w:tag w:val="MENDELEY_CITATION_v3_eyJjaXRhdGlvbklEIjoiTUVOREVMRVlfQ0lUQVRJT05fMGFmMzYyYTYtYmUzNy00OWE4LWEyNmItMDFmYjllNGFjNWUyIiwicHJvcGVydGllcyI6eyJub3RlSW5kZXgiOjB9LCJpc0VkaXRlZCI6ZmFsc2UsIm1hbnVhbE92ZXJyaWRlIjp7ImlzTWFudWFsbHlPdmVycmlkZGVuIjpmYWxzZSwiY2l0ZXByb2NUZXh0IjoiKERpTWFnZ2lvIGFuZCBQb3dlbGwsIDE5ODM7IE1leWVyIGFuZCBSb3dhbiwgMTk3Ny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XX0="/>
          <w:id w:val="1604458118"/>
          <w:placeholder>
            <w:docPart w:val="908F7F1E88024038895AE4143FD78D3F"/>
          </w:placeholder>
        </w:sdtPr>
        <w:sdtContent>
          <w:r w:rsidR="00CC1788" w:rsidRPr="0053182F">
            <w:rPr>
              <w:rFonts w:eastAsia="Times New Roman"/>
            </w:rPr>
            <w:t>(DiMaggio and Powell, 1983; Meyer and Rowan, 1977)</w:t>
          </w:r>
        </w:sdtContent>
      </w:sdt>
      <w:r w:rsidRPr="0053182F">
        <w:rPr>
          <w:rFonts w:eastAsia="Times New Roman"/>
          <w:color w:val="000000" w:themeColor="text1"/>
        </w:rPr>
        <w:t>. Qualitative scrutiny of disclosure texts is therefore needed to determine whether these structures function as genuine governance mechanisms or performative tools used to manage reputation and compliance expectations.</w:t>
      </w:r>
    </w:p>
    <w:p w14:paraId="373A2D80" w14:textId="77777777" w:rsidR="00D221EA" w:rsidRPr="0053182F" w:rsidRDefault="00D221EA" w:rsidP="00D221EA">
      <w:pPr>
        <w:spacing w:after="0" w:line="480" w:lineRule="auto"/>
        <w:ind w:firstLine="720"/>
        <w:jc w:val="both"/>
        <w:rPr>
          <w:rFonts w:eastAsia="Times New Roman"/>
          <w:color w:val="000000" w:themeColor="text1"/>
        </w:rPr>
      </w:pPr>
      <w:r w:rsidRPr="0053182F">
        <w:rPr>
          <w:rFonts w:eastAsia="Times New Roman"/>
          <w:color w:val="000000" w:themeColor="text1"/>
        </w:rPr>
        <w:t>The final qualitative phase—micro-level interviews and fieldwork—provides bottom-up empirical grounding by examining how global and corporate commitments are experienced by workers, supervisors, and labour actors within Sri Lanka’s A&amp;TI. This phase is crucial for revealing the everyday realities of CMS, including exploitation patterns, power asymmetries, audit failures, and worker resistance. Micro-level insights help explain why specific quantitative patterns may appear contradictory (e.g., high disclosure alongside persistent exploitation) and allow the study to map the full cycle of institutional pressures, corporate responses, and labour outcomes.</w:t>
      </w:r>
    </w:p>
    <w:p w14:paraId="4DF05221" w14:textId="77777777" w:rsidR="00D221EA" w:rsidRPr="0053182F" w:rsidRDefault="00D221EA" w:rsidP="00D221EA">
      <w:pPr>
        <w:spacing w:after="0" w:line="480" w:lineRule="auto"/>
        <w:ind w:firstLine="720"/>
        <w:jc w:val="both"/>
        <w:rPr>
          <w:rFonts w:eastAsia="Times New Roman"/>
          <w:color w:val="000000" w:themeColor="text1"/>
        </w:rPr>
      </w:pPr>
      <w:r w:rsidRPr="0053182F">
        <w:rPr>
          <w:rFonts w:eastAsia="Times New Roman"/>
          <w:color w:val="000000" w:themeColor="text1"/>
        </w:rPr>
        <w:t>Together, these phases facilitate methodological triangulation by integrating findings across multiple data sources, analytical levels, and institutional actors. This triangulated approach strengthens validity and allows the study to uncover institutional contradictions and decoupling processes that would remain invisible under a single-method design. The multi-phase structure, therefore, reflects both the complexity of CMS governance and the theoretical requirements of NIT, which emphasises multi-level, dynamic interactions between institutional environments, organisational structures, and human agency.</w:t>
      </w:r>
    </w:p>
    <w:p w14:paraId="178BA989" w14:textId="77777777" w:rsidR="00D221EA" w:rsidRPr="0053182F" w:rsidRDefault="00D221EA" w:rsidP="00D221EA">
      <w:pPr>
        <w:pStyle w:val="Heading2"/>
      </w:pPr>
      <w:bookmarkStart w:id="260" w:name="_Toc215651861"/>
      <w:bookmarkStart w:id="261" w:name="_Toc218357151"/>
      <w:r w:rsidRPr="0053182F">
        <w:t>6.6 Integration Strategy</w:t>
      </w:r>
      <w:bookmarkEnd w:id="260"/>
      <w:bookmarkEnd w:id="261"/>
    </w:p>
    <w:p w14:paraId="178D7D93" w14:textId="6AD3ADAC" w:rsidR="00D221EA" w:rsidRPr="0053182F" w:rsidRDefault="00A94753" w:rsidP="00D221EA">
      <w:pPr>
        <w:spacing w:after="0" w:line="480" w:lineRule="auto"/>
        <w:jc w:val="both"/>
      </w:pPr>
      <w:r w:rsidRPr="0053182F">
        <w:t>I</w:t>
      </w:r>
      <w:r w:rsidR="00D221EA" w:rsidRPr="0053182F">
        <w:t xml:space="preserve">ntegration is a central feature of the explanatory sequential design adopted in this research, ensuring that insights generated at each phase inform and enhance subsequent phases. The integration strategy establishes clear interfaces among macro-level quantitative modelling, meso-level corporate disclosure analysis, and micro-level qualitative fieldwork </w:t>
      </w:r>
      <w:sdt>
        <w:sdtPr>
          <w:tag w:val="MENDELEY_CITATION_v3_eyJjaXRhdGlvbklEIjoiTUVOREVMRVlfQ0lUQVRJT05fMWFlNzFiODctYTY5YS00YThmLTgzODUtYmJlYTA3NmY5YzBj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2074384838"/>
          <w:placeholder>
            <w:docPart w:val="908F7F1E88024038895AE4143FD78D3F"/>
          </w:placeholder>
        </w:sdtPr>
        <w:sdtContent>
          <w:r w:rsidR="00CC1788" w:rsidRPr="0053182F">
            <w:t>(Creswell and Plano, 2018)</w:t>
          </w:r>
        </w:sdtContent>
      </w:sdt>
      <w:r w:rsidR="00D221EA" w:rsidRPr="0053182F">
        <w:t>. This approach enables the construction of meta-inferences—higher-order interpretations that synthesise patterns across levels, methods, and datasets.</w:t>
      </w:r>
    </w:p>
    <w:p w14:paraId="2A172E12" w14:textId="77777777" w:rsidR="00D221EA" w:rsidRPr="0053182F" w:rsidRDefault="00D221EA" w:rsidP="00D221EA">
      <w:pPr>
        <w:spacing w:after="0" w:line="480" w:lineRule="auto"/>
        <w:ind w:firstLine="720"/>
        <w:jc w:val="both"/>
      </w:pPr>
      <w:r w:rsidRPr="0053182F">
        <w:t>The first point of interface occurs between Phase I (macro-level quantitative analysis) and Phase II (meso-level quantitative and disclosure analysis). Statistical findings on the influence of IEQ, SDGI, and IHDI on national MS outcomes guide the interpretation of firm-level SGI results. These aggregated drivers provide the structural context for understanding why certain G500 firms exhibit strong ACMS commitments, while others lag behind. Patterns, anomalies, or contradictions emerging in quantitative results determine the focal areas for qualitative inquiry, ensuring that subsequent phases are both theory-driven and empirically grounded.</w:t>
      </w:r>
    </w:p>
    <w:p w14:paraId="564F2ED2" w14:textId="77777777" w:rsidR="00D221EA" w:rsidRPr="0053182F" w:rsidRDefault="00D221EA" w:rsidP="00D221EA">
      <w:pPr>
        <w:spacing w:after="0" w:line="480" w:lineRule="auto"/>
        <w:ind w:firstLine="720"/>
        <w:jc w:val="both"/>
      </w:pPr>
      <w:r w:rsidRPr="0053182F">
        <w:t>The second major integration interface occurs between Phase II and Phase III. Here, qualitative document analysis is used to interrogate and contextualise the quantitative patterns identified in the G500 panel dataset. Joint displays and comparative matrices juxtapose disclosed ACMS commitments with statistical predictions, highlighting areas of convergence (e.g., firms whose strong SGI scores translate into substantive disclosures) and divergence (e.g., firms with high SGI scores but weak disclosure depth). These mismatches reveal institutional decoupling, symbolic compliance, and legitimacy-seeking behaviours—core concepts within NIT that cannot be captured quantitatively. This comparative synthesis serves as the analytical bridge to the micro-level fieldwork.</w:t>
      </w:r>
    </w:p>
    <w:p w14:paraId="36C416AA" w14:textId="77777777" w:rsidR="00D221EA" w:rsidRPr="0053182F" w:rsidRDefault="00D221EA" w:rsidP="00D221EA">
      <w:pPr>
        <w:spacing w:after="0" w:line="480" w:lineRule="auto"/>
        <w:ind w:firstLine="720"/>
        <w:jc w:val="both"/>
      </w:pPr>
      <w:r w:rsidRPr="0053182F">
        <w:t>The third and final integration point links Phase III qualitative findings with earlier phases. Insights derived from worker interviews, managerial perspectives, and labour rights stakeholders are directly compared with claims made in corporate disclosures. These layers integrate macro-level institutional forces, meso-level governance mechanisms, and micro-level lived experiences into a coherent, multi-scalar explanation of CMS persistence. Through this layered integration strategy, the study moves beyond isolated findings to produce a holistic and theoretically enriched understanding of CMS governance. The resulting meta-inferences extend NIT by demonstrating how coercive, normative, and mimetic pressures interact across institutional levels, revealing both the structural determinants of corporate behaviour and the mechanisms through which institutional decoupling persists in global supply chains.</w:t>
      </w:r>
    </w:p>
    <w:p w14:paraId="1BA65293" w14:textId="77777777" w:rsidR="00D221EA" w:rsidRPr="0053182F" w:rsidRDefault="00D221EA" w:rsidP="00D221EA">
      <w:pPr>
        <w:pStyle w:val="Heading2"/>
      </w:pPr>
      <w:bookmarkStart w:id="262" w:name="_Toc215651862"/>
      <w:bookmarkStart w:id="263" w:name="_Toc218357152"/>
      <w:r w:rsidRPr="0053182F">
        <w:t>6.7 Mixed-Method Research Design: Explanatory Sequential Design</w:t>
      </w:r>
      <w:bookmarkEnd w:id="262"/>
      <w:bookmarkEnd w:id="263"/>
    </w:p>
    <w:p w14:paraId="56BA8A92" w14:textId="2961BFD5" w:rsidR="00D221EA" w:rsidRPr="0053182F" w:rsidRDefault="00D221EA" w:rsidP="00D221EA">
      <w:pPr>
        <w:spacing w:after="0" w:line="480" w:lineRule="auto"/>
        <w:ind w:firstLine="720"/>
        <w:jc w:val="both"/>
      </w:pPr>
      <w:r w:rsidRPr="0053182F">
        <w:rPr>
          <w:rFonts w:eastAsia="Palatino Linotype"/>
        </w:rPr>
        <w:t xml:space="preserve">This study adopts an explanatory sequential mixed-methods design, which involves a two-step process where quantitative data collection and analysis are conducted first, followed by qualitative data collection and interpretation </w:t>
      </w:r>
      <w:sdt>
        <w:sdtPr>
          <w:rPr>
            <w:rFonts w:eastAsia="Palatino Linotype"/>
          </w:rPr>
          <w:tag w:val="MENDELEY_CITATION_v3_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"/>
          <w:id w:val="483595718"/>
          <w:placeholder>
            <w:docPart w:val="E7DDF16FEC734854B06844CF1F4C1DD3"/>
          </w:placeholder>
        </w:sdtPr>
        <w:sdtContent>
          <w:r w:rsidR="00CC1788" w:rsidRPr="0053182F">
            <w:rPr>
              <w:rFonts w:eastAsia="Times New Roman"/>
            </w:rPr>
            <w:t>(Bell et al., 2019; Bryman and Bell, 2015; Creswell, 2009; Creswell and Plano, 2011, 2018; Guest and Fleming, 2015)</w:t>
          </w:r>
        </w:sdtContent>
      </w:sdt>
      <w:r w:rsidRPr="0053182F">
        <w:rPr>
          <w:rFonts w:eastAsia="Palatino Linotype"/>
        </w:rPr>
        <w:t xml:space="preserve">. </w:t>
      </w:r>
      <w:r w:rsidRPr="0053182F">
        <w:t xml:space="preserve">In this design, quantitative findings provide the foundation for subsequent qualitative inquiry, enabling the researcher to explain, elaborate, and contextualise statistical patterns through interpretive exploration </w:t>
      </w:r>
      <w:sdt>
        <w:sdtPr>
          <w:tag w:val="MENDELEY_CITATION_v3_eyJjaXRhdGlvbklEIjoiTUVOREVMRVlfQ0lUQVRJT05fN2M4NGU2MGEtMWY1Ni00NGEzLWI5ZTctYTBmZGRhMzU2ZDA4IiwicHJvcGVydGllcyI6eyJub3RlSW5kZXgiOjB9LCJpc0VkaXRlZCI6ZmFsc2UsIm1hbnVhbE92ZXJyaWRlIjp7ImlzTWFudWFsbHlPdmVycmlkZGVuIjpmYWxzZSwiY2l0ZXByb2NUZXh0IjoiKENyZXN3ZWxsLCAyMDE0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1dfQ=="/>
          <w:id w:val="-126635400"/>
          <w:placeholder>
            <w:docPart w:val="BFC73D5327354FEB994192DA64B65FF8"/>
          </w:placeholder>
        </w:sdtPr>
        <w:sdtContent>
          <w:r w:rsidR="00CC1788" w:rsidRPr="0053182F">
            <w:t>(Creswell, 2014)</w:t>
          </w:r>
        </w:sdtContent>
      </w:sdt>
      <w:r w:rsidRPr="0053182F">
        <w:t xml:space="preserve">. The approach allows for systematic integration, in which qualitative insights help clarify the mechanisms and contextual factors underlying quantitative relationships </w:t>
      </w:r>
      <w:sdt>
        <w:sdtPr>
          <w:tag w:val="MENDELEY_CITATION_v3_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"/>
          <w:id w:val="869184614"/>
          <w:placeholder>
            <w:docPart w:val="BFC73D5327354FEB994192DA64B65FF8"/>
          </w:placeholder>
        </w:sdtPr>
        <w:sdtContent>
          <w:r w:rsidR="00CC1788" w:rsidRPr="0053182F">
            <w:t>(Bryman and Bell, 2015; Bell et al, 2019)</w:t>
          </w:r>
        </w:sdtContent>
      </w:sdt>
      <w:r w:rsidRPr="0053182F">
        <w:t>.</w:t>
      </w:r>
    </w:p>
    <w:p w14:paraId="4D62F395" w14:textId="3C02BBE5" w:rsidR="00D221EA" w:rsidRPr="0053182F" w:rsidRDefault="00D221EA" w:rsidP="00D221EA">
      <w:pPr>
        <w:spacing w:after="0" w:line="480" w:lineRule="auto"/>
        <w:ind w:firstLine="720"/>
        <w:jc w:val="both"/>
        <w:rPr>
          <w:rFonts w:eastAsia="Palatino Linotype"/>
        </w:rPr>
      </w:pPr>
      <w:r w:rsidRPr="0053182F">
        <w:rPr>
          <w:rFonts w:eastAsia="Palatino Linotype"/>
        </w:rPr>
        <w:t xml:space="preserve">The explanatory sequential design was selected because it provides both breadth and depth of understanding—quantitative analyses identify empirical relationships across global institutional and corporate sustainability governance systems. In contrast, qualitative analyses uncover the human, organisational, and contextual dimensions shaping those outcomes. As argued by </w:t>
      </w:r>
      <w:sdt>
        <w:sdtPr>
          <w:rPr>
            <w:rFonts w:eastAsia="Palatino Linotype"/>
          </w:rPr>
          <w:tag w:val="MENDELEY_CITATION_v3_eyJjaXRhdGlvbklEIjoiTUVOREVMRVlfQ0lUQVRJT05fZjcwOTdmOWUtNTJhMy00MTQ3LWI2YmItNTFlMDFkYmJjNjQ3IiwicHJvcGVydGllcyI6eyJub3RlSW5kZXgiOjB9LCJpc0VkaXRlZCI6ZmFsc2UsIm1hbnVhbE92ZXJyaWRlIjp7ImlzTWFudWFsbHlPdmVycmlkZGVuIjp0cnVlLCJjaXRlcHJvY1RleHQiOiIoQ3Jlc3dlbGwgYW5kIFBsYW5vLCAyMDE4KSIsIm1hbnVhbE92ZXJyaWRlVGV4dCI6IkNyZXN3ZWxsIGFuZCBQbGFubyAoMjAxOCk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
          <w:id w:val="-1210654708"/>
          <w:placeholder>
            <w:docPart w:val="BFC73D5327354FEB994192DA64B65FF8"/>
          </w:placeholder>
        </w:sdtPr>
        <w:sdtContent>
          <w:r w:rsidR="00CC1788" w:rsidRPr="0053182F">
            <w:rPr>
              <w:rFonts w:eastAsia="Palatino Linotype"/>
            </w:rPr>
            <w:t>Creswell and Plano (2018)</w:t>
          </w:r>
        </w:sdtContent>
      </w:sdt>
      <w:r w:rsidRPr="0053182F">
        <w:rPr>
          <w:rFonts w:eastAsia="Palatino Linotype"/>
        </w:rPr>
        <w:t xml:space="preserve">, this design is particularly valuable when the initial quantitative phase identifies significant trends or anomalies that require further qualitative explanation. Accordingly, this thesis applies the explanatory sequential design across three interrelated phases representing the macro-, meso-, and micro-levels of CMS analysis. See Figure 6.2 below for better clarity. </w:t>
      </w:r>
    </w:p>
    <w:p w14:paraId="68276E39" w14:textId="77777777" w:rsidR="00D221EA" w:rsidRPr="0053182F" w:rsidRDefault="00D221EA" w:rsidP="00D221EA">
      <w:pPr>
        <w:spacing w:after="0" w:line="480" w:lineRule="auto"/>
        <w:ind w:firstLine="720"/>
        <w:jc w:val="both"/>
        <w:rPr>
          <w:rFonts w:eastAsia="Palatino Linotype"/>
        </w:rPr>
      </w:pPr>
      <w:r w:rsidRPr="0053182F">
        <w:rPr>
          <w:rFonts w:eastAsia="Palatino Linotype"/>
        </w:rPr>
        <w:t>This design ensures a logical sequencing of inquiry, where macro- and meso-level quantitative findings inform the development of qualitative instruments and guide case and participant selection. The integration of both data types occurs during the interpretation phase through meta-inference and triangulation, producing a cohesive understanding of how institutional, organisational, and human-level dynamics interact to sustain or challenge CMS practices.</w:t>
      </w:r>
    </w:p>
    <w:p w14:paraId="4BBC6B68" w14:textId="77777777" w:rsidR="00D221EA" w:rsidRPr="0053182F" w:rsidRDefault="00D221EA" w:rsidP="00D221EA">
      <w:pPr>
        <w:spacing w:after="0" w:line="480" w:lineRule="auto"/>
        <w:ind w:firstLine="720"/>
        <w:jc w:val="both"/>
        <w:rPr>
          <w:rFonts w:eastAsia="Palatino Linotype"/>
        </w:rPr>
      </w:pPr>
      <w:r w:rsidRPr="0053182F">
        <w:rPr>
          <w:rFonts w:eastAsia="Palatino Linotype"/>
        </w:rPr>
        <w:t>The explanatory sequential approach aligns closely with the NIT framework that underpins this research. It allows empirical testing of institutional pressures—coercive, normative, and mimetic—through quantitative modelling, followed by qualitative exploration of how these pressures manifest in organisational practices and worker experiences. This design thus facilitates a robust, multi-level understanding of the institutional drivers, corporate behaviours, and lived realities of MS in global supply chains.</w:t>
      </w:r>
    </w:p>
    <w:p w14:paraId="16714170" w14:textId="77777777" w:rsidR="00D221EA" w:rsidRPr="0053182F" w:rsidRDefault="00D221EA" w:rsidP="00D221EA">
      <w:pPr>
        <w:spacing w:after="0" w:line="480" w:lineRule="auto"/>
        <w:jc w:val="both"/>
      </w:pPr>
      <w:r w:rsidRPr="0053182F">
        <w:rPr>
          <w:noProof/>
        </w:rPr>
        <mc:AlternateContent>
          <mc:Choice Requires="wpg">
            <w:drawing>
              <wp:anchor distT="0" distB="0" distL="114300" distR="114300" simplePos="0" relativeHeight="251658370" behindDoc="0" locked="0" layoutInCell="1" allowOverlap="1" wp14:anchorId="04725FC1" wp14:editId="32D01866">
                <wp:simplePos x="0" y="0"/>
                <wp:positionH relativeFrom="column">
                  <wp:posOffset>27360</wp:posOffset>
                </wp:positionH>
                <wp:positionV relativeFrom="paragraph">
                  <wp:posOffset>252779</wp:posOffset>
                </wp:positionV>
                <wp:extent cx="6025515" cy="4972696"/>
                <wp:effectExtent l="0" t="0" r="13335" b="18415"/>
                <wp:wrapNone/>
                <wp:docPr id="43" name="Group 42">
                  <a:extLst xmlns:a="http://schemas.openxmlformats.org/drawingml/2006/main">
                    <a:ext uri="{FF2B5EF4-FFF2-40B4-BE49-F238E27FC236}">
                      <a16:creationId xmlns:a16="http://schemas.microsoft.com/office/drawing/2014/main" id="{5061A0F8-B75D-2A82-6C6B-A8E16845D562}"/>
                    </a:ext>
                  </a:extLst>
                </wp:docPr>
                <wp:cNvGraphicFramePr/>
                <a:graphic xmlns:a="http://schemas.openxmlformats.org/drawingml/2006/main">
                  <a:graphicData uri="http://schemas.microsoft.com/office/word/2010/wordprocessingGroup">
                    <wpg:wgp>
                      <wpg:cNvGrpSpPr/>
                      <wpg:grpSpPr>
                        <a:xfrm>
                          <a:off x="0" y="0"/>
                          <a:ext cx="6025515" cy="4972696"/>
                          <a:chOff x="0" y="1"/>
                          <a:chExt cx="6025515" cy="4972696"/>
                        </a:xfrm>
                      </wpg:grpSpPr>
                      <wps:wsp>
                        <wps:cNvPr id="1119739817" name="TextBox 10">
                          <a:extLst>
                            <a:ext uri="{FF2B5EF4-FFF2-40B4-BE49-F238E27FC236}">
                              <a16:creationId xmlns:a16="http://schemas.microsoft.com/office/drawing/2014/main" id="{94D2D2F4-826A-0088-8553-B5727F0B97A0}"/>
                            </a:ext>
                          </a:extLst>
                        </wps:cNvPr>
                        <wps:cNvSpPr txBox="1"/>
                        <wps:spPr>
                          <a:xfrm>
                            <a:off x="726902" y="1"/>
                            <a:ext cx="4571365" cy="1092266"/>
                          </a:xfrm>
                          <a:prstGeom prst="rect">
                            <a:avLst/>
                          </a:prstGeom>
                        </wps:spPr>
                        <wps:style>
                          <a:lnRef idx="2">
                            <a:schemeClr val="dk1"/>
                          </a:lnRef>
                          <a:fillRef idx="1">
                            <a:schemeClr val="lt1"/>
                          </a:fillRef>
                          <a:effectRef idx="0">
                            <a:schemeClr val="dk1"/>
                          </a:effectRef>
                          <a:fontRef idx="minor">
                            <a:schemeClr val="dk1"/>
                          </a:fontRef>
                        </wps:style>
                        <wps:txbx>
                          <w:txbxContent>
                            <w:p w14:paraId="2F533B5B" w14:textId="77777777" w:rsidR="00D221EA" w:rsidRDefault="00D221EA" w:rsidP="00D221EA">
                              <w:pPr>
                                <w:spacing w:after="0"/>
                                <w:rPr>
                                  <w:b/>
                                  <w:color w:val="000000" w:themeColor="dark1"/>
                                  <w:kern w:val="24"/>
                                  <w14:ligatures w14:val="none"/>
                                </w:rPr>
                              </w:pPr>
                              <w:r>
                                <w:rPr>
                                  <w:b/>
                                  <w:color w:val="000000" w:themeColor="dark1"/>
                                  <w:kern w:val="24"/>
                                </w:rPr>
                                <w:t>Phase I – Macro-Level Quantitative Analysis</w:t>
                              </w:r>
                            </w:p>
                            <w:p w14:paraId="2718E215" w14:textId="77777777" w:rsidR="00D221EA" w:rsidRDefault="00D221EA" w:rsidP="00D221EA">
                              <w:pPr>
                                <w:spacing w:after="0"/>
                                <w:rPr>
                                  <w:color w:val="000000" w:themeColor="dark1"/>
                                  <w:kern w:val="24"/>
                                </w:rPr>
                              </w:pPr>
                              <w:r>
                                <w:rPr>
                                  <w:color w:val="000000" w:themeColor="dark1"/>
                                  <w:kern w:val="24"/>
                                </w:rPr>
                                <w:t>│</w:t>
                              </w:r>
                            </w:p>
                            <w:p w14:paraId="00A6192C" w14:textId="77777777" w:rsidR="00D221EA" w:rsidRDefault="00D221EA" w:rsidP="00D221EA">
                              <w:pPr>
                                <w:spacing w:after="0"/>
                                <w:rPr>
                                  <w:color w:val="000000" w:themeColor="dark1"/>
                                  <w:kern w:val="24"/>
                                </w:rPr>
                              </w:pPr>
                              <w:r>
                                <w:rPr>
                                  <w:color w:val="000000" w:themeColor="dark1"/>
                                  <w:kern w:val="24"/>
                                </w:rPr>
                                <w:t>├── Data: WGI, HDI, SDGI, GSI (Institutional datasets)</w:t>
                              </w:r>
                            </w:p>
                            <w:p w14:paraId="7F2062C8" w14:textId="77777777" w:rsidR="00D221EA" w:rsidRDefault="00D221EA" w:rsidP="00D221EA">
                              <w:pPr>
                                <w:spacing w:after="0"/>
                                <w:rPr>
                                  <w:color w:val="000000" w:themeColor="dark1"/>
                                  <w:kern w:val="24"/>
                                </w:rPr>
                              </w:pPr>
                              <w:r>
                                <w:rPr>
                                  <w:color w:val="000000" w:themeColor="dark1"/>
                                  <w:kern w:val="24"/>
                                </w:rPr>
                                <w:t>├── Analysis: Panel regression (FE/RE, IV-2SLS)</w:t>
                              </w:r>
                            </w:p>
                            <w:p w14:paraId="187A7C89" w14:textId="77777777" w:rsidR="00D221EA" w:rsidRDefault="00D221EA" w:rsidP="00D221EA">
                              <w:pPr>
                                <w:spacing w:after="0"/>
                                <w:rPr>
                                  <w:color w:val="000000" w:themeColor="dark1"/>
                                  <w:kern w:val="24"/>
                                </w:rPr>
                              </w:pPr>
                              <w:r>
                                <w:rPr>
                                  <w:color w:val="000000" w:themeColor="dark1"/>
                                  <w:kern w:val="24"/>
                                </w:rPr>
                                <w:t>└── Output: Global governance drivers of MS outcomes</w:t>
                              </w:r>
                            </w:p>
                          </w:txbxContent>
                        </wps:txbx>
                        <wps:bodyPr wrap="square">
                          <a:noAutofit/>
                        </wps:bodyPr>
                      </wps:wsp>
                      <wps:wsp>
                        <wps:cNvPr id="1360963985" name="TextBox 5">
                          <a:extLst>
                            <a:ext uri="{FF2B5EF4-FFF2-40B4-BE49-F238E27FC236}">
                              <a16:creationId xmlns:a16="http://schemas.microsoft.com/office/drawing/2014/main" id="{0597A335-25F0-2E5E-4588-E397CCBE86D8}"/>
                            </a:ext>
                          </a:extLst>
                        </wps:cNvPr>
                        <wps:cNvSpPr txBox="1"/>
                        <wps:spPr>
                          <a:xfrm>
                            <a:off x="240892" y="1413313"/>
                            <a:ext cx="5442585" cy="1125220"/>
                          </a:xfrm>
                          <a:prstGeom prst="rect">
                            <a:avLst/>
                          </a:prstGeom>
                        </wps:spPr>
                        <wps:style>
                          <a:lnRef idx="2">
                            <a:schemeClr val="dk1"/>
                          </a:lnRef>
                          <a:fillRef idx="1">
                            <a:schemeClr val="lt1"/>
                          </a:fillRef>
                          <a:effectRef idx="0">
                            <a:schemeClr val="dk1"/>
                          </a:effectRef>
                          <a:fontRef idx="minor">
                            <a:schemeClr val="dk1"/>
                          </a:fontRef>
                        </wps:style>
                        <wps:txbx>
                          <w:txbxContent>
                            <w:p w14:paraId="2E0845C0" w14:textId="77777777" w:rsidR="00D221EA" w:rsidRDefault="00D221EA" w:rsidP="00D221EA">
                              <w:pPr>
                                <w:spacing w:after="0"/>
                                <w:rPr>
                                  <w:b/>
                                  <w:color w:val="000000" w:themeColor="dark1"/>
                                  <w:kern w:val="24"/>
                                  <w14:ligatures w14:val="none"/>
                                </w:rPr>
                              </w:pPr>
                              <w:r>
                                <w:rPr>
                                  <w:b/>
                                  <w:color w:val="000000" w:themeColor="dark1"/>
                                  <w:kern w:val="24"/>
                                </w:rPr>
                                <w:t>Phase II – Meso-Level Corporate Analysis</w:t>
                              </w:r>
                            </w:p>
                            <w:p w14:paraId="0E689026" w14:textId="77777777" w:rsidR="00D221EA" w:rsidRDefault="00D221EA" w:rsidP="00D221EA">
                              <w:pPr>
                                <w:spacing w:after="0"/>
                                <w:rPr>
                                  <w:color w:val="000000" w:themeColor="dark1"/>
                                  <w:kern w:val="24"/>
                                </w:rPr>
                              </w:pPr>
                              <w:r>
                                <w:rPr>
                                  <w:color w:val="000000" w:themeColor="dark1"/>
                                  <w:kern w:val="24"/>
                                </w:rPr>
                                <w:t>│</w:t>
                              </w:r>
                            </w:p>
                            <w:p w14:paraId="5C6EBA86" w14:textId="77777777" w:rsidR="00D221EA" w:rsidRDefault="00D221EA" w:rsidP="00D221EA">
                              <w:pPr>
                                <w:spacing w:after="0"/>
                                <w:rPr>
                                  <w:color w:val="000000" w:themeColor="dark1"/>
                                  <w:kern w:val="24"/>
                                </w:rPr>
                              </w:pPr>
                              <w:r>
                                <w:rPr>
                                  <w:color w:val="000000" w:themeColor="dark1"/>
                                  <w:kern w:val="24"/>
                                </w:rPr>
                                <w:t>├── Quantitative Strand: G-500 dataset (SGIs, ACMS index)</w:t>
                              </w:r>
                            </w:p>
                            <w:p w14:paraId="1EF693C7" w14:textId="77777777" w:rsidR="00D221EA" w:rsidRDefault="00D221EA" w:rsidP="00D221EA">
                              <w:pPr>
                                <w:spacing w:after="0"/>
                                <w:rPr>
                                  <w:color w:val="000000" w:themeColor="dark1"/>
                                  <w:kern w:val="24"/>
                                </w:rPr>
                              </w:pPr>
                              <w:r>
                                <w:rPr>
                                  <w:color w:val="000000" w:themeColor="dark1"/>
                                  <w:kern w:val="24"/>
                                </w:rPr>
                                <w:t>├── Qualitative Strand (Extension): Disclosure analysis (Nike, Dior, Inditex)</w:t>
                              </w:r>
                            </w:p>
                            <w:p w14:paraId="748FFEC0" w14:textId="77777777" w:rsidR="00D221EA" w:rsidRDefault="00D221EA" w:rsidP="00D221EA">
                              <w:pPr>
                                <w:spacing w:after="0"/>
                                <w:rPr>
                                  <w:color w:val="000000" w:themeColor="dark1"/>
                                  <w:kern w:val="24"/>
                                </w:rPr>
                              </w:pPr>
                              <w:r>
                                <w:rPr>
                                  <w:color w:val="000000" w:themeColor="dark1"/>
                                  <w:kern w:val="24"/>
                                </w:rPr>
                                <w:t>└── Output: Corporate sustainability practices and symbolic accountability</w:t>
                              </w:r>
                            </w:p>
                          </w:txbxContent>
                        </wps:txbx>
                        <wps:bodyPr wrap="square" rtlCol="0">
                          <a:spAutoFit/>
                        </wps:bodyPr>
                      </wps:wsp>
                      <wps:wsp>
                        <wps:cNvPr id="512734577" name="TextBox 6">
                          <a:extLst>
                            <a:ext uri="{FF2B5EF4-FFF2-40B4-BE49-F238E27FC236}">
                              <a16:creationId xmlns:a16="http://schemas.microsoft.com/office/drawing/2014/main" id="{8FC138F0-4D6F-FDD5-DFA5-4A851601F3A9}"/>
                            </a:ext>
                          </a:extLst>
                        </wps:cNvPr>
                        <wps:cNvSpPr txBox="1"/>
                        <wps:spPr>
                          <a:xfrm>
                            <a:off x="240892" y="2937887"/>
                            <a:ext cx="5442585" cy="922655"/>
                          </a:xfrm>
                          <a:prstGeom prst="rect">
                            <a:avLst/>
                          </a:prstGeom>
                        </wps:spPr>
                        <wps:style>
                          <a:lnRef idx="2">
                            <a:schemeClr val="dk1"/>
                          </a:lnRef>
                          <a:fillRef idx="1">
                            <a:schemeClr val="lt1"/>
                          </a:fillRef>
                          <a:effectRef idx="0">
                            <a:schemeClr val="dk1"/>
                          </a:effectRef>
                          <a:fontRef idx="minor">
                            <a:schemeClr val="dk1"/>
                          </a:fontRef>
                        </wps:style>
                        <wps:txbx>
                          <w:txbxContent>
                            <w:p w14:paraId="532CF433" w14:textId="77777777" w:rsidR="00D221EA" w:rsidRDefault="00D221EA" w:rsidP="00D221EA">
                              <w:pPr>
                                <w:spacing w:after="0"/>
                                <w:rPr>
                                  <w:b/>
                                  <w:color w:val="000000" w:themeColor="dark1"/>
                                  <w:kern w:val="24"/>
                                  <w14:ligatures w14:val="none"/>
                                </w:rPr>
                              </w:pPr>
                              <w:r>
                                <w:rPr>
                                  <w:b/>
                                  <w:color w:val="000000" w:themeColor="dark1"/>
                                  <w:kern w:val="24"/>
                                </w:rPr>
                                <w:t>Phase III – Micro-Level Qualitative Analysis</w:t>
                              </w:r>
                            </w:p>
                            <w:p w14:paraId="7EA12A75" w14:textId="77777777" w:rsidR="00D221EA" w:rsidRDefault="00D221EA" w:rsidP="00D221EA">
                              <w:pPr>
                                <w:spacing w:after="0"/>
                                <w:rPr>
                                  <w:color w:val="000000" w:themeColor="dark1"/>
                                  <w:kern w:val="24"/>
                                </w:rPr>
                              </w:pPr>
                              <w:r>
                                <w:rPr>
                                  <w:color w:val="000000" w:themeColor="dark1"/>
                                  <w:kern w:val="24"/>
                                </w:rPr>
                                <w:t>├── Data: 52 Interviews (Sri Lanka A&amp;TI)</w:t>
                              </w:r>
                            </w:p>
                            <w:p w14:paraId="07E6B3DB" w14:textId="77777777" w:rsidR="00D221EA" w:rsidRDefault="00D221EA" w:rsidP="00D221EA">
                              <w:pPr>
                                <w:spacing w:after="0"/>
                                <w:rPr>
                                  <w:color w:val="000000" w:themeColor="dark1"/>
                                  <w:kern w:val="24"/>
                                </w:rPr>
                              </w:pPr>
                              <w:r>
                                <w:rPr>
                                  <w:color w:val="000000" w:themeColor="dark1"/>
                                  <w:kern w:val="24"/>
                                </w:rPr>
                                <w:t>├── Analysis: Thematic coding (NVivo, NIT framework)</w:t>
                              </w:r>
                            </w:p>
                            <w:p w14:paraId="388E9B05" w14:textId="77777777" w:rsidR="00D221EA" w:rsidRDefault="00D221EA" w:rsidP="00D221EA">
                              <w:pPr>
                                <w:spacing w:after="0"/>
                                <w:rPr>
                                  <w:color w:val="000000" w:themeColor="dark1"/>
                                  <w:kern w:val="24"/>
                                </w:rPr>
                              </w:pPr>
                              <w:r>
                                <w:rPr>
                                  <w:color w:val="000000" w:themeColor="dark1"/>
                                  <w:kern w:val="24"/>
                                </w:rPr>
                                <w:t>└── Output: Worker experiences, decoupling, and grassroots accountability</w:t>
                              </w:r>
                            </w:p>
                          </w:txbxContent>
                        </wps:txbx>
                        <wps:bodyPr wrap="square" rtlCol="0">
                          <a:spAutoFit/>
                        </wps:bodyPr>
                      </wps:wsp>
                      <wps:wsp>
                        <wps:cNvPr id="144967215" name="TextBox 8">
                          <a:extLst>
                            <a:ext uri="{FF2B5EF4-FFF2-40B4-BE49-F238E27FC236}">
                              <a16:creationId xmlns:a16="http://schemas.microsoft.com/office/drawing/2014/main" id="{637735E9-392E-C3A5-8901-15B41A4F443E}"/>
                            </a:ext>
                          </a:extLst>
                        </wps:cNvPr>
                        <wps:cNvSpPr txBox="1"/>
                        <wps:spPr>
                          <a:xfrm>
                            <a:off x="0" y="4253242"/>
                            <a:ext cx="6025515" cy="719455"/>
                          </a:xfrm>
                          <a:prstGeom prst="rect">
                            <a:avLst/>
                          </a:prstGeom>
                        </wps:spPr>
                        <wps:style>
                          <a:lnRef idx="2">
                            <a:schemeClr val="dk1"/>
                          </a:lnRef>
                          <a:fillRef idx="1">
                            <a:schemeClr val="lt1"/>
                          </a:fillRef>
                          <a:effectRef idx="0">
                            <a:schemeClr val="dk1"/>
                          </a:effectRef>
                          <a:fontRef idx="minor">
                            <a:schemeClr val="dk1"/>
                          </a:fontRef>
                        </wps:style>
                        <wps:txbx>
                          <w:txbxContent>
                            <w:p w14:paraId="51DDED13" w14:textId="3519063E" w:rsidR="00D221EA" w:rsidRDefault="00D221EA" w:rsidP="00D221EA">
                              <w:pPr>
                                <w:rPr>
                                  <w:b/>
                                  <w:color w:val="000000" w:themeColor="dark1"/>
                                  <w:kern w:val="24"/>
                                  <w14:ligatures w14:val="none"/>
                                </w:rPr>
                              </w:pPr>
                              <w:r>
                                <w:rPr>
                                  <w:b/>
                                  <w:color w:val="000000" w:themeColor="dark1"/>
                                  <w:kern w:val="24"/>
                                </w:rPr>
                                <w:t xml:space="preserve">Integration </w:t>
                              </w:r>
                              <w:r w:rsidR="00C0603E">
                                <w:rPr>
                                  <w:b/>
                                  <w:color w:val="000000" w:themeColor="dark1"/>
                                  <w:kern w:val="24"/>
                                </w:rPr>
                                <w:t>and</w:t>
                              </w:r>
                              <w:r>
                                <w:rPr>
                                  <w:b/>
                                  <w:color w:val="000000" w:themeColor="dark1"/>
                                  <w:kern w:val="24"/>
                                </w:rPr>
                                <w:t xml:space="preserve"> Meta-Inference</w:t>
                              </w:r>
                            </w:p>
                            <w:p w14:paraId="49DCDF13" w14:textId="77777777" w:rsidR="00D221EA" w:rsidRDefault="00D221EA" w:rsidP="00D221EA">
                              <w:pPr>
                                <w:rPr>
                                  <w:color w:val="000000" w:themeColor="dark1"/>
                                  <w:kern w:val="24"/>
                                </w:rPr>
                              </w:pPr>
                              <w:r>
                                <w:rPr>
                                  <w:color w:val="000000" w:themeColor="dark1"/>
                                  <w:kern w:val="24"/>
                                </w:rPr>
                                <w:t>└── Synthesised multi-level understanding of CMS as an institutional governance failure</w:t>
                              </w:r>
                            </w:p>
                          </w:txbxContent>
                        </wps:txbx>
                        <wps:bodyPr wrap="square" rtlCol="0">
                          <a:spAutoFit/>
                        </wps:bodyPr>
                      </wps:wsp>
                      <wps:wsp>
                        <wps:cNvPr id="1843880607" name="Straight Arrow Connector 1843880607">
                          <a:extLst>
                            <a:ext uri="{FF2B5EF4-FFF2-40B4-BE49-F238E27FC236}">
                              <a16:creationId xmlns:a16="http://schemas.microsoft.com/office/drawing/2014/main" id="{6083A573-2665-13DE-0579-FC18DFAB74F0}"/>
                            </a:ext>
                          </a:extLst>
                        </wps:cNvPr>
                        <wps:cNvCnPr>
                          <a:cxnSpLocks/>
                          <a:stCxn id="1119739817" idx="2"/>
                        </wps:cNvCnPr>
                        <wps:spPr>
                          <a:xfrm>
                            <a:off x="3012585" y="1092267"/>
                            <a:ext cx="363" cy="305610"/>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883079761" name="Straight Arrow Connector 883079761">
                          <a:extLst>
                            <a:ext uri="{FF2B5EF4-FFF2-40B4-BE49-F238E27FC236}">
                              <a16:creationId xmlns:a16="http://schemas.microsoft.com/office/drawing/2014/main" id="{BD572736-8B48-BE77-5C22-3A40127FDA64}"/>
                            </a:ext>
                          </a:extLst>
                        </wps:cNvPr>
                        <wps:cNvCnPr>
                          <a:cxnSpLocks/>
                        </wps:cNvCnPr>
                        <wps:spPr>
                          <a:xfrm>
                            <a:off x="3012948" y="2554272"/>
                            <a:ext cx="0" cy="383648"/>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532434128" name="Straight Arrow Connector 1532434128">
                          <a:extLst>
                            <a:ext uri="{FF2B5EF4-FFF2-40B4-BE49-F238E27FC236}">
                              <a16:creationId xmlns:a16="http://schemas.microsoft.com/office/drawing/2014/main" id="{10ED1AF5-F299-B8B0-D38D-C2D6FC1FD303}"/>
                            </a:ext>
                          </a:extLst>
                        </wps:cNvPr>
                        <wps:cNvCnPr/>
                        <wps:spPr>
                          <a:xfrm>
                            <a:off x="3012947" y="3844396"/>
                            <a:ext cx="0" cy="417436"/>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wps:wsp>
                        <wps:cNvPr id="1891694033" name="TextBox 22">
                          <a:extLst>
                            <a:ext uri="{FF2B5EF4-FFF2-40B4-BE49-F238E27FC236}">
                              <a16:creationId xmlns:a16="http://schemas.microsoft.com/office/drawing/2014/main" id="{1421BCC6-84FE-7641-3072-466F28498D72}"/>
                            </a:ext>
                          </a:extLst>
                        </wps:cNvPr>
                        <wps:cNvSpPr txBox="1"/>
                        <wps:spPr>
                          <a:xfrm>
                            <a:off x="3169304" y="1092409"/>
                            <a:ext cx="836930" cy="396240"/>
                          </a:xfrm>
                          <a:prstGeom prst="rect">
                            <a:avLst/>
                          </a:prstGeom>
                          <a:noFill/>
                        </wps:spPr>
                        <wps:txbx>
                          <w:txbxContent>
                            <w:p w14:paraId="3966A854" w14:textId="77777777" w:rsidR="00D221EA" w:rsidRDefault="00D221EA" w:rsidP="00D221EA">
                              <w:pPr>
                                <w:rPr>
                                  <w:color w:val="000000" w:themeColor="text1"/>
                                  <w:kern w:val="24"/>
                                  <w14:ligatures w14:val="none"/>
                                </w:rPr>
                              </w:pPr>
                              <w:r>
                                <w:rPr>
                                  <w:color w:val="000000" w:themeColor="text1"/>
                                  <w:kern w:val="24"/>
                                </w:rPr>
                                <w:t>informs</w:t>
                              </w:r>
                            </w:p>
                          </w:txbxContent>
                        </wps:txbx>
                        <wps:bodyPr wrap="square">
                          <a:spAutoFit/>
                        </wps:bodyPr>
                      </wps:wsp>
                      <wps:wsp>
                        <wps:cNvPr id="360394230" name="TextBox 23">
                          <a:extLst>
                            <a:ext uri="{FF2B5EF4-FFF2-40B4-BE49-F238E27FC236}">
                              <a16:creationId xmlns:a16="http://schemas.microsoft.com/office/drawing/2014/main" id="{E3BA5A8E-F5D4-7519-259E-1798503256DB}"/>
                            </a:ext>
                          </a:extLst>
                        </wps:cNvPr>
                        <wps:cNvSpPr txBox="1"/>
                        <wps:spPr>
                          <a:xfrm>
                            <a:off x="3109539" y="2614926"/>
                            <a:ext cx="836930" cy="253781"/>
                          </a:xfrm>
                          <a:prstGeom prst="rect">
                            <a:avLst/>
                          </a:prstGeom>
                          <a:noFill/>
                        </wps:spPr>
                        <wps:txbx>
                          <w:txbxContent>
                            <w:p w14:paraId="325482D9" w14:textId="77777777" w:rsidR="00D221EA" w:rsidRDefault="00D221EA" w:rsidP="00D221EA">
                              <w:pPr>
                                <w:rPr>
                                  <w:color w:val="000000" w:themeColor="text1"/>
                                  <w:kern w:val="24"/>
                                  <w14:ligatures w14:val="none"/>
                                </w:rPr>
                              </w:pPr>
                              <w:r>
                                <w:rPr>
                                  <w:color w:val="000000" w:themeColor="text1"/>
                                  <w:kern w:val="24"/>
                                </w:rPr>
                                <w:t>informs</w:t>
                              </w:r>
                            </w:p>
                          </w:txbxContent>
                        </wps:txbx>
                        <wps:bodyPr wrap="square">
                          <a:noAutofit/>
                        </wps:bodyPr>
                      </wps:wsp>
                    </wpg:wgp>
                  </a:graphicData>
                </a:graphic>
                <wp14:sizeRelV relativeFrom="margin">
                  <wp14:pctHeight>0</wp14:pctHeight>
                </wp14:sizeRelV>
              </wp:anchor>
            </w:drawing>
          </mc:Choice>
          <mc:Fallback>
            <w:pict>
              <v:group w14:anchorId="04725FC1" id="Group 42" o:spid="_x0000_s1121" style="position:absolute;left:0;text-align:left;margin-left:2.15pt;margin-top:19.9pt;width:474.45pt;height:391.55pt;z-index:251658370;mso-height-relative:margin" coordorigin="" coordsize="60255,497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">
                <v:shape id="_x0000_s1122" type="#_x0000_t202" style="position:absolute;left:7269;width:45713;height:109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" fillcolor="white [3201]" strokecolor="black [3200]" strokeweight="1.5pt">
                  <v:textbox>
                    <w:txbxContent>
                      <w:p w14:paraId="2F533B5B" w14:textId="77777777" w:rsidR="00D221EA" w:rsidRDefault="00D221EA" w:rsidP="00D221EA">
                        <w:pPr>
                          <w:spacing w:after="0"/>
                          <w:rPr>
                            <w:b/>
                            <w:color w:val="000000" w:themeColor="dark1"/>
                            <w:kern w:val="24"/>
                            <w14:ligatures w14:val="none"/>
                          </w:rPr>
                        </w:pPr>
                        <w:r>
                          <w:rPr>
                            <w:b/>
                            <w:color w:val="000000" w:themeColor="dark1"/>
                            <w:kern w:val="24"/>
                          </w:rPr>
                          <w:t>Phase I – Macro-Level Quantitative Analysis</w:t>
                        </w:r>
                      </w:p>
                      <w:p w14:paraId="2718E215" w14:textId="77777777" w:rsidR="00D221EA" w:rsidRDefault="00D221EA" w:rsidP="00D221EA">
                        <w:pPr>
                          <w:spacing w:after="0"/>
                          <w:rPr>
                            <w:color w:val="000000" w:themeColor="dark1"/>
                            <w:kern w:val="24"/>
                          </w:rPr>
                        </w:pPr>
                        <w:r>
                          <w:rPr>
                            <w:color w:val="000000" w:themeColor="dark1"/>
                            <w:kern w:val="24"/>
                          </w:rPr>
                          <w:t>│</w:t>
                        </w:r>
                      </w:p>
                      <w:p w14:paraId="00A6192C" w14:textId="77777777" w:rsidR="00D221EA" w:rsidRDefault="00D221EA" w:rsidP="00D221EA">
                        <w:pPr>
                          <w:spacing w:after="0"/>
                          <w:rPr>
                            <w:color w:val="000000" w:themeColor="dark1"/>
                            <w:kern w:val="24"/>
                          </w:rPr>
                        </w:pPr>
                        <w:r>
                          <w:rPr>
                            <w:color w:val="000000" w:themeColor="dark1"/>
                            <w:kern w:val="24"/>
                          </w:rPr>
                          <w:t>├── Data: WGI, HDI, SDGI, GSI (Institutional datasets)</w:t>
                        </w:r>
                      </w:p>
                      <w:p w14:paraId="7F2062C8" w14:textId="77777777" w:rsidR="00D221EA" w:rsidRDefault="00D221EA" w:rsidP="00D221EA">
                        <w:pPr>
                          <w:spacing w:after="0"/>
                          <w:rPr>
                            <w:color w:val="000000" w:themeColor="dark1"/>
                            <w:kern w:val="24"/>
                          </w:rPr>
                        </w:pPr>
                        <w:r>
                          <w:rPr>
                            <w:color w:val="000000" w:themeColor="dark1"/>
                            <w:kern w:val="24"/>
                          </w:rPr>
                          <w:t>├── Analysis: Panel regression (FE/RE, IV-2SLS)</w:t>
                        </w:r>
                      </w:p>
                      <w:p w14:paraId="187A7C89" w14:textId="77777777" w:rsidR="00D221EA" w:rsidRDefault="00D221EA" w:rsidP="00D221EA">
                        <w:pPr>
                          <w:spacing w:after="0"/>
                          <w:rPr>
                            <w:color w:val="000000" w:themeColor="dark1"/>
                            <w:kern w:val="24"/>
                          </w:rPr>
                        </w:pPr>
                        <w:r>
                          <w:rPr>
                            <w:color w:val="000000" w:themeColor="dark1"/>
                            <w:kern w:val="24"/>
                          </w:rPr>
                          <w:t>└── Output: Global governance drivers of MS outcomes</w:t>
                        </w:r>
                      </w:p>
                    </w:txbxContent>
                  </v:textbox>
                </v:shape>
                <v:shape id="TextBox 5" o:spid="_x0000_s1123" type="#_x0000_t202" style="position:absolute;left:2408;top:14133;width:54426;height:11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" fillcolor="white [3201]" strokecolor="black [3200]" strokeweight="1.5pt">
                  <v:textbox style="mso-fit-shape-to-text:t">
                    <w:txbxContent>
                      <w:p w14:paraId="2E0845C0" w14:textId="77777777" w:rsidR="00D221EA" w:rsidRDefault="00D221EA" w:rsidP="00D221EA">
                        <w:pPr>
                          <w:spacing w:after="0"/>
                          <w:rPr>
                            <w:b/>
                            <w:color w:val="000000" w:themeColor="dark1"/>
                            <w:kern w:val="24"/>
                            <w14:ligatures w14:val="none"/>
                          </w:rPr>
                        </w:pPr>
                        <w:r>
                          <w:rPr>
                            <w:b/>
                            <w:color w:val="000000" w:themeColor="dark1"/>
                            <w:kern w:val="24"/>
                          </w:rPr>
                          <w:t>Phase II – Meso-Level Corporate Analysis</w:t>
                        </w:r>
                      </w:p>
                      <w:p w14:paraId="0E689026" w14:textId="77777777" w:rsidR="00D221EA" w:rsidRDefault="00D221EA" w:rsidP="00D221EA">
                        <w:pPr>
                          <w:spacing w:after="0"/>
                          <w:rPr>
                            <w:color w:val="000000" w:themeColor="dark1"/>
                            <w:kern w:val="24"/>
                          </w:rPr>
                        </w:pPr>
                        <w:r>
                          <w:rPr>
                            <w:color w:val="000000" w:themeColor="dark1"/>
                            <w:kern w:val="24"/>
                          </w:rPr>
                          <w:t>│</w:t>
                        </w:r>
                      </w:p>
                      <w:p w14:paraId="5C6EBA86" w14:textId="77777777" w:rsidR="00D221EA" w:rsidRDefault="00D221EA" w:rsidP="00D221EA">
                        <w:pPr>
                          <w:spacing w:after="0"/>
                          <w:rPr>
                            <w:color w:val="000000" w:themeColor="dark1"/>
                            <w:kern w:val="24"/>
                          </w:rPr>
                        </w:pPr>
                        <w:r>
                          <w:rPr>
                            <w:color w:val="000000" w:themeColor="dark1"/>
                            <w:kern w:val="24"/>
                          </w:rPr>
                          <w:t>├── Quantitative Strand: G-500 dataset (SGIs, ACMS index)</w:t>
                        </w:r>
                      </w:p>
                      <w:p w14:paraId="1EF693C7" w14:textId="77777777" w:rsidR="00D221EA" w:rsidRDefault="00D221EA" w:rsidP="00D221EA">
                        <w:pPr>
                          <w:spacing w:after="0"/>
                          <w:rPr>
                            <w:color w:val="000000" w:themeColor="dark1"/>
                            <w:kern w:val="24"/>
                          </w:rPr>
                        </w:pPr>
                        <w:r>
                          <w:rPr>
                            <w:color w:val="000000" w:themeColor="dark1"/>
                            <w:kern w:val="24"/>
                          </w:rPr>
                          <w:t>├── Qualitative Strand (Extension): Disclosure analysis (Nike, Dior, Inditex)</w:t>
                        </w:r>
                      </w:p>
                      <w:p w14:paraId="748FFEC0" w14:textId="77777777" w:rsidR="00D221EA" w:rsidRDefault="00D221EA" w:rsidP="00D221EA">
                        <w:pPr>
                          <w:spacing w:after="0"/>
                          <w:rPr>
                            <w:color w:val="000000" w:themeColor="dark1"/>
                            <w:kern w:val="24"/>
                          </w:rPr>
                        </w:pPr>
                        <w:r>
                          <w:rPr>
                            <w:color w:val="000000" w:themeColor="dark1"/>
                            <w:kern w:val="24"/>
                          </w:rPr>
                          <w:t>└── Output: Corporate sustainability practices and symbolic accountability</w:t>
                        </w:r>
                      </w:p>
                    </w:txbxContent>
                  </v:textbox>
                </v:shape>
                <v:shape id="TextBox 6" o:spid="_x0000_s1124" type="#_x0000_t202" style="position:absolute;left:2408;top:29378;width:54426;height:92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" fillcolor="white [3201]" strokecolor="black [3200]" strokeweight="1.5pt">
                  <v:textbox style="mso-fit-shape-to-text:t">
                    <w:txbxContent>
                      <w:p w14:paraId="532CF433" w14:textId="77777777" w:rsidR="00D221EA" w:rsidRDefault="00D221EA" w:rsidP="00D221EA">
                        <w:pPr>
                          <w:spacing w:after="0"/>
                          <w:rPr>
                            <w:b/>
                            <w:color w:val="000000" w:themeColor="dark1"/>
                            <w:kern w:val="24"/>
                            <w14:ligatures w14:val="none"/>
                          </w:rPr>
                        </w:pPr>
                        <w:r>
                          <w:rPr>
                            <w:b/>
                            <w:color w:val="000000" w:themeColor="dark1"/>
                            <w:kern w:val="24"/>
                          </w:rPr>
                          <w:t>Phase III – Micro-Level Qualitative Analysis</w:t>
                        </w:r>
                      </w:p>
                      <w:p w14:paraId="7EA12A75" w14:textId="77777777" w:rsidR="00D221EA" w:rsidRDefault="00D221EA" w:rsidP="00D221EA">
                        <w:pPr>
                          <w:spacing w:after="0"/>
                          <w:rPr>
                            <w:color w:val="000000" w:themeColor="dark1"/>
                            <w:kern w:val="24"/>
                          </w:rPr>
                        </w:pPr>
                        <w:r>
                          <w:rPr>
                            <w:color w:val="000000" w:themeColor="dark1"/>
                            <w:kern w:val="24"/>
                          </w:rPr>
                          <w:t>├── Data: 52 Interviews (Sri Lanka A&amp;TI)</w:t>
                        </w:r>
                      </w:p>
                      <w:p w14:paraId="07E6B3DB" w14:textId="77777777" w:rsidR="00D221EA" w:rsidRDefault="00D221EA" w:rsidP="00D221EA">
                        <w:pPr>
                          <w:spacing w:after="0"/>
                          <w:rPr>
                            <w:color w:val="000000" w:themeColor="dark1"/>
                            <w:kern w:val="24"/>
                          </w:rPr>
                        </w:pPr>
                        <w:r>
                          <w:rPr>
                            <w:color w:val="000000" w:themeColor="dark1"/>
                            <w:kern w:val="24"/>
                          </w:rPr>
                          <w:t>├── Analysis: Thematic coding (NVivo, NIT framework)</w:t>
                        </w:r>
                      </w:p>
                      <w:p w14:paraId="388E9B05" w14:textId="77777777" w:rsidR="00D221EA" w:rsidRDefault="00D221EA" w:rsidP="00D221EA">
                        <w:pPr>
                          <w:spacing w:after="0"/>
                          <w:rPr>
                            <w:color w:val="000000" w:themeColor="dark1"/>
                            <w:kern w:val="24"/>
                          </w:rPr>
                        </w:pPr>
                        <w:r>
                          <w:rPr>
                            <w:color w:val="000000" w:themeColor="dark1"/>
                            <w:kern w:val="24"/>
                          </w:rPr>
                          <w:t>└── Output: Worker experiences, decoupling, and grassroots accountability</w:t>
                        </w:r>
                      </w:p>
                    </w:txbxContent>
                  </v:textbox>
                </v:shape>
                <v:shape id="TextBox 8" o:spid="_x0000_s1125" type="#_x0000_t202" style="position:absolute;top:42532;width:60255;height:71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" fillcolor="white [3201]" strokecolor="black [3200]" strokeweight="1.5pt">
                  <v:textbox style="mso-fit-shape-to-text:t">
                    <w:txbxContent>
                      <w:p w14:paraId="51DDED13" w14:textId="3519063E" w:rsidR="00D221EA" w:rsidRDefault="00D221EA" w:rsidP="00D221EA">
                        <w:pPr>
                          <w:rPr>
                            <w:b/>
                            <w:color w:val="000000" w:themeColor="dark1"/>
                            <w:kern w:val="24"/>
                            <w14:ligatures w14:val="none"/>
                          </w:rPr>
                        </w:pPr>
                        <w:r>
                          <w:rPr>
                            <w:b/>
                            <w:color w:val="000000" w:themeColor="dark1"/>
                            <w:kern w:val="24"/>
                          </w:rPr>
                          <w:t xml:space="preserve">Integration </w:t>
                        </w:r>
                        <w:r w:rsidR="00C0603E">
                          <w:rPr>
                            <w:b/>
                            <w:color w:val="000000" w:themeColor="dark1"/>
                            <w:kern w:val="24"/>
                          </w:rPr>
                          <w:t>and</w:t>
                        </w:r>
                        <w:r>
                          <w:rPr>
                            <w:b/>
                            <w:color w:val="000000" w:themeColor="dark1"/>
                            <w:kern w:val="24"/>
                          </w:rPr>
                          <w:t xml:space="preserve"> Meta-Inference</w:t>
                        </w:r>
                      </w:p>
                      <w:p w14:paraId="49DCDF13" w14:textId="77777777" w:rsidR="00D221EA" w:rsidRDefault="00D221EA" w:rsidP="00D221EA">
                        <w:pPr>
                          <w:rPr>
                            <w:color w:val="000000" w:themeColor="dark1"/>
                            <w:kern w:val="24"/>
                          </w:rPr>
                        </w:pPr>
                        <w:r>
                          <w:rPr>
                            <w:color w:val="000000" w:themeColor="dark1"/>
                            <w:kern w:val="24"/>
                          </w:rPr>
                          <w:t>└── Synthesised multi-level understanding of CMS as an institutional governance failure</w:t>
                        </w:r>
                      </w:p>
                    </w:txbxContent>
                  </v:textbox>
                </v:shape>
                <v:shape id="Straight Arrow Connector 1843880607" o:spid="_x0000_s1126" type="#_x0000_t32" style="position:absolute;left:30125;top:10922;width:4;height:305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" strokecolor="black [3200]" strokeweight="1.5pt">
                  <v:stroke endarrow="block" joinstyle="miter"/>
                  <o:lock v:ext="edit" shapetype="f"/>
                </v:shape>
                <v:shape id="Straight Arrow Connector 883079761" o:spid="_x0000_s1127" type="#_x0000_t32" style="position:absolute;left:30129;top:25542;width:0;height:383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" strokecolor="black [3200]" strokeweight="1.5pt">
                  <v:stroke endarrow="block" joinstyle="miter"/>
                  <o:lock v:ext="edit" shapetype="f"/>
                </v:shape>
                <v:shape id="Straight Arrow Connector 1532434128" o:spid="_x0000_s1128" type="#_x0000_t32" style="position:absolute;left:30129;top:38443;width:0;height:417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" strokecolor="black [3200]" strokeweight="1.5pt">
                  <v:stroke endarrow="block" joinstyle="miter"/>
                </v:shape>
                <v:shape id="TextBox 22" o:spid="_x0000_s1129" type="#_x0000_t202" style="position:absolute;left:31693;top:10924;width:8369;height:39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" filled="f" stroked="f">
                  <v:textbox style="mso-fit-shape-to-text:t">
                    <w:txbxContent>
                      <w:p w14:paraId="3966A854" w14:textId="77777777" w:rsidR="00D221EA" w:rsidRDefault="00D221EA" w:rsidP="00D221EA">
                        <w:pPr>
                          <w:rPr>
                            <w:color w:val="000000" w:themeColor="text1"/>
                            <w:kern w:val="24"/>
                            <w14:ligatures w14:val="none"/>
                          </w:rPr>
                        </w:pPr>
                        <w:r>
                          <w:rPr>
                            <w:color w:val="000000" w:themeColor="text1"/>
                            <w:kern w:val="24"/>
                          </w:rPr>
                          <w:t>informs</w:t>
                        </w:r>
                      </w:p>
                    </w:txbxContent>
                  </v:textbox>
                </v:shape>
                <v:shape id="TextBox 23" o:spid="_x0000_s1130" type="#_x0000_t202" style="position:absolute;left:31095;top:26149;width:8369;height:25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" filled="f" stroked="f">
                  <v:textbox>
                    <w:txbxContent>
                      <w:p w14:paraId="325482D9" w14:textId="77777777" w:rsidR="00D221EA" w:rsidRDefault="00D221EA" w:rsidP="00D221EA">
                        <w:pPr>
                          <w:rPr>
                            <w:color w:val="000000" w:themeColor="text1"/>
                            <w:kern w:val="24"/>
                            <w14:ligatures w14:val="none"/>
                          </w:rPr>
                        </w:pPr>
                        <w:r>
                          <w:rPr>
                            <w:color w:val="000000" w:themeColor="text1"/>
                            <w:kern w:val="24"/>
                          </w:rPr>
                          <w:t>informs</w:t>
                        </w:r>
                      </w:p>
                    </w:txbxContent>
                  </v:textbox>
                </v:shape>
              </v:group>
            </w:pict>
          </mc:Fallback>
        </mc:AlternateContent>
      </w:r>
    </w:p>
    <w:p w14:paraId="11E81233" w14:textId="77777777" w:rsidR="00D221EA" w:rsidRPr="0053182F" w:rsidRDefault="00D221EA" w:rsidP="00D221EA">
      <w:pPr>
        <w:spacing w:after="0" w:line="480" w:lineRule="auto"/>
        <w:jc w:val="both"/>
      </w:pPr>
    </w:p>
    <w:p w14:paraId="0F0EDDF6" w14:textId="77777777" w:rsidR="00D221EA" w:rsidRPr="0053182F" w:rsidRDefault="00D221EA" w:rsidP="00D221EA">
      <w:pPr>
        <w:spacing w:after="0" w:line="480" w:lineRule="auto"/>
        <w:jc w:val="both"/>
      </w:pPr>
    </w:p>
    <w:p w14:paraId="4865D905" w14:textId="77777777" w:rsidR="00D221EA" w:rsidRPr="0053182F" w:rsidRDefault="00D221EA" w:rsidP="00D221EA">
      <w:pPr>
        <w:spacing w:after="0" w:line="480" w:lineRule="auto"/>
        <w:jc w:val="both"/>
      </w:pPr>
    </w:p>
    <w:p w14:paraId="06436691" w14:textId="77777777" w:rsidR="00D221EA" w:rsidRPr="0053182F" w:rsidRDefault="00D221EA" w:rsidP="00D221EA">
      <w:pPr>
        <w:spacing w:after="0" w:line="480" w:lineRule="auto"/>
        <w:jc w:val="both"/>
      </w:pPr>
    </w:p>
    <w:p w14:paraId="62C282AB" w14:textId="77777777" w:rsidR="00D221EA" w:rsidRPr="0053182F" w:rsidRDefault="00D221EA" w:rsidP="00D221EA">
      <w:pPr>
        <w:spacing w:after="0" w:line="480" w:lineRule="auto"/>
        <w:jc w:val="both"/>
      </w:pPr>
    </w:p>
    <w:p w14:paraId="5B1BCA96" w14:textId="77777777" w:rsidR="00D221EA" w:rsidRPr="0053182F" w:rsidRDefault="00D221EA" w:rsidP="00D221EA">
      <w:pPr>
        <w:spacing w:after="0" w:line="480" w:lineRule="auto"/>
        <w:jc w:val="both"/>
      </w:pPr>
    </w:p>
    <w:p w14:paraId="5437CEFB" w14:textId="77777777" w:rsidR="00D221EA" w:rsidRPr="0053182F" w:rsidRDefault="00D221EA" w:rsidP="00D221EA">
      <w:pPr>
        <w:spacing w:after="0" w:line="480" w:lineRule="auto"/>
        <w:jc w:val="both"/>
      </w:pPr>
    </w:p>
    <w:p w14:paraId="7C0C6200" w14:textId="77777777" w:rsidR="00D221EA" w:rsidRPr="0053182F" w:rsidRDefault="00D221EA" w:rsidP="00D221EA">
      <w:pPr>
        <w:spacing w:after="0" w:line="480" w:lineRule="auto"/>
        <w:jc w:val="both"/>
      </w:pPr>
    </w:p>
    <w:p w14:paraId="02188CA5" w14:textId="77777777" w:rsidR="00D221EA" w:rsidRPr="0053182F" w:rsidRDefault="00D221EA" w:rsidP="00D221EA">
      <w:pPr>
        <w:spacing w:after="0" w:line="480" w:lineRule="auto"/>
        <w:jc w:val="both"/>
      </w:pPr>
    </w:p>
    <w:p w14:paraId="02D84620" w14:textId="77777777" w:rsidR="00D221EA" w:rsidRPr="0053182F" w:rsidRDefault="00D221EA" w:rsidP="00D221EA">
      <w:pPr>
        <w:spacing w:after="0" w:line="480" w:lineRule="auto"/>
        <w:jc w:val="both"/>
      </w:pPr>
    </w:p>
    <w:p w14:paraId="3E06E53C" w14:textId="77777777" w:rsidR="00D221EA" w:rsidRPr="0053182F" w:rsidRDefault="00D221EA" w:rsidP="00D221EA">
      <w:pPr>
        <w:spacing w:after="0" w:line="480" w:lineRule="auto"/>
        <w:jc w:val="both"/>
      </w:pPr>
    </w:p>
    <w:p w14:paraId="299514B2" w14:textId="77777777" w:rsidR="00D221EA" w:rsidRPr="0053182F" w:rsidRDefault="00D221EA" w:rsidP="00D221EA">
      <w:pPr>
        <w:spacing w:after="0" w:line="480" w:lineRule="auto"/>
        <w:jc w:val="both"/>
      </w:pPr>
    </w:p>
    <w:p w14:paraId="5747C40F" w14:textId="77777777" w:rsidR="00D221EA" w:rsidRPr="0053182F" w:rsidRDefault="00D221EA" w:rsidP="00D221EA">
      <w:pPr>
        <w:spacing w:after="0" w:line="480" w:lineRule="auto"/>
        <w:jc w:val="both"/>
      </w:pPr>
      <w:r w:rsidRPr="0053182F">
        <w:rPr>
          <w:rStyle w:val="Strong"/>
        </w:rPr>
        <w:t xml:space="preserve">Figure 6.2: </w:t>
      </w:r>
      <w:r w:rsidRPr="0053182F">
        <w:rPr>
          <w:rStyle w:val="Strong"/>
          <w:b w:val="0"/>
          <w:bCs w:val="0"/>
        </w:rPr>
        <w:t xml:space="preserve">Three-Phase </w:t>
      </w:r>
      <w:r w:rsidRPr="0053182F">
        <w:rPr>
          <w:rFonts w:eastAsia="Palatino Linotype"/>
        </w:rPr>
        <w:t xml:space="preserve">Explanatory sequential design </w:t>
      </w:r>
      <w:r w:rsidRPr="0053182F">
        <w:rPr>
          <w:rStyle w:val="Strong"/>
          <w:b w:val="0"/>
          <w:bCs w:val="0"/>
        </w:rPr>
        <w:t>(with Meso-Level Extension)</w:t>
      </w:r>
      <w:r w:rsidRPr="0053182F">
        <w:t xml:space="preserve"> </w:t>
      </w:r>
    </w:p>
    <w:p w14:paraId="773953A7" w14:textId="77777777" w:rsidR="00D221EA" w:rsidRPr="0053182F" w:rsidRDefault="00D221EA" w:rsidP="00D221EA">
      <w:pPr>
        <w:spacing w:after="0" w:line="480" w:lineRule="auto"/>
        <w:jc w:val="both"/>
      </w:pPr>
    </w:p>
    <w:p w14:paraId="6D4B368F" w14:textId="668BC3D0" w:rsidR="00D221EA" w:rsidRPr="0053182F" w:rsidRDefault="00D221EA" w:rsidP="00473D35">
      <w:pPr>
        <w:jc w:val="center"/>
      </w:pPr>
      <w:r w:rsidRPr="0053182F">
        <w:rPr>
          <w:rStyle w:val="Strong"/>
          <w:color w:val="auto"/>
        </w:rPr>
        <w:t xml:space="preserve">Figure 6.2: </w:t>
      </w:r>
      <w:r w:rsidRPr="0053182F">
        <w:rPr>
          <w:rStyle w:val="Strong"/>
          <w:b w:val="0"/>
          <w:bCs w:val="0"/>
          <w:color w:val="auto"/>
        </w:rPr>
        <w:t xml:space="preserve">Three-Phase </w:t>
      </w:r>
      <w:r w:rsidRPr="0053182F">
        <w:rPr>
          <w:rFonts w:eastAsia="Palatino Linotype"/>
        </w:rPr>
        <w:t xml:space="preserve">Explanatory sequential design </w:t>
      </w:r>
      <w:r w:rsidRPr="0053182F">
        <w:rPr>
          <w:rStyle w:val="Strong"/>
          <w:b w:val="0"/>
          <w:bCs w:val="0"/>
          <w:color w:val="auto"/>
        </w:rPr>
        <w:t>(with Meso-Level Extension)</w:t>
      </w:r>
    </w:p>
    <w:p w14:paraId="3F3D663E" w14:textId="6906EA9E" w:rsidR="008503E0" w:rsidRPr="0053182F" w:rsidRDefault="008503E0" w:rsidP="00473D35">
      <w:pPr>
        <w:jc w:val="center"/>
      </w:pPr>
      <w:r w:rsidRPr="0053182F">
        <w:rPr>
          <w:b/>
          <w:bCs/>
        </w:rPr>
        <w:t>Source:</w:t>
      </w:r>
      <w:r w:rsidRPr="0053182F">
        <w:t xml:space="preserve"> Author’s own work</w:t>
      </w:r>
    </w:p>
    <w:p w14:paraId="797906C1" w14:textId="77777777" w:rsidR="00D221EA" w:rsidRPr="0053182F" w:rsidRDefault="00D221EA" w:rsidP="00D221EA">
      <w:pPr>
        <w:pStyle w:val="Heading3"/>
      </w:pPr>
      <w:bookmarkStart w:id="264" w:name="_Toc159763554"/>
      <w:bookmarkStart w:id="265" w:name="_Toc215651863"/>
      <w:bookmarkStart w:id="266" w:name="_Toc218357153"/>
      <w:r w:rsidRPr="0053182F">
        <w:t>6.7.1. Triangulation</w:t>
      </w:r>
      <w:bookmarkEnd w:id="264"/>
      <w:bookmarkEnd w:id="265"/>
      <w:bookmarkEnd w:id="266"/>
    </w:p>
    <w:p w14:paraId="33050F3A" w14:textId="740A5314" w:rsidR="00D221EA" w:rsidRPr="0053182F" w:rsidRDefault="00D221EA" w:rsidP="00D221EA">
      <w:pPr>
        <w:spacing w:after="0" w:line="480" w:lineRule="auto"/>
        <w:ind w:firstLine="720"/>
        <w:jc w:val="both"/>
        <w:rPr>
          <w:rFonts w:eastAsia="Palatino Linotype"/>
          <w:color w:val="auto"/>
        </w:rPr>
      </w:pPr>
      <w:r w:rsidRPr="0053182F">
        <w:rPr>
          <w:rFonts w:eastAsia="Palatino Linotype"/>
          <w:color w:val="auto"/>
        </w:rPr>
        <w:t xml:space="preserve">Triangulation in the context of mixed methods research refers to the practice of using multiple sources of data, methods, theories, or researchers to confirm or corroborate research findings </w:t>
      </w:r>
      <w:sdt>
        <w:sdtPr>
          <w:rPr>
            <w:rFonts w:eastAsia="Palatino Linotype"/>
          </w:rPr>
          <w:tag w:val="MENDELEY_CITATION_v3_eyJjaXRhdGlvbklEIjoiTUVOREVMRVlfQ0lUQVRJT05fYmZlNDE5M2ItZDkxZS00YjkyLTgyYWEtNWZhNDQzODFjMzY5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
          <w:id w:val="1816063232"/>
        </w:sdtPr>
        <w:sdtContent>
          <w:r w:rsidR="00CC1788" w:rsidRPr="0053182F">
            <w:rPr>
              <w:rFonts w:eastAsia="Palatino Linotype"/>
            </w:rPr>
            <w:t>(Collis and Hussey, 2021)</w:t>
          </w:r>
        </w:sdtContent>
      </w:sdt>
      <w:r w:rsidRPr="0053182F">
        <w:rPr>
          <w:rFonts w:eastAsia="Palatino Linotype"/>
          <w:color w:val="auto"/>
        </w:rPr>
        <w:t xml:space="preserve">. It is based on the idea that integrating diverse perspectives and approaches can enhance the validity and reliability of researchers’ findings, providing a more comprehensive understanding of MS practices. In mixed-methods research, triangulation typically involves integrating qualitative and quantitative data collection and analysis techniques. For example, this study gathers qualitative data through interviews and questionnaires to explore participants’ experiences and perspectives in depth. It may then complement this qualitative data with quantitative measures to provide statistical support or enhance the generalizability of their findings. By triangulating qualitative and quantitative data, this study can strengthen the credibility of its results. </w:t>
      </w:r>
    </w:p>
    <w:p w14:paraId="6425FA50" w14:textId="78C0289B" w:rsidR="00D221EA" w:rsidRPr="0053182F" w:rsidRDefault="00D221EA" w:rsidP="00D221EA">
      <w:pPr>
        <w:spacing w:after="0" w:line="480" w:lineRule="auto"/>
        <w:jc w:val="both"/>
        <w:rPr>
          <w:color w:val="auto"/>
        </w:rPr>
      </w:pPr>
      <w:r w:rsidRPr="0053182F">
        <w:rPr>
          <w:rFonts w:eastAsia="Palatino Linotype"/>
          <w:b/>
          <w:color w:val="auto"/>
        </w:rPr>
        <w:t>Triangulation of theories:</w:t>
      </w:r>
      <w:r w:rsidRPr="0053182F">
        <w:rPr>
          <w:rFonts w:eastAsia="Palatino Linotype"/>
          <w:color w:val="auto"/>
        </w:rPr>
        <w:t xml:space="preserve">  </w:t>
      </w:r>
      <w:r w:rsidRPr="0053182F">
        <w:rPr>
          <w:color w:val="auto"/>
        </w:rPr>
        <w:t xml:space="preserve">By triangulating through the lens of NIT, the study aims to provide a comprehensive understanding of the factors driving and shaping CMS practices within organisations, offering valuable insights into ethical business conduct and organisational dynamics. </w:t>
      </w:r>
      <w:r w:rsidRPr="0053182F">
        <w:t xml:space="preserve">Data triangulation involves integrating quantitative and qualitative methods to </w:t>
      </w:r>
      <w:r w:rsidR="007E0705" w:rsidRPr="0053182F">
        <w:t>examine CMS practices comprehensively</w:t>
      </w:r>
      <w:r w:rsidRPr="0053182F">
        <w:rPr>
          <w:color w:val="auto"/>
        </w:rPr>
        <w:t xml:space="preserve">. </w:t>
      </w:r>
      <w:r w:rsidRPr="0053182F">
        <w:rPr>
          <w:color w:val="auto"/>
          <w:highlight w:val="yellow"/>
        </w:rPr>
        <w:t>Quantitative analysis covers 15 years across 12 industries in 32 countries, providing a macro-level overview of</w:t>
      </w:r>
      <w:r w:rsidRPr="0053182F">
        <w:rPr>
          <w:color w:val="auto"/>
        </w:rPr>
        <w:t xml:space="preserve"> CMS trends and patterns. This quantitative approach enables the identification of correlations and variations in CMS practices across different contexts. Concurrently, qualitative research focuses on the textile and garment industries, exploring stakeholder perceptions through interviews and questionnaires. By combining these methods, the study aims to offer a nuanced understanding of CMS practices, enriching statistical trends with contextual insights. This mixed-methods approach enhances the credibility of findings and provides a robust understanding of CMS dynamics and implications.</w:t>
      </w:r>
    </w:p>
    <w:p w14:paraId="2000AB87" w14:textId="77777777" w:rsidR="00D221EA" w:rsidRPr="0053182F" w:rsidRDefault="00D221EA" w:rsidP="00D221EA">
      <w:pPr>
        <w:spacing w:after="0" w:line="480" w:lineRule="auto"/>
        <w:jc w:val="both"/>
        <w:rPr>
          <w:color w:val="auto"/>
        </w:rPr>
      </w:pPr>
      <w:r w:rsidRPr="0053182F">
        <w:rPr>
          <w:b/>
          <w:color w:val="auto"/>
        </w:rPr>
        <w:t>Investigator triangulation:</w:t>
      </w:r>
      <w:r w:rsidRPr="0053182F">
        <w:rPr>
          <w:color w:val="auto"/>
        </w:rPr>
        <w:t xml:space="preserve"> This study seeks input and advice from academic experts before conducting the qualitative research phase. By leveraging the expertise and insights of these academics, the study aims to refine its research questionnaire and interview protocols to ensure they are relevant, clear, and effective at capturing the desired information. By adjusting the research instruments based on expert feedback, the study enhances the validity and credibility of its qualitative findings, ultimately contributing to a more robust and nuanced understanding of the research topic.</w:t>
      </w:r>
    </w:p>
    <w:p w14:paraId="54C11310" w14:textId="73146308" w:rsidR="00D221EA" w:rsidRPr="0053182F" w:rsidRDefault="00D221EA" w:rsidP="00D221EA">
      <w:pPr>
        <w:spacing w:after="0" w:line="480" w:lineRule="auto"/>
        <w:jc w:val="both"/>
        <w:rPr>
          <w:color w:val="auto"/>
        </w:rPr>
      </w:pPr>
      <w:r w:rsidRPr="0053182F">
        <w:rPr>
          <w:b/>
          <w:color w:val="auto"/>
        </w:rPr>
        <w:t>Methodological triangulation:</w:t>
      </w:r>
      <w:r w:rsidRPr="0053182F">
        <w:rPr>
          <w:color w:val="auto"/>
        </w:rPr>
        <w:t xml:space="preserve"> The study utilises both quantitative surveys and qualitative interviews or focus groups. A quantitative approach provides statistical rigour and enables the analysis of large datasets to identify trends in CMS practices. Qualitative interviews and questionnaires offer rich, detailed insights into individuals’ perspectives and experiences related to CMS practices. By triangulating these methods, the study aims to provide a comprehensive understanding of CMS practices, leveraging the strengths of both quantitative and qualitative approaches to enhance the validity and credibility of the research findings </w:t>
      </w:r>
      <w:sdt>
        <w:sdtPr>
          <w:tag w:val="MENDELEY_CITATION_v3_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XX0="/>
          <w:id w:val="-404380903"/>
          <w:placeholder>
            <w:docPart w:val="268BCEFB7BE84719BAEC21DBDE674BAE"/>
          </w:placeholder>
        </w:sdtPr>
        <w:sdtContent>
          <w:r w:rsidR="00CC1788" w:rsidRPr="0053182F">
            <w:t>(Creswell and Plano, 2018; Guest and Fleming, 2015)</w:t>
          </w:r>
        </w:sdtContent>
      </w:sdt>
      <w:r w:rsidRPr="0053182F">
        <w:rPr>
          <w:color w:val="auto"/>
        </w:rPr>
        <w:t>.</w:t>
      </w:r>
    </w:p>
    <w:p w14:paraId="0E052F6C" w14:textId="77777777" w:rsidR="00D221EA" w:rsidRPr="0053182F" w:rsidRDefault="00D221EA" w:rsidP="00D221EA">
      <w:pPr>
        <w:pStyle w:val="Heading3"/>
      </w:pPr>
      <w:bookmarkStart w:id="267" w:name="_Toc215651864"/>
      <w:bookmarkStart w:id="268" w:name="_Toc218357154"/>
      <w:r w:rsidRPr="0053182F">
        <w:t>6.7.2 Primary Research Question and analytical alignment</w:t>
      </w:r>
      <w:bookmarkEnd w:id="267"/>
      <w:bookmarkEnd w:id="268"/>
    </w:p>
    <w:p w14:paraId="77F8F735" w14:textId="77777777" w:rsidR="00D221EA" w:rsidRPr="0053182F" w:rsidRDefault="00D221EA" w:rsidP="00D221EA">
      <w:pPr>
        <w:spacing w:after="0" w:line="480" w:lineRule="auto"/>
        <w:jc w:val="both"/>
      </w:pPr>
      <w:r w:rsidRPr="0053182F">
        <w:t>How do institutional governance systems, SGI, corporate disclosures, and local labour realities interact to shape the persistence, governance, and accountability of CMS in global supply chains?</w:t>
      </w:r>
    </w:p>
    <w:p w14:paraId="25309634" w14:textId="77777777" w:rsidR="00D221EA" w:rsidRPr="0053182F" w:rsidRDefault="00D221EA" w:rsidP="00D221EA">
      <w:pPr>
        <w:rPr>
          <w:b/>
          <w:bCs/>
          <w:u w:val="single"/>
        </w:rPr>
      </w:pPr>
      <w:r w:rsidRPr="0053182F">
        <w:rPr>
          <w:b/>
          <w:bCs/>
          <w:u w:val="single"/>
        </w:rPr>
        <w:t>Research Questions and Hypotheses</w:t>
      </w:r>
    </w:p>
    <w:p w14:paraId="53FF1CBC" w14:textId="77777777" w:rsidR="00D221EA" w:rsidRPr="0053182F" w:rsidRDefault="00D221EA" w:rsidP="00D221EA">
      <w:pPr>
        <w:spacing w:after="0" w:line="480" w:lineRule="auto"/>
        <w:jc w:val="both"/>
      </w:pPr>
      <w:r w:rsidRPr="0053182F">
        <w:t>This study is guided by one overarching research question and four subsidiary questions, each aligned with the multi-level structure of the research design. The integration of quantitative and qualitative methods enables a comprehensive examination of the institutional, corporate, and social mechanisms that shape CMS across global supply chains. Table 6.2 summarises the Research question and hypothesis.</w:t>
      </w:r>
    </w:p>
    <w:p w14:paraId="7CFE3BF3" w14:textId="77777777" w:rsidR="00D221EA" w:rsidRPr="0053182F" w:rsidRDefault="00D221EA" w:rsidP="00D221EA">
      <w:pPr>
        <w:spacing w:after="0" w:line="480" w:lineRule="auto"/>
        <w:jc w:val="both"/>
        <w:rPr>
          <w:b/>
          <w:bCs/>
        </w:rPr>
      </w:pPr>
      <w:r w:rsidRPr="0053182F">
        <w:rPr>
          <w:b/>
          <w:bCs/>
        </w:rPr>
        <w:t>Table 6.2:</w:t>
      </w:r>
      <w:r w:rsidRPr="0053182F">
        <w:t xml:space="preserve"> Sub-Questions and Analytical Alignment</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235"/>
        <w:gridCol w:w="3405"/>
        <w:gridCol w:w="2022"/>
        <w:gridCol w:w="2364"/>
      </w:tblGrid>
      <w:tr w:rsidR="00D221EA" w:rsidRPr="0053182F" w14:paraId="47ECA05A" w14:textId="77777777" w:rsidTr="00D20468">
        <w:trPr>
          <w:tblHeader/>
          <w:tblCellSpacing w:w="15" w:type="dxa"/>
        </w:trPr>
        <w:tc>
          <w:tcPr>
            <w:tcW w:w="1190" w:type="dxa"/>
            <w:tcBorders>
              <w:top w:val="nil"/>
              <w:bottom w:val="single" w:sz="4" w:space="0" w:color="auto"/>
            </w:tcBorders>
            <w:shd w:val="clear" w:color="auto" w:fill="FFFFFF" w:themeFill="background1"/>
            <w:vAlign w:val="center"/>
            <w:hideMark/>
          </w:tcPr>
          <w:p w14:paraId="404EC972"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Level</w:t>
            </w:r>
          </w:p>
        </w:tc>
        <w:tc>
          <w:tcPr>
            <w:tcW w:w="3375" w:type="dxa"/>
            <w:tcBorders>
              <w:top w:val="nil"/>
              <w:bottom w:val="single" w:sz="4" w:space="0" w:color="auto"/>
            </w:tcBorders>
            <w:shd w:val="clear" w:color="auto" w:fill="FFFFFF" w:themeFill="background1"/>
            <w:vAlign w:val="center"/>
            <w:hideMark/>
          </w:tcPr>
          <w:p w14:paraId="2992F11C"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Research Question</w:t>
            </w:r>
          </w:p>
        </w:tc>
        <w:tc>
          <w:tcPr>
            <w:tcW w:w="1992" w:type="dxa"/>
            <w:tcBorders>
              <w:top w:val="nil"/>
              <w:bottom w:val="single" w:sz="4" w:space="0" w:color="auto"/>
            </w:tcBorders>
            <w:shd w:val="clear" w:color="auto" w:fill="FFFFFF" w:themeFill="background1"/>
            <w:vAlign w:val="center"/>
            <w:hideMark/>
          </w:tcPr>
          <w:p w14:paraId="053878B9"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Methodological Strand</w:t>
            </w:r>
          </w:p>
        </w:tc>
        <w:tc>
          <w:tcPr>
            <w:tcW w:w="0" w:type="auto"/>
            <w:tcBorders>
              <w:top w:val="nil"/>
              <w:bottom w:val="single" w:sz="4" w:space="0" w:color="auto"/>
            </w:tcBorders>
            <w:shd w:val="clear" w:color="auto" w:fill="FFFFFF" w:themeFill="background1"/>
            <w:vAlign w:val="center"/>
            <w:hideMark/>
          </w:tcPr>
          <w:p w14:paraId="627BF180"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Analytical Focus / Expected Contribution</w:t>
            </w:r>
          </w:p>
        </w:tc>
      </w:tr>
      <w:tr w:rsidR="00D221EA" w:rsidRPr="0053182F" w14:paraId="76EE923C" w14:textId="77777777" w:rsidTr="00D20468">
        <w:trPr>
          <w:tblCellSpacing w:w="15" w:type="dxa"/>
        </w:trPr>
        <w:tc>
          <w:tcPr>
            <w:tcW w:w="1190" w:type="dxa"/>
            <w:vAlign w:val="center"/>
            <w:hideMark/>
          </w:tcPr>
          <w:p w14:paraId="5BD08944"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Macro (Level I)</w:t>
            </w:r>
          </w:p>
        </w:tc>
        <w:tc>
          <w:tcPr>
            <w:tcW w:w="3375" w:type="dxa"/>
            <w:tcBorders>
              <w:top w:val="nil"/>
              <w:bottom w:val="single" w:sz="4" w:space="0" w:color="auto"/>
            </w:tcBorders>
            <w:vAlign w:val="center"/>
            <w:hideMark/>
          </w:tcPr>
          <w:p w14:paraId="6A2ED71C"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b/>
                <w:bCs/>
                <w:color w:val="auto"/>
                <w:kern w:val="0"/>
                <w:lang w:eastAsia="en-GB"/>
                <w14:ligatures w14:val="none"/>
              </w:rPr>
              <w:t>RQ 1:</w:t>
            </w:r>
            <w:r w:rsidRPr="0053182F">
              <w:rPr>
                <w:rFonts w:eastAsia="Times New Roman"/>
                <w:color w:val="auto"/>
                <w:kern w:val="0"/>
                <w:lang w:eastAsia="en-GB"/>
                <w14:ligatures w14:val="none"/>
              </w:rPr>
              <w:t xml:space="preserve"> </w:t>
            </w:r>
          </w:p>
          <w:p w14:paraId="21FF2C1C"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How do national institutional quality, human development, and sustainability governance indicators influence the prevalence, vulnerability, and government responses to MS?</w:t>
            </w:r>
          </w:p>
        </w:tc>
        <w:tc>
          <w:tcPr>
            <w:tcW w:w="1992" w:type="dxa"/>
            <w:tcBorders>
              <w:top w:val="nil"/>
              <w:bottom w:val="single" w:sz="4" w:space="0" w:color="auto"/>
            </w:tcBorders>
            <w:vAlign w:val="center"/>
            <w:hideMark/>
          </w:tcPr>
          <w:p w14:paraId="554BE6F7" w14:textId="77777777" w:rsidR="00D221EA" w:rsidRPr="0053182F" w:rsidRDefault="00D221EA" w:rsidP="00D20468">
            <w:pPr>
              <w:spacing w:after="0" w:line="240" w:lineRule="auto"/>
              <w:jc w:val="center"/>
              <w:rPr>
                <w:rFonts w:eastAsia="Times New Roman"/>
                <w:color w:val="auto"/>
                <w:kern w:val="0"/>
                <w:lang w:eastAsia="en-GB"/>
                <w14:ligatures w14:val="none"/>
              </w:rPr>
            </w:pPr>
            <w:r w:rsidRPr="0053182F">
              <w:rPr>
                <w:rFonts w:eastAsia="Times New Roman"/>
                <w:color w:val="auto"/>
                <w:kern w:val="0"/>
                <w:lang w:eastAsia="en-GB"/>
                <w14:ligatures w14:val="none"/>
              </w:rPr>
              <w:t>Quantitative</w:t>
            </w:r>
          </w:p>
          <w:p w14:paraId="5BE885CB" w14:textId="77777777" w:rsidR="00D221EA" w:rsidRPr="0053182F" w:rsidRDefault="00D221EA" w:rsidP="00D20468">
            <w:pPr>
              <w:spacing w:after="0" w:line="240" w:lineRule="auto"/>
              <w:jc w:val="center"/>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(panel data; secondary datasets – WGI, HDI, SDGI, GSI)</w:t>
            </w:r>
          </w:p>
        </w:tc>
        <w:tc>
          <w:tcPr>
            <w:tcW w:w="0" w:type="auto"/>
            <w:tcBorders>
              <w:top w:val="nil"/>
              <w:bottom w:val="single" w:sz="4" w:space="0" w:color="auto"/>
            </w:tcBorders>
            <w:vAlign w:val="center"/>
            <w:hideMark/>
          </w:tcPr>
          <w:p w14:paraId="0261A473"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Examines structural governance drivers and coercive institutional pressures shaping national AMS capacity.</w:t>
            </w:r>
          </w:p>
        </w:tc>
      </w:tr>
      <w:tr w:rsidR="00D221EA" w:rsidRPr="0053182F" w14:paraId="7EC9988A" w14:textId="77777777" w:rsidTr="00D20468">
        <w:trPr>
          <w:tblCellSpacing w:w="15" w:type="dxa"/>
        </w:trPr>
        <w:tc>
          <w:tcPr>
            <w:tcW w:w="1190" w:type="dxa"/>
            <w:vAlign w:val="center"/>
            <w:hideMark/>
          </w:tcPr>
          <w:p w14:paraId="396D0C6C"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Meso (Level II)</w:t>
            </w:r>
          </w:p>
        </w:tc>
        <w:tc>
          <w:tcPr>
            <w:tcW w:w="3375" w:type="dxa"/>
            <w:tcBorders>
              <w:top w:val="nil"/>
              <w:bottom w:val="single" w:sz="4" w:space="0" w:color="auto"/>
            </w:tcBorders>
            <w:vAlign w:val="center"/>
            <w:hideMark/>
          </w:tcPr>
          <w:p w14:paraId="2782691F" w14:textId="77777777" w:rsidR="00D221EA" w:rsidRPr="0053182F" w:rsidRDefault="00D221EA" w:rsidP="00D20468">
            <w:pPr>
              <w:spacing w:after="0" w:line="240" w:lineRule="auto"/>
              <w:rPr>
                <w:rFonts w:eastAsia="Times New Roman"/>
                <w:b/>
                <w:bCs/>
                <w:color w:val="auto"/>
                <w:kern w:val="0"/>
                <w:lang w:eastAsia="en-GB"/>
                <w14:ligatures w14:val="none"/>
              </w:rPr>
            </w:pPr>
            <w:r w:rsidRPr="0053182F">
              <w:rPr>
                <w:rFonts w:eastAsia="Times New Roman"/>
                <w:b/>
                <w:bCs/>
                <w:color w:val="auto"/>
                <w:kern w:val="0"/>
                <w:lang w:eastAsia="en-GB"/>
                <w14:ligatures w14:val="none"/>
              </w:rPr>
              <w:t>RQ 2:</w:t>
            </w:r>
          </w:p>
          <w:p w14:paraId="51079497"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To what extent do corporate sustainability governance initiatives (CSR committees, board diversity, assurance mechanisms, CSR awards) enhance anti-modern-slavery (ACMS) commitments among global corporations?</w:t>
            </w:r>
          </w:p>
        </w:tc>
        <w:tc>
          <w:tcPr>
            <w:tcW w:w="1992" w:type="dxa"/>
            <w:tcBorders>
              <w:top w:val="nil"/>
              <w:bottom w:val="single" w:sz="4" w:space="0" w:color="auto"/>
            </w:tcBorders>
            <w:vAlign w:val="center"/>
            <w:hideMark/>
          </w:tcPr>
          <w:p w14:paraId="2ADC45E4" w14:textId="77777777" w:rsidR="00D221EA" w:rsidRPr="0053182F" w:rsidRDefault="00D221EA" w:rsidP="00D20468">
            <w:pPr>
              <w:spacing w:after="0" w:line="240" w:lineRule="auto"/>
              <w:jc w:val="center"/>
              <w:rPr>
                <w:rFonts w:eastAsia="Times New Roman"/>
                <w:color w:val="auto"/>
                <w:kern w:val="0"/>
                <w:lang w:eastAsia="en-GB"/>
                <w14:ligatures w14:val="none"/>
              </w:rPr>
            </w:pPr>
            <w:r w:rsidRPr="0053182F">
              <w:rPr>
                <w:rFonts w:eastAsia="Times New Roman"/>
                <w:color w:val="auto"/>
                <w:kern w:val="0"/>
                <w:lang w:eastAsia="en-GB"/>
                <w14:ligatures w14:val="none"/>
              </w:rPr>
              <w:t>Quantitative</w:t>
            </w:r>
          </w:p>
          <w:p w14:paraId="5F71F7EB" w14:textId="77777777" w:rsidR="00D221EA" w:rsidRPr="0053182F" w:rsidRDefault="00D221EA" w:rsidP="00D20468">
            <w:pPr>
              <w:spacing w:after="0" w:line="240" w:lineRule="auto"/>
              <w:jc w:val="center"/>
              <w:rPr>
                <w:rFonts w:eastAsia="Times New Roman"/>
                <w:color w:val="auto"/>
                <w:kern w:val="0"/>
                <w:lang w:eastAsia="en-GB"/>
                <w14:ligatures w14:val="none"/>
              </w:rPr>
            </w:pPr>
            <w:r w:rsidRPr="0053182F">
              <w:rPr>
                <w:rFonts w:eastAsia="Times New Roman"/>
                <w:color w:val="auto"/>
                <w:kern w:val="0"/>
                <w:sz w:val="20"/>
                <w:szCs w:val="20"/>
                <w:lang w:eastAsia="en-GB"/>
                <w14:ligatures w14:val="none"/>
              </w:rPr>
              <w:t>(G500 panel data- 2010–2023)</w:t>
            </w:r>
          </w:p>
        </w:tc>
        <w:tc>
          <w:tcPr>
            <w:tcW w:w="0" w:type="auto"/>
            <w:tcBorders>
              <w:top w:val="nil"/>
              <w:bottom w:val="single" w:sz="4" w:space="0" w:color="auto"/>
            </w:tcBorders>
            <w:vAlign w:val="center"/>
            <w:hideMark/>
          </w:tcPr>
          <w:p w14:paraId="3240E623"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Tests how firm-level governance attributes predict ACMS performance under normative and mimetic pressures.</w:t>
            </w:r>
          </w:p>
        </w:tc>
      </w:tr>
      <w:tr w:rsidR="00D221EA" w:rsidRPr="0053182F" w14:paraId="73D39B56" w14:textId="77777777" w:rsidTr="00D20468">
        <w:trPr>
          <w:tblCellSpacing w:w="15" w:type="dxa"/>
        </w:trPr>
        <w:tc>
          <w:tcPr>
            <w:tcW w:w="1190" w:type="dxa"/>
            <w:vAlign w:val="center"/>
            <w:hideMark/>
          </w:tcPr>
          <w:p w14:paraId="16EDDF72"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Meso Extension</w:t>
            </w:r>
          </w:p>
        </w:tc>
        <w:tc>
          <w:tcPr>
            <w:tcW w:w="3375" w:type="dxa"/>
            <w:tcBorders>
              <w:top w:val="nil"/>
              <w:bottom w:val="single" w:sz="4" w:space="0" w:color="auto"/>
            </w:tcBorders>
            <w:vAlign w:val="center"/>
            <w:hideMark/>
          </w:tcPr>
          <w:p w14:paraId="3EA1CEE3" w14:textId="77777777" w:rsidR="00D221EA" w:rsidRPr="0053182F" w:rsidRDefault="00D221EA" w:rsidP="00D20468">
            <w:pPr>
              <w:spacing w:after="0" w:line="240" w:lineRule="auto"/>
              <w:rPr>
                <w:rFonts w:eastAsia="Times New Roman"/>
                <w:b/>
                <w:bCs/>
                <w:color w:val="auto"/>
                <w:kern w:val="0"/>
                <w:lang w:eastAsia="en-GB"/>
                <w14:ligatures w14:val="none"/>
              </w:rPr>
            </w:pPr>
            <w:r w:rsidRPr="0053182F">
              <w:rPr>
                <w:rFonts w:eastAsia="Times New Roman"/>
                <w:b/>
                <w:bCs/>
                <w:color w:val="auto"/>
                <w:kern w:val="0"/>
                <w:lang w:eastAsia="en-GB"/>
                <w14:ligatures w14:val="none"/>
              </w:rPr>
              <w:t>RQ 3:</w:t>
            </w:r>
          </w:p>
          <w:p w14:paraId="608AB653"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Do corporate modern-slavery disclosures among leading apparel and textile MNCs reflect substantive accountability or symbolic compliance?</w:t>
            </w:r>
          </w:p>
        </w:tc>
        <w:tc>
          <w:tcPr>
            <w:tcW w:w="1992" w:type="dxa"/>
            <w:tcBorders>
              <w:top w:val="nil"/>
              <w:bottom w:val="single" w:sz="4" w:space="0" w:color="auto"/>
            </w:tcBorders>
            <w:vAlign w:val="center"/>
            <w:hideMark/>
          </w:tcPr>
          <w:p w14:paraId="44818284" w14:textId="77777777" w:rsidR="00D221EA" w:rsidRPr="0053182F" w:rsidRDefault="00D221EA" w:rsidP="00D20468">
            <w:pPr>
              <w:spacing w:after="0" w:line="240" w:lineRule="auto"/>
              <w:jc w:val="center"/>
              <w:rPr>
                <w:rFonts w:eastAsia="Times New Roman"/>
                <w:color w:val="auto"/>
                <w:kern w:val="0"/>
                <w:lang w:eastAsia="en-GB"/>
                <w14:ligatures w14:val="none"/>
              </w:rPr>
            </w:pPr>
            <w:r w:rsidRPr="0053182F">
              <w:rPr>
                <w:rFonts w:eastAsia="Times New Roman"/>
                <w:color w:val="auto"/>
                <w:kern w:val="0"/>
                <w:lang w:eastAsia="en-GB"/>
                <w14:ligatures w14:val="none"/>
              </w:rPr>
              <w:t>Qualitative</w:t>
            </w:r>
          </w:p>
          <w:p w14:paraId="3778DF2A" w14:textId="77777777" w:rsidR="00D221EA" w:rsidRPr="0053182F" w:rsidRDefault="00D221EA" w:rsidP="00D20468">
            <w:pPr>
              <w:spacing w:after="0" w:line="240" w:lineRule="auto"/>
              <w:jc w:val="center"/>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(content analysis of disclosures – Nike, Inditex, Dior 2019–2023)</w:t>
            </w:r>
          </w:p>
        </w:tc>
        <w:tc>
          <w:tcPr>
            <w:tcW w:w="0" w:type="auto"/>
            <w:tcBorders>
              <w:top w:val="nil"/>
              <w:bottom w:val="single" w:sz="4" w:space="0" w:color="auto"/>
            </w:tcBorders>
            <w:vAlign w:val="center"/>
            <w:hideMark/>
          </w:tcPr>
          <w:p w14:paraId="33162699"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Explores legitimacy-seeking behaviour and patterns of symbolic compliance within sustainability reporting.</w:t>
            </w:r>
          </w:p>
        </w:tc>
      </w:tr>
      <w:tr w:rsidR="00D221EA" w:rsidRPr="0053182F" w14:paraId="19A46319" w14:textId="77777777" w:rsidTr="00D20468">
        <w:trPr>
          <w:tblCellSpacing w:w="15" w:type="dxa"/>
        </w:trPr>
        <w:tc>
          <w:tcPr>
            <w:tcW w:w="1190" w:type="dxa"/>
            <w:vAlign w:val="center"/>
            <w:hideMark/>
          </w:tcPr>
          <w:p w14:paraId="17FB37B1"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Micro (Level III)</w:t>
            </w:r>
          </w:p>
        </w:tc>
        <w:tc>
          <w:tcPr>
            <w:tcW w:w="3375" w:type="dxa"/>
            <w:vAlign w:val="center"/>
            <w:hideMark/>
          </w:tcPr>
          <w:p w14:paraId="1B94481C" w14:textId="77777777" w:rsidR="00D221EA" w:rsidRPr="0053182F" w:rsidRDefault="00D221EA" w:rsidP="00D20468">
            <w:pPr>
              <w:spacing w:after="0" w:line="240" w:lineRule="auto"/>
              <w:rPr>
                <w:rFonts w:eastAsia="Times New Roman"/>
                <w:b/>
                <w:bCs/>
                <w:color w:val="auto"/>
                <w:kern w:val="0"/>
                <w:lang w:eastAsia="en-GB"/>
                <w14:ligatures w14:val="none"/>
              </w:rPr>
            </w:pPr>
            <w:r w:rsidRPr="0053182F">
              <w:rPr>
                <w:rFonts w:eastAsia="Times New Roman"/>
                <w:b/>
                <w:bCs/>
                <w:color w:val="auto"/>
                <w:kern w:val="0"/>
                <w:lang w:eastAsia="en-GB"/>
                <w14:ligatures w14:val="none"/>
              </w:rPr>
              <w:t>RQ 4:</w:t>
            </w:r>
          </w:p>
          <w:p w14:paraId="229F269A"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How do workers in Sri Lanka’s A&amp;TI experience and interpret CMS commitments in practice?</w:t>
            </w:r>
          </w:p>
        </w:tc>
        <w:tc>
          <w:tcPr>
            <w:tcW w:w="1992" w:type="dxa"/>
            <w:vAlign w:val="center"/>
            <w:hideMark/>
          </w:tcPr>
          <w:p w14:paraId="4E989FE9" w14:textId="77777777" w:rsidR="00D221EA" w:rsidRPr="0053182F" w:rsidRDefault="00D221EA" w:rsidP="00D20468">
            <w:pPr>
              <w:spacing w:after="0" w:line="240" w:lineRule="auto"/>
              <w:jc w:val="center"/>
              <w:rPr>
                <w:rFonts w:eastAsia="Times New Roman"/>
                <w:color w:val="auto"/>
                <w:kern w:val="0"/>
                <w:lang w:eastAsia="en-GB"/>
                <w14:ligatures w14:val="none"/>
              </w:rPr>
            </w:pPr>
            <w:r w:rsidRPr="0053182F">
              <w:rPr>
                <w:rFonts w:eastAsia="Times New Roman"/>
                <w:color w:val="auto"/>
                <w:kern w:val="0"/>
                <w:lang w:eastAsia="en-GB"/>
                <w14:ligatures w14:val="none"/>
              </w:rPr>
              <w:t xml:space="preserve">Qualitative </w:t>
            </w:r>
          </w:p>
          <w:p w14:paraId="503B8FCD" w14:textId="77777777" w:rsidR="00D221EA" w:rsidRPr="0053182F" w:rsidRDefault="00D221EA" w:rsidP="00D20468">
            <w:pPr>
              <w:spacing w:after="0" w:line="240" w:lineRule="auto"/>
              <w:jc w:val="center"/>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(52 semi-structured interviews and focus groups)</w:t>
            </w:r>
          </w:p>
        </w:tc>
        <w:tc>
          <w:tcPr>
            <w:tcW w:w="0" w:type="auto"/>
            <w:vAlign w:val="center"/>
            <w:hideMark/>
          </w:tcPr>
          <w:p w14:paraId="1808835E"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Reveals how global governance and corporate norms are enacted, resisted, or decoupled at the ground-level workers.</w:t>
            </w:r>
          </w:p>
        </w:tc>
      </w:tr>
    </w:tbl>
    <w:p w14:paraId="4C2F3D0B" w14:textId="77777777" w:rsidR="00D221EA" w:rsidRPr="0053182F" w:rsidRDefault="00D221EA" w:rsidP="00D221EA">
      <w:pPr>
        <w:spacing w:after="0" w:line="480" w:lineRule="auto"/>
        <w:jc w:val="both"/>
      </w:pPr>
      <w:r w:rsidRPr="0053182F">
        <w:rPr>
          <w:b/>
          <w:bCs/>
        </w:rPr>
        <w:t>Source:</w:t>
      </w:r>
      <w:r w:rsidRPr="0053182F">
        <w:t xml:space="preserve"> Author’s Own Work</w:t>
      </w:r>
    </w:p>
    <w:p w14:paraId="4B45A4F0" w14:textId="77777777" w:rsidR="00D221EA" w:rsidRPr="0053182F" w:rsidRDefault="00D221EA" w:rsidP="00D221EA">
      <w:pPr>
        <w:pStyle w:val="Heading2"/>
      </w:pPr>
      <w:bookmarkStart w:id="269" w:name="_Toc215651865"/>
      <w:bookmarkStart w:id="270" w:name="_Toc218357155"/>
      <w:r w:rsidRPr="0053182F">
        <w:t>6.8 Quantitative Approach</w:t>
      </w:r>
      <w:bookmarkEnd w:id="269"/>
      <w:bookmarkEnd w:id="270"/>
    </w:p>
    <w:p w14:paraId="49D57224" w14:textId="77777777" w:rsidR="00D221EA" w:rsidRPr="0053182F" w:rsidRDefault="00D221EA" w:rsidP="00D221EA">
      <w:pPr>
        <w:spacing w:after="0" w:line="480" w:lineRule="auto"/>
        <w:jc w:val="both"/>
        <w:rPr>
          <w:color w:val="auto"/>
        </w:rPr>
      </w:pPr>
      <w:r w:rsidRPr="0053182F">
        <w:rPr>
          <w:color w:val="auto"/>
        </w:rPr>
        <w:t>The quantitative component of this research comprises two interconnected phases—the macro-level (global governance context) and the meso-level (corporate governance context)—designed to investigate how institutional, governance, and sustainability factors influence the prevalence and mitigation of CMS. Both phases rely on secondary data from established, publicly accessible, and verifiable global databases to ensure analytical rigour, replicability, and cross-national comparability.</w:t>
      </w:r>
    </w:p>
    <w:p w14:paraId="1C889896" w14:textId="4AAACCB6" w:rsidR="00D221EA" w:rsidRPr="0053182F" w:rsidRDefault="00D221EA" w:rsidP="00D221EA">
      <w:pPr>
        <w:spacing w:after="0" w:line="480" w:lineRule="auto"/>
        <w:ind w:firstLine="720"/>
        <w:jc w:val="both"/>
        <w:rPr>
          <w:color w:val="auto"/>
        </w:rPr>
      </w:pPr>
      <w:r w:rsidRPr="0053182F">
        <w:rPr>
          <w:color w:val="auto"/>
        </w:rPr>
        <w:t xml:space="preserve">The quantitative strand did not employ primary survey instruments but instead utilised a structured secondary data extraction approach, consistent with best practices in institutional and corporate governance research </w:t>
      </w:r>
      <w:sdt>
        <w:sdtPr>
          <w:tag w:val="MENDELEY_CITATION_v3_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
          <w:id w:val="48035317"/>
          <w:placeholder>
            <w:docPart w:val="701A86C3621B449DBEAFEBEB96BB5145"/>
          </w:placeholder>
        </w:sdtPr>
        <w:sdtContent>
          <w:r w:rsidR="00CC1788" w:rsidRPr="0053182F">
            <w:rPr>
              <w:rFonts w:eastAsia="Times New Roman"/>
            </w:rPr>
            <w:t xml:space="preserve">(Albitar </w:t>
          </w:r>
          <w:r w:rsidR="00CC1788" w:rsidRPr="0053182F">
            <w:rPr>
              <w:rFonts w:eastAsia="Times New Roman"/>
              <w:i/>
              <w:iCs/>
            </w:rPr>
            <w:t>et al.</w:t>
          </w:r>
          <w:r w:rsidR="00CC1788" w:rsidRPr="0053182F">
            <w:rPr>
              <w:rFonts w:eastAsia="Times New Roman"/>
            </w:rPr>
            <w:t xml:space="preserve">, 2025; Cheng </w:t>
          </w:r>
          <w:r w:rsidR="00CC1788" w:rsidRPr="0053182F">
            <w:rPr>
              <w:rFonts w:eastAsia="Times New Roman"/>
              <w:i/>
              <w:iCs/>
            </w:rPr>
            <w:t>et al.</w:t>
          </w:r>
          <w:r w:rsidR="00CC1788" w:rsidRPr="0053182F">
            <w:rPr>
              <w:rFonts w:eastAsia="Times New Roman"/>
            </w:rPr>
            <w:t xml:space="preserve">, 2014; Ullah </w:t>
          </w:r>
          <w:r w:rsidR="00CC1788" w:rsidRPr="0053182F">
            <w:rPr>
              <w:rFonts w:eastAsia="Times New Roman"/>
              <w:i/>
              <w:iCs/>
            </w:rPr>
            <w:t>et al.</w:t>
          </w:r>
          <w:r w:rsidR="00CC1788" w:rsidRPr="0053182F">
            <w:rPr>
              <w:rFonts w:eastAsia="Times New Roman"/>
            </w:rPr>
            <w:t>, 2021)</w:t>
          </w:r>
        </w:sdtContent>
      </w:sdt>
      <w:r w:rsidRPr="0053182F">
        <w:rPr>
          <w:color w:val="auto"/>
        </w:rPr>
        <w:t>. Data were collected through a combination of global institutional datasets and Refinitiv Eikon databases. A purposive sampling strategy was applied at both levels, guided by theoretical and empirical relevance rather than randomness.</w:t>
      </w:r>
    </w:p>
    <w:p w14:paraId="3F526D3D" w14:textId="5C9DC464" w:rsidR="00D221EA" w:rsidRPr="0053182F" w:rsidRDefault="00D221EA" w:rsidP="00D221EA">
      <w:pPr>
        <w:spacing w:before="100" w:beforeAutospacing="1" w:after="0" w:line="480" w:lineRule="auto"/>
        <w:ind w:firstLine="720"/>
        <w:jc w:val="both"/>
      </w:pPr>
      <w:r w:rsidRPr="0053182F">
        <w:t xml:space="preserve">This research adopts a </w:t>
      </w:r>
      <w:r w:rsidRPr="0053182F">
        <w:rPr>
          <w:rStyle w:val="Strong"/>
          <w:rFonts w:eastAsiaTheme="majorEastAsia"/>
          <w:b w:val="0"/>
          <w:bCs w:val="0"/>
        </w:rPr>
        <w:t>quantitative, longitudinal, macro-comparative research design</w:t>
      </w:r>
      <w:r w:rsidRPr="0053182F">
        <w:t xml:space="preserve"> guided by </w:t>
      </w:r>
      <w:r w:rsidRPr="0053182F">
        <w:rPr>
          <w:rStyle w:val="Strong"/>
          <w:rFonts w:eastAsiaTheme="majorEastAsia"/>
          <w:b w:val="0"/>
          <w:bCs w:val="0"/>
        </w:rPr>
        <w:t>deductive reasoning</w:t>
      </w:r>
      <w:r w:rsidRPr="0053182F">
        <w:t xml:space="preserve">, in which theoretical constructs derived from NIT   are operationalised and empirically assessed using panel data analysis </w:t>
      </w:r>
      <w:sdt>
        <w:sdtPr>
          <w:tag w:val="MENDELEY_CITATION_v3_eyJjaXRhdGlvbklEIjoiTUVOREVMRVlfQ0lUQVRJT05fZmY1ZDRkYzktOTE3Ny00YTA1LTk4YjctZWEwZDM4ODQzMjAz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178190765"/>
          <w:placeholder>
            <w:docPart w:val="60FB95137C364195ABEC7BB235105FD8"/>
          </w:placeholder>
        </w:sdtPr>
        <w:sdtContent>
          <w:r w:rsidR="00CC1788" w:rsidRPr="0053182F">
            <w:t>(DiMaggio and Powell, 1983; Scott, 2013)</w:t>
          </w:r>
        </w:sdtContent>
      </w:sdt>
      <w:r w:rsidRPr="0053182F">
        <w:t xml:space="preserve">. The core rationale underpinning this approach is the need to capture structural and institutional variation across countries and over time, thereby allowing for a rigorous examination of how national-level governance and socio-economic development influence MS prevalence, vulnerability, and state responses </w:t>
      </w:r>
      <w:sdt>
        <w:sdtPr>
          <w:tag w:val="MENDELEY_CITATION_v3_eyJjaXRhdGlvbklEIjoiTUVOREVMRVlfQ0lUQVRJT05fYTg4MzliYmMtODdmYS00MmJjLTg5NDAtMGY5ODA2ZmM0M2NlIiwicHJvcGVydGllcyI6eyJub3RlSW5kZXgiOjB9LCJpc0VkaXRlZCI6ZmFsc2UsIm1hbnVhbE92ZXJyaWRlIjp7ImlzTWFudWFsbHlPdmVycmlkZGVuIjpmYWxzZSwiY2l0ZXByb2NUZXh0IjoiKEVsYW1lciA8aT5ldCBhbC48L2k+LCAyMDIw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fSwiaXNUZW1wb3JhcnkiOmZhbHNlfV19"/>
          <w:id w:val="1299337708"/>
          <w:placeholder>
            <w:docPart w:val="268BCEFB7BE84719BAEC21DBDE674BAE"/>
          </w:placeholder>
        </w:sdtPr>
        <w:sdtContent>
          <w:r w:rsidR="00CC1788" w:rsidRPr="0053182F">
            <w:rPr>
              <w:rFonts w:eastAsia="Times New Roman"/>
            </w:rPr>
            <w:t xml:space="preserve">(Elamer </w:t>
          </w:r>
          <w:r w:rsidR="00CC1788" w:rsidRPr="0053182F">
            <w:rPr>
              <w:rFonts w:eastAsia="Times New Roman"/>
              <w:i/>
              <w:iCs/>
            </w:rPr>
            <w:t>et al.</w:t>
          </w:r>
          <w:r w:rsidR="00CC1788" w:rsidRPr="0053182F">
            <w:rPr>
              <w:rFonts w:eastAsia="Times New Roman"/>
            </w:rPr>
            <w:t xml:space="preserve">, 2020; Moussa </w:t>
          </w:r>
          <w:r w:rsidR="00CC1788" w:rsidRPr="0053182F">
            <w:rPr>
              <w:rFonts w:eastAsia="Times New Roman"/>
              <w:i/>
              <w:iCs/>
            </w:rPr>
            <w:t>et al.</w:t>
          </w:r>
          <w:r w:rsidR="00CC1788" w:rsidRPr="0053182F">
            <w:rPr>
              <w:rFonts w:eastAsia="Times New Roman"/>
            </w:rPr>
            <w:t>, 2022)</w:t>
          </w:r>
        </w:sdtContent>
      </w:sdt>
      <w:r w:rsidRPr="0053182F">
        <w:t xml:space="preserve">. </w:t>
      </w:r>
      <w:r w:rsidRPr="0053182F">
        <w:rPr>
          <w:rFonts w:eastAsia="Times New Roman"/>
          <w:color w:val="000000" w:themeColor="text1"/>
        </w:rPr>
        <w:t>Using longitudinal global panel data from 2016, 2018, and 2022, the study models how variations in IEQ, SDGI, and HDI affect MS outcomes across countries. The inclusion of macroeconomic controls—such as GDP growth, FDI, inflation, net migration, and the female share of the population—ensures that structural or demographic differences do not confound the results.</w:t>
      </w:r>
    </w:p>
    <w:p w14:paraId="58358038" w14:textId="77777777" w:rsidR="00D221EA" w:rsidRPr="0053182F" w:rsidRDefault="00D221EA" w:rsidP="00D221EA">
      <w:pPr>
        <w:spacing w:after="0" w:line="480" w:lineRule="auto"/>
        <w:jc w:val="both"/>
        <w:rPr>
          <w:rFonts w:eastAsia="Times New Roman"/>
          <w:color w:val="000000" w:themeColor="text1"/>
        </w:rPr>
      </w:pPr>
      <w:r w:rsidRPr="0053182F">
        <w:rPr>
          <w:rFonts w:eastAsia="Times New Roman"/>
          <w:color w:val="000000" w:themeColor="text1"/>
        </w:rPr>
        <w:t xml:space="preserve"> </w:t>
      </w:r>
      <w:r w:rsidRPr="0053182F">
        <w:tab/>
      </w:r>
      <w:r w:rsidRPr="0053182F">
        <w:rPr>
          <w:rFonts w:eastAsia="Times New Roman"/>
          <w:color w:val="000000" w:themeColor="text1"/>
        </w:rPr>
        <w:t xml:space="preserve">At the meso-level, the quantitative component focuses on firm-level governance dynamics, using data from G500 MNCs (2009–2023) to assess the impact of SGIs on CMS commitments. This analysis captures how institutional pressures manifest in corporate structures and sustainability practices, highlighting both normative and mimetic responses to external accountability expectations. </w:t>
      </w:r>
    </w:p>
    <w:p w14:paraId="1784D3FD" w14:textId="77777777" w:rsidR="00D221EA" w:rsidRPr="0053182F" w:rsidRDefault="00D221EA" w:rsidP="00D221EA">
      <w:pPr>
        <w:spacing w:line="480" w:lineRule="auto"/>
        <w:ind w:firstLine="720"/>
        <w:jc w:val="both"/>
      </w:pPr>
      <w:r w:rsidRPr="0053182F">
        <w:rPr>
          <w:rFonts w:eastAsia="Times New Roman"/>
          <w:color w:val="000000" w:themeColor="text1"/>
        </w:rPr>
        <w:t>Together, these quantitative analyses bridge the structural and organisational dimensions of MS and CMS, linking institutional environments with corporate conduct and disclosure behaviour. The integration of global and firm-level datasets strengthens the validity and generalisability of findings, while the longitudinal design enables examination of dynamic trends over time. Overall, the quantitative approach provides a rigorous, evidence-based foundation for understanding how governance systems at different levels interact to influence the persistence and eradication of MS in global supply chains.</w:t>
      </w:r>
    </w:p>
    <w:p w14:paraId="5DC55D1C" w14:textId="729D2CA9" w:rsidR="00D221EA" w:rsidRPr="0053182F" w:rsidRDefault="00D221EA" w:rsidP="00D221EA">
      <w:pPr>
        <w:spacing w:after="0" w:line="480" w:lineRule="auto"/>
        <w:ind w:firstLine="720"/>
        <w:jc w:val="both"/>
      </w:pPr>
      <w:r w:rsidRPr="0053182F">
        <w:rPr>
          <w:rFonts w:eastAsia="Palatino Linotype"/>
        </w:rPr>
        <w:t xml:space="preserve"> </w:t>
      </w:r>
      <w:r w:rsidRPr="0053182F">
        <w:rPr>
          <w:rStyle w:val="eop"/>
          <w:rFonts w:eastAsia="Palatino Linotype"/>
        </w:rPr>
        <w:t xml:space="preserve"> Longitudinal studies are commonly associated with positivist methodology due to their emphasis on quantifiable data and causal inference </w:t>
      </w:r>
      <w:sdt>
        <w:sdtPr>
          <w:rPr>
            <w:rStyle w:val="eop"/>
            <w:rFonts w:eastAsia="Palatino Linotype"/>
          </w:rPr>
          <w:tag w:val="MENDELEY_CITATION_v3_eyJjaXRhdGlvbklEIjoiTUVOREVMRVlfQ0lUQVRJT05fZmE3ODQ5MmQtMmU3OS00MGU4LWE5ODAtNDY0ZmI5OGI1Nzc3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
          <w:id w:val="2134288257"/>
        </w:sdtPr>
        <w:sdtContent>
          <w:r w:rsidR="00CC1788" w:rsidRPr="0053182F">
            <w:rPr>
              <w:rStyle w:val="eop"/>
              <w:rFonts w:eastAsia="Palatino Linotype"/>
            </w:rPr>
            <w:t>(Collis and Hussey, 2021)</w:t>
          </w:r>
        </w:sdtContent>
      </w:sdt>
      <w:r w:rsidRPr="0053182F">
        <w:rPr>
          <w:rStyle w:val="eop"/>
          <w:rFonts w:eastAsia="Palatino Linotype"/>
        </w:rPr>
        <w:t xml:space="preserve">. However, in some instances, longitudinal studies can also align with an interpretivist paradigm, particularly when exploring complex social phenomena or understanding the dynamics of research problems over time </w:t>
      </w:r>
      <w:sdt>
        <w:sdtPr>
          <w:rPr>
            <w:rStyle w:val="eop"/>
            <w:rFonts w:eastAsia="Palatino Linotype"/>
          </w:rPr>
          <w:tag w:val="MENDELEY_CITATION_v3_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"/>
          <w:id w:val="-1763451555"/>
          <w:placeholder>
            <w:docPart w:val="268BCEFB7BE84719BAEC21DBDE674BAE"/>
          </w:placeholder>
        </w:sdtPr>
        <w:sdtContent>
          <w:r w:rsidR="00CC1788" w:rsidRPr="0053182F">
            <w:rPr>
              <w:rStyle w:val="eop"/>
              <w:rFonts w:eastAsia="Palatino Linotype"/>
            </w:rPr>
            <w:t>(Bergman, 2008)</w:t>
          </w:r>
        </w:sdtContent>
      </w:sdt>
      <w:r w:rsidRPr="0053182F">
        <w:rPr>
          <w:rStyle w:val="eop"/>
          <w:rFonts w:eastAsia="Palatino Linotype"/>
        </w:rPr>
        <w:t xml:space="preserve">. A longitudinal study, which observes the same group of subjects over an extended period, embodies the principles of positivist methodology by rigorously examining empirical data to uncover patterns and regularities in human behaviour </w:t>
      </w:r>
      <w:sdt>
        <w:sdtPr>
          <w:rPr>
            <w:rStyle w:val="eop"/>
            <w:rFonts w:eastAsia="Palatino Linotype"/>
          </w:rPr>
          <w:tag w:val="MENDELEY_CITATION_v3_eyJjaXRhdGlvbklEIjoiTUVOREVMRVlfQ0lUQVRJT05fYjc3M2RmY2ItNDcyNC00OWQ4LWI3NWItZjBhMTc0ZTEyMmI2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
          <w:id w:val="1491134603"/>
        </w:sdtPr>
        <w:sdtContent>
          <w:r w:rsidR="00CC1788" w:rsidRPr="0053182F">
            <w:rPr>
              <w:rStyle w:val="eop"/>
              <w:rFonts w:eastAsia="Palatino Linotype"/>
            </w:rPr>
            <w:t>(Collis and Hussey, 2021)</w:t>
          </w:r>
        </w:sdtContent>
      </w:sdt>
      <w:r w:rsidRPr="0053182F">
        <w:rPr>
          <w:rStyle w:val="eop"/>
          <w:rFonts w:eastAsia="Palatino Linotype"/>
        </w:rPr>
        <w:t xml:space="preserve">. This research design enables systematic tracking of changes in variables of interest over time, providing insights into developmental trajectories, causal relationships, and the dynamic nature of social phenomena. However, longitudinal studies can also incorporate elements of cross-sectional analysis by collecting data from different groups of subjects at each time point, thus offering a broader perspective on population dynamics </w:t>
      </w:r>
      <w:sdt>
        <w:sdtPr>
          <w:rPr>
            <w:rStyle w:val="eop"/>
            <w:rFonts w:eastAsia="Palatino Linotype"/>
          </w:rPr>
          <w:tag w:val="MENDELEY_CITATION_v3_eyJjaXRhdGlvbklEIjoiTUVOREVMRVlfQ0lUQVRJT05fYjU0YTc5YmMtN2RmOC00MzA1LWE0MDUtMjUwZGRiYzBlMmMwIiwicHJvcGVydGllcyI6eyJub3RlSW5kZXgiOjB9LCJpc0VkaXRlZCI6ZmFsc2UsIm1hbnVhbE92ZXJyaWRlIjp7ImlzTWFudWFsbHlPdmVycmlkZGVuIjpmYWxzZSwiY2l0ZXByb2NUZXh0IjoiKEJlcmdtYW4sIDIwMDg7IENyZXN3ZWxsLCAyMDE0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0s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1dfQ=="/>
          <w:id w:val="1932384188"/>
          <w:placeholder>
            <w:docPart w:val="268BCEFB7BE84719BAEC21DBDE674BAE"/>
          </w:placeholder>
        </w:sdtPr>
        <w:sdtContent>
          <w:r w:rsidR="00CC1788" w:rsidRPr="0053182F">
            <w:rPr>
              <w:rStyle w:val="eop"/>
              <w:rFonts w:eastAsia="Palatino Linotype"/>
            </w:rPr>
            <w:t>(Bergman, 2008; Creswell, 2014)</w:t>
          </w:r>
        </w:sdtContent>
      </w:sdt>
      <w:r w:rsidRPr="0053182F">
        <w:rPr>
          <w:rStyle w:val="eop"/>
          <w:rFonts w:eastAsia="Palatino Linotype"/>
        </w:rPr>
        <w:t xml:space="preserve">. </w:t>
      </w:r>
    </w:p>
    <w:p w14:paraId="7791F0F5" w14:textId="77777777" w:rsidR="00D221EA" w:rsidRPr="0053182F" w:rsidRDefault="00D221EA" w:rsidP="00D221EA">
      <w:pPr>
        <w:spacing w:after="0" w:line="480" w:lineRule="auto"/>
        <w:ind w:firstLine="720"/>
        <w:jc w:val="both"/>
      </w:pPr>
      <w:r w:rsidRPr="0053182F">
        <w:rPr>
          <w:rStyle w:val="eop"/>
          <w:rFonts w:eastAsia="Palatino Linotype"/>
        </w:rPr>
        <w:t xml:space="preserve"> Through this longitudinal lens, the study seeks to go beyond mere correlation and causation, delving into the nuanced interactions and contextual factors that shape business practices related to the research problem. This interpretivist perspective allows for a deeper understanding of how these variables are socially constructed and influenced by broader societal dynamics. By combining the longitudinal approach with cross-sectional elements, this study generates comprehensive insights into how variables interact and evolve over time within a population, while adhering to the scientific principles of positivism.</w:t>
      </w:r>
    </w:p>
    <w:p w14:paraId="34D5D586" w14:textId="77777777" w:rsidR="00D221EA" w:rsidRPr="0053182F" w:rsidRDefault="00D221EA" w:rsidP="00D221EA">
      <w:pPr>
        <w:spacing w:after="0" w:line="480" w:lineRule="auto"/>
        <w:ind w:firstLine="720"/>
        <w:jc w:val="both"/>
        <w:rPr>
          <w:rStyle w:val="eop"/>
          <w:rFonts w:eastAsia="Palatino Linotype"/>
        </w:rPr>
      </w:pPr>
      <w:r w:rsidRPr="0053182F">
        <w:rPr>
          <w:rStyle w:val="eop"/>
          <w:rFonts w:eastAsia="Palatino Linotype"/>
        </w:rPr>
        <w:t>Table 6.3 summarises the key advantages and disadvantages of the quantitative research approach adopted in this research. While it offers objectivity, scalability, and empirical rigour, its limitations in contextual interpretation are mitigated through the complementary qualitative phase of this mixed-methods design.</w:t>
      </w:r>
    </w:p>
    <w:p w14:paraId="0A6D4C86" w14:textId="77777777" w:rsidR="00D221EA" w:rsidRPr="0053182F" w:rsidRDefault="00D221EA" w:rsidP="00D221EA">
      <w:pPr>
        <w:tabs>
          <w:tab w:val="left" w:pos="5620"/>
        </w:tabs>
      </w:pPr>
      <w:r w:rsidRPr="0053182F">
        <w:rPr>
          <w:b/>
          <w:bCs/>
        </w:rPr>
        <w:t>Table 6.3</w:t>
      </w:r>
      <w:r w:rsidRPr="0053182F">
        <w:t>: Advantages and Disadvantages of the Quantitative Research Approach</w:t>
      </w:r>
      <w:r w:rsidRPr="0053182F">
        <w:tab/>
      </w:r>
    </w:p>
    <w:tbl>
      <w:tblPr>
        <w:tblW w:w="9026" w:type="dxa"/>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4656"/>
        <w:gridCol w:w="4370"/>
      </w:tblGrid>
      <w:tr w:rsidR="00D221EA" w:rsidRPr="0053182F" w14:paraId="33222917" w14:textId="77777777" w:rsidTr="00D20468">
        <w:trPr>
          <w:trHeight w:val="293"/>
          <w:tblHeader/>
          <w:tblCellSpacing w:w="15" w:type="dxa"/>
        </w:trPr>
        <w:tc>
          <w:tcPr>
            <w:tcW w:w="0" w:type="auto"/>
            <w:tcBorders>
              <w:top w:val="nil"/>
              <w:bottom w:val="single" w:sz="4" w:space="0" w:color="auto"/>
            </w:tcBorders>
            <w:vAlign w:val="center"/>
            <w:hideMark/>
          </w:tcPr>
          <w:p w14:paraId="1E1D782A"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Advantages (Strengths)</w:t>
            </w:r>
          </w:p>
        </w:tc>
        <w:tc>
          <w:tcPr>
            <w:tcW w:w="0" w:type="auto"/>
            <w:tcBorders>
              <w:top w:val="nil"/>
              <w:bottom w:val="single" w:sz="4" w:space="0" w:color="auto"/>
            </w:tcBorders>
            <w:vAlign w:val="center"/>
            <w:hideMark/>
          </w:tcPr>
          <w:p w14:paraId="6B97A1AC"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Disadvantages (Limitations)</w:t>
            </w:r>
          </w:p>
        </w:tc>
      </w:tr>
      <w:tr w:rsidR="00D221EA" w:rsidRPr="0053182F" w14:paraId="11F6D60F" w14:textId="77777777" w:rsidTr="00D20468">
        <w:trPr>
          <w:trHeight w:val="1174"/>
          <w:tblCellSpacing w:w="15" w:type="dxa"/>
        </w:trPr>
        <w:tc>
          <w:tcPr>
            <w:tcW w:w="0" w:type="auto"/>
            <w:vAlign w:val="center"/>
            <w:hideMark/>
          </w:tcPr>
          <w:p w14:paraId="408F1685"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1. </w:t>
            </w:r>
            <w:r w:rsidRPr="0053182F">
              <w:rPr>
                <w:rFonts w:eastAsia="Times New Roman"/>
                <w:b/>
                <w:bCs/>
                <w:color w:val="auto"/>
                <w:kern w:val="0"/>
                <w:lang w:eastAsia="en-GB"/>
                <w14:ligatures w14:val="none"/>
              </w:rPr>
              <w:t>Objectivity and Replicability</w:t>
            </w:r>
            <w:r w:rsidRPr="0053182F">
              <w:rPr>
                <w:rFonts w:eastAsia="Times New Roman"/>
                <w:color w:val="auto"/>
                <w:kern w:val="0"/>
                <w:lang w:eastAsia="en-GB"/>
                <w14:ligatures w14:val="none"/>
              </w:rPr>
              <w:t xml:space="preserve"> – Ensures consistency and reliability through standardised data collection and statistical analysis.</w:t>
            </w:r>
          </w:p>
        </w:tc>
        <w:tc>
          <w:tcPr>
            <w:tcW w:w="0" w:type="auto"/>
            <w:vAlign w:val="center"/>
            <w:hideMark/>
          </w:tcPr>
          <w:p w14:paraId="4C5FCAE0"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1. </w:t>
            </w:r>
            <w:r w:rsidRPr="0053182F">
              <w:rPr>
                <w:rFonts w:eastAsia="Times New Roman"/>
                <w:b/>
                <w:bCs/>
                <w:color w:val="auto"/>
                <w:kern w:val="0"/>
                <w:lang w:eastAsia="en-GB"/>
                <w14:ligatures w14:val="none"/>
              </w:rPr>
              <w:t>Limited Contextual Understanding</w:t>
            </w:r>
            <w:r w:rsidRPr="0053182F">
              <w:rPr>
                <w:rFonts w:eastAsia="Times New Roman"/>
                <w:color w:val="auto"/>
                <w:kern w:val="0"/>
                <w:lang w:eastAsia="en-GB"/>
                <w14:ligatures w14:val="none"/>
              </w:rPr>
              <w:t xml:space="preserve"> – Fails to capture human experiences, perceptions, and contextual nuances behind data patterns.</w:t>
            </w:r>
          </w:p>
        </w:tc>
      </w:tr>
      <w:tr w:rsidR="00D221EA" w:rsidRPr="0053182F" w14:paraId="3DD42D9A" w14:textId="77777777" w:rsidTr="00D20468">
        <w:trPr>
          <w:trHeight w:val="1174"/>
          <w:tblCellSpacing w:w="15" w:type="dxa"/>
        </w:trPr>
        <w:tc>
          <w:tcPr>
            <w:tcW w:w="0" w:type="auto"/>
            <w:vAlign w:val="center"/>
            <w:hideMark/>
          </w:tcPr>
          <w:p w14:paraId="457EB964"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2. </w:t>
            </w:r>
            <w:r w:rsidRPr="0053182F">
              <w:rPr>
                <w:rFonts w:eastAsia="Times New Roman"/>
                <w:b/>
                <w:bCs/>
                <w:color w:val="auto"/>
                <w:kern w:val="0"/>
                <w:lang w:eastAsia="en-GB"/>
                <w14:ligatures w14:val="none"/>
              </w:rPr>
              <w:t>Generalizability</w:t>
            </w:r>
            <w:r w:rsidRPr="0053182F">
              <w:rPr>
                <w:rFonts w:eastAsia="Times New Roman"/>
                <w:color w:val="auto"/>
                <w:kern w:val="0"/>
                <w:lang w:eastAsia="en-GB"/>
                <w14:ligatures w14:val="none"/>
              </w:rPr>
              <w:t xml:space="preserve"> – Large, representative samples (e.g., Global 500 firms over 14 years) enable findings to be applied across wider populations or industries.</w:t>
            </w:r>
          </w:p>
        </w:tc>
        <w:tc>
          <w:tcPr>
            <w:tcW w:w="0" w:type="auto"/>
            <w:vAlign w:val="center"/>
            <w:hideMark/>
          </w:tcPr>
          <w:p w14:paraId="299B1728"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2. </w:t>
            </w:r>
            <w:r w:rsidRPr="0053182F">
              <w:rPr>
                <w:rFonts w:eastAsia="Times New Roman"/>
                <w:b/>
                <w:bCs/>
                <w:color w:val="auto"/>
                <w:kern w:val="0"/>
                <w:lang w:eastAsia="en-GB"/>
                <w14:ligatures w14:val="none"/>
              </w:rPr>
              <w:t>Over-Simplification of Complex Phenomena</w:t>
            </w:r>
            <w:r w:rsidRPr="0053182F">
              <w:rPr>
                <w:rFonts w:eastAsia="Times New Roman"/>
                <w:color w:val="auto"/>
                <w:kern w:val="0"/>
                <w:lang w:eastAsia="en-GB"/>
                <w14:ligatures w14:val="none"/>
              </w:rPr>
              <w:t xml:space="preserve"> – Reduces multi-dimensional issues like modern slavery or sustainability to quantifiable indicators.</w:t>
            </w:r>
          </w:p>
        </w:tc>
      </w:tr>
      <w:tr w:rsidR="00D221EA" w:rsidRPr="0053182F" w14:paraId="20CD54D8" w14:textId="77777777" w:rsidTr="00D20468">
        <w:trPr>
          <w:trHeight w:val="1174"/>
          <w:tblCellSpacing w:w="15" w:type="dxa"/>
        </w:trPr>
        <w:tc>
          <w:tcPr>
            <w:tcW w:w="0" w:type="auto"/>
            <w:vAlign w:val="center"/>
            <w:hideMark/>
          </w:tcPr>
          <w:p w14:paraId="0FE63F25"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3. </w:t>
            </w:r>
            <w:r w:rsidRPr="0053182F">
              <w:rPr>
                <w:rFonts w:eastAsia="Times New Roman"/>
                <w:b/>
                <w:bCs/>
                <w:color w:val="auto"/>
                <w:kern w:val="0"/>
                <w:lang w:eastAsia="en-GB"/>
                <w14:ligatures w14:val="none"/>
              </w:rPr>
              <w:t>Causal Analysis</w:t>
            </w:r>
            <w:r w:rsidRPr="0053182F">
              <w:rPr>
                <w:rFonts w:eastAsia="Times New Roman"/>
                <w:color w:val="auto"/>
                <w:kern w:val="0"/>
                <w:lang w:eastAsia="en-GB"/>
                <w14:ligatures w14:val="none"/>
              </w:rPr>
              <w:t xml:space="preserve"> – Enables identification of relationships and causality among variables through techniques such as regression and correlation analysis.</w:t>
            </w:r>
          </w:p>
        </w:tc>
        <w:tc>
          <w:tcPr>
            <w:tcW w:w="0" w:type="auto"/>
            <w:vAlign w:val="center"/>
            <w:hideMark/>
          </w:tcPr>
          <w:p w14:paraId="0F112BE3"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3. </w:t>
            </w:r>
            <w:r w:rsidRPr="0053182F">
              <w:rPr>
                <w:rFonts w:eastAsia="Times New Roman"/>
                <w:b/>
                <w:bCs/>
                <w:color w:val="auto"/>
                <w:kern w:val="0"/>
                <w:lang w:eastAsia="en-GB"/>
                <w14:ligatures w14:val="none"/>
              </w:rPr>
              <w:t>Dependence on Secondary Data Quality</w:t>
            </w:r>
            <w:r w:rsidRPr="0053182F">
              <w:rPr>
                <w:rFonts w:eastAsia="Times New Roman"/>
                <w:color w:val="auto"/>
                <w:kern w:val="0"/>
                <w:lang w:eastAsia="en-GB"/>
                <w14:ligatures w14:val="none"/>
              </w:rPr>
              <w:t xml:space="preserve"> – Inconsistent or missing data across countries or firms may affect accuracy and validity.</w:t>
            </w:r>
          </w:p>
        </w:tc>
      </w:tr>
      <w:tr w:rsidR="00D221EA" w:rsidRPr="0053182F" w14:paraId="7E6670A1" w14:textId="77777777" w:rsidTr="00D20468">
        <w:trPr>
          <w:trHeight w:val="1174"/>
          <w:tblCellSpacing w:w="15" w:type="dxa"/>
        </w:trPr>
        <w:tc>
          <w:tcPr>
            <w:tcW w:w="0" w:type="auto"/>
            <w:vAlign w:val="center"/>
            <w:hideMark/>
          </w:tcPr>
          <w:p w14:paraId="003CB0D9"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4. </w:t>
            </w:r>
            <w:r w:rsidRPr="0053182F">
              <w:rPr>
                <w:rFonts w:eastAsia="Times New Roman"/>
                <w:b/>
                <w:bCs/>
                <w:color w:val="auto"/>
                <w:kern w:val="0"/>
                <w:lang w:eastAsia="en-GB"/>
                <w14:ligatures w14:val="none"/>
              </w:rPr>
              <w:t>Efficiency and Precision</w:t>
            </w:r>
            <w:r w:rsidRPr="0053182F">
              <w:rPr>
                <w:rFonts w:eastAsia="Times New Roman"/>
                <w:color w:val="auto"/>
                <w:kern w:val="0"/>
                <w:lang w:eastAsia="en-GB"/>
                <w14:ligatures w14:val="none"/>
              </w:rPr>
              <w:t xml:space="preserve"> – Facilitates systematic data analysis, offering clarity and measurable insights in less time compared to qualitative methods.</w:t>
            </w:r>
          </w:p>
        </w:tc>
        <w:tc>
          <w:tcPr>
            <w:tcW w:w="0" w:type="auto"/>
            <w:vAlign w:val="center"/>
            <w:hideMark/>
          </w:tcPr>
          <w:p w14:paraId="33592829"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4. </w:t>
            </w:r>
            <w:r w:rsidRPr="0053182F">
              <w:rPr>
                <w:rFonts w:eastAsia="Times New Roman"/>
                <w:b/>
                <w:bCs/>
                <w:color w:val="auto"/>
                <w:kern w:val="0"/>
                <w:lang w:eastAsia="en-GB"/>
                <w14:ligatures w14:val="none"/>
              </w:rPr>
              <w:t>Rigid Research Design</w:t>
            </w:r>
            <w:r w:rsidRPr="0053182F">
              <w:rPr>
                <w:rFonts w:eastAsia="Times New Roman"/>
                <w:color w:val="auto"/>
                <w:kern w:val="0"/>
                <w:lang w:eastAsia="en-GB"/>
                <w14:ligatures w14:val="none"/>
              </w:rPr>
              <w:t xml:space="preserve"> – Reliance on predefined hypotheses and variables limits flexibility to explore emerging themes or unexpected results.</w:t>
            </w:r>
          </w:p>
        </w:tc>
      </w:tr>
      <w:tr w:rsidR="00D221EA" w:rsidRPr="0053182F" w14:paraId="2C469C56" w14:textId="77777777" w:rsidTr="00D20468">
        <w:trPr>
          <w:trHeight w:val="1174"/>
          <w:tblCellSpacing w:w="15" w:type="dxa"/>
        </w:trPr>
        <w:tc>
          <w:tcPr>
            <w:tcW w:w="0" w:type="auto"/>
            <w:vAlign w:val="center"/>
            <w:hideMark/>
          </w:tcPr>
          <w:p w14:paraId="3AFBC082"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5. </w:t>
            </w:r>
            <w:r w:rsidRPr="0053182F">
              <w:rPr>
                <w:rFonts w:eastAsia="Times New Roman"/>
                <w:b/>
                <w:bCs/>
                <w:color w:val="auto"/>
                <w:kern w:val="0"/>
                <w:lang w:eastAsia="en-GB"/>
                <w14:ligatures w14:val="none"/>
              </w:rPr>
              <w:t>Comparability</w:t>
            </w:r>
            <w:r w:rsidRPr="0053182F">
              <w:rPr>
                <w:rFonts w:eastAsia="Times New Roman"/>
                <w:color w:val="auto"/>
                <w:kern w:val="0"/>
                <w:lang w:eastAsia="en-GB"/>
                <w14:ligatures w14:val="none"/>
              </w:rPr>
              <w:t xml:space="preserve"> – Allows cross-national or cross-industry comparison using standardised indicators such as SDGI, HDI, or ESG metrics.</w:t>
            </w:r>
          </w:p>
        </w:tc>
        <w:tc>
          <w:tcPr>
            <w:tcW w:w="0" w:type="auto"/>
            <w:vAlign w:val="center"/>
            <w:hideMark/>
          </w:tcPr>
          <w:p w14:paraId="671503FB"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5. </w:t>
            </w:r>
            <w:r w:rsidRPr="0053182F">
              <w:rPr>
                <w:rFonts w:eastAsia="Times New Roman"/>
                <w:b/>
                <w:bCs/>
                <w:color w:val="auto"/>
                <w:kern w:val="0"/>
                <w:lang w:eastAsia="en-GB"/>
                <w14:ligatures w14:val="none"/>
              </w:rPr>
              <w:t>Measurement and Response Bias</w:t>
            </w:r>
            <w:r w:rsidRPr="0053182F">
              <w:rPr>
                <w:rFonts w:eastAsia="Times New Roman"/>
                <w:color w:val="auto"/>
                <w:kern w:val="0"/>
                <w:lang w:eastAsia="en-GB"/>
                <w14:ligatures w14:val="none"/>
              </w:rPr>
              <w:t xml:space="preserve"> – Survey or secondary data may contain errors, misreporting, or biases in coding and interpretation.</w:t>
            </w:r>
          </w:p>
        </w:tc>
      </w:tr>
      <w:tr w:rsidR="00D221EA" w:rsidRPr="0053182F" w14:paraId="1F648873" w14:textId="77777777" w:rsidTr="00D20468">
        <w:trPr>
          <w:trHeight w:val="1174"/>
          <w:tblCellSpacing w:w="15" w:type="dxa"/>
        </w:trPr>
        <w:tc>
          <w:tcPr>
            <w:tcW w:w="0" w:type="auto"/>
            <w:vAlign w:val="center"/>
            <w:hideMark/>
          </w:tcPr>
          <w:p w14:paraId="2BE85527"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6. </w:t>
            </w:r>
            <w:r w:rsidRPr="0053182F">
              <w:rPr>
                <w:rFonts w:eastAsia="Times New Roman"/>
                <w:b/>
                <w:bCs/>
                <w:color w:val="auto"/>
                <w:kern w:val="0"/>
                <w:lang w:eastAsia="en-GB"/>
                <w14:ligatures w14:val="none"/>
              </w:rPr>
              <w:t>Supports Hypothesis Testing</w:t>
            </w:r>
            <w:r w:rsidRPr="0053182F">
              <w:rPr>
                <w:rFonts w:eastAsia="Times New Roman"/>
                <w:color w:val="auto"/>
                <w:kern w:val="0"/>
                <w:lang w:eastAsia="en-GB"/>
                <w14:ligatures w14:val="none"/>
              </w:rPr>
              <w:t xml:space="preserve"> – Strengthens theory-building by empirically validating relationships within and across governance levels.</w:t>
            </w:r>
          </w:p>
        </w:tc>
        <w:tc>
          <w:tcPr>
            <w:tcW w:w="0" w:type="auto"/>
            <w:vAlign w:val="center"/>
            <w:hideMark/>
          </w:tcPr>
          <w:p w14:paraId="0B177EB4" w14:textId="77777777" w:rsidR="00D221EA" w:rsidRPr="0053182F" w:rsidRDefault="00D221EA" w:rsidP="00D20468">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6. </w:t>
            </w:r>
            <w:r w:rsidRPr="0053182F">
              <w:rPr>
                <w:rFonts w:eastAsia="Times New Roman"/>
                <w:b/>
                <w:bCs/>
                <w:color w:val="auto"/>
                <w:kern w:val="0"/>
                <w:lang w:eastAsia="en-GB"/>
                <w14:ligatures w14:val="none"/>
              </w:rPr>
              <w:t>Lack of Depth</w:t>
            </w:r>
            <w:r w:rsidRPr="0053182F">
              <w:rPr>
                <w:rFonts w:eastAsia="Times New Roman"/>
                <w:color w:val="auto"/>
                <w:kern w:val="0"/>
                <w:lang w:eastAsia="en-GB"/>
                <w14:ligatures w14:val="none"/>
              </w:rPr>
              <w:t xml:space="preserve"> – Quantitative results may identify ‘what’ and ‘how much,’ but not fully explain the ‘why’ behind observed behaviours.</w:t>
            </w:r>
          </w:p>
        </w:tc>
      </w:tr>
    </w:tbl>
    <w:p w14:paraId="6ED35B12" w14:textId="77777777" w:rsidR="00D221EA" w:rsidRPr="0053182F" w:rsidRDefault="00D221EA" w:rsidP="00D221EA">
      <w:bookmarkStart w:id="271" w:name="_Toc215651866"/>
      <w:r w:rsidRPr="0053182F">
        <w:rPr>
          <w:b/>
          <w:bCs/>
        </w:rPr>
        <w:t>Source:</w:t>
      </w:r>
      <w:r w:rsidRPr="0053182F">
        <w:t xml:space="preserve"> Author’s own work</w:t>
      </w:r>
    </w:p>
    <w:p w14:paraId="3D59C3B1" w14:textId="7B0D1957" w:rsidR="00D221EA" w:rsidRPr="0053182F" w:rsidRDefault="00D221EA" w:rsidP="00D221EA">
      <w:pPr>
        <w:pStyle w:val="Heading2"/>
      </w:pPr>
      <w:bookmarkStart w:id="272" w:name="_Toc218357156"/>
      <w:r w:rsidRPr="0053182F">
        <w:t>6.</w:t>
      </w:r>
      <w:r w:rsidR="000C6C3D" w:rsidRPr="0053182F">
        <w:t>9</w:t>
      </w:r>
      <w:r w:rsidRPr="0053182F">
        <w:t xml:space="preserve">. Qualitative </w:t>
      </w:r>
      <w:r w:rsidRPr="0053182F">
        <w:rPr>
          <w:rStyle w:val="Heading3Char"/>
          <w:b/>
        </w:rPr>
        <w:t>Approach</w:t>
      </w:r>
      <w:bookmarkEnd w:id="271"/>
      <w:bookmarkEnd w:id="272"/>
    </w:p>
    <w:p w14:paraId="37B52469" w14:textId="402DA2F3" w:rsidR="00D221EA" w:rsidRPr="0053182F" w:rsidRDefault="00D221EA" w:rsidP="00D221EA">
      <w:pPr>
        <w:pStyle w:val="Heading3"/>
      </w:pPr>
      <w:bookmarkStart w:id="273" w:name="_Toc215651867"/>
      <w:bookmarkStart w:id="274" w:name="_Toc218357157"/>
      <w:r w:rsidRPr="0053182F">
        <w:t>6.</w:t>
      </w:r>
      <w:r w:rsidR="000C6C3D" w:rsidRPr="0053182F">
        <w:t>9</w:t>
      </w:r>
      <w:r w:rsidRPr="0053182F">
        <w:t>.1 Meso-Level Extension</w:t>
      </w:r>
      <w:bookmarkEnd w:id="273"/>
      <w:bookmarkEnd w:id="274"/>
    </w:p>
    <w:p w14:paraId="3B429215" w14:textId="77777777" w:rsidR="00D221EA" w:rsidRPr="0053182F" w:rsidRDefault="00D221EA" w:rsidP="00D221EA">
      <w:pPr>
        <w:spacing w:after="0" w:line="480" w:lineRule="auto"/>
        <w:ind w:firstLine="720"/>
        <w:jc w:val="both"/>
        <w:rPr>
          <w:color w:val="auto"/>
        </w:rPr>
      </w:pPr>
      <w:r w:rsidRPr="0053182F">
        <w:rPr>
          <w:color w:val="auto"/>
        </w:rPr>
        <w:t>This qualitative phase focuses specifically on corporate disclosure practices among leading apparel and textile MNCs, providing insight into how firms narrate, legitimise, and operationalise their commitments to AMS. By analysing annual reports (AR), integrated annual reports (IAR), impact reports (IR), CMS statements, sustainability reports, human rights policies, and related governance disclosures, media reports, this phase assesses whether firms demonstrate substantive accountability or engage in symbolic compliance.</w:t>
      </w:r>
    </w:p>
    <w:p w14:paraId="03EB037A" w14:textId="77777777" w:rsidR="00D221EA" w:rsidRPr="0053182F" w:rsidRDefault="00D221EA" w:rsidP="00D221EA">
      <w:pPr>
        <w:rPr>
          <w:b/>
          <w:bCs/>
          <w:u w:val="single"/>
        </w:rPr>
      </w:pPr>
      <w:r w:rsidRPr="0053182F">
        <w:rPr>
          <w:b/>
          <w:bCs/>
          <w:u w:val="single"/>
        </w:rPr>
        <w:t xml:space="preserve">Strengths and Weaknesses of the Disclosure Analysis </w:t>
      </w:r>
    </w:p>
    <w:p w14:paraId="69F11C9C" w14:textId="77777777" w:rsidR="00D221EA" w:rsidRPr="0053182F" w:rsidRDefault="00D221EA" w:rsidP="00D221EA">
      <w:pPr>
        <w:spacing w:after="0" w:line="480" w:lineRule="auto"/>
        <w:jc w:val="both"/>
        <w:rPr>
          <w:color w:val="EE0000"/>
        </w:rPr>
      </w:pPr>
      <w:r w:rsidRPr="0053182F">
        <w:rPr>
          <w:color w:val="EE0000"/>
        </w:rPr>
        <w:t xml:space="preserve">The meso-level disclosure analysis offers valuable insight into how leading apparel and textile MNCs publicly construct and communicate their commitments to ACMS governance. By examining multiple reporting channels over five years, the method provides longitudinal visibility into shifts in transparency, due diligence practices, and the extent to which firms demonstrate substantive accountability or symbolic compliance. This strengthens the overall mixed-methods design by enabling triangulation between institutional pressures, corporate governance mechanisms, and on-the-ground realities in supplier contexts. </w:t>
      </w:r>
    </w:p>
    <w:p w14:paraId="61E37CD6" w14:textId="7AAD3485" w:rsidR="00D221EA" w:rsidRPr="0053182F" w:rsidRDefault="00D221EA" w:rsidP="00D221EA">
      <w:pPr>
        <w:spacing w:after="0" w:line="480" w:lineRule="auto"/>
        <w:ind w:firstLine="720"/>
        <w:jc w:val="both"/>
        <w:rPr>
          <w:color w:val="EE0000"/>
        </w:rPr>
      </w:pPr>
      <w:r w:rsidRPr="0053182F">
        <w:rPr>
          <w:color w:val="EE0000"/>
        </w:rPr>
        <w:t xml:space="preserve">However, the approach also carries inherent limitations. Corporate reports are self-produced, strategically curated narratives that may omit sensitive information, emphasise reputational goals, or exaggerate compliance efforts </w:t>
      </w:r>
      <w:sdt>
        <w:sdtPr>
          <w:tag w:val="MENDELEY_CITATION_v3_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1dfQ=="/>
          <w:id w:val="-570510693"/>
          <w:placeholder>
            <w:docPart w:val="701A86C3621B449DBEAFEBEB96BB5145"/>
          </w:placeholder>
        </w:sdtPr>
        <w:sdtContent>
          <w:r w:rsidR="00CC1788" w:rsidRPr="0053182F">
            <w:rPr>
              <w:rFonts w:eastAsia="Times New Roman"/>
            </w:rPr>
            <w:t>(Creswell, 2014; Karamatzanis et al., 2025)</w:t>
          </w:r>
        </w:sdtContent>
      </w:sdt>
      <w:r w:rsidRPr="0053182F">
        <w:rPr>
          <w:color w:val="EE0000"/>
        </w:rPr>
        <w:t>. Variations in reporting standards across firms and jurisdictions further complicate comparability, and disclosures may not accurately reflect operational practices within lower-tier supply chains. These strengths and weaknesses are recognised in the interpretation of the findings and are detailed comprehensively in Table 6.4.</w:t>
      </w:r>
    </w:p>
    <w:p w14:paraId="6F391AB8" w14:textId="77777777" w:rsidR="00D221EA" w:rsidRPr="0053182F" w:rsidRDefault="00D221EA" w:rsidP="00D221EA">
      <w:pPr>
        <w:rPr>
          <w:rFonts w:eastAsia="Times New Roman"/>
        </w:rPr>
      </w:pPr>
      <w:r w:rsidRPr="0053182F">
        <w:rPr>
          <w:b/>
          <w:bCs/>
        </w:rPr>
        <w:t>Table 6.4</w:t>
      </w:r>
      <w:r w:rsidRPr="0053182F">
        <w:t xml:space="preserve">: </w:t>
      </w:r>
      <w:r w:rsidRPr="0053182F">
        <w:rPr>
          <w:rFonts w:eastAsia="Times New Roman"/>
        </w:rPr>
        <w:t>Strengths and Limitations of the Disclosure Analysis (Meso-Level Extension)</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971"/>
        <w:gridCol w:w="3818"/>
        <w:gridCol w:w="3237"/>
      </w:tblGrid>
      <w:tr w:rsidR="00D221EA" w:rsidRPr="0053182F" w14:paraId="21873C2A" w14:textId="77777777" w:rsidTr="00D20468">
        <w:trPr>
          <w:tblHeader/>
          <w:tblCellSpacing w:w="15" w:type="dxa"/>
        </w:trPr>
        <w:tc>
          <w:tcPr>
            <w:tcW w:w="0" w:type="auto"/>
            <w:tcBorders>
              <w:top w:val="nil"/>
              <w:bottom w:val="single" w:sz="4" w:space="0" w:color="auto"/>
            </w:tcBorders>
            <w:vAlign w:val="center"/>
            <w:hideMark/>
          </w:tcPr>
          <w:p w14:paraId="7CC30425"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Aspect</w:t>
            </w:r>
          </w:p>
        </w:tc>
        <w:tc>
          <w:tcPr>
            <w:tcW w:w="0" w:type="auto"/>
            <w:tcBorders>
              <w:top w:val="nil"/>
              <w:bottom w:val="single" w:sz="4" w:space="0" w:color="auto"/>
            </w:tcBorders>
            <w:vAlign w:val="center"/>
            <w:hideMark/>
          </w:tcPr>
          <w:p w14:paraId="6082F0A8"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Strengths</w:t>
            </w:r>
          </w:p>
        </w:tc>
        <w:tc>
          <w:tcPr>
            <w:tcW w:w="0" w:type="auto"/>
            <w:tcBorders>
              <w:top w:val="nil"/>
              <w:bottom w:val="single" w:sz="4" w:space="0" w:color="auto"/>
            </w:tcBorders>
            <w:vAlign w:val="center"/>
            <w:hideMark/>
          </w:tcPr>
          <w:p w14:paraId="1A57488E"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Limitations</w:t>
            </w:r>
          </w:p>
        </w:tc>
      </w:tr>
      <w:tr w:rsidR="00D221EA" w:rsidRPr="0053182F" w14:paraId="753D335F" w14:textId="77777777" w:rsidTr="00D20468">
        <w:trPr>
          <w:tblCellSpacing w:w="15" w:type="dxa"/>
        </w:trPr>
        <w:tc>
          <w:tcPr>
            <w:tcW w:w="0" w:type="auto"/>
            <w:vAlign w:val="center"/>
            <w:hideMark/>
          </w:tcPr>
          <w:p w14:paraId="5C1BE329"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Access and Availability</w:t>
            </w:r>
          </w:p>
        </w:tc>
        <w:tc>
          <w:tcPr>
            <w:tcW w:w="0" w:type="auto"/>
            <w:vAlign w:val="center"/>
            <w:hideMark/>
          </w:tcPr>
          <w:p w14:paraId="34E675CF"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reports are publicly available, verifiable, and auditable, enabling transparent, replicable analysis across years and firms.</w:t>
            </w:r>
          </w:p>
        </w:tc>
        <w:tc>
          <w:tcPr>
            <w:tcW w:w="0" w:type="auto"/>
            <w:vAlign w:val="center"/>
            <w:hideMark/>
          </w:tcPr>
          <w:p w14:paraId="08425ED8"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Disclosure quality varies across firms and countries; not all relevant information is disclosed, creating potential data gaps.</w:t>
            </w:r>
          </w:p>
        </w:tc>
      </w:tr>
      <w:tr w:rsidR="00D221EA" w:rsidRPr="0053182F" w14:paraId="7A0471A6" w14:textId="77777777" w:rsidTr="00D20468">
        <w:trPr>
          <w:tblCellSpacing w:w="15" w:type="dxa"/>
        </w:trPr>
        <w:tc>
          <w:tcPr>
            <w:tcW w:w="0" w:type="auto"/>
            <w:vAlign w:val="center"/>
            <w:hideMark/>
          </w:tcPr>
          <w:p w14:paraId="47E8B87A"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Longitudinal Insight</w:t>
            </w:r>
          </w:p>
        </w:tc>
        <w:tc>
          <w:tcPr>
            <w:tcW w:w="0" w:type="auto"/>
            <w:vAlign w:val="center"/>
            <w:hideMark/>
          </w:tcPr>
          <w:p w14:paraId="45F9E8A0"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Enables tracking of changes in reporting quality, narrative framing, and AMS commitments over time (2019–2023).</w:t>
            </w:r>
          </w:p>
        </w:tc>
        <w:tc>
          <w:tcPr>
            <w:tcW w:w="0" w:type="auto"/>
            <w:vAlign w:val="center"/>
            <w:hideMark/>
          </w:tcPr>
          <w:p w14:paraId="1F5E26D5"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Difficult to confirm whether improvements reflect real change or strategic reporting adjustments (“narrative inflation”).</w:t>
            </w:r>
          </w:p>
        </w:tc>
      </w:tr>
      <w:tr w:rsidR="00D221EA" w:rsidRPr="0053182F" w14:paraId="1B5FF60A" w14:textId="77777777" w:rsidTr="00D20468">
        <w:trPr>
          <w:tblCellSpacing w:w="15" w:type="dxa"/>
        </w:trPr>
        <w:tc>
          <w:tcPr>
            <w:tcW w:w="0" w:type="auto"/>
            <w:vAlign w:val="center"/>
            <w:hideMark/>
          </w:tcPr>
          <w:p w14:paraId="1788D6F5"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Analytical Depth</w:t>
            </w:r>
          </w:p>
        </w:tc>
        <w:tc>
          <w:tcPr>
            <w:tcW w:w="0" w:type="auto"/>
            <w:vAlign w:val="center"/>
            <w:hideMark/>
          </w:tcPr>
          <w:p w14:paraId="77AB2CF9"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Offers nuanced insight into governance structures, due diligence processes, and corporate intentions that are not visible in quantitative datasets.</w:t>
            </w:r>
          </w:p>
        </w:tc>
        <w:tc>
          <w:tcPr>
            <w:tcW w:w="0" w:type="auto"/>
            <w:vAlign w:val="center"/>
            <w:hideMark/>
          </w:tcPr>
          <w:p w14:paraId="7CE94098"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Reports often emphasise policy intentions rather than operational outcomes, limiting the ability to assess implementation.</w:t>
            </w:r>
          </w:p>
        </w:tc>
      </w:tr>
      <w:tr w:rsidR="00D221EA" w:rsidRPr="0053182F" w14:paraId="61BFF48A" w14:textId="77777777" w:rsidTr="00D20468">
        <w:trPr>
          <w:tblCellSpacing w:w="15" w:type="dxa"/>
        </w:trPr>
        <w:tc>
          <w:tcPr>
            <w:tcW w:w="0" w:type="auto"/>
            <w:vAlign w:val="center"/>
            <w:hideMark/>
          </w:tcPr>
          <w:p w14:paraId="4B6EA9FC"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Triangulation Value</w:t>
            </w:r>
          </w:p>
        </w:tc>
        <w:tc>
          <w:tcPr>
            <w:tcW w:w="0" w:type="auto"/>
            <w:vAlign w:val="center"/>
            <w:hideMark/>
          </w:tcPr>
          <w:p w14:paraId="6F7C05E8"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Strengthens mixed methods design by linking institutional pressures (macro), governance practices (meso), and worker experiences (micro).</w:t>
            </w:r>
          </w:p>
        </w:tc>
        <w:tc>
          <w:tcPr>
            <w:tcW w:w="0" w:type="auto"/>
            <w:vAlign w:val="center"/>
            <w:hideMark/>
          </w:tcPr>
          <w:p w14:paraId="03FB7B90"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narratives may conflict with worker accounts, complicating interpretation and requiring careful reconciliation.</w:t>
            </w:r>
          </w:p>
        </w:tc>
      </w:tr>
      <w:tr w:rsidR="00D221EA" w:rsidRPr="0053182F" w14:paraId="11BED2B2" w14:textId="77777777" w:rsidTr="00D20468">
        <w:trPr>
          <w:tblCellSpacing w:w="15" w:type="dxa"/>
        </w:trPr>
        <w:tc>
          <w:tcPr>
            <w:tcW w:w="0" w:type="auto"/>
            <w:vAlign w:val="center"/>
            <w:hideMark/>
          </w:tcPr>
          <w:p w14:paraId="1C1538F0"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Theoretical Contribution</w:t>
            </w:r>
          </w:p>
        </w:tc>
        <w:tc>
          <w:tcPr>
            <w:tcW w:w="0" w:type="auto"/>
            <w:vAlign w:val="center"/>
            <w:hideMark/>
          </w:tcPr>
          <w:p w14:paraId="75360AC1"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Helps identify patterns of symbolic compliance, decoupling, legitimacy-seeking behaviour, and institutional pressures (coercive, normative, mimetic).</w:t>
            </w:r>
          </w:p>
        </w:tc>
        <w:tc>
          <w:tcPr>
            <w:tcW w:w="0" w:type="auto"/>
            <w:vAlign w:val="center"/>
            <w:hideMark/>
          </w:tcPr>
          <w:p w14:paraId="35477777"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The researcher’s judgment influences interpretation; coding subjectivity must be mitigated through rigour and reflexivity.</w:t>
            </w:r>
          </w:p>
        </w:tc>
      </w:tr>
      <w:tr w:rsidR="00D221EA" w:rsidRPr="0053182F" w14:paraId="54982A44" w14:textId="77777777" w:rsidTr="00D20468">
        <w:trPr>
          <w:tblCellSpacing w:w="15" w:type="dxa"/>
        </w:trPr>
        <w:tc>
          <w:tcPr>
            <w:tcW w:w="0" w:type="auto"/>
            <w:vAlign w:val="center"/>
            <w:hideMark/>
          </w:tcPr>
          <w:p w14:paraId="60A5AE8F"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Comparative Analysis</w:t>
            </w:r>
          </w:p>
        </w:tc>
        <w:tc>
          <w:tcPr>
            <w:tcW w:w="0" w:type="auto"/>
            <w:vAlign w:val="center"/>
            <w:hideMark/>
          </w:tcPr>
          <w:p w14:paraId="4F26911E"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Cross-firm comparison (Nike, Inditex, Dior) highlights differences in governance regimes, reporting obligations, and institutional environments.</w:t>
            </w:r>
          </w:p>
        </w:tc>
        <w:tc>
          <w:tcPr>
            <w:tcW w:w="0" w:type="auto"/>
            <w:vAlign w:val="center"/>
            <w:hideMark/>
          </w:tcPr>
          <w:p w14:paraId="159A1EB1"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Differences in legal context, reporting frameworks, and organisational culture limit direct comparability across firms.</w:t>
            </w:r>
          </w:p>
        </w:tc>
      </w:tr>
      <w:tr w:rsidR="00D221EA" w:rsidRPr="0053182F" w14:paraId="09A7F8C5" w14:textId="77777777" w:rsidTr="00D20468">
        <w:trPr>
          <w:tblCellSpacing w:w="15" w:type="dxa"/>
        </w:trPr>
        <w:tc>
          <w:tcPr>
            <w:tcW w:w="0" w:type="auto"/>
            <w:vAlign w:val="center"/>
            <w:hideMark/>
          </w:tcPr>
          <w:p w14:paraId="6C9A54DB"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Policy Relevance</w:t>
            </w:r>
          </w:p>
        </w:tc>
        <w:tc>
          <w:tcPr>
            <w:tcW w:w="0" w:type="auto"/>
            <w:vAlign w:val="center"/>
            <w:hideMark/>
          </w:tcPr>
          <w:p w14:paraId="77B653CF"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Reveals gaps in existing MS legislation and reporting frameworks, supporting evidence-based recommendations.</w:t>
            </w:r>
          </w:p>
        </w:tc>
        <w:tc>
          <w:tcPr>
            <w:tcW w:w="0" w:type="auto"/>
            <w:vAlign w:val="center"/>
            <w:hideMark/>
          </w:tcPr>
          <w:p w14:paraId="28BA2EF3"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disclosures may downplay controversies or exclude sensitive information to avoid reputational risks.</w:t>
            </w:r>
          </w:p>
        </w:tc>
      </w:tr>
      <w:tr w:rsidR="00D221EA" w:rsidRPr="0053182F" w14:paraId="438A6E8C" w14:textId="77777777" w:rsidTr="00D20468">
        <w:trPr>
          <w:tblCellSpacing w:w="15" w:type="dxa"/>
        </w:trPr>
        <w:tc>
          <w:tcPr>
            <w:tcW w:w="0" w:type="auto"/>
            <w:vAlign w:val="center"/>
            <w:hideMark/>
          </w:tcPr>
          <w:p w14:paraId="0BFF64E7"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Ethical and Practical Considerations</w:t>
            </w:r>
          </w:p>
        </w:tc>
        <w:tc>
          <w:tcPr>
            <w:tcW w:w="0" w:type="auto"/>
            <w:vAlign w:val="center"/>
            <w:hideMark/>
          </w:tcPr>
          <w:p w14:paraId="5FCEA265"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Non-intrusive method—no risk to participants; aligns with ethical research principles.</w:t>
            </w:r>
          </w:p>
        </w:tc>
        <w:tc>
          <w:tcPr>
            <w:tcW w:w="0" w:type="auto"/>
            <w:vAlign w:val="center"/>
            <w:hideMark/>
          </w:tcPr>
          <w:p w14:paraId="1538EA8A"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Reliant solely on what firms choose to disclose; lacks access to internal documents or confidential information.</w:t>
            </w:r>
          </w:p>
        </w:tc>
      </w:tr>
    </w:tbl>
    <w:p w14:paraId="30BFD677" w14:textId="77777777" w:rsidR="00D221EA" w:rsidRPr="0053182F" w:rsidRDefault="00D221EA" w:rsidP="00D221EA">
      <w:pPr>
        <w:spacing w:after="0" w:line="480" w:lineRule="auto"/>
        <w:rPr>
          <w:rFonts w:eastAsia="Times New Roman"/>
          <w:b/>
          <w:bCs/>
          <w:color w:val="000000" w:themeColor="text1"/>
        </w:rPr>
      </w:pPr>
      <w:r w:rsidRPr="0053182F">
        <w:rPr>
          <w:rFonts w:eastAsia="Times New Roman"/>
          <w:b/>
          <w:bCs/>
          <w:color w:val="000000" w:themeColor="text1"/>
        </w:rPr>
        <w:t>Source:</w:t>
      </w:r>
      <w:r w:rsidRPr="0053182F">
        <w:rPr>
          <w:rFonts w:eastAsia="Times New Roman"/>
          <w:color w:val="000000" w:themeColor="text1"/>
        </w:rPr>
        <w:t xml:space="preserve"> Author’s own work</w:t>
      </w:r>
    </w:p>
    <w:p w14:paraId="4A935265" w14:textId="3EB3D41D" w:rsidR="00D221EA" w:rsidRPr="0053182F" w:rsidRDefault="00D221EA" w:rsidP="00D221EA">
      <w:pPr>
        <w:pStyle w:val="Heading3"/>
      </w:pPr>
      <w:bookmarkStart w:id="275" w:name="_Toc215651868"/>
      <w:bookmarkStart w:id="276" w:name="_Toc218357158"/>
      <w:bookmarkStart w:id="277" w:name="_Toc159763560"/>
      <w:r w:rsidRPr="0053182F">
        <w:t>6.</w:t>
      </w:r>
      <w:r w:rsidR="000C6C3D" w:rsidRPr="0053182F">
        <w:t>9</w:t>
      </w:r>
      <w:r w:rsidRPr="0053182F">
        <w:t>.2 Micro-Level</w:t>
      </w:r>
      <w:bookmarkEnd w:id="275"/>
      <w:bookmarkEnd w:id="276"/>
    </w:p>
    <w:bookmarkEnd w:id="277"/>
    <w:p w14:paraId="10CCCB41" w14:textId="68C58BCB" w:rsidR="00D221EA" w:rsidRPr="0053182F" w:rsidRDefault="00D221EA" w:rsidP="00D221EA">
      <w:pPr>
        <w:spacing w:after="0" w:line="480" w:lineRule="auto"/>
        <w:ind w:firstLine="720"/>
        <w:jc w:val="both"/>
        <w:rPr>
          <w:rFonts w:eastAsia="Palatino Linotype"/>
        </w:rPr>
      </w:pPr>
      <w:r w:rsidRPr="0053182F">
        <w:rPr>
          <w:rFonts w:eastAsia="Palatino Linotype"/>
        </w:rPr>
        <w:t xml:space="preserve">The Sri Lankan A&amp;TI operates within a specific socio-cultural and economic context. Qualitative methods excel at capturing this contextual richness. By conducting interviews and administering questionnaires, researchers can uncover the cultural norms, economic and political pressures, and institutional dynamics that contribute to prevailing CMS practices in this setting </w:t>
      </w:r>
      <w:sdt>
        <w:sdtPr>
          <w:rPr>
            <w:rFonts w:eastAsia="Palatino Linotype"/>
          </w:rPr>
          <w:tag w:val="MENDELEY_CITATION_v3_eyJjaXRhdGlvbklEIjoiTUVOREVMRVlfQ0lUQVRJT05fZjllZWM4NTQtMTc3NS00NzE5LTk1YjQtMTEwNWJhN2RkZTQ3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
          <w:id w:val="-1724594145"/>
          <w:placeholder>
            <w:docPart w:val="E38303D9A8784D46BD680AB16992C185"/>
          </w:placeholder>
        </w:sdtPr>
        <w:sdtContent>
          <w:r w:rsidR="00CC1788" w:rsidRPr="0053182F">
            <w:rPr>
              <w:rFonts w:eastAsia="Palatino Linotype"/>
            </w:rPr>
            <w:t>(Collis and Hussey, 2021)</w:t>
          </w:r>
        </w:sdtContent>
      </w:sdt>
      <w:r w:rsidRPr="0053182F">
        <w:rPr>
          <w:rFonts w:eastAsia="Palatino Linotype"/>
        </w:rPr>
        <w:t>.</w:t>
      </w:r>
      <w:r w:rsidRPr="0053182F">
        <w:rPr>
          <w:rFonts w:eastAsia="Palatino Linotype"/>
          <w:color w:val="FF0000"/>
        </w:rPr>
        <w:t xml:space="preserve"> </w:t>
      </w:r>
      <w:r w:rsidRPr="0053182F">
        <w:rPr>
          <w:rFonts w:eastAsia="Palatino Linotype"/>
        </w:rPr>
        <w:t xml:space="preserve">This contextual understanding is crucial for crafting effective interventions and policies. Qualitative research methods, including interviews and questionnaires, provide a platform for an in-depth exploration of the issue. </w:t>
      </w:r>
    </w:p>
    <w:p w14:paraId="1B9E38EF" w14:textId="5B6C5188" w:rsidR="00D221EA" w:rsidRPr="0053182F" w:rsidRDefault="00D221EA" w:rsidP="00D221EA">
      <w:pPr>
        <w:spacing w:after="0" w:line="480" w:lineRule="auto"/>
        <w:ind w:firstLine="720"/>
        <w:jc w:val="both"/>
        <w:rPr>
          <w:rFonts w:eastAsia="Palatino Linotype"/>
        </w:rPr>
      </w:pPr>
      <w:r w:rsidRPr="0053182F">
        <w:rPr>
          <w:rFonts w:eastAsia="Palatino Linotype"/>
        </w:rPr>
        <w:t xml:space="preserve">As </w:t>
      </w:r>
      <w:sdt>
        <w:sdtPr>
          <w:rPr>
            <w:rFonts w:eastAsia="Palatino Linotype"/>
          </w:rPr>
          <w:tag w:val="MENDELEY_CITATION_v3_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"/>
          <w:id w:val="274074415"/>
          <w:placeholder>
            <w:docPart w:val="4B06F5C1D6C44F62A75D9B2524C1F3F7"/>
          </w:placeholder>
        </w:sdtPr>
        <w:sdtContent>
          <w:r w:rsidR="00CC1788" w:rsidRPr="0053182F">
            <w:rPr>
              <w:rFonts w:eastAsia="Palatino Linotype"/>
            </w:rPr>
            <w:t>Creswell (2009)</w:t>
          </w:r>
        </w:sdtContent>
      </w:sdt>
      <w:r w:rsidRPr="0053182F">
        <w:rPr>
          <w:rFonts w:eastAsia="Palatino Linotype"/>
        </w:rPr>
        <w:t xml:space="preserve"> emphasises, qualitative research enables researchers to gain a comprehensive understanding by delving deeply into participants’ experiences, thoughts, and feelings. Also, data collected through interviews and questionnaires can be compelling tools for advocacy </w:t>
      </w:r>
      <w:sdt>
        <w:sdtPr>
          <w:rPr>
            <w:rFonts w:eastAsia="Palatino Linotype"/>
          </w:rPr>
          <w:tag w:val="MENDELEY_CITATION_v3_eyJjaXRhdGlvbklEIjoiTUVOREVMRVlfQ0lUQVRJT05fMjA4MjljNjktNGMzMy00MGM0LTgzNGEtMDYzYzFjN2M4OWMzIiwicHJvcGVydGllcyI6eyJub3RlSW5kZXgiOjB9LCJpc0VkaXRlZCI6ZmFsc2UsIm1hbnVhbE92ZXJyaWRlIjp7ImlzTWFudWFsbHlPdmVycmlkZGVuIjpmYWxzZSwiY2l0ZXByb2NUZXh0IjoiKEJlcmdtYW4sIDIwMDg7IENyZXN3ZWxsIGFuZCBQbGFubyBDbGFyaywgMjAxMTsgR2lic29uLCAyMDE3KSIsIm1hbnVhbE92ZXJyaWRlVGV4dCI6IiJ9LCJjaXRhdGlvbkl0ZW1zIjpb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"/>
          <w:id w:val="1649932260"/>
          <w:placeholder>
            <w:docPart w:val="701A86C3621B449DBEAFEBEB96BB5145"/>
          </w:placeholder>
        </w:sdtPr>
        <w:sdtContent>
          <w:r w:rsidR="00CC1788" w:rsidRPr="0053182F">
            <w:rPr>
              <w:rFonts w:eastAsia="Palatino Linotype"/>
            </w:rPr>
            <w:t>(Bergman, 2008; Creswell and Plano, 2011; Gibson, 2017)</w:t>
          </w:r>
        </w:sdtContent>
      </w:sdt>
      <w:r w:rsidRPr="0053182F">
        <w:rPr>
          <w:rFonts w:eastAsia="Palatino Linotype"/>
        </w:rPr>
        <w:t xml:space="preserve">. Moreover, providing a human face to the problem, qualitative data can influence decision-makers and inspire action. Gathering primary data from factory workers, managers, and other stakeholders helps to reveal intricate details and personal narratives </w:t>
      </w:r>
      <w:sdt>
        <w:sdtPr>
          <w:rPr>
            <w:rFonts w:eastAsia="Palatino Linotype"/>
          </w:rPr>
          <w:tag w:val="MENDELEY_CITATION_v3_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"/>
          <w:id w:val="346527145"/>
          <w:placeholder>
            <w:docPart w:val="4B06F5C1D6C44F62A75D9B2524C1F3F7"/>
          </w:placeholder>
        </w:sdtPr>
        <w:sdtContent>
          <w:r w:rsidR="00CC1788" w:rsidRPr="0053182F">
            <w:rPr>
              <w:rFonts w:eastAsia="Times New Roman"/>
            </w:rPr>
            <w:t xml:space="preserve">(Bergman, 2008; Creswell and Plano, 2011; Morse </w:t>
          </w:r>
          <w:r w:rsidR="00CC1788" w:rsidRPr="0053182F">
            <w:rPr>
              <w:rFonts w:eastAsia="Times New Roman"/>
              <w:i/>
              <w:iCs/>
            </w:rPr>
            <w:t>et al.</w:t>
          </w:r>
          <w:r w:rsidR="00CC1788" w:rsidRPr="0053182F">
            <w:rPr>
              <w:rFonts w:eastAsia="Times New Roman"/>
            </w:rPr>
            <w:t>, 2002)</w:t>
          </w:r>
        </w:sdtContent>
      </w:sdt>
      <w:r w:rsidRPr="0053182F">
        <w:rPr>
          <w:rFonts w:eastAsia="Palatino Linotype"/>
        </w:rPr>
        <w:t xml:space="preserve">. </w:t>
      </w:r>
    </w:p>
    <w:p w14:paraId="1FFAE4C5" w14:textId="77777777" w:rsidR="00D221EA" w:rsidRPr="0053182F" w:rsidRDefault="00D221EA" w:rsidP="00D221EA">
      <w:pPr>
        <w:spacing w:after="0" w:line="480" w:lineRule="auto"/>
        <w:ind w:firstLine="720"/>
        <w:jc w:val="both"/>
        <w:rPr>
          <w:rFonts w:eastAsia="Palatino Linotype"/>
        </w:rPr>
      </w:pPr>
      <w:r w:rsidRPr="0053182F">
        <w:rPr>
          <w:rFonts w:eastAsia="Palatino Linotype"/>
        </w:rPr>
        <w:t>The qualitative analysis employed in this study, including interviews and questionnaires with apparel and textile-related parties, provides a critical avenue for gaining a comprehensive understanding of CMS practices within Sri Lanka’s A&amp;TI supply chain. By focusing on the experiences and perceptions of individuals directly involved in or impacted by the industry, this approach offers a deeper exploration of the issue. Research schema II (Figure 6.3) outlines the qualitative research scope of the study.</w:t>
      </w:r>
    </w:p>
    <w:p w14:paraId="77271907" w14:textId="77777777" w:rsidR="00D221EA" w:rsidRPr="0053182F" w:rsidRDefault="00D221EA" w:rsidP="00D221EA">
      <w:pPr>
        <w:spacing w:after="0" w:line="480" w:lineRule="auto"/>
        <w:jc w:val="center"/>
      </w:pPr>
      <w:r w:rsidRPr="0053182F">
        <w:rPr>
          <w:noProof/>
        </w:rPr>
        <w:drawing>
          <wp:inline distT="0" distB="0" distL="0" distR="0" wp14:anchorId="7444DE1D" wp14:editId="1109EF4E">
            <wp:extent cx="5915025" cy="1850571"/>
            <wp:effectExtent l="57150" t="0" r="47625" b="0"/>
            <wp:docPr id="1527225376"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14:paraId="31F81BFA" w14:textId="77777777" w:rsidR="00D221EA" w:rsidRPr="0053182F" w:rsidRDefault="00D221EA" w:rsidP="00D221EA">
      <w:pPr>
        <w:spacing w:after="0" w:line="480" w:lineRule="auto"/>
        <w:jc w:val="center"/>
      </w:pPr>
      <w:r w:rsidRPr="0053182F">
        <w:rPr>
          <w:b/>
          <w:bCs/>
        </w:rPr>
        <w:t>Figure 6.3:</w:t>
      </w:r>
      <w:r w:rsidRPr="0053182F">
        <w:t xml:space="preserve"> Research Schema II: Qualitative approach</w:t>
      </w:r>
    </w:p>
    <w:p w14:paraId="1656182B" w14:textId="74A87E69" w:rsidR="00D221EA" w:rsidRPr="0053182F" w:rsidRDefault="000842C2" w:rsidP="00D221EA">
      <w:pPr>
        <w:spacing w:after="0" w:line="480" w:lineRule="auto"/>
        <w:jc w:val="center"/>
      </w:pPr>
      <w:r w:rsidRPr="0053182F">
        <w:rPr>
          <w:b/>
          <w:bCs/>
        </w:rPr>
        <w:t>Source:</w:t>
      </w:r>
      <w:r w:rsidRPr="0053182F">
        <w:t xml:space="preserve"> Author</w:t>
      </w:r>
      <w:r w:rsidR="00015099" w:rsidRPr="0053182F">
        <w:t>’s own work</w:t>
      </w:r>
    </w:p>
    <w:p w14:paraId="7FE9F4FF" w14:textId="55DB8B20" w:rsidR="00D221EA" w:rsidRPr="0053182F" w:rsidRDefault="00D221EA" w:rsidP="00D221EA">
      <w:pPr>
        <w:spacing w:after="0" w:line="480" w:lineRule="auto"/>
        <w:ind w:firstLine="720"/>
        <w:jc w:val="both"/>
        <w:rPr>
          <w:rFonts w:eastAsia="Palatino Linotype"/>
        </w:rPr>
      </w:pPr>
      <w:r w:rsidRPr="0053182F">
        <w:rPr>
          <w:rFonts w:eastAsia="Palatino Linotype"/>
        </w:rPr>
        <w:t xml:space="preserve">While quantitative analyses (G500) provide valuable statistical data regarding prevalence and trends, qualitative research offers a more holistic perspective in developing country contexts </w:t>
      </w:r>
      <w:sdt>
        <w:sdtPr>
          <w:rPr>
            <w:rFonts w:eastAsia="Palatino Linotype"/>
          </w:rPr>
          <w:tag w:val="MENDELEY_CITATION_v3_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"/>
          <w:id w:val="-1971593363"/>
          <w:placeholder>
            <w:docPart w:val="743DF49DD6984718941463468C548663"/>
          </w:placeholder>
        </w:sdtPr>
        <w:sdtContent>
          <w:r w:rsidR="00CC1788" w:rsidRPr="0053182F">
            <w:rPr>
              <w:rFonts w:eastAsia="Palatino Linotype"/>
            </w:rPr>
            <w:t>(Creswell, 2014; Creswell and Plano, 2011; Gibson, 2017)</w:t>
          </w:r>
        </w:sdtContent>
      </w:sdt>
      <w:r w:rsidRPr="0053182F">
        <w:rPr>
          <w:rFonts w:eastAsia="Palatino Linotype"/>
        </w:rPr>
        <w:t>. It humanises the issue by showcasing the lived experiences of individuals affected by CMS practices. This includes insights into the motivations of those involved, the challenges workers face, and the complexities of eradicating such practices. Such narratives complement quantitative findings by adding depth and context. The qualitative component of the study can have a profound impact on policies, corporate practices, and international efforts</w:t>
      </w:r>
      <w:r w:rsidR="00DD243D" w:rsidRPr="0053182F">
        <w:rPr>
          <w:rFonts w:eastAsia="Palatino Linotype"/>
        </w:rPr>
        <w:t xml:space="preserve"> through </w:t>
      </w:r>
      <w:r w:rsidR="00C07CE7" w:rsidRPr="0053182F">
        <w:rPr>
          <w:rFonts w:eastAsia="Palatino Linotype"/>
        </w:rPr>
        <w:t>p</w:t>
      </w:r>
      <w:r w:rsidRPr="0053182F">
        <w:rPr>
          <w:rFonts w:eastAsia="Palatino Linotype"/>
        </w:rPr>
        <w:t>ersonal stories and testimonies.</w:t>
      </w:r>
    </w:p>
    <w:p w14:paraId="4D68D080" w14:textId="77777777" w:rsidR="00D221EA" w:rsidRPr="0053182F" w:rsidRDefault="00D221EA" w:rsidP="00B63BA6">
      <w:pPr>
        <w:spacing w:after="0" w:line="480" w:lineRule="auto"/>
        <w:ind w:firstLine="720"/>
        <w:jc w:val="both"/>
        <w:rPr>
          <w:rFonts w:eastAsia="Palatino Linotype"/>
        </w:rPr>
      </w:pPr>
      <w:r w:rsidRPr="0053182F">
        <w:rPr>
          <w:rFonts w:eastAsia="Palatino Linotype"/>
        </w:rPr>
        <w:t>The researcher considered academic expertise and sought feedback and opinions before finalising the questionnaire and interview questions for their MS research. To ensure a comprehensive exploration of the prevalence and perception of CMS practices, the study solicited opinions from experts in the field. Specifically, this study requested 17 experts in the field and received 10 responses from academic experts from various universities to gather their input and enrich the questionnaire.</w:t>
      </w:r>
    </w:p>
    <w:p w14:paraId="49138DB3" w14:textId="77777777" w:rsidR="00D221EA" w:rsidRPr="0053182F" w:rsidRDefault="00D221EA" w:rsidP="00B63BA6">
      <w:pPr>
        <w:pStyle w:val="Heading4"/>
        <w:spacing w:line="480" w:lineRule="auto"/>
        <w:rPr>
          <w:rFonts w:eastAsia="Palatino Linotype" w:cs="Times New Roman"/>
        </w:rPr>
      </w:pPr>
      <w:r w:rsidRPr="0053182F">
        <w:rPr>
          <w:rFonts w:eastAsia="Palatino Linotype" w:cs="Times New Roman"/>
        </w:rPr>
        <w:t>6.8.2.1 Justification for a Case Study Approach</w:t>
      </w:r>
    </w:p>
    <w:p w14:paraId="0E2FE5A5" w14:textId="77777777" w:rsidR="00D221EA" w:rsidRPr="0053182F" w:rsidRDefault="00D221EA" w:rsidP="00B63BA6">
      <w:pPr>
        <w:spacing w:after="0" w:line="480" w:lineRule="auto"/>
        <w:jc w:val="both"/>
        <w:rPr>
          <w:rFonts w:eastAsia="Palatino Linotype"/>
        </w:rPr>
      </w:pPr>
      <w:r w:rsidRPr="0053182F">
        <w:rPr>
          <w:rFonts w:eastAsia="Palatino Linotype"/>
        </w:rPr>
        <w:t>The case study approach was chosen for three interrelated reasons:</w:t>
      </w:r>
    </w:p>
    <w:p w14:paraId="5E89A7B5" w14:textId="2BA196F4" w:rsidR="00D221EA" w:rsidRPr="0053182F" w:rsidRDefault="00D221EA" w:rsidP="00B63BA6">
      <w:pPr>
        <w:pStyle w:val="ListParagraph"/>
        <w:numPr>
          <w:ilvl w:val="0"/>
          <w:numId w:val="30"/>
        </w:numPr>
        <w:spacing w:after="0" w:line="480" w:lineRule="auto"/>
        <w:ind w:left="567" w:hanging="426"/>
        <w:jc w:val="both"/>
        <w:rPr>
          <w:rFonts w:eastAsia="Palatino Linotype"/>
        </w:rPr>
      </w:pPr>
      <w:r w:rsidRPr="0053182F">
        <w:rPr>
          <w:rFonts w:eastAsia="Palatino Linotype"/>
          <w:b/>
          <w:bCs/>
          <w:i/>
          <w:iCs/>
        </w:rPr>
        <w:t>Limited bottom-up evidence in Global South contexts:</w:t>
      </w:r>
      <w:r w:rsidRPr="0053182F">
        <w:rPr>
          <w:rFonts w:eastAsia="Palatino Linotype"/>
        </w:rPr>
        <w:t xml:space="preserve"> Existing CMS literature is dominated by Global North perspectives, with little empirically grounded research on worker-level experiences in developing economies. A qualitative case design facilitates theory-building from context-specific realities </w:t>
      </w:r>
      <w:sdt>
        <w:sdtPr>
          <w:rPr>
            <w:rFonts w:eastAsia="Palatino Linotype"/>
          </w:rPr>
          <w:tag w:val="MENDELEY_CITATION_v3_eyJjaXRhdGlvbklEIjoiTUVOREVMRVlfQ0lUQVRJT05fZGMwN2E2NjctOTY0NC00ZWFjLWJhMDEtZWRlYTdkYjg4MTM5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84358031"/>
          <w:placeholder>
            <w:docPart w:val="A9A8D78C6BCD48B9B22C11CF2FA8871E"/>
          </w:placeholder>
        </w:sdtPr>
        <w:sdtContent>
          <w:r w:rsidR="00CC1788" w:rsidRPr="0053182F">
            <w:rPr>
              <w:rFonts w:eastAsia="Times New Roman"/>
            </w:rPr>
            <w:t xml:space="preserve">(Muthuthantrige </w:t>
          </w:r>
          <w:r w:rsidR="00CC1788" w:rsidRPr="0053182F">
            <w:rPr>
              <w:rFonts w:eastAsia="Times New Roman"/>
              <w:i/>
              <w:iCs/>
            </w:rPr>
            <w:t>et al.</w:t>
          </w:r>
          <w:r w:rsidR="00CC1788" w:rsidRPr="0053182F">
            <w:rPr>
              <w:rFonts w:eastAsia="Times New Roman"/>
            </w:rPr>
            <w:t>, 2026)</w:t>
          </w:r>
        </w:sdtContent>
      </w:sdt>
      <w:r w:rsidRPr="0053182F">
        <w:rPr>
          <w:rFonts w:eastAsia="Palatino Linotype"/>
        </w:rPr>
        <w:t>.</w:t>
      </w:r>
    </w:p>
    <w:p w14:paraId="61F3B081" w14:textId="77777777" w:rsidR="00D221EA" w:rsidRPr="0053182F" w:rsidRDefault="00D221EA" w:rsidP="00D221EA">
      <w:pPr>
        <w:pStyle w:val="ListParagraph"/>
        <w:numPr>
          <w:ilvl w:val="0"/>
          <w:numId w:val="30"/>
        </w:numPr>
        <w:spacing w:after="0" w:line="480" w:lineRule="auto"/>
        <w:ind w:left="567" w:hanging="426"/>
        <w:jc w:val="both"/>
        <w:rPr>
          <w:rFonts w:eastAsia="Palatino Linotype"/>
        </w:rPr>
      </w:pPr>
      <w:r w:rsidRPr="0053182F">
        <w:rPr>
          <w:rFonts w:eastAsia="Palatino Linotype"/>
          <w:b/>
          <w:bCs/>
          <w:i/>
          <w:iCs/>
        </w:rPr>
        <w:t>Restricted access to conventional large-scale datasets:</w:t>
      </w:r>
      <w:r w:rsidRPr="0053182F">
        <w:rPr>
          <w:rFonts w:eastAsia="Palatino Linotype"/>
        </w:rPr>
        <w:t xml:space="preserve"> Workers in vulnerable positions frequently fear employer retaliation, job loss, or immigration-related repercussions, limiting the feasibility of traditional survey-based designs.</w:t>
      </w:r>
    </w:p>
    <w:p w14:paraId="5CC73854" w14:textId="7A97A9B4" w:rsidR="00D221EA" w:rsidRPr="0053182F" w:rsidRDefault="00D221EA" w:rsidP="00D221EA">
      <w:pPr>
        <w:pStyle w:val="ListParagraph"/>
        <w:numPr>
          <w:ilvl w:val="0"/>
          <w:numId w:val="30"/>
        </w:numPr>
        <w:spacing w:after="0" w:line="480" w:lineRule="auto"/>
        <w:ind w:left="567" w:hanging="426"/>
        <w:jc w:val="both"/>
        <w:rPr>
          <w:rFonts w:eastAsia="Palatino Linotype"/>
        </w:rPr>
      </w:pPr>
      <w:r w:rsidRPr="0053182F">
        <w:rPr>
          <w:rFonts w:eastAsia="Palatino Linotype"/>
          <w:b/>
          <w:bCs/>
          <w:i/>
          <w:iCs/>
        </w:rPr>
        <w:t>Need to explore multi-level institutional dynamics:</w:t>
      </w:r>
      <w:r w:rsidRPr="0053182F">
        <w:rPr>
          <w:rFonts w:eastAsia="Palatino Linotype"/>
        </w:rPr>
        <w:t xml:space="preserve"> CMS is deeply embedded in organisational cultures, informal norms, buyer–supplier relationships, and socio-economic structures—dynamics that cannot be captured through quantitative approaches alone </w:t>
      </w:r>
      <w:sdt>
        <w:sdtPr>
          <w:rPr>
            <w:rFonts w:eastAsia="Palatino Linotype"/>
          </w:rPr>
          <w:tag w:val="MENDELEY_CITATION_v3_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"/>
          <w:id w:val="1914509801"/>
          <w:placeholder>
            <w:docPart w:val="701A86C3621B449DBEAFEBEB96BB5145"/>
          </w:placeholder>
        </w:sdtPr>
        <w:sdtContent>
          <w:r w:rsidR="00CC1788" w:rsidRPr="0053182F">
            <w:rPr>
              <w:rFonts w:eastAsia="Times New Roman"/>
            </w:rPr>
            <w:t xml:space="preserve">(Alves </w:t>
          </w:r>
          <w:r w:rsidR="00CC1788" w:rsidRPr="0053182F">
            <w:rPr>
              <w:rFonts w:eastAsia="Times New Roman"/>
              <w:i/>
              <w:iCs/>
            </w:rPr>
            <w:t>et al.</w:t>
          </w:r>
          <w:r w:rsidR="00CC1788" w:rsidRPr="0053182F">
            <w:rPr>
              <w:rFonts w:eastAsia="Times New Roman"/>
            </w:rPr>
            <w:t>, 2024)</w:t>
          </w:r>
        </w:sdtContent>
      </w:sdt>
      <w:r w:rsidR="00B63BA6" w:rsidRPr="0053182F">
        <w:rPr>
          <w:rFonts w:eastAsia="Palatino Linotype"/>
        </w:rPr>
        <w:t>.</w:t>
      </w:r>
    </w:p>
    <w:p w14:paraId="61C8C4D5" w14:textId="31EBCDA2" w:rsidR="00D221EA" w:rsidRPr="0053182F" w:rsidRDefault="00D221EA" w:rsidP="00D221EA">
      <w:pPr>
        <w:spacing w:after="0" w:line="480" w:lineRule="auto"/>
        <w:ind w:firstLine="720"/>
        <w:jc w:val="both"/>
        <w:rPr>
          <w:rFonts w:eastAsia="Palatino Linotype"/>
        </w:rPr>
      </w:pPr>
      <w:r w:rsidRPr="0053182F">
        <w:rPr>
          <w:rFonts w:eastAsia="Palatino Linotype"/>
        </w:rPr>
        <w:t xml:space="preserve">To strengthen methodological rigour, documentary analysis was integrated alongside interviews and questionnaires. Disclosures—such as sustainability reports, MS statements, governance policies, and public databases—enabled cross-verification of participants’ accounts, thus illuminating gaps between organisational narratives and on-the-ground realities of compliance and decoupling </w:t>
      </w:r>
      <w:sdt>
        <w:sdtPr>
          <w:rPr>
            <w:rFonts w:eastAsia="Palatino Linotype"/>
          </w:rPr>
          <w:tag w:val="MENDELEY_CITATION_v3_eyJjaXRhdGlvbklEIjoiTUVOREVMRVlfQ0lUQVRJT05fZjE1OWI3MjUtNDEyZS00ZjBkLTk2YTctNTA0OWU1Mzg1MzRl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572791777"/>
          <w:placeholder>
            <w:docPart w:val="268BCEFB7BE84719BAEC21DBDE674BAE"/>
          </w:placeholder>
        </w:sdtPr>
        <w:sdtContent>
          <w:r w:rsidR="00CC1788" w:rsidRPr="0053182F">
            <w:rPr>
              <w:rFonts w:eastAsia="Times New Roman"/>
            </w:rPr>
            <w:t xml:space="preserve">(Muthuthantrige </w:t>
          </w:r>
          <w:r w:rsidR="00CC1788" w:rsidRPr="0053182F">
            <w:rPr>
              <w:rFonts w:eastAsia="Times New Roman"/>
              <w:i/>
              <w:iCs/>
            </w:rPr>
            <w:t>et al.</w:t>
          </w:r>
          <w:r w:rsidR="00CC1788" w:rsidRPr="0053182F">
            <w:rPr>
              <w:rFonts w:eastAsia="Times New Roman"/>
            </w:rPr>
            <w:t>, 2026)</w:t>
          </w:r>
        </w:sdtContent>
      </w:sdt>
      <w:r w:rsidRPr="0053182F">
        <w:rPr>
          <w:rFonts w:eastAsia="Palatino Linotype"/>
        </w:rPr>
        <w:t xml:space="preserve">. </w:t>
      </w:r>
    </w:p>
    <w:p w14:paraId="6E3402CE" w14:textId="77777777" w:rsidR="00D221EA" w:rsidRPr="0053182F" w:rsidRDefault="00D221EA" w:rsidP="00D221EA">
      <w:pPr>
        <w:pStyle w:val="Heading4"/>
        <w:rPr>
          <w:rFonts w:cs="Times New Roman"/>
        </w:rPr>
      </w:pPr>
      <w:bookmarkStart w:id="278" w:name="_Toc159763562"/>
      <w:r w:rsidRPr="0053182F">
        <w:rPr>
          <w:rFonts w:cs="Times New Roman"/>
        </w:rPr>
        <w:t>6.8.2.2 Reason for Selecting Sri Lanka</w:t>
      </w:r>
      <w:bookmarkEnd w:id="278"/>
      <w:r w:rsidRPr="0053182F">
        <w:rPr>
          <w:rFonts w:cs="Times New Roman"/>
        </w:rPr>
        <w:t xml:space="preserve"> as a Research Context</w:t>
      </w:r>
    </w:p>
    <w:p w14:paraId="5C5C9A76" w14:textId="77777777" w:rsidR="00D221EA" w:rsidRPr="0053182F" w:rsidRDefault="00D221EA" w:rsidP="00D221EA"/>
    <w:p w14:paraId="679E83FF" w14:textId="03BBA512" w:rsidR="00D221EA" w:rsidRPr="0053182F" w:rsidRDefault="00D221EA" w:rsidP="00D221EA">
      <w:pPr>
        <w:spacing w:line="480" w:lineRule="auto"/>
        <w:jc w:val="both"/>
      </w:pPr>
      <w:r w:rsidRPr="0053182F">
        <w:t xml:space="preserve">Sri Lanka’s A&amp;TI was selected as the micro-level research context due to its strategic role in global supply chains, its significant contribution to national exports, and its large, predominantly female workforce, which is particularly vulnerable to exploitation </w:t>
      </w:r>
      <w:sdt>
        <w:sdtPr>
          <w:tag w:val="MENDELEY_CITATION_v3_eyJjaXRhdGlvbklEIjoiTUVOREVMRVlfQ0lUQVRJT05fNDg0NDBhZjMtNTljMS00YzgwLWJhMDUtNjY1YjNlN2JlNDY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32580506"/>
          <w:placeholder>
            <w:docPart w:val="268BCEFB7BE84719BAEC21DBDE674BAE"/>
          </w:placeholder>
        </w:sdtPr>
        <w:sdtContent>
          <w:r w:rsidR="00CC1788" w:rsidRPr="0053182F">
            <w:rPr>
              <w:rFonts w:eastAsia="Times New Roman"/>
            </w:rPr>
            <w:t xml:space="preserve">(Muthuthantrige </w:t>
          </w:r>
          <w:r w:rsidR="00CC1788" w:rsidRPr="0053182F">
            <w:rPr>
              <w:rFonts w:eastAsia="Times New Roman"/>
              <w:i/>
              <w:iCs/>
            </w:rPr>
            <w:t>et al.</w:t>
          </w:r>
          <w:r w:rsidR="00CC1788" w:rsidRPr="0053182F">
            <w:rPr>
              <w:rFonts w:eastAsia="Times New Roman"/>
            </w:rPr>
            <w:t>, 2026)</w:t>
          </w:r>
        </w:sdtContent>
      </w:sdt>
      <w:r w:rsidRPr="0053182F">
        <w:t xml:space="preserve">. The sector is internationally recognised for ethical manufacturing standards and green production practices, offering a unique setting to examine the gap between formal ACMS commitments and on-the-ground labour realities. Moreover, the presence of major multinational buyers and recent economic and political instability make Sri Lanka an analytically rich environment for exploring how global governance pressures intersect with local working conditions. A detailed justification is provided in Table 6.5. </w:t>
      </w:r>
    </w:p>
    <w:p w14:paraId="473AB364" w14:textId="77777777" w:rsidR="00D221EA" w:rsidRPr="0053182F" w:rsidRDefault="00D221EA" w:rsidP="00D221EA">
      <w:pPr>
        <w:spacing w:after="0" w:line="240" w:lineRule="auto"/>
        <w:rPr>
          <w:rFonts w:eastAsia="Times New Roman"/>
          <w:color w:val="000000" w:themeColor="text1"/>
        </w:rPr>
      </w:pPr>
      <w:r w:rsidRPr="0053182F">
        <w:rPr>
          <w:rFonts w:eastAsia="Times New Roman"/>
          <w:b/>
          <w:bCs/>
          <w:color w:val="000000" w:themeColor="text1"/>
        </w:rPr>
        <w:t xml:space="preserve">Table 6.5: </w:t>
      </w:r>
      <w:r w:rsidRPr="0053182F">
        <w:rPr>
          <w:rFonts w:eastAsia="Times New Roman"/>
          <w:color w:val="000000" w:themeColor="text1"/>
        </w:rPr>
        <w:t>Rationale for Selecting Sri Lanka’s Textile and Apparel Industry as the Research Context</w:t>
      </w:r>
    </w:p>
    <w:p w14:paraId="3200D06E" w14:textId="77777777" w:rsidR="00D221EA" w:rsidRPr="0053182F" w:rsidRDefault="00D221EA" w:rsidP="00D221EA">
      <w:pPr>
        <w:spacing w:after="0" w:line="240" w:lineRule="auto"/>
        <w:rPr>
          <w:rFonts w:eastAsia="Times New Roman"/>
          <w:color w:val="000000" w:themeColor="text1"/>
        </w:rPr>
      </w:pPr>
    </w:p>
    <w:tbl>
      <w:tblPr>
        <w:tblpPr w:leftFromText="180" w:rightFromText="180" w:vertAnchor="page" w:horzAnchor="margin" w:tblpY="1541"/>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2048"/>
        <w:gridCol w:w="3763"/>
        <w:gridCol w:w="3215"/>
      </w:tblGrid>
      <w:tr w:rsidR="00B63BA6" w:rsidRPr="0053182F" w14:paraId="36113346" w14:textId="77777777" w:rsidTr="00B63BA6">
        <w:trPr>
          <w:tblHeader/>
          <w:tblCellSpacing w:w="15" w:type="dxa"/>
        </w:trPr>
        <w:tc>
          <w:tcPr>
            <w:tcW w:w="0" w:type="auto"/>
            <w:tcBorders>
              <w:top w:val="nil"/>
              <w:bottom w:val="single" w:sz="4" w:space="0" w:color="auto"/>
            </w:tcBorders>
            <w:vAlign w:val="center"/>
            <w:hideMark/>
          </w:tcPr>
          <w:p w14:paraId="62FD3CEF" w14:textId="77777777" w:rsidR="00B63BA6" w:rsidRPr="0053182F" w:rsidRDefault="00B63BA6" w:rsidP="00B63BA6">
            <w:pPr>
              <w:spacing w:after="0" w:line="240" w:lineRule="auto"/>
              <w:jc w:val="center"/>
              <w:rPr>
                <w:rFonts w:eastAsia="Times New Roman"/>
                <w:b/>
                <w:color w:val="auto"/>
                <w:kern w:val="0"/>
                <w:sz w:val="22"/>
                <w:szCs w:val="22"/>
                <w:lang w:eastAsia="en-GB"/>
                <w14:ligatures w14:val="none"/>
              </w:rPr>
            </w:pPr>
            <w:r w:rsidRPr="0053182F">
              <w:rPr>
                <w:rFonts w:eastAsia="Times New Roman"/>
                <w:b/>
                <w:color w:val="auto"/>
                <w:kern w:val="0"/>
                <w:sz w:val="22"/>
                <w:szCs w:val="22"/>
                <w:lang w:eastAsia="en-GB"/>
                <w14:ligatures w14:val="none"/>
              </w:rPr>
              <w:t>Reason Category</w:t>
            </w:r>
          </w:p>
        </w:tc>
        <w:tc>
          <w:tcPr>
            <w:tcW w:w="0" w:type="auto"/>
            <w:tcBorders>
              <w:top w:val="nil"/>
              <w:bottom w:val="single" w:sz="4" w:space="0" w:color="auto"/>
            </w:tcBorders>
            <w:vAlign w:val="center"/>
            <w:hideMark/>
          </w:tcPr>
          <w:p w14:paraId="28179430" w14:textId="77777777" w:rsidR="00B63BA6" w:rsidRPr="0053182F" w:rsidRDefault="00B63BA6" w:rsidP="00B63BA6">
            <w:pPr>
              <w:spacing w:after="0" w:line="240" w:lineRule="auto"/>
              <w:jc w:val="center"/>
              <w:rPr>
                <w:rFonts w:eastAsia="Times New Roman"/>
                <w:b/>
                <w:color w:val="auto"/>
                <w:kern w:val="0"/>
                <w:sz w:val="22"/>
                <w:szCs w:val="22"/>
                <w:lang w:eastAsia="en-GB"/>
                <w14:ligatures w14:val="none"/>
              </w:rPr>
            </w:pPr>
            <w:r w:rsidRPr="0053182F">
              <w:rPr>
                <w:rFonts w:eastAsia="Times New Roman"/>
                <w:b/>
                <w:color w:val="auto"/>
                <w:kern w:val="0"/>
                <w:sz w:val="22"/>
                <w:szCs w:val="22"/>
                <w:lang w:eastAsia="en-GB"/>
                <w14:ligatures w14:val="none"/>
              </w:rPr>
              <w:t>Description</w:t>
            </w:r>
          </w:p>
        </w:tc>
        <w:tc>
          <w:tcPr>
            <w:tcW w:w="0" w:type="auto"/>
            <w:tcBorders>
              <w:top w:val="nil"/>
              <w:bottom w:val="single" w:sz="4" w:space="0" w:color="auto"/>
            </w:tcBorders>
            <w:vAlign w:val="center"/>
            <w:hideMark/>
          </w:tcPr>
          <w:p w14:paraId="2B9CB67A" w14:textId="77777777" w:rsidR="00B63BA6" w:rsidRPr="0053182F" w:rsidRDefault="00B63BA6" w:rsidP="00B63BA6">
            <w:pPr>
              <w:spacing w:after="0" w:line="240" w:lineRule="auto"/>
              <w:jc w:val="center"/>
              <w:rPr>
                <w:rFonts w:eastAsia="Times New Roman"/>
                <w:b/>
                <w:color w:val="auto"/>
                <w:kern w:val="0"/>
                <w:sz w:val="22"/>
                <w:szCs w:val="22"/>
                <w:lang w:eastAsia="en-GB"/>
                <w14:ligatures w14:val="none"/>
              </w:rPr>
            </w:pPr>
            <w:r w:rsidRPr="0053182F">
              <w:rPr>
                <w:rFonts w:eastAsia="Times New Roman"/>
                <w:b/>
                <w:color w:val="auto"/>
                <w:kern w:val="0"/>
                <w:sz w:val="22"/>
                <w:szCs w:val="22"/>
                <w:lang w:eastAsia="en-GB"/>
                <w14:ligatures w14:val="none"/>
              </w:rPr>
              <w:t>Relevance to Research</w:t>
            </w:r>
          </w:p>
        </w:tc>
      </w:tr>
      <w:tr w:rsidR="00B63BA6" w:rsidRPr="0053182F" w14:paraId="32C97BB4" w14:textId="77777777" w:rsidTr="00B63BA6">
        <w:trPr>
          <w:tblCellSpacing w:w="15" w:type="dxa"/>
        </w:trPr>
        <w:tc>
          <w:tcPr>
            <w:tcW w:w="0" w:type="auto"/>
            <w:vAlign w:val="center"/>
            <w:hideMark/>
          </w:tcPr>
          <w:p w14:paraId="4CE8CCCF" w14:textId="77777777" w:rsidR="00B63BA6" w:rsidRPr="0053182F" w:rsidRDefault="00B63BA6" w:rsidP="00B63BA6">
            <w:pPr>
              <w:spacing w:after="0" w:line="240" w:lineRule="auto"/>
              <w:rPr>
                <w:rFonts w:eastAsia="Times New Roman"/>
                <w:color w:val="auto"/>
                <w:kern w:val="0"/>
                <w:sz w:val="22"/>
                <w:szCs w:val="22"/>
                <w:lang w:eastAsia="en-GB"/>
                <w14:ligatures w14:val="none"/>
              </w:rPr>
            </w:pPr>
            <w:r w:rsidRPr="0053182F">
              <w:rPr>
                <w:rFonts w:eastAsia="Times New Roman"/>
                <w:b/>
                <w:color w:val="auto"/>
                <w:kern w:val="0"/>
                <w:sz w:val="22"/>
                <w:szCs w:val="22"/>
                <w:lang w:eastAsia="en-GB"/>
                <w14:ligatures w14:val="none"/>
              </w:rPr>
              <w:t>1. Strategic Location and Global Supply-Chain Integration</w:t>
            </w:r>
          </w:p>
        </w:tc>
        <w:tc>
          <w:tcPr>
            <w:tcW w:w="0" w:type="auto"/>
            <w:tcBorders>
              <w:top w:val="nil"/>
              <w:bottom w:val="single" w:sz="4" w:space="0" w:color="auto"/>
            </w:tcBorders>
            <w:vAlign w:val="center"/>
            <w:hideMark/>
          </w:tcPr>
          <w:p w14:paraId="1A060CE0"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Sri Lanka is situated at the crossroads of major East–West shipping lanes, making it a critical logistics and manufacturing hub in global apparel supply chains. Colombo Port is among the most efficient in South Asia.</w:t>
            </w:r>
          </w:p>
        </w:tc>
        <w:tc>
          <w:tcPr>
            <w:tcW w:w="0" w:type="auto"/>
            <w:tcBorders>
              <w:top w:val="nil"/>
              <w:bottom w:val="single" w:sz="4" w:space="0" w:color="auto"/>
            </w:tcBorders>
            <w:vAlign w:val="center"/>
            <w:hideMark/>
          </w:tcPr>
          <w:p w14:paraId="7528A186"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Provides unique insights into how global supply-chain pressures and MNC sourcing practices influence CMS risks in a key export-oriented economy.</w:t>
            </w:r>
          </w:p>
        </w:tc>
      </w:tr>
      <w:tr w:rsidR="00B63BA6" w:rsidRPr="0053182F" w14:paraId="672F60ED" w14:textId="77777777" w:rsidTr="00B63BA6">
        <w:trPr>
          <w:tblCellSpacing w:w="15" w:type="dxa"/>
        </w:trPr>
        <w:tc>
          <w:tcPr>
            <w:tcW w:w="0" w:type="auto"/>
            <w:vAlign w:val="center"/>
            <w:hideMark/>
          </w:tcPr>
          <w:p w14:paraId="769B8320" w14:textId="77777777" w:rsidR="00B63BA6" w:rsidRPr="0053182F" w:rsidRDefault="00B63BA6" w:rsidP="00B63BA6">
            <w:pPr>
              <w:spacing w:after="0" w:line="240" w:lineRule="auto"/>
              <w:rPr>
                <w:rFonts w:eastAsia="Times New Roman"/>
                <w:color w:val="auto"/>
                <w:kern w:val="0"/>
                <w:sz w:val="22"/>
                <w:szCs w:val="22"/>
                <w:lang w:eastAsia="en-GB"/>
                <w14:ligatures w14:val="none"/>
              </w:rPr>
            </w:pPr>
            <w:r w:rsidRPr="0053182F">
              <w:rPr>
                <w:rFonts w:eastAsia="Times New Roman"/>
                <w:b/>
                <w:color w:val="auto"/>
                <w:kern w:val="0"/>
                <w:sz w:val="22"/>
                <w:szCs w:val="22"/>
                <w:lang w:eastAsia="en-GB"/>
                <w14:ligatures w14:val="none"/>
              </w:rPr>
              <w:t>2. Economic Dependence on the Apparel Sector</w:t>
            </w:r>
          </w:p>
        </w:tc>
        <w:tc>
          <w:tcPr>
            <w:tcW w:w="0" w:type="auto"/>
            <w:vAlign w:val="center"/>
            <w:hideMark/>
          </w:tcPr>
          <w:p w14:paraId="4702618E"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The A&amp;TI generates more than 50% of Sri Lanka’s national export earnings, forming the backbone of the country’s economy.</w:t>
            </w:r>
          </w:p>
        </w:tc>
        <w:tc>
          <w:tcPr>
            <w:tcW w:w="0" w:type="auto"/>
            <w:vAlign w:val="center"/>
            <w:hideMark/>
          </w:tcPr>
          <w:p w14:paraId="41655309"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A high-dependency industry reveals the tensions between economic survival, competitive pricing, and labour-rights vulnerabilities—central to CMS dynamics.</w:t>
            </w:r>
          </w:p>
        </w:tc>
      </w:tr>
      <w:tr w:rsidR="00B63BA6" w:rsidRPr="0053182F" w14:paraId="37EAB223" w14:textId="77777777" w:rsidTr="00B63BA6">
        <w:trPr>
          <w:tblCellSpacing w:w="15" w:type="dxa"/>
        </w:trPr>
        <w:tc>
          <w:tcPr>
            <w:tcW w:w="0" w:type="auto"/>
            <w:vAlign w:val="center"/>
            <w:hideMark/>
          </w:tcPr>
          <w:p w14:paraId="1FA64A14" w14:textId="77777777" w:rsidR="00B63BA6" w:rsidRPr="0053182F" w:rsidRDefault="00B63BA6" w:rsidP="00B63BA6">
            <w:pPr>
              <w:spacing w:after="0" w:line="240" w:lineRule="auto"/>
              <w:rPr>
                <w:rFonts w:eastAsia="Times New Roman"/>
                <w:color w:val="auto"/>
                <w:kern w:val="0"/>
                <w:sz w:val="22"/>
                <w:szCs w:val="22"/>
                <w:lang w:eastAsia="en-GB"/>
                <w14:ligatures w14:val="none"/>
              </w:rPr>
            </w:pPr>
            <w:r w:rsidRPr="0053182F">
              <w:rPr>
                <w:rFonts w:eastAsia="Times New Roman"/>
                <w:b/>
                <w:color w:val="auto"/>
                <w:kern w:val="0"/>
                <w:sz w:val="22"/>
                <w:szCs w:val="22"/>
                <w:lang w:eastAsia="en-GB"/>
                <w14:ligatures w14:val="none"/>
              </w:rPr>
              <w:t>3. High Employment Contribution</w:t>
            </w:r>
          </w:p>
        </w:tc>
        <w:tc>
          <w:tcPr>
            <w:tcW w:w="0" w:type="auto"/>
            <w:tcBorders>
              <w:top w:val="single" w:sz="4" w:space="0" w:color="auto"/>
              <w:bottom w:val="nil"/>
            </w:tcBorders>
            <w:vAlign w:val="center"/>
            <w:hideMark/>
          </w:tcPr>
          <w:p w14:paraId="49749CE9"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The sector directly employs 350,000 workers and indirectly supports another 350,000, making it one of the largest industrial employers in the country.</w:t>
            </w:r>
          </w:p>
        </w:tc>
        <w:tc>
          <w:tcPr>
            <w:tcW w:w="0" w:type="auto"/>
            <w:tcBorders>
              <w:top w:val="single" w:sz="4" w:space="0" w:color="auto"/>
              <w:bottom w:val="nil"/>
            </w:tcBorders>
            <w:vAlign w:val="center"/>
            <w:hideMark/>
          </w:tcPr>
          <w:p w14:paraId="19B4609A"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Large, diverse, and layered employment structures allow examination of workforce vulnerabilities, power asymmetries, and labour governance.</w:t>
            </w:r>
          </w:p>
        </w:tc>
      </w:tr>
      <w:tr w:rsidR="00B63BA6" w:rsidRPr="0053182F" w14:paraId="279BBFA3" w14:textId="77777777" w:rsidTr="00B63BA6">
        <w:trPr>
          <w:tblCellSpacing w:w="15" w:type="dxa"/>
        </w:trPr>
        <w:tc>
          <w:tcPr>
            <w:tcW w:w="0" w:type="auto"/>
            <w:vAlign w:val="center"/>
            <w:hideMark/>
          </w:tcPr>
          <w:p w14:paraId="41C0B96A" w14:textId="77777777" w:rsidR="00B63BA6" w:rsidRPr="0053182F" w:rsidRDefault="00B63BA6" w:rsidP="00B63BA6">
            <w:pPr>
              <w:spacing w:after="0" w:line="240" w:lineRule="auto"/>
              <w:rPr>
                <w:rFonts w:eastAsia="Times New Roman"/>
                <w:color w:val="auto"/>
                <w:kern w:val="0"/>
                <w:sz w:val="22"/>
                <w:szCs w:val="22"/>
                <w:lang w:eastAsia="en-GB"/>
                <w14:ligatures w14:val="none"/>
              </w:rPr>
            </w:pPr>
            <w:r w:rsidRPr="0053182F">
              <w:rPr>
                <w:rFonts w:eastAsia="Times New Roman"/>
                <w:b/>
                <w:color w:val="auto"/>
                <w:kern w:val="0"/>
                <w:sz w:val="22"/>
                <w:szCs w:val="22"/>
                <w:lang w:eastAsia="en-GB"/>
                <w14:ligatures w14:val="none"/>
              </w:rPr>
              <w:t>4. Gendered Labour Force and Vulnerability</w:t>
            </w:r>
          </w:p>
        </w:tc>
        <w:tc>
          <w:tcPr>
            <w:tcW w:w="0" w:type="auto"/>
            <w:tcBorders>
              <w:top w:val="single" w:sz="4" w:space="0" w:color="auto"/>
              <w:bottom w:val="nil"/>
            </w:tcBorders>
            <w:vAlign w:val="center"/>
            <w:hideMark/>
          </w:tcPr>
          <w:p w14:paraId="1995E30A"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Around 34% of the apparel workforce are women, many of whom are young and from rural/peripheral areas (Sri Lanka Apparel, 2020).</w:t>
            </w:r>
          </w:p>
        </w:tc>
        <w:tc>
          <w:tcPr>
            <w:tcW w:w="0" w:type="auto"/>
            <w:tcBorders>
              <w:top w:val="single" w:sz="4" w:space="0" w:color="auto"/>
              <w:bottom w:val="nil"/>
            </w:tcBorders>
            <w:vAlign w:val="center"/>
            <w:hideMark/>
          </w:tcPr>
          <w:p w14:paraId="2633ADB5"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Highlights gendered vulnerabilities, risks of exploitation, and decoupling between CSR commitments and ground realities—crucial for micro-level analysis.</w:t>
            </w:r>
          </w:p>
        </w:tc>
      </w:tr>
      <w:tr w:rsidR="00B63BA6" w:rsidRPr="0053182F" w14:paraId="7A518C6F" w14:textId="77777777" w:rsidTr="00B63BA6">
        <w:trPr>
          <w:tblCellSpacing w:w="15" w:type="dxa"/>
        </w:trPr>
        <w:tc>
          <w:tcPr>
            <w:tcW w:w="0" w:type="auto"/>
            <w:vAlign w:val="center"/>
            <w:hideMark/>
          </w:tcPr>
          <w:p w14:paraId="1D13A39D" w14:textId="77777777" w:rsidR="00B63BA6" w:rsidRPr="0053182F" w:rsidRDefault="00B63BA6" w:rsidP="00B63BA6">
            <w:pPr>
              <w:spacing w:after="0" w:line="240" w:lineRule="auto"/>
              <w:rPr>
                <w:rFonts w:eastAsia="Times New Roman"/>
                <w:color w:val="auto"/>
                <w:kern w:val="0"/>
                <w:sz w:val="22"/>
                <w:szCs w:val="22"/>
                <w:lang w:eastAsia="en-GB"/>
                <w14:ligatures w14:val="none"/>
              </w:rPr>
            </w:pPr>
            <w:r w:rsidRPr="0053182F">
              <w:rPr>
                <w:rFonts w:eastAsia="Times New Roman"/>
                <w:b/>
                <w:color w:val="auto"/>
                <w:kern w:val="0"/>
                <w:sz w:val="22"/>
                <w:szCs w:val="22"/>
                <w:lang w:eastAsia="en-GB"/>
                <w14:ligatures w14:val="none"/>
              </w:rPr>
              <w:t>5. Reputation for Ethical Labour Practices</w:t>
            </w:r>
          </w:p>
        </w:tc>
        <w:tc>
          <w:tcPr>
            <w:tcW w:w="0" w:type="auto"/>
            <w:tcBorders>
              <w:top w:val="single" w:sz="4" w:space="0" w:color="auto"/>
              <w:bottom w:val="nil"/>
            </w:tcBorders>
            <w:vAlign w:val="center"/>
            <w:hideMark/>
          </w:tcPr>
          <w:p w14:paraId="157877E2"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Sri Lanka promotes itself globally as producing “Garments Without Guilt”, with strict compliance, third-party audits, and leading ethical manufacturing practices.</w:t>
            </w:r>
          </w:p>
        </w:tc>
        <w:tc>
          <w:tcPr>
            <w:tcW w:w="0" w:type="auto"/>
            <w:tcBorders>
              <w:top w:val="single" w:sz="4" w:space="0" w:color="auto"/>
              <w:bottom w:val="nil"/>
            </w:tcBorders>
            <w:vAlign w:val="center"/>
            <w:hideMark/>
          </w:tcPr>
          <w:p w14:paraId="499BD545"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 xml:space="preserve">Provides a contrasting setting where </w:t>
            </w:r>
            <w:r w:rsidRPr="0053182F">
              <w:rPr>
                <w:rFonts w:eastAsia="Times New Roman"/>
                <w:i/>
                <w:color w:val="auto"/>
                <w:kern w:val="0"/>
                <w:sz w:val="22"/>
                <w:szCs w:val="22"/>
                <w:lang w:eastAsia="en-GB"/>
                <w14:ligatures w14:val="none"/>
              </w:rPr>
              <w:t>claimed ethical excellence</w:t>
            </w:r>
            <w:r w:rsidRPr="0053182F">
              <w:rPr>
                <w:rFonts w:eastAsia="Times New Roman"/>
                <w:color w:val="auto"/>
                <w:kern w:val="0"/>
                <w:sz w:val="22"/>
                <w:szCs w:val="22"/>
                <w:lang w:eastAsia="en-GB"/>
                <w14:ligatures w14:val="none"/>
              </w:rPr>
              <w:t xml:space="preserve"> enables the study of symbolic compliance, audit-washing, and institutional decoupling.</w:t>
            </w:r>
          </w:p>
        </w:tc>
      </w:tr>
      <w:tr w:rsidR="00B63BA6" w:rsidRPr="0053182F" w14:paraId="4A09C50F" w14:textId="77777777" w:rsidTr="00B63BA6">
        <w:trPr>
          <w:tblCellSpacing w:w="15" w:type="dxa"/>
        </w:trPr>
        <w:tc>
          <w:tcPr>
            <w:tcW w:w="0" w:type="auto"/>
            <w:vAlign w:val="center"/>
            <w:hideMark/>
          </w:tcPr>
          <w:p w14:paraId="25856C65" w14:textId="77777777" w:rsidR="00B63BA6" w:rsidRPr="0053182F" w:rsidRDefault="00B63BA6" w:rsidP="00B63BA6">
            <w:pPr>
              <w:spacing w:after="0" w:line="240" w:lineRule="auto"/>
              <w:rPr>
                <w:rFonts w:eastAsia="Times New Roman"/>
                <w:color w:val="auto"/>
                <w:kern w:val="0"/>
                <w:sz w:val="22"/>
                <w:szCs w:val="22"/>
                <w:lang w:eastAsia="en-GB"/>
                <w14:ligatures w14:val="none"/>
              </w:rPr>
            </w:pPr>
            <w:r w:rsidRPr="0053182F">
              <w:rPr>
                <w:rFonts w:eastAsia="Times New Roman"/>
                <w:b/>
                <w:color w:val="auto"/>
                <w:kern w:val="0"/>
                <w:sz w:val="22"/>
                <w:szCs w:val="22"/>
                <w:lang w:eastAsia="en-GB"/>
                <w14:ligatures w14:val="none"/>
              </w:rPr>
              <w:t>6. Global Recognition in Green Manufacturing</w:t>
            </w:r>
          </w:p>
        </w:tc>
        <w:tc>
          <w:tcPr>
            <w:tcW w:w="0" w:type="auto"/>
            <w:tcBorders>
              <w:top w:val="single" w:sz="4" w:space="0" w:color="auto"/>
              <w:bottom w:val="nil"/>
            </w:tcBorders>
            <w:vAlign w:val="center"/>
            <w:hideMark/>
          </w:tcPr>
          <w:p w14:paraId="0A9C3217"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Home to the world’s first LEED Platinum Green Garment Factory, achieving 50% energy reduction and 70% water savings (EDB, 2024).</w:t>
            </w:r>
          </w:p>
        </w:tc>
        <w:tc>
          <w:tcPr>
            <w:tcW w:w="0" w:type="auto"/>
            <w:tcBorders>
              <w:top w:val="single" w:sz="4" w:space="0" w:color="auto"/>
              <w:bottom w:val="nil"/>
            </w:tcBorders>
            <w:vAlign w:val="center"/>
            <w:hideMark/>
          </w:tcPr>
          <w:p w14:paraId="253A5634"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Demonstrates sustainability leadership, allowing exploration of how environmental governance intersects with social sustainability and CMS.</w:t>
            </w:r>
          </w:p>
        </w:tc>
      </w:tr>
      <w:tr w:rsidR="00B63BA6" w:rsidRPr="0053182F" w14:paraId="08B56031" w14:textId="77777777" w:rsidTr="00B63BA6">
        <w:trPr>
          <w:tblCellSpacing w:w="15" w:type="dxa"/>
        </w:trPr>
        <w:tc>
          <w:tcPr>
            <w:tcW w:w="0" w:type="auto"/>
            <w:vAlign w:val="center"/>
            <w:hideMark/>
          </w:tcPr>
          <w:p w14:paraId="73D9A4D1" w14:textId="77777777" w:rsidR="00B63BA6" w:rsidRPr="0053182F" w:rsidRDefault="00B63BA6" w:rsidP="00B63BA6">
            <w:pPr>
              <w:spacing w:after="0" w:line="240" w:lineRule="auto"/>
              <w:rPr>
                <w:rFonts w:eastAsia="Times New Roman"/>
                <w:color w:val="auto"/>
                <w:kern w:val="0"/>
                <w:sz w:val="22"/>
                <w:szCs w:val="22"/>
                <w:lang w:eastAsia="en-GB"/>
                <w14:ligatures w14:val="none"/>
              </w:rPr>
            </w:pPr>
            <w:r w:rsidRPr="0053182F">
              <w:rPr>
                <w:rFonts w:eastAsia="Times New Roman"/>
                <w:b/>
                <w:color w:val="auto"/>
                <w:kern w:val="0"/>
                <w:sz w:val="22"/>
                <w:szCs w:val="22"/>
                <w:lang w:eastAsia="en-GB"/>
                <w14:ligatures w14:val="none"/>
              </w:rPr>
              <w:t>7. Strong Regulatory Frameworks</w:t>
            </w:r>
          </w:p>
        </w:tc>
        <w:tc>
          <w:tcPr>
            <w:tcW w:w="0" w:type="auto"/>
            <w:tcBorders>
              <w:top w:val="single" w:sz="4" w:space="0" w:color="auto"/>
              <w:bottom w:val="nil"/>
            </w:tcBorders>
            <w:vAlign w:val="center"/>
            <w:hideMark/>
          </w:tcPr>
          <w:p w14:paraId="7F94D3FE"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Sri Lanka has ratified 43 ILO Conventions, including 8 of the 10 Fundamental Conventions. National regulations and monitoring systems support labour protection.</w:t>
            </w:r>
          </w:p>
        </w:tc>
        <w:tc>
          <w:tcPr>
            <w:tcW w:w="0" w:type="auto"/>
            <w:tcBorders>
              <w:top w:val="single" w:sz="4" w:space="0" w:color="auto"/>
              <w:bottom w:val="nil"/>
            </w:tcBorders>
            <w:vAlign w:val="center"/>
            <w:hideMark/>
          </w:tcPr>
          <w:p w14:paraId="0B95B109"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Enables assessment of how formal governance and regulatory frameworks translate into real worker protection—critical for macro–micro linkages.</w:t>
            </w:r>
          </w:p>
        </w:tc>
      </w:tr>
      <w:tr w:rsidR="00B63BA6" w:rsidRPr="0053182F" w14:paraId="6CE6C65D" w14:textId="77777777" w:rsidTr="00B63BA6">
        <w:trPr>
          <w:tblCellSpacing w:w="15" w:type="dxa"/>
        </w:trPr>
        <w:tc>
          <w:tcPr>
            <w:tcW w:w="0" w:type="auto"/>
            <w:vAlign w:val="center"/>
            <w:hideMark/>
          </w:tcPr>
          <w:p w14:paraId="3137FAF0" w14:textId="77777777" w:rsidR="00B63BA6" w:rsidRPr="0053182F" w:rsidRDefault="00B63BA6" w:rsidP="00B63BA6">
            <w:pPr>
              <w:spacing w:after="0" w:line="240" w:lineRule="auto"/>
              <w:rPr>
                <w:rFonts w:eastAsia="Times New Roman"/>
                <w:color w:val="auto"/>
                <w:kern w:val="0"/>
                <w:sz w:val="22"/>
                <w:szCs w:val="22"/>
                <w:lang w:eastAsia="en-GB"/>
                <w14:ligatures w14:val="none"/>
              </w:rPr>
            </w:pPr>
            <w:r w:rsidRPr="0053182F">
              <w:rPr>
                <w:rFonts w:eastAsia="Times New Roman"/>
                <w:b/>
                <w:color w:val="auto"/>
                <w:kern w:val="0"/>
                <w:sz w:val="22"/>
                <w:szCs w:val="22"/>
                <w:lang w:eastAsia="en-GB"/>
                <w14:ligatures w14:val="none"/>
              </w:rPr>
              <w:t>8. Presence of Major Global Brands</w:t>
            </w:r>
          </w:p>
        </w:tc>
        <w:tc>
          <w:tcPr>
            <w:tcW w:w="0" w:type="auto"/>
            <w:tcBorders>
              <w:top w:val="single" w:sz="4" w:space="0" w:color="auto"/>
              <w:bottom w:val="nil"/>
            </w:tcBorders>
            <w:vAlign w:val="center"/>
            <w:hideMark/>
          </w:tcPr>
          <w:p w14:paraId="4BA2996F"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Sri Lankan factories manufacture for Nike, Inditex, Dior, H&amp;M, Victoria’s Secret, M&amp;S, Decathlon, Levi’s, Uniqlo, and others.</w:t>
            </w:r>
          </w:p>
        </w:tc>
        <w:tc>
          <w:tcPr>
            <w:tcW w:w="0" w:type="auto"/>
            <w:tcBorders>
              <w:top w:val="single" w:sz="4" w:space="0" w:color="auto"/>
              <w:bottom w:val="nil"/>
            </w:tcBorders>
            <w:vAlign w:val="center"/>
            <w:hideMark/>
          </w:tcPr>
          <w:p w14:paraId="37E525C5" w14:textId="77777777" w:rsidR="00B63BA6" w:rsidRPr="0053182F" w:rsidRDefault="00B63BA6" w:rsidP="00B63BA6">
            <w:pPr>
              <w:spacing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Allows analysis of how MNC sustainability governance (SGIs, CSR, due diligence) influences local labour conditions.</w:t>
            </w:r>
          </w:p>
        </w:tc>
      </w:tr>
      <w:tr w:rsidR="00B63BA6" w:rsidRPr="0053182F" w14:paraId="6F707007" w14:textId="77777777" w:rsidTr="00B63BA6">
        <w:trPr>
          <w:tblCellSpacing w:w="15" w:type="dxa"/>
        </w:trPr>
        <w:tc>
          <w:tcPr>
            <w:tcW w:w="0" w:type="auto"/>
            <w:vAlign w:val="center"/>
            <w:hideMark/>
          </w:tcPr>
          <w:p w14:paraId="6C54C8C8" w14:textId="77777777" w:rsidR="00B63BA6" w:rsidRPr="0053182F" w:rsidRDefault="00B63BA6" w:rsidP="00B63BA6">
            <w:pPr>
              <w:spacing w:before="240" w:after="0" w:line="240" w:lineRule="auto"/>
              <w:rPr>
                <w:rFonts w:eastAsia="Times New Roman"/>
                <w:color w:val="auto"/>
                <w:kern w:val="0"/>
                <w:sz w:val="22"/>
                <w:szCs w:val="22"/>
                <w:lang w:eastAsia="en-GB"/>
                <w14:ligatures w14:val="none"/>
              </w:rPr>
            </w:pPr>
            <w:r w:rsidRPr="0053182F">
              <w:rPr>
                <w:rFonts w:eastAsia="Times New Roman"/>
                <w:b/>
                <w:color w:val="auto"/>
                <w:kern w:val="0"/>
                <w:sz w:val="22"/>
                <w:szCs w:val="22"/>
                <w:lang w:eastAsia="en-GB"/>
                <w14:ligatures w14:val="none"/>
              </w:rPr>
              <w:t>9. Post-Crisis Vulnerabilities</w:t>
            </w:r>
          </w:p>
        </w:tc>
        <w:tc>
          <w:tcPr>
            <w:tcW w:w="0" w:type="auto"/>
            <w:vAlign w:val="center"/>
            <w:hideMark/>
          </w:tcPr>
          <w:p w14:paraId="0BA7892F" w14:textId="77777777" w:rsidR="00B63BA6" w:rsidRPr="0053182F" w:rsidRDefault="00B63BA6" w:rsidP="00B63BA6">
            <w:pPr>
              <w:spacing w:before="240"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Economic crisis (2020–2023), inflation, and political instability increased workers’ precarity and weakened enforcement.</w:t>
            </w:r>
          </w:p>
        </w:tc>
        <w:tc>
          <w:tcPr>
            <w:tcW w:w="0" w:type="auto"/>
            <w:vAlign w:val="center"/>
            <w:hideMark/>
          </w:tcPr>
          <w:p w14:paraId="35469289" w14:textId="77777777" w:rsidR="00B63BA6" w:rsidRPr="0053182F" w:rsidRDefault="00B63BA6" w:rsidP="00B63BA6">
            <w:pPr>
              <w:spacing w:before="240" w:after="0" w:line="240" w:lineRule="auto"/>
              <w:jc w:val="both"/>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Provides real-time insights into how crises exacerbate CMS risks and weaken institutional capacity.</w:t>
            </w:r>
          </w:p>
        </w:tc>
      </w:tr>
    </w:tbl>
    <w:p w14:paraId="529E7D2E" w14:textId="240FC922" w:rsidR="00D221EA" w:rsidRPr="0053182F" w:rsidRDefault="00D221EA" w:rsidP="00D221EA">
      <w:pPr>
        <w:spacing w:before="240" w:after="0" w:line="240" w:lineRule="auto"/>
        <w:rPr>
          <w:rFonts w:eastAsia="Times New Roman"/>
          <w:color w:val="000000" w:themeColor="text1"/>
        </w:rPr>
      </w:pPr>
      <w:r w:rsidRPr="0053182F">
        <w:rPr>
          <w:rFonts w:eastAsia="Times New Roman"/>
          <w:b/>
          <w:bCs/>
          <w:color w:val="000000" w:themeColor="text1"/>
        </w:rPr>
        <w:t>Source:</w:t>
      </w:r>
      <w:r w:rsidRPr="0053182F">
        <w:rPr>
          <w:rFonts w:eastAsia="Times New Roman"/>
          <w:color w:val="000000" w:themeColor="text1"/>
        </w:rPr>
        <w:t xml:space="preserve"> Author</w:t>
      </w:r>
      <w:r w:rsidR="0078163C" w:rsidRPr="0053182F">
        <w:rPr>
          <w:rFonts w:eastAsia="Times New Roman"/>
          <w:color w:val="000000" w:themeColor="text1"/>
        </w:rPr>
        <w:t>'</w:t>
      </w:r>
      <w:r w:rsidRPr="0053182F">
        <w:rPr>
          <w:rFonts w:eastAsia="Times New Roman"/>
          <w:color w:val="000000" w:themeColor="text1"/>
        </w:rPr>
        <w:t>s own work</w:t>
      </w:r>
    </w:p>
    <w:p w14:paraId="25353F61" w14:textId="77777777" w:rsidR="00D221EA" w:rsidRPr="0053182F" w:rsidRDefault="00D221EA" w:rsidP="00D221EA">
      <w:pPr>
        <w:pStyle w:val="Heading4"/>
        <w:spacing w:before="240"/>
        <w:rPr>
          <w:rFonts w:cs="Times New Roman"/>
        </w:rPr>
      </w:pPr>
      <w:bookmarkStart w:id="279" w:name="_Toc159763563"/>
      <w:r w:rsidRPr="0053182F">
        <w:rPr>
          <w:rFonts w:cs="Times New Roman"/>
        </w:rPr>
        <w:t>6.8.2.3 Strengths and Limitations of the Questionnaire and Interview Method</w:t>
      </w:r>
      <w:bookmarkEnd w:id="279"/>
      <w:r w:rsidRPr="0053182F">
        <w:rPr>
          <w:rFonts w:cs="Times New Roman"/>
        </w:rPr>
        <w:t xml:space="preserve"> </w:t>
      </w:r>
    </w:p>
    <w:p w14:paraId="06CD34C6" w14:textId="77777777" w:rsidR="00D221EA" w:rsidRPr="0053182F" w:rsidRDefault="00D221EA" w:rsidP="00D221EA">
      <w:pPr>
        <w:spacing w:line="480" w:lineRule="auto"/>
        <w:jc w:val="both"/>
      </w:pPr>
      <w:r w:rsidRPr="0053182F">
        <w:t>While interviews and questionnaires provided rich, context-specific insights into the lived experiences of workers and stakeholders in Sri Lanka’s A&amp;TI, these methods also presented several limitations that must be acknowledged. Participant responses were sometimes shaped by subjectivity, fear, cultural sensitivity, or limited knowledge of supply-chain structures, potentially leading to incomplete or socially desirable answers. Practical challenges such as language differences, time constraints, access barriers, and the difficulty of establishing trust in a sensitive research context also affected data collection. Moreover, qualitative interviewing is time-intensive and prone to interpretive variation, requiring strong reflexivity and careful analytical procedures. These limitations do not undermine the value of the qualitative strand; instead, they highlight the need for triangulation across macro-, meso-, and micro-level data, reinforcing the mixed-methods design adopted in this study. A detailed summary of strengths and limitations is provided in Table 6.6.</w:t>
      </w:r>
    </w:p>
    <w:p w14:paraId="096E3CD1" w14:textId="77777777" w:rsidR="00D221EA" w:rsidRPr="0053182F" w:rsidRDefault="00D221EA" w:rsidP="00D221EA">
      <w:pPr>
        <w:spacing w:after="0" w:line="480" w:lineRule="auto"/>
        <w:rPr>
          <w:rFonts w:eastAsia="Times New Roman"/>
          <w:b/>
          <w:bCs/>
          <w:color w:val="000000" w:themeColor="text1"/>
        </w:rPr>
      </w:pPr>
      <w:r w:rsidRPr="0053182F">
        <w:rPr>
          <w:b/>
          <w:bCs/>
        </w:rPr>
        <w:t>Table 6.6:</w:t>
      </w:r>
      <w:r w:rsidRPr="0053182F">
        <w:t xml:space="preserve"> Strengths and Limitations of Interviews and Questionnaires - Micro-Level </w:t>
      </w:r>
    </w:p>
    <w:tbl>
      <w:tblPr>
        <w:tblW w:w="0" w:type="auto"/>
        <w:tblCellSpacing w:w="15" w:type="dxa"/>
        <w:tblBorders>
          <w:top w:val="single" w:sz="4" w:space="0" w:color="auto"/>
          <w:bottom w:val="single" w:sz="4" w:space="0" w:color="auto"/>
        </w:tblBorders>
        <w:tblCellMar>
          <w:top w:w="15" w:type="dxa"/>
          <w:left w:w="15" w:type="dxa"/>
          <w:bottom w:w="15" w:type="dxa"/>
          <w:right w:w="15" w:type="dxa"/>
        </w:tblCellMar>
        <w:tblLook w:val="04A0" w:firstRow="1" w:lastRow="0" w:firstColumn="1" w:lastColumn="0" w:noHBand="0" w:noVBand="1"/>
      </w:tblPr>
      <w:tblGrid>
        <w:gridCol w:w="1870"/>
        <w:gridCol w:w="3517"/>
        <w:gridCol w:w="3639"/>
      </w:tblGrid>
      <w:tr w:rsidR="00D221EA" w:rsidRPr="0053182F" w14:paraId="4A2E2622" w14:textId="77777777" w:rsidTr="00820227">
        <w:trPr>
          <w:tblHeader/>
          <w:tblCellSpacing w:w="15" w:type="dxa"/>
        </w:trPr>
        <w:tc>
          <w:tcPr>
            <w:tcW w:w="0" w:type="auto"/>
            <w:tcBorders>
              <w:top w:val="nil"/>
              <w:bottom w:val="single" w:sz="4" w:space="0" w:color="auto"/>
            </w:tcBorders>
            <w:vAlign w:val="center"/>
            <w:hideMark/>
          </w:tcPr>
          <w:p w14:paraId="651FC9D5"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Dimension</w:t>
            </w:r>
          </w:p>
        </w:tc>
        <w:tc>
          <w:tcPr>
            <w:tcW w:w="3487" w:type="dxa"/>
            <w:tcBorders>
              <w:top w:val="nil"/>
              <w:bottom w:val="single" w:sz="4" w:space="0" w:color="auto"/>
            </w:tcBorders>
            <w:vAlign w:val="center"/>
            <w:hideMark/>
          </w:tcPr>
          <w:p w14:paraId="0F8EDB28"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Strengths / Advantages</w:t>
            </w:r>
          </w:p>
        </w:tc>
        <w:tc>
          <w:tcPr>
            <w:tcW w:w="3594" w:type="dxa"/>
            <w:tcBorders>
              <w:top w:val="nil"/>
              <w:bottom w:val="single" w:sz="4" w:space="0" w:color="auto"/>
            </w:tcBorders>
            <w:vAlign w:val="center"/>
            <w:hideMark/>
          </w:tcPr>
          <w:p w14:paraId="767A3AC9" w14:textId="77777777" w:rsidR="00D221EA" w:rsidRPr="0053182F" w:rsidRDefault="00D221EA"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Limitations / Constraints</w:t>
            </w:r>
          </w:p>
        </w:tc>
      </w:tr>
      <w:tr w:rsidR="00D221EA" w:rsidRPr="0053182F" w14:paraId="115852DD" w14:textId="77777777" w:rsidTr="00820227">
        <w:trPr>
          <w:trHeight w:val="2048"/>
          <w:tblCellSpacing w:w="15" w:type="dxa"/>
        </w:trPr>
        <w:tc>
          <w:tcPr>
            <w:tcW w:w="0" w:type="auto"/>
            <w:vAlign w:val="center"/>
            <w:hideMark/>
          </w:tcPr>
          <w:p w14:paraId="6779BC98"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Depth of Insight</w:t>
            </w:r>
          </w:p>
        </w:tc>
        <w:tc>
          <w:tcPr>
            <w:tcW w:w="3487" w:type="dxa"/>
            <w:tcBorders>
              <w:top w:val="nil"/>
              <w:bottom w:val="nil"/>
            </w:tcBorders>
            <w:vAlign w:val="center"/>
            <w:hideMark/>
          </w:tcPr>
          <w:p w14:paraId="4444EFAE"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Enables collection of rich, detailed, and context-specific data on lived experiences (Creswell, 2007). </w:t>
            </w:r>
          </w:p>
          <w:p w14:paraId="23ABC599" w14:textId="4807B775" w:rsidR="00D221EA" w:rsidRPr="0053182F" w:rsidRDefault="00D221EA" w:rsidP="00820227">
            <w:pPr>
              <w:jc w:val="both"/>
            </w:pPr>
            <w:r w:rsidRPr="0053182F">
              <w:rPr>
                <w:rFonts w:eastAsia="Times New Roman"/>
                <w:color w:val="auto"/>
                <w:kern w:val="0"/>
                <w:lang w:eastAsia="en-GB"/>
                <w14:ligatures w14:val="none"/>
              </w:rPr>
              <w:t xml:space="preserve">Captures emotions, perceptions, and nuanced personal narratives essential for understanding CMS realities </w:t>
            </w:r>
            <w:sdt>
              <w:sdtPr>
                <w:tag w:val="MENDELEY_CITATION_v3_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"/>
                <w:id w:val="-23405925"/>
                <w:placeholder>
                  <w:docPart w:val="4FFFC708DC2444E09D4B3E914E7B329F"/>
                </w:placeholder>
              </w:sdtPr>
              <w:sdtContent>
                <w:r w:rsidR="00CC1788" w:rsidRPr="0053182F">
                  <w:t>(Guest and Fleming, 2015)</w:t>
                </w:r>
              </w:sdtContent>
            </w:sdt>
            <w:r w:rsidR="00630D73" w:rsidRPr="0053182F">
              <w:t>.</w:t>
            </w:r>
          </w:p>
        </w:tc>
        <w:tc>
          <w:tcPr>
            <w:tcW w:w="3594" w:type="dxa"/>
            <w:tcBorders>
              <w:top w:val="nil"/>
              <w:bottom w:val="nil"/>
            </w:tcBorders>
            <w:vAlign w:val="center"/>
            <w:hideMark/>
          </w:tcPr>
          <w:p w14:paraId="0FC83AD4"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Responses may be influenced by personal bias, fear, cultural norms, or social desirability (Bell et al., 2019).</w:t>
            </w:r>
          </w:p>
          <w:p w14:paraId="0F858BFE"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 Subjective accounts may lack precision or exaggerate/underreport experiences.</w:t>
            </w:r>
          </w:p>
        </w:tc>
      </w:tr>
      <w:tr w:rsidR="00D221EA" w:rsidRPr="0053182F" w14:paraId="1FDAEE35" w14:textId="77777777" w:rsidTr="00820227">
        <w:trPr>
          <w:tblCellSpacing w:w="15" w:type="dxa"/>
        </w:trPr>
        <w:tc>
          <w:tcPr>
            <w:tcW w:w="0" w:type="auto"/>
            <w:vAlign w:val="center"/>
            <w:hideMark/>
          </w:tcPr>
          <w:p w14:paraId="046F959F"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Contextual Understanding</w:t>
            </w:r>
          </w:p>
        </w:tc>
        <w:tc>
          <w:tcPr>
            <w:tcW w:w="3487" w:type="dxa"/>
            <w:tcBorders>
              <w:top w:val="single" w:sz="4" w:space="0" w:color="auto"/>
              <w:bottom w:val="nil"/>
            </w:tcBorders>
            <w:vAlign w:val="center"/>
            <w:hideMark/>
          </w:tcPr>
          <w:p w14:paraId="47CBA41E"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Provides insight into socio-cultural norms, workplace dynamics, structural vulnerabilities, and economic pressures shaping exploitation (Saunders et al., 2009). </w:t>
            </w:r>
          </w:p>
          <w:p w14:paraId="6A63E4F1"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Helps interpret quantitative results by explaining the “why” behind findings.</w:t>
            </w:r>
          </w:p>
        </w:tc>
        <w:tc>
          <w:tcPr>
            <w:tcW w:w="3594" w:type="dxa"/>
            <w:tcBorders>
              <w:top w:val="single" w:sz="4" w:space="0" w:color="auto"/>
              <w:bottom w:val="nil"/>
            </w:tcBorders>
            <w:vAlign w:val="center"/>
            <w:hideMark/>
          </w:tcPr>
          <w:p w14:paraId="1552EDC9" w14:textId="4A4EAB54" w:rsidR="00D221EA" w:rsidRPr="0053182F" w:rsidRDefault="00D221EA" w:rsidP="00820227">
            <w:pPr>
              <w:jc w:val="both"/>
            </w:pPr>
            <w:r w:rsidRPr="0053182F">
              <w:rPr>
                <w:rFonts w:eastAsia="Times New Roman"/>
                <w:color w:val="auto"/>
                <w:kern w:val="0"/>
                <w:lang w:eastAsia="en-GB"/>
                <w14:ligatures w14:val="none"/>
              </w:rPr>
              <w:t xml:space="preserve">Respondents with limited knowledge of supply-chain structures may provide incomplete or vague answers </w:t>
            </w:r>
            <w:sdt>
              <w:sdtPr>
                <w:tag w:val="MENDELEY_CITATION_v3_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"/>
                <w:id w:val="559523572"/>
                <w:placeholder>
                  <w:docPart w:val="29F0FA9728194A8886200F6E96FDECD9"/>
                </w:placeholder>
              </w:sdtPr>
              <w:sdtContent>
                <w:r w:rsidR="00CC1788" w:rsidRPr="0053182F">
                  <w:t>(Guest and Fleming, 2015)</w:t>
                </w:r>
              </w:sdtContent>
            </w:sdt>
            <w:r w:rsidRPr="0053182F">
              <w:rPr>
                <w:rFonts w:eastAsia="Times New Roman"/>
                <w:color w:val="auto"/>
                <w:kern w:val="0"/>
                <w:lang w:eastAsia="en-GB"/>
                <w14:ligatures w14:val="none"/>
              </w:rPr>
              <w:t xml:space="preserve">. </w:t>
            </w:r>
          </w:p>
          <w:p w14:paraId="2978F1A4" w14:textId="66CC6016"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 Language differences (Sinhala/English) may create communication challenges.</w:t>
            </w:r>
          </w:p>
        </w:tc>
      </w:tr>
      <w:tr w:rsidR="00D221EA" w:rsidRPr="0053182F" w14:paraId="330D1385" w14:textId="77777777" w:rsidTr="00820227">
        <w:trPr>
          <w:tblCellSpacing w:w="15" w:type="dxa"/>
        </w:trPr>
        <w:tc>
          <w:tcPr>
            <w:tcW w:w="0" w:type="auto"/>
            <w:vAlign w:val="center"/>
            <w:hideMark/>
          </w:tcPr>
          <w:p w14:paraId="2CF121A0"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Multiple Stakeholder Perspectives</w:t>
            </w:r>
          </w:p>
        </w:tc>
        <w:tc>
          <w:tcPr>
            <w:tcW w:w="3487" w:type="dxa"/>
            <w:tcBorders>
              <w:top w:val="single" w:sz="4" w:space="0" w:color="auto"/>
              <w:bottom w:val="nil"/>
            </w:tcBorders>
            <w:vAlign w:val="center"/>
            <w:hideMark/>
          </w:tcPr>
          <w:p w14:paraId="39A3BDB5"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Allows collection of diverse viewpoints across workers, supervisors, managers, unions, NGOs, and policymakers. </w:t>
            </w:r>
          </w:p>
          <w:p w14:paraId="59B1A6A3"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Supports triangulation with corporate disclosures and quantitative findings.</w:t>
            </w:r>
          </w:p>
        </w:tc>
        <w:tc>
          <w:tcPr>
            <w:tcW w:w="3594" w:type="dxa"/>
            <w:tcBorders>
              <w:top w:val="single" w:sz="4" w:space="0" w:color="auto"/>
              <w:bottom w:val="nil"/>
            </w:tcBorders>
            <w:vAlign w:val="center"/>
            <w:hideMark/>
          </w:tcPr>
          <w:p w14:paraId="0F52ABE9"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Some stakeholder groups may be underrepresented due to accessibility, fear, or reluctance to participate. </w:t>
            </w:r>
          </w:p>
          <w:p w14:paraId="7199C450"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Snowball sampling may inadvertently bias the sample.</w:t>
            </w:r>
          </w:p>
        </w:tc>
      </w:tr>
      <w:tr w:rsidR="00D221EA" w:rsidRPr="0053182F" w14:paraId="5A16A061" w14:textId="77777777" w:rsidTr="00820227">
        <w:trPr>
          <w:tblCellSpacing w:w="15" w:type="dxa"/>
        </w:trPr>
        <w:tc>
          <w:tcPr>
            <w:tcW w:w="0" w:type="auto"/>
            <w:vAlign w:val="center"/>
            <w:hideMark/>
          </w:tcPr>
          <w:p w14:paraId="17B2A2DF"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Flexibility and Tailoring</w:t>
            </w:r>
          </w:p>
        </w:tc>
        <w:tc>
          <w:tcPr>
            <w:tcW w:w="3487" w:type="dxa"/>
            <w:tcBorders>
              <w:top w:val="single" w:sz="4" w:space="0" w:color="auto"/>
              <w:bottom w:val="single" w:sz="4" w:space="0" w:color="auto"/>
            </w:tcBorders>
            <w:vAlign w:val="center"/>
            <w:hideMark/>
          </w:tcPr>
          <w:p w14:paraId="3B1EF86A"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Interviews can be adapted to different participant profiles (e.g., workers vs. managers). </w:t>
            </w:r>
          </w:p>
          <w:p w14:paraId="2E2CC536"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Facilitates follow-up questions to probe sensitive workplace issues such as harassment, threats, and wage violations.</w:t>
            </w:r>
          </w:p>
        </w:tc>
        <w:tc>
          <w:tcPr>
            <w:tcW w:w="3594" w:type="dxa"/>
            <w:tcBorders>
              <w:top w:val="single" w:sz="4" w:space="0" w:color="auto"/>
              <w:bottom w:val="single" w:sz="4" w:space="0" w:color="auto"/>
            </w:tcBorders>
            <w:vAlign w:val="center"/>
            <w:hideMark/>
          </w:tcPr>
          <w:p w14:paraId="06968622"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Time-consuming data collection and transcription, especially for a large sample. </w:t>
            </w:r>
          </w:p>
          <w:p w14:paraId="57A46DD6"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 Requires strong interviewer skills to maintain neutrality, rapport, and cultural sensitivity.</w:t>
            </w:r>
          </w:p>
        </w:tc>
      </w:tr>
      <w:tr w:rsidR="00D221EA" w:rsidRPr="0053182F" w14:paraId="403A841A" w14:textId="77777777" w:rsidTr="00820227">
        <w:trPr>
          <w:tblCellSpacing w:w="15" w:type="dxa"/>
        </w:trPr>
        <w:tc>
          <w:tcPr>
            <w:tcW w:w="0" w:type="auto"/>
            <w:vAlign w:val="center"/>
            <w:hideMark/>
          </w:tcPr>
          <w:p w14:paraId="311389D2"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Data Triangulation</w:t>
            </w:r>
          </w:p>
        </w:tc>
        <w:tc>
          <w:tcPr>
            <w:tcW w:w="3487" w:type="dxa"/>
            <w:vAlign w:val="center"/>
            <w:hideMark/>
          </w:tcPr>
          <w:p w14:paraId="559B1C4C"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Enhances credibility by corroborating findings with quantitative results and document analysis (Gibson, 2017). </w:t>
            </w:r>
          </w:p>
          <w:p w14:paraId="3A9975BD"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Helps identify inconsistencies between policy claims and worker realities.</w:t>
            </w:r>
          </w:p>
        </w:tc>
        <w:tc>
          <w:tcPr>
            <w:tcW w:w="3594" w:type="dxa"/>
            <w:vAlign w:val="center"/>
            <w:hideMark/>
          </w:tcPr>
          <w:p w14:paraId="2C469D3E"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Integrating multiple qualitative and quantitative datasets is analytically complex. </w:t>
            </w:r>
          </w:p>
          <w:p w14:paraId="2C0B153D"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Requires careful interpretation to avoid overgeneralisation or misalignment.</w:t>
            </w:r>
          </w:p>
        </w:tc>
      </w:tr>
      <w:tr w:rsidR="00D221EA" w:rsidRPr="0053182F" w14:paraId="13A317CC" w14:textId="77777777" w:rsidTr="00820227">
        <w:trPr>
          <w:tblCellSpacing w:w="15" w:type="dxa"/>
        </w:trPr>
        <w:tc>
          <w:tcPr>
            <w:tcW w:w="0" w:type="auto"/>
            <w:vAlign w:val="center"/>
            <w:hideMark/>
          </w:tcPr>
          <w:p w14:paraId="1FEAA31A"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Ethical and Advocacy Value</w:t>
            </w:r>
          </w:p>
        </w:tc>
        <w:tc>
          <w:tcPr>
            <w:tcW w:w="3487" w:type="dxa"/>
            <w:tcBorders>
              <w:top w:val="single" w:sz="4" w:space="0" w:color="auto"/>
              <w:bottom w:val="nil"/>
            </w:tcBorders>
            <w:vAlign w:val="center"/>
            <w:hideMark/>
          </w:tcPr>
          <w:p w14:paraId="077FE521"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Personal stories highlight invisible or unreported labour abuses, strengthening the study’s social impact. </w:t>
            </w:r>
          </w:p>
          <w:p w14:paraId="5085DDCE" w14:textId="753F5A9D"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Can inform policy reforms and strengthen anti-slavery interventions.</w:t>
            </w:r>
          </w:p>
        </w:tc>
        <w:tc>
          <w:tcPr>
            <w:tcW w:w="3594" w:type="dxa"/>
            <w:tcBorders>
              <w:top w:val="single" w:sz="4" w:space="0" w:color="auto"/>
              <w:bottom w:val="nil"/>
            </w:tcBorders>
            <w:vAlign w:val="center"/>
            <w:hideMark/>
          </w:tcPr>
          <w:p w14:paraId="3A9B183B"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Discussing sensitive topics (e.g., abuse, threats, harassment) may cause emotional distress. </w:t>
            </w:r>
          </w:p>
          <w:p w14:paraId="6AFD5497" w14:textId="7777777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Requires high ethical vigilance, confidentiality, and trust-building.</w:t>
            </w:r>
          </w:p>
        </w:tc>
      </w:tr>
      <w:tr w:rsidR="00D221EA" w:rsidRPr="0053182F" w14:paraId="34E887F9" w14:textId="77777777" w:rsidTr="00820227">
        <w:trPr>
          <w:tblCellSpacing w:w="15" w:type="dxa"/>
        </w:trPr>
        <w:tc>
          <w:tcPr>
            <w:tcW w:w="0" w:type="auto"/>
            <w:vAlign w:val="center"/>
            <w:hideMark/>
          </w:tcPr>
          <w:p w14:paraId="72D4B929" w14:textId="77777777" w:rsidR="00D221EA" w:rsidRPr="0053182F" w:rsidRDefault="00D221EA" w:rsidP="00D20468">
            <w:pPr>
              <w:spacing w:after="0" w:line="240" w:lineRule="auto"/>
              <w:rPr>
                <w:rFonts w:eastAsia="Times New Roman"/>
                <w:color w:val="auto"/>
                <w:kern w:val="0"/>
                <w:lang w:eastAsia="en-GB"/>
                <w14:ligatures w14:val="none"/>
              </w:rPr>
            </w:pPr>
            <w:r w:rsidRPr="0053182F">
              <w:rPr>
                <w:rFonts w:eastAsia="Times New Roman"/>
                <w:b/>
                <w:bCs/>
                <w:color w:val="auto"/>
                <w:kern w:val="0"/>
                <w:lang w:eastAsia="en-GB"/>
                <w14:ligatures w14:val="none"/>
              </w:rPr>
              <w:t>Practical Constraints</w:t>
            </w:r>
          </w:p>
        </w:tc>
        <w:tc>
          <w:tcPr>
            <w:tcW w:w="3487" w:type="dxa"/>
            <w:tcBorders>
              <w:top w:val="single" w:sz="4" w:space="0" w:color="auto"/>
              <w:bottom w:val="nil"/>
            </w:tcBorders>
            <w:vAlign w:val="center"/>
            <w:hideMark/>
          </w:tcPr>
          <w:p w14:paraId="65D041BE" w14:textId="5B36261E"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Allows alternative data collection modes (face-to-face, phone, online) to accommodate worker schedules.</w:t>
            </w:r>
          </w:p>
        </w:tc>
        <w:tc>
          <w:tcPr>
            <w:tcW w:w="3594" w:type="dxa"/>
            <w:tcBorders>
              <w:top w:val="single" w:sz="4" w:space="0" w:color="auto"/>
              <w:bottom w:val="nil"/>
            </w:tcBorders>
            <w:vAlign w:val="center"/>
            <w:hideMark/>
          </w:tcPr>
          <w:p w14:paraId="01770CF0" w14:textId="47613FD7"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 Worker fatigue (long shifts) reduces availability for interviews. </w:t>
            </w:r>
          </w:p>
          <w:p w14:paraId="4F3810C7" w14:textId="78DAE701" w:rsidR="00D221EA" w:rsidRPr="0053182F" w:rsidRDefault="00D221EA" w:rsidP="00820227">
            <w:pPr>
              <w:spacing w:after="0" w:line="24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•Fieldwork challenges in Sri Lanka due to economic instability, transport issues, and safety concerns.</w:t>
            </w:r>
          </w:p>
        </w:tc>
      </w:tr>
    </w:tbl>
    <w:p w14:paraId="57B52D0E" w14:textId="77777777" w:rsidR="00D221EA" w:rsidRPr="0053182F" w:rsidRDefault="00D221EA" w:rsidP="00D221EA">
      <w:pPr>
        <w:rPr>
          <w:color w:val="000000" w:themeColor="text1"/>
          <w:lang w:val="en-US"/>
        </w:rPr>
      </w:pPr>
      <w:r w:rsidRPr="0053182F">
        <w:rPr>
          <w:b/>
          <w:bCs/>
          <w:lang w:val="en-US"/>
        </w:rPr>
        <w:t>Source:</w:t>
      </w:r>
      <w:r w:rsidRPr="0053182F">
        <w:rPr>
          <w:lang w:val="en-US"/>
        </w:rPr>
        <w:t xml:space="preserve"> Author’s Own Work</w:t>
      </w:r>
    </w:p>
    <w:p w14:paraId="5C8E4481" w14:textId="77777777" w:rsidR="00D221EA" w:rsidRPr="0053182F" w:rsidRDefault="00D221EA" w:rsidP="00D221EA">
      <w:pPr>
        <w:pStyle w:val="Heading2"/>
      </w:pPr>
      <w:r w:rsidRPr="0053182F">
        <w:t xml:space="preserve"> </w:t>
      </w:r>
      <w:bookmarkStart w:id="280" w:name="_Toc215651869"/>
      <w:bookmarkStart w:id="281" w:name="_Toc218357159"/>
      <w:r w:rsidRPr="0053182F">
        <w:rPr>
          <w:rFonts w:eastAsia="Palatino Linotype"/>
          <w:sz w:val="24"/>
        </w:rPr>
        <w:t>6.10 Summary</w:t>
      </w:r>
      <w:bookmarkEnd w:id="280"/>
      <w:bookmarkEnd w:id="281"/>
    </w:p>
    <w:p w14:paraId="58E70192" w14:textId="77777777" w:rsidR="00D221EA" w:rsidRPr="0053182F" w:rsidRDefault="00D221EA" w:rsidP="00D221EA">
      <w:pPr>
        <w:pStyle w:val="ListParagraph"/>
        <w:spacing w:after="0" w:line="480" w:lineRule="auto"/>
        <w:ind w:left="0" w:firstLine="622"/>
        <w:jc w:val="both"/>
      </w:pPr>
      <w:r w:rsidRPr="0053182F">
        <w:t xml:space="preserve">This chapter has outlined the methodological foundations and research design used to investigate CMS across macro-, meso-, and micro-level contexts. Guided by a pragmatic paradigm and supported ontologically by critical realism, the study adopts a </w:t>
      </w:r>
      <w:r w:rsidRPr="0053182F">
        <w:rPr>
          <w:rStyle w:val="Strong"/>
          <w:b w:val="0"/>
          <w:bCs w:val="0"/>
        </w:rPr>
        <w:t>three-phase explanatory sequential mixed-methods design</w:t>
      </w:r>
      <w:r w:rsidRPr="0053182F">
        <w:t>. This design enables the research to move logically from broad structural patterns captured through quantitative analysis to a deeper qualitative exploration of organisational practices and worker experiences.</w:t>
      </w:r>
    </w:p>
    <w:p w14:paraId="03A3062E" w14:textId="391C78AC" w:rsidR="00A35DAC" w:rsidRPr="0053182F" w:rsidRDefault="00A35DAC" w:rsidP="00D221EA">
      <w:pPr>
        <w:pStyle w:val="ListParagraph"/>
        <w:spacing w:after="0" w:line="480" w:lineRule="auto"/>
        <w:ind w:left="0" w:firstLine="622"/>
        <w:jc w:val="both"/>
      </w:pPr>
      <w:r w:rsidRPr="0053182F">
        <w:t>This chapter has outlined the overall research design underpinning the study</w:t>
      </w:r>
      <w:r w:rsidR="00EE2C90" w:rsidRPr="0053182F">
        <w:t xml:space="preserve"> and justified the adoption of a multi-level, explanatory,</w:t>
      </w:r>
      <w:r w:rsidRPr="0053182F">
        <w:t xml:space="preserve"> sequential mixed-methods approach to investigate </w:t>
      </w:r>
      <w:r w:rsidR="00EE2C90" w:rsidRPr="0053182F">
        <w:t>CMS</w:t>
      </w:r>
      <w:r w:rsidRPr="0053182F">
        <w:t xml:space="preserve"> across macro, meso, and micro contexts. By integrating quantitative and qualitative strands within a coherent institutional framework, the chapter established the logical sequencing, theoretical alignment, and analytical boundaries of the research. Building on this design rationale, Chapter 7 details the research methodology, specifying the data sources, sampling strategies, variables, analytical techniques, and ethical considerations employed to operationalise the research design across each phase of the study.</w:t>
      </w:r>
    </w:p>
    <w:p w14:paraId="0269147B" w14:textId="77777777" w:rsidR="004B6582" w:rsidRPr="0053182F" w:rsidRDefault="004B6582" w:rsidP="00D221EA">
      <w:pPr>
        <w:pStyle w:val="ListParagraph"/>
        <w:spacing w:after="0" w:line="480" w:lineRule="auto"/>
        <w:ind w:left="0" w:firstLine="622"/>
        <w:jc w:val="both"/>
      </w:pPr>
    </w:p>
    <w:p w14:paraId="60109E7D" w14:textId="77777777" w:rsidR="00D221EA" w:rsidRPr="0053182F" w:rsidRDefault="00D221EA" w:rsidP="00D221EA">
      <w:pPr>
        <w:spacing w:line="480" w:lineRule="auto"/>
        <w:jc w:val="both"/>
        <w:rPr>
          <w:color w:val="auto"/>
        </w:rPr>
      </w:pPr>
    </w:p>
    <w:p w14:paraId="789D0C54" w14:textId="77777777" w:rsidR="00D221EA" w:rsidRPr="0053182F" w:rsidRDefault="00D221EA" w:rsidP="00D221EA">
      <w:pPr>
        <w:spacing w:line="480" w:lineRule="auto"/>
        <w:jc w:val="both"/>
        <w:rPr>
          <w:color w:val="auto"/>
        </w:rPr>
      </w:pPr>
    </w:p>
    <w:p w14:paraId="393670FF" w14:textId="415CF5FC" w:rsidR="007918EE" w:rsidRPr="0053182F" w:rsidRDefault="007918EE" w:rsidP="007918EE">
      <w:pPr>
        <w:spacing w:line="480" w:lineRule="auto"/>
        <w:jc w:val="both"/>
        <w:rPr>
          <w:color w:val="auto"/>
        </w:rPr>
      </w:pPr>
    </w:p>
    <w:p w14:paraId="7899A87F" w14:textId="77777777" w:rsidR="007918EE" w:rsidRPr="0053182F" w:rsidRDefault="007918EE" w:rsidP="007918EE">
      <w:pPr>
        <w:spacing w:line="480" w:lineRule="auto"/>
        <w:jc w:val="both"/>
        <w:rPr>
          <w:color w:val="auto"/>
        </w:rPr>
      </w:pPr>
    </w:p>
    <w:p w14:paraId="39E20361" w14:textId="6221FF29" w:rsidR="00820227" w:rsidRPr="0053182F" w:rsidRDefault="00820227" w:rsidP="007918EE">
      <w:pPr>
        <w:spacing w:line="480" w:lineRule="auto"/>
        <w:jc w:val="both"/>
        <w:rPr>
          <w:color w:val="auto"/>
        </w:rPr>
      </w:pPr>
      <w:r w:rsidRPr="0053182F">
        <w:rPr>
          <w:color w:val="auto"/>
        </w:rPr>
        <w:br w:type="page"/>
      </w:r>
    </w:p>
    <w:p w14:paraId="0C6BF9B9" w14:textId="77777777" w:rsidR="00156A23" w:rsidRPr="0053182F" w:rsidRDefault="00156A23" w:rsidP="002E082F">
      <w:pPr>
        <w:pStyle w:val="Heading1"/>
        <w:rPr>
          <w:rFonts w:cs="Times New Roman"/>
          <w:color w:val="0F4761" w:themeColor="accent1" w:themeShade="BF"/>
        </w:rPr>
      </w:pPr>
      <w:bookmarkStart w:id="282" w:name="_Toc216557270"/>
      <w:bookmarkStart w:id="283" w:name="_Toc218357160"/>
      <w:bookmarkEnd w:id="194"/>
      <w:r w:rsidRPr="0053182F">
        <w:rPr>
          <w:rFonts w:cs="Times New Roman"/>
        </w:rPr>
        <w:t>Chapter 7 Research Methodology</w:t>
      </w:r>
      <w:bookmarkEnd w:id="282"/>
      <w:bookmarkEnd w:id="283"/>
    </w:p>
    <w:p w14:paraId="2557F3D1" w14:textId="77777777" w:rsidR="00156A23" w:rsidRPr="0053182F" w:rsidRDefault="00156A23" w:rsidP="00A35BDB">
      <w:pPr>
        <w:pStyle w:val="Heading1"/>
        <w:spacing w:before="0"/>
        <w:rPr>
          <w:rStyle w:val="normaltextrun"/>
          <w:rFonts w:eastAsia="Times New Roman" w:cs="Times New Roman"/>
          <w:bCs/>
        </w:rPr>
      </w:pPr>
      <w:bookmarkStart w:id="284" w:name="_Toc215651871"/>
      <w:bookmarkStart w:id="285" w:name="_Toc216557271"/>
      <w:bookmarkStart w:id="286" w:name="_Toc218357161"/>
      <w:r w:rsidRPr="0053182F">
        <w:rPr>
          <w:rStyle w:val="normaltextrun"/>
          <w:rFonts w:eastAsia="Times New Roman" w:cs="Times New Roman"/>
          <w:bCs/>
        </w:rPr>
        <w:t xml:space="preserve">Phase 1: </w:t>
      </w:r>
      <w:r w:rsidRPr="0053182F">
        <w:rPr>
          <w:rStyle w:val="normaltextrun"/>
          <w:rFonts w:eastAsia="Times New Roman" w:cs="Times New Roman"/>
          <w:b w:val="0"/>
          <w:bCs/>
        </w:rPr>
        <w:t xml:space="preserve"> </w:t>
      </w:r>
      <w:r w:rsidRPr="0053182F">
        <w:rPr>
          <w:rStyle w:val="normaltextrun"/>
          <w:rFonts w:eastAsia="Times New Roman" w:cs="Times New Roman"/>
          <w:bCs/>
        </w:rPr>
        <w:t>Macro-Level Quantitative Analysis</w:t>
      </w:r>
      <w:bookmarkEnd w:id="284"/>
      <w:bookmarkEnd w:id="285"/>
      <w:bookmarkEnd w:id="286"/>
    </w:p>
    <w:p w14:paraId="3A3168F3" w14:textId="77777777" w:rsidR="00156A23" w:rsidRPr="0053182F" w:rsidRDefault="00156A23" w:rsidP="00A35BDB">
      <w:pPr>
        <w:pStyle w:val="Heading2"/>
      </w:pPr>
      <w:bookmarkStart w:id="287" w:name="_Toc200010373"/>
      <w:bookmarkStart w:id="288" w:name="_Toc215651872"/>
      <w:bookmarkStart w:id="289" w:name="_Toc216557272"/>
      <w:bookmarkStart w:id="290" w:name="_Toc218357162"/>
      <w:r w:rsidRPr="0053182F">
        <w:t xml:space="preserve">7.1 </w:t>
      </w:r>
      <w:bookmarkEnd w:id="287"/>
      <w:r w:rsidRPr="0053182F">
        <w:t>Overview</w:t>
      </w:r>
      <w:bookmarkEnd w:id="288"/>
      <w:bookmarkEnd w:id="289"/>
      <w:bookmarkEnd w:id="290"/>
    </w:p>
    <w:p w14:paraId="14940BD2" w14:textId="77777777" w:rsidR="00156A23" w:rsidRPr="0053182F" w:rsidRDefault="00156A23" w:rsidP="00A35BDB">
      <w:pPr>
        <w:pStyle w:val="NormalWeb"/>
        <w:spacing w:before="0" w:beforeAutospacing="0" w:line="480" w:lineRule="auto"/>
        <w:jc w:val="both"/>
      </w:pPr>
      <w:r w:rsidRPr="0053182F">
        <w:t xml:space="preserve">This research adopts a </w:t>
      </w:r>
      <w:r w:rsidRPr="0053182F">
        <w:rPr>
          <w:rStyle w:val="Strong"/>
          <w:rFonts w:eastAsiaTheme="majorEastAsia"/>
          <w:b w:val="0"/>
          <w:bCs w:val="0"/>
        </w:rPr>
        <w:t>quantitative, longitudinal macro-level research design</w:t>
      </w:r>
      <w:r w:rsidRPr="0053182F">
        <w:t xml:space="preserve"> to investigate how institutional and socio-economic structures influence the prevalence, vulnerability, and government responses to MS across countries. Guided by NIT's theoretical underpinnings, the research focuses on uncovering the structural and institutional conditions under which MS risks proliferate or are mitigated globally.</w:t>
      </w:r>
    </w:p>
    <w:p w14:paraId="0E962D17" w14:textId="54BC0C18" w:rsidR="00156A23" w:rsidRPr="0053182F" w:rsidRDefault="00156A23" w:rsidP="00156A23">
      <w:pPr>
        <w:pStyle w:val="NormalWeb"/>
        <w:spacing w:line="480" w:lineRule="auto"/>
        <w:ind w:firstLine="720"/>
        <w:jc w:val="both"/>
      </w:pPr>
      <w:r w:rsidRPr="0053182F">
        <w:t xml:space="preserve">The design is rooted in a </w:t>
      </w:r>
      <w:r w:rsidRPr="0053182F">
        <w:rPr>
          <w:rStyle w:val="Strong"/>
          <w:rFonts w:eastAsiaTheme="majorEastAsia"/>
          <w:b w:val="0"/>
          <w:bCs w:val="0"/>
        </w:rPr>
        <w:t>deductive reasoning approach</w:t>
      </w:r>
      <w:r w:rsidRPr="0053182F">
        <w:t xml:space="preserve">, allowing for the formulation and empirical testing of theoretically informed hypotheses. </w:t>
      </w:r>
      <w:r w:rsidR="00001ADE" w:rsidRPr="0053182F">
        <w:t>Similar</w:t>
      </w:r>
      <w:r w:rsidR="000A32FF" w:rsidRPr="0053182F">
        <w:t xml:space="preserve"> to the</w:t>
      </w:r>
      <w:r w:rsidR="00E05DD5" w:rsidRPr="0053182F">
        <w:t xml:space="preserve"> </w:t>
      </w:r>
      <w:sdt>
        <w:sdtPr>
          <w:tag w:val="MENDELEY_CITATION_v3_eyJjaXRhdGlvbklEIjoiTUVOREVMRVlfQ0lUQVRJT05fZDU4ODQzODktNThlNS00NGUwLTgwOGQtODRkNmJlNzVmZDZjIiwicHJvcGVydGllcyI6eyJub3RlSW5kZXgiOjB9LCJpc0VkaXRlZCI6ZmFsc2UsIm1hbnVhbE92ZXJyaWRlIjp7ImlzTWFudWFsbHlPdmVycmlkZGVuIjpmYWxzZSwiY2l0ZXByb2NUZXh0IjoiKEhvdXFlIGFuZCBLaGFuLCAyMDI1KSIsIm1hbnVhbE92ZXJyaWRlVGV4dCI6Ii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V19"/>
          <w:id w:val="737981715"/>
          <w:placeholder>
            <w:docPart w:val="7AB6291C39E544AF81DC3B7F9642200F"/>
          </w:placeholder>
        </w:sdtPr>
        <w:sdtContent>
          <w:r w:rsidR="00E05DD5" w:rsidRPr="0053182F">
            <w:t>Houqe and Khan, (2025)</w:t>
          </w:r>
        </w:sdtContent>
      </w:sdt>
      <w:r w:rsidR="000A32FF" w:rsidRPr="0053182F">
        <w:t xml:space="preserve"> study this </w:t>
      </w:r>
      <w:r w:rsidR="002E71A3" w:rsidRPr="0053182F">
        <w:t>thesis</w:t>
      </w:r>
      <w:r w:rsidRPr="0053182F">
        <w:t xml:space="preserve"> </w:t>
      </w:r>
      <w:r w:rsidR="007604F4" w:rsidRPr="0053182F">
        <w:t>integrates</w:t>
      </w:r>
      <w:r w:rsidR="002E71A3" w:rsidRPr="0053182F">
        <w:t xml:space="preserve"> </w:t>
      </w:r>
      <w:r w:rsidRPr="0053182F">
        <w:t>macro-level cross-national panel data across three time periods (2016, 2018, and 2023), the study enables both temporal and spatial comparisons of determinants of MS. This temporal dimension is critical for assessing how institutional reforms, governance quality, and socio-economic development trajectories affect MS risk over time.</w:t>
      </w:r>
    </w:p>
    <w:p w14:paraId="324C8EDE" w14:textId="77777777" w:rsidR="00156A23" w:rsidRPr="0053182F" w:rsidRDefault="00156A23" w:rsidP="00156A23">
      <w:pPr>
        <w:pStyle w:val="Heading2"/>
        <w:jc w:val="both"/>
      </w:pPr>
      <w:bookmarkStart w:id="291" w:name="_Toc200010374"/>
      <w:bookmarkStart w:id="292" w:name="_Toc215651873"/>
      <w:bookmarkStart w:id="293" w:name="_Toc216557273"/>
      <w:bookmarkStart w:id="294" w:name="_Toc218357163"/>
      <w:r w:rsidRPr="0053182F">
        <w:t>7.2 Sample and data</w:t>
      </w:r>
      <w:bookmarkEnd w:id="291"/>
      <w:bookmarkEnd w:id="292"/>
      <w:bookmarkEnd w:id="293"/>
      <w:bookmarkEnd w:id="294"/>
      <w:r w:rsidRPr="0053182F">
        <w:t xml:space="preserve"> </w:t>
      </w:r>
    </w:p>
    <w:p w14:paraId="3E11A760" w14:textId="1064B3E2" w:rsidR="00156A23" w:rsidRPr="0053182F" w:rsidRDefault="00156A23" w:rsidP="00156A23">
      <w:pPr>
        <w:spacing w:line="480" w:lineRule="auto"/>
        <w:jc w:val="both"/>
      </w:pPr>
      <w:r w:rsidRPr="0053182F">
        <w:t xml:space="preserve">The selection of the 2016, 2018, and 2022 editions of the (GSI) as observation points for this study is guided by both methodological robustness and contextual significance. These editions represent the most comprehensive and methodologically consistent cross-national datasets available for assessing MS risk, including PREV, VALN, and MSRM </w:t>
      </w:r>
      <w:sdt>
        <w:sdtPr>
          <w:tag w:val="MENDELEY_CITATION_v3_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bnVtYmVyLW9mLXBhZ2VzIjoiMS0yOTIiLCJjb250YWluZXItdGl0bGUtc2hvcnQiOiIifSwiaXNUZW1wb3JhcnkiOmZhbHNlfSx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
          <w:id w:val="-163548858"/>
          <w:placeholder>
            <w:docPart w:val="2AC530142D4B4B17BC6C338A922FEAFD"/>
          </w:placeholder>
        </w:sdtPr>
        <w:sdtContent>
          <w:r w:rsidRPr="0053182F">
            <w:t>(Walk Free, 2016, 2018, 2023)</w:t>
          </w:r>
        </w:sdtContent>
      </w:sdt>
      <w:r w:rsidR="0085079F" w:rsidRPr="0053182F">
        <w:t>.</w:t>
      </w:r>
      <w:r w:rsidRPr="0053182F">
        <w:t xml:space="preserve"> Importantly, the chosen time points reflect distinct phases of the global governance and policy landscape. The 2016 edition captures the early years of implementation of the UN-SDGs, notably Target 8.7, which explicitly addresses the eradication of forced labour and MS. The 2018 edition corresponds to a period of intensified international engagement, with new national legislation, supply chain accountability mechanisms, and increased stakeholder activism across sectors </w:t>
      </w:r>
      <w:sdt>
        <w:sdtPr>
          <w:tag w:val="MENDELEY_CITATION_v3_eyJjaXRhdGlvbklEIjoiTUVOREVMRVlfQ0lUQVRJT05fM2I4Y2IzYzUtMDQ4YS00OWFhLTk3NDctNzkxYTkwZTcwZTBkIiwicHJvcGVydGllcyI6eyJub3RlSW5kZXgiOjB9LCJpc0VkaXRlZCI6ZmFsc2UsIm1hbnVhbE92ZXJyaWRlIjp7ImlzTWFudWFsbHlPdmVycmlkZGVuIjp0cnVlLCJjaXRlcHJvY1RleHQiOiIoSUxPLCAyMDE3LCAyMDIyYTsgTGFuZG1hbiBhbmQgU2lsdmVybWFuLCAyMDE5KSIsIm1hbnVhbE92ZXJyaWRlVGV4dCI6IihJTE8sIDIwMTdhOyBMYW5kbWFuIGFuZCBTaWx2ZXJtYW4sIDIwMTk7IElMTywgMjAyMikifSwiY2l0YXRpb25JdGVtcyI6W3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"/>
          <w:id w:val="-109432311"/>
          <w:placeholder>
            <w:docPart w:val="922497B7AA9F4EEE830394533555326D"/>
          </w:placeholder>
        </w:sdtPr>
        <w:sdtContent>
          <w:r w:rsidRPr="0053182F">
            <w:t>(ILO, 2017a; Landman and Silverman, 2019; ILO, 2022)</w:t>
          </w:r>
        </w:sdtContent>
      </w:sdt>
      <w:r w:rsidRPr="0053182F">
        <w:t>.</w:t>
      </w:r>
    </w:p>
    <w:p w14:paraId="464EE7B7" w14:textId="77777777" w:rsidR="00156A23" w:rsidRPr="0053182F" w:rsidRDefault="00156A23" w:rsidP="00156A23">
      <w:pPr>
        <w:spacing w:line="480" w:lineRule="auto"/>
        <w:ind w:firstLine="720"/>
        <w:jc w:val="both"/>
      </w:pPr>
      <w:r w:rsidRPr="0053182F">
        <w:t xml:space="preserve">Notably, there is a reporting gap for 2020, as the GSI was not published during the COVID period. This was due to significant disruptions in data collection and operational constraints resulting from the COVID-19 pandemic, which hampered international survey deployment and institutional monitoring capacities </w:t>
      </w:r>
      <w:sdt>
        <w:sdtPr>
          <w:tag w:val="MENDELEY_CITATION_v3_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
          <w:id w:val="1263259123"/>
          <w:placeholder>
            <w:docPart w:val="922497B7AA9F4EEE830394533555326D"/>
          </w:placeholder>
        </w:sdtPr>
        <w:sdtContent>
          <w:r w:rsidRPr="0053182F">
            <w:t>(ILO, 2020a; Walk Free, 2023)</w:t>
          </w:r>
        </w:sdtContent>
      </w:sdt>
      <w:r w:rsidRPr="0053182F">
        <w:t xml:space="preserve">. The 2022 edition, therefore, serves as a post-pandemic benchmark, offering valuable insight into how global shocks—such as public health crises, economic instability, and increased informality in labour markets—have reshaped MS risk. Including this year in the panel enables an examination of whether and how institutional and structural conditions mediated the impact of COVID-19 on national vulnerabilities and policy responses </w:t>
      </w:r>
      <w:sdt>
        <w:sdtPr>
          <w:tag w:val="MENDELEY_CITATION_v3_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"/>
          <w:id w:val="-324437529"/>
          <w:placeholder>
            <w:docPart w:val="944EE29C6B334162B786D58D9FBA4C77"/>
          </w:placeholder>
        </w:sdtPr>
        <w:sdtContent>
          <w:r w:rsidRPr="0053182F">
            <w:rPr>
              <w:rFonts w:eastAsia="Times New Roman"/>
            </w:rPr>
            <w:t xml:space="preserve">(ILO, 2020b; Kent </w:t>
          </w:r>
          <w:r w:rsidRPr="0053182F">
            <w:rPr>
              <w:rFonts w:eastAsia="Times New Roman"/>
              <w:i/>
              <w:iCs/>
            </w:rPr>
            <w:t>et al.</w:t>
          </w:r>
          <w:r w:rsidRPr="0053182F">
            <w:rPr>
              <w:rFonts w:eastAsia="Times New Roman"/>
            </w:rPr>
            <w:t>, 2021)</w:t>
          </w:r>
        </w:sdtContent>
      </w:sdt>
      <w:r w:rsidRPr="0053182F">
        <w:t>. Thus, the combination of 2016, 2018, and 2022 enables a longitudinal yet policy-sensitive analysis while accommodating constraints posed by global events beyond the researcher’s control.</w:t>
      </w:r>
    </w:p>
    <w:p w14:paraId="5C1C2927" w14:textId="77777777" w:rsidR="00156A23" w:rsidRPr="0053182F" w:rsidRDefault="00156A23" w:rsidP="00156A23">
      <w:pPr>
        <w:spacing w:line="480" w:lineRule="auto"/>
        <w:ind w:firstLine="720"/>
        <w:jc w:val="both"/>
      </w:pPr>
      <w:r w:rsidRPr="0053182F">
        <w:t xml:space="preserve">The initial sample includes all </w:t>
      </w:r>
      <w:r w:rsidRPr="0053182F">
        <w:rPr>
          <w:rStyle w:val="Strong"/>
          <w:rFonts w:eastAsiaTheme="majorEastAsia"/>
          <w:b w:val="0"/>
          <w:bCs w:val="0"/>
        </w:rPr>
        <w:t>195 countries</w:t>
      </w:r>
      <w:r w:rsidRPr="0053182F">
        <w:t>, reflecting a globally representative framework for conducting cross-national empirical analysis. To ensure the methodological soundness and consistency of the dataset across all key analytical dimensions, a rigorous, multi-stage refinement process was employed, guided by the availability and completeness of critical variables.</w:t>
      </w:r>
    </w:p>
    <w:p w14:paraId="3F63968F" w14:textId="7406D510" w:rsidR="00156A23" w:rsidRPr="0053182F" w:rsidRDefault="00156A23" w:rsidP="00156A23">
      <w:pPr>
        <w:spacing w:line="480" w:lineRule="auto"/>
        <w:ind w:firstLine="720"/>
        <w:jc w:val="both"/>
      </w:pPr>
      <w:r w:rsidRPr="0053182F">
        <w:t xml:space="preserve">In the first stage, two entities (the Holy See and the State of Palestine) were excluded due to their non-membership status in the United Nations, which precludes them from accessing SDGI data.  Subsequently, 12 countries were omitted due to the absence of one or more primary dependent variables, specifically the MS PREV, VULN, and MSRM, as reported by the GSI. In the third stage, 10 additional countries were excluded due to incomplete institutional data, particularly regarding the WGI, which are integral to the construction of the core independent variables. Finally, seven countries were removed owing to missing values in essential macroeconomic and demographic control variables—such as </w:t>
      </w:r>
      <w:r w:rsidR="00F4419D">
        <w:t>gross demoestic production (</w:t>
      </w:r>
      <w:r w:rsidRPr="0053182F">
        <w:t>GDP</w:t>
      </w:r>
      <w:r w:rsidR="00F4419D">
        <w:t>)</w:t>
      </w:r>
      <w:r w:rsidRPr="0053182F">
        <w:t xml:space="preserve"> growth, foreign direct investment (FDI), net migration, and population structure—sourced primarily from the World Bank Development Indicators (WDI) and supplementary United Nations datasets.</w:t>
      </w:r>
    </w:p>
    <w:p w14:paraId="6A93BA2C" w14:textId="77777777" w:rsidR="00156A23" w:rsidRPr="0053182F" w:rsidRDefault="00156A23" w:rsidP="00156A23">
      <w:pPr>
        <w:spacing w:line="480" w:lineRule="auto"/>
        <w:ind w:firstLine="720"/>
        <w:jc w:val="both"/>
      </w:pPr>
      <w:r w:rsidRPr="0053182F">
        <w:t>Upon completion of this refinement process, the final dataset comprises 166 countries, observed across three discrete time periods: 2016, 2018, and 2022. This balanced panel structure facilitates robust longitudinal analysis and ensures adequate cross-sectional diversity. The resulting sample maintains a high degree of internal validity and encompasses a wide range of legal traditions, institutional capacities, and developmental profiles, thereby enhancing the external validity and global applicability of the study’s findings.</w:t>
      </w:r>
    </w:p>
    <w:p w14:paraId="405A1C1A" w14:textId="77777777" w:rsidR="00156A23" w:rsidRPr="0053182F" w:rsidRDefault="00156A23" w:rsidP="00156A23">
      <w:pPr>
        <w:pStyle w:val="Caption"/>
      </w:pPr>
      <w:r w:rsidRPr="0053182F">
        <w:rPr>
          <w:b/>
          <w:bCs/>
        </w:rPr>
        <w:t>Table 7.1:</w:t>
      </w:r>
      <w:r w:rsidRPr="0053182F">
        <w:t xml:space="preserve"> Table Sample details </w:t>
      </w:r>
    </w:p>
    <w:tbl>
      <w:tblPr>
        <w:tblStyle w:val="TableGrid"/>
        <w:tblW w:w="0" w:type="auto"/>
        <w:tblBorders>
          <w:top w:val="single" w:sz="4" w:space="0" w:color="auto"/>
          <w:bottom w:val="single" w:sz="4" w:space="0" w:color="auto"/>
        </w:tblBorders>
        <w:tblLook w:val="04A0" w:firstRow="1" w:lastRow="0" w:firstColumn="1" w:lastColumn="0" w:noHBand="0" w:noVBand="1"/>
      </w:tblPr>
      <w:tblGrid>
        <w:gridCol w:w="5628"/>
        <w:gridCol w:w="1654"/>
        <w:gridCol w:w="1734"/>
      </w:tblGrid>
      <w:tr w:rsidR="00156A23" w:rsidRPr="0053182F" w14:paraId="70CBE683" w14:textId="77777777" w:rsidTr="00D20468">
        <w:tc>
          <w:tcPr>
            <w:tcW w:w="5628" w:type="dxa"/>
            <w:tcBorders>
              <w:top w:val="single" w:sz="4" w:space="0" w:color="auto"/>
              <w:left w:val="nil"/>
              <w:bottom w:val="nil"/>
              <w:right w:val="nil"/>
            </w:tcBorders>
            <w:hideMark/>
          </w:tcPr>
          <w:p w14:paraId="5BF4DD6C" w14:textId="77777777" w:rsidR="00156A23" w:rsidRPr="0053182F" w:rsidRDefault="00156A23" w:rsidP="00D20468">
            <w:r w:rsidRPr="0053182F">
              <w:t xml:space="preserve">Number of countries in the Initial Sample </w:t>
            </w:r>
          </w:p>
        </w:tc>
        <w:tc>
          <w:tcPr>
            <w:tcW w:w="1654" w:type="dxa"/>
            <w:tcBorders>
              <w:top w:val="single" w:sz="4" w:space="0" w:color="auto"/>
              <w:left w:val="nil"/>
              <w:bottom w:val="nil"/>
              <w:right w:val="nil"/>
            </w:tcBorders>
          </w:tcPr>
          <w:p w14:paraId="5BDF591E" w14:textId="77777777" w:rsidR="00156A23" w:rsidRPr="0053182F" w:rsidRDefault="00156A23" w:rsidP="00D20468">
            <w:pPr>
              <w:jc w:val="center"/>
            </w:pPr>
          </w:p>
        </w:tc>
        <w:tc>
          <w:tcPr>
            <w:tcW w:w="1734" w:type="dxa"/>
            <w:tcBorders>
              <w:top w:val="single" w:sz="4" w:space="0" w:color="auto"/>
              <w:left w:val="nil"/>
              <w:bottom w:val="nil"/>
              <w:right w:val="nil"/>
            </w:tcBorders>
            <w:hideMark/>
          </w:tcPr>
          <w:p w14:paraId="226AA86B" w14:textId="77777777" w:rsidR="00156A23" w:rsidRPr="0053182F" w:rsidRDefault="00156A23" w:rsidP="00D20468">
            <w:pPr>
              <w:jc w:val="center"/>
            </w:pPr>
            <w:r w:rsidRPr="0053182F">
              <w:t>195</w:t>
            </w:r>
          </w:p>
        </w:tc>
      </w:tr>
      <w:tr w:rsidR="00156A23" w:rsidRPr="0053182F" w14:paraId="6D5BDE8C" w14:textId="77777777" w:rsidTr="00D20468">
        <w:trPr>
          <w:trHeight w:val="311"/>
        </w:trPr>
        <w:tc>
          <w:tcPr>
            <w:tcW w:w="5628" w:type="dxa"/>
            <w:tcBorders>
              <w:top w:val="nil"/>
              <w:left w:val="nil"/>
              <w:bottom w:val="nil"/>
              <w:right w:val="nil"/>
            </w:tcBorders>
            <w:hideMark/>
          </w:tcPr>
          <w:p w14:paraId="59572108" w14:textId="77777777" w:rsidR="00156A23" w:rsidRPr="0053182F" w:rsidRDefault="00156A23" w:rsidP="00D20468">
            <w:r w:rsidRPr="0053182F">
              <w:rPr>
                <w:u w:val="single"/>
              </w:rPr>
              <w:t>Exclude</w:t>
            </w:r>
          </w:p>
        </w:tc>
        <w:tc>
          <w:tcPr>
            <w:tcW w:w="1654" w:type="dxa"/>
            <w:tcBorders>
              <w:top w:val="nil"/>
              <w:left w:val="nil"/>
              <w:bottom w:val="nil"/>
              <w:right w:val="nil"/>
            </w:tcBorders>
          </w:tcPr>
          <w:p w14:paraId="7E9B0A0B" w14:textId="77777777" w:rsidR="00156A23" w:rsidRPr="0053182F" w:rsidRDefault="00156A23" w:rsidP="00D20468">
            <w:pPr>
              <w:jc w:val="center"/>
            </w:pPr>
          </w:p>
        </w:tc>
        <w:tc>
          <w:tcPr>
            <w:tcW w:w="1734" w:type="dxa"/>
            <w:tcBorders>
              <w:top w:val="nil"/>
              <w:left w:val="nil"/>
              <w:bottom w:val="nil"/>
              <w:right w:val="nil"/>
            </w:tcBorders>
          </w:tcPr>
          <w:p w14:paraId="1CDD358B" w14:textId="77777777" w:rsidR="00156A23" w:rsidRPr="0053182F" w:rsidRDefault="00156A23" w:rsidP="00D20468">
            <w:pPr>
              <w:jc w:val="center"/>
            </w:pPr>
          </w:p>
        </w:tc>
      </w:tr>
      <w:tr w:rsidR="00156A23" w:rsidRPr="0053182F" w14:paraId="1B418EE9" w14:textId="77777777" w:rsidTr="00D20468">
        <w:tc>
          <w:tcPr>
            <w:tcW w:w="5628" w:type="dxa"/>
            <w:tcBorders>
              <w:top w:val="nil"/>
              <w:left w:val="nil"/>
              <w:bottom w:val="nil"/>
              <w:right w:val="nil"/>
            </w:tcBorders>
            <w:hideMark/>
          </w:tcPr>
          <w:p w14:paraId="7875A4E1" w14:textId="77777777" w:rsidR="00156A23" w:rsidRPr="0053182F" w:rsidRDefault="00156A23" w:rsidP="00D20468">
            <w:r w:rsidRPr="0053182F">
              <w:t>Missing GSI indicators</w:t>
            </w:r>
          </w:p>
        </w:tc>
        <w:tc>
          <w:tcPr>
            <w:tcW w:w="1654" w:type="dxa"/>
            <w:tcBorders>
              <w:top w:val="nil"/>
              <w:left w:val="nil"/>
              <w:bottom w:val="nil"/>
              <w:right w:val="nil"/>
            </w:tcBorders>
            <w:hideMark/>
          </w:tcPr>
          <w:p w14:paraId="54434E0A" w14:textId="77777777" w:rsidR="00156A23" w:rsidRPr="0053182F" w:rsidRDefault="00156A23" w:rsidP="00D20468">
            <w:pPr>
              <w:jc w:val="center"/>
            </w:pPr>
            <w:r w:rsidRPr="0053182F">
              <w:t>12</w:t>
            </w:r>
          </w:p>
        </w:tc>
        <w:tc>
          <w:tcPr>
            <w:tcW w:w="1734" w:type="dxa"/>
            <w:tcBorders>
              <w:top w:val="nil"/>
              <w:left w:val="nil"/>
              <w:bottom w:val="nil"/>
              <w:right w:val="nil"/>
            </w:tcBorders>
          </w:tcPr>
          <w:p w14:paraId="3515AAAD" w14:textId="77777777" w:rsidR="00156A23" w:rsidRPr="0053182F" w:rsidRDefault="00156A23" w:rsidP="00D20468">
            <w:pPr>
              <w:jc w:val="center"/>
            </w:pPr>
          </w:p>
        </w:tc>
      </w:tr>
      <w:tr w:rsidR="00156A23" w:rsidRPr="0053182F" w14:paraId="52F98A03" w14:textId="77777777" w:rsidTr="00D20468">
        <w:tc>
          <w:tcPr>
            <w:tcW w:w="5628" w:type="dxa"/>
            <w:tcBorders>
              <w:top w:val="nil"/>
              <w:left w:val="nil"/>
              <w:bottom w:val="nil"/>
              <w:right w:val="nil"/>
            </w:tcBorders>
            <w:hideMark/>
          </w:tcPr>
          <w:p w14:paraId="3D142EE0" w14:textId="77777777" w:rsidR="00156A23" w:rsidRPr="0053182F" w:rsidRDefault="00156A23" w:rsidP="00D20468">
            <w:r w:rsidRPr="0053182F">
              <w:t>Missing IEQ and legal data</w:t>
            </w:r>
          </w:p>
        </w:tc>
        <w:tc>
          <w:tcPr>
            <w:tcW w:w="1654" w:type="dxa"/>
            <w:tcBorders>
              <w:top w:val="nil"/>
              <w:left w:val="nil"/>
              <w:bottom w:val="nil"/>
              <w:right w:val="nil"/>
            </w:tcBorders>
            <w:hideMark/>
          </w:tcPr>
          <w:p w14:paraId="4A5723FC" w14:textId="77777777" w:rsidR="00156A23" w:rsidRPr="0053182F" w:rsidRDefault="00156A23" w:rsidP="00D20468">
            <w:pPr>
              <w:jc w:val="center"/>
            </w:pPr>
            <w:r w:rsidRPr="0053182F">
              <w:t>10</w:t>
            </w:r>
          </w:p>
        </w:tc>
        <w:tc>
          <w:tcPr>
            <w:tcW w:w="1734" w:type="dxa"/>
            <w:tcBorders>
              <w:top w:val="nil"/>
              <w:left w:val="nil"/>
              <w:bottom w:val="nil"/>
              <w:right w:val="nil"/>
            </w:tcBorders>
          </w:tcPr>
          <w:p w14:paraId="0C0C67DF" w14:textId="77777777" w:rsidR="00156A23" w:rsidRPr="0053182F" w:rsidRDefault="00156A23" w:rsidP="00D20468">
            <w:pPr>
              <w:jc w:val="center"/>
            </w:pPr>
          </w:p>
        </w:tc>
      </w:tr>
      <w:tr w:rsidR="00156A23" w:rsidRPr="0053182F" w14:paraId="18E4BC56" w14:textId="77777777" w:rsidTr="00D20468">
        <w:tc>
          <w:tcPr>
            <w:tcW w:w="5628" w:type="dxa"/>
            <w:tcBorders>
              <w:top w:val="nil"/>
              <w:left w:val="nil"/>
              <w:bottom w:val="nil"/>
              <w:right w:val="nil"/>
            </w:tcBorders>
            <w:hideMark/>
          </w:tcPr>
          <w:p w14:paraId="4A30712D" w14:textId="77777777" w:rsidR="00156A23" w:rsidRPr="0053182F" w:rsidRDefault="00156A23" w:rsidP="00D20468">
            <w:r w:rsidRPr="0053182F">
              <w:t xml:space="preserve">Missing macroeconomic/demographic controls </w:t>
            </w:r>
          </w:p>
        </w:tc>
        <w:tc>
          <w:tcPr>
            <w:tcW w:w="1654" w:type="dxa"/>
            <w:tcBorders>
              <w:top w:val="nil"/>
              <w:left w:val="nil"/>
              <w:bottom w:val="single" w:sz="4" w:space="0" w:color="auto"/>
              <w:right w:val="nil"/>
            </w:tcBorders>
            <w:hideMark/>
          </w:tcPr>
          <w:p w14:paraId="3F72AE41" w14:textId="77777777" w:rsidR="00156A23" w:rsidRPr="0053182F" w:rsidRDefault="00156A23" w:rsidP="00D20468">
            <w:pPr>
              <w:jc w:val="center"/>
            </w:pPr>
            <w:r w:rsidRPr="0053182F">
              <w:t>7</w:t>
            </w:r>
          </w:p>
        </w:tc>
        <w:tc>
          <w:tcPr>
            <w:tcW w:w="1734" w:type="dxa"/>
            <w:tcBorders>
              <w:top w:val="nil"/>
              <w:left w:val="nil"/>
              <w:bottom w:val="single" w:sz="4" w:space="0" w:color="auto"/>
              <w:right w:val="nil"/>
            </w:tcBorders>
            <w:hideMark/>
          </w:tcPr>
          <w:p w14:paraId="2D93C476" w14:textId="77777777" w:rsidR="00156A23" w:rsidRPr="0053182F" w:rsidRDefault="00156A23" w:rsidP="00D20468">
            <w:pPr>
              <w:jc w:val="center"/>
            </w:pPr>
            <w:r w:rsidRPr="0053182F">
              <w:t>(29)</w:t>
            </w:r>
          </w:p>
        </w:tc>
      </w:tr>
      <w:tr w:rsidR="00156A23" w:rsidRPr="0053182F" w14:paraId="42FAFCB3" w14:textId="77777777" w:rsidTr="00D20468">
        <w:tc>
          <w:tcPr>
            <w:tcW w:w="5628" w:type="dxa"/>
            <w:tcBorders>
              <w:top w:val="nil"/>
              <w:left w:val="nil"/>
              <w:bottom w:val="single" w:sz="4" w:space="0" w:color="auto"/>
              <w:right w:val="nil"/>
            </w:tcBorders>
            <w:hideMark/>
          </w:tcPr>
          <w:p w14:paraId="1A19DE13" w14:textId="77777777" w:rsidR="00156A23" w:rsidRPr="0053182F" w:rsidRDefault="00156A23" w:rsidP="00D20468">
            <w:r w:rsidRPr="0053182F">
              <w:t xml:space="preserve">Final sample </w:t>
            </w:r>
          </w:p>
        </w:tc>
        <w:tc>
          <w:tcPr>
            <w:tcW w:w="1654" w:type="dxa"/>
            <w:tcBorders>
              <w:top w:val="single" w:sz="4" w:space="0" w:color="auto"/>
              <w:left w:val="nil"/>
              <w:bottom w:val="single" w:sz="4" w:space="0" w:color="auto"/>
              <w:right w:val="nil"/>
            </w:tcBorders>
          </w:tcPr>
          <w:p w14:paraId="6D694688" w14:textId="77777777" w:rsidR="00156A23" w:rsidRPr="0053182F" w:rsidRDefault="00156A23" w:rsidP="00D20468">
            <w:pPr>
              <w:jc w:val="center"/>
              <w:rPr>
                <w:b/>
                <w:bCs/>
              </w:rPr>
            </w:pPr>
          </w:p>
        </w:tc>
        <w:tc>
          <w:tcPr>
            <w:tcW w:w="1734" w:type="dxa"/>
            <w:tcBorders>
              <w:top w:val="single" w:sz="4" w:space="0" w:color="auto"/>
              <w:left w:val="nil"/>
              <w:bottom w:val="single" w:sz="4" w:space="0" w:color="auto"/>
              <w:right w:val="nil"/>
            </w:tcBorders>
            <w:hideMark/>
          </w:tcPr>
          <w:p w14:paraId="7AC3C21E" w14:textId="77777777" w:rsidR="00156A23" w:rsidRPr="0053182F" w:rsidRDefault="00156A23" w:rsidP="00D20468">
            <w:pPr>
              <w:jc w:val="center"/>
              <w:rPr>
                <w:b/>
                <w:bCs/>
              </w:rPr>
            </w:pPr>
            <w:r w:rsidRPr="0053182F">
              <w:rPr>
                <w:b/>
                <w:bCs/>
              </w:rPr>
              <w:t>166</w:t>
            </w:r>
          </w:p>
        </w:tc>
      </w:tr>
    </w:tbl>
    <w:p w14:paraId="31BD25FC" w14:textId="77777777" w:rsidR="00156A23" w:rsidRPr="0053182F" w:rsidRDefault="00156A23" w:rsidP="00156A23">
      <w:r w:rsidRPr="0053182F">
        <w:rPr>
          <w:b/>
          <w:bCs/>
        </w:rPr>
        <w:t>Source:</w:t>
      </w:r>
      <w:r w:rsidRPr="0053182F">
        <w:t xml:space="preserve"> Author's own work</w:t>
      </w:r>
    </w:p>
    <w:p w14:paraId="40670EE9" w14:textId="77777777" w:rsidR="00156A23" w:rsidRPr="0053182F" w:rsidRDefault="00156A23" w:rsidP="00156A23">
      <w:pPr>
        <w:pStyle w:val="Heading2"/>
      </w:pPr>
      <w:bookmarkStart w:id="295" w:name="_Toc196915006"/>
      <w:bookmarkStart w:id="296" w:name="_Toc197080386"/>
      <w:bookmarkStart w:id="297" w:name="_Toc200010375"/>
      <w:bookmarkStart w:id="298" w:name="_Toc215651874"/>
      <w:bookmarkStart w:id="299" w:name="_Toc216557274"/>
      <w:bookmarkStart w:id="300" w:name="_Toc218357164"/>
      <w:r w:rsidRPr="0053182F">
        <w:t>7.3 Definition</w:t>
      </w:r>
      <w:bookmarkEnd w:id="295"/>
      <w:bookmarkEnd w:id="296"/>
      <w:r w:rsidRPr="0053182F">
        <w:t xml:space="preserve"> of Variables</w:t>
      </w:r>
      <w:bookmarkEnd w:id="297"/>
      <w:bookmarkEnd w:id="298"/>
      <w:bookmarkEnd w:id="299"/>
      <w:bookmarkEnd w:id="300"/>
    </w:p>
    <w:p w14:paraId="4CB3DCBB" w14:textId="77777777" w:rsidR="00156A23" w:rsidRPr="0053182F" w:rsidRDefault="00156A23" w:rsidP="00156A23">
      <w:pPr>
        <w:spacing w:line="480" w:lineRule="auto"/>
      </w:pPr>
      <w:r w:rsidRPr="0053182F">
        <w:t>Table 7.2 presents the definitions of the dependent, independent, and control variables of the empirical model used in this study.</w:t>
      </w:r>
    </w:p>
    <w:p w14:paraId="2B27D4D7" w14:textId="77777777" w:rsidR="00156A23" w:rsidRPr="0053182F" w:rsidRDefault="00156A23" w:rsidP="00156A23">
      <w:pPr>
        <w:pStyle w:val="Caption"/>
      </w:pPr>
      <w:r w:rsidRPr="0053182F">
        <w:rPr>
          <w:b/>
          <w:bCs/>
        </w:rPr>
        <w:t>Table 7.2:</w:t>
      </w:r>
      <w:r w:rsidRPr="0053182F">
        <w:t xml:space="preserve"> Variable definitions</w:t>
      </w:r>
    </w:p>
    <w:tbl>
      <w:tblPr>
        <w:tblW w:w="9026" w:type="dxa"/>
        <w:tblLook w:val="04A0" w:firstRow="1" w:lastRow="0" w:firstColumn="1" w:lastColumn="0" w:noHBand="0" w:noVBand="1"/>
      </w:tblPr>
      <w:tblGrid>
        <w:gridCol w:w="1818"/>
        <w:gridCol w:w="1137"/>
        <w:gridCol w:w="4592"/>
        <w:gridCol w:w="1479"/>
      </w:tblGrid>
      <w:tr w:rsidR="00156A23" w:rsidRPr="0053182F" w14:paraId="09C2A2FE" w14:textId="77777777" w:rsidTr="00D20468">
        <w:trPr>
          <w:trHeight w:val="369"/>
        </w:trPr>
        <w:tc>
          <w:tcPr>
            <w:tcW w:w="1818" w:type="dxa"/>
            <w:tcBorders>
              <w:top w:val="single" w:sz="4" w:space="0" w:color="auto"/>
              <w:left w:val="nil"/>
              <w:bottom w:val="single" w:sz="4" w:space="0" w:color="auto"/>
              <w:right w:val="nil"/>
            </w:tcBorders>
            <w:vAlign w:val="center"/>
            <w:hideMark/>
          </w:tcPr>
          <w:p w14:paraId="321D0CF4" w14:textId="77777777" w:rsidR="00156A23" w:rsidRPr="0053182F" w:rsidRDefault="00156A23" w:rsidP="00D20468">
            <w:pPr>
              <w:spacing w:after="0" w:line="240" w:lineRule="auto"/>
              <w:jc w:val="center"/>
              <w:rPr>
                <w:b/>
                <w:bCs/>
                <w:sz w:val="22"/>
                <w:szCs w:val="22"/>
              </w:rPr>
            </w:pPr>
            <w:r w:rsidRPr="0053182F">
              <w:rPr>
                <w:b/>
                <w:bCs/>
                <w:sz w:val="22"/>
                <w:szCs w:val="22"/>
              </w:rPr>
              <w:t>Variable name</w:t>
            </w:r>
          </w:p>
        </w:tc>
        <w:tc>
          <w:tcPr>
            <w:tcW w:w="1137" w:type="dxa"/>
            <w:tcBorders>
              <w:top w:val="single" w:sz="4" w:space="0" w:color="auto"/>
              <w:left w:val="nil"/>
              <w:bottom w:val="single" w:sz="4" w:space="0" w:color="auto"/>
              <w:right w:val="nil"/>
            </w:tcBorders>
            <w:vAlign w:val="center"/>
            <w:hideMark/>
          </w:tcPr>
          <w:p w14:paraId="1F86C61B" w14:textId="77777777" w:rsidR="00156A23" w:rsidRPr="0053182F" w:rsidRDefault="00156A23" w:rsidP="00D20468">
            <w:pPr>
              <w:spacing w:after="0" w:line="240" w:lineRule="auto"/>
              <w:jc w:val="center"/>
              <w:rPr>
                <w:b/>
                <w:bCs/>
                <w:sz w:val="22"/>
                <w:szCs w:val="22"/>
              </w:rPr>
            </w:pPr>
            <w:r w:rsidRPr="0053182F">
              <w:rPr>
                <w:b/>
                <w:bCs/>
                <w:sz w:val="22"/>
                <w:szCs w:val="22"/>
              </w:rPr>
              <w:t>Acronym</w:t>
            </w:r>
          </w:p>
        </w:tc>
        <w:tc>
          <w:tcPr>
            <w:tcW w:w="4592" w:type="dxa"/>
            <w:tcBorders>
              <w:top w:val="single" w:sz="4" w:space="0" w:color="auto"/>
              <w:left w:val="nil"/>
              <w:bottom w:val="single" w:sz="4" w:space="0" w:color="auto"/>
              <w:right w:val="nil"/>
            </w:tcBorders>
            <w:vAlign w:val="center"/>
            <w:hideMark/>
          </w:tcPr>
          <w:p w14:paraId="106ACF01" w14:textId="77777777" w:rsidR="00156A23" w:rsidRPr="0053182F" w:rsidRDefault="00156A23" w:rsidP="00D20468">
            <w:pPr>
              <w:spacing w:after="0" w:line="240" w:lineRule="auto"/>
              <w:jc w:val="center"/>
              <w:rPr>
                <w:b/>
                <w:bCs/>
                <w:sz w:val="22"/>
                <w:szCs w:val="22"/>
              </w:rPr>
            </w:pPr>
            <w:r w:rsidRPr="0053182F">
              <w:rPr>
                <w:b/>
                <w:bCs/>
                <w:sz w:val="22"/>
                <w:szCs w:val="22"/>
              </w:rPr>
              <w:t>Definition</w:t>
            </w:r>
          </w:p>
        </w:tc>
        <w:tc>
          <w:tcPr>
            <w:tcW w:w="1479" w:type="dxa"/>
            <w:tcBorders>
              <w:top w:val="single" w:sz="4" w:space="0" w:color="auto"/>
              <w:left w:val="nil"/>
              <w:bottom w:val="single" w:sz="4" w:space="0" w:color="auto"/>
              <w:right w:val="nil"/>
            </w:tcBorders>
            <w:hideMark/>
          </w:tcPr>
          <w:p w14:paraId="6C9420FE" w14:textId="77777777" w:rsidR="00156A23" w:rsidRPr="0053182F" w:rsidRDefault="00156A23" w:rsidP="00D20468">
            <w:pPr>
              <w:spacing w:after="0" w:line="240" w:lineRule="auto"/>
              <w:jc w:val="center"/>
              <w:rPr>
                <w:b/>
                <w:bCs/>
                <w:sz w:val="22"/>
                <w:szCs w:val="22"/>
              </w:rPr>
            </w:pPr>
            <w:r w:rsidRPr="0053182F">
              <w:rPr>
                <w:b/>
                <w:bCs/>
                <w:sz w:val="22"/>
                <w:szCs w:val="22"/>
              </w:rPr>
              <w:t>Source</w:t>
            </w:r>
          </w:p>
        </w:tc>
      </w:tr>
      <w:tr w:rsidR="00156A23" w:rsidRPr="0053182F" w14:paraId="6BD8BA28" w14:textId="77777777" w:rsidTr="00D20468">
        <w:trPr>
          <w:trHeight w:val="609"/>
        </w:trPr>
        <w:tc>
          <w:tcPr>
            <w:tcW w:w="1818" w:type="dxa"/>
            <w:tcBorders>
              <w:top w:val="single" w:sz="4" w:space="0" w:color="auto"/>
              <w:left w:val="nil"/>
              <w:bottom w:val="nil"/>
              <w:right w:val="nil"/>
            </w:tcBorders>
            <w:vAlign w:val="center"/>
            <w:hideMark/>
          </w:tcPr>
          <w:p w14:paraId="0AF3A159" w14:textId="77777777" w:rsidR="00156A23" w:rsidRPr="0053182F" w:rsidRDefault="00156A23" w:rsidP="00D20468">
            <w:pPr>
              <w:spacing w:line="240" w:lineRule="auto"/>
              <w:rPr>
                <w:sz w:val="22"/>
                <w:szCs w:val="22"/>
              </w:rPr>
            </w:pPr>
            <w:r w:rsidRPr="0053182F">
              <w:rPr>
                <w:sz w:val="22"/>
                <w:szCs w:val="22"/>
              </w:rPr>
              <w:t>Modern Slavery Prevalence</w:t>
            </w:r>
          </w:p>
        </w:tc>
        <w:tc>
          <w:tcPr>
            <w:tcW w:w="1137" w:type="dxa"/>
            <w:tcBorders>
              <w:top w:val="single" w:sz="4" w:space="0" w:color="auto"/>
              <w:left w:val="nil"/>
              <w:bottom w:val="single" w:sz="4" w:space="0" w:color="auto"/>
              <w:right w:val="nil"/>
            </w:tcBorders>
            <w:vAlign w:val="center"/>
            <w:hideMark/>
          </w:tcPr>
          <w:p w14:paraId="3F819A37" w14:textId="77777777" w:rsidR="00156A23" w:rsidRPr="0053182F" w:rsidRDefault="00156A23" w:rsidP="00D20468">
            <w:pPr>
              <w:spacing w:line="240" w:lineRule="auto"/>
              <w:rPr>
                <w:b/>
                <w:bCs/>
                <w:sz w:val="22"/>
                <w:szCs w:val="22"/>
              </w:rPr>
            </w:pPr>
            <w:r w:rsidRPr="0053182F">
              <w:rPr>
                <w:b/>
                <w:bCs/>
                <w:sz w:val="22"/>
                <w:szCs w:val="22"/>
              </w:rPr>
              <w:t>PREV</w:t>
            </w:r>
          </w:p>
        </w:tc>
        <w:tc>
          <w:tcPr>
            <w:tcW w:w="4592" w:type="dxa"/>
            <w:tcBorders>
              <w:top w:val="single" w:sz="4" w:space="0" w:color="auto"/>
              <w:left w:val="nil"/>
              <w:bottom w:val="single" w:sz="4" w:space="0" w:color="auto"/>
              <w:right w:val="nil"/>
            </w:tcBorders>
            <w:vAlign w:val="center"/>
            <w:hideMark/>
          </w:tcPr>
          <w:p w14:paraId="6A060360" w14:textId="77777777" w:rsidR="00156A23" w:rsidRPr="0053182F" w:rsidRDefault="00156A23" w:rsidP="00D20468">
            <w:pPr>
              <w:spacing w:line="240" w:lineRule="auto"/>
              <w:rPr>
                <w:sz w:val="22"/>
                <w:szCs w:val="22"/>
              </w:rPr>
            </w:pPr>
            <w:r w:rsidRPr="0053182F">
              <w:rPr>
                <w:sz w:val="22"/>
                <w:szCs w:val="22"/>
              </w:rPr>
              <w:t>The percentage of MS in the population, including, for example, child exploitation, forced labour, commercial sexual exploitation, human trafficking, and forced marriage.</w:t>
            </w:r>
          </w:p>
        </w:tc>
        <w:tc>
          <w:tcPr>
            <w:tcW w:w="1479" w:type="dxa"/>
            <w:tcBorders>
              <w:top w:val="single" w:sz="4" w:space="0" w:color="auto"/>
              <w:left w:val="nil"/>
              <w:bottom w:val="single" w:sz="4" w:space="0" w:color="auto"/>
              <w:right w:val="nil"/>
            </w:tcBorders>
            <w:hideMark/>
          </w:tcPr>
          <w:sdt>
            <w:sdtPr>
              <w:rPr>
                <w:sz w:val="22"/>
                <w:szCs w:val="22"/>
              </w:rPr>
              <w:tag w:val="MENDELEY_CITATION_v3_eyJjaXRhdGlvbklEIjoiTUVOREVMRVlfQ0lUQVRJT05fNThmN2U2MzEtNWRmZi00MDY3LTgzZjQtNGJhMjVlNjU4OTlkIiwicHJvcGVydGllcyI6eyJub3RlSW5kZXgiOjB9LCJpc0VkaXRlZCI6ZmFsc2UsIm1hbnVhbE92ZXJyaWRlIjp7ImlzTWFudWFsbHlPdmVycmlkZGVuIjpmYWxzZSwiY2l0ZXByb2NUZXh0IjoiK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
              <w:id w:val="-1843689446"/>
              <w:placeholder>
                <w:docPart w:val="922497B7AA9F4EEE830394533555326D"/>
              </w:placeholder>
            </w:sdtPr>
            <w:sdtContent>
              <w:p w14:paraId="03BC5A16" w14:textId="77777777" w:rsidR="00156A23" w:rsidRPr="0053182F" w:rsidRDefault="00156A23" w:rsidP="00D20468">
                <w:pPr>
                  <w:spacing w:line="240" w:lineRule="auto"/>
                  <w:jc w:val="both"/>
                  <w:rPr>
                    <w:sz w:val="22"/>
                    <w:szCs w:val="22"/>
                  </w:rPr>
                </w:pPr>
                <w:r w:rsidRPr="0053182F">
                  <w:rPr>
                    <w:sz w:val="22"/>
                    <w:szCs w:val="22"/>
                  </w:rPr>
                  <w:t>(Walk Free, 2016)</w:t>
                </w:r>
              </w:p>
            </w:sdtContent>
          </w:sdt>
        </w:tc>
      </w:tr>
      <w:tr w:rsidR="00156A23" w:rsidRPr="0053182F" w14:paraId="3211BC8B" w14:textId="77777777" w:rsidTr="00D20468">
        <w:trPr>
          <w:trHeight w:val="609"/>
        </w:trPr>
        <w:tc>
          <w:tcPr>
            <w:tcW w:w="1818" w:type="dxa"/>
            <w:vAlign w:val="center"/>
            <w:hideMark/>
          </w:tcPr>
          <w:p w14:paraId="746A8B43" w14:textId="77777777" w:rsidR="00156A23" w:rsidRPr="0053182F" w:rsidRDefault="00156A23" w:rsidP="00D20468">
            <w:pPr>
              <w:spacing w:line="240" w:lineRule="auto"/>
              <w:rPr>
                <w:sz w:val="22"/>
                <w:szCs w:val="22"/>
              </w:rPr>
            </w:pPr>
            <w:r w:rsidRPr="0053182F">
              <w:rPr>
                <w:sz w:val="22"/>
                <w:szCs w:val="22"/>
              </w:rPr>
              <w:t>Vulnerability to Modern Slavery</w:t>
            </w:r>
          </w:p>
        </w:tc>
        <w:tc>
          <w:tcPr>
            <w:tcW w:w="1137" w:type="dxa"/>
            <w:tcBorders>
              <w:top w:val="single" w:sz="4" w:space="0" w:color="auto"/>
              <w:left w:val="nil"/>
              <w:bottom w:val="single" w:sz="4" w:space="0" w:color="auto"/>
              <w:right w:val="nil"/>
            </w:tcBorders>
            <w:vAlign w:val="center"/>
            <w:hideMark/>
          </w:tcPr>
          <w:p w14:paraId="366D778F" w14:textId="77777777" w:rsidR="00156A23" w:rsidRPr="0053182F" w:rsidRDefault="00156A23" w:rsidP="00D20468">
            <w:pPr>
              <w:spacing w:line="240" w:lineRule="auto"/>
              <w:rPr>
                <w:b/>
                <w:bCs/>
                <w:sz w:val="22"/>
                <w:szCs w:val="22"/>
              </w:rPr>
            </w:pPr>
            <w:r w:rsidRPr="0053182F">
              <w:rPr>
                <w:b/>
                <w:bCs/>
                <w:sz w:val="22"/>
                <w:szCs w:val="22"/>
              </w:rPr>
              <w:t>VALN</w:t>
            </w:r>
          </w:p>
        </w:tc>
        <w:tc>
          <w:tcPr>
            <w:tcW w:w="4592" w:type="dxa"/>
            <w:tcBorders>
              <w:top w:val="single" w:sz="4" w:space="0" w:color="auto"/>
              <w:left w:val="nil"/>
              <w:bottom w:val="single" w:sz="4" w:space="0" w:color="auto"/>
              <w:right w:val="nil"/>
            </w:tcBorders>
            <w:vAlign w:val="center"/>
            <w:hideMark/>
          </w:tcPr>
          <w:p w14:paraId="20908A49" w14:textId="77777777" w:rsidR="00156A23" w:rsidRPr="0053182F" w:rsidRDefault="00156A23" w:rsidP="00D20468">
            <w:pPr>
              <w:spacing w:line="240" w:lineRule="auto"/>
              <w:jc w:val="both"/>
              <w:rPr>
                <w:sz w:val="22"/>
                <w:szCs w:val="22"/>
              </w:rPr>
            </w:pPr>
            <w:r w:rsidRPr="0053182F">
              <w:rPr>
                <w:sz w:val="22"/>
                <w:szCs w:val="22"/>
              </w:rPr>
              <w:t>The overall vulnerability to MS provides a risk score based on an analysis of data covering 23 risk variables across five major dimensions: lack of basic needs, inequality, disenfranchised groups, governance issues, and effects of conflict. This score ranges from 0 to 100.</w:t>
            </w:r>
          </w:p>
        </w:tc>
        <w:tc>
          <w:tcPr>
            <w:tcW w:w="1479" w:type="dxa"/>
            <w:tcBorders>
              <w:top w:val="single" w:sz="4" w:space="0" w:color="auto"/>
              <w:left w:val="nil"/>
              <w:bottom w:val="single" w:sz="4" w:space="0" w:color="auto"/>
              <w:right w:val="nil"/>
            </w:tcBorders>
            <w:hideMark/>
          </w:tcPr>
          <w:sdt>
            <w:sdtPr>
              <w:rPr>
                <w:sz w:val="22"/>
                <w:szCs w:val="22"/>
              </w:rPr>
              <w:tag w:val="MENDELEY_CITATION_v3_eyJjaXRhdGlvbklEIjoiTUVOREVMRVlfQ0lUQVRJT05fYTY3ZTEzZmEtY2Q4NC00MzAwLWE3MzYtNTViNmNhMjlhZTgyIiwicHJvcGVydGllcyI6eyJub3RlSW5kZXgiOjB9LCJpc0VkaXRlZCI6ZmFsc2UsIm1hbnVhbE92ZXJyaWRlIjp7ImlzTWFudWFsbHlPdmVycmlkZGVuIjpmYWxzZSwiY2l0ZXByb2NUZXh0IjoiK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
              <w:id w:val="409282436"/>
              <w:placeholder>
                <w:docPart w:val="E1C034A26BDF410FB9CBE58955602844"/>
              </w:placeholder>
            </w:sdtPr>
            <w:sdtContent>
              <w:p w14:paraId="6415C41F" w14:textId="77777777" w:rsidR="00156A23" w:rsidRPr="0053182F" w:rsidRDefault="00156A23" w:rsidP="00D20468">
                <w:pPr>
                  <w:spacing w:line="240" w:lineRule="auto"/>
                  <w:jc w:val="both"/>
                  <w:rPr>
                    <w:sz w:val="22"/>
                    <w:szCs w:val="22"/>
                  </w:rPr>
                </w:pPr>
                <w:r w:rsidRPr="0053182F">
                  <w:rPr>
                    <w:sz w:val="22"/>
                    <w:szCs w:val="22"/>
                  </w:rPr>
                  <w:t>(Walk Free, 2016)</w:t>
                </w:r>
              </w:p>
            </w:sdtContent>
          </w:sdt>
        </w:tc>
      </w:tr>
      <w:tr w:rsidR="00156A23" w:rsidRPr="0053182F" w14:paraId="1D8D342E" w14:textId="77777777" w:rsidTr="00D20468">
        <w:trPr>
          <w:trHeight w:val="914"/>
        </w:trPr>
        <w:tc>
          <w:tcPr>
            <w:tcW w:w="1818" w:type="dxa"/>
            <w:vAlign w:val="center"/>
            <w:hideMark/>
          </w:tcPr>
          <w:p w14:paraId="6D7AEDD2" w14:textId="77777777" w:rsidR="00156A23" w:rsidRPr="0053182F" w:rsidRDefault="00156A23" w:rsidP="00D20468">
            <w:pPr>
              <w:spacing w:line="240" w:lineRule="auto"/>
              <w:rPr>
                <w:sz w:val="22"/>
                <w:szCs w:val="22"/>
              </w:rPr>
            </w:pPr>
            <w:r w:rsidRPr="0053182F">
              <w:rPr>
                <w:sz w:val="22"/>
                <w:szCs w:val="22"/>
              </w:rPr>
              <w:t>Government Response to Modern Slavery</w:t>
            </w:r>
          </w:p>
        </w:tc>
        <w:tc>
          <w:tcPr>
            <w:tcW w:w="1137" w:type="dxa"/>
            <w:tcBorders>
              <w:top w:val="single" w:sz="4" w:space="0" w:color="auto"/>
              <w:left w:val="nil"/>
              <w:bottom w:val="single" w:sz="4" w:space="0" w:color="auto"/>
              <w:right w:val="nil"/>
            </w:tcBorders>
            <w:vAlign w:val="center"/>
            <w:hideMark/>
          </w:tcPr>
          <w:p w14:paraId="20027C84" w14:textId="77777777" w:rsidR="00156A23" w:rsidRPr="0053182F" w:rsidRDefault="00156A23" w:rsidP="00D20468">
            <w:pPr>
              <w:spacing w:line="240" w:lineRule="auto"/>
              <w:rPr>
                <w:b/>
                <w:bCs/>
                <w:sz w:val="22"/>
                <w:szCs w:val="22"/>
              </w:rPr>
            </w:pPr>
            <w:r w:rsidRPr="0053182F">
              <w:rPr>
                <w:b/>
                <w:bCs/>
                <w:sz w:val="22"/>
                <w:szCs w:val="22"/>
              </w:rPr>
              <w:t>MSRM</w:t>
            </w:r>
          </w:p>
        </w:tc>
        <w:tc>
          <w:tcPr>
            <w:tcW w:w="4592" w:type="dxa"/>
            <w:tcBorders>
              <w:top w:val="single" w:sz="4" w:space="0" w:color="auto"/>
              <w:left w:val="nil"/>
              <w:bottom w:val="single" w:sz="4" w:space="0" w:color="auto"/>
              <w:right w:val="nil"/>
            </w:tcBorders>
            <w:vAlign w:val="center"/>
            <w:hideMark/>
          </w:tcPr>
          <w:p w14:paraId="1A6F84BC" w14:textId="77777777" w:rsidR="00156A23" w:rsidRPr="0053182F" w:rsidRDefault="00156A23" w:rsidP="00D20468">
            <w:pPr>
              <w:spacing w:line="240" w:lineRule="auto"/>
              <w:jc w:val="both"/>
              <w:rPr>
                <w:sz w:val="22"/>
                <w:szCs w:val="22"/>
              </w:rPr>
            </w:pPr>
            <w:r w:rsidRPr="0053182F">
              <w:rPr>
                <w:sz w:val="22"/>
                <w:szCs w:val="22"/>
              </w:rPr>
              <w:t>Measured by the government response index, which provides a comparative assessment of the legal, policy, and programmatic actions that governments are taking to respond to MS. This is based on data collected on five main dimensions: (1) establishing effective criminal justice mechanisms; (2) addressing risk factors; (3) strengthening coordination and holding governments to account; (4) cleaning up government and business supply chains; (5) identifying and supporting survivors.</w:t>
            </w:r>
          </w:p>
        </w:tc>
        <w:tc>
          <w:tcPr>
            <w:tcW w:w="1479" w:type="dxa"/>
            <w:tcBorders>
              <w:top w:val="single" w:sz="4" w:space="0" w:color="auto"/>
              <w:left w:val="nil"/>
              <w:bottom w:val="single" w:sz="4" w:space="0" w:color="auto"/>
              <w:right w:val="nil"/>
            </w:tcBorders>
            <w:hideMark/>
          </w:tcPr>
          <w:sdt>
            <w:sdtPr>
              <w:rPr>
                <w:sz w:val="22"/>
                <w:szCs w:val="22"/>
              </w:rPr>
              <w:tag w:val="MENDELEY_CITATION_v3_eyJjaXRhdGlvbklEIjoiTUVOREVMRVlfQ0lUQVRJT05fMjAyZDU5MGUtMDdjNy00NGM0LWFhZTMtZDVlYzYwNDMxODQ2IiwicHJvcGVydGllcyI6eyJub3RlSW5kZXgiOjB9LCJpc0VkaXRlZCI6ZmFsc2UsIm1hbnVhbE92ZXJyaWRlIjp7ImlzTWFudWFsbHlPdmVycmlkZGVuIjpmYWxzZSwiY2l0ZXByb2NUZXh0IjoiK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
              <w:id w:val="-811946495"/>
              <w:placeholder>
                <w:docPart w:val="3D23243DA8ED4B4CB229D9ED4E27DCE0"/>
              </w:placeholder>
            </w:sdtPr>
            <w:sdtContent>
              <w:p w14:paraId="4343DD4A" w14:textId="77777777" w:rsidR="00156A23" w:rsidRPr="0053182F" w:rsidRDefault="00156A23" w:rsidP="00D20468">
                <w:pPr>
                  <w:spacing w:line="240" w:lineRule="auto"/>
                  <w:jc w:val="both"/>
                  <w:rPr>
                    <w:sz w:val="22"/>
                    <w:szCs w:val="22"/>
                  </w:rPr>
                </w:pPr>
                <w:r w:rsidRPr="0053182F">
                  <w:rPr>
                    <w:sz w:val="22"/>
                    <w:szCs w:val="22"/>
                  </w:rPr>
                  <w:t>(Walk Free, 2016)</w:t>
                </w:r>
              </w:p>
            </w:sdtContent>
          </w:sdt>
        </w:tc>
      </w:tr>
      <w:tr w:rsidR="00156A23" w:rsidRPr="0053182F" w14:paraId="36ACEA33" w14:textId="77777777" w:rsidTr="00D20468">
        <w:trPr>
          <w:trHeight w:val="609"/>
        </w:trPr>
        <w:tc>
          <w:tcPr>
            <w:tcW w:w="1818" w:type="dxa"/>
            <w:vAlign w:val="center"/>
            <w:hideMark/>
          </w:tcPr>
          <w:p w14:paraId="4D178973" w14:textId="77777777" w:rsidR="00156A23" w:rsidRPr="0053182F" w:rsidRDefault="00156A23" w:rsidP="00D20468">
            <w:pPr>
              <w:spacing w:line="240" w:lineRule="auto"/>
              <w:rPr>
                <w:sz w:val="22"/>
                <w:szCs w:val="22"/>
              </w:rPr>
            </w:pPr>
            <w:r w:rsidRPr="0053182F">
              <w:rPr>
                <w:sz w:val="22"/>
                <w:szCs w:val="22"/>
              </w:rPr>
              <w:t>Institutional Environment Quality</w:t>
            </w:r>
          </w:p>
        </w:tc>
        <w:tc>
          <w:tcPr>
            <w:tcW w:w="1137" w:type="dxa"/>
            <w:tcBorders>
              <w:top w:val="single" w:sz="4" w:space="0" w:color="auto"/>
              <w:left w:val="nil"/>
              <w:bottom w:val="single" w:sz="4" w:space="0" w:color="auto"/>
              <w:right w:val="nil"/>
            </w:tcBorders>
            <w:vAlign w:val="center"/>
            <w:hideMark/>
          </w:tcPr>
          <w:p w14:paraId="1B00D839" w14:textId="77777777" w:rsidR="00156A23" w:rsidRPr="0053182F" w:rsidRDefault="00156A23" w:rsidP="00D20468">
            <w:pPr>
              <w:spacing w:line="240" w:lineRule="auto"/>
              <w:rPr>
                <w:b/>
                <w:bCs/>
                <w:sz w:val="22"/>
                <w:szCs w:val="22"/>
              </w:rPr>
            </w:pPr>
            <w:r w:rsidRPr="0053182F">
              <w:rPr>
                <w:b/>
                <w:bCs/>
                <w:sz w:val="22"/>
                <w:szCs w:val="22"/>
              </w:rPr>
              <w:t>IEQ</w:t>
            </w:r>
          </w:p>
        </w:tc>
        <w:tc>
          <w:tcPr>
            <w:tcW w:w="4592" w:type="dxa"/>
            <w:tcBorders>
              <w:top w:val="single" w:sz="4" w:space="0" w:color="auto"/>
              <w:left w:val="nil"/>
              <w:bottom w:val="single" w:sz="4" w:space="0" w:color="auto"/>
              <w:right w:val="nil"/>
            </w:tcBorders>
            <w:vAlign w:val="center"/>
            <w:hideMark/>
          </w:tcPr>
          <w:p w14:paraId="0A73B536" w14:textId="77777777" w:rsidR="00156A23" w:rsidRPr="0053182F" w:rsidRDefault="00156A23" w:rsidP="00D20468">
            <w:pPr>
              <w:spacing w:line="240" w:lineRule="auto"/>
              <w:jc w:val="both"/>
              <w:rPr>
                <w:sz w:val="22"/>
                <w:szCs w:val="22"/>
              </w:rPr>
            </w:pPr>
            <w:r w:rsidRPr="0053182F">
              <w:rPr>
                <w:sz w:val="22"/>
                <w:szCs w:val="22"/>
              </w:rPr>
              <w:t>A composite measure for the overall IEQ six dimensions (e.g., Regulatory Quality (RL), GF (Government effectiveness), CC (Control of Corruption), VA (Voice of Accountability), Regulatory Quality (RQ), and Political Stability (PS).</w:t>
            </w:r>
          </w:p>
        </w:tc>
        <w:sdt>
          <w:sdtPr>
            <w:rPr>
              <w:sz w:val="22"/>
              <w:szCs w:val="22"/>
            </w:rPr>
            <w:tag w:val="MENDELEY_CITATION_v3_eyJjaXRhdGlvbklEIjoiTUVOREVMRVlfQ0lUQVRJT05fOTFmNmNkYWUtM2I5ZC00NTM3LWE4M2UtNzZjZjg4ZDEzNGIx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
            <w:id w:val="199289563"/>
            <w:placeholder>
              <w:docPart w:val="922497B7AA9F4EEE830394533555326D"/>
            </w:placeholder>
          </w:sdtPr>
          <w:sdtContent>
            <w:tc>
              <w:tcPr>
                <w:tcW w:w="1479" w:type="dxa"/>
                <w:tcBorders>
                  <w:top w:val="single" w:sz="4" w:space="0" w:color="auto"/>
                  <w:left w:val="nil"/>
                  <w:bottom w:val="single" w:sz="4" w:space="0" w:color="auto"/>
                  <w:right w:val="nil"/>
                </w:tcBorders>
                <w:hideMark/>
              </w:tcPr>
              <w:p w14:paraId="13FB9C6E" w14:textId="77777777" w:rsidR="00156A23" w:rsidRPr="0053182F" w:rsidRDefault="00156A23" w:rsidP="00D20468">
                <w:pPr>
                  <w:spacing w:line="240" w:lineRule="auto"/>
                  <w:jc w:val="both"/>
                  <w:rPr>
                    <w:sz w:val="22"/>
                    <w:szCs w:val="22"/>
                  </w:rPr>
                </w:pPr>
                <w:r w:rsidRPr="0053182F">
                  <w:rPr>
                    <w:sz w:val="22"/>
                    <w:szCs w:val="22"/>
                  </w:rPr>
                  <w:t>(Kaufmann, 2022)</w:t>
                </w:r>
              </w:p>
            </w:tc>
          </w:sdtContent>
        </w:sdt>
      </w:tr>
      <w:tr w:rsidR="00156A23" w:rsidRPr="0053182F" w14:paraId="395AD843" w14:textId="77777777" w:rsidTr="00D20468">
        <w:trPr>
          <w:trHeight w:val="850"/>
        </w:trPr>
        <w:tc>
          <w:tcPr>
            <w:tcW w:w="1818" w:type="dxa"/>
            <w:vAlign w:val="center"/>
            <w:hideMark/>
          </w:tcPr>
          <w:p w14:paraId="22A16FE2" w14:textId="77777777" w:rsidR="00156A23" w:rsidRPr="0053182F" w:rsidRDefault="00156A23" w:rsidP="00D20468">
            <w:pPr>
              <w:spacing w:line="240" w:lineRule="auto"/>
              <w:rPr>
                <w:sz w:val="22"/>
                <w:szCs w:val="22"/>
              </w:rPr>
            </w:pPr>
            <w:r w:rsidRPr="0053182F">
              <w:rPr>
                <w:sz w:val="22"/>
                <w:szCs w:val="22"/>
              </w:rPr>
              <w:t>Sustainable Development Goals Index</w:t>
            </w:r>
          </w:p>
        </w:tc>
        <w:tc>
          <w:tcPr>
            <w:tcW w:w="1137" w:type="dxa"/>
            <w:tcBorders>
              <w:top w:val="single" w:sz="4" w:space="0" w:color="auto"/>
              <w:left w:val="nil"/>
              <w:bottom w:val="single" w:sz="4" w:space="0" w:color="auto"/>
              <w:right w:val="nil"/>
            </w:tcBorders>
            <w:vAlign w:val="center"/>
            <w:hideMark/>
          </w:tcPr>
          <w:p w14:paraId="264E0446" w14:textId="77777777" w:rsidR="00156A23" w:rsidRPr="0053182F" w:rsidRDefault="00156A23" w:rsidP="00D20468">
            <w:pPr>
              <w:spacing w:line="240" w:lineRule="auto"/>
              <w:rPr>
                <w:b/>
                <w:bCs/>
                <w:sz w:val="22"/>
                <w:szCs w:val="22"/>
              </w:rPr>
            </w:pPr>
            <w:r w:rsidRPr="0053182F">
              <w:rPr>
                <w:b/>
                <w:bCs/>
                <w:sz w:val="22"/>
                <w:szCs w:val="22"/>
              </w:rPr>
              <w:t>SDGI</w:t>
            </w:r>
          </w:p>
        </w:tc>
        <w:tc>
          <w:tcPr>
            <w:tcW w:w="4592" w:type="dxa"/>
            <w:tcBorders>
              <w:top w:val="single" w:sz="4" w:space="0" w:color="auto"/>
              <w:left w:val="nil"/>
              <w:bottom w:val="single" w:sz="4" w:space="0" w:color="auto"/>
              <w:right w:val="nil"/>
            </w:tcBorders>
            <w:vAlign w:val="center"/>
            <w:hideMark/>
          </w:tcPr>
          <w:p w14:paraId="1A06BCBC" w14:textId="77777777" w:rsidR="00156A23" w:rsidRPr="0053182F" w:rsidRDefault="00156A23" w:rsidP="00D20468">
            <w:pPr>
              <w:spacing w:line="240" w:lineRule="auto"/>
              <w:ind w:hanging="36"/>
              <w:jc w:val="both"/>
              <w:rPr>
                <w:sz w:val="22"/>
                <w:szCs w:val="22"/>
              </w:rPr>
            </w:pPr>
            <w:r w:rsidRPr="0053182F">
              <w:rPr>
                <w:sz w:val="22"/>
                <w:szCs w:val="22"/>
              </w:rPr>
              <w:t>Aggregate score reflects a country’s progress toward achieving the United Nations SDGs.</w:t>
            </w:r>
          </w:p>
        </w:tc>
        <w:sdt>
          <w:sdtPr>
            <w:rPr>
              <w:sz w:val="22"/>
              <w:szCs w:val="22"/>
            </w:rPr>
            <w:tag w:val="MENDELEY_CITATION_v3_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"/>
            <w:id w:val="-1055387078"/>
            <w:placeholder>
              <w:docPart w:val="944EE29C6B334162B786D58D9FBA4C77"/>
            </w:placeholder>
          </w:sdtPr>
          <w:sdtContent>
            <w:tc>
              <w:tcPr>
                <w:tcW w:w="1479" w:type="dxa"/>
                <w:tcBorders>
                  <w:top w:val="single" w:sz="4" w:space="0" w:color="auto"/>
                  <w:left w:val="nil"/>
                  <w:bottom w:val="single" w:sz="4" w:space="0" w:color="auto"/>
                  <w:right w:val="nil"/>
                </w:tcBorders>
                <w:hideMark/>
              </w:tcPr>
              <w:p w14:paraId="0F8340D5" w14:textId="77777777" w:rsidR="00156A23" w:rsidRPr="0053182F" w:rsidRDefault="00156A23" w:rsidP="00D20468">
                <w:pPr>
                  <w:spacing w:line="240" w:lineRule="auto"/>
                  <w:jc w:val="both"/>
                  <w:rPr>
                    <w:sz w:val="22"/>
                    <w:szCs w:val="22"/>
                  </w:rPr>
                </w:pPr>
                <w:r w:rsidRPr="0053182F">
                  <w:rPr>
                    <w:sz w:val="22"/>
                    <w:szCs w:val="22"/>
                  </w:rPr>
                  <w:t>(United Nations, 2022)</w:t>
                </w:r>
              </w:p>
            </w:tc>
          </w:sdtContent>
        </w:sdt>
      </w:tr>
      <w:tr w:rsidR="00156A23" w:rsidRPr="0053182F" w14:paraId="511E83E0" w14:textId="77777777" w:rsidTr="00D20468">
        <w:trPr>
          <w:trHeight w:val="609"/>
        </w:trPr>
        <w:tc>
          <w:tcPr>
            <w:tcW w:w="1818" w:type="dxa"/>
            <w:vAlign w:val="center"/>
            <w:hideMark/>
          </w:tcPr>
          <w:p w14:paraId="6D27549C" w14:textId="77777777" w:rsidR="00156A23" w:rsidRPr="0053182F" w:rsidRDefault="00156A23" w:rsidP="00D20468">
            <w:pPr>
              <w:spacing w:line="240" w:lineRule="auto"/>
              <w:rPr>
                <w:sz w:val="22"/>
                <w:szCs w:val="22"/>
              </w:rPr>
            </w:pPr>
            <w:r w:rsidRPr="0053182F">
              <w:rPr>
                <w:sz w:val="22"/>
                <w:szCs w:val="22"/>
              </w:rPr>
              <w:t xml:space="preserve">Inequality-adjusted Human Development Index </w:t>
            </w:r>
          </w:p>
        </w:tc>
        <w:tc>
          <w:tcPr>
            <w:tcW w:w="1137" w:type="dxa"/>
            <w:tcBorders>
              <w:top w:val="single" w:sz="4" w:space="0" w:color="auto"/>
              <w:left w:val="nil"/>
              <w:bottom w:val="single" w:sz="4" w:space="0" w:color="auto"/>
              <w:right w:val="nil"/>
            </w:tcBorders>
            <w:vAlign w:val="center"/>
            <w:hideMark/>
          </w:tcPr>
          <w:p w14:paraId="18E5CF73" w14:textId="77777777" w:rsidR="00156A23" w:rsidRPr="0053182F" w:rsidRDefault="00156A23" w:rsidP="00D20468">
            <w:pPr>
              <w:spacing w:line="240" w:lineRule="auto"/>
              <w:rPr>
                <w:b/>
                <w:bCs/>
                <w:sz w:val="22"/>
                <w:szCs w:val="22"/>
              </w:rPr>
            </w:pPr>
            <w:r w:rsidRPr="0053182F">
              <w:rPr>
                <w:b/>
                <w:bCs/>
                <w:sz w:val="22"/>
                <w:szCs w:val="22"/>
              </w:rPr>
              <w:t>IHDI</w:t>
            </w:r>
          </w:p>
        </w:tc>
        <w:tc>
          <w:tcPr>
            <w:tcW w:w="4592" w:type="dxa"/>
            <w:tcBorders>
              <w:top w:val="single" w:sz="4" w:space="0" w:color="auto"/>
              <w:left w:val="nil"/>
              <w:bottom w:val="single" w:sz="4" w:space="0" w:color="auto"/>
              <w:right w:val="nil"/>
            </w:tcBorders>
            <w:vAlign w:val="center"/>
            <w:hideMark/>
          </w:tcPr>
          <w:p w14:paraId="43541C1C" w14:textId="77777777" w:rsidR="00156A23" w:rsidRPr="0053182F" w:rsidRDefault="00156A23" w:rsidP="00D20468">
            <w:pPr>
              <w:spacing w:line="240" w:lineRule="auto"/>
              <w:ind w:hanging="36"/>
              <w:jc w:val="both"/>
              <w:rPr>
                <w:sz w:val="22"/>
                <w:szCs w:val="22"/>
              </w:rPr>
            </w:pPr>
            <w:r w:rsidRPr="0053182F">
              <w:rPr>
                <w:sz w:val="22"/>
                <w:szCs w:val="22"/>
              </w:rPr>
              <w:t>It is computed as a geometric mean of inequality-adjusted dimensional indices. A composite index measuring inequalities adjusted for average achievement in three basic dimensions of human development: healthy life, education, and a decent standard of living.</w:t>
            </w:r>
          </w:p>
        </w:tc>
        <w:sdt>
          <w:sdtPr>
            <w:rPr>
              <w:sz w:val="22"/>
              <w:szCs w:val="22"/>
            </w:rPr>
            <w:tag w:val="MENDELEY_CITATION_v3_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"/>
            <w:id w:val="-1956786218"/>
            <w:placeholder>
              <w:docPart w:val="40295763A67C471B89FA36F2DDFF3363"/>
            </w:placeholder>
          </w:sdtPr>
          <w:sdtContent>
            <w:tc>
              <w:tcPr>
                <w:tcW w:w="1479" w:type="dxa"/>
                <w:tcBorders>
                  <w:top w:val="single" w:sz="4" w:space="0" w:color="auto"/>
                  <w:left w:val="nil"/>
                  <w:bottom w:val="single" w:sz="4" w:space="0" w:color="auto"/>
                  <w:right w:val="nil"/>
                </w:tcBorders>
                <w:hideMark/>
              </w:tcPr>
              <w:p w14:paraId="0CC733E5" w14:textId="77777777" w:rsidR="00156A23" w:rsidRPr="0053182F" w:rsidRDefault="00156A23" w:rsidP="00D20468">
                <w:pPr>
                  <w:spacing w:line="240" w:lineRule="auto"/>
                  <w:jc w:val="both"/>
                  <w:rPr>
                    <w:sz w:val="22"/>
                    <w:szCs w:val="22"/>
                  </w:rPr>
                </w:pPr>
                <w:r w:rsidRPr="0053182F">
                  <w:rPr>
                    <w:sz w:val="22"/>
                    <w:szCs w:val="22"/>
                  </w:rPr>
                  <w:t>(UNDP, 2025)</w:t>
                </w:r>
              </w:p>
            </w:tc>
          </w:sdtContent>
        </w:sdt>
      </w:tr>
      <w:tr w:rsidR="00156A23" w:rsidRPr="0053182F" w14:paraId="54E3A80B" w14:textId="77777777" w:rsidTr="00D20468">
        <w:trPr>
          <w:trHeight w:val="300"/>
        </w:trPr>
        <w:tc>
          <w:tcPr>
            <w:tcW w:w="1818" w:type="dxa"/>
            <w:vAlign w:val="center"/>
            <w:hideMark/>
          </w:tcPr>
          <w:p w14:paraId="1AB5FE3F" w14:textId="77777777" w:rsidR="00156A23" w:rsidRPr="0053182F" w:rsidRDefault="00156A23" w:rsidP="00D20468">
            <w:pPr>
              <w:spacing w:line="240" w:lineRule="auto"/>
              <w:rPr>
                <w:sz w:val="22"/>
                <w:szCs w:val="22"/>
              </w:rPr>
            </w:pPr>
            <w:r w:rsidRPr="0053182F">
              <w:rPr>
                <w:sz w:val="22"/>
                <w:szCs w:val="22"/>
              </w:rPr>
              <w:t>Corruption Perceptions Index</w:t>
            </w:r>
          </w:p>
        </w:tc>
        <w:tc>
          <w:tcPr>
            <w:tcW w:w="1137" w:type="dxa"/>
            <w:tcBorders>
              <w:top w:val="single" w:sz="4" w:space="0" w:color="auto"/>
              <w:left w:val="nil"/>
              <w:bottom w:val="single" w:sz="4" w:space="0" w:color="auto"/>
              <w:right w:val="nil"/>
            </w:tcBorders>
            <w:vAlign w:val="center"/>
            <w:hideMark/>
          </w:tcPr>
          <w:p w14:paraId="52E77081" w14:textId="77777777" w:rsidR="00156A23" w:rsidRPr="0053182F" w:rsidRDefault="00156A23" w:rsidP="00D20468">
            <w:pPr>
              <w:spacing w:line="240" w:lineRule="auto"/>
              <w:rPr>
                <w:b/>
                <w:bCs/>
                <w:sz w:val="22"/>
                <w:szCs w:val="22"/>
              </w:rPr>
            </w:pPr>
            <w:r w:rsidRPr="0053182F">
              <w:rPr>
                <w:b/>
                <w:bCs/>
                <w:sz w:val="22"/>
                <w:szCs w:val="22"/>
              </w:rPr>
              <w:t>CPI</w:t>
            </w:r>
          </w:p>
        </w:tc>
        <w:tc>
          <w:tcPr>
            <w:tcW w:w="4592" w:type="dxa"/>
            <w:tcBorders>
              <w:top w:val="single" w:sz="4" w:space="0" w:color="auto"/>
              <w:left w:val="nil"/>
              <w:bottom w:val="single" w:sz="4" w:space="0" w:color="auto"/>
              <w:right w:val="nil"/>
            </w:tcBorders>
            <w:vAlign w:val="center"/>
            <w:hideMark/>
          </w:tcPr>
          <w:p w14:paraId="13D3F8DB" w14:textId="77777777" w:rsidR="00156A23" w:rsidRPr="0053182F" w:rsidRDefault="00156A23" w:rsidP="00D20468">
            <w:pPr>
              <w:spacing w:line="240" w:lineRule="auto"/>
              <w:jc w:val="both"/>
              <w:rPr>
                <w:sz w:val="22"/>
                <w:szCs w:val="22"/>
              </w:rPr>
            </w:pPr>
            <w:r w:rsidRPr="0053182F">
              <w:rPr>
                <w:sz w:val="22"/>
                <w:szCs w:val="22"/>
              </w:rPr>
              <w:t>Corruption Perceptions Index. A score of 0-100, where 0 is highly corrupt and 100 is very clean.</w:t>
            </w:r>
          </w:p>
        </w:tc>
        <w:sdt>
          <w:sdtPr>
            <w:rPr>
              <w:sz w:val="22"/>
              <w:szCs w:val="22"/>
            </w:rPr>
            <w:tag w:val="MENDELEY_CITATION_v3_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"/>
            <w:id w:val="-548599839"/>
            <w:placeholder>
              <w:docPart w:val="922497B7AA9F4EEE830394533555326D"/>
            </w:placeholder>
          </w:sdtPr>
          <w:sdtContent>
            <w:tc>
              <w:tcPr>
                <w:tcW w:w="1479" w:type="dxa"/>
                <w:tcBorders>
                  <w:top w:val="single" w:sz="4" w:space="0" w:color="auto"/>
                  <w:left w:val="nil"/>
                  <w:bottom w:val="single" w:sz="4" w:space="0" w:color="auto"/>
                  <w:right w:val="nil"/>
                </w:tcBorders>
                <w:hideMark/>
              </w:tcPr>
              <w:p w14:paraId="45FEA3ED" w14:textId="77777777" w:rsidR="00156A23" w:rsidRPr="0053182F" w:rsidRDefault="00156A23" w:rsidP="00D20468">
                <w:pPr>
                  <w:spacing w:line="240" w:lineRule="auto"/>
                  <w:jc w:val="both"/>
                  <w:rPr>
                    <w:sz w:val="22"/>
                    <w:szCs w:val="22"/>
                  </w:rPr>
                </w:pPr>
                <w:r w:rsidRPr="0053182F">
                  <w:rPr>
                    <w:sz w:val="22"/>
                    <w:szCs w:val="22"/>
                  </w:rPr>
                  <w:t>(Transparency International, 2023)</w:t>
                </w:r>
              </w:p>
            </w:tc>
          </w:sdtContent>
        </w:sdt>
      </w:tr>
      <w:tr w:rsidR="00156A23" w:rsidRPr="0053182F" w14:paraId="5E69BC55" w14:textId="77777777" w:rsidTr="00D20468">
        <w:trPr>
          <w:trHeight w:val="902"/>
        </w:trPr>
        <w:tc>
          <w:tcPr>
            <w:tcW w:w="1818" w:type="dxa"/>
            <w:vAlign w:val="center"/>
            <w:hideMark/>
          </w:tcPr>
          <w:p w14:paraId="3CB28BE2" w14:textId="77777777" w:rsidR="00156A23" w:rsidRPr="0053182F" w:rsidRDefault="00156A23" w:rsidP="00D20468">
            <w:pPr>
              <w:spacing w:line="240" w:lineRule="auto"/>
              <w:rPr>
                <w:sz w:val="22"/>
                <w:szCs w:val="22"/>
              </w:rPr>
            </w:pPr>
            <w:r w:rsidRPr="0053182F">
              <w:rPr>
                <w:sz w:val="22"/>
                <w:szCs w:val="22"/>
              </w:rPr>
              <w:t>GDP Growth Rate (%)</w:t>
            </w:r>
          </w:p>
        </w:tc>
        <w:tc>
          <w:tcPr>
            <w:tcW w:w="1137" w:type="dxa"/>
            <w:tcBorders>
              <w:top w:val="single" w:sz="4" w:space="0" w:color="auto"/>
              <w:left w:val="nil"/>
              <w:bottom w:val="single" w:sz="4" w:space="0" w:color="auto"/>
              <w:right w:val="nil"/>
            </w:tcBorders>
            <w:vAlign w:val="center"/>
            <w:hideMark/>
          </w:tcPr>
          <w:p w14:paraId="28AD276F" w14:textId="77777777" w:rsidR="00156A23" w:rsidRPr="0053182F" w:rsidRDefault="00156A23" w:rsidP="00D20468">
            <w:pPr>
              <w:spacing w:line="240" w:lineRule="auto"/>
              <w:rPr>
                <w:b/>
                <w:bCs/>
                <w:sz w:val="22"/>
                <w:szCs w:val="22"/>
              </w:rPr>
            </w:pPr>
            <w:r w:rsidRPr="0053182F">
              <w:rPr>
                <w:b/>
                <w:bCs/>
                <w:sz w:val="22"/>
                <w:szCs w:val="22"/>
              </w:rPr>
              <w:t>GDPG</w:t>
            </w:r>
          </w:p>
        </w:tc>
        <w:tc>
          <w:tcPr>
            <w:tcW w:w="4592" w:type="dxa"/>
            <w:tcBorders>
              <w:top w:val="single" w:sz="4" w:space="0" w:color="auto"/>
              <w:left w:val="nil"/>
              <w:bottom w:val="single" w:sz="4" w:space="0" w:color="auto"/>
              <w:right w:val="nil"/>
            </w:tcBorders>
            <w:vAlign w:val="center"/>
            <w:hideMark/>
          </w:tcPr>
          <w:p w14:paraId="15CE87FF" w14:textId="77777777" w:rsidR="00156A23" w:rsidRPr="0053182F" w:rsidRDefault="00156A23" w:rsidP="00D20468">
            <w:pPr>
              <w:spacing w:line="240" w:lineRule="auto"/>
              <w:jc w:val="both"/>
              <w:rPr>
                <w:sz w:val="22"/>
                <w:szCs w:val="22"/>
              </w:rPr>
            </w:pPr>
            <w:r w:rsidRPr="0053182F">
              <w:rPr>
                <w:sz w:val="22"/>
                <w:szCs w:val="22"/>
              </w:rPr>
              <w:t>The annual growth rate of a country’s gross domestic product indicates economic expansion.</w:t>
            </w:r>
          </w:p>
        </w:tc>
        <w:sdt>
          <w:sdtPr>
            <w:rPr>
              <w:sz w:val="22"/>
              <w:szCs w:val="22"/>
            </w:rPr>
            <w:tag w:val="MENDELEY_CITATION_v3_eyJjaXRhdGlvbklEIjoiTUVOREVMRVlfQ0lUQVRJT05fNmI0ZGFkZmItYWZjMS00NDQ5LTlmNDUtNzU4ZTlhYmUwNjk3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563474440"/>
            <w:placeholder>
              <w:docPart w:val="7905C132C65549B69BB997FC25376764"/>
            </w:placeholder>
          </w:sdtPr>
          <w:sdtContent>
            <w:tc>
              <w:tcPr>
                <w:tcW w:w="1479" w:type="dxa"/>
                <w:tcBorders>
                  <w:top w:val="single" w:sz="4" w:space="0" w:color="auto"/>
                  <w:left w:val="nil"/>
                  <w:bottom w:val="single" w:sz="4" w:space="0" w:color="auto"/>
                  <w:right w:val="nil"/>
                </w:tcBorders>
                <w:hideMark/>
              </w:tcPr>
              <w:p w14:paraId="2F43FDBB" w14:textId="77777777" w:rsidR="00156A23" w:rsidRPr="0053182F" w:rsidRDefault="00156A23" w:rsidP="00D20468">
                <w:pPr>
                  <w:spacing w:line="240" w:lineRule="auto"/>
                  <w:jc w:val="both"/>
                  <w:rPr>
                    <w:sz w:val="22"/>
                    <w:szCs w:val="22"/>
                  </w:rPr>
                </w:pPr>
                <w:r w:rsidRPr="0053182F">
                  <w:rPr>
                    <w:sz w:val="22"/>
                    <w:szCs w:val="22"/>
                  </w:rPr>
                  <w:t>(The World Bank, 2023)</w:t>
                </w:r>
              </w:p>
            </w:tc>
          </w:sdtContent>
        </w:sdt>
      </w:tr>
      <w:tr w:rsidR="00156A23" w:rsidRPr="0053182F" w14:paraId="3F00D9EA" w14:textId="77777777" w:rsidTr="00D20468">
        <w:trPr>
          <w:trHeight w:val="609"/>
        </w:trPr>
        <w:tc>
          <w:tcPr>
            <w:tcW w:w="1818" w:type="dxa"/>
            <w:vAlign w:val="center"/>
            <w:hideMark/>
          </w:tcPr>
          <w:p w14:paraId="196AFB13" w14:textId="77777777" w:rsidR="00156A23" w:rsidRPr="0053182F" w:rsidRDefault="00156A23" w:rsidP="00D20468">
            <w:pPr>
              <w:spacing w:line="240" w:lineRule="auto"/>
              <w:rPr>
                <w:sz w:val="22"/>
                <w:szCs w:val="22"/>
              </w:rPr>
            </w:pPr>
            <w:r w:rsidRPr="0053182F">
              <w:rPr>
                <w:sz w:val="22"/>
                <w:szCs w:val="22"/>
              </w:rPr>
              <w:t>Foreign Direct Investment (% of GDP)</w:t>
            </w:r>
          </w:p>
        </w:tc>
        <w:tc>
          <w:tcPr>
            <w:tcW w:w="1137" w:type="dxa"/>
            <w:tcBorders>
              <w:top w:val="single" w:sz="4" w:space="0" w:color="auto"/>
              <w:left w:val="nil"/>
              <w:bottom w:val="single" w:sz="4" w:space="0" w:color="auto"/>
              <w:right w:val="nil"/>
            </w:tcBorders>
            <w:vAlign w:val="center"/>
            <w:hideMark/>
          </w:tcPr>
          <w:p w14:paraId="382EB47C" w14:textId="77777777" w:rsidR="00156A23" w:rsidRPr="0053182F" w:rsidRDefault="00156A23" w:rsidP="00D20468">
            <w:pPr>
              <w:spacing w:line="240" w:lineRule="auto"/>
              <w:rPr>
                <w:b/>
                <w:bCs/>
                <w:sz w:val="22"/>
                <w:szCs w:val="22"/>
              </w:rPr>
            </w:pPr>
            <w:r w:rsidRPr="0053182F">
              <w:rPr>
                <w:b/>
                <w:bCs/>
                <w:sz w:val="22"/>
                <w:szCs w:val="22"/>
              </w:rPr>
              <w:t>FDI</w:t>
            </w:r>
          </w:p>
        </w:tc>
        <w:tc>
          <w:tcPr>
            <w:tcW w:w="4592" w:type="dxa"/>
            <w:tcBorders>
              <w:top w:val="single" w:sz="4" w:space="0" w:color="auto"/>
              <w:left w:val="nil"/>
              <w:bottom w:val="single" w:sz="4" w:space="0" w:color="auto"/>
              <w:right w:val="nil"/>
            </w:tcBorders>
            <w:vAlign w:val="center"/>
            <w:hideMark/>
          </w:tcPr>
          <w:p w14:paraId="72CED5CE" w14:textId="77777777" w:rsidR="00156A23" w:rsidRPr="0053182F" w:rsidRDefault="00156A23" w:rsidP="00D20468">
            <w:pPr>
              <w:spacing w:line="240" w:lineRule="auto"/>
              <w:jc w:val="both"/>
              <w:rPr>
                <w:sz w:val="22"/>
                <w:szCs w:val="22"/>
              </w:rPr>
            </w:pPr>
            <w:r w:rsidRPr="0053182F">
              <w:rPr>
                <w:sz w:val="22"/>
                <w:szCs w:val="22"/>
              </w:rPr>
              <w:t>Net inflow of foreign capital for investment purposes as a percentage of GDP.</w:t>
            </w:r>
          </w:p>
        </w:tc>
        <w:sdt>
          <w:sdtPr>
            <w:rPr>
              <w:sz w:val="22"/>
              <w:szCs w:val="22"/>
            </w:rPr>
            <w:tag w:val="MENDELEY_CITATION_v3_eyJjaXRhdGlvbklEIjoiTUVOREVMRVlfQ0lUQVRJT05fNGQyMmVlMDgtMzA5ZS00MDA3LTk1ZjEtOTcyY2YxMmM3YWNh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20079909"/>
            <w:placeholder>
              <w:docPart w:val="FA2C4BBC96E14779A02A695573D95A54"/>
            </w:placeholder>
          </w:sdtPr>
          <w:sdtContent>
            <w:tc>
              <w:tcPr>
                <w:tcW w:w="1479" w:type="dxa"/>
                <w:tcBorders>
                  <w:top w:val="single" w:sz="4" w:space="0" w:color="auto"/>
                  <w:left w:val="nil"/>
                  <w:bottom w:val="single" w:sz="4" w:space="0" w:color="auto"/>
                  <w:right w:val="nil"/>
                </w:tcBorders>
                <w:hideMark/>
              </w:tcPr>
              <w:p w14:paraId="03ED3B19" w14:textId="77777777" w:rsidR="00156A23" w:rsidRPr="0053182F" w:rsidRDefault="00156A23" w:rsidP="00D20468">
                <w:pPr>
                  <w:spacing w:line="240" w:lineRule="auto"/>
                  <w:jc w:val="both"/>
                  <w:rPr>
                    <w:sz w:val="22"/>
                    <w:szCs w:val="22"/>
                  </w:rPr>
                </w:pPr>
                <w:r w:rsidRPr="0053182F">
                  <w:rPr>
                    <w:sz w:val="22"/>
                    <w:szCs w:val="22"/>
                  </w:rPr>
                  <w:t>(The World Bank, 2023)</w:t>
                </w:r>
              </w:p>
            </w:tc>
          </w:sdtContent>
        </w:sdt>
      </w:tr>
      <w:tr w:rsidR="00156A23" w:rsidRPr="0053182F" w14:paraId="1C4521F0" w14:textId="77777777" w:rsidTr="00D20468">
        <w:trPr>
          <w:trHeight w:val="609"/>
        </w:trPr>
        <w:tc>
          <w:tcPr>
            <w:tcW w:w="1818" w:type="dxa"/>
            <w:vAlign w:val="center"/>
            <w:hideMark/>
          </w:tcPr>
          <w:p w14:paraId="1EB4C9D1" w14:textId="77777777" w:rsidR="00156A23" w:rsidRPr="0053182F" w:rsidRDefault="00156A23" w:rsidP="00D20468">
            <w:pPr>
              <w:spacing w:line="240" w:lineRule="auto"/>
              <w:rPr>
                <w:sz w:val="22"/>
                <w:szCs w:val="22"/>
              </w:rPr>
            </w:pPr>
            <w:r w:rsidRPr="0053182F">
              <w:rPr>
                <w:sz w:val="22"/>
                <w:szCs w:val="22"/>
              </w:rPr>
              <w:t>Inflation Rate (CPI %)</w:t>
            </w:r>
          </w:p>
        </w:tc>
        <w:tc>
          <w:tcPr>
            <w:tcW w:w="1137" w:type="dxa"/>
            <w:tcBorders>
              <w:top w:val="single" w:sz="4" w:space="0" w:color="auto"/>
              <w:left w:val="nil"/>
              <w:bottom w:val="single" w:sz="4" w:space="0" w:color="auto"/>
              <w:right w:val="nil"/>
            </w:tcBorders>
            <w:vAlign w:val="center"/>
            <w:hideMark/>
          </w:tcPr>
          <w:p w14:paraId="18AF084E" w14:textId="77777777" w:rsidR="00156A23" w:rsidRPr="0053182F" w:rsidRDefault="00156A23" w:rsidP="00D20468">
            <w:pPr>
              <w:spacing w:line="240" w:lineRule="auto"/>
              <w:rPr>
                <w:b/>
                <w:bCs/>
                <w:sz w:val="22"/>
                <w:szCs w:val="22"/>
              </w:rPr>
            </w:pPr>
            <w:r w:rsidRPr="0053182F">
              <w:rPr>
                <w:b/>
                <w:bCs/>
                <w:sz w:val="22"/>
                <w:szCs w:val="22"/>
              </w:rPr>
              <w:t>INFL</w:t>
            </w:r>
          </w:p>
        </w:tc>
        <w:tc>
          <w:tcPr>
            <w:tcW w:w="4592" w:type="dxa"/>
            <w:tcBorders>
              <w:top w:val="single" w:sz="4" w:space="0" w:color="auto"/>
              <w:left w:val="nil"/>
              <w:bottom w:val="single" w:sz="4" w:space="0" w:color="auto"/>
              <w:right w:val="nil"/>
            </w:tcBorders>
            <w:vAlign w:val="center"/>
            <w:hideMark/>
          </w:tcPr>
          <w:p w14:paraId="0DDE66B7" w14:textId="77777777" w:rsidR="00156A23" w:rsidRPr="0053182F" w:rsidRDefault="00156A23" w:rsidP="00D20468">
            <w:pPr>
              <w:spacing w:line="240" w:lineRule="auto"/>
              <w:jc w:val="both"/>
              <w:rPr>
                <w:sz w:val="22"/>
                <w:szCs w:val="22"/>
              </w:rPr>
            </w:pPr>
            <w:r w:rsidRPr="0053182F">
              <w:rPr>
                <w:sz w:val="22"/>
                <w:szCs w:val="22"/>
              </w:rPr>
              <w:t>Annual percentage increase in consumer prices (cost of living).</w:t>
            </w:r>
          </w:p>
        </w:tc>
        <w:sdt>
          <w:sdtPr>
            <w:rPr>
              <w:sz w:val="22"/>
              <w:szCs w:val="22"/>
            </w:rPr>
            <w:tag w:val="MENDELEY_CITATION_v3_eyJjaXRhdGlvbklEIjoiTUVOREVMRVlfQ0lUQVRJT05fZmM3MmE3MmItNWRhMC00NTU5LWI0NTUtODc5MzZjMmU2ZWQw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741741992"/>
            <w:placeholder>
              <w:docPart w:val="9A01097CBBF54273B516A45232B6D9FD"/>
            </w:placeholder>
          </w:sdtPr>
          <w:sdtContent>
            <w:tc>
              <w:tcPr>
                <w:tcW w:w="1479" w:type="dxa"/>
                <w:tcBorders>
                  <w:top w:val="single" w:sz="4" w:space="0" w:color="auto"/>
                  <w:left w:val="nil"/>
                  <w:bottom w:val="single" w:sz="4" w:space="0" w:color="auto"/>
                  <w:right w:val="nil"/>
                </w:tcBorders>
                <w:hideMark/>
              </w:tcPr>
              <w:p w14:paraId="28172DCF" w14:textId="77777777" w:rsidR="00156A23" w:rsidRPr="0053182F" w:rsidRDefault="00156A23" w:rsidP="00D20468">
                <w:pPr>
                  <w:spacing w:line="240" w:lineRule="auto"/>
                  <w:jc w:val="both"/>
                  <w:rPr>
                    <w:sz w:val="22"/>
                    <w:szCs w:val="22"/>
                  </w:rPr>
                </w:pPr>
                <w:r w:rsidRPr="0053182F">
                  <w:rPr>
                    <w:sz w:val="22"/>
                    <w:szCs w:val="22"/>
                  </w:rPr>
                  <w:t>(The World Bank, 2023)</w:t>
                </w:r>
              </w:p>
            </w:tc>
          </w:sdtContent>
        </w:sdt>
      </w:tr>
      <w:tr w:rsidR="00156A23" w:rsidRPr="0053182F" w14:paraId="118D14DE" w14:textId="77777777" w:rsidTr="00D20468">
        <w:trPr>
          <w:trHeight w:val="609"/>
        </w:trPr>
        <w:tc>
          <w:tcPr>
            <w:tcW w:w="1818" w:type="dxa"/>
            <w:vAlign w:val="center"/>
            <w:hideMark/>
          </w:tcPr>
          <w:p w14:paraId="2333AF75" w14:textId="77777777" w:rsidR="00156A23" w:rsidRPr="0053182F" w:rsidRDefault="00156A23" w:rsidP="00D20468">
            <w:pPr>
              <w:spacing w:line="240" w:lineRule="auto"/>
              <w:rPr>
                <w:sz w:val="22"/>
                <w:szCs w:val="22"/>
              </w:rPr>
            </w:pPr>
            <w:r w:rsidRPr="0053182F">
              <w:rPr>
                <w:sz w:val="22"/>
                <w:szCs w:val="22"/>
              </w:rPr>
              <w:t>Net Migration Rate</w:t>
            </w:r>
          </w:p>
        </w:tc>
        <w:tc>
          <w:tcPr>
            <w:tcW w:w="1137" w:type="dxa"/>
            <w:tcBorders>
              <w:top w:val="single" w:sz="4" w:space="0" w:color="auto"/>
              <w:left w:val="nil"/>
              <w:bottom w:val="single" w:sz="4" w:space="0" w:color="auto"/>
              <w:right w:val="nil"/>
            </w:tcBorders>
            <w:vAlign w:val="center"/>
            <w:hideMark/>
          </w:tcPr>
          <w:p w14:paraId="10DEE8FC" w14:textId="77777777" w:rsidR="00156A23" w:rsidRPr="0053182F" w:rsidRDefault="00156A23" w:rsidP="00D20468">
            <w:pPr>
              <w:spacing w:line="240" w:lineRule="auto"/>
              <w:rPr>
                <w:b/>
                <w:bCs/>
                <w:sz w:val="22"/>
                <w:szCs w:val="22"/>
              </w:rPr>
            </w:pPr>
            <w:r w:rsidRPr="0053182F">
              <w:rPr>
                <w:b/>
                <w:bCs/>
                <w:sz w:val="22"/>
                <w:szCs w:val="22"/>
              </w:rPr>
              <w:t>NETMIG</w:t>
            </w:r>
          </w:p>
        </w:tc>
        <w:tc>
          <w:tcPr>
            <w:tcW w:w="4592" w:type="dxa"/>
            <w:tcBorders>
              <w:top w:val="single" w:sz="4" w:space="0" w:color="auto"/>
              <w:left w:val="nil"/>
              <w:bottom w:val="single" w:sz="4" w:space="0" w:color="auto"/>
              <w:right w:val="nil"/>
            </w:tcBorders>
            <w:vAlign w:val="center"/>
            <w:hideMark/>
          </w:tcPr>
          <w:p w14:paraId="529CB7FB" w14:textId="77777777" w:rsidR="00156A23" w:rsidRPr="0053182F" w:rsidRDefault="00156A23" w:rsidP="00D20468">
            <w:pPr>
              <w:spacing w:line="240" w:lineRule="auto"/>
              <w:jc w:val="both"/>
              <w:rPr>
                <w:sz w:val="22"/>
                <w:szCs w:val="22"/>
              </w:rPr>
            </w:pPr>
            <w:r w:rsidRPr="0053182F">
              <w:rPr>
                <w:sz w:val="22"/>
                <w:szCs w:val="22"/>
              </w:rPr>
              <w:t>Net number of migrants per 1,000 population (immigrants minus emigrants).</w:t>
            </w:r>
          </w:p>
        </w:tc>
        <w:sdt>
          <w:sdtPr>
            <w:rPr>
              <w:sz w:val="22"/>
              <w:szCs w:val="22"/>
            </w:rPr>
            <w:tag w:val="MENDELEY_CITATION_v3_eyJjaXRhdGlvbklEIjoiTUVOREVMRVlfQ0lUQVRJT05fYmRhZGU1ZjEtN2IwMy00N2RmLWEwZjYtMjhhZmIzMmI0Mzkz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186246012"/>
            <w:placeholder>
              <w:docPart w:val="922497B7AA9F4EEE830394533555326D"/>
            </w:placeholder>
          </w:sdtPr>
          <w:sdtContent>
            <w:tc>
              <w:tcPr>
                <w:tcW w:w="1479" w:type="dxa"/>
                <w:tcBorders>
                  <w:top w:val="single" w:sz="4" w:space="0" w:color="auto"/>
                  <w:left w:val="nil"/>
                  <w:bottom w:val="single" w:sz="4" w:space="0" w:color="auto"/>
                  <w:right w:val="nil"/>
                </w:tcBorders>
                <w:hideMark/>
              </w:tcPr>
              <w:p w14:paraId="614AE702" w14:textId="77777777" w:rsidR="00156A23" w:rsidRPr="0053182F" w:rsidRDefault="00156A23" w:rsidP="00D20468">
                <w:pPr>
                  <w:spacing w:line="240" w:lineRule="auto"/>
                  <w:jc w:val="both"/>
                  <w:rPr>
                    <w:sz w:val="22"/>
                    <w:szCs w:val="22"/>
                  </w:rPr>
                </w:pPr>
                <w:r w:rsidRPr="0053182F">
                  <w:rPr>
                    <w:sz w:val="22"/>
                    <w:szCs w:val="22"/>
                  </w:rPr>
                  <w:t>(The World Bank, 2023)</w:t>
                </w:r>
              </w:p>
            </w:tc>
          </w:sdtContent>
        </w:sdt>
      </w:tr>
      <w:tr w:rsidR="00156A23" w:rsidRPr="0053182F" w14:paraId="57439E04" w14:textId="77777777" w:rsidTr="00D20468">
        <w:trPr>
          <w:trHeight w:val="304"/>
        </w:trPr>
        <w:tc>
          <w:tcPr>
            <w:tcW w:w="1818" w:type="dxa"/>
            <w:tcBorders>
              <w:bottom w:val="single" w:sz="4" w:space="0" w:color="auto"/>
            </w:tcBorders>
            <w:vAlign w:val="center"/>
            <w:hideMark/>
          </w:tcPr>
          <w:p w14:paraId="6C6633A8" w14:textId="77777777" w:rsidR="00156A23" w:rsidRPr="0053182F" w:rsidRDefault="00156A23" w:rsidP="00D20468">
            <w:pPr>
              <w:spacing w:line="240" w:lineRule="auto"/>
              <w:rPr>
                <w:sz w:val="22"/>
                <w:szCs w:val="22"/>
              </w:rPr>
            </w:pPr>
            <w:r w:rsidRPr="0053182F">
              <w:rPr>
                <w:sz w:val="22"/>
                <w:szCs w:val="22"/>
              </w:rPr>
              <w:t>Female Population Share</w:t>
            </w:r>
          </w:p>
        </w:tc>
        <w:tc>
          <w:tcPr>
            <w:tcW w:w="1137" w:type="dxa"/>
            <w:tcBorders>
              <w:top w:val="single" w:sz="4" w:space="0" w:color="auto"/>
              <w:left w:val="nil"/>
              <w:bottom w:val="single" w:sz="4" w:space="0" w:color="auto"/>
              <w:right w:val="nil"/>
            </w:tcBorders>
            <w:vAlign w:val="center"/>
            <w:hideMark/>
          </w:tcPr>
          <w:p w14:paraId="27D897EA" w14:textId="77777777" w:rsidR="00156A23" w:rsidRPr="0053182F" w:rsidRDefault="00156A23" w:rsidP="00D20468">
            <w:pPr>
              <w:spacing w:line="240" w:lineRule="auto"/>
              <w:rPr>
                <w:b/>
                <w:bCs/>
                <w:sz w:val="22"/>
                <w:szCs w:val="22"/>
              </w:rPr>
            </w:pPr>
            <w:r w:rsidRPr="0053182F">
              <w:rPr>
                <w:b/>
                <w:bCs/>
                <w:sz w:val="22"/>
                <w:szCs w:val="22"/>
              </w:rPr>
              <w:t>FPOP</w:t>
            </w:r>
          </w:p>
        </w:tc>
        <w:tc>
          <w:tcPr>
            <w:tcW w:w="4592" w:type="dxa"/>
            <w:tcBorders>
              <w:top w:val="single" w:sz="4" w:space="0" w:color="auto"/>
              <w:left w:val="nil"/>
              <w:bottom w:val="single" w:sz="4" w:space="0" w:color="auto"/>
              <w:right w:val="nil"/>
            </w:tcBorders>
            <w:vAlign w:val="center"/>
            <w:hideMark/>
          </w:tcPr>
          <w:p w14:paraId="3B48A46E" w14:textId="77777777" w:rsidR="00156A23" w:rsidRPr="0053182F" w:rsidRDefault="00156A23" w:rsidP="00D20468">
            <w:pPr>
              <w:spacing w:line="240" w:lineRule="auto"/>
              <w:jc w:val="both"/>
              <w:rPr>
                <w:sz w:val="22"/>
                <w:szCs w:val="22"/>
              </w:rPr>
            </w:pPr>
            <w:r w:rsidRPr="0053182F">
              <w:rPr>
                <w:sz w:val="22"/>
                <w:szCs w:val="22"/>
              </w:rPr>
              <w:t>The proportion of the total population that is female.</w:t>
            </w:r>
          </w:p>
        </w:tc>
        <w:sdt>
          <w:sdtPr>
            <w:rPr>
              <w:sz w:val="22"/>
              <w:szCs w:val="22"/>
            </w:rPr>
            <w:tag w:val="MENDELEY_CITATION_v3_eyJjaXRhdGlvbklEIjoiTUVOREVMRVlfQ0lUQVRJT05fMjEyYWYwNmQtZGNkOC00Y2MzLThkYzEtNDQ4NTg3MGFkOWMy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
            <w:id w:val="-1534340234"/>
            <w:placeholder>
              <w:docPart w:val="944EE29C6B334162B786D58D9FBA4C77"/>
            </w:placeholder>
          </w:sdtPr>
          <w:sdtContent>
            <w:tc>
              <w:tcPr>
                <w:tcW w:w="1479" w:type="dxa"/>
                <w:tcBorders>
                  <w:top w:val="single" w:sz="4" w:space="0" w:color="auto"/>
                  <w:left w:val="nil"/>
                  <w:bottom w:val="single" w:sz="4" w:space="0" w:color="auto"/>
                  <w:right w:val="nil"/>
                </w:tcBorders>
                <w:hideMark/>
              </w:tcPr>
              <w:p w14:paraId="6CD8E12E" w14:textId="77777777" w:rsidR="00156A23" w:rsidRPr="0053182F" w:rsidRDefault="00156A23" w:rsidP="00D20468">
                <w:pPr>
                  <w:spacing w:line="240" w:lineRule="auto"/>
                  <w:jc w:val="both"/>
                  <w:rPr>
                    <w:sz w:val="22"/>
                    <w:szCs w:val="22"/>
                  </w:rPr>
                </w:pPr>
                <w:r w:rsidRPr="0053182F">
                  <w:rPr>
                    <w:sz w:val="22"/>
                    <w:szCs w:val="22"/>
                  </w:rPr>
                  <w:t>(The World Bank, 2023)</w:t>
                </w:r>
              </w:p>
            </w:tc>
          </w:sdtContent>
        </w:sdt>
      </w:tr>
    </w:tbl>
    <w:p w14:paraId="5811E67A" w14:textId="77777777" w:rsidR="00156A23" w:rsidRPr="0053182F" w:rsidRDefault="00156A23" w:rsidP="00156A23">
      <w:bookmarkStart w:id="301" w:name="_Toc196915007"/>
      <w:bookmarkStart w:id="302" w:name="_Toc197080387"/>
      <w:bookmarkStart w:id="303" w:name="_Toc200010376"/>
      <w:r w:rsidRPr="0053182F">
        <w:rPr>
          <w:b/>
          <w:bCs/>
        </w:rPr>
        <w:t>Source:</w:t>
      </w:r>
      <w:r w:rsidRPr="0053182F">
        <w:t xml:space="preserve"> Author's own work</w:t>
      </w:r>
    </w:p>
    <w:p w14:paraId="41C3CD28" w14:textId="77777777" w:rsidR="00156A23" w:rsidRPr="0053182F" w:rsidRDefault="00156A23" w:rsidP="00156A23">
      <w:pPr>
        <w:pStyle w:val="Heading2"/>
        <w:jc w:val="both"/>
        <w:rPr>
          <w:rFonts w:eastAsia="Times New Roman"/>
        </w:rPr>
      </w:pPr>
      <w:bookmarkStart w:id="304" w:name="_Toc215651875"/>
      <w:bookmarkStart w:id="305" w:name="_Toc216557275"/>
      <w:bookmarkStart w:id="306" w:name="_Toc218357165"/>
      <w:r w:rsidRPr="0053182F">
        <w:rPr>
          <w:rFonts w:eastAsia="Times New Roman"/>
        </w:rPr>
        <w:t>7.4 Dependent variable: Modern slavery risk</w:t>
      </w:r>
      <w:bookmarkEnd w:id="301"/>
      <w:bookmarkEnd w:id="302"/>
      <w:bookmarkEnd w:id="303"/>
      <w:bookmarkEnd w:id="304"/>
      <w:bookmarkEnd w:id="305"/>
      <w:bookmarkEnd w:id="306"/>
    </w:p>
    <w:p w14:paraId="0FA25485" w14:textId="77777777" w:rsidR="00156A23" w:rsidRPr="0053182F" w:rsidRDefault="00156A23" w:rsidP="00156A23">
      <w:pPr>
        <w:spacing w:line="480" w:lineRule="auto"/>
        <w:jc w:val="both"/>
      </w:pPr>
      <w:r w:rsidRPr="0053182F">
        <w:t xml:space="preserve">Consistent with prior macro-level studies by </w:t>
      </w:r>
      <w:sdt>
        <w:sdtPr>
          <w:tag w:val="MENDELEY_CITATION_v3_eyJjaXRhdGlvbklEIjoiTUVOREVMRVlfQ0lUQVRJT05fOTk1ZjY5NGQtZTMwZS00N2Q1LWI1Y2QtZDVmOGIwYjk2OTA1IiwicHJvcGVydGllcyI6eyJub3RlSW5kZXgiOjB9LCJpc0VkaXRlZCI6ZmFsc2UsIm1hbnVhbE92ZXJyaWRlIjp7ImlzTWFudWFsbHlPdmVycmlkZGVuIjp0cnVlLCJjaXRlcHJvY1RleHQiOiIoTW91c3NhIDxpPmV0IGFsLjwvaT4sIDIwMjIpIiwibWFudWFsT3ZlcnJpZGVUZXh0IjoiTW91c3NhIGV0IGFsLiAoMjAyMik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
          <w:id w:val="-1295056714"/>
          <w:placeholder>
            <w:docPart w:val="E902CD26FAB440D79CDB92964E59AB18"/>
          </w:placeholder>
        </w:sdtPr>
        <w:sdtContent>
          <w:r w:rsidRPr="0053182F">
            <w:t>Moussa et al. (2022)</w:t>
          </w:r>
        </w:sdtContent>
      </w:sdt>
      <w:r w:rsidRPr="0053182F">
        <w:t>, this research employs a tripartite index framework to evaluate national-level MS risks. Specifically, it draws on three interrelated indicators from the GSI: the</w:t>
      </w:r>
      <w:r w:rsidRPr="0053182F">
        <w:rPr>
          <w:b/>
          <w:bCs/>
        </w:rPr>
        <w:t xml:space="preserve"> </w:t>
      </w:r>
      <w:r w:rsidRPr="0053182F">
        <w:rPr>
          <w:rStyle w:val="Strong"/>
          <w:rFonts w:eastAsiaTheme="majorEastAsia"/>
          <w:b w:val="0"/>
          <w:bCs w:val="0"/>
        </w:rPr>
        <w:t>PREV</w:t>
      </w:r>
      <w:r w:rsidRPr="0053182F">
        <w:rPr>
          <w:b/>
          <w:bCs/>
        </w:rPr>
        <w:t xml:space="preserve">, </w:t>
      </w:r>
      <w:r w:rsidRPr="0053182F">
        <w:rPr>
          <w:rStyle w:val="Strong"/>
          <w:rFonts w:eastAsiaTheme="majorEastAsia"/>
          <w:b w:val="0"/>
          <w:bCs w:val="0"/>
        </w:rPr>
        <w:t>VULN</w:t>
      </w:r>
      <w:r w:rsidRPr="0053182F">
        <w:rPr>
          <w:b/>
          <w:bCs/>
        </w:rPr>
        <w:t xml:space="preserve">, </w:t>
      </w:r>
      <w:r w:rsidRPr="0053182F">
        <w:t xml:space="preserve">and </w:t>
      </w:r>
      <w:r w:rsidRPr="0053182F">
        <w:rPr>
          <w:rStyle w:val="Strong"/>
          <w:rFonts w:eastAsiaTheme="majorEastAsia"/>
          <w:b w:val="0"/>
          <w:bCs w:val="0"/>
        </w:rPr>
        <w:t>MSRM</w:t>
      </w:r>
      <w:r w:rsidRPr="0053182F">
        <w:rPr>
          <w:b/>
          <w:bCs/>
        </w:rPr>
        <w:t xml:space="preserve">. </w:t>
      </w:r>
      <w:r w:rsidRPr="0053182F">
        <w:t>Together, these indicators offer a multidimensional lens for understanding the magnitude, structural enablers, and policy interventions associated with MS at the country level.</w:t>
      </w:r>
    </w:p>
    <w:p w14:paraId="619135C0" w14:textId="77777777" w:rsidR="00156A23" w:rsidRPr="0053182F" w:rsidRDefault="00156A23" w:rsidP="00156A23">
      <w:pPr>
        <w:spacing w:after="0" w:line="240" w:lineRule="auto"/>
        <w:jc w:val="center"/>
      </w:pPr>
      <w:r w:rsidRPr="0053182F">
        <w:rPr>
          <w:noProof/>
          <w14:ligatures w14:val="none"/>
        </w:rPr>
        <w:drawing>
          <wp:inline distT="0" distB="0" distL="0" distR="0" wp14:anchorId="069B76DA" wp14:editId="152B4CDC">
            <wp:extent cx="4324455" cy="2476504"/>
            <wp:effectExtent l="0" t="0" r="0" b="0"/>
            <wp:docPr id="471462094" name="Picture 6" descr="A graph of people living in moder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graph of people living in modern"/>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326176" cy="2477490"/>
                    </a:xfrm>
                    <a:prstGeom prst="rect">
                      <a:avLst/>
                    </a:prstGeom>
                    <a:noFill/>
                    <a:ln>
                      <a:noFill/>
                    </a:ln>
                  </pic:spPr>
                </pic:pic>
              </a:graphicData>
            </a:graphic>
          </wp:inline>
        </w:drawing>
      </w:r>
    </w:p>
    <w:p w14:paraId="1AC7F2E0" w14:textId="77777777" w:rsidR="00156A23" w:rsidRPr="0053182F" w:rsidRDefault="00156A23" w:rsidP="00156A23">
      <w:pPr>
        <w:pStyle w:val="Caption"/>
      </w:pPr>
      <w:r w:rsidRPr="0053182F">
        <w:rPr>
          <w:b/>
          <w:bCs/>
        </w:rPr>
        <w:t xml:space="preserve">Source: </w:t>
      </w:r>
      <w:hyperlink r:id="rId43" w:anchor="mode=data" w:history="1">
        <w:r w:rsidRPr="0053182F">
          <w:rPr>
            <w:rStyle w:val="Hyperlink"/>
            <w:color w:val="auto"/>
            <w:u w:val="none"/>
          </w:rPr>
          <w:t>World | The Global Slavery Index</w:t>
        </w:r>
      </w:hyperlink>
      <w:r w:rsidRPr="0053182F">
        <w:t xml:space="preserve"> (2023)</w:t>
      </w:r>
    </w:p>
    <w:p w14:paraId="03BD32FA" w14:textId="77777777" w:rsidR="00156A23" w:rsidRPr="0053182F" w:rsidRDefault="00156A23" w:rsidP="00156A23">
      <w:pPr>
        <w:pStyle w:val="Caption"/>
      </w:pPr>
      <w:r w:rsidRPr="0053182F">
        <w:rPr>
          <w:b/>
          <w:bCs/>
        </w:rPr>
        <w:t>Figure 7.1:</w:t>
      </w:r>
      <w:r w:rsidRPr="0053182F">
        <w:t xml:space="preserve"> Global Modern Slavery at a glance</w:t>
      </w:r>
    </w:p>
    <w:p w14:paraId="0C594BC2" w14:textId="77777777" w:rsidR="00156A23" w:rsidRPr="0053182F" w:rsidRDefault="00156A23" w:rsidP="00156A23">
      <w:pPr>
        <w:pStyle w:val="Heading3"/>
      </w:pPr>
      <w:bookmarkStart w:id="307" w:name="_Toc200010377"/>
      <w:bookmarkStart w:id="308" w:name="_Toc215651876"/>
      <w:bookmarkStart w:id="309" w:name="_Toc216557276"/>
      <w:bookmarkStart w:id="310" w:name="_Toc218357166"/>
      <w:r w:rsidRPr="0053182F">
        <w:t>7.4.1 Prevalence of Modern Slavery (PREV)</w:t>
      </w:r>
      <w:bookmarkEnd w:id="307"/>
      <w:bookmarkEnd w:id="308"/>
      <w:bookmarkEnd w:id="309"/>
      <w:bookmarkEnd w:id="310"/>
    </w:p>
    <w:p w14:paraId="58BC0806" w14:textId="77777777" w:rsidR="00156A23" w:rsidRPr="0053182F" w:rsidRDefault="00156A23" w:rsidP="00156A23">
      <w:pPr>
        <w:pStyle w:val="NormalWeb"/>
        <w:spacing w:line="480" w:lineRule="auto"/>
        <w:ind w:firstLine="720"/>
        <w:jc w:val="both"/>
      </w:pPr>
      <w:r w:rsidRPr="0053182F">
        <w:t xml:space="preserve">The </w:t>
      </w:r>
      <w:r w:rsidRPr="0053182F">
        <w:rPr>
          <w:rStyle w:val="Strong"/>
          <w:b w:val="0"/>
          <w:bCs w:val="0"/>
        </w:rPr>
        <w:t>Prevalence of MS (PREV) represents the percentage of the population</w:t>
      </w:r>
      <w:r w:rsidRPr="0053182F">
        <w:rPr>
          <w:sz w:val="22"/>
          <w:szCs w:val="22"/>
        </w:rPr>
        <w:t xml:space="preserve"> enslaved. </w:t>
      </w:r>
      <w:r w:rsidRPr="0053182F">
        <w:t xml:space="preserve">This includes forced labour, human trafficking, forced marriage, and other forms of coercion </w:t>
      </w:r>
      <w:sdt>
        <w:sdtPr>
          <w:tag w:val="MENDELEY_CITATION_v3_eyJjaXRhdGlvbklEIjoiTUVOREVMRVlfQ0lUQVRJT05fMTI2MTNjZTgtZDUyNS00ODk1LWIzZjUtMTZhMjE1ODA1NTE2IiwicHJvcGVydGllcyI6eyJub3RlSW5kZXgiOjB9LCJpc0VkaXRlZCI6ZmFsc2UsIm1hbnVhbE92ZXJyaWRlIjp7ImlzTWFudWFsbHlPdmVycmlkZGVuIjpmYWxzZSwiY2l0ZXByb2NUZXh0IjoiKE1vdXNzYSA8aT5ldCBhbC48L2k+LCAyMDIyOyBXYWxrIEZyZWUsIDIwMTY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k0YTc1ODc4LWM1ODMtMzhjZC04ODM4LTA5MTliYTBjNjcwYSIsIml0ZW1EYXRhIjp7InR5cGUiOiJyZXBvcnQiLCJpZCI6Ijk0YTc1ODc4LWM1ODMtMzhjZC04ODM4LTA5MTliYTBjNjcwYSIsInRpdGxlIjoiVGhlIGdsb2JhbCBzbGF2ZXJ5IGluZGV4IiwiYXV0aG9yIjpbeyJmYW1pbHkiOiJXYWxrIEZyZWU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
          <w:id w:val="929082753"/>
          <w:placeholder>
            <w:docPart w:val="70FFD138DC3845A999416CCE465AEA21"/>
          </w:placeholder>
        </w:sdtPr>
        <w:sdtContent>
          <w:r w:rsidRPr="0053182F">
            <w:t xml:space="preserve">(Moussa </w:t>
          </w:r>
          <w:r w:rsidRPr="0053182F">
            <w:rPr>
              <w:i/>
              <w:iCs/>
            </w:rPr>
            <w:t>et al.</w:t>
          </w:r>
          <w:r w:rsidRPr="0053182F">
            <w:t>, 2022; Walk Free, 2016)</w:t>
          </w:r>
        </w:sdtContent>
      </w:sdt>
      <w:r w:rsidRPr="0053182F">
        <w:rPr>
          <w:color w:val="000000" w:themeColor="text1"/>
        </w:rPr>
        <w:t>.</w:t>
      </w:r>
      <w:r w:rsidRPr="0053182F">
        <w:t xml:space="preserve"> It is derived from a set of harmonised statistical models, surveys, and secondary data sources, and serves as a proxy for the scale of slavery-related practices such as forced labour, trafficking, and servitude.</w:t>
      </w:r>
    </w:p>
    <w:p w14:paraId="408CB103" w14:textId="77777777" w:rsidR="00156A23" w:rsidRPr="0053182F" w:rsidRDefault="00156A23" w:rsidP="00156A23">
      <w:pPr>
        <w:pStyle w:val="Heading3"/>
      </w:pPr>
      <w:bookmarkStart w:id="311" w:name="_Toc200010378"/>
      <w:bookmarkStart w:id="312" w:name="_Toc215651877"/>
      <w:bookmarkStart w:id="313" w:name="_Toc216557277"/>
      <w:bookmarkStart w:id="314" w:name="_Toc218357167"/>
      <w:r w:rsidRPr="0053182F">
        <w:t>7.4.2 Vulnerability to Modern Slavery (VALN)</w:t>
      </w:r>
      <w:bookmarkEnd w:id="311"/>
      <w:bookmarkEnd w:id="312"/>
      <w:bookmarkEnd w:id="313"/>
      <w:bookmarkEnd w:id="314"/>
    </w:p>
    <w:p w14:paraId="706F89F7" w14:textId="77777777" w:rsidR="00156A23" w:rsidRPr="0053182F" w:rsidRDefault="00156A23" w:rsidP="00156A23">
      <w:pPr>
        <w:pStyle w:val="NormalWeb"/>
        <w:spacing w:line="480" w:lineRule="auto"/>
        <w:ind w:firstLine="720"/>
        <w:jc w:val="both"/>
      </w:pPr>
      <w:r w:rsidRPr="0053182F">
        <w:t xml:space="preserve">The VALN captures underlying structural, socioeconomic, and governance-related risk factors that increase a population's exposure to exploitation </w:t>
      </w:r>
      <w:sdt>
        <w:sdtPr>
          <w:tag w:val="MENDELEY_CITATION_v3_eyJjaXRhdGlvbklEIjoiTUVOREVMRVlfQ0lUQVRJT05fOGEzNzViMWItOGZlYy00YjY1LWFkODgtNTU0ZjgxMmY5N2RjIiwicHJvcGVydGllcyI6eyJub3RlSW5kZXgiOjB9LCJpc0VkaXRlZCI6ZmFsc2UsIm1hbnVhbE92ZXJyaWRlIjp7ImlzTWFudWFsbHlPdmVycmlkZGVuIjpmYWxzZSwiY2l0ZXByb2NUZXh0IjoiKEFsYml0YXIgPGk+ZXQgYWwuPC9pPiwgMjAyNTsgTW91c3NhIDxpPmV0IGFsLjwvaT4sIDIwMjI7I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iwiZ2l2ZW4iOiIiLCJwYXJzZS1uYW1lcyI6ZmFsc2UsImRyb3BwaW5nLXBhcnRpY2xlIjoiIiwibm9uLWRyb3BwaW5nLXBhcnRpY2xlIjoiIn1dLCJhY2Nlc3NlZCI6eyJkYXRlLXBhcnRzIjpbWzIwMjIsNiwxOV1dfSwiVVJMIjoiaHR0cHM6Ly93d3cuZ2xvYmFsc2xhdmVyeWluZGV4Lm9yZy8iLCJpc3N1ZWQiOnsiZGF0ZS1wYXJ0cyI6W1syMDE2XV19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
          <w:id w:val="-1785726232"/>
          <w:placeholder>
            <w:docPart w:val="944EE29C6B334162B786D58D9FBA4C77"/>
          </w:placeholder>
        </w:sdtPr>
        <w:sdtContent>
          <w:r w:rsidRPr="0053182F">
            <w:t xml:space="preserve">(Albitar </w:t>
          </w:r>
          <w:r w:rsidRPr="0053182F">
            <w:rPr>
              <w:i/>
              <w:iCs/>
            </w:rPr>
            <w:t>et al.</w:t>
          </w:r>
          <w:r w:rsidRPr="0053182F">
            <w:t xml:space="preserve">, 2025; Moussa </w:t>
          </w:r>
          <w:r w:rsidRPr="0053182F">
            <w:rPr>
              <w:i/>
              <w:iCs/>
            </w:rPr>
            <w:t>et al.</w:t>
          </w:r>
          <w:r w:rsidRPr="0053182F">
            <w:t>, 2022; Walk Free, 2016)</w:t>
          </w:r>
        </w:sdtContent>
      </w:sdt>
      <w:r w:rsidRPr="0053182F">
        <w:t xml:space="preserve">. The measure integrates 23 indicators grouped into five structural domains: access to basic needs, levels of inequality, treatment of marginalised or disenfranchised groups, governance efficacy, and conflict exposure. This composite index enables an assessment of latent risk across diverse socio-political environments. Higher values indicate greater systemic susceptibility to MS conditions. This variable enables the analysis of how development deficits and institutional fragility contribute to the perpetuation of exploitative labour systems </w:t>
      </w:r>
      <w:sdt>
        <w:sdtPr>
          <w:tag w:val="MENDELEY_CITATION_v3_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"/>
          <w:id w:val="1643999171"/>
          <w:placeholder>
            <w:docPart w:val="FE4C124B168A40FD825965CF4DE58270"/>
          </w:placeholder>
        </w:sdtPr>
        <w:sdtContent>
          <w:r w:rsidRPr="0053182F">
            <w:t>(ILO, 2016, 2022b</w:t>
          </w:r>
        </w:sdtContent>
      </w:sdt>
      <w:r w:rsidRPr="0053182F">
        <w:t>). It is particularly relevant for identifying at-risk populations and regions requiring targeted policy intervention.</w:t>
      </w:r>
    </w:p>
    <w:p w14:paraId="020CCCAF" w14:textId="77777777" w:rsidR="00156A23" w:rsidRPr="0053182F" w:rsidRDefault="00156A23" w:rsidP="00156A23">
      <w:pPr>
        <w:pStyle w:val="Heading3"/>
      </w:pPr>
      <w:bookmarkStart w:id="315" w:name="_Toc196915010"/>
      <w:bookmarkStart w:id="316" w:name="_Toc197080391"/>
      <w:bookmarkStart w:id="317" w:name="_Toc200010379"/>
      <w:bookmarkStart w:id="318" w:name="_Toc215651878"/>
      <w:bookmarkStart w:id="319" w:name="_Toc216557278"/>
      <w:bookmarkStart w:id="320" w:name="_Toc218357168"/>
      <w:r w:rsidRPr="0053182F">
        <w:t>7.4.3 Modern slavery risk mitigation (MSRM)</w:t>
      </w:r>
      <w:bookmarkEnd w:id="315"/>
      <w:bookmarkEnd w:id="316"/>
      <w:bookmarkEnd w:id="317"/>
      <w:bookmarkEnd w:id="318"/>
      <w:bookmarkEnd w:id="319"/>
      <w:bookmarkEnd w:id="320"/>
    </w:p>
    <w:p w14:paraId="4015041B" w14:textId="77777777" w:rsidR="00156A23" w:rsidRPr="0053182F" w:rsidRDefault="00156A23" w:rsidP="00156A23">
      <w:pPr>
        <w:pStyle w:val="NormalWeb"/>
        <w:spacing w:line="480" w:lineRule="auto"/>
        <w:ind w:firstLine="720"/>
        <w:jc w:val="both"/>
      </w:pPr>
      <w:r w:rsidRPr="0053182F">
        <w:t xml:space="preserve">The </w:t>
      </w:r>
      <w:r w:rsidRPr="0053182F">
        <w:rPr>
          <w:rStyle w:val="Strong"/>
          <w:rFonts w:eastAsiaTheme="majorEastAsia"/>
          <w:b w:val="0"/>
          <w:bCs w:val="0"/>
        </w:rPr>
        <w:t>MSRM</w:t>
      </w:r>
      <w:r w:rsidRPr="0053182F">
        <w:t xml:space="preserve"> score evaluates how effectively national governments are responding to the challenge of MS. It incorporates 104 indicators structured around five pillars: the strength and scope of criminal justice responses, targeted interventions to reduce risk factors, institutional coordination and accountability, efforts to regulate both public and corporate supply chains, and mechanisms for victim identification and support </w:t>
      </w:r>
      <w:sdt>
        <w:sdtPr>
          <w:tag w:val="MENDELEY_CITATION_v3_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
          <w:id w:val="-664015305"/>
          <w:placeholder>
            <w:docPart w:val="0B7B3188A1B34E568FD8A6949884B66C"/>
          </w:placeholder>
        </w:sdtPr>
        <w:sdtContent>
          <w:r w:rsidRPr="0053182F">
            <w:t xml:space="preserve">(Moussa </w:t>
          </w:r>
          <w:r w:rsidRPr="0053182F">
            <w:rPr>
              <w:i/>
              <w:iCs/>
            </w:rPr>
            <w:t>et al.</w:t>
          </w:r>
          <w:r w:rsidRPr="0053182F">
            <w:t>, 2022; Walk Free, 2016)</w:t>
          </w:r>
        </w:sdtContent>
      </w:sdt>
      <w:r w:rsidRPr="0053182F">
        <w:t>. The scale ranges from 1 (minimal engagement) to 100 (comprehensive state response), enabling cross-country comparison of policy commitment and implementation capacity.</w:t>
      </w:r>
    </w:p>
    <w:p w14:paraId="014B51F0" w14:textId="77777777" w:rsidR="00156A23" w:rsidRPr="0053182F" w:rsidRDefault="00156A23" w:rsidP="00156A23">
      <w:pPr>
        <w:pStyle w:val="Heading3"/>
      </w:pPr>
      <w:bookmarkStart w:id="321" w:name="_Toc196915011"/>
      <w:bookmarkStart w:id="322" w:name="_Toc197080388"/>
      <w:bookmarkStart w:id="323" w:name="_Toc200010380"/>
      <w:bookmarkStart w:id="324" w:name="_Toc215651879"/>
      <w:bookmarkStart w:id="325" w:name="_Toc216557279"/>
      <w:bookmarkStart w:id="326" w:name="_Toc218357169"/>
      <w:bookmarkStart w:id="327" w:name="_Toc196915008"/>
      <w:r w:rsidRPr="0053182F">
        <w:t>7.4.4 Temporal Patterns in Modern Slavery: Prevalence, Vulnerability, and Government Response (2016–2022)</w:t>
      </w:r>
      <w:bookmarkEnd w:id="321"/>
      <w:bookmarkEnd w:id="322"/>
      <w:bookmarkEnd w:id="323"/>
      <w:bookmarkEnd w:id="324"/>
      <w:bookmarkEnd w:id="325"/>
      <w:bookmarkEnd w:id="326"/>
    </w:p>
    <w:p w14:paraId="41930B4D" w14:textId="77777777" w:rsidR="00156A23" w:rsidRPr="0053182F" w:rsidRDefault="00156A23" w:rsidP="00156A23"/>
    <w:p w14:paraId="41255BC5" w14:textId="77777777" w:rsidR="00156A23" w:rsidRPr="0053182F" w:rsidRDefault="00156A23" w:rsidP="00156A23">
      <w:pPr>
        <w:spacing w:line="480" w:lineRule="auto"/>
        <w:jc w:val="both"/>
      </w:pPr>
      <w:r w:rsidRPr="0053182F">
        <w:t>The following figures (Figures 7.2–7.4) provide a visual overview of the MS indicators for 2016, 2018, and 2022. These boxplots illustrate the distributional changes in PREV, VALN, and MSRM, offering insights not only into central tendencies but also into variation and inequality between countries.</w:t>
      </w:r>
    </w:p>
    <w:p w14:paraId="513E6EDB" w14:textId="77777777" w:rsidR="00156A23" w:rsidRPr="0053182F" w:rsidRDefault="00156A23" w:rsidP="00156A23">
      <w:pPr>
        <w:spacing w:before="100" w:beforeAutospacing="1" w:after="100" w:afterAutospacing="1" w:line="480" w:lineRule="auto"/>
        <w:jc w:val="both"/>
        <w:outlineLvl w:val="3"/>
      </w:pPr>
      <w:r w:rsidRPr="0053182F">
        <w:rPr>
          <w:b/>
          <w:bCs/>
          <w:i/>
          <w:iCs/>
        </w:rPr>
        <w:t>Figure 7.2: Modern Slavery Prevalence</w:t>
      </w:r>
      <w:r w:rsidRPr="0053182F">
        <w:rPr>
          <w:b/>
          <w:bCs/>
        </w:rPr>
        <w:t xml:space="preserve">: </w:t>
      </w:r>
      <w:r w:rsidRPr="0053182F">
        <w:t xml:space="preserve">The figure shows that PREV has remained persistently high across several countries, with a relatively stable median from 2016 to 2022. Despite increased global awareness, the interquartile range and the presence of high-end outliers suggest limited progress in reducing forced labour and exploitation in the most affected regions. This could be due to several overlapping factors: enduring poverty, labour market informality, limited access to legal protection for migrant workers, and weak enforcement of anti-slavery laws </w:t>
      </w:r>
      <w:sdt>
        <w:sdtPr>
          <w:tag w:val="MENDELEY_CITATION_v3_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"/>
          <w:id w:val="1934173035"/>
          <w:placeholder>
            <w:docPart w:val="9F22FF7893E9428D97F16DD72A7FC585"/>
          </w:placeholder>
        </w:sdtPr>
        <w:sdtContent>
          <w:r w:rsidRPr="0053182F">
            <w:t>(ILO, Walk Free, et al., 2022)</w:t>
          </w:r>
        </w:sdtContent>
      </w:sdt>
      <w:r w:rsidRPr="0053182F">
        <w:t xml:space="preserve">. In many conflict-affected or post-colonial contexts, structural conditions that facilitate MS—such as marginalisation of ethnic groups or reliance on bonded labour—remain deeply entrenched </w:t>
      </w:r>
      <w:sdt>
        <w:sdtPr>
          <w:tag w:val="MENDELEY_CITATION_v3_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"/>
          <w:id w:val="-1147210804"/>
          <w:placeholder>
            <w:docPart w:val="106A62B5BF4F459FAA2399A0DC933FA5"/>
          </w:placeholder>
        </w:sdtPr>
        <w:sdtContent>
          <w:r w:rsidRPr="0053182F">
            <w:t>(Kara, 2017; ILO, 2022).</w:t>
          </w:r>
        </w:sdtContent>
      </w:sdt>
      <w:r w:rsidRPr="0053182F">
        <w:t xml:space="preserve"> NIT also suggests that without strong institutional isomorphism, weaker states may resist convergence toward global anti-slavery norms </w:t>
      </w:r>
      <w:sdt>
        <w:sdtPr>
          <w:tag w:val="MENDELEY_CITATION_v3_eyJjaXRhdGlvbklEIjoiTUVOREVMRVlfQ0lUQVRJT05fM2E5MDgwNGQtMWFkYy00ZTM4LWJmNzAtMjI4NWQ2YjcxMDVkIiwicHJvcGVydGllcyI6eyJub3RlSW5kZXgiOjB9LCJpc0VkaXRlZCI6ZmFsc2UsIm1hbnVhbE92ZXJyaWRlIjp7ImlzTWFudWFsbHlPdmVycmlkZGVuIjpmYWxzZSwiY2l0ZXByb2NUZXh0IjoiKERpTWFnZ2lvIGFuZCBQb3dlbGwsIDE5ODM7IEhhemVsdG9u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W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"/>
          <w:id w:val="507725163"/>
          <w:placeholder>
            <w:docPart w:val="106A62B5BF4F459FAA2399A0DC933FA5"/>
          </w:placeholder>
        </w:sdtPr>
        <w:sdtContent>
          <w:r w:rsidRPr="0053182F">
            <w:t>(DiMaggio and Powell, 1983; Hazelton, 2013)</w:t>
          </w:r>
        </w:sdtContent>
      </w:sdt>
      <w:r w:rsidRPr="0053182F">
        <w:t xml:space="preserve">. </w:t>
      </w:r>
    </w:p>
    <w:p w14:paraId="632F9CAD" w14:textId="77777777" w:rsidR="00156A23" w:rsidRPr="0053182F" w:rsidRDefault="00156A23" w:rsidP="00156A23">
      <w:pPr>
        <w:spacing w:before="100" w:beforeAutospacing="1" w:after="100" w:afterAutospacing="1" w:line="480" w:lineRule="auto"/>
        <w:jc w:val="both"/>
        <w:outlineLvl w:val="3"/>
      </w:pPr>
      <w:r w:rsidRPr="0053182F">
        <w:rPr>
          <w:b/>
          <w:bCs/>
          <w:i/>
          <w:iCs/>
        </w:rPr>
        <w:t xml:space="preserve">Figure 7.3: Vulnerability to Modern Slavery: </w:t>
      </w:r>
      <w:r w:rsidRPr="0053182F">
        <w:rPr>
          <w:i/>
          <w:iCs/>
        </w:rPr>
        <w:t>The</w:t>
      </w:r>
      <w:r w:rsidRPr="0053182F">
        <w:t xml:space="preserve"> second figure reveals an apparent widening in vulnerability scores, with a rising median and more dispersed values over time. This indicates a growing polarisation, with vulnerable countries becoming more so, while others show modest improvements or stagnation. Several possible explanations emerge:</w:t>
      </w:r>
    </w:p>
    <w:p w14:paraId="349A7FE0" w14:textId="77777777" w:rsidR="00156A23" w:rsidRPr="0053182F" w:rsidRDefault="00156A23" w:rsidP="00156A23">
      <w:pPr>
        <w:numPr>
          <w:ilvl w:val="0"/>
          <w:numId w:val="39"/>
        </w:numPr>
        <w:spacing w:before="100" w:beforeAutospacing="1" w:after="100" w:afterAutospacing="1" w:line="480" w:lineRule="auto"/>
        <w:jc w:val="both"/>
      </w:pPr>
      <w:r w:rsidRPr="0053182F">
        <w:rPr>
          <w:i/>
          <w:iCs/>
        </w:rPr>
        <w:t>Economic shocks and inequality:</w:t>
      </w:r>
      <w:r w:rsidRPr="0053182F">
        <w:t xml:space="preserve"> Vulnerability is often linked to poverty, unemployment, and lack of social protection </w:t>
      </w:r>
      <w:sdt>
        <w:sdtPr>
          <w:tag w:val="MENDELEY_CITATION_v3_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"/>
          <w:id w:val="-1950148073"/>
          <w:placeholder>
            <w:docPart w:val="ED529BEDF3F1424EB5888E4F1EB57C9F"/>
          </w:placeholder>
        </w:sdtPr>
        <w:sdtContent>
          <w:r w:rsidRPr="0053182F">
            <w:t>(ILO, Walk Free, et al., 2022)</w:t>
          </w:r>
        </w:sdtContent>
      </w:sdt>
      <w:r w:rsidRPr="0053182F">
        <w:t>. Countries facing inflation, stagnant growth, or foreign debt pressures may experience increased household vulnerability, pushing more individuals into informal or exploitative work.</w:t>
      </w:r>
    </w:p>
    <w:p w14:paraId="262884DA" w14:textId="77777777" w:rsidR="00156A23" w:rsidRPr="0053182F" w:rsidRDefault="00156A23" w:rsidP="00156A23">
      <w:pPr>
        <w:numPr>
          <w:ilvl w:val="0"/>
          <w:numId w:val="39"/>
        </w:numPr>
        <w:spacing w:before="100" w:beforeAutospacing="1" w:after="100" w:afterAutospacing="1" w:line="480" w:lineRule="auto"/>
        <w:jc w:val="both"/>
      </w:pPr>
      <w:r w:rsidRPr="0053182F">
        <w:rPr>
          <w:i/>
          <w:iCs/>
        </w:rPr>
        <w:t>Climate and displacement pressures:</w:t>
      </w:r>
      <w:r w:rsidRPr="0053182F">
        <w:t xml:space="preserve"> Climate-induced migration and disasters (droughts, floods), particularly in the Global South, have been accelerating, displacing populations and increasing their susceptibility to trafficking and forced labour </w:t>
      </w:r>
      <w:sdt>
        <w:sdtPr>
          <w:tag w:val="MENDELEY_CITATION_v3_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"/>
          <w:id w:val="1697881994"/>
          <w:placeholder>
            <w:docPart w:val="B89A2743AA4440539CE1C54A6C1D2C32"/>
          </w:placeholder>
        </w:sdtPr>
        <w:sdtContent>
          <w:r w:rsidRPr="0053182F">
            <w:rPr>
              <w:rFonts w:eastAsia="Times New Roman"/>
            </w:rPr>
            <w:t xml:space="preserve">(Ritu Bharadwaj </w:t>
          </w:r>
          <w:r w:rsidRPr="0053182F">
            <w:rPr>
              <w:rFonts w:eastAsia="Times New Roman"/>
              <w:i/>
              <w:iCs/>
            </w:rPr>
            <w:t>et al.</w:t>
          </w:r>
          <w:r w:rsidRPr="0053182F">
            <w:rPr>
              <w:rFonts w:eastAsia="Times New Roman"/>
            </w:rPr>
            <w:t xml:space="preserve">, 2021; Rogerson </w:t>
          </w:r>
          <w:r w:rsidRPr="0053182F">
            <w:rPr>
              <w:rFonts w:eastAsia="Times New Roman"/>
              <w:i/>
              <w:iCs/>
            </w:rPr>
            <w:t>et al.</w:t>
          </w:r>
          <w:r w:rsidRPr="0053182F">
            <w:rPr>
              <w:rFonts w:eastAsia="Times New Roman"/>
            </w:rPr>
            <w:t>, 2024)</w:t>
          </w:r>
        </w:sdtContent>
      </w:sdt>
      <w:r w:rsidRPr="0053182F">
        <w:t>.</w:t>
      </w:r>
    </w:p>
    <w:p w14:paraId="7B7D55D1" w14:textId="77777777" w:rsidR="00156A23" w:rsidRPr="0053182F" w:rsidRDefault="00156A23" w:rsidP="00156A23">
      <w:pPr>
        <w:numPr>
          <w:ilvl w:val="0"/>
          <w:numId w:val="39"/>
        </w:numPr>
        <w:spacing w:before="100" w:beforeAutospacing="1" w:after="100" w:afterAutospacing="1" w:line="480" w:lineRule="auto"/>
        <w:jc w:val="both"/>
      </w:pPr>
      <w:r w:rsidRPr="0053182F">
        <w:rPr>
          <w:i/>
          <w:iCs/>
        </w:rPr>
        <w:t>Political fragility and conflict:</w:t>
      </w:r>
      <w:r w:rsidRPr="0053182F">
        <w:t xml:space="preserve"> In fragile states, government breakdown often leads to lawlessness, corruption, and weak border control—all conditions conducive to slavery </w:t>
      </w:r>
      <w:sdt>
        <w:sdtPr>
          <w:tag w:val="MENDELEY_CITATION_v3_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"/>
          <w:id w:val="-172023474"/>
          <w:placeholder>
            <w:docPart w:val="4EFF7CD1F57342AEABB47B5CB11FDD58"/>
          </w:placeholder>
        </w:sdtPr>
        <w:sdtContent>
          <w:r w:rsidRPr="0053182F">
            <w:rPr>
              <w:rFonts w:eastAsia="Times New Roman"/>
            </w:rPr>
            <w:t xml:space="preserve">(Biermann </w:t>
          </w:r>
          <w:r w:rsidRPr="0053182F">
            <w:rPr>
              <w:rFonts w:eastAsia="Times New Roman"/>
              <w:i/>
              <w:iCs/>
            </w:rPr>
            <w:t>et al.</w:t>
          </w:r>
          <w:r w:rsidRPr="0053182F">
            <w:rPr>
              <w:rFonts w:eastAsia="Times New Roman"/>
            </w:rPr>
            <w:t xml:space="preserve">, 2022; Craig </w:t>
          </w:r>
          <w:r w:rsidRPr="0053182F">
            <w:rPr>
              <w:rFonts w:eastAsia="Times New Roman"/>
              <w:i/>
              <w:iCs/>
            </w:rPr>
            <w:t>et al.</w:t>
          </w:r>
          <w:r w:rsidRPr="0053182F">
            <w:rPr>
              <w:rFonts w:eastAsia="Times New Roman"/>
            </w:rPr>
            <w:t>, 2019)</w:t>
          </w:r>
        </w:sdtContent>
      </w:sdt>
      <w:r w:rsidRPr="0053182F">
        <w:t>. The persistence or emergence of such conflict zones could explain the upward trends.</w:t>
      </w:r>
    </w:p>
    <w:p w14:paraId="12521CBA" w14:textId="77777777" w:rsidR="00156A23" w:rsidRPr="0053182F" w:rsidRDefault="00156A23" w:rsidP="00156A23">
      <w:pPr>
        <w:spacing w:before="100" w:beforeAutospacing="1" w:after="100" w:afterAutospacing="1" w:line="480" w:lineRule="auto"/>
        <w:ind w:firstLine="360"/>
        <w:jc w:val="both"/>
      </w:pPr>
      <w:r w:rsidRPr="0053182F">
        <w:t xml:space="preserve">These observations align with stakeholder theory (Freeman, 1984; Burritt and Christ, 2023), which holds that in the absence of strong stakeholder engagement—whether from civil society, multinationals, or global institutions—vulnerable populations may fall through the cracks of regulatory and protective frameworks. </w:t>
      </w:r>
    </w:p>
    <w:p w14:paraId="7324D153" w14:textId="77777777" w:rsidR="00156A23" w:rsidRPr="0053182F" w:rsidRDefault="00156A23" w:rsidP="00156A23">
      <w:pPr>
        <w:spacing w:before="100" w:beforeAutospacing="1" w:line="480" w:lineRule="auto"/>
        <w:jc w:val="both"/>
        <w:outlineLvl w:val="3"/>
      </w:pPr>
      <w:r w:rsidRPr="0053182F">
        <w:rPr>
          <w:b/>
          <w:bCs/>
          <w:i/>
          <w:iCs/>
        </w:rPr>
        <w:t>Figure 7.4: Modern slavery risk mitigation</w:t>
      </w:r>
      <w:r w:rsidRPr="0053182F">
        <w:rPr>
          <w:i/>
          <w:iCs/>
        </w:rPr>
        <w:t xml:space="preserve">: </w:t>
      </w:r>
      <w:r w:rsidRPr="0053182F">
        <w:t xml:space="preserve">MSRM has improved in median value across the years, indicating institutional progress. This suggests that more countries are developing and implementing national action plans, signing international agreements, and improving victim support or legal enforcement </w:t>
      </w:r>
      <w:sdt>
        <w:sdtPr>
          <w:tag w:val="MENDELEY_CITATION_v3_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"/>
          <w:id w:val="1339116089"/>
          <w:placeholder>
            <w:docPart w:val="CDF9309B9EAF460B841E1B6C69D8CB84"/>
          </w:placeholder>
        </w:sdtPr>
        <w:sdtContent>
          <w:r w:rsidRPr="0053182F">
            <w:t>(Forestier and Kim, 2020; HR Government, 2015; Kara, 2017)</w:t>
          </w:r>
        </w:sdtContent>
      </w:sdt>
      <w:r w:rsidRPr="0053182F">
        <w:t xml:space="preserve">. However, the wide dispersion—especially the continued presence of countries with very low scores—points to significant asymmetry in institutional capacity and political will. Some governments may prioritise anti-slavery reforms due to international pressure, economic partnerships, or reputational concerns </w:t>
      </w:r>
      <w:sdt>
        <w:sdtPr>
          <w:tag w:val="MENDELEY_CITATION_v3_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"/>
          <w:id w:val="1105161228"/>
          <w:placeholder>
            <w:docPart w:val="6171317B36BD42B8A0CDDE04C6867B62"/>
          </w:placeholder>
        </w:sdtPr>
        <w:sdtContent>
          <w:r w:rsidRPr="0053182F">
            <w:rPr>
              <w:rFonts w:eastAsia="Times New Roman"/>
            </w:rPr>
            <w:t>(Australian Government, 2022; Young and Gad, 2022).</w:t>
          </w:r>
        </w:sdtContent>
      </w:sdt>
      <w:r w:rsidRPr="0053182F">
        <w:t xml:space="preserve"> Others, particularly those lacking democratic institutions or donor incentives, may lag behind. According to NIT, global standards (such as SDG 8.7 or the Palermo Protocol) exert coercive and normative pressures, leading to partial policy convergence—but adoption is uneven and sometimes symbolic </w:t>
      </w:r>
      <w:sdt>
        <w:sdtPr>
          <w:tag w:val="MENDELEY_CITATION_v3_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"/>
          <w:id w:val="-236093694"/>
          <w:placeholder>
            <w:docPart w:val="08F724E0291F422A8F21080B78A5BFF3"/>
          </w:placeholder>
        </w:sdtPr>
        <w:sdtContent>
          <w:r w:rsidRPr="0053182F">
            <w:rPr>
              <w:rFonts w:eastAsia="Times New Roman"/>
            </w:rPr>
            <w:t xml:space="preserve">(Boyd </w:t>
          </w:r>
          <w:r w:rsidRPr="0053182F">
            <w:rPr>
              <w:rFonts w:eastAsia="Times New Roman"/>
              <w:i/>
              <w:iCs/>
            </w:rPr>
            <w:t>et al.</w:t>
          </w:r>
          <w:r w:rsidRPr="0053182F">
            <w:rPr>
              <w:rFonts w:eastAsia="Times New Roman"/>
            </w:rPr>
            <w:t>, 2021; Geels, 2020)</w:t>
          </w:r>
        </w:sdtContent>
      </w:sdt>
      <w:r w:rsidRPr="0053182F">
        <w:t>.</w:t>
      </w:r>
    </w:p>
    <w:p w14:paraId="667F6179" w14:textId="77777777" w:rsidR="00156A23" w:rsidRPr="0053182F" w:rsidRDefault="00156A23" w:rsidP="00156A23">
      <w:pPr>
        <w:jc w:val="center"/>
        <w:rPr>
          <w:sz w:val="27"/>
          <w:szCs w:val="27"/>
        </w:rPr>
      </w:pPr>
      <w:r w:rsidRPr="0053182F">
        <w:rPr>
          <w:noProof/>
          <w14:ligatures w14:val="none"/>
        </w:rPr>
        <w:drawing>
          <wp:inline distT="0" distB="0" distL="0" distR="0" wp14:anchorId="39304839" wp14:editId="0C4F844F">
            <wp:extent cx="2790825" cy="1676400"/>
            <wp:effectExtent l="0" t="0" r="9525" b="0"/>
            <wp:docPr id="57393904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790825" cy="1676400"/>
                    </a:xfrm>
                    <a:prstGeom prst="rect">
                      <a:avLst/>
                    </a:prstGeom>
                    <a:noFill/>
                    <a:ln>
                      <a:noFill/>
                    </a:ln>
                  </pic:spPr>
                </pic:pic>
              </a:graphicData>
            </a:graphic>
          </wp:inline>
        </w:drawing>
      </w:r>
    </w:p>
    <w:p w14:paraId="3FCB56C5" w14:textId="77777777" w:rsidR="00156A23" w:rsidRPr="0053182F" w:rsidRDefault="00156A23" w:rsidP="00156A23">
      <w:pPr>
        <w:pStyle w:val="Caption"/>
      </w:pPr>
      <w:bookmarkStart w:id="328" w:name="_Toc196915012"/>
      <w:r w:rsidRPr="0053182F">
        <w:rPr>
          <w:b/>
          <w:bCs/>
        </w:rPr>
        <w:t>Figure 7.2:</w:t>
      </w:r>
      <w:r w:rsidRPr="0053182F">
        <w:t xml:space="preserve"> Distribution of Modern Slavery Prevalence Scores (PREV) by Year</w:t>
      </w:r>
      <w:bookmarkEnd w:id="328"/>
    </w:p>
    <w:p w14:paraId="76CC880C" w14:textId="77777777" w:rsidR="00156A23" w:rsidRPr="0053182F" w:rsidRDefault="00156A23" w:rsidP="00156A23">
      <w:pPr>
        <w:jc w:val="center"/>
      </w:pPr>
      <w:bookmarkStart w:id="329" w:name="_Toc196915013"/>
      <w:r w:rsidRPr="0053182F">
        <w:rPr>
          <w:noProof/>
          <w14:ligatures w14:val="none"/>
        </w:rPr>
        <w:drawing>
          <wp:inline distT="0" distB="0" distL="0" distR="0" wp14:anchorId="619376C1" wp14:editId="713FC2D2">
            <wp:extent cx="2971800" cy="1781175"/>
            <wp:effectExtent l="0" t="0" r="0" b="9525"/>
            <wp:docPr id="198288814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971800" cy="1781175"/>
                    </a:xfrm>
                    <a:prstGeom prst="rect">
                      <a:avLst/>
                    </a:prstGeom>
                    <a:noFill/>
                    <a:ln>
                      <a:noFill/>
                    </a:ln>
                  </pic:spPr>
                </pic:pic>
              </a:graphicData>
            </a:graphic>
          </wp:inline>
        </w:drawing>
      </w:r>
      <w:bookmarkEnd w:id="329"/>
    </w:p>
    <w:p w14:paraId="1F8C3550" w14:textId="77777777" w:rsidR="00156A23" w:rsidRPr="0053182F" w:rsidRDefault="00156A23" w:rsidP="00156A23">
      <w:pPr>
        <w:pStyle w:val="Caption"/>
      </w:pPr>
      <w:bookmarkStart w:id="330" w:name="_Toc196915014"/>
      <w:r w:rsidRPr="0053182F">
        <w:rPr>
          <w:b/>
          <w:bCs/>
        </w:rPr>
        <w:t>Figure 7.3:</w:t>
      </w:r>
      <w:r w:rsidRPr="0053182F">
        <w:t xml:space="preserve"> Distribution of Modern Slavery Vulnerability Scores (VALN) by Year</w:t>
      </w:r>
      <w:bookmarkEnd w:id="330"/>
    </w:p>
    <w:p w14:paraId="60E608C4" w14:textId="77777777" w:rsidR="00156A23" w:rsidRPr="0053182F" w:rsidRDefault="00156A23" w:rsidP="00156A23">
      <w:pPr>
        <w:jc w:val="center"/>
      </w:pPr>
      <w:bookmarkStart w:id="331" w:name="_Toc196915015"/>
      <w:r w:rsidRPr="0053182F">
        <w:rPr>
          <w:noProof/>
          <w14:ligatures w14:val="none"/>
        </w:rPr>
        <w:drawing>
          <wp:inline distT="0" distB="0" distL="0" distR="0" wp14:anchorId="3621E408" wp14:editId="4D35D68E">
            <wp:extent cx="2905125" cy="1743075"/>
            <wp:effectExtent l="0" t="0" r="9525" b="9525"/>
            <wp:docPr id="19157509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2905125" cy="1743075"/>
                    </a:xfrm>
                    <a:prstGeom prst="rect">
                      <a:avLst/>
                    </a:prstGeom>
                    <a:noFill/>
                    <a:ln>
                      <a:noFill/>
                    </a:ln>
                  </pic:spPr>
                </pic:pic>
              </a:graphicData>
            </a:graphic>
          </wp:inline>
        </w:drawing>
      </w:r>
      <w:bookmarkEnd w:id="331"/>
    </w:p>
    <w:p w14:paraId="73EB24B6" w14:textId="77777777" w:rsidR="00156A23" w:rsidRPr="0053182F" w:rsidRDefault="00156A23" w:rsidP="00156A23">
      <w:pPr>
        <w:pStyle w:val="Caption"/>
      </w:pPr>
      <w:bookmarkStart w:id="332" w:name="_Toc196915016"/>
      <w:r w:rsidRPr="0053182F">
        <w:rPr>
          <w:b/>
          <w:bCs/>
        </w:rPr>
        <w:t>Figure 7.4:</w:t>
      </w:r>
      <w:r w:rsidRPr="0053182F">
        <w:t xml:space="preserve"> Modern slavery risk mitigation (MSRM) by Year</w:t>
      </w:r>
      <w:bookmarkEnd w:id="332"/>
    </w:p>
    <w:p w14:paraId="1EEC4E55" w14:textId="77777777" w:rsidR="00156A23" w:rsidRPr="0053182F" w:rsidRDefault="00156A23" w:rsidP="00156A23">
      <w:pPr>
        <w:pStyle w:val="Heading2"/>
      </w:pPr>
      <w:bookmarkStart w:id="333" w:name="_Toc196915017"/>
      <w:bookmarkStart w:id="334" w:name="_Toc197080392"/>
      <w:bookmarkStart w:id="335" w:name="_Toc200010381"/>
      <w:bookmarkStart w:id="336" w:name="_Toc215651880"/>
      <w:bookmarkStart w:id="337" w:name="_Toc216557280"/>
      <w:bookmarkStart w:id="338" w:name="_Toc218357170"/>
      <w:bookmarkEnd w:id="327"/>
      <w:r w:rsidRPr="0053182F">
        <w:t>7.5 Independent variables</w:t>
      </w:r>
      <w:bookmarkEnd w:id="333"/>
      <w:bookmarkEnd w:id="334"/>
      <w:bookmarkEnd w:id="335"/>
      <w:bookmarkEnd w:id="336"/>
      <w:bookmarkEnd w:id="337"/>
      <w:bookmarkEnd w:id="338"/>
    </w:p>
    <w:p w14:paraId="6A85E23A" w14:textId="77777777" w:rsidR="00156A23" w:rsidRPr="0053182F" w:rsidRDefault="00156A23" w:rsidP="00156A23">
      <w:pPr>
        <w:pStyle w:val="Heading3"/>
      </w:pPr>
      <w:bookmarkStart w:id="339" w:name="_Toc196915018"/>
      <w:bookmarkStart w:id="340" w:name="_Toc197080393"/>
      <w:bookmarkStart w:id="341" w:name="_Toc200010382"/>
      <w:bookmarkStart w:id="342" w:name="_Toc215651881"/>
      <w:bookmarkStart w:id="343" w:name="_Toc216557281"/>
      <w:bookmarkStart w:id="344" w:name="_Toc218357171"/>
      <w:r w:rsidRPr="0053182F">
        <w:t>7.5.1 Institutional Environment Quality (IEQ)</w:t>
      </w:r>
      <w:bookmarkEnd w:id="339"/>
      <w:bookmarkEnd w:id="340"/>
      <w:bookmarkEnd w:id="341"/>
      <w:bookmarkEnd w:id="342"/>
      <w:bookmarkEnd w:id="343"/>
      <w:bookmarkEnd w:id="344"/>
    </w:p>
    <w:p w14:paraId="2D44B29F" w14:textId="77777777" w:rsidR="00156A23" w:rsidRPr="0053182F" w:rsidRDefault="00156A23" w:rsidP="00156A23">
      <w:pPr>
        <w:spacing w:after="100" w:afterAutospacing="1" w:line="480" w:lineRule="auto"/>
        <w:jc w:val="both"/>
      </w:pPr>
      <w:r w:rsidRPr="0053182F">
        <w:t xml:space="preserve">IEQ is a composite measure developed through Principal Component Analysis (PCA) to capture the strength, integrity, and functionality of national institutions that help curb MS </w:t>
      </w:r>
      <w:sdt>
        <w:sdtPr>
          <w:tag w:val="MENDELEY_CITATION_v3_eyJjaXRhdGlvbklEIjoiTUVOREVMRVlfQ0lUQVRJT05fOTRkN2I4YjctMjNiOS00NGU2LTlkNmUtNjU0MTk5YWRhODFkIiwicHJvcGVydGllcyI6eyJub3RlSW5kZXgiOjB9LCJpc0VkaXRlZCI6ZmFsc2UsIm1hbnVhbE92ZXJyaWRlIjp7ImlzTWFudWFsbHlPdmVycmlkZGVuIjpmYWxzZSwiY2l0ZXByb2NUZXh0IjoiKEhlbGZheWE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
          <w:id w:val="-1363197532"/>
          <w:placeholder>
            <w:docPart w:val="551791ABF7D8441FA148437F319D56AE"/>
          </w:placeholder>
        </w:sdtPr>
        <w:sdtContent>
          <w:r w:rsidRPr="0053182F">
            <w:rPr>
              <w:rFonts w:eastAsia="Times New Roman"/>
            </w:rPr>
            <w:t xml:space="preserve">(Helfaya </w:t>
          </w:r>
          <w:r w:rsidRPr="0053182F">
            <w:rPr>
              <w:rFonts w:eastAsia="Times New Roman"/>
              <w:i/>
              <w:iCs/>
            </w:rPr>
            <w:t>et al.</w:t>
          </w:r>
          <w:r w:rsidRPr="0053182F">
            <w:rPr>
              <w:rFonts w:eastAsia="Times New Roman"/>
            </w:rPr>
            <w:t xml:space="preserve">, 2025; Moussa </w:t>
          </w:r>
          <w:r w:rsidRPr="0053182F">
            <w:rPr>
              <w:rFonts w:eastAsia="Times New Roman"/>
              <w:i/>
              <w:iCs/>
            </w:rPr>
            <w:t>et al.</w:t>
          </w:r>
          <w:r w:rsidRPr="0053182F">
            <w:rPr>
              <w:rFonts w:eastAsia="Times New Roman"/>
            </w:rPr>
            <w:t>, 2022)</w:t>
          </w:r>
        </w:sdtContent>
      </w:sdt>
      <w:r w:rsidRPr="0053182F">
        <w:t xml:space="preserve">. IEQ draws from six dimensions of governance as defined by the WGIs </w:t>
      </w:r>
      <w:sdt>
        <w:sdtPr>
          <w:tag w:val="MENDELEY_CITATION_v3_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"/>
          <w:id w:val="-971062188"/>
          <w:placeholder>
            <w:docPart w:val="C765E266BAAC410E909811ACFCA50C26"/>
          </w:placeholder>
        </w:sdtPr>
        <w:sdtContent>
          <w:r w:rsidRPr="0053182F">
            <w:rPr>
              <w:rFonts w:eastAsia="Times New Roman"/>
            </w:rPr>
            <w:t xml:space="preserve">(Kaufmann </w:t>
          </w:r>
          <w:r w:rsidRPr="0053182F">
            <w:rPr>
              <w:rFonts w:eastAsia="Times New Roman"/>
              <w:i/>
              <w:iCs/>
            </w:rPr>
            <w:t>et al.</w:t>
          </w:r>
          <w:r w:rsidRPr="0053182F">
            <w:rPr>
              <w:rFonts w:eastAsia="Times New Roman"/>
            </w:rPr>
            <w:t>, 2011)</w:t>
          </w:r>
        </w:sdtContent>
      </w:sdt>
      <w:r w:rsidRPr="0053182F">
        <w:t xml:space="preserve">. These dimensions collectively reflect a country's institutions' capacity to enforce laws, ensure political freedom, maintain order, regulate policy effectively, reduce corruption, and maintain stability. By summarising these correlated dimensions into a single index, IEQ offers a robust proxy for assessing the institutional context under which MS risks are shaped and mitigated </w:t>
      </w:r>
      <w:sdt>
        <w:sdtPr>
          <w:tag w:val="MENDELEY_CITATION_v3_eyJjaXRhdGlvbklEIjoiTUVOREVMRVlfQ0lUQVRJT05fYzJiNjM2MDEtNWZmNS00MjVhLWE0MzEtOTYxMDE4Yzk3ZDVm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2083985666"/>
          <w:placeholder>
            <w:docPart w:val="003927355CB24370A4753F4388E1E9F9"/>
          </w:placeholder>
        </w:sdtPr>
        <w:sdtContent>
          <w:r w:rsidRPr="0053182F">
            <w:rPr>
              <w:rFonts w:eastAsia="Times New Roman"/>
            </w:rPr>
            <w:t xml:space="preserve">(Moussa </w:t>
          </w:r>
          <w:r w:rsidRPr="0053182F">
            <w:rPr>
              <w:rFonts w:eastAsia="Times New Roman"/>
              <w:i/>
              <w:iCs/>
            </w:rPr>
            <w:t>et al.</w:t>
          </w:r>
          <w:r w:rsidRPr="0053182F">
            <w:rPr>
              <w:rFonts w:eastAsia="Times New Roman"/>
            </w:rPr>
            <w:t>, 2022)</w:t>
          </w:r>
        </w:sdtContent>
      </w:sdt>
      <w:r w:rsidRPr="0053182F">
        <w:t>.</w:t>
      </w:r>
    </w:p>
    <w:p w14:paraId="3F8558A6" w14:textId="77777777" w:rsidR="00156A23" w:rsidRPr="0053182F" w:rsidRDefault="00156A23" w:rsidP="00156A23">
      <w:pPr>
        <w:spacing w:after="100" w:afterAutospacing="1" w:line="480" w:lineRule="auto"/>
        <w:ind w:firstLine="720"/>
        <w:jc w:val="both"/>
      </w:pPr>
      <w:r w:rsidRPr="0053182F">
        <w:t xml:space="preserve">Table 7.3 below presents the correlation matrix, which supports the composite construction of IEQ and shows strong positive relationships among its constituent variables </w:t>
      </w:r>
      <w:sdt>
        <w:sdtPr>
          <w:tag w:val="MENDELEY_CITATION_v3_eyJjaXRhdGlvbklEIjoiTUVOREVMRVlfQ0lUQVRJT05fZjViOWZjYWItZThmNS00NzlmLTg3MTgtN2U0MzQ5Y2MyMjJkIiwicHJvcGVydGllcyI6eyJub3RlSW5kZXgiOjB9LCJpc0VkaXRlZCI6ZmFsc2UsIm1hbnVhbE92ZXJyaWRlIjp7ImlzTWFudWFsbHlPdmVycmlkZGVuIjpmYWxzZSwiY2l0ZXByb2NUZXh0IjoiKEVsYW1lciA8aT5ldCBhbC48L2k+LCAyMDIwOyBIZWxmYXlhIDxpPmV0IGFsLjwvaT4sIDIwMjU7I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0YjhjNGNmOS02YjU1LTMxYTEtODhhNC02ODcxNjQ1OWU0ODMiLCJpdGVtRGF0YSI6eyJ0eXBlIjoiYXJ0aWNsZS1qb3VybmFsIiwiaWQiOiI0YjhjNGNmOS02YjU1LTMxYTEtODhhNC02ODcxNjQ1OWU0ODMiLCJ0aXRsZSI6IklzbGFtaWMgR292ZXJuYW5jZSwgTmF0aW9uYWwgR292ZXJuYW5jZSwgYW5kIEJhbmsgUmlzayBNYW5hZ2VtZW50IGFuZCBEaXNjbG9zdXJlIGluIE1FTkEgQ291bnRyaWVzIiwiYXV0aG9yIjpbeyJmYW1pbHkiOiJFbGFtZXI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
          <w:id w:val="-955791351"/>
          <w:placeholder>
            <w:docPart w:val="1CB0DDEE704143EEA90B452468A4B084"/>
          </w:placeholder>
        </w:sdtPr>
        <w:sdtContent>
          <w:r w:rsidRPr="0053182F">
            <w:rPr>
              <w:rFonts w:eastAsia="Times New Roman"/>
            </w:rPr>
            <w:t xml:space="preserve">(Elamer </w:t>
          </w:r>
          <w:r w:rsidRPr="0053182F">
            <w:rPr>
              <w:rFonts w:eastAsia="Times New Roman"/>
              <w:i/>
              <w:iCs/>
            </w:rPr>
            <w:t>et al.</w:t>
          </w:r>
          <w:r w:rsidRPr="0053182F">
            <w:rPr>
              <w:rFonts w:eastAsia="Times New Roman"/>
            </w:rPr>
            <w:t xml:space="preserve">, 2020; Helfaya </w:t>
          </w:r>
          <w:r w:rsidRPr="0053182F">
            <w:rPr>
              <w:rFonts w:eastAsia="Times New Roman"/>
              <w:i/>
              <w:iCs/>
            </w:rPr>
            <w:t>et al.</w:t>
          </w:r>
          <w:r w:rsidRPr="0053182F">
            <w:rPr>
              <w:rFonts w:eastAsia="Times New Roman"/>
            </w:rPr>
            <w:t xml:space="preserve">, 2025; Moussa </w:t>
          </w:r>
          <w:r w:rsidRPr="0053182F">
            <w:rPr>
              <w:rFonts w:eastAsia="Times New Roman"/>
              <w:i/>
              <w:iCs/>
            </w:rPr>
            <w:t>et al.</w:t>
          </w:r>
          <w:r w:rsidRPr="0053182F">
            <w:rPr>
              <w:rFonts w:eastAsia="Times New Roman"/>
            </w:rPr>
            <w:t>, 2022)</w:t>
          </w:r>
        </w:sdtContent>
      </w:sdt>
      <w:r w:rsidRPr="0053182F">
        <w:t xml:space="preserve">. For instance, RL is highly correlated with GE (0.9559*) and CC (0.9569*), indicating these dimensions move closely together across contexts. Similarly, VA exhibits meaningful correlations with the other dimensions, particularly with RQ (0.8084*) and RL (0.7988*), underscoring its institutional relevance. All pairwise correlations are statistically significant at conventional levels (* p &lt; 0.1), reinforcing the justification for combining these indicators into a unified measure of institutional quality </w:t>
      </w:r>
      <w:sdt>
        <w:sdtPr>
          <w:tag w:val="MENDELEY_CITATION_v3_eyJjaXRhdGlvbklEIjoiTUVOREVMRVlfQ0lUQVRJT05fY2MzODcyZjItYWM2MC00NjhhLThkNGYtOWIzMjgzMDE2MjRlIiwicHJvcGVydGllcyI6eyJub3RlSW5kZXgiOjB9LCJpc0VkaXRlZCI6ZmFsc2UsIm1hbnVhbE92ZXJyaWRlIjp7ImlzTWFudWFsbHlPdmVycmlkZGVuIjpmYWxzZSwiY2l0ZXByb2NUZXh0IjoiKERhbmllbCA8aT5ldCBhbC48L2k+LCAyMDEyOyBFbGFtZXIgPGk+ZXQgYWwuPC9pPiwgMjAyMD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"/>
          <w:id w:val="1295095655"/>
          <w:placeholder>
            <w:docPart w:val="B546262388064279BAD4B1FE632DBDCE"/>
          </w:placeholder>
        </w:sdtPr>
        <w:sdtContent>
          <w:r w:rsidRPr="0053182F">
            <w:rPr>
              <w:rFonts w:eastAsia="Times New Roman"/>
            </w:rPr>
            <w:t xml:space="preserve">(Daniel </w:t>
          </w:r>
          <w:r w:rsidRPr="0053182F">
            <w:rPr>
              <w:rFonts w:eastAsia="Times New Roman"/>
              <w:i/>
              <w:iCs/>
            </w:rPr>
            <w:t>et al.</w:t>
          </w:r>
          <w:r w:rsidRPr="0053182F">
            <w:rPr>
              <w:rFonts w:eastAsia="Times New Roman"/>
            </w:rPr>
            <w:t xml:space="preserve">, 2012; Elamer </w:t>
          </w:r>
          <w:r w:rsidRPr="0053182F">
            <w:rPr>
              <w:rFonts w:eastAsia="Times New Roman"/>
              <w:i/>
              <w:iCs/>
            </w:rPr>
            <w:t>et al.</w:t>
          </w:r>
          <w:r w:rsidRPr="0053182F">
            <w:rPr>
              <w:rFonts w:eastAsia="Times New Roman"/>
            </w:rPr>
            <w:t xml:space="preserve">, 2020; Moussa </w:t>
          </w:r>
          <w:r w:rsidRPr="0053182F">
            <w:rPr>
              <w:rFonts w:eastAsia="Times New Roman"/>
              <w:i/>
              <w:iCs/>
            </w:rPr>
            <w:t>et al.</w:t>
          </w:r>
          <w:r w:rsidRPr="0053182F">
            <w:rPr>
              <w:rFonts w:eastAsia="Times New Roman"/>
            </w:rPr>
            <w:t>, 2022)</w:t>
          </w:r>
        </w:sdtContent>
      </w:sdt>
      <w:r w:rsidRPr="0053182F">
        <w:t>.</w:t>
      </w:r>
    </w:p>
    <w:p w14:paraId="79A6BECE" w14:textId="77777777" w:rsidR="00156A23" w:rsidRPr="0053182F" w:rsidRDefault="00156A23" w:rsidP="00156A23">
      <w:pPr>
        <w:pStyle w:val="Caption"/>
      </w:pPr>
      <w:r w:rsidRPr="0053182F">
        <w:rPr>
          <w:b/>
          <w:bCs/>
        </w:rPr>
        <w:t>Table 7:3:</w:t>
      </w:r>
      <w:r w:rsidRPr="0053182F">
        <w:t xml:space="preserve"> Correlation Matrix of the IEQ’s six dimensions</w:t>
      </w:r>
    </w:p>
    <w:tbl>
      <w:tblPr>
        <w:tblW w:w="8169" w:type="dxa"/>
        <w:tblCellSpacing w:w="15" w:type="dxa"/>
        <w:tblLook w:val="04A0" w:firstRow="1" w:lastRow="0" w:firstColumn="1" w:lastColumn="0" w:noHBand="0" w:noVBand="1"/>
      </w:tblPr>
      <w:tblGrid>
        <w:gridCol w:w="630"/>
        <w:gridCol w:w="1285"/>
        <w:gridCol w:w="1285"/>
        <w:gridCol w:w="1285"/>
        <w:gridCol w:w="1285"/>
        <w:gridCol w:w="1285"/>
        <w:gridCol w:w="1114"/>
      </w:tblGrid>
      <w:tr w:rsidR="00156A23" w:rsidRPr="0053182F" w14:paraId="107579AF" w14:textId="77777777" w:rsidTr="00D20468">
        <w:trPr>
          <w:trHeight w:val="304"/>
          <w:tblHeader/>
          <w:tblCellSpacing w:w="15" w:type="dxa"/>
        </w:trPr>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0CF2D143" w14:textId="77777777" w:rsidR="00156A23" w:rsidRPr="0053182F" w:rsidRDefault="00156A23" w:rsidP="00D20468"/>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5A52A485" w14:textId="77777777" w:rsidR="00156A23" w:rsidRPr="0053182F" w:rsidRDefault="00156A23" w:rsidP="00D20468">
            <w:pPr>
              <w:spacing w:after="0"/>
              <w:jc w:val="center"/>
              <w:rPr>
                <w:b/>
                <w:bCs/>
              </w:rPr>
            </w:pPr>
            <w:r w:rsidRPr="0053182F">
              <w:rPr>
                <w:b/>
                <w:bCs/>
              </w:rPr>
              <w:t>RL</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2F7E7076" w14:textId="77777777" w:rsidR="00156A23" w:rsidRPr="0053182F" w:rsidRDefault="00156A23" w:rsidP="00D20468">
            <w:pPr>
              <w:spacing w:after="0"/>
              <w:jc w:val="center"/>
              <w:rPr>
                <w:b/>
                <w:bCs/>
              </w:rPr>
            </w:pPr>
            <w:r w:rsidRPr="0053182F">
              <w:rPr>
                <w:b/>
                <w:bCs/>
              </w:rPr>
              <w:t>VA</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20AD3928" w14:textId="77777777" w:rsidR="00156A23" w:rsidRPr="0053182F" w:rsidRDefault="00156A23" w:rsidP="00D20468">
            <w:pPr>
              <w:spacing w:after="0"/>
              <w:jc w:val="center"/>
              <w:rPr>
                <w:b/>
                <w:bCs/>
              </w:rPr>
            </w:pPr>
            <w:r w:rsidRPr="0053182F">
              <w:rPr>
                <w:b/>
                <w:bCs/>
              </w:rPr>
              <w:t>RQ</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307688A7" w14:textId="77777777" w:rsidR="00156A23" w:rsidRPr="0053182F" w:rsidRDefault="00156A23" w:rsidP="00D20468">
            <w:pPr>
              <w:spacing w:after="0"/>
              <w:jc w:val="center"/>
              <w:rPr>
                <w:b/>
                <w:bCs/>
              </w:rPr>
            </w:pPr>
            <w:r w:rsidRPr="0053182F">
              <w:rPr>
                <w:b/>
                <w:bCs/>
              </w:rPr>
              <w:t>GE</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4E652F55" w14:textId="77777777" w:rsidR="00156A23" w:rsidRPr="0053182F" w:rsidRDefault="00156A23" w:rsidP="00D20468">
            <w:pPr>
              <w:spacing w:after="0"/>
              <w:jc w:val="center"/>
              <w:rPr>
                <w:b/>
                <w:bCs/>
              </w:rPr>
            </w:pPr>
            <w:r w:rsidRPr="0053182F">
              <w:rPr>
                <w:b/>
                <w:bCs/>
              </w:rPr>
              <w:t>CC</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1AD5A05B" w14:textId="77777777" w:rsidR="00156A23" w:rsidRPr="0053182F" w:rsidRDefault="00156A23" w:rsidP="00D20468">
            <w:pPr>
              <w:spacing w:after="0"/>
              <w:jc w:val="center"/>
              <w:rPr>
                <w:b/>
                <w:bCs/>
              </w:rPr>
            </w:pPr>
            <w:r w:rsidRPr="0053182F">
              <w:rPr>
                <w:b/>
                <w:bCs/>
              </w:rPr>
              <w:t>PS</w:t>
            </w:r>
          </w:p>
        </w:tc>
      </w:tr>
      <w:tr w:rsidR="00156A23" w:rsidRPr="0053182F" w14:paraId="2FCC9C18" w14:textId="77777777" w:rsidTr="00D20468">
        <w:trPr>
          <w:trHeight w:val="292"/>
          <w:tblCellSpacing w:w="15" w:type="dxa"/>
        </w:trPr>
        <w:tc>
          <w:tcPr>
            <w:tcW w:w="0" w:type="auto"/>
            <w:tcMar>
              <w:top w:w="15" w:type="dxa"/>
              <w:left w:w="15" w:type="dxa"/>
              <w:bottom w:w="15" w:type="dxa"/>
              <w:right w:w="15" w:type="dxa"/>
            </w:tcMar>
            <w:vAlign w:val="center"/>
            <w:hideMark/>
          </w:tcPr>
          <w:p w14:paraId="05C9F203" w14:textId="77777777" w:rsidR="00156A23" w:rsidRPr="0053182F" w:rsidRDefault="00156A23" w:rsidP="00D20468">
            <w:pPr>
              <w:spacing w:after="0"/>
            </w:pPr>
            <w:r w:rsidRPr="0053182F">
              <w:rPr>
                <w:b/>
                <w:bCs/>
              </w:rPr>
              <w:t>RL</w:t>
            </w:r>
          </w:p>
        </w:tc>
        <w:tc>
          <w:tcPr>
            <w:tcW w:w="0" w:type="auto"/>
            <w:tcMar>
              <w:top w:w="15" w:type="dxa"/>
              <w:left w:w="15" w:type="dxa"/>
              <w:bottom w:w="15" w:type="dxa"/>
              <w:right w:w="15" w:type="dxa"/>
            </w:tcMar>
            <w:vAlign w:val="center"/>
            <w:hideMark/>
          </w:tcPr>
          <w:p w14:paraId="2F5622D9" w14:textId="77777777" w:rsidR="00156A23" w:rsidRPr="0053182F" w:rsidRDefault="00156A23" w:rsidP="00D20468">
            <w:pPr>
              <w:spacing w:after="0"/>
            </w:pPr>
            <w:r w:rsidRPr="0053182F">
              <w:t>1.0000</w:t>
            </w:r>
          </w:p>
        </w:tc>
        <w:tc>
          <w:tcPr>
            <w:tcW w:w="0" w:type="auto"/>
            <w:tcMar>
              <w:top w:w="15" w:type="dxa"/>
              <w:left w:w="15" w:type="dxa"/>
              <w:bottom w:w="15" w:type="dxa"/>
              <w:right w:w="15" w:type="dxa"/>
            </w:tcMar>
            <w:vAlign w:val="center"/>
            <w:hideMark/>
          </w:tcPr>
          <w:p w14:paraId="1683BCCC" w14:textId="77777777" w:rsidR="00156A23" w:rsidRPr="0053182F" w:rsidRDefault="00156A23" w:rsidP="00D20468"/>
        </w:tc>
        <w:tc>
          <w:tcPr>
            <w:tcW w:w="0" w:type="auto"/>
            <w:tcMar>
              <w:top w:w="15" w:type="dxa"/>
              <w:left w:w="15" w:type="dxa"/>
              <w:bottom w:w="15" w:type="dxa"/>
              <w:right w:w="15" w:type="dxa"/>
            </w:tcMar>
            <w:vAlign w:val="center"/>
            <w:hideMark/>
          </w:tcPr>
          <w:p w14:paraId="56EE890B" w14:textId="77777777" w:rsidR="00156A23" w:rsidRPr="0053182F" w:rsidRDefault="00156A23" w:rsidP="00D20468">
            <w:pPr>
              <w:spacing w:after="0"/>
              <w:rPr>
                <w:color w:val="auto"/>
                <w:kern w:val="0"/>
                <w:sz w:val="20"/>
                <w:szCs w:val="20"/>
                <w:lang w:eastAsia="en-GB"/>
                <w14:ligatures w14:val="none"/>
              </w:rPr>
            </w:pPr>
          </w:p>
        </w:tc>
        <w:tc>
          <w:tcPr>
            <w:tcW w:w="0" w:type="auto"/>
            <w:tcMar>
              <w:top w:w="15" w:type="dxa"/>
              <w:left w:w="15" w:type="dxa"/>
              <w:bottom w:w="15" w:type="dxa"/>
              <w:right w:w="15" w:type="dxa"/>
            </w:tcMar>
            <w:vAlign w:val="center"/>
            <w:hideMark/>
          </w:tcPr>
          <w:p w14:paraId="180C47E9" w14:textId="77777777" w:rsidR="00156A23" w:rsidRPr="0053182F" w:rsidRDefault="00156A23" w:rsidP="00D20468">
            <w:pPr>
              <w:spacing w:after="0"/>
              <w:rPr>
                <w:color w:val="auto"/>
                <w:kern w:val="0"/>
                <w:sz w:val="20"/>
                <w:szCs w:val="20"/>
                <w:lang w:eastAsia="en-GB"/>
                <w14:ligatures w14:val="none"/>
              </w:rPr>
            </w:pPr>
          </w:p>
        </w:tc>
        <w:tc>
          <w:tcPr>
            <w:tcW w:w="0" w:type="auto"/>
            <w:tcMar>
              <w:top w:w="15" w:type="dxa"/>
              <w:left w:w="15" w:type="dxa"/>
              <w:bottom w:w="15" w:type="dxa"/>
              <w:right w:w="15" w:type="dxa"/>
            </w:tcMar>
            <w:vAlign w:val="center"/>
            <w:hideMark/>
          </w:tcPr>
          <w:p w14:paraId="2A2F721D" w14:textId="77777777" w:rsidR="00156A23" w:rsidRPr="0053182F" w:rsidRDefault="00156A23" w:rsidP="00D20468">
            <w:pPr>
              <w:spacing w:after="0"/>
              <w:rPr>
                <w:color w:val="auto"/>
                <w:kern w:val="0"/>
                <w:sz w:val="20"/>
                <w:szCs w:val="20"/>
                <w:lang w:eastAsia="en-GB"/>
                <w14:ligatures w14:val="none"/>
              </w:rPr>
            </w:pPr>
          </w:p>
        </w:tc>
        <w:tc>
          <w:tcPr>
            <w:tcW w:w="0" w:type="auto"/>
            <w:tcMar>
              <w:top w:w="15" w:type="dxa"/>
              <w:left w:w="15" w:type="dxa"/>
              <w:bottom w:w="15" w:type="dxa"/>
              <w:right w:w="15" w:type="dxa"/>
            </w:tcMar>
            <w:vAlign w:val="center"/>
            <w:hideMark/>
          </w:tcPr>
          <w:p w14:paraId="79398C69" w14:textId="77777777" w:rsidR="00156A23" w:rsidRPr="0053182F" w:rsidRDefault="00156A23" w:rsidP="00D20468">
            <w:pPr>
              <w:spacing w:after="0"/>
              <w:rPr>
                <w:color w:val="auto"/>
                <w:kern w:val="0"/>
                <w:sz w:val="20"/>
                <w:szCs w:val="20"/>
                <w:lang w:eastAsia="en-GB"/>
                <w14:ligatures w14:val="none"/>
              </w:rPr>
            </w:pPr>
          </w:p>
        </w:tc>
      </w:tr>
      <w:tr w:rsidR="00156A23" w:rsidRPr="0053182F" w14:paraId="6FFFDBB0" w14:textId="77777777" w:rsidTr="00D20468">
        <w:trPr>
          <w:trHeight w:val="292"/>
          <w:tblCellSpacing w:w="15" w:type="dxa"/>
        </w:trPr>
        <w:tc>
          <w:tcPr>
            <w:tcW w:w="0" w:type="auto"/>
            <w:tcMar>
              <w:top w:w="15" w:type="dxa"/>
              <w:left w:w="15" w:type="dxa"/>
              <w:bottom w:w="15" w:type="dxa"/>
              <w:right w:w="15" w:type="dxa"/>
            </w:tcMar>
            <w:vAlign w:val="center"/>
            <w:hideMark/>
          </w:tcPr>
          <w:p w14:paraId="578D199D" w14:textId="77777777" w:rsidR="00156A23" w:rsidRPr="0053182F" w:rsidRDefault="00156A23" w:rsidP="00D20468">
            <w:pPr>
              <w:spacing w:after="0"/>
            </w:pPr>
            <w:r w:rsidRPr="0053182F">
              <w:rPr>
                <w:b/>
                <w:bCs/>
              </w:rPr>
              <w:t>VA</w:t>
            </w:r>
          </w:p>
        </w:tc>
        <w:tc>
          <w:tcPr>
            <w:tcW w:w="0" w:type="auto"/>
            <w:tcMar>
              <w:top w:w="15" w:type="dxa"/>
              <w:left w:w="15" w:type="dxa"/>
              <w:bottom w:w="15" w:type="dxa"/>
              <w:right w:w="15" w:type="dxa"/>
            </w:tcMar>
            <w:vAlign w:val="center"/>
            <w:hideMark/>
          </w:tcPr>
          <w:p w14:paraId="5B1C6E28" w14:textId="77777777" w:rsidR="00156A23" w:rsidRPr="0053182F" w:rsidRDefault="00156A23" w:rsidP="00D20468">
            <w:pPr>
              <w:spacing w:after="0"/>
            </w:pPr>
            <w:r w:rsidRPr="0053182F">
              <w:t>0.7988*</w:t>
            </w:r>
          </w:p>
        </w:tc>
        <w:tc>
          <w:tcPr>
            <w:tcW w:w="0" w:type="auto"/>
            <w:tcMar>
              <w:top w:w="15" w:type="dxa"/>
              <w:left w:w="15" w:type="dxa"/>
              <w:bottom w:w="15" w:type="dxa"/>
              <w:right w:w="15" w:type="dxa"/>
            </w:tcMar>
            <w:vAlign w:val="center"/>
            <w:hideMark/>
          </w:tcPr>
          <w:p w14:paraId="6CBAD15D" w14:textId="77777777" w:rsidR="00156A23" w:rsidRPr="0053182F" w:rsidRDefault="00156A23" w:rsidP="00D20468">
            <w:pPr>
              <w:spacing w:after="0"/>
            </w:pPr>
            <w:r w:rsidRPr="0053182F">
              <w:t>1.0000</w:t>
            </w:r>
          </w:p>
        </w:tc>
        <w:tc>
          <w:tcPr>
            <w:tcW w:w="0" w:type="auto"/>
            <w:tcMar>
              <w:top w:w="15" w:type="dxa"/>
              <w:left w:w="15" w:type="dxa"/>
              <w:bottom w:w="15" w:type="dxa"/>
              <w:right w:w="15" w:type="dxa"/>
            </w:tcMar>
            <w:vAlign w:val="center"/>
            <w:hideMark/>
          </w:tcPr>
          <w:p w14:paraId="55FEDF02" w14:textId="77777777" w:rsidR="00156A23" w:rsidRPr="0053182F" w:rsidRDefault="00156A23" w:rsidP="00D20468"/>
        </w:tc>
        <w:tc>
          <w:tcPr>
            <w:tcW w:w="0" w:type="auto"/>
            <w:tcMar>
              <w:top w:w="15" w:type="dxa"/>
              <w:left w:w="15" w:type="dxa"/>
              <w:bottom w:w="15" w:type="dxa"/>
              <w:right w:w="15" w:type="dxa"/>
            </w:tcMar>
            <w:vAlign w:val="center"/>
            <w:hideMark/>
          </w:tcPr>
          <w:p w14:paraId="2DBE443E" w14:textId="77777777" w:rsidR="00156A23" w:rsidRPr="0053182F" w:rsidRDefault="00156A23" w:rsidP="00D20468">
            <w:pPr>
              <w:spacing w:after="0"/>
              <w:rPr>
                <w:color w:val="auto"/>
                <w:kern w:val="0"/>
                <w:sz w:val="20"/>
                <w:szCs w:val="20"/>
                <w:lang w:eastAsia="en-GB"/>
                <w14:ligatures w14:val="none"/>
              </w:rPr>
            </w:pPr>
          </w:p>
        </w:tc>
        <w:tc>
          <w:tcPr>
            <w:tcW w:w="0" w:type="auto"/>
            <w:tcMar>
              <w:top w:w="15" w:type="dxa"/>
              <w:left w:w="15" w:type="dxa"/>
              <w:bottom w:w="15" w:type="dxa"/>
              <w:right w:w="15" w:type="dxa"/>
            </w:tcMar>
            <w:vAlign w:val="center"/>
            <w:hideMark/>
          </w:tcPr>
          <w:p w14:paraId="774CC34E" w14:textId="77777777" w:rsidR="00156A23" w:rsidRPr="0053182F" w:rsidRDefault="00156A23" w:rsidP="00D20468">
            <w:pPr>
              <w:spacing w:after="0"/>
              <w:rPr>
                <w:color w:val="auto"/>
                <w:kern w:val="0"/>
                <w:sz w:val="20"/>
                <w:szCs w:val="20"/>
                <w:lang w:eastAsia="en-GB"/>
                <w14:ligatures w14:val="none"/>
              </w:rPr>
            </w:pPr>
          </w:p>
        </w:tc>
        <w:tc>
          <w:tcPr>
            <w:tcW w:w="0" w:type="auto"/>
            <w:tcMar>
              <w:top w:w="15" w:type="dxa"/>
              <w:left w:w="15" w:type="dxa"/>
              <w:bottom w:w="15" w:type="dxa"/>
              <w:right w:w="15" w:type="dxa"/>
            </w:tcMar>
            <w:vAlign w:val="center"/>
            <w:hideMark/>
          </w:tcPr>
          <w:p w14:paraId="56ED7DCC" w14:textId="77777777" w:rsidR="00156A23" w:rsidRPr="0053182F" w:rsidRDefault="00156A23" w:rsidP="00D20468">
            <w:pPr>
              <w:spacing w:after="0"/>
              <w:rPr>
                <w:color w:val="auto"/>
                <w:kern w:val="0"/>
                <w:sz w:val="20"/>
                <w:szCs w:val="20"/>
                <w:lang w:eastAsia="en-GB"/>
                <w14:ligatures w14:val="none"/>
              </w:rPr>
            </w:pPr>
          </w:p>
        </w:tc>
      </w:tr>
      <w:tr w:rsidR="00156A23" w:rsidRPr="0053182F" w14:paraId="430CD342" w14:textId="77777777" w:rsidTr="00D20468">
        <w:trPr>
          <w:trHeight w:val="292"/>
          <w:tblCellSpacing w:w="15" w:type="dxa"/>
        </w:trPr>
        <w:tc>
          <w:tcPr>
            <w:tcW w:w="0" w:type="auto"/>
            <w:tcMar>
              <w:top w:w="15" w:type="dxa"/>
              <w:left w:w="15" w:type="dxa"/>
              <w:bottom w:w="15" w:type="dxa"/>
              <w:right w:w="15" w:type="dxa"/>
            </w:tcMar>
            <w:vAlign w:val="center"/>
            <w:hideMark/>
          </w:tcPr>
          <w:p w14:paraId="459BF44F" w14:textId="77777777" w:rsidR="00156A23" w:rsidRPr="0053182F" w:rsidRDefault="00156A23" w:rsidP="00D20468">
            <w:pPr>
              <w:spacing w:after="0"/>
            </w:pPr>
            <w:r w:rsidRPr="0053182F">
              <w:rPr>
                <w:b/>
                <w:bCs/>
              </w:rPr>
              <w:t>RL</w:t>
            </w:r>
          </w:p>
        </w:tc>
        <w:tc>
          <w:tcPr>
            <w:tcW w:w="0" w:type="auto"/>
            <w:tcMar>
              <w:top w:w="15" w:type="dxa"/>
              <w:left w:w="15" w:type="dxa"/>
              <w:bottom w:w="15" w:type="dxa"/>
              <w:right w:w="15" w:type="dxa"/>
            </w:tcMar>
            <w:vAlign w:val="center"/>
            <w:hideMark/>
          </w:tcPr>
          <w:p w14:paraId="0AF860D4" w14:textId="77777777" w:rsidR="00156A23" w:rsidRPr="0053182F" w:rsidRDefault="00156A23" w:rsidP="00D20468">
            <w:pPr>
              <w:spacing w:after="0"/>
            </w:pPr>
            <w:r w:rsidRPr="0053182F">
              <w:t>0.9472*</w:t>
            </w:r>
          </w:p>
        </w:tc>
        <w:tc>
          <w:tcPr>
            <w:tcW w:w="0" w:type="auto"/>
            <w:tcMar>
              <w:top w:w="15" w:type="dxa"/>
              <w:left w:w="15" w:type="dxa"/>
              <w:bottom w:w="15" w:type="dxa"/>
              <w:right w:w="15" w:type="dxa"/>
            </w:tcMar>
            <w:vAlign w:val="center"/>
            <w:hideMark/>
          </w:tcPr>
          <w:p w14:paraId="75A76E98" w14:textId="77777777" w:rsidR="00156A23" w:rsidRPr="0053182F" w:rsidRDefault="00156A23" w:rsidP="00D20468">
            <w:pPr>
              <w:spacing w:after="0"/>
            </w:pPr>
            <w:r w:rsidRPr="0053182F">
              <w:t>0.8084*</w:t>
            </w:r>
          </w:p>
        </w:tc>
        <w:tc>
          <w:tcPr>
            <w:tcW w:w="0" w:type="auto"/>
            <w:tcMar>
              <w:top w:w="15" w:type="dxa"/>
              <w:left w:w="15" w:type="dxa"/>
              <w:bottom w:w="15" w:type="dxa"/>
              <w:right w:w="15" w:type="dxa"/>
            </w:tcMar>
            <w:vAlign w:val="center"/>
            <w:hideMark/>
          </w:tcPr>
          <w:p w14:paraId="334AA54C" w14:textId="77777777" w:rsidR="00156A23" w:rsidRPr="0053182F" w:rsidRDefault="00156A23" w:rsidP="00D20468">
            <w:pPr>
              <w:spacing w:after="0"/>
            </w:pPr>
            <w:r w:rsidRPr="0053182F">
              <w:t>1.0000</w:t>
            </w:r>
          </w:p>
        </w:tc>
        <w:tc>
          <w:tcPr>
            <w:tcW w:w="0" w:type="auto"/>
            <w:tcMar>
              <w:top w:w="15" w:type="dxa"/>
              <w:left w:w="15" w:type="dxa"/>
              <w:bottom w:w="15" w:type="dxa"/>
              <w:right w:w="15" w:type="dxa"/>
            </w:tcMar>
            <w:vAlign w:val="center"/>
            <w:hideMark/>
          </w:tcPr>
          <w:p w14:paraId="51B413A0" w14:textId="77777777" w:rsidR="00156A23" w:rsidRPr="0053182F" w:rsidRDefault="00156A23" w:rsidP="00D20468"/>
        </w:tc>
        <w:tc>
          <w:tcPr>
            <w:tcW w:w="0" w:type="auto"/>
            <w:tcMar>
              <w:top w:w="15" w:type="dxa"/>
              <w:left w:w="15" w:type="dxa"/>
              <w:bottom w:w="15" w:type="dxa"/>
              <w:right w:w="15" w:type="dxa"/>
            </w:tcMar>
            <w:vAlign w:val="center"/>
            <w:hideMark/>
          </w:tcPr>
          <w:p w14:paraId="0461B1C0" w14:textId="77777777" w:rsidR="00156A23" w:rsidRPr="0053182F" w:rsidRDefault="00156A23" w:rsidP="00D20468">
            <w:pPr>
              <w:spacing w:after="0"/>
              <w:rPr>
                <w:color w:val="auto"/>
                <w:kern w:val="0"/>
                <w:sz w:val="20"/>
                <w:szCs w:val="20"/>
                <w:lang w:eastAsia="en-GB"/>
                <w14:ligatures w14:val="none"/>
              </w:rPr>
            </w:pPr>
          </w:p>
        </w:tc>
        <w:tc>
          <w:tcPr>
            <w:tcW w:w="0" w:type="auto"/>
            <w:tcMar>
              <w:top w:w="15" w:type="dxa"/>
              <w:left w:w="15" w:type="dxa"/>
              <w:bottom w:w="15" w:type="dxa"/>
              <w:right w:w="15" w:type="dxa"/>
            </w:tcMar>
            <w:vAlign w:val="center"/>
            <w:hideMark/>
          </w:tcPr>
          <w:p w14:paraId="32ECD74F" w14:textId="77777777" w:rsidR="00156A23" w:rsidRPr="0053182F" w:rsidRDefault="00156A23" w:rsidP="00D20468">
            <w:pPr>
              <w:spacing w:after="0"/>
              <w:rPr>
                <w:color w:val="auto"/>
                <w:kern w:val="0"/>
                <w:sz w:val="20"/>
                <w:szCs w:val="20"/>
                <w:lang w:eastAsia="en-GB"/>
                <w14:ligatures w14:val="none"/>
              </w:rPr>
            </w:pPr>
          </w:p>
        </w:tc>
      </w:tr>
      <w:tr w:rsidR="00156A23" w:rsidRPr="0053182F" w14:paraId="2B2DAB64" w14:textId="77777777" w:rsidTr="00D20468">
        <w:trPr>
          <w:trHeight w:val="304"/>
          <w:tblCellSpacing w:w="15" w:type="dxa"/>
        </w:trPr>
        <w:tc>
          <w:tcPr>
            <w:tcW w:w="0" w:type="auto"/>
            <w:tcMar>
              <w:top w:w="15" w:type="dxa"/>
              <w:left w:w="15" w:type="dxa"/>
              <w:bottom w:w="15" w:type="dxa"/>
              <w:right w:w="15" w:type="dxa"/>
            </w:tcMar>
            <w:vAlign w:val="center"/>
            <w:hideMark/>
          </w:tcPr>
          <w:p w14:paraId="5E11517C" w14:textId="77777777" w:rsidR="00156A23" w:rsidRPr="0053182F" w:rsidRDefault="00156A23" w:rsidP="00D20468">
            <w:pPr>
              <w:spacing w:after="0"/>
            </w:pPr>
            <w:r w:rsidRPr="0053182F">
              <w:rPr>
                <w:b/>
                <w:bCs/>
              </w:rPr>
              <w:t>GE</w:t>
            </w:r>
          </w:p>
        </w:tc>
        <w:tc>
          <w:tcPr>
            <w:tcW w:w="0" w:type="auto"/>
            <w:tcMar>
              <w:top w:w="15" w:type="dxa"/>
              <w:left w:w="15" w:type="dxa"/>
              <w:bottom w:w="15" w:type="dxa"/>
              <w:right w:w="15" w:type="dxa"/>
            </w:tcMar>
            <w:vAlign w:val="center"/>
            <w:hideMark/>
          </w:tcPr>
          <w:p w14:paraId="596FD8F6" w14:textId="77777777" w:rsidR="00156A23" w:rsidRPr="0053182F" w:rsidRDefault="00156A23" w:rsidP="00D20468">
            <w:pPr>
              <w:spacing w:after="0"/>
            </w:pPr>
            <w:r w:rsidRPr="0053182F">
              <w:t>0.9559*</w:t>
            </w:r>
          </w:p>
        </w:tc>
        <w:tc>
          <w:tcPr>
            <w:tcW w:w="0" w:type="auto"/>
            <w:tcMar>
              <w:top w:w="15" w:type="dxa"/>
              <w:left w:w="15" w:type="dxa"/>
              <w:bottom w:w="15" w:type="dxa"/>
              <w:right w:w="15" w:type="dxa"/>
            </w:tcMar>
            <w:vAlign w:val="center"/>
            <w:hideMark/>
          </w:tcPr>
          <w:p w14:paraId="32E34A2E" w14:textId="77777777" w:rsidR="00156A23" w:rsidRPr="0053182F" w:rsidRDefault="00156A23" w:rsidP="00D20468">
            <w:pPr>
              <w:spacing w:after="0"/>
            </w:pPr>
            <w:r w:rsidRPr="0053182F">
              <w:t>0.7473*</w:t>
            </w:r>
          </w:p>
        </w:tc>
        <w:tc>
          <w:tcPr>
            <w:tcW w:w="0" w:type="auto"/>
            <w:tcMar>
              <w:top w:w="15" w:type="dxa"/>
              <w:left w:w="15" w:type="dxa"/>
              <w:bottom w:w="15" w:type="dxa"/>
              <w:right w:w="15" w:type="dxa"/>
            </w:tcMar>
            <w:vAlign w:val="center"/>
            <w:hideMark/>
          </w:tcPr>
          <w:p w14:paraId="54A1A75E" w14:textId="77777777" w:rsidR="00156A23" w:rsidRPr="0053182F" w:rsidRDefault="00156A23" w:rsidP="00D20468">
            <w:pPr>
              <w:spacing w:after="0"/>
            </w:pPr>
            <w:r w:rsidRPr="0053182F">
              <w:t>0.9421*</w:t>
            </w:r>
          </w:p>
        </w:tc>
        <w:tc>
          <w:tcPr>
            <w:tcW w:w="0" w:type="auto"/>
            <w:tcMar>
              <w:top w:w="15" w:type="dxa"/>
              <w:left w:w="15" w:type="dxa"/>
              <w:bottom w:w="15" w:type="dxa"/>
              <w:right w:w="15" w:type="dxa"/>
            </w:tcMar>
            <w:vAlign w:val="center"/>
            <w:hideMark/>
          </w:tcPr>
          <w:p w14:paraId="589EA720" w14:textId="77777777" w:rsidR="00156A23" w:rsidRPr="0053182F" w:rsidRDefault="00156A23" w:rsidP="00D20468">
            <w:pPr>
              <w:spacing w:after="0"/>
            </w:pPr>
            <w:r w:rsidRPr="0053182F">
              <w:t>1.0000</w:t>
            </w:r>
          </w:p>
        </w:tc>
        <w:tc>
          <w:tcPr>
            <w:tcW w:w="0" w:type="auto"/>
            <w:tcMar>
              <w:top w:w="15" w:type="dxa"/>
              <w:left w:w="15" w:type="dxa"/>
              <w:bottom w:w="15" w:type="dxa"/>
              <w:right w:w="15" w:type="dxa"/>
            </w:tcMar>
            <w:vAlign w:val="center"/>
            <w:hideMark/>
          </w:tcPr>
          <w:p w14:paraId="597E58A1" w14:textId="77777777" w:rsidR="00156A23" w:rsidRPr="0053182F" w:rsidRDefault="00156A23" w:rsidP="00D20468"/>
        </w:tc>
        <w:tc>
          <w:tcPr>
            <w:tcW w:w="0" w:type="auto"/>
            <w:tcMar>
              <w:top w:w="15" w:type="dxa"/>
              <w:left w:w="15" w:type="dxa"/>
              <w:bottom w:w="15" w:type="dxa"/>
              <w:right w:w="15" w:type="dxa"/>
            </w:tcMar>
            <w:vAlign w:val="center"/>
            <w:hideMark/>
          </w:tcPr>
          <w:p w14:paraId="5F1B08CE" w14:textId="77777777" w:rsidR="00156A23" w:rsidRPr="0053182F" w:rsidRDefault="00156A23" w:rsidP="00D20468">
            <w:pPr>
              <w:spacing w:after="0"/>
              <w:rPr>
                <w:color w:val="auto"/>
                <w:kern w:val="0"/>
                <w:sz w:val="20"/>
                <w:szCs w:val="20"/>
                <w:lang w:eastAsia="en-GB"/>
                <w14:ligatures w14:val="none"/>
              </w:rPr>
            </w:pPr>
          </w:p>
        </w:tc>
      </w:tr>
      <w:tr w:rsidR="00156A23" w:rsidRPr="0053182F" w14:paraId="00582652" w14:textId="77777777" w:rsidTr="00D20468">
        <w:trPr>
          <w:trHeight w:val="292"/>
          <w:tblCellSpacing w:w="15" w:type="dxa"/>
        </w:trPr>
        <w:tc>
          <w:tcPr>
            <w:tcW w:w="0" w:type="auto"/>
            <w:tcMar>
              <w:top w:w="15" w:type="dxa"/>
              <w:left w:w="15" w:type="dxa"/>
              <w:bottom w:w="15" w:type="dxa"/>
              <w:right w:w="15" w:type="dxa"/>
            </w:tcMar>
            <w:vAlign w:val="center"/>
            <w:hideMark/>
          </w:tcPr>
          <w:p w14:paraId="1214EC07" w14:textId="77777777" w:rsidR="00156A23" w:rsidRPr="0053182F" w:rsidRDefault="00156A23" w:rsidP="00D20468">
            <w:pPr>
              <w:spacing w:after="0"/>
            </w:pPr>
            <w:r w:rsidRPr="0053182F">
              <w:rPr>
                <w:b/>
                <w:bCs/>
              </w:rPr>
              <w:t>CC</w:t>
            </w:r>
          </w:p>
        </w:tc>
        <w:tc>
          <w:tcPr>
            <w:tcW w:w="0" w:type="auto"/>
            <w:tcMar>
              <w:top w:w="15" w:type="dxa"/>
              <w:left w:w="15" w:type="dxa"/>
              <w:bottom w:w="15" w:type="dxa"/>
              <w:right w:w="15" w:type="dxa"/>
            </w:tcMar>
            <w:vAlign w:val="center"/>
            <w:hideMark/>
          </w:tcPr>
          <w:p w14:paraId="47AF9412" w14:textId="77777777" w:rsidR="00156A23" w:rsidRPr="0053182F" w:rsidRDefault="00156A23" w:rsidP="00D20468">
            <w:pPr>
              <w:spacing w:after="0"/>
            </w:pPr>
            <w:r w:rsidRPr="0053182F">
              <w:t>0.9569*</w:t>
            </w:r>
          </w:p>
        </w:tc>
        <w:tc>
          <w:tcPr>
            <w:tcW w:w="0" w:type="auto"/>
            <w:tcMar>
              <w:top w:w="15" w:type="dxa"/>
              <w:left w:w="15" w:type="dxa"/>
              <w:bottom w:w="15" w:type="dxa"/>
              <w:right w:w="15" w:type="dxa"/>
            </w:tcMar>
            <w:vAlign w:val="center"/>
            <w:hideMark/>
          </w:tcPr>
          <w:p w14:paraId="35D053FA" w14:textId="77777777" w:rsidR="00156A23" w:rsidRPr="0053182F" w:rsidRDefault="00156A23" w:rsidP="00D20468">
            <w:pPr>
              <w:spacing w:after="0"/>
            </w:pPr>
            <w:r w:rsidRPr="0053182F">
              <w:t>0.7806*</w:t>
            </w:r>
          </w:p>
        </w:tc>
        <w:tc>
          <w:tcPr>
            <w:tcW w:w="0" w:type="auto"/>
            <w:tcMar>
              <w:top w:w="15" w:type="dxa"/>
              <w:left w:w="15" w:type="dxa"/>
              <w:bottom w:w="15" w:type="dxa"/>
              <w:right w:w="15" w:type="dxa"/>
            </w:tcMar>
            <w:vAlign w:val="center"/>
            <w:hideMark/>
          </w:tcPr>
          <w:p w14:paraId="143264B5" w14:textId="77777777" w:rsidR="00156A23" w:rsidRPr="0053182F" w:rsidRDefault="00156A23" w:rsidP="00D20468">
            <w:pPr>
              <w:spacing w:after="0"/>
            </w:pPr>
            <w:r w:rsidRPr="0053182F">
              <w:t>0.9119*</w:t>
            </w:r>
          </w:p>
        </w:tc>
        <w:tc>
          <w:tcPr>
            <w:tcW w:w="0" w:type="auto"/>
            <w:tcMar>
              <w:top w:w="15" w:type="dxa"/>
              <w:left w:w="15" w:type="dxa"/>
              <w:bottom w:w="15" w:type="dxa"/>
              <w:right w:w="15" w:type="dxa"/>
            </w:tcMar>
            <w:vAlign w:val="center"/>
            <w:hideMark/>
          </w:tcPr>
          <w:p w14:paraId="6C4E20C9" w14:textId="77777777" w:rsidR="00156A23" w:rsidRPr="0053182F" w:rsidRDefault="00156A23" w:rsidP="00D20468">
            <w:pPr>
              <w:spacing w:after="0"/>
            </w:pPr>
            <w:r w:rsidRPr="0053182F">
              <w:t>0.9322*</w:t>
            </w:r>
          </w:p>
        </w:tc>
        <w:tc>
          <w:tcPr>
            <w:tcW w:w="0" w:type="auto"/>
            <w:tcMar>
              <w:top w:w="15" w:type="dxa"/>
              <w:left w:w="15" w:type="dxa"/>
              <w:bottom w:w="15" w:type="dxa"/>
              <w:right w:w="15" w:type="dxa"/>
            </w:tcMar>
            <w:vAlign w:val="center"/>
            <w:hideMark/>
          </w:tcPr>
          <w:p w14:paraId="0C4C9F3B" w14:textId="77777777" w:rsidR="00156A23" w:rsidRPr="0053182F" w:rsidRDefault="00156A23" w:rsidP="00D20468">
            <w:pPr>
              <w:spacing w:after="0"/>
            </w:pPr>
            <w:r w:rsidRPr="0053182F">
              <w:t>1.0000</w:t>
            </w:r>
          </w:p>
        </w:tc>
        <w:tc>
          <w:tcPr>
            <w:tcW w:w="0" w:type="auto"/>
            <w:tcMar>
              <w:top w:w="15" w:type="dxa"/>
              <w:left w:w="15" w:type="dxa"/>
              <w:bottom w:w="15" w:type="dxa"/>
              <w:right w:w="15" w:type="dxa"/>
            </w:tcMar>
            <w:vAlign w:val="center"/>
            <w:hideMark/>
          </w:tcPr>
          <w:p w14:paraId="72855699" w14:textId="77777777" w:rsidR="00156A23" w:rsidRPr="0053182F" w:rsidRDefault="00156A23" w:rsidP="00D20468"/>
        </w:tc>
      </w:tr>
      <w:tr w:rsidR="00156A23" w:rsidRPr="0053182F" w14:paraId="0AA4E67B" w14:textId="77777777" w:rsidTr="00D20468">
        <w:trPr>
          <w:trHeight w:val="304"/>
          <w:tblCellSpacing w:w="15" w:type="dxa"/>
        </w:trPr>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50C2B948" w14:textId="77777777" w:rsidR="00156A23" w:rsidRPr="0053182F" w:rsidRDefault="00156A23" w:rsidP="00D20468">
            <w:pPr>
              <w:spacing w:after="0"/>
            </w:pPr>
            <w:r w:rsidRPr="0053182F">
              <w:rPr>
                <w:b/>
                <w:bCs/>
              </w:rPr>
              <w:t>PS</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594AE06A" w14:textId="77777777" w:rsidR="00156A23" w:rsidRPr="0053182F" w:rsidRDefault="00156A23" w:rsidP="00D20468">
            <w:pPr>
              <w:spacing w:after="0"/>
            </w:pPr>
            <w:r w:rsidRPr="0053182F">
              <w:t>0.7767*</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289021E5" w14:textId="77777777" w:rsidR="00156A23" w:rsidRPr="0053182F" w:rsidRDefault="00156A23" w:rsidP="00D20468">
            <w:pPr>
              <w:spacing w:after="0"/>
            </w:pPr>
            <w:r w:rsidRPr="0053182F">
              <w:t>0.6622*</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3C710A6F" w14:textId="77777777" w:rsidR="00156A23" w:rsidRPr="0053182F" w:rsidRDefault="00156A23" w:rsidP="00D20468">
            <w:pPr>
              <w:spacing w:after="0"/>
            </w:pPr>
            <w:r w:rsidRPr="0053182F">
              <w:t>0.7232*</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57AA1FA9" w14:textId="77777777" w:rsidR="00156A23" w:rsidRPr="0053182F" w:rsidRDefault="00156A23" w:rsidP="00D20468">
            <w:pPr>
              <w:spacing w:after="0"/>
            </w:pPr>
            <w:r w:rsidRPr="0053182F">
              <w:t>0.7661*</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348D8058" w14:textId="77777777" w:rsidR="00156A23" w:rsidRPr="0053182F" w:rsidRDefault="00156A23" w:rsidP="00D20468">
            <w:pPr>
              <w:spacing w:after="0"/>
            </w:pPr>
            <w:r w:rsidRPr="0053182F">
              <w:t>0.7553*</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338183AA" w14:textId="77777777" w:rsidR="00156A23" w:rsidRPr="0053182F" w:rsidRDefault="00156A23" w:rsidP="00D20468">
            <w:pPr>
              <w:spacing w:after="0"/>
            </w:pPr>
            <w:r w:rsidRPr="0053182F">
              <w:t>1.0000</w:t>
            </w:r>
          </w:p>
        </w:tc>
      </w:tr>
    </w:tbl>
    <w:p w14:paraId="732AA85D" w14:textId="77777777" w:rsidR="00156A23" w:rsidRPr="0053182F" w:rsidRDefault="00156A23" w:rsidP="00156A23">
      <w:pPr>
        <w:spacing w:after="100" w:afterAutospacing="1"/>
        <w:jc w:val="both"/>
        <w:rPr>
          <w:sz w:val="18"/>
          <w:szCs w:val="18"/>
        </w:rPr>
      </w:pPr>
      <w:r w:rsidRPr="0053182F">
        <w:rPr>
          <w:b/>
          <w:bCs/>
          <w:sz w:val="18"/>
          <w:szCs w:val="18"/>
        </w:rPr>
        <w:t>Note:</w:t>
      </w:r>
      <w:r w:rsidRPr="0053182F">
        <w:rPr>
          <w:sz w:val="18"/>
          <w:szCs w:val="18"/>
        </w:rPr>
        <w:t xml:space="preserve"> All variables are fully defined in Table 7.2 *** p value &lt;0.01.  **p value &lt; 0.05. * p value &lt;0.1</w:t>
      </w:r>
    </w:p>
    <w:p w14:paraId="4689F404" w14:textId="77777777" w:rsidR="00156A23" w:rsidRPr="0053182F" w:rsidRDefault="00156A23" w:rsidP="00156A23">
      <w:pPr>
        <w:spacing w:before="100" w:beforeAutospacing="1" w:after="100" w:afterAutospacing="1" w:line="480" w:lineRule="auto"/>
        <w:ind w:firstLine="720"/>
        <w:jc w:val="both"/>
      </w:pPr>
      <w:r w:rsidRPr="0053182F">
        <w:t xml:space="preserve">In line with Moussa </w:t>
      </w:r>
      <w:r w:rsidRPr="0053182F">
        <w:rPr>
          <w:i/>
          <w:iCs/>
        </w:rPr>
        <w:t>et al</w:t>
      </w:r>
      <w:r w:rsidRPr="0053182F">
        <w:t xml:space="preserve">. (2022) and </w:t>
      </w:r>
      <w:sdt>
        <w:sdtPr>
          <w:tag w:val="MENDELEY_CITATION_v3_eyJjaXRhdGlvbklEIjoiTUVOREVMRVlfQ0lUQVRJT05fOTlmODNiYjctNTc2My00YWQwLTgyYTctZmYyNGRhZTE0MTNkIiwicHJvcGVydGllcyI6eyJub3RlSW5kZXgiOjB9LCJpc0VkaXRlZCI6ZmFsc2UsIm1hbnVhbE92ZXJyaWRlIjp7ImlzTWFudWFsbHlPdmVycmlkZGVuIjp0cnVlLCJjaXRlcHJvY1RleHQiOiIoSGVsZmF5YSA8aT5ldCBhbC48L2k+LCAyMDI1KSIsIm1hbnVhbE92ZXJyaWRlVGV4dCI6IkhlbGZheWEgZXQgYWwuICgyMDI1KSJ9LCJjaXRhdGlvbkl0ZW1zIjpb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
          <w:id w:val="212319270"/>
          <w:placeholder>
            <w:docPart w:val="2B7A76492A93489293A832AADE3970B5"/>
          </w:placeholder>
        </w:sdtPr>
        <w:sdtContent>
          <w:r w:rsidRPr="0053182F">
            <w:rPr>
              <w:rFonts w:eastAsia="Times New Roman"/>
            </w:rPr>
            <w:t>Helfaya et al. (2025)</w:t>
          </w:r>
        </w:sdtContent>
      </w:sdt>
      <w:r w:rsidRPr="0053182F">
        <w:t xml:space="preserve">, this study assessed the internal consistency of the six institutional dimensions comprising the IEQ construct using Cronbach’s alpha. To further validate the structure and reduce dimensionality, we conducted a </w:t>
      </w:r>
      <w:r w:rsidRPr="0053182F">
        <w:rPr>
          <w:rStyle w:val="Strong"/>
          <w:rFonts w:eastAsiaTheme="majorEastAsia"/>
          <w:b w:val="0"/>
          <w:bCs w:val="0"/>
        </w:rPr>
        <w:t>Principal Component Analysis (PCA)</w:t>
      </w:r>
      <w:r w:rsidRPr="0053182F">
        <w:rPr>
          <w:b/>
          <w:bCs/>
        </w:rPr>
        <w:t>,</w:t>
      </w:r>
      <w:r w:rsidRPr="0053182F">
        <w:t xml:space="preserve"> consistent with previous research (e.g., Elamer </w:t>
      </w:r>
      <w:r w:rsidRPr="0053182F">
        <w:rPr>
          <w:i/>
          <w:iCs/>
        </w:rPr>
        <w:t>et al</w:t>
      </w:r>
      <w:r w:rsidRPr="0053182F">
        <w:t>., 2020; Tunyi and Ntim, 2016). The PCA results, shown in Table 7.4, indicate that the first principal component (Comp1) explains approximately 86.2% of the total variance, with all six indicators loading strongly and positively on it. Specifically, rule of law (0.431), regulatory quality (0.423), government effectiveness (0.424), and control of corruption (0.423) showed particularly strong loadings, reinforcing the integrative nature of the underlying governance construct.</w:t>
      </w:r>
    </w:p>
    <w:p w14:paraId="35631D96" w14:textId="77777777" w:rsidR="00156A23" w:rsidRPr="0053182F" w:rsidRDefault="00156A23" w:rsidP="00156A23">
      <w:pPr>
        <w:spacing w:after="0" w:line="480" w:lineRule="auto"/>
        <w:ind w:firstLine="720"/>
        <w:jc w:val="both"/>
      </w:pPr>
      <w:r w:rsidRPr="0053182F">
        <w:t xml:space="preserve">The </w:t>
      </w:r>
      <w:r w:rsidRPr="0053182F">
        <w:rPr>
          <w:rStyle w:val="Strong"/>
          <w:b w:val="0"/>
          <w:bCs w:val="0"/>
        </w:rPr>
        <w:t>Kaiser-Meyer-Olkin (KMO) values</w:t>
      </w:r>
      <w:r w:rsidRPr="0053182F">
        <w:t xml:space="preserve"> for individual variables range from</w:t>
      </w:r>
      <w:r w:rsidRPr="0053182F">
        <w:rPr>
          <w:b/>
          <w:bCs/>
        </w:rPr>
        <w:t xml:space="preserve"> </w:t>
      </w:r>
      <w:r w:rsidRPr="0053182F">
        <w:rPr>
          <w:rStyle w:val="Strong"/>
          <w:b w:val="0"/>
          <w:bCs w:val="0"/>
        </w:rPr>
        <w:t>0.877 (RL)</w:t>
      </w:r>
      <w:r w:rsidRPr="0053182F">
        <w:rPr>
          <w:b/>
          <w:bCs/>
        </w:rPr>
        <w:t xml:space="preserve"> </w:t>
      </w:r>
      <w:r w:rsidRPr="0053182F">
        <w:t xml:space="preserve">to </w:t>
      </w:r>
      <w:r w:rsidRPr="0053182F">
        <w:rPr>
          <w:rStyle w:val="Strong"/>
          <w:b w:val="0"/>
          <w:bCs w:val="0"/>
        </w:rPr>
        <w:t>0.956 (PS)</w:t>
      </w:r>
      <w:r w:rsidRPr="0053182F">
        <w:rPr>
          <w:b/>
          <w:bCs/>
        </w:rPr>
        <w:t xml:space="preserve">, </w:t>
      </w:r>
      <w:r w:rsidRPr="0053182F">
        <w:t xml:space="preserve">with an </w:t>
      </w:r>
      <w:r w:rsidRPr="0053182F">
        <w:rPr>
          <w:rStyle w:val="Strong"/>
          <w:b w:val="0"/>
          <w:bCs w:val="0"/>
        </w:rPr>
        <w:t>overall KMO of 0.903</w:t>
      </w:r>
      <w:r w:rsidRPr="0053182F">
        <w:rPr>
          <w:b/>
          <w:bCs/>
        </w:rPr>
        <w:t>,</w:t>
      </w:r>
      <w:r w:rsidRPr="0053182F">
        <w:t xml:space="preserve"> suggesting </w:t>
      </w:r>
      <w:r w:rsidRPr="0053182F">
        <w:rPr>
          <w:rStyle w:val="Strong"/>
          <w:b w:val="0"/>
          <w:bCs w:val="0"/>
        </w:rPr>
        <w:t xml:space="preserve">excellent sampling adequacy, which is above the recommended threshold of PCA of 0.5 </w:t>
      </w:r>
      <w:sdt>
        <w:sdtPr>
          <w:rPr>
            <w:rStyle w:val="Strong"/>
            <w:b w:val="0"/>
            <w:bCs w:val="0"/>
          </w:rPr>
          <w:tag w:val="MENDELEY_CITATION_v3_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LCJjb250YWluZXItdGl0bGUtc2hvcnQiOiJCdXMgU29j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
          <w:id w:val="-163786731"/>
          <w:placeholder>
            <w:docPart w:val="4FE1B0F4BA304173BEED0CF8EC1CF89E"/>
          </w:placeholder>
        </w:sdtPr>
        <w:sdtContent>
          <w:r w:rsidRPr="0053182F">
            <w:rPr>
              <w:rStyle w:val="Strong"/>
              <w:b w:val="0"/>
              <w:bCs w:val="0"/>
            </w:rPr>
            <w:t>(Elamer et al., 2020; Moussa et al., 2022; Helfaya et al., 2025)</w:t>
          </w:r>
        </w:sdtContent>
      </w:sdt>
      <w:r w:rsidRPr="0053182F">
        <w:rPr>
          <w:b/>
          <w:bCs/>
        </w:rPr>
        <w:t>.</w:t>
      </w:r>
      <w:r w:rsidRPr="0053182F">
        <w:t xml:space="preserve"> This is further supported by the </w:t>
      </w:r>
      <w:r w:rsidRPr="0053182F">
        <w:rPr>
          <w:rStyle w:val="Strong"/>
          <w:b w:val="0"/>
          <w:bCs w:val="0"/>
        </w:rPr>
        <w:t xml:space="preserve">absence of unexplained variance </w:t>
      </w:r>
      <w:r w:rsidRPr="0053182F">
        <w:t xml:space="preserve">across all variables in the PCA, indicating a strong factor structure with minimal residuals </w:t>
      </w:r>
      <w:sdt>
        <w:sdtPr>
          <w:tag w:val="MENDELEY_CITATION_v3_eyJjaXRhdGlvbklEIjoiTUVOREVMRVlfQ0lUQVRJT05fMjE2ZWVkOWYtYmY2Yy00MzdkLWFmOWEtMmZiMmRmZmZmYjUwIiwicHJvcGVydGllcyI6eyJub3RlSW5kZXgiOjB9LCJpc0VkaXRlZCI6ZmFsc2UsIm1hbnVhbE92ZXJyaWRlIjp7ImlzTWFudWFsbHlPdmVycmlkZGVuIjp0cnVlLCJjaXRlcHJvY1RleHQiOiIoSGVsZmF5YSA8aT5ldCBhbC48L2k+LCAyMDI1OyBNb3Vzc2EgPGk+ZXQgYWwuPC9pPiwgMjAyMikiLCJtYW51YWxPdmVycmlkZVRleHQiOiIoTW91c3NhIGV0IGFsLiwgMjAyMjsgSGVsZmF5YSBldCBhbC4sIDIwMjUp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
          <w:id w:val="-1812479652"/>
          <w:placeholder>
            <w:docPart w:val="551791ABF7D8441FA148437F319D56AE"/>
          </w:placeholder>
        </w:sdtPr>
        <w:sdtContent>
          <w:r w:rsidRPr="0053182F">
            <w:rPr>
              <w:rFonts w:eastAsia="Times New Roman"/>
            </w:rPr>
            <w:t>(Moussa et al., 2022; Helfaya et al., 2025)</w:t>
          </w:r>
        </w:sdtContent>
      </w:sdt>
      <w:r w:rsidRPr="0053182F">
        <w:t>. Individual KMO scores for each dimension also exceeded 0.87, further confirming the data's factorability. Based on these results, we retained the</w:t>
      </w:r>
      <w:r w:rsidRPr="0053182F">
        <w:rPr>
          <w:b/>
          <w:bCs/>
        </w:rPr>
        <w:t xml:space="preserve"> </w:t>
      </w:r>
      <w:r w:rsidRPr="0053182F">
        <w:rPr>
          <w:rStyle w:val="Strong"/>
          <w:rFonts w:eastAsiaTheme="majorEastAsia"/>
          <w:b w:val="0"/>
          <w:bCs w:val="0"/>
        </w:rPr>
        <w:t>first principal component</w:t>
      </w:r>
      <w:r w:rsidRPr="0053182F">
        <w:t xml:space="preserve"> to construct a </w:t>
      </w:r>
      <w:r w:rsidRPr="0053182F">
        <w:rPr>
          <w:rStyle w:val="Strong"/>
          <w:rFonts w:eastAsiaTheme="majorEastAsia"/>
          <w:b w:val="0"/>
          <w:bCs w:val="0"/>
        </w:rPr>
        <w:t>composite IEQ index</w:t>
      </w:r>
      <w:r w:rsidRPr="0053182F">
        <w:rPr>
          <w:b/>
          <w:bCs/>
        </w:rPr>
        <w:t>,</w:t>
      </w:r>
      <w:r w:rsidRPr="0053182F">
        <w:t xml:space="preserve"> which serves as the primary institutional variable in our subsequent regression analyses. This approach enhances both the parsimony and interpretability of the institutional construct used in the study.</w:t>
      </w:r>
    </w:p>
    <w:p w14:paraId="3672DF0E" w14:textId="77777777" w:rsidR="00156A23" w:rsidRPr="0053182F" w:rsidRDefault="00156A23" w:rsidP="00156A23">
      <w:pPr>
        <w:pStyle w:val="Caption"/>
      </w:pPr>
      <w:r w:rsidRPr="0053182F">
        <w:rPr>
          <w:b/>
          <w:bCs/>
        </w:rPr>
        <w:t>Table 7:4:</w:t>
      </w:r>
      <w:r w:rsidRPr="0053182F">
        <w:t xml:space="preserve"> PCA (eigenvectors) and diagnostics of the IEQ’s dimensions</w:t>
      </w:r>
    </w:p>
    <w:tbl>
      <w:tblPr>
        <w:tblpPr w:leftFromText="180" w:rightFromText="180" w:bottomFromText="160" w:vertAnchor="text" w:horzAnchor="margin" w:tblpY="187"/>
        <w:tblW w:w="9451" w:type="dxa"/>
        <w:tblBorders>
          <w:bottom w:val="single" w:sz="4" w:space="0" w:color="auto"/>
        </w:tblBorders>
        <w:tblLook w:val="04A0" w:firstRow="1" w:lastRow="0" w:firstColumn="1" w:lastColumn="0" w:noHBand="0" w:noVBand="1"/>
      </w:tblPr>
      <w:tblGrid>
        <w:gridCol w:w="1255"/>
        <w:gridCol w:w="953"/>
        <w:gridCol w:w="953"/>
        <w:gridCol w:w="953"/>
        <w:gridCol w:w="953"/>
        <w:gridCol w:w="953"/>
        <w:gridCol w:w="953"/>
        <w:gridCol w:w="1525"/>
        <w:gridCol w:w="953"/>
      </w:tblGrid>
      <w:tr w:rsidR="00156A23" w:rsidRPr="0053182F" w14:paraId="6CECC0D7" w14:textId="77777777" w:rsidTr="00D20468">
        <w:trPr>
          <w:trHeight w:val="600"/>
        </w:trPr>
        <w:tc>
          <w:tcPr>
            <w:tcW w:w="1255" w:type="dxa"/>
            <w:tcBorders>
              <w:top w:val="single" w:sz="4" w:space="0" w:color="auto"/>
              <w:left w:val="nil"/>
              <w:bottom w:val="single" w:sz="4" w:space="0" w:color="auto"/>
              <w:right w:val="nil"/>
            </w:tcBorders>
            <w:vAlign w:val="center"/>
            <w:hideMark/>
          </w:tcPr>
          <w:p w14:paraId="6FE3F493" w14:textId="77777777" w:rsidR="00156A23" w:rsidRPr="0053182F" w:rsidRDefault="00156A23" w:rsidP="00D20468">
            <w:pPr>
              <w:spacing w:after="0" w:line="240" w:lineRule="auto"/>
              <w:jc w:val="center"/>
              <w:rPr>
                <w:b/>
                <w:bCs/>
                <w:sz w:val="22"/>
                <w:szCs w:val="22"/>
              </w:rPr>
            </w:pPr>
            <w:r w:rsidRPr="0053182F">
              <w:rPr>
                <w:b/>
                <w:bCs/>
                <w:sz w:val="22"/>
                <w:szCs w:val="22"/>
              </w:rPr>
              <w:t>Variable</w:t>
            </w:r>
          </w:p>
        </w:tc>
        <w:tc>
          <w:tcPr>
            <w:tcW w:w="953" w:type="dxa"/>
            <w:tcBorders>
              <w:top w:val="single" w:sz="4" w:space="0" w:color="auto"/>
              <w:left w:val="nil"/>
              <w:bottom w:val="single" w:sz="4" w:space="0" w:color="auto"/>
              <w:right w:val="nil"/>
            </w:tcBorders>
            <w:vAlign w:val="center"/>
            <w:hideMark/>
          </w:tcPr>
          <w:p w14:paraId="172A991A" w14:textId="77777777" w:rsidR="00156A23" w:rsidRPr="0053182F" w:rsidRDefault="00156A23" w:rsidP="00D20468">
            <w:pPr>
              <w:spacing w:after="0" w:line="240" w:lineRule="auto"/>
              <w:jc w:val="center"/>
              <w:rPr>
                <w:b/>
                <w:bCs/>
                <w:sz w:val="22"/>
                <w:szCs w:val="22"/>
              </w:rPr>
            </w:pPr>
            <w:r w:rsidRPr="0053182F">
              <w:rPr>
                <w:b/>
                <w:bCs/>
                <w:sz w:val="22"/>
                <w:szCs w:val="22"/>
              </w:rPr>
              <w:t>Comp1</w:t>
            </w:r>
          </w:p>
        </w:tc>
        <w:tc>
          <w:tcPr>
            <w:tcW w:w="953" w:type="dxa"/>
            <w:tcBorders>
              <w:top w:val="single" w:sz="4" w:space="0" w:color="auto"/>
              <w:left w:val="nil"/>
              <w:bottom w:val="single" w:sz="4" w:space="0" w:color="auto"/>
              <w:right w:val="nil"/>
            </w:tcBorders>
            <w:vAlign w:val="center"/>
            <w:hideMark/>
          </w:tcPr>
          <w:p w14:paraId="58402AEC" w14:textId="77777777" w:rsidR="00156A23" w:rsidRPr="0053182F" w:rsidRDefault="00156A23" w:rsidP="00D20468">
            <w:pPr>
              <w:spacing w:after="0" w:line="240" w:lineRule="auto"/>
              <w:jc w:val="center"/>
              <w:rPr>
                <w:b/>
                <w:bCs/>
                <w:sz w:val="22"/>
                <w:szCs w:val="22"/>
              </w:rPr>
            </w:pPr>
            <w:r w:rsidRPr="0053182F">
              <w:rPr>
                <w:b/>
                <w:bCs/>
                <w:sz w:val="22"/>
                <w:szCs w:val="22"/>
              </w:rPr>
              <w:t>Comp2</w:t>
            </w:r>
          </w:p>
        </w:tc>
        <w:tc>
          <w:tcPr>
            <w:tcW w:w="953" w:type="dxa"/>
            <w:tcBorders>
              <w:top w:val="single" w:sz="4" w:space="0" w:color="auto"/>
              <w:left w:val="nil"/>
              <w:bottom w:val="single" w:sz="4" w:space="0" w:color="auto"/>
              <w:right w:val="nil"/>
            </w:tcBorders>
            <w:vAlign w:val="center"/>
            <w:hideMark/>
          </w:tcPr>
          <w:p w14:paraId="30BB8D95" w14:textId="77777777" w:rsidR="00156A23" w:rsidRPr="0053182F" w:rsidRDefault="00156A23" w:rsidP="00D20468">
            <w:pPr>
              <w:spacing w:after="0" w:line="240" w:lineRule="auto"/>
              <w:jc w:val="center"/>
              <w:rPr>
                <w:b/>
                <w:bCs/>
                <w:sz w:val="22"/>
                <w:szCs w:val="22"/>
              </w:rPr>
            </w:pPr>
            <w:r w:rsidRPr="0053182F">
              <w:rPr>
                <w:b/>
                <w:bCs/>
                <w:sz w:val="22"/>
                <w:szCs w:val="22"/>
              </w:rPr>
              <w:t>Comp3</w:t>
            </w:r>
          </w:p>
        </w:tc>
        <w:tc>
          <w:tcPr>
            <w:tcW w:w="953" w:type="dxa"/>
            <w:tcBorders>
              <w:top w:val="single" w:sz="4" w:space="0" w:color="auto"/>
              <w:left w:val="nil"/>
              <w:bottom w:val="single" w:sz="4" w:space="0" w:color="auto"/>
              <w:right w:val="nil"/>
            </w:tcBorders>
            <w:vAlign w:val="center"/>
            <w:hideMark/>
          </w:tcPr>
          <w:p w14:paraId="26334B8C" w14:textId="77777777" w:rsidR="00156A23" w:rsidRPr="0053182F" w:rsidRDefault="00156A23" w:rsidP="00D20468">
            <w:pPr>
              <w:spacing w:after="0" w:line="240" w:lineRule="auto"/>
              <w:jc w:val="center"/>
              <w:rPr>
                <w:b/>
                <w:bCs/>
                <w:sz w:val="22"/>
                <w:szCs w:val="22"/>
              </w:rPr>
            </w:pPr>
            <w:r w:rsidRPr="0053182F">
              <w:rPr>
                <w:b/>
                <w:bCs/>
                <w:sz w:val="22"/>
                <w:szCs w:val="22"/>
              </w:rPr>
              <w:t>Comp4</w:t>
            </w:r>
          </w:p>
        </w:tc>
        <w:tc>
          <w:tcPr>
            <w:tcW w:w="953" w:type="dxa"/>
            <w:tcBorders>
              <w:top w:val="single" w:sz="4" w:space="0" w:color="auto"/>
              <w:left w:val="nil"/>
              <w:bottom w:val="single" w:sz="4" w:space="0" w:color="auto"/>
              <w:right w:val="nil"/>
            </w:tcBorders>
            <w:vAlign w:val="center"/>
            <w:hideMark/>
          </w:tcPr>
          <w:p w14:paraId="18E5F91A" w14:textId="77777777" w:rsidR="00156A23" w:rsidRPr="0053182F" w:rsidRDefault="00156A23" w:rsidP="00D20468">
            <w:pPr>
              <w:spacing w:after="0" w:line="240" w:lineRule="auto"/>
              <w:jc w:val="center"/>
              <w:rPr>
                <w:b/>
                <w:bCs/>
                <w:sz w:val="22"/>
                <w:szCs w:val="22"/>
              </w:rPr>
            </w:pPr>
            <w:r w:rsidRPr="0053182F">
              <w:rPr>
                <w:b/>
                <w:bCs/>
                <w:sz w:val="22"/>
                <w:szCs w:val="22"/>
              </w:rPr>
              <w:t>Comp5</w:t>
            </w:r>
          </w:p>
        </w:tc>
        <w:tc>
          <w:tcPr>
            <w:tcW w:w="953" w:type="dxa"/>
            <w:tcBorders>
              <w:top w:val="single" w:sz="4" w:space="0" w:color="auto"/>
              <w:left w:val="nil"/>
              <w:bottom w:val="single" w:sz="4" w:space="0" w:color="auto"/>
              <w:right w:val="nil"/>
            </w:tcBorders>
            <w:vAlign w:val="center"/>
            <w:hideMark/>
          </w:tcPr>
          <w:p w14:paraId="4992199C" w14:textId="77777777" w:rsidR="00156A23" w:rsidRPr="0053182F" w:rsidRDefault="00156A23" w:rsidP="00D20468">
            <w:pPr>
              <w:spacing w:after="0" w:line="240" w:lineRule="auto"/>
              <w:jc w:val="center"/>
              <w:rPr>
                <w:b/>
                <w:bCs/>
                <w:sz w:val="22"/>
                <w:szCs w:val="22"/>
              </w:rPr>
            </w:pPr>
            <w:r w:rsidRPr="0053182F">
              <w:rPr>
                <w:b/>
                <w:bCs/>
                <w:sz w:val="22"/>
                <w:szCs w:val="22"/>
              </w:rPr>
              <w:t>Comp6</w:t>
            </w:r>
          </w:p>
        </w:tc>
        <w:tc>
          <w:tcPr>
            <w:tcW w:w="1525" w:type="dxa"/>
            <w:tcBorders>
              <w:top w:val="single" w:sz="4" w:space="0" w:color="auto"/>
              <w:left w:val="nil"/>
              <w:bottom w:val="single" w:sz="4" w:space="0" w:color="auto"/>
              <w:right w:val="nil"/>
            </w:tcBorders>
            <w:vAlign w:val="center"/>
            <w:hideMark/>
          </w:tcPr>
          <w:p w14:paraId="04ED543C" w14:textId="77777777" w:rsidR="00156A23" w:rsidRPr="0053182F" w:rsidRDefault="00156A23" w:rsidP="00D20468">
            <w:pPr>
              <w:spacing w:after="0" w:line="240" w:lineRule="auto"/>
              <w:jc w:val="center"/>
              <w:rPr>
                <w:b/>
                <w:bCs/>
                <w:sz w:val="22"/>
                <w:szCs w:val="22"/>
              </w:rPr>
            </w:pPr>
            <w:r w:rsidRPr="0053182F">
              <w:rPr>
                <w:b/>
                <w:bCs/>
                <w:sz w:val="22"/>
                <w:szCs w:val="22"/>
              </w:rPr>
              <w:t>Unexplained</w:t>
            </w:r>
          </w:p>
        </w:tc>
        <w:tc>
          <w:tcPr>
            <w:tcW w:w="953" w:type="dxa"/>
            <w:tcBorders>
              <w:top w:val="single" w:sz="4" w:space="0" w:color="auto"/>
              <w:left w:val="nil"/>
              <w:bottom w:val="single" w:sz="4" w:space="0" w:color="auto"/>
              <w:right w:val="nil"/>
            </w:tcBorders>
            <w:vAlign w:val="center"/>
            <w:hideMark/>
          </w:tcPr>
          <w:p w14:paraId="1FC53E1E" w14:textId="77777777" w:rsidR="00156A23" w:rsidRPr="0053182F" w:rsidRDefault="00156A23" w:rsidP="00D20468">
            <w:pPr>
              <w:spacing w:after="0" w:line="240" w:lineRule="auto"/>
              <w:jc w:val="center"/>
              <w:rPr>
                <w:b/>
                <w:bCs/>
                <w:sz w:val="22"/>
                <w:szCs w:val="22"/>
              </w:rPr>
            </w:pPr>
            <w:r w:rsidRPr="0053182F">
              <w:rPr>
                <w:b/>
                <w:bCs/>
                <w:sz w:val="22"/>
                <w:szCs w:val="22"/>
              </w:rPr>
              <w:t>KMO</w:t>
            </w:r>
          </w:p>
        </w:tc>
      </w:tr>
      <w:tr w:rsidR="00156A23" w:rsidRPr="0053182F" w14:paraId="3BC539B4" w14:textId="77777777" w:rsidTr="00D20468">
        <w:trPr>
          <w:trHeight w:val="300"/>
        </w:trPr>
        <w:tc>
          <w:tcPr>
            <w:tcW w:w="1255" w:type="dxa"/>
            <w:tcBorders>
              <w:top w:val="single" w:sz="4" w:space="0" w:color="auto"/>
              <w:left w:val="nil"/>
              <w:bottom w:val="nil"/>
              <w:right w:val="nil"/>
            </w:tcBorders>
            <w:vAlign w:val="center"/>
            <w:hideMark/>
          </w:tcPr>
          <w:p w14:paraId="51AEDDEF" w14:textId="77777777" w:rsidR="00156A23" w:rsidRPr="0053182F" w:rsidRDefault="00156A23" w:rsidP="00D20468">
            <w:pPr>
              <w:spacing w:after="0"/>
              <w:rPr>
                <w:b/>
                <w:bCs/>
                <w:sz w:val="22"/>
                <w:szCs w:val="22"/>
              </w:rPr>
            </w:pPr>
            <w:r w:rsidRPr="0053182F">
              <w:rPr>
                <w:b/>
                <w:bCs/>
                <w:sz w:val="22"/>
                <w:szCs w:val="22"/>
              </w:rPr>
              <w:t>RL</w:t>
            </w:r>
          </w:p>
        </w:tc>
        <w:tc>
          <w:tcPr>
            <w:tcW w:w="953" w:type="dxa"/>
            <w:tcBorders>
              <w:top w:val="single" w:sz="4" w:space="0" w:color="auto"/>
              <w:left w:val="nil"/>
              <w:bottom w:val="nil"/>
              <w:right w:val="nil"/>
            </w:tcBorders>
            <w:vAlign w:val="center"/>
            <w:hideMark/>
          </w:tcPr>
          <w:p w14:paraId="3C84EDF8" w14:textId="77777777" w:rsidR="00156A23" w:rsidRPr="0053182F" w:rsidRDefault="00156A23" w:rsidP="00D20468">
            <w:pPr>
              <w:spacing w:after="0"/>
              <w:jc w:val="center"/>
              <w:rPr>
                <w:sz w:val="22"/>
                <w:szCs w:val="22"/>
              </w:rPr>
            </w:pPr>
            <w:r w:rsidRPr="0053182F">
              <w:rPr>
                <w:sz w:val="22"/>
                <w:szCs w:val="22"/>
              </w:rPr>
              <w:t>0.431</w:t>
            </w:r>
          </w:p>
        </w:tc>
        <w:tc>
          <w:tcPr>
            <w:tcW w:w="953" w:type="dxa"/>
            <w:tcBorders>
              <w:top w:val="single" w:sz="4" w:space="0" w:color="auto"/>
              <w:left w:val="nil"/>
              <w:bottom w:val="nil"/>
              <w:right w:val="nil"/>
            </w:tcBorders>
            <w:vAlign w:val="center"/>
            <w:hideMark/>
          </w:tcPr>
          <w:p w14:paraId="52AA1C42" w14:textId="77777777" w:rsidR="00156A23" w:rsidRPr="0053182F" w:rsidRDefault="00156A23" w:rsidP="00D20468">
            <w:pPr>
              <w:spacing w:after="0"/>
              <w:jc w:val="center"/>
              <w:rPr>
                <w:sz w:val="22"/>
                <w:szCs w:val="22"/>
              </w:rPr>
            </w:pPr>
            <w:r w:rsidRPr="0053182F">
              <w:rPr>
                <w:sz w:val="22"/>
                <w:szCs w:val="22"/>
              </w:rPr>
              <w:t>-0.077</w:t>
            </w:r>
          </w:p>
        </w:tc>
        <w:tc>
          <w:tcPr>
            <w:tcW w:w="953" w:type="dxa"/>
            <w:tcBorders>
              <w:top w:val="single" w:sz="4" w:space="0" w:color="auto"/>
              <w:left w:val="nil"/>
              <w:bottom w:val="nil"/>
              <w:right w:val="nil"/>
            </w:tcBorders>
            <w:vAlign w:val="center"/>
            <w:hideMark/>
          </w:tcPr>
          <w:p w14:paraId="630AEFA8" w14:textId="77777777" w:rsidR="00156A23" w:rsidRPr="0053182F" w:rsidRDefault="00156A23" w:rsidP="00D20468">
            <w:pPr>
              <w:spacing w:after="0"/>
              <w:jc w:val="center"/>
              <w:rPr>
                <w:sz w:val="22"/>
                <w:szCs w:val="22"/>
              </w:rPr>
            </w:pPr>
            <w:r w:rsidRPr="0053182F">
              <w:rPr>
                <w:sz w:val="22"/>
                <w:szCs w:val="22"/>
              </w:rPr>
              <w:t>-0.206</w:t>
            </w:r>
          </w:p>
        </w:tc>
        <w:tc>
          <w:tcPr>
            <w:tcW w:w="953" w:type="dxa"/>
            <w:tcBorders>
              <w:top w:val="single" w:sz="4" w:space="0" w:color="auto"/>
              <w:left w:val="nil"/>
              <w:bottom w:val="nil"/>
              <w:right w:val="nil"/>
            </w:tcBorders>
            <w:vAlign w:val="center"/>
            <w:hideMark/>
          </w:tcPr>
          <w:p w14:paraId="3598FE83" w14:textId="77777777" w:rsidR="00156A23" w:rsidRPr="0053182F" w:rsidRDefault="00156A23" w:rsidP="00D20468">
            <w:pPr>
              <w:spacing w:after="0"/>
              <w:jc w:val="center"/>
              <w:rPr>
                <w:sz w:val="22"/>
                <w:szCs w:val="22"/>
              </w:rPr>
            </w:pPr>
            <w:r w:rsidRPr="0053182F">
              <w:rPr>
                <w:sz w:val="22"/>
                <w:szCs w:val="22"/>
              </w:rPr>
              <w:t>-0.127</w:t>
            </w:r>
          </w:p>
        </w:tc>
        <w:tc>
          <w:tcPr>
            <w:tcW w:w="953" w:type="dxa"/>
            <w:tcBorders>
              <w:top w:val="single" w:sz="4" w:space="0" w:color="auto"/>
              <w:left w:val="nil"/>
              <w:bottom w:val="nil"/>
              <w:right w:val="nil"/>
            </w:tcBorders>
            <w:vAlign w:val="center"/>
            <w:hideMark/>
          </w:tcPr>
          <w:p w14:paraId="4968B271" w14:textId="77777777" w:rsidR="00156A23" w:rsidRPr="0053182F" w:rsidRDefault="00156A23" w:rsidP="00D20468">
            <w:pPr>
              <w:spacing w:after="0"/>
              <w:jc w:val="center"/>
              <w:rPr>
                <w:sz w:val="22"/>
                <w:szCs w:val="22"/>
              </w:rPr>
            </w:pPr>
            <w:r w:rsidRPr="0053182F">
              <w:rPr>
                <w:sz w:val="22"/>
                <w:szCs w:val="22"/>
              </w:rPr>
              <w:t>-0.100</w:t>
            </w:r>
          </w:p>
        </w:tc>
        <w:tc>
          <w:tcPr>
            <w:tcW w:w="953" w:type="dxa"/>
            <w:tcBorders>
              <w:top w:val="single" w:sz="4" w:space="0" w:color="auto"/>
              <w:left w:val="nil"/>
              <w:bottom w:val="nil"/>
              <w:right w:val="nil"/>
            </w:tcBorders>
            <w:vAlign w:val="center"/>
            <w:hideMark/>
          </w:tcPr>
          <w:p w14:paraId="5092847F" w14:textId="77777777" w:rsidR="00156A23" w:rsidRPr="0053182F" w:rsidRDefault="00156A23" w:rsidP="00D20468">
            <w:pPr>
              <w:spacing w:after="0"/>
              <w:jc w:val="center"/>
              <w:rPr>
                <w:sz w:val="22"/>
                <w:szCs w:val="22"/>
              </w:rPr>
            </w:pPr>
            <w:r w:rsidRPr="0053182F">
              <w:rPr>
                <w:sz w:val="22"/>
                <w:szCs w:val="22"/>
              </w:rPr>
              <w:t>-0.860</w:t>
            </w:r>
          </w:p>
        </w:tc>
        <w:tc>
          <w:tcPr>
            <w:tcW w:w="1525" w:type="dxa"/>
            <w:tcBorders>
              <w:top w:val="single" w:sz="4" w:space="0" w:color="auto"/>
              <w:left w:val="nil"/>
              <w:bottom w:val="nil"/>
              <w:right w:val="nil"/>
            </w:tcBorders>
            <w:vAlign w:val="center"/>
            <w:hideMark/>
          </w:tcPr>
          <w:p w14:paraId="1FF1E81C" w14:textId="77777777" w:rsidR="00156A23" w:rsidRPr="0053182F" w:rsidRDefault="00156A23" w:rsidP="00D20468">
            <w:pPr>
              <w:spacing w:after="0"/>
              <w:jc w:val="center"/>
              <w:rPr>
                <w:sz w:val="22"/>
                <w:szCs w:val="22"/>
              </w:rPr>
            </w:pPr>
            <w:r w:rsidRPr="0053182F">
              <w:rPr>
                <w:sz w:val="22"/>
                <w:szCs w:val="22"/>
              </w:rPr>
              <w:t>0</w:t>
            </w:r>
          </w:p>
        </w:tc>
        <w:tc>
          <w:tcPr>
            <w:tcW w:w="953" w:type="dxa"/>
            <w:tcBorders>
              <w:top w:val="single" w:sz="4" w:space="0" w:color="auto"/>
              <w:left w:val="nil"/>
              <w:bottom w:val="nil"/>
              <w:right w:val="nil"/>
            </w:tcBorders>
            <w:vAlign w:val="center"/>
            <w:hideMark/>
          </w:tcPr>
          <w:p w14:paraId="1E624A33" w14:textId="77777777" w:rsidR="00156A23" w:rsidRPr="0053182F" w:rsidRDefault="00156A23" w:rsidP="00D20468">
            <w:pPr>
              <w:spacing w:after="0"/>
              <w:jc w:val="center"/>
              <w:rPr>
                <w:sz w:val="22"/>
                <w:szCs w:val="22"/>
              </w:rPr>
            </w:pPr>
            <w:r w:rsidRPr="0053182F">
              <w:rPr>
                <w:sz w:val="22"/>
                <w:szCs w:val="22"/>
              </w:rPr>
              <w:t>0.877</w:t>
            </w:r>
          </w:p>
        </w:tc>
      </w:tr>
      <w:tr w:rsidR="00156A23" w:rsidRPr="0053182F" w14:paraId="2161A439" w14:textId="77777777" w:rsidTr="00D20468">
        <w:trPr>
          <w:trHeight w:val="300"/>
        </w:trPr>
        <w:tc>
          <w:tcPr>
            <w:tcW w:w="1255" w:type="dxa"/>
            <w:tcBorders>
              <w:top w:val="nil"/>
              <w:left w:val="nil"/>
              <w:bottom w:val="nil"/>
              <w:right w:val="nil"/>
            </w:tcBorders>
            <w:vAlign w:val="center"/>
            <w:hideMark/>
          </w:tcPr>
          <w:p w14:paraId="18438A8E" w14:textId="77777777" w:rsidR="00156A23" w:rsidRPr="0053182F" w:rsidRDefault="00156A23" w:rsidP="00D20468">
            <w:pPr>
              <w:spacing w:after="0"/>
              <w:rPr>
                <w:b/>
                <w:bCs/>
                <w:sz w:val="22"/>
                <w:szCs w:val="22"/>
              </w:rPr>
            </w:pPr>
            <w:r w:rsidRPr="0053182F">
              <w:rPr>
                <w:b/>
                <w:bCs/>
                <w:sz w:val="22"/>
                <w:szCs w:val="22"/>
              </w:rPr>
              <w:t>VA</w:t>
            </w:r>
          </w:p>
        </w:tc>
        <w:tc>
          <w:tcPr>
            <w:tcW w:w="953" w:type="dxa"/>
            <w:tcBorders>
              <w:top w:val="nil"/>
              <w:left w:val="nil"/>
              <w:bottom w:val="nil"/>
              <w:right w:val="nil"/>
            </w:tcBorders>
            <w:vAlign w:val="center"/>
            <w:hideMark/>
          </w:tcPr>
          <w:p w14:paraId="72272D18" w14:textId="77777777" w:rsidR="00156A23" w:rsidRPr="0053182F" w:rsidRDefault="00156A23" w:rsidP="00D20468">
            <w:pPr>
              <w:spacing w:after="0"/>
              <w:jc w:val="center"/>
              <w:rPr>
                <w:sz w:val="22"/>
                <w:szCs w:val="22"/>
              </w:rPr>
            </w:pPr>
            <w:r w:rsidRPr="0053182F">
              <w:rPr>
                <w:sz w:val="22"/>
                <w:szCs w:val="22"/>
              </w:rPr>
              <w:t>0.378</w:t>
            </w:r>
          </w:p>
        </w:tc>
        <w:tc>
          <w:tcPr>
            <w:tcW w:w="953" w:type="dxa"/>
            <w:tcBorders>
              <w:top w:val="nil"/>
              <w:left w:val="nil"/>
              <w:bottom w:val="nil"/>
              <w:right w:val="nil"/>
            </w:tcBorders>
            <w:vAlign w:val="center"/>
            <w:hideMark/>
          </w:tcPr>
          <w:p w14:paraId="63F9E4CF" w14:textId="77777777" w:rsidR="00156A23" w:rsidRPr="0053182F" w:rsidRDefault="00156A23" w:rsidP="00D20468">
            <w:pPr>
              <w:spacing w:after="0"/>
              <w:jc w:val="center"/>
              <w:rPr>
                <w:sz w:val="22"/>
                <w:szCs w:val="22"/>
              </w:rPr>
            </w:pPr>
            <w:r w:rsidRPr="0053182F">
              <w:rPr>
                <w:sz w:val="22"/>
                <w:szCs w:val="22"/>
              </w:rPr>
              <w:t>-0.382</w:t>
            </w:r>
          </w:p>
        </w:tc>
        <w:tc>
          <w:tcPr>
            <w:tcW w:w="953" w:type="dxa"/>
            <w:tcBorders>
              <w:top w:val="nil"/>
              <w:left w:val="nil"/>
              <w:bottom w:val="nil"/>
              <w:right w:val="nil"/>
            </w:tcBorders>
            <w:vAlign w:val="center"/>
            <w:hideMark/>
          </w:tcPr>
          <w:p w14:paraId="04CBB30B" w14:textId="77777777" w:rsidR="00156A23" w:rsidRPr="0053182F" w:rsidRDefault="00156A23" w:rsidP="00D20468">
            <w:pPr>
              <w:spacing w:after="0"/>
              <w:jc w:val="center"/>
              <w:rPr>
                <w:sz w:val="22"/>
                <w:szCs w:val="22"/>
              </w:rPr>
            </w:pPr>
            <w:r w:rsidRPr="0053182F">
              <w:rPr>
                <w:sz w:val="22"/>
                <w:szCs w:val="22"/>
              </w:rPr>
              <w:t>0.827</w:t>
            </w:r>
          </w:p>
        </w:tc>
        <w:tc>
          <w:tcPr>
            <w:tcW w:w="953" w:type="dxa"/>
            <w:tcBorders>
              <w:top w:val="nil"/>
              <w:left w:val="nil"/>
              <w:bottom w:val="nil"/>
              <w:right w:val="nil"/>
            </w:tcBorders>
            <w:vAlign w:val="center"/>
            <w:hideMark/>
          </w:tcPr>
          <w:p w14:paraId="15A0584F" w14:textId="77777777" w:rsidR="00156A23" w:rsidRPr="0053182F" w:rsidRDefault="00156A23" w:rsidP="00D20468">
            <w:pPr>
              <w:spacing w:after="0"/>
              <w:jc w:val="center"/>
              <w:rPr>
                <w:sz w:val="22"/>
                <w:szCs w:val="22"/>
              </w:rPr>
            </w:pPr>
            <w:r w:rsidRPr="0053182F">
              <w:rPr>
                <w:sz w:val="22"/>
                <w:szCs w:val="22"/>
              </w:rPr>
              <w:t>-0.034</w:t>
            </w:r>
          </w:p>
        </w:tc>
        <w:tc>
          <w:tcPr>
            <w:tcW w:w="953" w:type="dxa"/>
            <w:tcBorders>
              <w:top w:val="nil"/>
              <w:left w:val="nil"/>
              <w:bottom w:val="nil"/>
              <w:right w:val="nil"/>
            </w:tcBorders>
            <w:vAlign w:val="center"/>
            <w:hideMark/>
          </w:tcPr>
          <w:p w14:paraId="436881BA" w14:textId="77777777" w:rsidR="00156A23" w:rsidRPr="0053182F" w:rsidRDefault="00156A23" w:rsidP="00D20468">
            <w:pPr>
              <w:spacing w:after="0"/>
              <w:jc w:val="center"/>
              <w:rPr>
                <w:sz w:val="22"/>
                <w:szCs w:val="22"/>
              </w:rPr>
            </w:pPr>
            <w:r w:rsidRPr="0053182F">
              <w:rPr>
                <w:sz w:val="22"/>
                <w:szCs w:val="22"/>
              </w:rPr>
              <w:t>0.162</w:t>
            </w:r>
          </w:p>
        </w:tc>
        <w:tc>
          <w:tcPr>
            <w:tcW w:w="953" w:type="dxa"/>
            <w:tcBorders>
              <w:top w:val="nil"/>
              <w:left w:val="nil"/>
              <w:bottom w:val="nil"/>
              <w:right w:val="nil"/>
            </w:tcBorders>
            <w:vAlign w:val="center"/>
            <w:hideMark/>
          </w:tcPr>
          <w:p w14:paraId="1B458ACC" w14:textId="77777777" w:rsidR="00156A23" w:rsidRPr="0053182F" w:rsidRDefault="00156A23" w:rsidP="00D20468">
            <w:pPr>
              <w:spacing w:after="0"/>
              <w:jc w:val="center"/>
              <w:rPr>
                <w:sz w:val="22"/>
                <w:szCs w:val="22"/>
              </w:rPr>
            </w:pPr>
            <w:r w:rsidRPr="0053182F">
              <w:rPr>
                <w:sz w:val="22"/>
                <w:szCs w:val="22"/>
              </w:rPr>
              <w:t>0.011</w:t>
            </w:r>
          </w:p>
        </w:tc>
        <w:tc>
          <w:tcPr>
            <w:tcW w:w="1525" w:type="dxa"/>
            <w:tcBorders>
              <w:top w:val="nil"/>
              <w:left w:val="nil"/>
              <w:bottom w:val="nil"/>
              <w:right w:val="nil"/>
            </w:tcBorders>
            <w:vAlign w:val="center"/>
            <w:hideMark/>
          </w:tcPr>
          <w:p w14:paraId="55EA7FDC" w14:textId="77777777" w:rsidR="00156A23" w:rsidRPr="0053182F" w:rsidRDefault="00156A23" w:rsidP="00D20468">
            <w:pPr>
              <w:spacing w:after="0"/>
              <w:jc w:val="center"/>
              <w:rPr>
                <w:sz w:val="22"/>
                <w:szCs w:val="22"/>
              </w:rPr>
            </w:pPr>
            <w:r w:rsidRPr="0053182F">
              <w:rPr>
                <w:sz w:val="22"/>
                <w:szCs w:val="22"/>
              </w:rPr>
              <w:t>0</w:t>
            </w:r>
          </w:p>
        </w:tc>
        <w:tc>
          <w:tcPr>
            <w:tcW w:w="953" w:type="dxa"/>
            <w:tcBorders>
              <w:top w:val="nil"/>
              <w:left w:val="nil"/>
              <w:bottom w:val="nil"/>
              <w:right w:val="nil"/>
            </w:tcBorders>
            <w:vAlign w:val="center"/>
            <w:hideMark/>
          </w:tcPr>
          <w:p w14:paraId="20380D44" w14:textId="77777777" w:rsidR="00156A23" w:rsidRPr="0053182F" w:rsidRDefault="00156A23" w:rsidP="00D20468">
            <w:pPr>
              <w:spacing w:after="0"/>
              <w:jc w:val="center"/>
              <w:rPr>
                <w:sz w:val="22"/>
                <w:szCs w:val="22"/>
              </w:rPr>
            </w:pPr>
            <w:r w:rsidRPr="0053182F">
              <w:rPr>
                <w:sz w:val="22"/>
                <w:szCs w:val="22"/>
              </w:rPr>
              <w:t>0.918</w:t>
            </w:r>
          </w:p>
        </w:tc>
      </w:tr>
      <w:tr w:rsidR="00156A23" w:rsidRPr="0053182F" w14:paraId="500A1B48" w14:textId="77777777" w:rsidTr="00D20468">
        <w:trPr>
          <w:trHeight w:val="300"/>
        </w:trPr>
        <w:tc>
          <w:tcPr>
            <w:tcW w:w="1255" w:type="dxa"/>
            <w:tcBorders>
              <w:top w:val="nil"/>
              <w:left w:val="nil"/>
              <w:bottom w:val="nil"/>
              <w:right w:val="nil"/>
            </w:tcBorders>
            <w:vAlign w:val="center"/>
            <w:hideMark/>
          </w:tcPr>
          <w:p w14:paraId="39E5F33A" w14:textId="77777777" w:rsidR="00156A23" w:rsidRPr="0053182F" w:rsidRDefault="00156A23" w:rsidP="00D20468">
            <w:pPr>
              <w:spacing w:after="0"/>
              <w:rPr>
                <w:b/>
                <w:bCs/>
                <w:sz w:val="22"/>
                <w:szCs w:val="22"/>
              </w:rPr>
            </w:pPr>
            <w:r w:rsidRPr="0053182F">
              <w:rPr>
                <w:b/>
                <w:bCs/>
                <w:sz w:val="22"/>
                <w:szCs w:val="22"/>
              </w:rPr>
              <w:t>RQ</w:t>
            </w:r>
          </w:p>
        </w:tc>
        <w:tc>
          <w:tcPr>
            <w:tcW w:w="953" w:type="dxa"/>
            <w:tcBorders>
              <w:top w:val="nil"/>
              <w:left w:val="nil"/>
              <w:bottom w:val="nil"/>
              <w:right w:val="nil"/>
            </w:tcBorders>
            <w:vAlign w:val="center"/>
            <w:hideMark/>
          </w:tcPr>
          <w:p w14:paraId="45B0CDB7" w14:textId="77777777" w:rsidR="00156A23" w:rsidRPr="0053182F" w:rsidRDefault="00156A23" w:rsidP="00D20468">
            <w:pPr>
              <w:spacing w:after="0"/>
              <w:jc w:val="center"/>
              <w:rPr>
                <w:sz w:val="22"/>
                <w:szCs w:val="22"/>
              </w:rPr>
            </w:pPr>
            <w:r w:rsidRPr="0053182F">
              <w:rPr>
                <w:sz w:val="22"/>
                <w:szCs w:val="22"/>
              </w:rPr>
              <w:t>0.423</w:t>
            </w:r>
          </w:p>
        </w:tc>
        <w:tc>
          <w:tcPr>
            <w:tcW w:w="953" w:type="dxa"/>
            <w:tcBorders>
              <w:top w:val="nil"/>
              <w:left w:val="nil"/>
              <w:bottom w:val="nil"/>
              <w:right w:val="nil"/>
            </w:tcBorders>
            <w:vAlign w:val="center"/>
            <w:hideMark/>
          </w:tcPr>
          <w:p w14:paraId="2AD0B08F" w14:textId="77777777" w:rsidR="00156A23" w:rsidRPr="0053182F" w:rsidRDefault="00156A23" w:rsidP="00D20468">
            <w:pPr>
              <w:spacing w:after="0"/>
              <w:jc w:val="center"/>
              <w:rPr>
                <w:sz w:val="22"/>
                <w:szCs w:val="22"/>
              </w:rPr>
            </w:pPr>
            <w:r w:rsidRPr="0053182F">
              <w:rPr>
                <w:sz w:val="22"/>
                <w:szCs w:val="22"/>
              </w:rPr>
              <w:t>-0.231</w:t>
            </w:r>
          </w:p>
        </w:tc>
        <w:tc>
          <w:tcPr>
            <w:tcW w:w="953" w:type="dxa"/>
            <w:tcBorders>
              <w:top w:val="nil"/>
              <w:left w:val="nil"/>
              <w:bottom w:val="nil"/>
              <w:right w:val="nil"/>
            </w:tcBorders>
            <w:vAlign w:val="center"/>
            <w:hideMark/>
          </w:tcPr>
          <w:p w14:paraId="231237F1" w14:textId="77777777" w:rsidR="00156A23" w:rsidRPr="0053182F" w:rsidRDefault="00156A23" w:rsidP="00D20468">
            <w:pPr>
              <w:spacing w:after="0"/>
              <w:jc w:val="center"/>
              <w:rPr>
                <w:sz w:val="22"/>
                <w:szCs w:val="22"/>
              </w:rPr>
            </w:pPr>
            <w:r w:rsidRPr="0053182F">
              <w:rPr>
                <w:sz w:val="22"/>
                <w:szCs w:val="22"/>
              </w:rPr>
              <w:t>-0.169</w:t>
            </w:r>
          </w:p>
        </w:tc>
        <w:tc>
          <w:tcPr>
            <w:tcW w:w="953" w:type="dxa"/>
            <w:tcBorders>
              <w:top w:val="nil"/>
              <w:left w:val="nil"/>
              <w:bottom w:val="nil"/>
              <w:right w:val="nil"/>
            </w:tcBorders>
            <w:vAlign w:val="center"/>
            <w:hideMark/>
          </w:tcPr>
          <w:p w14:paraId="0CF8D1CD" w14:textId="77777777" w:rsidR="00156A23" w:rsidRPr="0053182F" w:rsidRDefault="00156A23" w:rsidP="00D20468">
            <w:pPr>
              <w:spacing w:after="0"/>
              <w:jc w:val="center"/>
              <w:rPr>
                <w:sz w:val="22"/>
                <w:szCs w:val="22"/>
              </w:rPr>
            </w:pPr>
            <w:r w:rsidRPr="0053182F">
              <w:rPr>
                <w:sz w:val="22"/>
                <w:szCs w:val="22"/>
              </w:rPr>
              <w:t>0.606</w:t>
            </w:r>
          </w:p>
        </w:tc>
        <w:tc>
          <w:tcPr>
            <w:tcW w:w="953" w:type="dxa"/>
            <w:tcBorders>
              <w:top w:val="nil"/>
              <w:left w:val="nil"/>
              <w:bottom w:val="nil"/>
              <w:right w:val="nil"/>
            </w:tcBorders>
            <w:vAlign w:val="center"/>
            <w:hideMark/>
          </w:tcPr>
          <w:p w14:paraId="40955042" w14:textId="77777777" w:rsidR="00156A23" w:rsidRPr="0053182F" w:rsidRDefault="00156A23" w:rsidP="00D20468">
            <w:pPr>
              <w:spacing w:after="0"/>
              <w:jc w:val="center"/>
              <w:rPr>
                <w:sz w:val="22"/>
                <w:szCs w:val="22"/>
              </w:rPr>
            </w:pPr>
            <w:r w:rsidRPr="0053182F">
              <w:rPr>
                <w:sz w:val="22"/>
                <w:szCs w:val="22"/>
              </w:rPr>
              <w:t>-0.557</w:t>
            </w:r>
          </w:p>
        </w:tc>
        <w:tc>
          <w:tcPr>
            <w:tcW w:w="953" w:type="dxa"/>
            <w:tcBorders>
              <w:top w:val="nil"/>
              <w:left w:val="nil"/>
              <w:bottom w:val="nil"/>
              <w:right w:val="nil"/>
            </w:tcBorders>
            <w:vAlign w:val="center"/>
            <w:hideMark/>
          </w:tcPr>
          <w:p w14:paraId="3B34C2F4" w14:textId="77777777" w:rsidR="00156A23" w:rsidRPr="0053182F" w:rsidRDefault="00156A23" w:rsidP="00D20468">
            <w:pPr>
              <w:spacing w:after="0"/>
              <w:jc w:val="center"/>
              <w:rPr>
                <w:sz w:val="22"/>
                <w:szCs w:val="22"/>
              </w:rPr>
            </w:pPr>
            <w:r w:rsidRPr="0053182F">
              <w:rPr>
                <w:sz w:val="22"/>
                <w:szCs w:val="22"/>
              </w:rPr>
              <w:t>0.248</w:t>
            </w:r>
          </w:p>
        </w:tc>
        <w:tc>
          <w:tcPr>
            <w:tcW w:w="1525" w:type="dxa"/>
            <w:tcBorders>
              <w:top w:val="nil"/>
              <w:left w:val="nil"/>
              <w:bottom w:val="nil"/>
              <w:right w:val="nil"/>
            </w:tcBorders>
            <w:vAlign w:val="center"/>
            <w:hideMark/>
          </w:tcPr>
          <w:p w14:paraId="7227CF59" w14:textId="77777777" w:rsidR="00156A23" w:rsidRPr="0053182F" w:rsidRDefault="00156A23" w:rsidP="00D20468">
            <w:pPr>
              <w:spacing w:after="0"/>
              <w:jc w:val="center"/>
              <w:rPr>
                <w:sz w:val="22"/>
                <w:szCs w:val="22"/>
              </w:rPr>
            </w:pPr>
            <w:r w:rsidRPr="0053182F">
              <w:rPr>
                <w:sz w:val="22"/>
                <w:szCs w:val="22"/>
              </w:rPr>
              <w:t>0</w:t>
            </w:r>
          </w:p>
        </w:tc>
        <w:tc>
          <w:tcPr>
            <w:tcW w:w="953" w:type="dxa"/>
            <w:tcBorders>
              <w:top w:val="nil"/>
              <w:left w:val="nil"/>
              <w:bottom w:val="nil"/>
              <w:right w:val="nil"/>
            </w:tcBorders>
            <w:vAlign w:val="center"/>
            <w:hideMark/>
          </w:tcPr>
          <w:p w14:paraId="7C4A78D2" w14:textId="77777777" w:rsidR="00156A23" w:rsidRPr="0053182F" w:rsidRDefault="00156A23" w:rsidP="00D20468">
            <w:pPr>
              <w:spacing w:after="0"/>
              <w:jc w:val="center"/>
              <w:rPr>
                <w:sz w:val="22"/>
                <w:szCs w:val="22"/>
              </w:rPr>
            </w:pPr>
            <w:r w:rsidRPr="0053182F">
              <w:rPr>
                <w:sz w:val="22"/>
                <w:szCs w:val="22"/>
              </w:rPr>
              <w:t>0.887</w:t>
            </w:r>
          </w:p>
        </w:tc>
      </w:tr>
      <w:tr w:rsidR="00156A23" w:rsidRPr="0053182F" w14:paraId="4BF985E0" w14:textId="77777777" w:rsidTr="00D20468">
        <w:trPr>
          <w:trHeight w:val="300"/>
        </w:trPr>
        <w:tc>
          <w:tcPr>
            <w:tcW w:w="1255" w:type="dxa"/>
            <w:tcBorders>
              <w:top w:val="nil"/>
              <w:left w:val="nil"/>
              <w:bottom w:val="nil"/>
              <w:right w:val="nil"/>
            </w:tcBorders>
            <w:vAlign w:val="center"/>
            <w:hideMark/>
          </w:tcPr>
          <w:p w14:paraId="2EC570E6" w14:textId="77777777" w:rsidR="00156A23" w:rsidRPr="0053182F" w:rsidRDefault="00156A23" w:rsidP="00D20468">
            <w:pPr>
              <w:spacing w:after="0"/>
              <w:rPr>
                <w:b/>
                <w:bCs/>
                <w:sz w:val="22"/>
                <w:szCs w:val="22"/>
              </w:rPr>
            </w:pPr>
            <w:r w:rsidRPr="0053182F">
              <w:rPr>
                <w:b/>
                <w:bCs/>
                <w:sz w:val="22"/>
                <w:szCs w:val="22"/>
              </w:rPr>
              <w:t>GF</w:t>
            </w:r>
          </w:p>
        </w:tc>
        <w:tc>
          <w:tcPr>
            <w:tcW w:w="953" w:type="dxa"/>
            <w:tcBorders>
              <w:top w:val="nil"/>
              <w:left w:val="nil"/>
              <w:bottom w:val="nil"/>
              <w:right w:val="nil"/>
            </w:tcBorders>
            <w:vAlign w:val="center"/>
            <w:hideMark/>
          </w:tcPr>
          <w:p w14:paraId="6788F5ED" w14:textId="77777777" w:rsidR="00156A23" w:rsidRPr="0053182F" w:rsidRDefault="00156A23" w:rsidP="00D20468">
            <w:pPr>
              <w:spacing w:after="0"/>
              <w:jc w:val="center"/>
              <w:rPr>
                <w:sz w:val="22"/>
                <w:szCs w:val="22"/>
              </w:rPr>
            </w:pPr>
            <w:r w:rsidRPr="0053182F">
              <w:rPr>
                <w:sz w:val="22"/>
                <w:szCs w:val="22"/>
              </w:rPr>
              <w:t>0.424</w:t>
            </w:r>
          </w:p>
        </w:tc>
        <w:tc>
          <w:tcPr>
            <w:tcW w:w="953" w:type="dxa"/>
            <w:tcBorders>
              <w:top w:val="nil"/>
              <w:left w:val="nil"/>
              <w:bottom w:val="nil"/>
              <w:right w:val="nil"/>
            </w:tcBorders>
            <w:vAlign w:val="center"/>
            <w:hideMark/>
          </w:tcPr>
          <w:p w14:paraId="0C4F8527" w14:textId="77777777" w:rsidR="00156A23" w:rsidRPr="0053182F" w:rsidRDefault="00156A23" w:rsidP="00D20468">
            <w:pPr>
              <w:spacing w:after="0"/>
              <w:jc w:val="center"/>
              <w:rPr>
                <w:sz w:val="22"/>
                <w:szCs w:val="22"/>
              </w:rPr>
            </w:pPr>
            <w:r w:rsidRPr="0053182F">
              <w:rPr>
                <w:sz w:val="22"/>
                <w:szCs w:val="22"/>
              </w:rPr>
              <w:t>-0.034</w:t>
            </w:r>
          </w:p>
        </w:tc>
        <w:tc>
          <w:tcPr>
            <w:tcW w:w="953" w:type="dxa"/>
            <w:tcBorders>
              <w:top w:val="nil"/>
              <w:left w:val="nil"/>
              <w:bottom w:val="nil"/>
              <w:right w:val="nil"/>
            </w:tcBorders>
            <w:vAlign w:val="center"/>
            <w:hideMark/>
          </w:tcPr>
          <w:p w14:paraId="61B3ECE7" w14:textId="77777777" w:rsidR="00156A23" w:rsidRPr="0053182F" w:rsidRDefault="00156A23" w:rsidP="00D20468">
            <w:pPr>
              <w:spacing w:after="0"/>
              <w:jc w:val="center"/>
              <w:rPr>
                <w:sz w:val="22"/>
                <w:szCs w:val="22"/>
              </w:rPr>
            </w:pPr>
            <w:r w:rsidRPr="0053182F">
              <w:rPr>
                <w:sz w:val="22"/>
                <w:szCs w:val="22"/>
              </w:rPr>
              <w:t>-0.354</w:t>
            </w:r>
          </w:p>
        </w:tc>
        <w:tc>
          <w:tcPr>
            <w:tcW w:w="953" w:type="dxa"/>
            <w:tcBorders>
              <w:top w:val="nil"/>
              <w:left w:val="nil"/>
              <w:bottom w:val="nil"/>
              <w:right w:val="nil"/>
            </w:tcBorders>
            <w:vAlign w:val="center"/>
            <w:hideMark/>
          </w:tcPr>
          <w:p w14:paraId="4E943B8D" w14:textId="77777777" w:rsidR="00156A23" w:rsidRPr="0053182F" w:rsidRDefault="00156A23" w:rsidP="00D20468">
            <w:pPr>
              <w:spacing w:after="0"/>
              <w:jc w:val="center"/>
              <w:rPr>
                <w:sz w:val="22"/>
                <w:szCs w:val="22"/>
              </w:rPr>
            </w:pPr>
            <w:r w:rsidRPr="0053182F">
              <w:rPr>
                <w:sz w:val="22"/>
                <w:szCs w:val="22"/>
              </w:rPr>
              <w:t>0.238</w:t>
            </w:r>
          </w:p>
        </w:tc>
        <w:tc>
          <w:tcPr>
            <w:tcW w:w="953" w:type="dxa"/>
            <w:tcBorders>
              <w:top w:val="nil"/>
              <w:left w:val="nil"/>
              <w:bottom w:val="nil"/>
              <w:right w:val="nil"/>
            </w:tcBorders>
            <w:vAlign w:val="center"/>
            <w:hideMark/>
          </w:tcPr>
          <w:p w14:paraId="27BD5DB3" w14:textId="77777777" w:rsidR="00156A23" w:rsidRPr="0053182F" w:rsidRDefault="00156A23" w:rsidP="00D20468">
            <w:pPr>
              <w:spacing w:after="0"/>
              <w:jc w:val="center"/>
              <w:rPr>
                <w:sz w:val="22"/>
                <w:szCs w:val="22"/>
              </w:rPr>
            </w:pPr>
            <w:r w:rsidRPr="0053182F">
              <w:rPr>
                <w:sz w:val="22"/>
                <w:szCs w:val="22"/>
              </w:rPr>
              <w:t>0.779</w:t>
            </w:r>
          </w:p>
        </w:tc>
        <w:tc>
          <w:tcPr>
            <w:tcW w:w="953" w:type="dxa"/>
            <w:tcBorders>
              <w:top w:val="nil"/>
              <w:left w:val="nil"/>
              <w:bottom w:val="nil"/>
              <w:right w:val="nil"/>
            </w:tcBorders>
            <w:vAlign w:val="center"/>
            <w:hideMark/>
          </w:tcPr>
          <w:p w14:paraId="26C06ED3" w14:textId="77777777" w:rsidR="00156A23" w:rsidRPr="0053182F" w:rsidRDefault="00156A23" w:rsidP="00D20468">
            <w:pPr>
              <w:spacing w:after="0"/>
              <w:jc w:val="center"/>
              <w:rPr>
                <w:sz w:val="22"/>
                <w:szCs w:val="22"/>
              </w:rPr>
            </w:pPr>
            <w:r w:rsidRPr="0053182F">
              <w:rPr>
                <w:sz w:val="22"/>
                <w:szCs w:val="22"/>
              </w:rPr>
              <w:t>0.174</w:t>
            </w:r>
          </w:p>
        </w:tc>
        <w:tc>
          <w:tcPr>
            <w:tcW w:w="1525" w:type="dxa"/>
            <w:tcBorders>
              <w:top w:val="nil"/>
              <w:left w:val="nil"/>
              <w:bottom w:val="nil"/>
              <w:right w:val="nil"/>
            </w:tcBorders>
            <w:vAlign w:val="center"/>
            <w:hideMark/>
          </w:tcPr>
          <w:p w14:paraId="3F68637A" w14:textId="77777777" w:rsidR="00156A23" w:rsidRPr="0053182F" w:rsidRDefault="00156A23" w:rsidP="00D20468">
            <w:pPr>
              <w:spacing w:after="0"/>
              <w:jc w:val="center"/>
              <w:rPr>
                <w:sz w:val="22"/>
                <w:szCs w:val="22"/>
              </w:rPr>
            </w:pPr>
            <w:r w:rsidRPr="0053182F">
              <w:rPr>
                <w:sz w:val="22"/>
                <w:szCs w:val="22"/>
              </w:rPr>
              <w:t>0</w:t>
            </w:r>
          </w:p>
        </w:tc>
        <w:tc>
          <w:tcPr>
            <w:tcW w:w="953" w:type="dxa"/>
            <w:tcBorders>
              <w:top w:val="nil"/>
              <w:left w:val="nil"/>
              <w:bottom w:val="nil"/>
              <w:right w:val="nil"/>
            </w:tcBorders>
            <w:vAlign w:val="center"/>
            <w:hideMark/>
          </w:tcPr>
          <w:p w14:paraId="22BD1C75" w14:textId="77777777" w:rsidR="00156A23" w:rsidRPr="0053182F" w:rsidRDefault="00156A23" w:rsidP="00D20468">
            <w:pPr>
              <w:spacing w:after="0"/>
              <w:jc w:val="center"/>
              <w:rPr>
                <w:sz w:val="22"/>
                <w:szCs w:val="22"/>
              </w:rPr>
            </w:pPr>
            <w:r w:rsidRPr="0053182F">
              <w:rPr>
                <w:sz w:val="22"/>
                <w:szCs w:val="22"/>
              </w:rPr>
              <w:t>0.890</w:t>
            </w:r>
          </w:p>
        </w:tc>
      </w:tr>
      <w:tr w:rsidR="00156A23" w:rsidRPr="0053182F" w14:paraId="01C6AB65" w14:textId="77777777" w:rsidTr="00D20468">
        <w:trPr>
          <w:trHeight w:val="300"/>
        </w:trPr>
        <w:tc>
          <w:tcPr>
            <w:tcW w:w="1255" w:type="dxa"/>
            <w:tcBorders>
              <w:top w:val="nil"/>
              <w:left w:val="nil"/>
              <w:bottom w:val="nil"/>
              <w:right w:val="nil"/>
            </w:tcBorders>
            <w:vAlign w:val="center"/>
            <w:hideMark/>
          </w:tcPr>
          <w:p w14:paraId="3E91C641" w14:textId="77777777" w:rsidR="00156A23" w:rsidRPr="0053182F" w:rsidRDefault="00156A23" w:rsidP="00D20468">
            <w:pPr>
              <w:spacing w:after="0"/>
              <w:rPr>
                <w:b/>
                <w:bCs/>
                <w:sz w:val="22"/>
                <w:szCs w:val="22"/>
              </w:rPr>
            </w:pPr>
            <w:r w:rsidRPr="0053182F">
              <w:rPr>
                <w:b/>
                <w:bCs/>
                <w:sz w:val="22"/>
                <w:szCs w:val="22"/>
              </w:rPr>
              <w:t>CC</w:t>
            </w:r>
          </w:p>
        </w:tc>
        <w:tc>
          <w:tcPr>
            <w:tcW w:w="953" w:type="dxa"/>
            <w:tcBorders>
              <w:top w:val="nil"/>
              <w:left w:val="nil"/>
              <w:bottom w:val="nil"/>
              <w:right w:val="nil"/>
            </w:tcBorders>
            <w:vAlign w:val="center"/>
            <w:hideMark/>
          </w:tcPr>
          <w:p w14:paraId="796F8A52" w14:textId="77777777" w:rsidR="00156A23" w:rsidRPr="0053182F" w:rsidRDefault="00156A23" w:rsidP="00D20468">
            <w:pPr>
              <w:spacing w:after="0"/>
              <w:jc w:val="center"/>
              <w:rPr>
                <w:sz w:val="22"/>
                <w:szCs w:val="22"/>
              </w:rPr>
            </w:pPr>
            <w:r w:rsidRPr="0053182F">
              <w:rPr>
                <w:sz w:val="22"/>
                <w:szCs w:val="22"/>
              </w:rPr>
              <w:t>0.423</w:t>
            </w:r>
          </w:p>
        </w:tc>
        <w:tc>
          <w:tcPr>
            <w:tcW w:w="953" w:type="dxa"/>
            <w:tcBorders>
              <w:top w:val="nil"/>
              <w:left w:val="nil"/>
              <w:bottom w:val="nil"/>
              <w:right w:val="nil"/>
            </w:tcBorders>
            <w:vAlign w:val="center"/>
            <w:hideMark/>
          </w:tcPr>
          <w:p w14:paraId="471A5C68" w14:textId="77777777" w:rsidR="00156A23" w:rsidRPr="0053182F" w:rsidRDefault="00156A23" w:rsidP="00D20468">
            <w:pPr>
              <w:spacing w:after="0"/>
              <w:jc w:val="center"/>
              <w:rPr>
                <w:sz w:val="22"/>
                <w:szCs w:val="22"/>
              </w:rPr>
            </w:pPr>
            <w:r w:rsidRPr="0053182F">
              <w:rPr>
                <w:sz w:val="22"/>
                <w:szCs w:val="22"/>
              </w:rPr>
              <w:t>-0.087</w:t>
            </w:r>
          </w:p>
        </w:tc>
        <w:tc>
          <w:tcPr>
            <w:tcW w:w="953" w:type="dxa"/>
            <w:tcBorders>
              <w:top w:val="nil"/>
              <w:left w:val="nil"/>
              <w:bottom w:val="nil"/>
              <w:right w:val="nil"/>
            </w:tcBorders>
            <w:vAlign w:val="center"/>
            <w:hideMark/>
          </w:tcPr>
          <w:p w14:paraId="5957DBEB" w14:textId="77777777" w:rsidR="00156A23" w:rsidRPr="0053182F" w:rsidRDefault="00156A23" w:rsidP="00D20468">
            <w:pPr>
              <w:spacing w:after="0"/>
              <w:jc w:val="center"/>
              <w:rPr>
                <w:sz w:val="22"/>
                <w:szCs w:val="22"/>
              </w:rPr>
            </w:pPr>
            <w:r w:rsidRPr="0053182F">
              <w:rPr>
                <w:sz w:val="22"/>
                <w:szCs w:val="22"/>
              </w:rPr>
              <w:t>-0.230</w:t>
            </w:r>
          </w:p>
        </w:tc>
        <w:tc>
          <w:tcPr>
            <w:tcW w:w="953" w:type="dxa"/>
            <w:tcBorders>
              <w:top w:val="nil"/>
              <w:left w:val="nil"/>
              <w:bottom w:val="nil"/>
              <w:right w:val="nil"/>
            </w:tcBorders>
            <w:vAlign w:val="center"/>
            <w:hideMark/>
          </w:tcPr>
          <w:p w14:paraId="1A9CB3EB" w14:textId="77777777" w:rsidR="00156A23" w:rsidRPr="0053182F" w:rsidRDefault="00156A23" w:rsidP="00D20468">
            <w:pPr>
              <w:spacing w:after="0"/>
              <w:jc w:val="center"/>
              <w:rPr>
                <w:sz w:val="22"/>
                <w:szCs w:val="22"/>
              </w:rPr>
            </w:pPr>
            <w:r w:rsidRPr="0053182F">
              <w:rPr>
                <w:sz w:val="22"/>
                <w:szCs w:val="22"/>
              </w:rPr>
              <w:t>-0.744</w:t>
            </w:r>
          </w:p>
        </w:tc>
        <w:tc>
          <w:tcPr>
            <w:tcW w:w="953" w:type="dxa"/>
            <w:tcBorders>
              <w:top w:val="nil"/>
              <w:left w:val="nil"/>
              <w:bottom w:val="nil"/>
              <w:right w:val="nil"/>
            </w:tcBorders>
            <w:vAlign w:val="center"/>
            <w:hideMark/>
          </w:tcPr>
          <w:p w14:paraId="08AF0748" w14:textId="77777777" w:rsidR="00156A23" w:rsidRPr="0053182F" w:rsidRDefault="00156A23" w:rsidP="00D20468">
            <w:pPr>
              <w:spacing w:after="0"/>
              <w:jc w:val="center"/>
              <w:rPr>
                <w:sz w:val="22"/>
                <w:szCs w:val="22"/>
              </w:rPr>
            </w:pPr>
            <w:r w:rsidRPr="0053182F">
              <w:rPr>
                <w:sz w:val="22"/>
                <w:szCs w:val="22"/>
              </w:rPr>
              <w:t>-0.202</w:t>
            </w:r>
          </w:p>
        </w:tc>
        <w:tc>
          <w:tcPr>
            <w:tcW w:w="953" w:type="dxa"/>
            <w:tcBorders>
              <w:top w:val="nil"/>
              <w:left w:val="nil"/>
              <w:bottom w:val="nil"/>
              <w:right w:val="nil"/>
            </w:tcBorders>
            <w:vAlign w:val="center"/>
            <w:hideMark/>
          </w:tcPr>
          <w:p w14:paraId="3DB6FE84" w14:textId="77777777" w:rsidR="00156A23" w:rsidRPr="0053182F" w:rsidRDefault="00156A23" w:rsidP="00D20468">
            <w:pPr>
              <w:spacing w:after="0"/>
              <w:jc w:val="center"/>
              <w:rPr>
                <w:sz w:val="22"/>
                <w:szCs w:val="22"/>
              </w:rPr>
            </w:pPr>
            <w:r w:rsidRPr="0053182F">
              <w:rPr>
                <w:sz w:val="22"/>
                <w:szCs w:val="22"/>
              </w:rPr>
              <w:t>0.408</w:t>
            </w:r>
          </w:p>
        </w:tc>
        <w:tc>
          <w:tcPr>
            <w:tcW w:w="1525" w:type="dxa"/>
            <w:tcBorders>
              <w:top w:val="nil"/>
              <w:left w:val="nil"/>
              <w:bottom w:val="nil"/>
              <w:right w:val="nil"/>
            </w:tcBorders>
            <w:vAlign w:val="center"/>
            <w:hideMark/>
          </w:tcPr>
          <w:p w14:paraId="304EF1FC" w14:textId="77777777" w:rsidR="00156A23" w:rsidRPr="0053182F" w:rsidRDefault="00156A23" w:rsidP="00D20468">
            <w:pPr>
              <w:spacing w:after="0"/>
              <w:jc w:val="center"/>
              <w:rPr>
                <w:sz w:val="22"/>
                <w:szCs w:val="22"/>
              </w:rPr>
            </w:pPr>
            <w:r w:rsidRPr="0053182F">
              <w:rPr>
                <w:sz w:val="22"/>
                <w:szCs w:val="22"/>
              </w:rPr>
              <w:t>0</w:t>
            </w:r>
          </w:p>
        </w:tc>
        <w:tc>
          <w:tcPr>
            <w:tcW w:w="953" w:type="dxa"/>
            <w:tcBorders>
              <w:top w:val="nil"/>
              <w:left w:val="nil"/>
              <w:bottom w:val="nil"/>
              <w:right w:val="nil"/>
            </w:tcBorders>
            <w:vAlign w:val="center"/>
            <w:hideMark/>
          </w:tcPr>
          <w:p w14:paraId="5FA616D4" w14:textId="77777777" w:rsidR="00156A23" w:rsidRPr="0053182F" w:rsidRDefault="00156A23" w:rsidP="00D20468">
            <w:pPr>
              <w:spacing w:after="0"/>
              <w:jc w:val="center"/>
              <w:rPr>
                <w:sz w:val="22"/>
                <w:szCs w:val="22"/>
              </w:rPr>
            </w:pPr>
            <w:r w:rsidRPr="0053182F">
              <w:rPr>
                <w:sz w:val="22"/>
                <w:szCs w:val="22"/>
              </w:rPr>
              <w:t>0.916</w:t>
            </w:r>
          </w:p>
        </w:tc>
      </w:tr>
      <w:tr w:rsidR="00156A23" w:rsidRPr="0053182F" w14:paraId="7401BE22" w14:textId="77777777" w:rsidTr="00D20468">
        <w:trPr>
          <w:trHeight w:val="300"/>
        </w:trPr>
        <w:tc>
          <w:tcPr>
            <w:tcW w:w="1255" w:type="dxa"/>
            <w:tcBorders>
              <w:top w:val="nil"/>
              <w:left w:val="nil"/>
              <w:bottom w:val="nil"/>
              <w:right w:val="nil"/>
            </w:tcBorders>
            <w:vAlign w:val="center"/>
            <w:hideMark/>
          </w:tcPr>
          <w:p w14:paraId="3DA9F624" w14:textId="77777777" w:rsidR="00156A23" w:rsidRPr="0053182F" w:rsidRDefault="00156A23" w:rsidP="00D20468">
            <w:pPr>
              <w:spacing w:after="0"/>
              <w:rPr>
                <w:b/>
                <w:bCs/>
                <w:sz w:val="22"/>
                <w:szCs w:val="22"/>
              </w:rPr>
            </w:pPr>
            <w:r w:rsidRPr="0053182F">
              <w:rPr>
                <w:b/>
                <w:bCs/>
                <w:sz w:val="22"/>
                <w:szCs w:val="22"/>
              </w:rPr>
              <w:t>PS</w:t>
            </w:r>
          </w:p>
        </w:tc>
        <w:tc>
          <w:tcPr>
            <w:tcW w:w="953" w:type="dxa"/>
            <w:tcBorders>
              <w:top w:val="nil"/>
              <w:left w:val="nil"/>
              <w:bottom w:val="nil"/>
              <w:right w:val="nil"/>
            </w:tcBorders>
            <w:vAlign w:val="center"/>
            <w:hideMark/>
          </w:tcPr>
          <w:p w14:paraId="3C54A29D" w14:textId="77777777" w:rsidR="00156A23" w:rsidRPr="0053182F" w:rsidRDefault="00156A23" w:rsidP="00D20468">
            <w:pPr>
              <w:spacing w:after="0"/>
              <w:jc w:val="center"/>
              <w:rPr>
                <w:sz w:val="22"/>
                <w:szCs w:val="22"/>
              </w:rPr>
            </w:pPr>
            <w:r w:rsidRPr="0053182F">
              <w:rPr>
                <w:sz w:val="22"/>
                <w:szCs w:val="22"/>
              </w:rPr>
              <w:t>0.368</w:t>
            </w:r>
          </w:p>
        </w:tc>
        <w:tc>
          <w:tcPr>
            <w:tcW w:w="953" w:type="dxa"/>
            <w:tcBorders>
              <w:top w:val="nil"/>
              <w:left w:val="nil"/>
              <w:bottom w:val="nil"/>
              <w:right w:val="nil"/>
            </w:tcBorders>
            <w:vAlign w:val="center"/>
            <w:hideMark/>
          </w:tcPr>
          <w:p w14:paraId="15EF4238" w14:textId="77777777" w:rsidR="00156A23" w:rsidRPr="0053182F" w:rsidRDefault="00156A23" w:rsidP="00D20468">
            <w:pPr>
              <w:spacing w:after="0"/>
              <w:jc w:val="center"/>
              <w:rPr>
                <w:sz w:val="22"/>
                <w:szCs w:val="22"/>
              </w:rPr>
            </w:pPr>
            <w:r w:rsidRPr="0053182F">
              <w:rPr>
                <w:sz w:val="22"/>
                <w:szCs w:val="22"/>
              </w:rPr>
              <w:t>0.887</w:t>
            </w:r>
          </w:p>
        </w:tc>
        <w:tc>
          <w:tcPr>
            <w:tcW w:w="953" w:type="dxa"/>
            <w:tcBorders>
              <w:top w:val="nil"/>
              <w:left w:val="nil"/>
              <w:bottom w:val="nil"/>
              <w:right w:val="nil"/>
            </w:tcBorders>
            <w:vAlign w:val="center"/>
            <w:hideMark/>
          </w:tcPr>
          <w:p w14:paraId="16CC2860" w14:textId="77777777" w:rsidR="00156A23" w:rsidRPr="0053182F" w:rsidRDefault="00156A23" w:rsidP="00D20468">
            <w:pPr>
              <w:spacing w:after="0"/>
              <w:jc w:val="center"/>
              <w:rPr>
                <w:sz w:val="22"/>
                <w:szCs w:val="22"/>
              </w:rPr>
            </w:pPr>
            <w:r w:rsidRPr="0053182F">
              <w:rPr>
                <w:sz w:val="22"/>
                <w:szCs w:val="22"/>
              </w:rPr>
              <w:t>0.258</w:t>
            </w:r>
          </w:p>
        </w:tc>
        <w:tc>
          <w:tcPr>
            <w:tcW w:w="953" w:type="dxa"/>
            <w:tcBorders>
              <w:top w:val="nil"/>
              <w:left w:val="nil"/>
              <w:bottom w:val="nil"/>
              <w:right w:val="nil"/>
            </w:tcBorders>
            <w:vAlign w:val="center"/>
            <w:hideMark/>
          </w:tcPr>
          <w:p w14:paraId="3135B009" w14:textId="77777777" w:rsidR="00156A23" w:rsidRPr="0053182F" w:rsidRDefault="00156A23" w:rsidP="00D20468">
            <w:pPr>
              <w:spacing w:after="0"/>
              <w:jc w:val="center"/>
              <w:rPr>
                <w:sz w:val="22"/>
                <w:szCs w:val="22"/>
              </w:rPr>
            </w:pPr>
            <w:r w:rsidRPr="0053182F">
              <w:rPr>
                <w:sz w:val="22"/>
                <w:szCs w:val="22"/>
              </w:rPr>
              <w:t>0.069</w:t>
            </w:r>
          </w:p>
        </w:tc>
        <w:tc>
          <w:tcPr>
            <w:tcW w:w="953" w:type="dxa"/>
            <w:tcBorders>
              <w:top w:val="nil"/>
              <w:left w:val="nil"/>
              <w:bottom w:val="nil"/>
              <w:right w:val="nil"/>
            </w:tcBorders>
            <w:vAlign w:val="center"/>
            <w:hideMark/>
          </w:tcPr>
          <w:p w14:paraId="73AF15D8" w14:textId="77777777" w:rsidR="00156A23" w:rsidRPr="0053182F" w:rsidRDefault="00156A23" w:rsidP="00D20468">
            <w:pPr>
              <w:spacing w:after="0"/>
              <w:jc w:val="center"/>
              <w:rPr>
                <w:sz w:val="22"/>
                <w:szCs w:val="22"/>
              </w:rPr>
            </w:pPr>
            <w:r w:rsidRPr="0053182F">
              <w:rPr>
                <w:sz w:val="22"/>
                <w:szCs w:val="22"/>
              </w:rPr>
              <w:t>-0.075</w:t>
            </w:r>
          </w:p>
        </w:tc>
        <w:tc>
          <w:tcPr>
            <w:tcW w:w="953" w:type="dxa"/>
            <w:tcBorders>
              <w:top w:val="nil"/>
              <w:left w:val="nil"/>
              <w:bottom w:val="nil"/>
              <w:right w:val="nil"/>
            </w:tcBorders>
            <w:vAlign w:val="center"/>
            <w:hideMark/>
          </w:tcPr>
          <w:p w14:paraId="1EE5F1BD" w14:textId="77777777" w:rsidR="00156A23" w:rsidRPr="0053182F" w:rsidRDefault="00156A23" w:rsidP="00D20468">
            <w:pPr>
              <w:spacing w:after="0"/>
              <w:jc w:val="center"/>
              <w:rPr>
                <w:sz w:val="22"/>
                <w:szCs w:val="22"/>
              </w:rPr>
            </w:pPr>
            <w:r w:rsidRPr="0053182F">
              <w:rPr>
                <w:sz w:val="22"/>
                <w:szCs w:val="22"/>
              </w:rPr>
              <w:t>0.041</w:t>
            </w:r>
          </w:p>
        </w:tc>
        <w:tc>
          <w:tcPr>
            <w:tcW w:w="1525" w:type="dxa"/>
            <w:tcBorders>
              <w:top w:val="nil"/>
              <w:left w:val="nil"/>
              <w:bottom w:val="nil"/>
              <w:right w:val="nil"/>
            </w:tcBorders>
            <w:vAlign w:val="center"/>
            <w:hideMark/>
          </w:tcPr>
          <w:p w14:paraId="76779348" w14:textId="77777777" w:rsidR="00156A23" w:rsidRPr="0053182F" w:rsidRDefault="00156A23" w:rsidP="00D20468">
            <w:pPr>
              <w:spacing w:after="0"/>
              <w:jc w:val="center"/>
              <w:rPr>
                <w:sz w:val="22"/>
                <w:szCs w:val="22"/>
              </w:rPr>
            </w:pPr>
            <w:r w:rsidRPr="0053182F">
              <w:rPr>
                <w:sz w:val="22"/>
                <w:szCs w:val="22"/>
              </w:rPr>
              <w:t>0</w:t>
            </w:r>
          </w:p>
        </w:tc>
        <w:tc>
          <w:tcPr>
            <w:tcW w:w="953" w:type="dxa"/>
            <w:tcBorders>
              <w:top w:val="nil"/>
              <w:left w:val="nil"/>
              <w:bottom w:val="nil"/>
              <w:right w:val="nil"/>
            </w:tcBorders>
            <w:vAlign w:val="center"/>
            <w:hideMark/>
          </w:tcPr>
          <w:p w14:paraId="645A3720" w14:textId="77777777" w:rsidR="00156A23" w:rsidRPr="0053182F" w:rsidRDefault="00156A23" w:rsidP="00D20468">
            <w:pPr>
              <w:spacing w:after="0"/>
              <w:jc w:val="center"/>
              <w:rPr>
                <w:sz w:val="22"/>
                <w:szCs w:val="22"/>
              </w:rPr>
            </w:pPr>
            <w:r w:rsidRPr="0053182F">
              <w:rPr>
                <w:sz w:val="22"/>
                <w:szCs w:val="22"/>
              </w:rPr>
              <w:t>0.956</w:t>
            </w:r>
          </w:p>
        </w:tc>
      </w:tr>
      <w:tr w:rsidR="00156A23" w:rsidRPr="0053182F" w14:paraId="4250FA17" w14:textId="77777777" w:rsidTr="00D20468">
        <w:trPr>
          <w:trHeight w:val="315"/>
        </w:trPr>
        <w:tc>
          <w:tcPr>
            <w:tcW w:w="1255" w:type="dxa"/>
            <w:tcBorders>
              <w:top w:val="nil"/>
              <w:left w:val="nil"/>
              <w:bottom w:val="nil"/>
              <w:right w:val="nil"/>
            </w:tcBorders>
            <w:vAlign w:val="center"/>
            <w:hideMark/>
          </w:tcPr>
          <w:p w14:paraId="01E813B2" w14:textId="77777777" w:rsidR="00156A23" w:rsidRPr="0053182F" w:rsidRDefault="00156A23" w:rsidP="00D20468">
            <w:pPr>
              <w:spacing w:after="0"/>
              <w:jc w:val="center"/>
              <w:rPr>
                <w:b/>
                <w:bCs/>
                <w:sz w:val="22"/>
                <w:szCs w:val="22"/>
              </w:rPr>
            </w:pPr>
            <w:r w:rsidRPr="0053182F">
              <w:rPr>
                <w:b/>
                <w:bCs/>
                <w:sz w:val="22"/>
                <w:szCs w:val="22"/>
              </w:rPr>
              <w:t>Eigenvalue</w:t>
            </w:r>
          </w:p>
        </w:tc>
        <w:tc>
          <w:tcPr>
            <w:tcW w:w="953" w:type="dxa"/>
            <w:tcBorders>
              <w:top w:val="nil"/>
              <w:left w:val="nil"/>
              <w:bottom w:val="nil"/>
              <w:right w:val="nil"/>
            </w:tcBorders>
            <w:vAlign w:val="center"/>
            <w:hideMark/>
          </w:tcPr>
          <w:p w14:paraId="3F483229" w14:textId="77777777" w:rsidR="00156A23" w:rsidRPr="0053182F" w:rsidRDefault="00156A23" w:rsidP="00D20468">
            <w:pPr>
              <w:spacing w:after="0"/>
              <w:jc w:val="center"/>
              <w:rPr>
                <w:sz w:val="22"/>
                <w:szCs w:val="22"/>
              </w:rPr>
            </w:pPr>
            <w:r w:rsidRPr="0053182F">
              <w:rPr>
                <w:sz w:val="22"/>
                <w:szCs w:val="22"/>
              </w:rPr>
              <w:t>5.173</w:t>
            </w:r>
          </w:p>
        </w:tc>
        <w:tc>
          <w:tcPr>
            <w:tcW w:w="953" w:type="dxa"/>
            <w:tcBorders>
              <w:top w:val="nil"/>
              <w:left w:val="nil"/>
              <w:bottom w:val="nil"/>
              <w:right w:val="nil"/>
            </w:tcBorders>
            <w:vAlign w:val="center"/>
            <w:hideMark/>
          </w:tcPr>
          <w:p w14:paraId="4FB925F7" w14:textId="77777777" w:rsidR="00156A23" w:rsidRPr="0053182F" w:rsidRDefault="00156A23" w:rsidP="00D20468">
            <w:pPr>
              <w:spacing w:after="0"/>
              <w:jc w:val="center"/>
              <w:rPr>
                <w:sz w:val="22"/>
                <w:szCs w:val="22"/>
              </w:rPr>
            </w:pPr>
            <w:r w:rsidRPr="0053182F">
              <w:rPr>
                <w:sz w:val="22"/>
                <w:szCs w:val="22"/>
              </w:rPr>
              <w:t>0.356</w:t>
            </w:r>
          </w:p>
        </w:tc>
        <w:tc>
          <w:tcPr>
            <w:tcW w:w="953" w:type="dxa"/>
            <w:tcBorders>
              <w:top w:val="nil"/>
              <w:left w:val="nil"/>
              <w:bottom w:val="nil"/>
              <w:right w:val="nil"/>
            </w:tcBorders>
            <w:vAlign w:val="center"/>
            <w:hideMark/>
          </w:tcPr>
          <w:p w14:paraId="0CF241C3" w14:textId="77777777" w:rsidR="00156A23" w:rsidRPr="0053182F" w:rsidRDefault="00156A23" w:rsidP="00D20468">
            <w:pPr>
              <w:spacing w:after="0"/>
              <w:jc w:val="center"/>
              <w:rPr>
                <w:sz w:val="22"/>
                <w:szCs w:val="22"/>
              </w:rPr>
            </w:pPr>
            <w:r w:rsidRPr="0053182F">
              <w:rPr>
                <w:sz w:val="22"/>
                <w:szCs w:val="22"/>
              </w:rPr>
              <w:t>0.306</w:t>
            </w:r>
          </w:p>
        </w:tc>
        <w:tc>
          <w:tcPr>
            <w:tcW w:w="953" w:type="dxa"/>
            <w:tcBorders>
              <w:top w:val="nil"/>
              <w:left w:val="nil"/>
              <w:bottom w:val="nil"/>
              <w:right w:val="nil"/>
            </w:tcBorders>
            <w:vAlign w:val="center"/>
            <w:hideMark/>
          </w:tcPr>
          <w:p w14:paraId="44D17ED3" w14:textId="77777777" w:rsidR="00156A23" w:rsidRPr="0053182F" w:rsidRDefault="00156A23" w:rsidP="00D20468">
            <w:pPr>
              <w:spacing w:after="0"/>
              <w:jc w:val="center"/>
              <w:rPr>
                <w:sz w:val="22"/>
                <w:szCs w:val="22"/>
              </w:rPr>
            </w:pPr>
            <w:r w:rsidRPr="0053182F">
              <w:rPr>
                <w:sz w:val="22"/>
                <w:szCs w:val="22"/>
              </w:rPr>
              <w:t>0.088</w:t>
            </w:r>
          </w:p>
        </w:tc>
        <w:tc>
          <w:tcPr>
            <w:tcW w:w="953" w:type="dxa"/>
            <w:tcBorders>
              <w:top w:val="nil"/>
              <w:left w:val="nil"/>
              <w:bottom w:val="nil"/>
              <w:right w:val="nil"/>
            </w:tcBorders>
            <w:vAlign w:val="center"/>
            <w:hideMark/>
          </w:tcPr>
          <w:p w14:paraId="33FB4C34" w14:textId="77777777" w:rsidR="00156A23" w:rsidRPr="0053182F" w:rsidRDefault="00156A23" w:rsidP="00D20468">
            <w:pPr>
              <w:spacing w:after="0"/>
              <w:jc w:val="center"/>
              <w:rPr>
                <w:sz w:val="22"/>
                <w:szCs w:val="22"/>
              </w:rPr>
            </w:pPr>
            <w:r w:rsidRPr="0053182F">
              <w:rPr>
                <w:sz w:val="22"/>
                <w:szCs w:val="22"/>
              </w:rPr>
              <w:t>0.044</w:t>
            </w:r>
          </w:p>
        </w:tc>
        <w:tc>
          <w:tcPr>
            <w:tcW w:w="953" w:type="dxa"/>
            <w:tcBorders>
              <w:top w:val="nil"/>
              <w:left w:val="nil"/>
              <w:bottom w:val="nil"/>
              <w:right w:val="nil"/>
            </w:tcBorders>
            <w:vAlign w:val="center"/>
            <w:hideMark/>
          </w:tcPr>
          <w:p w14:paraId="4AA741C7" w14:textId="77777777" w:rsidR="00156A23" w:rsidRPr="0053182F" w:rsidRDefault="00156A23" w:rsidP="00D20468">
            <w:pPr>
              <w:spacing w:after="0"/>
              <w:jc w:val="center"/>
              <w:rPr>
                <w:sz w:val="22"/>
                <w:szCs w:val="22"/>
              </w:rPr>
            </w:pPr>
            <w:r w:rsidRPr="0053182F">
              <w:rPr>
                <w:sz w:val="22"/>
                <w:szCs w:val="22"/>
              </w:rPr>
              <w:t>0.032</w:t>
            </w:r>
          </w:p>
        </w:tc>
        <w:tc>
          <w:tcPr>
            <w:tcW w:w="1525" w:type="dxa"/>
            <w:tcBorders>
              <w:top w:val="nil"/>
              <w:left w:val="nil"/>
              <w:bottom w:val="nil"/>
              <w:right w:val="nil"/>
            </w:tcBorders>
            <w:noWrap/>
            <w:vAlign w:val="bottom"/>
            <w:hideMark/>
          </w:tcPr>
          <w:p w14:paraId="0D9355CC" w14:textId="77777777" w:rsidR="00156A23" w:rsidRPr="0053182F" w:rsidRDefault="00156A23" w:rsidP="00D20468">
            <w:pPr>
              <w:spacing w:after="0"/>
              <w:jc w:val="center"/>
              <w:rPr>
                <w:sz w:val="22"/>
                <w:szCs w:val="22"/>
              </w:rPr>
            </w:pPr>
            <w:r w:rsidRPr="0053182F">
              <w:rPr>
                <w:sz w:val="22"/>
                <w:szCs w:val="22"/>
              </w:rPr>
              <w:t>-</w:t>
            </w:r>
          </w:p>
        </w:tc>
        <w:tc>
          <w:tcPr>
            <w:tcW w:w="953" w:type="dxa"/>
            <w:tcBorders>
              <w:top w:val="nil"/>
              <w:left w:val="nil"/>
              <w:bottom w:val="nil"/>
              <w:right w:val="nil"/>
            </w:tcBorders>
            <w:noWrap/>
            <w:vAlign w:val="bottom"/>
            <w:hideMark/>
          </w:tcPr>
          <w:p w14:paraId="684F392A" w14:textId="77777777" w:rsidR="00156A23" w:rsidRPr="0053182F" w:rsidRDefault="00156A23" w:rsidP="00D20468">
            <w:pPr>
              <w:spacing w:after="0"/>
              <w:jc w:val="center"/>
              <w:rPr>
                <w:sz w:val="20"/>
                <w:szCs w:val="20"/>
              </w:rPr>
            </w:pPr>
            <w:r w:rsidRPr="0053182F">
              <w:rPr>
                <w:sz w:val="20"/>
                <w:szCs w:val="20"/>
              </w:rPr>
              <w:t>-</w:t>
            </w:r>
          </w:p>
        </w:tc>
      </w:tr>
      <w:tr w:rsidR="00156A23" w:rsidRPr="0053182F" w14:paraId="07262DE9" w14:textId="77777777" w:rsidTr="00D20468">
        <w:trPr>
          <w:trHeight w:val="300"/>
        </w:trPr>
        <w:tc>
          <w:tcPr>
            <w:tcW w:w="1255" w:type="dxa"/>
            <w:tcBorders>
              <w:top w:val="nil"/>
              <w:left w:val="nil"/>
              <w:bottom w:val="nil"/>
              <w:right w:val="nil"/>
            </w:tcBorders>
            <w:vAlign w:val="center"/>
            <w:hideMark/>
          </w:tcPr>
          <w:p w14:paraId="37972B88" w14:textId="77777777" w:rsidR="00156A23" w:rsidRPr="0053182F" w:rsidRDefault="00156A23" w:rsidP="00D20468">
            <w:pPr>
              <w:spacing w:after="0"/>
              <w:jc w:val="center"/>
              <w:rPr>
                <w:b/>
                <w:bCs/>
                <w:sz w:val="22"/>
                <w:szCs w:val="22"/>
              </w:rPr>
            </w:pPr>
            <w:r w:rsidRPr="0053182F">
              <w:rPr>
                <w:b/>
                <w:bCs/>
                <w:sz w:val="22"/>
                <w:szCs w:val="22"/>
              </w:rPr>
              <w:t>Proportion</w:t>
            </w:r>
          </w:p>
        </w:tc>
        <w:tc>
          <w:tcPr>
            <w:tcW w:w="953" w:type="dxa"/>
            <w:tcBorders>
              <w:top w:val="nil"/>
              <w:left w:val="nil"/>
              <w:bottom w:val="nil"/>
              <w:right w:val="nil"/>
            </w:tcBorders>
            <w:vAlign w:val="center"/>
            <w:hideMark/>
          </w:tcPr>
          <w:p w14:paraId="3D6DDED1" w14:textId="77777777" w:rsidR="00156A23" w:rsidRPr="0053182F" w:rsidRDefault="00156A23" w:rsidP="00D20468">
            <w:pPr>
              <w:spacing w:after="0"/>
              <w:jc w:val="center"/>
              <w:rPr>
                <w:sz w:val="22"/>
                <w:szCs w:val="22"/>
              </w:rPr>
            </w:pPr>
            <w:r w:rsidRPr="0053182F">
              <w:rPr>
                <w:sz w:val="22"/>
                <w:szCs w:val="22"/>
              </w:rPr>
              <w:t>0.862</w:t>
            </w:r>
          </w:p>
        </w:tc>
        <w:tc>
          <w:tcPr>
            <w:tcW w:w="953" w:type="dxa"/>
            <w:tcBorders>
              <w:top w:val="nil"/>
              <w:left w:val="nil"/>
              <w:bottom w:val="nil"/>
              <w:right w:val="nil"/>
            </w:tcBorders>
            <w:vAlign w:val="center"/>
            <w:hideMark/>
          </w:tcPr>
          <w:p w14:paraId="3B09CCAC" w14:textId="77777777" w:rsidR="00156A23" w:rsidRPr="0053182F" w:rsidRDefault="00156A23" w:rsidP="00D20468">
            <w:pPr>
              <w:spacing w:after="0"/>
              <w:jc w:val="center"/>
              <w:rPr>
                <w:sz w:val="22"/>
                <w:szCs w:val="22"/>
              </w:rPr>
            </w:pPr>
            <w:r w:rsidRPr="0053182F">
              <w:rPr>
                <w:sz w:val="22"/>
                <w:szCs w:val="22"/>
              </w:rPr>
              <w:t>0.059</w:t>
            </w:r>
          </w:p>
        </w:tc>
        <w:tc>
          <w:tcPr>
            <w:tcW w:w="953" w:type="dxa"/>
            <w:tcBorders>
              <w:top w:val="nil"/>
              <w:left w:val="nil"/>
              <w:bottom w:val="nil"/>
              <w:right w:val="nil"/>
            </w:tcBorders>
            <w:vAlign w:val="center"/>
            <w:hideMark/>
          </w:tcPr>
          <w:p w14:paraId="01FDA6AC" w14:textId="77777777" w:rsidR="00156A23" w:rsidRPr="0053182F" w:rsidRDefault="00156A23" w:rsidP="00D20468">
            <w:pPr>
              <w:spacing w:after="0"/>
              <w:jc w:val="center"/>
              <w:rPr>
                <w:sz w:val="22"/>
                <w:szCs w:val="22"/>
              </w:rPr>
            </w:pPr>
            <w:r w:rsidRPr="0053182F">
              <w:rPr>
                <w:sz w:val="22"/>
                <w:szCs w:val="22"/>
              </w:rPr>
              <w:t>0.051</w:t>
            </w:r>
          </w:p>
        </w:tc>
        <w:tc>
          <w:tcPr>
            <w:tcW w:w="953" w:type="dxa"/>
            <w:tcBorders>
              <w:top w:val="nil"/>
              <w:left w:val="nil"/>
              <w:bottom w:val="nil"/>
              <w:right w:val="nil"/>
            </w:tcBorders>
            <w:vAlign w:val="center"/>
            <w:hideMark/>
          </w:tcPr>
          <w:p w14:paraId="7AEFD332" w14:textId="77777777" w:rsidR="00156A23" w:rsidRPr="0053182F" w:rsidRDefault="00156A23" w:rsidP="00D20468">
            <w:pPr>
              <w:spacing w:after="0"/>
              <w:jc w:val="center"/>
              <w:rPr>
                <w:sz w:val="22"/>
                <w:szCs w:val="22"/>
              </w:rPr>
            </w:pPr>
            <w:r w:rsidRPr="0053182F">
              <w:rPr>
                <w:sz w:val="22"/>
                <w:szCs w:val="22"/>
              </w:rPr>
              <w:t>0.015</w:t>
            </w:r>
          </w:p>
        </w:tc>
        <w:tc>
          <w:tcPr>
            <w:tcW w:w="953" w:type="dxa"/>
            <w:tcBorders>
              <w:top w:val="nil"/>
              <w:left w:val="nil"/>
              <w:bottom w:val="nil"/>
              <w:right w:val="nil"/>
            </w:tcBorders>
            <w:vAlign w:val="center"/>
            <w:hideMark/>
          </w:tcPr>
          <w:p w14:paraId="5D8626A4" w14:textId="77777777" w:rsidR="00156A23" w:rsidRPr="0053182F" w:rsidRDefault="00156A23" w:rsidP="00D20468">
            <w:pPr>
              <w:spacing w:after="0"/>
              <w:jc w:val="center"/>
              <w:rPr>
                <w:sz w:val="22"/>
                <w:szCs w:val="22"/>
              </w:rPr>
            </w:pPr>
            <w:r w:rsidRPr="0053182F">
              <w:rPr>
                <w:sz w:val="22"/>
                <w:szCs w:val="22"/>
              </w:rPr>
              <w:t>0.007</w:t>
            </w:r>
          </w:p>
        </w:tc>
        <w:tc>
          <w:tcPr>
            <w:tcW w:w="953" w:type="dxa"/>
            <w:tcBorders>
              <w:top w:val="nil"/>
              <w:left w:val="nil"/>
              <w:bottom w:val="nil"/>
              <w:right w:val="nil"/>
            </w:tcBorders>
            <w:vAlign w:val="center"/>
            <w:hideMark/>
          </w:tcPr>
          <w:p w14:paraId="7E854DB2" w14:textId="77777777" w:rsidR="00156A23" w:rsidRPr="0053182F" w:rsidRDefault="00156A23" w:rsidP="00D20468">
            <w:pPr>
              <w:spacing w:after="0"/>
              <w:jc w:val="center"/>
              <w:rPr>
                <w:sz w:val="22"/>
                <w:szCs w:val="22"/>
              </w:rPr>
            </w:pPr>
            <w:r w:rsidRPr="0053182F">
              <w:rPr>
                <w:sz w:val="22"/>
                <w:szCs w:val="22"/>
              </w:rPr>
              <w:t>0.005</w:t>
            </w:r>
          </w:p>
        </w:tc>
        <w:tc>
          <w:tcPr>
            <w:tcW w:w="1525" w:type="dxa"/>
            <w:tcBorders>
              <w:top w:val="nil"/>
              <w:left w:val="nil"/>
              <w:bottom w:val="nil"/>
              <w:right w:val="nil"/>
            </w:tcBorders>
            <w:noWrap/>
            <w:vAlign w:val="bottom"/>
            <w:hideMark/>
          </w:tcPr>
          <w:p w14:paraId="5B02A9FC" w14:textId="77777777" w:rsidR="00156A23" w:rsidRPr="0053182F" w:rsidRDefault="00156A23" w:rsidP="00D20468">
            <w:pPr>
              <w:spacing w:after="0"/>
              <w:jc w:val="center"/>
              <w:rPr>
                <w:sz w:val="22"/>
                <w:szCs w:val="22"/>
              </w:rPr>
            </w:pPr>
            <w:r w:rsidRPr="0053182F">
              <w:rPr>
                <w:sz w:val="22"/>
                <w:szCs w:val="22"/>
              </w:rPr>
              <w:t>-</w:t>
            </w:r>
          </w:p>
        </w:tc>
        <w:tc>
          <w:tcPr>
            <w:tcW w:w="953" w:type="dxa"/>
            <w:tcBorders>
              <w:top w:val="nil"/>
              <w:left w:val="nil"/>
              <w:bottom w:val="nil"/>
              <w:right w:val="nil"/>
            </w:tcBorders>
            <w:noWrap/>
            <w:vAlign w:val="bottom"/>
            <w:hideMark/>
          </w:tcPr>
          <w:p w14:paraId="1040205C" w14:textId="77777777" w:rsidR="00156A23" w:rsidRPr="0053182F" w:rsidRDefault="00156A23" w:rsidP="00D20468">
            <w:pPr>
              <w:spacing w:after="0"/>
              <w:jc w:val="center"/>
              <w:rPr>
                <w:sz w:val="20"/>
                <w:szCs w:val="20"/>
              </w:rPr>
            </w:pPr>
            <w:r w:rsidRPr="0053182F">
              <w:rPr>
                <w:sz w:val="20"/>
                <w:szCs w:val="20"/>
              </w:rPr>
              <w:t>-</w:t>
            </w:r>
          </w:p>
        </w:tc>
      </w:tr>
      <w:tr w:rsidR="00156A23" w:rsidRPr="0053182F" w14:paraId="48E023B9" w14:textId="77777777" w:rsidTr="00D20468">
        <w:trPr>
          <w:trHeight w:val="300"/>
        </w:trPr>
        <w:tc>
          <w:tcPr>
            <w:tcW w:w="1255" w:type="dxa"/>
            <w:tcBorders>
              <w:top w:val="nil"/>
              <w:left w:val="nil"/>
              <w:bottom w:val="single" w:sz="4" w:space="0" w:color="auto"/>
              <w:right w:val="nil"/>
            </w:tcBorders>
            <w:vAlign w:val="center"/>
            <w:hideMark/>
          </w:tcPr>
          <w:p w14:paraId="5EBBF7DE" w14:textId="77777777" w:rsidR="00156A23" w:rsidRPr="0053182F" w:rsidRDefault="00156A23" w:rsidP="00D20468">
            <w:pPr>
              <w:spacing w:after="0"/>
              <w:rPr>
                <w:b/>
                <w:bCs/>
                <w:sz w:val="22"/>
                <w:szCs w:val="22"/>
              </w:rPr>
            </w:pPr>
            <w:r w:rsidRPr="0053182F">
              <w:rPr>
                <w:b/>
                <w:bCs/>
                <w:sz w:val="22"/>
                <w:szCs w:val="22"/>
              </w:rPr>
              <w:t>KMO</w:t>
            </w:r>
          </w:p>
        </w:tc>
        <w:tc>
          <w:tcPr>
            <w:tcW w:w="953" w:type="dxa"/>
            <w:tcBorders>
              <w:top w:val="nil"/>
              <w:left w:val="nil"/>
              <w:bottom w:val="single" w:sz="4" w:space="0" w:color="auto"/>
              <w:right w:val="nil"/>
            </w:tcBorders>
            <w:noWrap/>
            <w:vAlign w:val="bottom"/>
            <w:hideMark/>
          </w:tcPr>
          <w:p w14:paraId="6C20F0A3" w14:textId="77777777" w:rsidR="00156A23" w:rsidRPr="0053182F" w:rsidRDefault="00156A23" w:rsidP="00D20468">
            <w:pPr>
              <w:spacing w:after="0"/>
              <w:jc w:val="center"/>
              <w:rPr>
                <w:b/>
                <w:bCs/>
                <w:sz w:val="22"/>
                <w:szCs w:val="22"/>
              </w:rPr>
            </w:pPr>
            <w:r w:rsidRPr="0053182F">
              <w:rPr>
                <w:b/>
                <w:bCs/>
                <w:sz w:val="22"/>
                <w:szCs w:val="22"/>
              </w:rPr>
              <w:t>-</w:t>
            </w:r>
          </w:p>
        </w:tc>
        <w:tc>
          <w:tcPr>
            <w:tcW w:w="953" w:type="dxa"/>
            <w:tcBorders>
              <w:top w:val="nil"/>
              <w:left w:val="nil"/>
              <w:bottom w:val="single" w:sz="4" w:space="0" w:color="auto"/>
              <w:right w:val="nil"/>
            </w:tcBorders>
            <w:noWrap/>
            <w:vAlign w:val="bottom"/>
            <w:hideMark/>
          </w:tcPr>
          <w:p w14:paraId="46BC9A1F" w14:textId="77777777" w:rsidR="00156A23" w:rsidRPr="0053182F" w:rsidRDefault="00156A23" w:rsidP="00D20468">
            <w:pPr>
              <w:spacing w:after="0"/>
              <w:jc w:val="center"/>
              <w:rPr>
                <w:sz w:val="20"/>
                <w:szCs w:val="20"/>
              </w:rPr>
            </w:pPr>
            <w:r w:rsidRPr="0053182F">
              <w:rPr>
                <w:sz w:val="20"/>
                <w:szCs w:val="20"/>
              </w:rPr>
              <w:t>-</w:t>
            </w:r>
          </w:p>
        </w:tc>
        <w:tc>
          <w:tcPr>
            <w:tcW w:w="953" w:type="dxa"/>
            <w:tcBorders>
              <w:top w:val="nil"/>
              <w:left w:val="nil"/>
              <w:bottom w:val="single" w:sz="4" w:space="0" w:color="auto"/>
              <w:right w:val="nil"/>
            </w:tcBorders>
            <w:noWrap/>
            <w:vAlign w:val="bottom"/>
            <w:hideMark/>
          </w:tcPr>
          <w:p w14:paraId="4C71694F" w14:textId="77777777" w:rsidR="00156A23" w:rsidRPr="0053182F" w:rsidRDefault="00156A23" w:rsidP="00D20468">
            <w:pPr>
              <w:spacing w:after="0"/>
              <w:jc w:val="center"/>
              <w:rPr>
                <w:sz w:val="20"/>
                <w:szCs w:val="20"/>
              </w:rPr>
            </w:pPr>
            <w:r w:rsidRPr="0053182F">
              <w:rPr>
                <w:sz w:val="20"/>
                <w:szCs w:val="20"/>
              </w:rPr>
              <w:t>-</w:t>
            </w:r>
          </w:p>
        </w:tc>
        <w:tc>
          <w:tcPr>
            <w:tcW w:w="953" w:type="dxa"/>
            <w:tcBorders>
              <w:top w:val="nil"/>
              <w:left w:val="nil"/>
              <w:bottom w:val="single" w:sz="4" w:space="0" w:color="auto"/>
              <w:right w:val="nil"/>
            </w:tcBorders>
            <w:noWrap/>
            <w:vAlign w:val="bottom"/>
            <w:hideMark/>
          </w:tcPr>
          <w:p w14:paraId="35E1D191" w14:textId="77777777" w:rsidR="00156A23" w:rsidRPr="0053182F" w:rsidRDefault="00156A23" w:rsidP="00D20468">
            <w:pPr>
              <w:spacing w:after="0"/>
              <w:jc w:val="center"/>
              <w:rPr>
                <w:sz w:val="20"/>
                <w:szCs w:val="20"/>
              </w:rPr>
            </w:pPr>
            <w:r w:rsidRPr="0053182F">
              <w:rPr>
                <w:sz w:val="20"/>
                <w:szCs w:val="20"/>
              </w:rPr>
              <w:t>-</w:t>
            </w:r>
          </w:p>
        </w:tc>
        <w:tc>
          <w:tcPr>
            <w:tcW w:w="953" w:type="dxa"/>
            <w:tcBorders>
              <w:top w:val="nil"/>
              <w:left w:val="nil"/>
              <w:bottom w:val="single" w:sz="4" w:space="0" w:color="auto"/>
              <w:right w:val="nil"/>
            </w:tcBorders>
            <w:noWrap/>
            <w:vAlign w:val="bottom"/>
            <w:hideMark/>
          </w:tcPr>
          <w:p w14:paraId="333187A9" w14:textId="77777777" w:rsidR="00156A23" w:rsidRPr="0053182F" w:rsidRDefault="00156A23" w:rsidP="00D20468">
            <w:pPr>
              <w:spacing w:after="0"/>
              <w:jc w:val="center"/>
              <w:rPr>
                <w:sz w:val="20"/>
                <w:szCs w:val="20"/>
              </w:rPr>
            </w:pPr>
            <w:r w:rsidRPr="0053182F">
              <w:rPr>
                <w:sz w:val="20"/>
                <w:szCs w:val="20"/>
              </w:rPr>
              <w:t>-</w:t>
            </w:r>
          </w:p>
        </w:tc>
        <w:tc>
          <w:tcPr>
            <w:tcW w:w="953" w:type="dxa"/>
            <w:tcBorders>
              <w:top w:val="nil"/>
              <w:left w:val="nil"/>
              <w:bottom w:val="single" w:sz="4" w:space="0" w:color="auto"/>
              <w:right w:val="nil"/>
            </w:tcBorders>
            <w:noWrap/>
            <w:vAlign w:val="bottom"/>
            <w:hideMark/>
          </w:tcPr>
          <w:p w14:paraId="0E2E2C06" w14:textId="77777777" w:rsidR="00156A23" w:rsidRPr="0053182F" w:rsidRDefault="00156A23" w:rsidP="00D20468">
            <w:pPr>
              <w:spacing w:after="0"/>
              <w:jc w:val="center"/>
              <w:rPr>
                <w:sz w:val="20"/>
                <w:szCs w:val="20"/>
              </w:rPr>
            </w:pPr>
            <w:r w:rsidRPr="0053182F">
              <w:rPr>
                <w:sz w:val="20"/>
                <w:szCs w:val="20"/>
              </w:rPr>
              <w:t>-</w:t>
            </w:r>
          </w:p>
        </w:tc>
        <w:tc>
          <w:tcPr>
            <w:tcW w:w="1525" w:type="dxa"/>
            <w:tcBorders>
              <w:top w:val="nil"/>
              <w:left w:val="nil"/>
              <w:bottom w:val="single" w:sz="4" w:space="0" w:color="auto"/>
              <w:right w:val="nil"/>
            </w:tcBorders>
            <w:noWrap/>
            <w:vAlign w:val="bottom"/>
            <w:hideMark/>
          </w:tcPr>
          <w:p w14:paraId="1C5B9C8D" w14:textId="77777777" w:rsidR="00156A23" w:rsidRPr="0053182F" w:rsidRDefault="00156A23" w:rsidP="00D20468">
            <w:pPr>
              <w:spacing w:after="0"/>
              <w:jc w:val="center"/>
              <w:rPr>
                <w:sz w:val="20"/>
                <w:szCs w:val="20"/>
              </w:rPr>
            </w:pPr>
            <w:r w:rsidRPr="0053182F">
              <w:rPr>
                <w:sz w:val="20"/>
                <w:szCs w:val="20"/>
              </w:rPr>
              <w:t>-</w:t>
            </w:r>
          </w:p>
        </w:tc>
        <w:tc>
          <w:tcPr>
            <w:tcW w:w="953" w:type="dxa"/>
            <w:tcBorders>
              <w:top w:val="nil"/>
              <w:left w:val="nil"/>
              <w:bottom w:val="single" w:sz="4" w:space="0" w:color="auto"/>
              <w:right w:val="nil"/>
            </w:tcBorders>
            <w:noWrap/>
            <w:vAlign w:val="bottom"/>
            <w:hideMark/>
          </w:tcPr>
          <w:p w14:paraId="019193CF" w14:textId="77777777" w:rsidR="00156A23" w:rsidRPr="0053182F" w:rsidRDefault="00156A23" w:rsidP="00D20468">
            <w:pPr>
              <w:spacing w:after="0"/>
              <w:jc w:val="center"/>
              <w:rPr>
                <w:sz w:val="22"/>
                <w:szCs w:val="22"/>
              </w:rPr>
            </w:pPr>
            <w:r w:rsidRPr="0053182F">
              <w:rPr>
                <w:sz w:val="22"/>
                <w:szCs w:val="22"/>
              </w:rPr>
              <w:t>0.903</w:t>
            </w:r>
          </w:p>
        </w:tc>
      </w:tr>
    </w:tbl>
    <w:p w14:paraId="59C73A89" w14:textId="77777777" w:rsidR="00156A23" w:rsidRPr="0053182F" w:rsidRDefault="00156A23" w:rsidP="00156A23">
      <w:pPr>
        <w:spacing w:before="100" w:beforeAutospacing="1" w:after="100" w:afterAutospacing="1"/>
        <w:rPr>
          <w:sz w:val="20"/>
          <w:szCs w:val="20"/>
        </w:rPr>
      </w:pPr>
      <w:r w:rsidRPr="0053182F">
        <w:rPr>
          <w:b/>
          <w:bCs/>
          <w:sz w:val="20"/>
          <w:szCs w:val="20"/>
        </w:rPr>
        <w:t>Note:</w:t>
      </w:r>
      <w:r w:rsidRPr="0053182F">
        <w:rPr>
          <w:sz w:val="20"/>
          <w:szCs w:val="20"/>
        </w:rPr>
        <w:t xml:space="preserve"> All variables are fully defined in Table 7.2.</w:t>
      </w:r>
    </w:p>
    <w:p w14:paraId="4B1D8644" w14:textId="68A8C369" w:rsidR="00156A23" w:rsidRPr="0053182F" w:rsidRDefault="00156A23" w:rsidP="00156A23">
      <w:pPr>
        <w:spacing w:after="100" w:afterAutospacing="1" w:line="480" w:lineRule="auto"/>
        <w:ind w:firstLine="720"/>
        <w:jc w:val="both"/>
      </w:pPr>
      <w:r w:rsidRPr="0053182F">
        <w:t xml:space="preserve">Figure </w:t>
      </w:r>
      <w:r w:rsidR="00F66D3E" w:rsidRPr="0053182F">
        <w:t>7</w:t>
      </w:r>
      <w:r w:rsidRPr="0053182F">
        <w:t>.</w:t>
      </w:r>
      <w:r w:rsidR="00F66D3E" w:rsidRPr="0053182F">
        <w:t>5</w:t>
      </w:r>
      <w:r w:rsidRPr="0053182F">
        <w:t xml:space="preserve"> presents the scree plot of eigenvalues after PCA of the six WGIs used to construct the IEQ index. The steep drop from the first to the second component, followed by a levelling off, indicates that the first principal component captures the majority of the variance in the data—specifically, it has an eigenvalue greater than 5, far exceeding the threshold of 1 (indicated by the dashed line). According to the Kaiser criterion, which retains components with eigenvalues greater than 1, only the first component should be considered for further analysis </w:t>
      </w:r>
      <w:sdt>
        <w:sdtPr>
          <w:tag w:val="MENDELEY_CITATION_v3_eyJjaXRhdGlvbklEIjoiTUVOREVMRVlfQ0lUQVRJT05fNzI4Y2NkMTgtOWZmZS00NTkyLWFhYmMtOWVlYWE3ZTNkYjA2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
          <w:id w:val="-440152742"/>
          <w:placeholder>
            <w:docPart w:val="7F13966635B2413BB5C2B50C1074F54C"/>
          </w:placeholder>
        </w:sdtPr>
        <w:sdtContent>
          <w:r w:rsidRPr="0053182F">
            <w:rPr>
              <w:rFonts w:eastAsia="Times New Roman"/>
            </w:rPr>
            <w:t xml:space="preserve">(Moussa </w:t>
          </w:r>
          <w:r w:rsidRPr="0053182F">
            <w:rPr>
              <w:rFonts w:eastAsia="Times New Roman"/>
              <w:i/>
              <w:iCs/>
            </w:rPr>
            <w:t>et al.</w:t>
          </w:r>
          <w:r w:rsidRPr="0053182F">
            <w:rPr>
              <w:rFonts w:eastAsia="Times New Roman"/>
            </w:rPr>
            <w:t>, 2022)</w:t>
          </w:r>
        </w:sdtContent>
      </w:sdt>
      <w:r w:rsidRPr="0053182F">
        <w:t>. This suggests a strong unidimensional structure in the data, justifying the use of a single composite index (IEQ) in subsequent modelling or analysis.</w:t>
      </w:r>
    </w:p>
    <w:p w14:paraId="46B4B924" w14:textId="77777777" w:rsidR="00156A23" w:rsidRPr="0053182F" w:rsidRDefault="00156A23" w:rsidP="00156A23">
      <w:pPr>
        <w:jc w:val="center"/>
      </w:pPr>
      <w:r w:rsidRPr="0053182F">
        <w:rPr>
          <w:noProof/>
          <w14:ligatures w14:val="none"/>
        </w:rPr>
        <w:drawing>
          <wp:inline distT="0" distB="0" distL="0" distR="0" wp14:anchorId="2574E2A6" wp14:editId="1027C4B6">
            <wp:extent cx="4058816" cy="2430949"/>
            <wp:effectExtent l="0" t="0" r="0" b="7620"/>
            <wp:docPr id="17679413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061367" cy="2432477"/>
                    </a:xfrm>
                    <a:prstGeom prst="rect">
                      <a:avLst/>
                    </a:prstGeom>
                    <a:noFill/>
                    <a:ln>
                      <a:noFill/>
                    </a:ln>
                  </pic:spPr>
                </pic:pic>
              </a:graphicData>
            </a:graphic>
          </wp:inline>
        </w:drawing>
      </w:r>
    </w:p>
    <w:p w14:paraId="1E2F7D23" w14:textId="77777777" w:rsidR="00156A23" w:rsidRPr="0053182F" w:rsidRDefault="00156A23" w:rsidP="00156A23">
      <w:pPr>
        <w:pStyle w:val="Caption"/>
      </w:pPr>
      <w:r w:rsidRPr="0053182F">
        <w:rPr>
          <w:b/>
          <w:bCs/>
        </w:rPr>
        <w:t>Figure 7.5:</w:t>
      </w:r>
      <w:r w:rsidRPr="0053182F">
        <w:t xml:space="preserve"> Scree plot of eigenvalues after PCA of the six WGIs</w:t>
      </w:r>
    </w:p>
    <w:p w14:paraId="1CFB4061" w14:textId="77777777" w:rsidR="00CE2B10" w:rsidRPr="0053182F" w:rsidRDefault="00156A23" w:rsidP="00CE2B10">
      <w:pPr>
        <w:spacing w:line="480" w:lineRule="auto"/>
        <w:jc w:val="both"/>
      </w:pPr>
      <w:r w:rsidRPr="0053182F">
        <w:t xml:space="preserve">Figure 7.5 displays the boxplot of scores for the first principal component (IEQ) across three time points: 2016, 2018, and 2022. The distribution of IEQ scores appears relatively stable over time, with medians slightly below zero in all years and nearly identical interquartile ranges (IQRs). This suggests that IEQ across countries has not shifted significantly over the observed periods. The consistency in the spread and central tendency aligns with findings from </w:t>
      </w:r>
      <w:sdt>
        <w:sdtPr>
          <w:tag w:val="MENDELEY_CITATION_v3_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LCJjb250YWluZXItdGl0bGUtc2hvcnQiOiJCdXMgU29jIn0sImlzVGVtcG9yYXJ5IjpmYWxzZX1dfQ=="/>
          <w:id w:val="-581294619"/>
          <w:placeholder>
            <w:docPart w:val="0356A187124B42DE8555C3BB95C2F840"/>
          </w:placeholder>
        </w:sdtPr>
        <w:sdtContent>
          <w:r w:rsidRPr="0053182F">
            <w:t>Daniel et al (2012) and Elamer et al (2020)</w:t>
          </w:r>
        </w:sdtContent>
      </w:sdt>
      <w:r w:rsidRPr="0053182F">
        <w:t>, who observed that governance structures—particularly the legal, regulatory, and administrative dimensions—tend to change slowly unless disrupted by major political or economic shocks. The presence of extreme values (longer whiskers) indicates persistent disparities in governance quality among countries. Overall, this visualisation supports the argument that IEQ is a relatively stable construct over short to medium timeframes, further validating its use as a composite index for comparative cross-country governance analysis</w:t>
      </w:r>
      <w:r w:rsidR="00A27800" w:rsidRPr="0053182F">
        <w:t xml:space="preserve"> </w:t>
      </w:r>
      <w:sdt>
        <w:sdtPr>
          <w:tag w:val="MENDELEY_CITATION_v3_eyJjaXRhdGlvbklEIjoiTUVOREVMRVlfQ0lUQVRJT05fYmNkZDMzMzEtMGZkNi00MmJkLThkYjEtZWE4ZTE1YTEyZjA3IiwicHJvcGVydGllcyI6eyJub3RlSW5kZXgiOjB9LCJpc0VkaXRlZCI6ZmFsc2UsIm1hbnVhbE92ZXJyaWRlIjp7ImlzTWFudWFsbHlPdmVycmlkZGVuIjpmYWxzZSwiY2l0ZXByb2NUZXh0IjoiKEhlbGZheWEgPGk+ZXQgYWwuPC9pPiwgMjAyNS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
          <w:id w:val="-2008047247"/>
          <w:placeholder>
            <w:docPart w:val="3BC2FE9048404F5CB2D09D845CE29C9D"/>
          </w:placeholder>
        </w:sdtPr>
        <w:sdtContent>
          <w:r w:rsidR="00CE2B10" w:rsidRPr="0053182F">
            <w:rPr>
              <w:rFonts w:eastAsia="Times New Roman"/>
            </w:rPr>
            <w:t xml:space="preserve">(Helfaya </w:t>
          </w:r>
          <w:r w:rsidR="00CE2B10" w:rsidRPr="0053182F">
            <w:rPr>
              <w:rFonts w:eastAsia="Times New Roman"/>
              <w:i/>
              <w:iCs/>
            </w:rPr>
            <w:t>et al.</w:t>
          </w:r>
          <w:r w:rsidR="00CE2B10" w:rsidRPr="0053182F">
            <w:rPr>
              <w:rFonts w:eastAsia="Times New Roman"/>
            </w:rPr>
            <w:t>, 2025)</w:t>
          </w:r>
        </w:sdtContent>
      </w:sdt>
    </w:p>
    <w:p w14:paraId="20D4EFF0" w14:textId="4106241E" w:rsidR="00156A23" w:rsidRPr="0053182F" w:rsidRDefault="00156A23" w:rsidP="00C91D85">
      <w:pPr>
        <w:spacing w:after="0" w:line="480" w:lineRule="auto"/>
        <w:ind w:firstLine="720"/>
        <w:jc w:val="both"/>
      </w:pPr>
      <w:r w:rsidRPr="0053182F">
        <w:t>.</w:t>
      </w:r>
      <w:r w:rsidRPr="0053182F">
        <w:rPr>
          <w:noProof/>
          <w14:ligatures w14:val="none"/>
        </w:rPr>
        <w:drawing>
          <wp:inline distT="0" distB="0" distL="0" distR="0" wp14:anchorId="60B23BC1" wp14:editId="1F5FFF18">
            <wp:extent cx="4819650" cy="2894683"/>
            <wp:effectExtent l="0" t="0" r="0" b="1270"/>
            <wp:docPr id="1755052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832004" cy="2902103"/>
                    </a:xfrm>
                    <a:prstGeom prst="rect">
                      <a:avLst/>
                    </a:prstGeom>
                    <a:noFill/>
                    <a:ln>
                      <a:noFill/>
                    </a:ln>
                  </pic:spPr>
                </pic:pic>
              </a:graphicData>
            </a:graphic>
          </wp:inline>
        </w:drawing>
      </w:r>
    </w:p>
    <w:p w14:paraId="2405A022" w14:textId="77777777" w:rsidR="00156A23" w:rsidRPr="0053182F" w:rsidRDefault="00156A23" w:rsidP="00C91D85">
      <w:pPr>
        <w:spacing w:after="0"/>
        <w:jc w:val="center"/>
      </w:pPr>
      <w:r w:rsidRPr="0053182F">
        <w:rPr>
          <w:b/>
          <w:bCs/>
        </w:rPr>
        <w:t>Figure 7.6:</w:t>
      </w:r>
      <w:r w:rsidRPr="0053182F">
        <w:t xml:space="preserve"> IEQ Distribution </w:t>
      </w:r>
    </w:p>
    <w:p w14:paraId="06DCF8F2" w14:textId="77777777" w:rsidR="00156A23" w:rsidRPr="0053182F" w:rsidRDefault="00156A23" w:rsidP="00156A23">
      <w:pPr>
        <w:jc w:val="center"/>
      </w:pPr>
    </w:p>
    <w:p w14:paraId="6646FF0E" w14:textId="77777777" w:rsidR="00156A23" w:rsidRPr="0053182F" w:rsidRDefault="00156A23" w:rsidP="00156A23">
      <w:pPr>
        <w:pStyle w:val="Heading3"/>
      </w:pPr>
      <w:bookmarkStart w:id="345" w:name="_Toc196915019"/>
      <w:bookmarkStart w:id="346" w:name="_Toc197080394"/>
      <w:bookmarkStart w:id="347" w:name="_Toc200010383"/>
      <w:bookmarkStart w:id="348" w:name="_Toc215651882"/>
      <w:bookmarkStart w:id="349" w:name="_Toc216557282"/>
      <w:bookmarkStart w:id="350" w:name="_Toc218357172"/>
      <w:r w:rsidRPr="0053182F">
        <w:t>7.5.2 Sustainable Development Governance Index (SDGI)</w:t>
      </w:r>
      <w:bookmarkEnd w:id="345"/>
      <w:bookmarkEnd w:id="346"/>
      <w:bookmarkEnd w:id="347"/>
      <w:bookmarkEnd w:id="348"/>
      <w:bookmarkEnd w:id="349"/>
      <w:bookmarkEnd w:id="350"/>
    </w:p>
    <w:p w14:paraId="4CB39D31" w14:textId="2B23B619" w:rsidR="00156A23" w:rsidRPr="0053182F" w:rsidRDefault="00156A23" w:rsidP="00156A23">
      <w:pPr>
        <w:spacing w:before="100" w:beforeAutospacing="1" w:after="100" w:afterAutospacing="1" w:line="480" w:lineRule="auto"/>
        <w:jc w:val="both"/>
      </w:pPr>
      <w:r w:rsidRPr="0053182F">
        <w:t xml:space="preserve">The SDGI captures the extent to which countries align their governance structures and institutional practices with the principles and targets of the SDGs. It reflects factors such as transparency, stakeholder participation, environmental regulation, and policy coherence. As an independent variable, SDGI helps explain how sustainability-focused governance reforms contribute to improved institutional performance and reduced MS risks. This aligns with global governance theory and empirical evidence emphasising the integrative role of </w:t>
      </w:r>
      <w:r w:rsidR="00812A8D" w:rsidRPr="0053182F">
        <w:t>UN-</w:t>
      </w:r>
      <w:r w:rsidRPr="0053182F">
        <w:t>SDG</w:t>
      </w:r>
      <w:r w:rsidR="00812A8D" w:rsidRPr="0053182F">
        <w:t>s</w:t>
      </w:r>
      <w:r w:rsidRPr="0053182F">
        <w:t xml:space="preserve"> implementation in improving public sector effectiveness and social protection systems </w:t>
      </w:r>
      <w:sdt>
        <w:sdtPr>
          <w:tag w:val="MENDELEY_CITATION_v3_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"/>
          <w:id w:val="2109618558"/>
          <w:placeholder>
            <w:docPart w:val="944EE29C6B334162B786D58D9FBA4C77"/>
          </w:placeholder>
        </w:sdtPr>
        <w:sdtContent>
          <w:r w:rsidRPr="0053182F">
            <w:t>(UNDP, 2020)</w:t>
          </w:r>
        </w:sdtContent>
      </w:sdt>
      <w:r w:rsidRPr="0053182F">
        <w:t>.</w:t>
      </w:r>
    </w:p>
    <w:p w14:paraId="21A24A3A" w14:textId="77777777" w:rsidR="00156A23" w:rsidRPr="0053182F" w:rsidRDefault="00156A23" w:rsidP="00156A23">
      <w:pPr>
        <w:pStyle w:val="Heading3"/>
      </w:pPr>
      <w:bookmarkStart w:id="351" w:name="_Toc196915020"/>
      <w:bookmarkStart w:id="352" w:name="_Toc197080395"/>
      <w:bookmarkStart w:id="353" w:name="_Toc200010384"/>
      <w:bookmarkStart w:id="354" w:name="_Toc215651883"/>
      <w:bookmarkStart w:id="355" w:name="_Toc216557283"/>
      <w:bookmarkStart w:id="356" w:name="_Toc218357173"/>
      <w:r w:rsidRPr="0053182F">
        <w:t>7.5.3 Inequality-adjusted Human Development Index (IHDI)</w:t>
      </w:r>
      <w:bookmarkEnd w:id="351"/>
      <w:bookmarkEnd w:id="352"/>
      <w:bookmarkEnd w:id="353"/>
      <w:bookmarkEnd w:id="354"/>
      <w:bookmarkEnd w:id="355"/>
      <w:bookmarkEnd w:id="356"/>
    </w:p>
    <w:p w14:paraId="6A065C59" w14:textId="77777777" w:rsidR="00156A23" w:rsidRPr="0053182F" w:rsidRDefault="00156A23" w:rsidP="00156A23">
      <w:pPr>
        <w:spacing w:before="100" w:beforeAutospacing="1" w:after="100" w:afterAutospacing="1" w:line="480" w:lineRule="auto"/>
        <w:jc w:val="both"/>
      </w:pPr>
      <w:r w:rsidRPr="0053182F">
        <w:t xml:space="preserve">The HDI is a composite measure that captures a country’s average achievement in three key dimensions of human development: health (life expectancy at birth), education (mean and expected years of schooling), and standard of living (GNI per capita). It provides a summary metric of societal well-being and development progress. Prior research (e.g., Moussa </w:t>
      </w:r>
      <w:r w:rsidRPr="0053182F">
        <w:rPr>
          <w:i/>
          <w:iCs/>
        </w:rPr>
        <w:t>et al</w:t>
      </w:r>
      <w:r w:rsidRPr="0053182F">
        <w:t xml:space="preserve">., 2021; Danial </w:t>
      </w:r>
      <w:r w:rsidRPr="0053182F">
        <w:rPr>
          <w:i/>
          <w:iCs/>
        </w:rPr>
        <w:t>et al</w:t>
      </w:r>
      <w:r w:rsidRPr="0053182F">
        <w:t xml:space="preserve">., 2021; </w:t>
      </w:r>
      <w:sdt>
        <w:sdtPr>
          <w:tag w:val="MENDELEY_CITATION_v3_eyJjaXRhdGlvbklEIjoiTUVOREVMRVlfQ0lUQVRJT05fYzk1YzZiNDgtNDdlZi00ZjZjLTlhOWItNDQ4MzVkY2YxOWFkIiwicHJvcGVydGllcyI6eyJub3RlSW5kZXgiOjB9LCJpc0VkaXRlZCI6ZmFsc2UsIm1hbnVhbE92ZXJyaWRlIjp7ImlzTWFudWFsbHlPdmVycmlkZGVuIjp0cnVlLCJjaXRlcHJvY1RleHQiOiIoSGVsZmF5YSA8aT5ldCBhbC48L2k+LCAyMDI1KSIsIm1hbnVhbE92ZXJyaWRlVGV4dCI6IkhlbGZheWEgZXQgYWwuLCAyMDI1KSJ9LCJjaXRhdGlvbkl0ZW1zIjpb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
          <w:id w:val="633297235"/>
          <w:placeholder>
            <w:docPart w:val="A3335AF45D5142298D71C1F7A0C376D5"/>
          </w:placeholder>
        </w:sdtPr>
        <w:sdtContent>
          <w:r w:rsidRPr="0053182F">
            <w:rPr>
              <w:rFonts w:eastAsia="Times New Roman"/>
            </w:rPr>
            <w:t>Helfaya et al., 2025)</w:t>
          </w:r>
        </w:sdtContent>
      </w:sdt>
      <w:r w:rsidRPr="0053182F">
        <w:t xml:space="preserve"> has shown that higher HDI levels are typically associated with stronger institutions, better regulatory environments, and reduced vulnerability to exploitation. However, in this study, the IHDI is treated as an independent variable to assess its impact on MS practices. The IHDI refines the traditional HDI by accounting for inequality in health, education, and income. It reflects the actual level of human development experienced by a population, discounting the HDI according to internal disparities. A lower IHDI, relative to the HDI, signals greater inequality.</w:t>
      </w:r>
    </w:p>
    <w:p w14:paraId="1111B4E7" w14:textId="77777777" w:rsidR="00156A23" w:rsidRPr="0053182F" w:rsidRDefault="00156A23" w:rsidP="00156A23">
      <w:pPr>
        <w:spacing w:after="0" w:line="480" w:lineRule="auto"/>
        <w:ind w:firstLine="720"/>
        <w:jc w:val="both"/>
      </w:pPr>
      <w:r w:rsidRPr="0053182F">
        <w:t>By incorporating IHDI into the analysis, the study investigates whether higher levels of equitable human development are associated with lower estimated PREV, reduced VAL, and stronger MSRM. This approach allows for an examination of how inequalities in fundamental human development factors contribute to the persistence and patterns of MS across countries.</w:t>
      </w:r>
    </w:p>
    <w:p w14:paraId="6F55AAFA" w14:textId="77777777" w:rsidR="00156A23" w:rsidRPr="0053182F" w:rsidRDefault="00156A23" w:rsidP="00156A23">
      <w:pPr>
        <w:pStyle w:val="Heading2"/>
      </w:pPr>
      <w:bookmarkStart w:id="357" w:name="_Toc196915022"/>
      <w:bookmarkStart w:id="358" w:name="_Toc197080397"/>
      <w:bookmarkStart w:id="359" w:name="_Toc200010386"/>
      <w:bookmarkStart w:id="360" w:name="_Toc215651884"/>
      <w:bookmarkStart w:id="361" w:name="_Toc216557284"/>
      <w:bookmarkStart w:id="362" w:name="_Toc218357174"/>
      <w:r w:rsidRPr="0053182F">
        <w:t>7.6 Control variable</w:t>
      </w:r>
      <w:bookmarkEnd w:id="357"/>
      <w:bookmarkEnd w:id="358"/>
      <w:bookmarkEnd w:id="359"/>
      <w:bookmarkEnd w:id="360"/>
      <w:bookmarkEnd w:id="361"/>
      <w:bookmarkEnd w:id="362"/>
    </w:p>
    <w:p w14:paraId="762B0B72" w14:textId="77777777" w:rsidR="00156A23" w:rsidRPr="0053182F" w:rsidRDefault="00156A23" w:rsidP="00156A23">
      <w:pPr>
        <w:spacing w:after="0" w:line="480" w:lineRule="auto"/>
        <w:jc w:val="both"/>
      </w:pPr>
      <w:r w:rsidRPr="0053182F">
        <w:t>This study examines the institutional and structural determinants of MS practices by employing a set of carefully selected dependent, independent, and control variables. The three dependent variables reflect distinct but interrelated aspects of MS. The MSRM captures the extent of national efforts to address MS through legal enforcement, victim protection, and institutional coordination. A higher MSRM score indicates a stronger, more proactive state apparatus in combating exploitative practices. The VALN index measures the degree to which populations are exposed to structural and socioeconomic risk factors such as poverty, conflict, weak legal protections, and gender inequality. Higher VALN values suggest that a country’s social and institutional systems are less able to shield individuals from exploitation. The third dependent variable, PREV, quantifies the estimated number of individuals per 1,000 population living in MS conditions. This includes those subjected to forced labour, human trafficking, and forced marriage, making PREV a direct indicator of slavery practices across countries.</w:t>
      </w:r>
    </w:p>
    <w:p w14:paraId="67ADEC95" w14:textId="77777777" w:rsidR="000860D0" w:rsidRPr="0053182F" w:rsidRDefault="00156A23" w:rsidP="00156A23">
      <w:pPr>
        <w:spacing w:line="480" w:lineRule="auto"/>
        <w:ind w:firstLine="720"/>
        <w:jc w:val="both"/>
      </w:pPr>
      <w:r w:rsidRPr="0053182F">
        <w:t xml:space="preserve">To understand what drives these outcomes, the study focuses on three key independent variables. The HDI is used as a proxy for a country’s level of social and economic development, combining indicators of health, education, and income. Countries with higher HDI tend to exhibit more capable governance systems and stronger legal frameworks, which may reduce the likelihood of exploitative labour systems. The SDGI reflects the extent to which countries institutionalise sustainable development principles, including policy coherence, participation, and transparency. Countries with higher SDGI scores are typically more aligned with the SDGs and thus may be more equipped to address structural vulnerabilities linked to MS. </w:t>
      </w:r>
    </w:p>
    <w:p w14:paraId="2D5A82E8" w14:textId="4D5F9A43" w:rsidR="00156A23" w:rsidRPr="0053182F" w:rsidRDefault="00156A23" w:rsidP="00156A23">
      <w:pPr>
        <w:spacing w:line="480" w:lineRule="auto"/>
        <w:ind w:firstLine="720"/>
        <w:jc w:val="both"/>
      </w:pPr>
      <w:r w:rsidRPr="0053182F">
        <w:t>To account for potential confounding influences, several control variables are included in the model. GDP growth (GDPG) captures macroeconomic performance, which may affect both institutional investment and socioeconomic vulnerability. Foreign direct investment (FDI) is included to reflect a country’s integration into global markets, which may either promote governance reforms or strain regulatory capacity, depending on oversight. Inflation (INFL) is used as a proxy for economic stability, as high inflation is often associated with institutional weakness and declining public confidence. Net migration (NETMIG) serves as a demographic control, as countries experiencing high levels of emigration may be facing governance failures or economic hardship, while high immigration may signal institutional pressure. Lastly, the Female share of the population (FPOP) accounts for demographic composition and potential gender-related disparities in governance and vulnerability. These control variables help ensure that macroeconomic or demographic conditions do not confound the observed effects of the key independent variables on MS practices.</w:t>
      </w:r>
    </w:p>
    <w:p w14:paraId="045CCB89" w14:textId="77777777" w:rsidR="00156A23" w:rsidRPr="0053182F" w:rsidRDefault="00156A23" w:rsidP="00156A23">
      <w:pPr>
        <w:pStyle w:val="Heading2"/>
      </w:pPr>
      <w:bookmarkStart w:id="363" w:name="_Toc196915023"/>
      <w:bookmarkStart w:id="364" w:name="_Toc197080398"/>
      <w:bookmarkStart w:id="365" w:name="_Toc200010387"/>
      <w:bookmarkStart w:id="366" w:name="_Toc215651885"/>
      <w:bookmarkStart w:id="367" w:name="_Toc216557285"/>
      <w:bookmarkStart w:id="368" w:name="_Toc218357175"/>
      <w:r w:rsidRPr="0053182F">
        <w:t>7.7 Model Specification</w:t>
      </w:r>
      <w:bookmarkEnd w:id="363"/>
      <w:bookmarkEnd w:id="364"/>
      <w:bookmarkEnd w:id="365"/>
      <w:bookmarkEnd w:id="366"/>
      <w:bookmarkEnd w:id="367"/>
      <w:bookmarkEnd w:id="368"/>
    </w:p>
    <w:p w14:paraId="76F904A8" w14:textId="11F20E18" w:rsidR="00156A23" w:rsidRPr="0053182F" w:rsidRDefault="00156A23" w:rsidP="00156A23">
      <w:pPr>
        <w:spacing w:before="100" w:beforeAutospacing="1" w:after="100" w:afterAutospacing="1" w:line="480" w:lineRule="auto"/>
        <w:jc w:val="both"/>
      </w:pPr>
      <w:r w:rsidRPr="0053182F">
        <w:t>To assess the influence of institutional, and developmental factors on MS practices, this study employs a series of panel regression models using data from multiple countries over three time periods (2016, 2018, and 2022). Each model estimates the effect of a single key independent variable—either IEQ, HDI, or SDGI—on three separate outcome measures: VALN, PREV, and MSRM. To account for additional structural, economic, and demographic influences, each model also includes a consistent set of control variables: GDPG, FDI, INFL, NETMIG, and FPOP. These controls ensure that other relevant national characteristics do not confound the effect of the key independent variable.</w:t>
      </w:r>
    </w:p>
    <w:p w14:paraId="4A34A295" w14:textId="77777777" w:rsidR="00156A23" w:rsidRPr="0053182F" w:rsidRDefault="00156A23" w:rsidP="00156A23">
      <w:pPr>
        <w:spacing w:before="100" w:beforeAutospacing="1" w:after="100" w:afterAutospacing="1" w:line="480" w:lineRule="auto"/>
        <w:ind w:firstLine="720"/>
        <w:jc w:val="both"/>
      </w:pPr>
      <w:r w:rsidRPr="0053182F">
        <w:t>The models are estimated using panel-data techniques, with both country (μ</w:t>
      </w:r>
      <w:r w:rsidRPr="0053182F">
        <w:rPr>
          <w:vertAlign w:val="subscript"/>
        </w:rPr>
        <w:t>i</w:t>
      </w:r>
      <w:r w:rsidRPr="0053182F">
        <w:t>​) and year (λ</w:t>
      </w:r>
      <w:r w:rsidRPr="0053182F">
        <w:rPr>
          <w:vertAlign w:val="subscript"/>
        </w:rPr>
        <w:t>t</w:t>
      </w:r>
      <w:r w:rsidRPr="0053182F">
        <w:t>​) fixed effects included to capture unobserved heterogeneity and time-specific shocks. The general form of the model is expressed using summation notation as follows:</w:t>
      </w:r>
    </w:p>
    <w:p w14:paraId="604E0A37" w14:textId="77777777" w:rsidR="00156A23" w:rsidRPr="0053182F" w:rsidRDefault="00156A23" w:rsidP="00156A23">
      <w:pPr>
        <w:ind w:left="720" w:firstLine="720"/>
        <w:rPr>
          <w:sz w:val="20"/>
          <w:szCs w:val="20"/>
          <w:vertAlign w:val="subscript"/>
        </w:rPr>
      </w:pPr>
      <w:r w:rsidRPr="0053182F">
        <w:rPr>
          <w:rStyle w:val="mord"/>
          <w:sz w:val="20"/>
          <w:szCs w:val="20"/>
          <w:vertAlign w:val="subscript"/>
        </w:rPr>
        <w:t>k</w:t>
      </w:r>
      <w:r w:rsidRPr="0053182F">
        <w:rPr>
          <w:rStyle w:val="vlist-s"/>
          <w:sz w:val="20"/>
          <w:szCs w:val="20"/>
          <w:vertAlign w:val="subscript"/>
        </w:rPr>
        <w:t>​</w:t>
      </w:r>
    </w:p>
    <w:p w14:paraId="2CEAC2E3" w14:textId="77777777" w:rsidR="00156A23" w:rsidRPr="0053182F" w:rsidRDefault="00156A23" w:rsidP="00156A23">
      <w:r w:rsidRPr="0053182F">
        <w:rPr>
          <w:rStyle w:val="mord"/>
        </w:rPr>
        <w:t>Y</w:t>
      </w:r>
      <w:r w:rsidRPr="0053182F">
        <w:rPr>
          <w:rStyle w:val="mord"/>
          <w:vertAlign w:val="subscript"/>
        </w:rPr>
        <w:t>it</w:t>
      </w:r>
      <w:r w:rsidRPr="0053182F">
        <w:rPr>
          <w:rStyle w:val="vlist-s"/>
        </w:rPr>
        <w:t>​</w:t>
      </w:r>
      <w:r w:rsidRPr="0053182F">
        <w:rPr>
          <w:rStyle w:val="mrel"/>
        </w:rPr>
        <w:t xml:space="preserve">= </w:t>
      </w:r>
      <w:r w:rsidRPr="0053182F">
        <w:rPr>
          <w:rStyle w:val="mord"/>
        </w:rPr>
        <w:t xml:space="preserve">α </w:t>
      </w:r>
      <w:r w:rsidRPr="0053182F">
        <w:rPr>
          <w:rStyle w:val="mbin"/>
          <w:rFonts w:eastAsiaTheme="minorHAnsi"/>
        </w:rPr>
        <w:t xml:space="preserve">+ </w:t>
      </w:r>
      <w:r w:rsidRPr="0053182F">
        <w:rPr>
          <w:rStyle w:val="mord"/>
        </w:rPr>
        <w:t>β</w:t>
      </w:r>
      <w:r w:rsidRPr="0053182F">
        <w:rPr>
          <w:rStyle w:val="mord"/>
          <w:vertAlign w:val="subscript"/>
        </w:rPr>
        <w:t>1</w:t>
      </w:r>
      <w:r w:rsidRPr="0053182F">
        <w:rPr>
          <w:rStyle w:val="vlist-s"/>
        </w:rPr>
        <w:t>​</w:t>
      </w:r>
      <w:r w:rsidRPr="0053182F">
        <w:rPr>
          <w:rStyle w:val="mord"/>
        </w:rPr>
        <w:t>Z</w:t>
      </w:r>
      <w:r w:rsidRPr="0053182F">
        <w:rPr>
          <w:rStyle w:val="mord"/>
          <w:vertAlign w:val="subscript"/>
        </w:rPr>
        <w:t>it</w:t>
      </w:r>
      <w:r w:rsidRPr="0053182F">
        <w:rPr>
          <w:rStyle w:val="vlist-s"/>
        </w:rPr>
        <w:t>​</w:t>
      </w:r>
      <w:r w:rsidRPr="0053182F">
        <w:rPr>
          <w:rStyle w:val="mbin"/>
          <w:rFonts w:eastAsiaTheme="minorHAnsi"/>
        </w:rPr>
        <w:t>+</w:t>
      </w:r>
      <w:r w:rsidRPr="0053182F">
        <w:rPr>
          <w:rStyle w:val="mop"/>
        </w:rPr>
        <w:t xml:space="preserve">∑   </w:t>
      </w:r>
      <w:r w:rsidRPr="0053182F">
        <w:rPr>
          <w:rStyle w:val="mord"/>
          <w:vertAlign w:val="subscript"/>
        </w:rPr>
        <w:t>γj</w:t>
      </w:r>
      <w:r w:rsidRPr="0053182F">
        <w:rPr>
          <w:rStyle w:val="vlist-s"/>
          <w:vertAlign w:val="subscript"/>
        </w:rPr>
        <w:t xml:space="preserve">​ </w:t>
      </w:r>
      <w:r w:rsidRPr="0053182F">
        <w:rPr>
          <w:rStyle w:val="mord"/>
        </w:rPr>
        <w:t>X</w:t>
      </w:r>
      <w:r w:rsidRPr="0053182F">
        <w:rPr>
          <w:rStyle w:val="mord"/>
          <w:vertAlign w:val="subscript"/>
        </w:rPr>
        <w:t>jit</w:t>
      </w:r>
      <w:r w:rsidRPr="0053182F">
        <w:rPr>
          <w:rStyle w:val="vlist-s"/>
        </w:rPr>
        <w:t>​</w:t>
      </w:r>
      <w:r w:rsidRPr="0053182F">
        <w:rPr>
          <w:rStyle w:val="mbin"/>
          <w:rFonts w:eastAsiaTheme="minorHAnsi"/>
        </w:rPr>
        <w:t>+</w:t>
      </w:r>
      <w:r w:rsidRPr="0053182F">
        <w:rPr>
          <w:rStyle w:val="mord"/>
        </w:rPr>
        <w:t>μ</w:t>
      </w:r>
      <w:r w:rsidRPr="0053182F">
        <w:rPr>
          <w:rStyle w:val="mord"/>
          <w:vertAlign w:val="subscript"/>
        </w:rPr>
        <w:t>i</w:t>
      </w:r>
      <w:r w:rsidRPr="0053182F">
        <w:rPr>
          <w:rStyle w:val="vlist-s"/>
        </w:rPr>
        <w:t>​</w:t>
      </w:r>
      <w:r w:rsidRPr="0053182F">
        <w:rPr>
          <w:rStyle w:val="mbin"/>
          <w:rFonts w:eastAsiaTheme="minorHAnsi"/>
        </w:rPr>
        <w:t>+</w:t>
      </w:r>
      <w:r w:rsidRPr="0053182F">
        <w:rPr>
          <w:rStyle w:val="mord"/>
        </w:rPr>
        <w:t>λ</w:t>
      </w:r>
      <w:r w:rsidRPr="0053182F">
        <w:rPr>
          <w:rStyle w:val="mord"/>
          <w:vertAlign w:val="subscript"/>
        </w:rPr>
        <w:t>t</w:t>
      </w:r>
      <w:r w:rsidRPr="0053182F">
        <w:rPr>
          <w:rStyle w:val="vlist-s"/>
        </w:rPr>
        <w:t>​</w:t>
      </w:r>
      <w:r w:rsidRPr="0053182F">
        <w:rPr>
          <w:rStyle w:val="mbin"/>
          <w:rFonts w:eastAsiaTheme="minorHAnsi"/>
        </w:rPr>
        <w:t>+</w:t>
      </w:r>
      <w:r w:rsidRPr="0053182F">
        <w:rPr>
          <w:rStyle w:val="mord"/>
        </w:rPr>
        <w:t>ε</w:t>
      </w:r>
      <w:r w:rsidRPr="0053182F">
        <w:rPr>
          <w:rStyle w:val="mord"/>
          <w:vertAlign w:val="subscript"/>
        </w:rPr>
        <w:t>it</w:t>
      </w:r>
      <w:r w:rsidRPr="0053182F">
        <w:rPr>
          <w:rStyle w:val="vlist-s"/>
        </w:rPr>
        <w:t>​</w:t>
      </w:r>
    </w:p>
    <w:p w14:paraId="45434F50" w14:textId="77777777" w:rsidR="00156A23" w:rsidRPr="0053182F" w:rsidRDefault="00156A23" w:rsidP="00156A23">
      <w:pPr>
        <w:ind w:left="720" w:firstLine="720"/>
        <w:rPr>
          <w:rStyle w:val="mord"/>
          <w:sz w:val="20"/>
          <w:szCs w:val="20"/>
          <w:vertAlign w:val="subscript"/>
        </w:rPr>
      </w:pPr>
      <w:r w:rsidRPr="0053182F">
        <w:rPr>
          <w:rStyle w:val="mord"/>
          <w:sz w:val="20"/>
          <w:szCs w:val="20"/>
          <w:vertAlign w:val="subscript"/>
        </w:rPr>
        <w:t>j</w:t>
      </w:r>
      <w:r w:rsidRPr="0053182F">
        <w:rPr>
          <w:rStyle w:val="mrel"/>
          <w:sz w:val="20"/>
          <w:szCs w:val="20"/>
          <w:vertAlign w:val="subscript"/>
        </w:rPr>
        <w:t>=</w:t>
      </w:r>
      <w:r w:rsidRPr="0053182F">
        <w:rPr>
          <w:rStyle w:val="mord"/>
          <w:sz w:val="20"/>
          <w:szCs w:val="20"/>
          <w:vertAlign w:val="subscript"/>
        </w:rPr>
        <w:t>1</w:t>
      </w:r>
    </w:p>
    <w:p w14:paraId="42468987" w14:textId="77777777" w:rsidR="00156A23" w:rsidRPr="0053182F" w:rsidRDefault="00156A23" w:rsidP="00156A23">
      <w:pPr>
        <w:spacing w:before="100" w:beforeAutospacing="1" w:after="100" w:afterAutospacing="1"/>
      </w:pPr>
      <w:r w:rsidRPr="0053182F">
        <w:t>Where:</w:t>
      </w:r>
    </w:p>
    <w:p w14:paraId="2716D53D" w14:textId="77777777" w:rsidR="00156A23" w:rsidRPr="0053182F" w:rsidRDefault="00156A23" w:rsidP="00156A23">
      <w:pPr>
        <w:spacing w:before="100" w:beforeAutospacing="1" w:after="100" w:afterAutospacing="1"/>
        <w:ind w:firstLine="360"/>
      </w:pPr>
      <w:r w:rsidRPr="0053182F">
        <w:t>Y</w:t>
      </w:r>
      <w:r w:rsidRPr="0053182F">
        <w:rPr>
          <w:vertAlign w:val="subscript"/>
        </w:rPr>
        <w:t>it</w:t>
      </w:r>
      <w:r w:rsidRPr="0053182F">
        <w:t>​: Dependent variable (MSRM, VALN, or PREV) for country i in year t</w:t>
      </w:r>
    </w:p>
    <w:p w14:paraId="31FF4CCB" w14:textId="0E13692B" w:rsidR="00156A23" w:rsidRPr="0053182F" w:rsidRDefault="00156A23" w:rsidP="00156A23">
      <w:pPr>
        <w:spacing w:before="100" w:beforeAutospacing="1" w:after="100" w:afterAutospacing="1"/>
        <w:ind w:firstLine="360"/>
      </w:pPr>
      <w:r w:rsidRPr="0053182F">
        <w:t>Z</w:t>
      </w:r>
      <w:r w:rsidRPr="0053182F">
        <w:rPr>
          <w:vertAlign w:val="subscript"/>
        </w:rPr>
        <w:t>it</w:t>
      </w:r>
      <w:r w:rsidRPr="0053182F">
        <w:t>​: Key independent variable (IEQ, HDI, or SDGI)</w:t>
      </w:r>
    </w:p>
    <w:p w14:paraId="2A31D41A" w14:textId="77777777" w:rsidR="00156A23" w:rsidRPr="0053182F" w:rsidRDefault="00156A23" w:rsidP="00156A23">
      <w:pPr>
        <w:spacing w:before="100" w:beforeAutospacing="1" w:after="100" w:afterAutospacing="1"/>
        <w:ind w:firstLine="360"/>
      </w:pPr>
      <w:r w:rsidRPr="0053182F">
        <w:t>X</w:t>
      </w:r>
      <w:r w:rsidRPr="0053182F">
        <w:rPr>
          <w:vertAlign w:val="subscript"/>
        </w:rPr>
        <w:t>jit</w:t>
      </w:r>
      <w:r w:rsidRPr="0053182F">
        <w:t>​: Control variable j for country i in year t, where j=1,2,...,k (e.g., GDPG, FDI, INFL, NETMIG, FPOP)</w:t>
      </w:r>
    </w:p>
    <w:p w14:paraId="54A2A071" w14:textId="77777777" w:rsidR="00156A23" w:rsidRPr="0053182F" w:rsidRDefault="00156A23" w:rsidP="00156A23">
      <w:pPr>
        <w:spacing w:before="100" w:beforeAutospacing="1" w:after="100" w:afterAutospacing="1"/>
        <w:ind w:left="360"/>
      </w:pPr>
      <w:r w:rsidRPr="0053182F">
        <w:t>γ</w:t>
      </w:r>
      <w:r w:rsidRPr="0053182F">
        <w:rPr>
          <w:vertAlign w:val="subscript"/>
        </w:rPr>
        <w:t>j</w:t>
      </w:r>
      <w:r w:rsidRPr="0053182F">
        <w:t>​: Coefficient for control variable j</w:t>
      </w:r>
    </w:p>
    <w:p w14:paraId="7DF1F553" w14:textId="77777777" w:rsidR="00156A23" w:rsidRPr="0053182F" w:rsidRDefault="00156A23" w:rsidP="00156A23">
      <w:pPr>
        <w:spacing w:before="100" w:beforeAutospacing="1" w:after="100" w:afterAutospacing="1"/>
        <w:ind w:left="360"/>
      </w:pPr>
      <w:r w:rsidRPr="0053182F">
        <w:t>μ</w:t>
      </w:r>
      <w:r w:rsidRPr="0053182F">
        <w:rPr>
          <w:vertAlign w:val="subscript"/>
        </w:rPr>
        <w:t>i</w:t>
      </w:r>
      <w:r w:rsidRPr="0053182F">
        <w:t>​: Country-specific fixed effect</w:t>
      </w:r>
    </w:p>
    <w:p w14:paraId="465D6F08" w14:textId="77777777" w:rsidR="00156A23" w:rsidRPr="0053182F" w:rsidRDefault="00156A23" w:rsidP="00156A23">
      <w:pPr>
        <w:spacing w:before="100" w:beforeAutospacing="1" w:after="100" w:afterAutospacing="1"/>
        <w:ind w:firstLine="360"/>
      </w:pPr>
      <w:r w:rsidRPr="0053182F">
        <w:t>λ</w:t>
      </w:r>
      <w:r w:rsidRPr="0053182F">
        <w:rPr>
          <w:vertAlign w:val="subscript"/>
        </w:rPr>
        <w:t>t</w:t>
      </w:r>
      <w:r w:rsidRPr="0053182F">
        <w:t>​: Year-specific fixed effect</w:t>
      </w:r>
    </w:p>
    <w:p w14:paraId="097965BE" w14:textId="77777777" w:rsidR="00156A23" w:rsidRPr="0053182F" w:rsidRDefault="00156A23" w:rsidP="00156A23">
      <w:pPr>
        <w:spacing w:before="100" w:beforeAutospacing="1" w:after="100" w:afterAutospacing="1"/>
        <w:ind w:firstLine="360"/>
      </w:pPr>
      <w:r w:rsidRPr="0053182F">
        <w:t>ε</w:t>
      </w:r>
      <w:r w:rsidRPr="0053182F">
        <w:rPr>
          <w:vertAlign w:val="subscript"/>
        </w:rPr>
        <w:t>it</w:t>
      </w:r>
      <w:r w:rsidRPr="0053182F">
        <w:t>​: Error term</w:t>
      </w:r>
    </w:p>
    <w:p w14:paraId="1140E9B7" w14:textId="77777777" w:rsidR="00156A23" w:rsidRPr="0053182F" w:rsidRDefault="00156A23" w:rsidP="00156A23">
      <w:pPr>
        <w:spacing w:before="100" w:beforeAutospacing="1" w:after="100" w:afterAutospacing="1"/>
        <w:ind w:firstLine="360"/>
      </w:pPr>
      <w:r w:rsidRPr="0053182F">
        <w:t>k: Number of control variables</w:t>
      </w:r>
    </w:p>
    <w:p w14:paraId="0252D419" w14:textId="77777777" w:rsidR="00156A23" w:rsidRPr="0053182F" w:rsidRDefault="00156A23" w:rsidP="00156A23">
      <w:pPr>
        <w:spacing w:before="100" w:beforeAutospacing="1" w:after="100" w:afterAutospacing="1"/>
        <w:ind w:firstLine="360"/>
      </w:pPr>
      <w:r w:rsidRPr="0053182F">
        <w:t>n: Total number of countries</w:t>
      </w:r>
    </w:p>
    <w:p w14:paraId="3E9F628D" w14:textId="77777777" w:rsidR="00156A23" w:rsidRPr="0053182F" w:rsidRDefault="00156A23" w:rsidP="00156A23">
      <w:pPr>
        <w:spacing w:line="480" w:lineRule="auto"/>
        <w:jc w:val="both"/>
      </w:pPr>
      <w:r w:rsidRPr="0053182F">
        <w:t>This framework allows the study to isolate the unique impact of institutional and development-related variables on MS practices while accounting for unobservable heterogeneity and macro-level dynamics across countries and time.</w:t>
      </w:r>
    </w:p>
    <w:p w14:paraId="6CEB7A65" w14:textId="77777777" w:rsidR="00651526" w:rsidRPr="0053182F" w:rsidRDefault="00651526" w:rsidP="00651526">
      <w:pPr>
        <w:pStyle w:val="Heading1"/>
        <w:rPr>
          <w:rStyle w:val="normaltextrun"/>
          <w:rFonts w:eastAsia="Times New Roman" w:cs="Times New Roman"/>
          <w:bCs/>
        </w:rPr>
      </w:pPr>
      <w:bookmarkStart w:id="369" w:name="_Toc215651886"/>
      <w:bookmarkStart w:id="370" w:name="_Toc216557286"/>
      <w:bookmarkStart w:id="371" w:name="_Toc218357176"/>
      <w:bookmarkStart w:id="372" w:name="_Toc216557293"/>
      <w:r w:rsidRPr="0053182F">
        <w:rPr>
          <w:rStyle w:val="normaltextrun"/>
          <w:rFonts w:eastAsia="Times New Roman" w:cs="Times New Roman"/>
          <w:bCs/>
        </w:rPr>
        <w:t xml:space="preserve">Phase 2: </w:t>
      </w:r>
      <w:r w:rsidRPr="0053182F">
        <w:rPr>
          <w:rStyle w:val="normaltextrun"/>
          <w:rFonts w:eastAsia="Times New Roman" w:cs="Times New Roman"/>
          <w:b w:val="0"/>
          <w:bCs/>
        </w:rPr>
        <w:t xml:space="preserve"> </w:t>
      </w:r>
      <w:r w:rsidRPr="0053182F">
        <w:rPr>
          <w:rStyle w:val="normaltextrun"/>
          <w:rFonts w:eastAsia="Times New Roman" w:cs="Times New Roman"/>
          <w:bCs/>
        </w:rPr>
        <w:t>Meso-Level Quantitative Analysis</w:t>
      </w:r>
      <w:bookmarkEnd w:id="369"/>
      <w:bookmarkEnd w:id="370"/>
      <w:bookmarkEnd w:id="371"/>
    </w:p>
    <w:p w14:paraId="20C353ED" w14:textId="77777777" w:rsidR="00651526" w:rsidRPr="0053182F" w:rsidRDefault="00651526" w:rsidP="00651526">
      <w:pPr>
        <w:pStyle w:val="Heading2"/>
        <w:rPr>
          <w:lang w:eastAsia="en-GB"/>
        </w:rPr>
      </w:pPr>
      <w:bookmarkStart w:id="373" w:name="_Toc215651887"/>
      <w:bookmarkStart w:id="374" w:name="_Toc216557287"/>
      <w:bookmarkStart w:id="375" w:name="_Toc218357177"/>
      <w:r w:rsidRPr="0053182F">
        <w:rPr>
          <w:lang w:eastAsia="en-GB"/>
        </w:rPr>
        <w:t>7.8. Data and sample</w:t>
      </w:r>
      <w:bookmarkEnd w:id="373"/>
      <w:bookmarkEnd w:id="374"/>
      <w:bookmarkEnd w:id="375"/>
    </w:p>
    <w:p w14:paraId="00777FD9" w14:textId="77777777" w:rsidR="00651526" w:rsidRPr="0053182F" w:rsidRDefault="00651526" w:rsidP="00651526">
      <w:pPr>
        <w:spacing w:after="0" w:line="480" w:lineRule="auto"/>
        <w:ind w:firstLine="720"/>
        <w:jc w:val="both"/>
        <w:rPr>
          <w:rFonts w:eastAsia="Times New Roman"/>
          <w:kern w:val="0"/>
          <w:lang w:eastAsia="en-GB"/>
          <w14:ligatures w14:val="none"/>
        </w:rPr>
      </w:pPr>
      <w:r w:rsidRPr="0053182F">
        <w:rPr>
          <w:rFonts w:eastAsia="Times New Roman"/>
          <w:kern w:val="0"/>
          <w:lang w:eastAsia="en-GB"/>
          <w14:ligatures w14:val="none"/>
        </w:rPr>
        <w:t>The meso-level sample comprises the world’s largest MNCs, identified from the 2023 G500 ranking. To maintain comparability over time, the 2023 list was used as a fixed sample frame, and historical data for these firms were traced back to 2009–2023. This strategy ensures a balanced panel in which the same firms are consistently observed over time, eliminating distortions caused by annual changes to the G500 list. By holding the sample constant, the analysis supports robust longitudinal comparisons and enables a more accurate investigation of temporal dynamics in SGIs and corporate responses to ACMS practices.</w:t>
      </w:r>
    </w:p>
    <w:p w14:paraId="037045A8" w14:textId="77777777" w:rsidR="00651526" w:rsidRPr="0053182F" w:rsidRDefault="00651526" w:rsidP="00651526">
      <w:pPr>
        <w:spacing w:after="0" w:line="480" w:lineRule="auto"/>
        <w:ind w:firstLine="720"/>
        <w:jc w:val="both"/>
        <w:rPr>
          <w:rFonts w:eastAsia="Times New Roman"/>
          <w:kern w:val="0"/>
          <w:lang w:eastAsia="en-GB"/>
          <w14:ligatures w14:val="none"/>
        </w:rPr>
      </w:pPr>
      <w:r w:rsidRPr="0053182F">
        <w:rPr>
          <w:rFonts w:eastAsia="Times New Roman"/>
          <w:kern w:val="0"/>
          <w:lang w:eastAsia="en-GB"/>
          <w14:ligatures w14:val="none"/>
        </w:rPr>
        <w:t>The initial dataset consisted of 7,500 firm-year observations from the G500 sample over 15 years (2009–2023). However, SGI's data gaps necessitated excluding several firms to ensure the accuracy and consistency of the variables used to construct the SGI and ACMS indices. Specifically, 158 firms (2,370 firm-year observations) were removed due to missing ACMS-related disclosures; 59 firms (885 observations) lacked essential SGI indicators; and an additional 28 firms (420 observations) were excluded because of incomplete control-variable data.</w:t>
      </w:r>
    </w:p>
    <w:p w14:paraId="052CFCC0" w14:textId="77777777" w:rsidR="00651526" w:rsidRPr="0053182F" w:rsidRDefault="00651526" w:rsidP="00651526">
      <w:pPr>
        <w:spacing w:after="0" w:line="480" w:lineRule="auto"/>
        <w:ind w:firstLine="720"/>
        <w:jc w:val="both"/>
        <w:rPr>
          <w:rFonts w:eastAsia="Times New Roman"/>
          <w:kern w:val="0"/>
          <w:lang w:eastAsia="en-GB"/>
          <w14:ligatures w14:val="none"/>
        </w:rPr>
      </w:pPr>
      <w:r w:rsidRPr="0053182F">
        <w:rPr>
          <w:rFonts w:eastAsia="Times New Roman"/>
          <w:kern w:val="0"/>
          <w:lang w:eastAsia="en-GB"/>
          <w14:ligatures w14:val="none"/>
        </w:rPr>
        <w:t>These omissions reflect broader challenges in global corporate reporting: the absence of mandatory international standards for labour rights disclosures means that many MNCs provide inconsistent, incomplete, or strategically selective reporting on CMS-related governance. Non-disclosure may indicate weak institutional pressures in the firm's home country, limited organisational commitment to SGIs, or reputational concerns that discourage transparent reporting. After all exclusions, the final analytical sample comprised 255 firms and 3,825 firm-year observations across 33 countries. The detailed sample composition and country distribution are presented in Table 7.5 below.</w:t>
      </w:r>
    </w:p>
    <w:p w14:paraId="29E911FF" w14:textId="77777777" w:rsidR="00651526" w:rsidRPr="0053182F" w:rsidRDefault="00651526" w:rsidP="00651526">
      <w:pPr>
        <w:pStyle w:val="Caption"/>
        <w:rPr>
          <w:lang w:eastAsia="en-GB"/>
        </w:rPr>
      </w:pPr>
      <w:r w:rsidRPr="0053182F">
        <w:rPr>
          <w:b/>
          <w:bCs/>
        </w:rPr>
        <w:t>Table 7:5:</w:t>
      </w:r>
      <w:r w:rsidRPr="0053182F">
        <w:rPr>
          <w:lang w:eastAsia="en-GB"/>
        </w:rPr>
        <w:t xml:space="preserve"> Sample and Country Composition</w:t>
      </w:r>
    </w:p>
    <w:tbl>
      <w:tblPr>
        <w:tblW w:w="9184" w:type="dxa"/>
        <w:tblBorders>
          <w:top w:val="single" w:sz="4" w:space="0" w:color="auto"/>
          <w:bottom w:val="single" w:sz="4" w:space="0" w:color="auto"/>
        </w:tblBorders>
        <w:shd w:val="clear" w:color="auto" w:fill="FFFFFF" w:themeFill="background1"/>
        <w:tblLook w:val="04A0" w:firstRow="1" w:lastRow="0" w:firstColumn="1" w:lastColumn="0" w:noHBand="0" w:noVBand="1"/>
      </w:tblPr>
      <w:tblGrid>
        <w:gridCol w:w="3173"/>
        <w:gridCol w:w="2596"/>
        <w:gridCol w:w="3415"/>
      </w:tblGrid>
      <w:tr w:rsidR="00651526" w:rsidRPr="0053182F" w14:paraId="0D88927F" w14:textId="77777777" w:rsidTr="00D20468">
        <w:trPr>
          <w:trHeight w:val="224"/>
        </w:trPr>
        <w:tc>
          <w:tcPr>
            <w:tcW w:w="3173"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6D643FB3" w14:textId="77777777" w:rsidR="00651526" w:rsidRPr="0053182F" w:rsidRDefault="00651526" w:rsidP="00D20468">
            <w:pPr>
              <w:rPr>
                <w:rFonts w:eastAsia="Times New Roman"/>
                <w:lang w:eastAsia="en-GB"/>
              </w:rPr>
            </w:pPr>
          </w:p>
        </w:tc>
        <w:tc>
          <w:tcPr>
            <w:tcW w:w="2596" w:type="dxa"/>
            <w:tcBorders>
              <w:top w:val="single" w:sz="4" w:space="0" w:color="auto"/>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39EC9928" w14:textId="77777777" w:rsidR="00651526" w:rsidRPr="0053182F" w:rsidRDefault="00651526" w:rsidP="00D20468">
            <w:pPr>
              <w:spacing w:after="0" w:line="240" w:lineRule="auto"/>
              <w:jc w:val="center"/>
              <w:rPr>
                <w:rFonts w:eastAsia="Times New Roman"/>
                <w:b/>
                <w:bCs/>
                <w:sz w:val="21"/>
                <w:szCs w:val="21"/>
                <w:lang w:eastAsia="en-GB"/>
              </w:rPr>
            </w:pPr>
            <w:r w:rsidRPr="0053182F">
              <w:rPr>
                <w:rFonts w:eastAsia="Times New Roman"/>
                <w:b/>
                <w:bCs/>
                <w:sz w:val="21"/>
                <w:szCs w:val="21"/>
                <w:lang w:eastAsia="en-GB"/>
              </w:rPr>
              <w:t>Sample composition</w:t>
            </w:r>
          </w:p>
        </w:tc>
        <w:tc>
          <w:tcPr>
            <w:tcW w:w="3415"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44BC795C" w14:textId="77777777" w:rsidR="00651526" w:rsidRPr="0053182F" w:rsidRDefault="00651526" w:rsidP="00D20468">
            <w:pPr>
              <w:rPr>
                <w:rFonts w:eastAsia="Times New Roman"/>
                <w:b/>
                <w:bCs/>
                <w:sz w:val="21"/>
                <w:szCs w:val="21"/>
                <w:lang w:eastAsia="en-GB"/>
              </w:rPr>
            </w:pPr>
          </w:p>
        </w:tc>
      </w:tr>
      <w:tr w:rsidR="00651526" w:rsidRPr="0053182F" w14:paraId="159ACAFD" w14:textId="77777777" w:rsidTr="00D20468">
        <w:trPr>
          <w:trHeight w:val="484"/>
        </w:trPr>
        <w:tc>
          <w:tcPr>
            <w:tcW w:w="3173" w:type="dxa"/>
            <w:tcBorders>
              <w:top w:val="single" w:sz="4" w:space="0" w:color="auto"/>
              <w:left w:val="nil"/>
              <w:bottom w:val="nil"/>
              <w:right w:val="nil"/>
            </w:tcBorders>
            <w:shd w:val="clear" w:color="auto" w:fill="FFFFFF" w:themeFill="background1"/>
            <w:noWrap/>
            <w:tcMar>
              <w:top w:w="15" w:type="dxa"/>
              <w:left w:w="108" w:type="dxa"/>
              <w:bottom w:w="15" w:type="dxa"/>
              <w:right w:w="108" w:type="dxa"/>
            </w:tcMar>
            <w:vAlign w:val="bottom"/>
            <w:hideMark/>
          </w:tcPr>
          <w:p w14:paraId="4B68BDF8" w14:textId="77777777" w:rsidR="00651526" w:rsidRPr="0053182F" w:rsidRDefault="00651526" w:rsidP="00D20468">
            <w:pPr>
              <w:spacing w:after="0"/>
              <w:rPr>
                <w:color w:val="auto"/>
                <w:kern w:val="0"/>
                <w:sz w:val="20"/>
                <w:szCs w:val="20"/>
                <w:lang w:eastAsia="en-GB"/>
                <w14:ligatures w14:val="none"/>
              </w:rPr>
            </w:pPr>
          </w:p>
        </w:tc>
        <w:tc>
          <w:tcPr>
            <w:tcW w:w="2596" w:type="dxa"/>
            <w:tcBorders>
              <w:top w:val="single" w:sz="4" w:space="0" w:color="auto"/>
              <w:left w:val="nil"/>
              <w:bottom w:val="nil"/>
              <w:right w:val="nil"/>
            </w:tcBorders>
            <w:shd w:val="clear" w:color="auto" w:fill="FFFFFF" w:themeFill="background1"/>
            <w:tcMar>
              <w:top w:w="15" w:type="dxa"/>
              <w:left w:w="108" w:type="dxa"/>
              <w:bottom w:w="15" w:type="dxa"/>
              <w:right w:w="108" w:type="dxa"/>
            </w:tcMar>
            <w:vAlign w:val="bottom"/>
            <w:hideMark/>
          </w:tcPr>
          <w:p w14:paraId="0C4CB6E7" w14:textId="77777777" w:rsidR="00651526" w:rsidRPr="0053182F" w:rsidRDefault="00651526" w:rsidP="00D20468">
            <w:pPr>
              <w:spacing w:after="0" w:line="240" w:lineRule="auto"/>
              <w:jc w:val="center"/>
              <w:rPr>
                <w:rFonts w:eastAsia="Times New Roman"/>
                <w:b/>
                <w:bCs/>
                <w:sz w:val="21"/>
                <w:szCs w:val="21"/>
                <w:lang w:eastAsia="en-GB"/>
              </w:rPr>
            </w:pPr>
            <w:r w:rsidRPr="0053182F">
              <w:rPr>
                <w:rFonts w:eastAsia="Times New Roman"/>
                <w:b/>
                <w:bCs/>
                <w:sz w:val="21"/>
                <w:szCs w:val="21"/>
                <w:lang w:eastAsia="en-GB"/>
              </w:rPr>
              <w:t>Number of Firms</w:t>
            </w:r>
          </w:p>
        </w:tc>
        <w:tc>
          <w:tcPr>
            <w:tcW w:w="3415" w:type="dxa"/>
            <w:tcBorders>
              <w:top w:val="single" w:sz="4" w:space="0" w:color="auto"/>
              <w:left w:val="nil"/>
              <w:bottom w:val="nil"/>
              <w:right w:val="nil"/>
            </w:tcBorders>
            <w:shd w:val="clear" w:color="auto" w:fill="FFFFFF" w:themeFill="background1"/>
            <w:noWrap/>
            <w:tcMar>
              <w:top w:w="15" w:type="dxa"/>
              <w:left w:w="108" w:type="dxa"/>
              <w:bottom w:w="15" w:type="dxa"/>
              <w:right w:w="108" w:type="dxa"/>
            </w:tcMar>
            <w:vAlign w:val="bottom"/>
            <w:hideMark/>
          </w:tcPr>
          <w:p w14:paraId="76116D4B" w14:textId="77777777" w:rsidR="00651526" w:rsidRPr="0053182F" w:rsidRDefault="00651526" w:rsidP="00D20468">
            <w:pPr>
              <w:spacing w:after="0" w:line="240" w:lineRule="auto"/>
              <w:jc w:val="center"/>
              <w:rPr>
                <w:rFonts w:eastAsia="Times New Roman"/>
                <w:b/>
                <w:bCs/>
                <w:sz w:val="21"/>
                <w:szCs w:val="21"/>
                <w:lang w:eastAsia="en-GB"/>
              </w:rPr>
            </w:pPr>
            <w:r w:rsidRPr="0053182F">
              <w:rPr>
                <w:rFonts w:eastAsia="Times New Roman"/>
                <w:b/>
                <w:bCs/>
                <w:sz w:val="21"/>
                <w:szCs w:val="21"/>
                <w:lang w:eastAsia="en-GB"/>
              </w:rPr>
              <w:t>Total number of Observations</w:t>
            </w:r>
          </w:p>
        </w:tc>
      </w:tr>
      <w:tr w:rsidR="00651526" w:rsidRPr="0053182F" w14:paraId="70635059" w14:textId="77777777" w:rsidTr="00D20468">
        <w:trPr>
          <w:trHeight w:val="309"/>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E69FF62" w14:textId="77777777" w:rsidR="00651526" w:rsidRPr="0053182F" w:rsidRDefault="00651526" w:rsidP="00D20468">
            <w:pPr>
              <w:spacing w:after="0" w:line="240" w:lineRule="auto"/>
              <w:rPr>
                <w:sz w:val="21"/>
                <w:szCs w:val="21"/>
              </w:rPr>
            </w:pPr>
            <w:r w:rsidRPr="0053182F">
              <w:rPr>
                <w:rFonts w:eastAsia="Times New Roman"/>
                <w:sz w:val="21"/>
                <w:szCs w:val="21"/>
              </w:rPr>
              <w:t>Initial Sample</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3774AA2"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500</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27728C1"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7500</w:t>
            </w:r>
          </w:p>
        </w:tc>
      </w:tr>
      <w:tr w:rsidR="00651526" w:rsidRPr="0053182F" w14:paraId="1EEBDE7E"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D0E572D" w14:textId="77777777" w:rsidR="00651526" w:rsidRPr="0053182F" w:rsidRDefault="00651526" w:rsidP="00D20468">
            <w:pPr>
              <w:spacing w:after="0" w:line="240" w:lineRule="auto"/>
              <w:rPr>
                <w:rFonts w:eastAsia="Times New Roman"/>
                <w:b/>
                <w:bCs/>
                <w:sz w:val="21"/>
                <w:szCs w:val="21"/>
                <w:lang w:eastAsia="en-GB"/>
              </w:rPr>
            </w:pPr>
            <w:r w:rsidRPr="0053182F">
              <w:rPr>
                <w:rFonts w:eastAsia="Times New Roman"/>
                <w:b/>
                <w:bCs/>
                <w:sz w:val="21"/>
                <w:szCs w:val="21"/>
                <w:u w:val="single"/>
                <w:lang w:eastAsia="en-GB"/>
              </w:rPr>
              <w:t>Excluded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tcPr>
          <w:p w14:paraId="1A33221B" w14:textId="77777777" w:rsidR="00651526" w:rsidRPr="0053182F" w:rsidRDefault="00651526" w:rsidP="00D20468">
            <w:pPr>
              <w:spacing w:after="0" w:line="240" w:lineRule="auto"/>
              <w:jc w:val="center"/>
              <w:rPr>
                <w:rFonts w:eastAsia="Times New Roman"/>
                <w:b/>
                <w:bCs/>
                <w:sz w:val="21"/>
                <w:szCs w:val="21"/>
                <w:lang w:eastAsia="en-GB"/>
              </w:rPr>
            </w:pP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6B02799" w14:textId="77777777" w:rsidR="00651526" w:rsidRPr="0053182F" w:rsidRDefault="00651526" w:rsidP="00D20468">
            <w:pPr>
              <w:rPr>
                <w:rFonts w:eastAsia="Times New Roman"/>
                <w:b/>
                <w:bCs/>
                <w:sz w:val="21"/>
                <w:szCs w:val="21"/>
                <w:lang w:eastAsia="en-GB"/>
              </w:rPr>
            </w:pPr>
          </w:p>
        </w:tc>
      </w:tr>
      <w:tr w:rsidR="00651526" w:rsidRPr="0053182F" w14:paraId="0DDEE4B8"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9C34D4E" w14:textId="77777777" w:rsidR="00651526" w:rsidRPr="0053182F" w:rsidRDefault="00651526" w:rsidP="00D20468">
            <w:pPr>
              <w:spacing w:after="0" w:line="240" w:lineRule="auto"/>
              <w:rPr>
                <w:rFonts w:eastAsia="Times New Roman"/>
                <w:sz w:val="21"/>
                <w:szCs w:val="21"/>
              </w:rPr>
            </w:pPr>
            <w:r w:rsidRPr="0053182F">
              <w:rPr>
                <w:rFonts w:eastAsia="Times New Roman"/>
                <w:sz w:val="21"/>
                <w:szCs w:val="21"/>
              </w:rPr>
              <w:t xml:space="preserve">Missing AMS Data         </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347998C1"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7E601C6"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(2370)</w:t>
            </w:r>
          </w:p>
        </w:tc>
      </w:tr>
      <w:tr w:rsidR="00651526" w:rsidRPr="0053182F" w14:paraId="7FFE941F"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AF92DE0" w14:textId="77777777" w:rsidR="00651526" w:rsidRPr="0053182F" w:rsidRDefault="00651526" w:rsidP="00D20468">
            <w:pPr>
              <w:spacing w:after="0" w:line="240" w:lineRule="auto"/>
              <w:rPr>
                <w:rFonts w:eastAsia="Times New Roman"/>
                <w:sz w:val="21"/>
                <w:szCs w:val="21"/>
              </w:rPr>
            </w:pPr>
            <w:r w:rsidRPr="0053182F">
              <w:rPr>
                <w:rFonts w:eastAsiaTheme="minorEastAsia"/>
                <w:sz w:val="21"/>
                <w:szCs w:val="21"/>
              </w:rPr>
              <w:t>Missing SGI data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0461CBB6"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(59)</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6D0B6B8"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(885)</w:t>
            </w:r>
          </w:p>
        </w:tc>
      </w:tr>
      <w:tr w:rsidR="00651526" w:rsidRPr="0053182F" w14:paraId="6179F136"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4855CF3"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Missing control variables</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6B4BC17F" w14:textId="77777777" w:rsidR="00651526" w:rsidRPr="0053182F" w:rsidRDefault="00651526" w:rsidP="00D20468">
            <w:pPr>
              <w:spacing w:after="0" w:line="240" w:lineRule="auto"/>
              <w:jc w:val="center"/>
              <w:rPr>
                <w:rFonts w:eastAsia="Times New Roman"/>
                <w:sz w:val="21"/>
                <w:szCs w:val="21"/>
                <w:u w:val="single"/>
                <w:lang w:eastAsia="en-GB"/>
              </w:rPr>
            </w:pPr>
            <w:r w:rsidRPr="0053182F">
              <w:rPr>
                <w:rFonts w:eastAsia="Times New Roman"/>
                <w:sz w:val="21"/>
                <w:szCs w:val="21"/>
                <w:u w:val="single"/>
                <w:lang w:eastAsia="en-GB"/>
              </w:rPr>
              <w:t>(28)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44B2291" w14:textId="77777777" w:rsidR="00651526" w:rsidRPr="0053182F" w:rsidRDefault="00651526" w:rsidP="00D20468">
            <w:pPr>
              <w:spacing w:after="0" w:line="240" w:lineRule="auto"/>
              <w:jc w:val="center"/>
              <w:rPr>
                <w:rFonts w:eastAsia="Times New Roman"/>
                <w:sz w:val="21"/>
                <w:szCs w:val="21"/>
                <w:u w:val="single"/>
                <w:lang w:eastAsia="en-GB"/>
              </w:rPr>
            </w:pPr>
            <w:r w:rsidRPr="0053182F">
              <w:rPr>
                <w:rFonts w:eastAsia="Times New Roman"/>
                <w:sz w:val="21"/>
                <w:szCs w:val="21"/>
                <w:u w:val="single"/>
                <w:lang w:eastAsia="en-GB"/>
              </w:rPr>
              <w:t>(420)</w:t>
            </w:r>
          </w:p>
        </w:tc>
      </w:tr>
      <w:tr w:rsidR="00651526" w:rsidRPr="0053182F" w14:paraId="24F56DC0" w14:textId="77777777" w:rsidTr="00D20468">
        <w:trPr>
          <w:trHeight w:val="344"/>
        </w:trPr>
        <w:tc>
          <w:tcPr>
            <w:tcW w:w="3173" w:type="dxa"/>
            <w:tcBorders>
              <w:top w:val="nil"/>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1E278AF9" w14:textId="77777777" w:rsidR="00651526" w:rsidRPr="0053182F" w:rsidRDefault="00651526" w:rsidP="00D20468">
            <w:pPr>
              <w:spacing w:after="0" w:line="240" w:lineRule="auto"/>
              <w:rPr>
                <w:rFonts w:eastAsia="Times New Roman"/>
                <w:b/>
                <w:bCs/>
                <w:sz w:val="21"/>
                <w:szCs w:val="21"/>
                <w:lang w:eastAsia="en-GB"/>
              </w:rPr>
            </w:pPr>
            <w:r w:rsidRPr="0053182F">
              <w:rPr>
                <w:rFonts w:eastAsia="Times New Roman"/>
                <w:b/>
                <w:bCs/>
                <w:sz w:val="21"/>
                <w:szCs w:val="21"/>
                <w:lang w:eastAsia="en-GB"/>
              </w:rPr>
              <w:t>Final Sample</w:t>
            </w:r>
          </w:p>
        </w:tc>
        <w:tc>
          <w:tcPr>
            <w:tcW w:w="2596" w:type="dxa"/>
            <w:tcBorders>
              <w:top w:val="nil"/>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6E0B2A93" w14:textId="77777777" w:rsidR="00651526" w:rsidRPr="0053182F" w:rsidRDefault="00651526" w:rsidP="00D20468">
            <w:pPr>
              <w:spacing w:after="0" w:line="240" w:lineRule="auto"/>
              <w:jc w:val="center"/>
              <w:rPr>
                <w:rFonts w:eastAsia="Times New Roman"/>
                <w:b/>
                <w:bCs/>
                <w:sz w:val="21"/>
                <w:szCs w:val="21"/>
                <w:lang w:eastAsia="en-GB"/>
              </w:rPr>
            </w:pPr>
            <w:r w:rsidRPr="0053182F">
              <w:rPr>
                <w:rFonts w:eastAsia="Times New Roman"/>
                <w:b/>
                <w:bCs/>
                <w:sz w:val="21"/>
                <w:szCs w:val="21"/>
                <w:lang w:eastAsia="en-GB"/>
              </w:rPr>
              <w:t>255</w:t>
            </w:r>
          </w:p>
        </w:tc>
        <w:tc>
          <w:tcPr>
            <w:tcW w:w="3415" w:type="dxa"/>
            <w:tcBorders>
              <w:top w:val="nil"/>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3D6D4B7A" w14:textId="77777777" w:rsidR="00651526" w:rsidRPr="0053182F" w:rsidRDefault="00651526" w:rsidP="00D20468">
            <w:pPr>
              <w:spacing w:after="0" w:line="240" w:lineRule="auto"/>
              <w:jc w:val="center"/>
              <w:rPr>
                <w:rFonts w:eastAsia="Times New Roman"/>
                <w:b/>
                <w:bCs/>
                <w:sz w:val="21"/>
                <w:szCs w:val="21"/>
                <w:lang w:eastAsia="en-GB"/>
              </w:rPr>
            </w:pPr>
            <w:r w:rsidRPr="0053182F">
              <w:rPr>
                <w:rFonts w:eastAsia="Times New Roman"/>
                <w:b/>
                <w:bCs/>
                <w:sz w:val="21"/>
                <w:szCs w:val="21"/>
                <w:lang w:eastAsia="en-GB"/>
              </w:rPr>
              <w:t>3825</w:t>
            </w:r>
          </w:p>
        </w:tc>
      </w:tr>
      <w:tr w:rsidR="00651526" w:rsidRPr="0053182F" w14:paraId="71F05608" w14:textId="77777777" w:rsidTr="00D20468">
        <w:trPr>
          <w:trHeight w:val="224"/>
        </w:trPr>
        <w:tc>
          <w:tcPr>
            <w:tcW w:w="3173"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76801DD6" w14:textId="77777777" w:rsidR="00651526" w:rsidRPr="0053182F" w:rsidRDefault="00651526" w:rsidP="00D20468">
            <w:pPr>
              <w:rPr>
                <w:rFonts w:eastAsia="Times New Roman"/>
                <w:b/>
                <w:bCs/>
                <w:sz w:val="21"/>
                <w:szCs w:val="21"/>
                <w:lang w:eastAsia="en-GB"/>
              </w:rPr>
            </w:pPr>
          </w:p>
        </w:tc>
        <w:tc>
          <w:tcPr>
            <w:tcW w:w="2596" w:type="dxa"/>
            <w:tcBorders>
              <w:top w:val="single" w:sz="4" w:space="0" w:color="auto"/>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2C0598B3" w14:textId="77777777" w:rsidR="00651526" w:rsidRPr="0053182F" w:rsidRDefault="00651526" w:rsidP="00D20468">
            <w:pPr>
              <w:spacing w:line="240" w:lineRule="auto"/>
              <w:jc w:val="center"/>
              <w:rPr>
                <w:rFonts w:eastAsia="Times New Roman"/>
                <w:b/>
                <w:bCs/>
                <w:sz w:val="21"/>
                <w:szCs w:val="21"/>
                <w:lang w:eastAsia="en-GB"/>
              </w:rPr>
            </w:pPr>
            <w:r w:rsidRPr="0053182F">
              <w:rPr>
                <w:rFonts w:eastAsia="Times New Roman"/>
                <w:b/>
                <w:bCs/>
                <w:sz w:val="21"/>
                <w:szCs w:val="21"/>
                <w:lang w:eastAsia="en-GB"/>
              </w:rPr>
              <w:t>Country Composition</w:t>
            </w:r>
          </w:p>
        </w:tc>
        <w:tc>
          <w:tcPr>
            <w:tcW w:w="3415"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6DBFCB8A" w14:textId="77777777" w:rsidR="00651526" w:rsidRPr="0053182F" w:rsidRDefault="00651526" w:rsidP="00D20468">
            <w:pPr>
              <w:rPr>
                <w:rFonts w:eastAsia="Times New Roman"/>
                <w:b/>
                <w:bCs/>
                <w:sz w:val="21"/>
                <w:szCs w:val="21"/>
                <w:lang w:eastAsia="en-GB"/>
              </w:rPr>
            </w:pPr>
          </w:p>
        </w:tc>
      </w:tr>
      <w:tr w:rsidR="00651526" w:rsidRPr="0053182F" w14:paraId="283BF20B" w14:textId="77777777" w:rsidTr="00D20468">
        <w:trPr>
          <w:trHeight w:val="224"/>
        </w:trPr>
        <w:tc>
          <w:tcPr>
            <w:tcW w:w="3173"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2C215623" w14:textId="77777777" w:rsidR="00651526" w:rsidRPr="0053182F" w:rsidRDefault="00651526" w:rsidP="00D20468">
            <w:pPr>
              <w:spacing w:after="0" w:line="240" w:lineRule="auto"/>
              <w:rPr>
                <w:rFonts w:eastAsia="Times New Roman"/>
                <w:b/>
                <w:bCs/>
                <w:sz w:val="21"/>
                <w:szCs w:val="21"/>
                <w:lang w:eastAsia="en-GB"/>
              </w:rPr>
            </w:pPr>
            <w:r w:rsidRPr="0053182F">
              <w:rPr>
                <w:rFonts w:eastAsia="Times New Roman"/>
                <w:b/>
                <w:bCs/>
                <w:sz w:val="21"/>
                <w:szCs w:val="21"/>
                <w:lang w:eastAsia="en-GB"/>
              </w:rPr>
              <w:t>Country of Incorporation</w:t>
            </w:r>
          </w:p>
        </w:tc>
        <w:tc>
          <w:tcPr>
            <w:tcW w:w="2596" w:type="dxa"/>
            <w:tcBorders>
              <w:top w:val="single" w:sz="4" w:space="0" w:color="auto"/>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15F23F7B" w14:textId="77777777" w:rsidR="00651526" w:rsidRPr="0053182F" w:rsidRDefault="00651526" w:rsidP="00D20468">
            <w:pPr>
              <w:spacing w:after="0" w:line="240" w:lineRule="auto"/>
              <w:jc w:val="center"/>
              <w:rPr>
                <w:rFonts w:eastAsia="Times New Roman"/>
                <w:b/>
                <w:bCs/>
                <w:sz w:val="21"/>
                <w:szCs w:val="21"/>
                <w:lang w:eastAsia="en-GB"/>
              </w:rPr>
            </w:pPr>
            <w:r w:rsidRPr="0053182F">
              <w:rPr>
                <w:rFonts w:eastAsia="Times New Roman"/>
                <w:b/>
                <w:bCs/>
                <w:sz w:val="21"/>
                <w:szCs w:val="21"/>
                <w:lang w:eastAsia="en-GB"/>
              </w:rPr>
              <w:t>Number of MNCs</w:t>
            </w:r>
          </w:p>
        </w:tc>
        <w:tc>
          <w:tcPr>
            <w:tcW w:w="3415"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0979FF18" w14:textId="77777777" w:rsidR="00651526" w:rsidRPr="0053182F" w:rsidRDefault="00651526" w:rsidP="00D20468">
            <w:pPr>
              <w:spacing w:after="0" w:line="240" w:lineRule="auto"/>
              <w:jc w:val="center"/>
              <w:rPr>
                <w:rFonts w:eastAsia="Times New Roman"/>
                <w:b/>
                <w:bCs/>
                <w:sz w:val="21"/>
                <w:szCs w:val="21"/>
                <w:lang w:eastAsia="en-GB"/>
              </w:rPr>
            </w:pPr>
            <w:r w:rsidRPr="0053182F">
              <w:rPr>
                <w:rFonts w:eastAsia="Times New Roman"/>
                <w:b/>
                <w:bCs/>
                <w:sz w:val="21"/>
                <w:szCs w:val="21"/>
                <w:lang w:eastAsia="en-GB"/>
              </w:rPr>
              <w:t>Total number of Observations</w:t>
            </w:r>
          </w:p>
        </w:tc>
      </w:tr>
      <w:tr w:rsidR="00651526" w:rsidRPr="0053182F" w14:paraId="419FACB1" w14:textId="77777777" w:rsidTr="00D20468">
        <w:trPr>
          <w:trHeight w:val="224"/>
        </w:trPr>
        <w:tc>
          <w:tcPr>
            <w:tcW w:w="3173" w:type="dxa"/>
            <w:tcBorders>
              <w:top w:val="single" w:sz="4" w:space="0" w:color="auto"/>
              <w:left w:val="nil"/>
              <w:bottom w:val="nil"/>
              <w:right w:val="nil"/>
            </w:tcBorders>
            <w:shd w:val="clear" w:color="auto" w:fill="FFFFFF" w:themeFill="background1"/>
            <w:noWrap/>
            <w:tcMar>
              <w:top w:w="15" w:type="dxa"/>
              <w:left w:w="108" w:type="dxa"/>
              <w:bottom w:w="15" w:type="dxa"/>
              <w:right w:w="108" w:type="dxa"/>
            </w:tcMar>
            <w:vAlign w:val="bottom"/>
            <w:hideMark/>
          </w:tcPr>
          <w:p w14:paraId="1EC15DED"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Australia</w:t>
            </w:r>
          </w:p>
        </w:tc>
        <w:tc>
          <w:tcPr>
            <w:tcW w:w="2596" w:type="dxa"/>
            <w:tcBorders>
              <w:top w:val="single" w:sz="4" w:space="0" w:color="auto"/>
              <w:left w:val="nil"/>
              <w:bottom w:val="nil"/>
              <w:right w:val="nil"/>
            </w:tcBorders>
            <w:shd w:val="clear" w:color="auto" w:fill="FFFFFF" w:themeFill="background1"/>
            <w:tcMar>
              <w:top w:w="15" w:type="dxa"/>
              <w:left w:w="108" w:type="dxa"/>
              <w:bottom w:w="15" w:type="dxa"/>
              <w:right w:w="108" w:type="dxa"/>
            </w:tcMar>
            <w:vAlign w:val="bottom"/>
            <w:hideMark/>
          </w:tcPr>
          <w:p w14:paraId="7B3CFCF9"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2</w:t>
            </w:r>
          </w:p>
        </w:tc>
        <w:tc>
          <w:tcPr>
            <w:tcW w:w="3415" w:type="dxa"/>
            <w:tcBorders>
              <w:top w:val="single" w:sz="4" w:space="0" w:color="auto"/>
              <w:left w:val="nil"/>
              <w:bottom w:val="nil"/>
              <w:right w:val="nil"/>
            </w:tcBorders>
            <w:shd w:val="clear" w:color="auto" w:fill="FFFFFF" w:themeFill="background1"/>
            <w:noWrap/>
            <w:tcMar>
              <w:top w:w="15" w:type="dxa"/>
              <w:left w:w="108" w:type="dxa"/>
              <w:bottom w:w="15" w:type="dxa"/>
              <w:right w:w="108" w:type="dxa"/>
            </w:tcMar>
            <w:vAlign w:val="bottom"/>
            <w:hideMark/>
          </w:tcPr>
          <w:p w14:paraId="6DC1DF48"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30</w:t>
            </w:r>
          </w:p>
        </w:tc>
      </w:tr>
      <w:tr w:rsidR="00651526" w:rsidRPr="0053182F" w14:paraId="32487E21"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5B0CC8F"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Austria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0AA43DA7"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9DDEFE1"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5EA4D85A"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21B8757"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Belgium</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523D5CC"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2</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ACDA7A3"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30</w:t>
            </w:r>
          </w:p>
        </w:tc>
      </w:tr>
      <w:tr w:rsidR="00651526" w:rsidRPr="0053182F" w14:paraId="79A6BE4D"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50CE11D"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Brazil</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0A250F5F"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5</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ACB7079"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75</w:t>
            </w:r>
          </w:p>
        </w:tc>
      </w:tr>
      <w:tr w:rsidR="00651526" w:rsidRPr="0053182F" w14:paraId="537BDA47"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CDF82D7"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Canada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5AB371D"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7</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46E388A"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105</w:t>
            </w:r>
          </w:p>
        </w:tc>
      </w:tr>
      <w:tr w:rsidR="00651526" w:rsidRPr="0053182F" w14:paraId="7B7367F0"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171AEF5"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Cayman Islands</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151CCB1"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A26540F"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1976532C"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5674DA3"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China (Mainland)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371A2BF9"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5</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215CD6C"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75</w:t>
            </w:r>
          </w:p>
        </w:tc>
      </w:tr>
      <w:tr w:rsidR="00651526" w:rsidRPr="0053182F" w14:paraId="35723C65"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B617588"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Colombia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4E6DC3E"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79BF77C"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13110250"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A83BB57"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Curacao</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2AB6F1D7"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7689B0C"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13A73BE9"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E928092"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Denmark</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255B1BC9"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2</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345B115"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30</w:t>
            </w:r>
          </w:p>
        </w:tc>
      </w:tr>
      <w:tr w:rsidR="00651526" w:rsidRPr="0053182F" w14:paraId="4DD41831"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1B225DA"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France</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A62C541"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A363D22"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270</w:t>
            </w:r>
          </w:p>
        </w:tc>
      </w:tr>
      <w:tr w:rsidR="00651526" w:rsidRPr="0053182F" w14:paraId="0EED91F2"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CB0FDA5"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Germany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0CFF87B9"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17</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2068372"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255</w:t>
            </w:r>
          </w:p>
        </w:tc>
      </w:tr>
      <w:tr w:rsidR="00651526" w:rsidRPr="0053182F" w14:paraId="6BE64E53"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B04A91C"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Hong Kong</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0CD879DB"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2</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7C78280"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30</w:t>
            </w:r>
          </w:p>
        </w:tc>
      </w:tr>
      <w:tr w:rsidR="00651526" w:rsidRPr="0053182F" w14:paraId="7B77C76A"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D57C095"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India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2A840CD7"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9</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6ED5F8F"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135</w:t>
            </w:r>
          </w:p>
        </w:tc>
      </w:tr>
      <w:tr w:rsidR="00651526" w:rsidRPr="0053182F" w14:paraId="11F8B1E7"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D2A1EE0"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Ireland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3EF4A79"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4</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E08C84A"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60</w:t>
            </w:r>
          </w:p>
        </w:tc>
      </w:tr>
      <w:tr w:rsidR="00651526" w:rsidRPr="0053182F" w14:paraId="507618B7"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CCD976E"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Italy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46370664"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4</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7FD0358"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60</w:t>
            </w:r>
          </w:p>
        </w:tc>
      </w:tr>
      <w:tr w:rsidR="00651526" w:rsidRPr="0053182F" w14:paraId="757D84D7"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D9F04D6"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Japan</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38897636"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27</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C88C1BF"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405</w:t>
            </w:r>
          </w:p>
        </w:tc>
      </w:tr>
      <w:tr w:rsidR="00651526" w:rsidRPr="0053182F" w14:paraId="4259D018"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B5E1EBE"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Jersey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4CE5BEF"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BA98B82"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3350B119"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A9108B5"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Luxembourg</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907AF03"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6D20D30"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37C5BF33"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9A6CA93"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Mexico</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4EB62F9C"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3</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E4D5514"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45</w:t>
            </w:r>
          </w:p>
        </w:tc>
      </w:tr>
      <w:tr w:rsidR="00651526" w:rsidRPr="0053182F" w14:paraId="523B50D5"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844E6B0"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Netherlands</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4652BBA3"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6</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EF543EA"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90</w:t>
            </w:r>
          </w:p>
        </w:tc>
      </w:tr>
      <w:tr w:rsidR="00651526" w:rsidRPr="0053182F" w14:paraId="4AC7F1DC"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898D9B7"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Norway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2AE50F42"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0871F49"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23F83A34"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396638E"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Russia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6B76283C"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4</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EF26422"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60</w:t>
            </w:r>
          </w:p>
        </w:tc>
      </w:tr>
      <w:tr w:rsidR="00651526" w:rsidRPr="0053182F" w14:paraId="345CB8AA"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04DDAC2B"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Singapore</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4722A7D7"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78DC21E"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2461A197"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4251B56"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South Korea</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E969A50"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10</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2AAFABA"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150</w:t>
            </w:r>
          </w:p>
        </w:tc>
      </w:tr>
      <w:tr w:rsidR="00651526" w:rsidRPr="0053182F" w14:paraId="39F3B3EC"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080E69C"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Spain</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7C1BD6D2"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30D228F"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120</w:t>
            </w:r>
          </w:p>
        </w:tc>
      </w:tr>
      <w:tr w:rsidR="00651526" w:rsidRPr="0053182F" w14:paraId="489F41E9"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554A34C2"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Sweden</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1AD6D005"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3DF7059E"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2DD12F8A"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0B05460"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Switzerland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27A19A5A"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8</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DAB405D"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120</w:t>
            </w:r>
          </w:p>
        </w:tc>
      </w:tr>
      <w:tr w:rsidR="00651526" w:rsidRPr="0053182F" w14:paraId="44128B3D"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D198F6F"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Taiwan</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68A0680B"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6</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6CC45C37"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90</w:t>
            </w:r>
          </w:p>
        </w:tc>
      </w:tr>
      <w:tr w:rsidR="00651526" w:rsidRPr="0053182F" w14:paraId="50875514"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674744F"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Thailand</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0C9EC9AD"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42ABB68F"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20FCD312"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72D7C4E4"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Turkey</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5AA95CDB"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E5C2B7B"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15</w:t>
            </w:r>
          </w:p>
        </w:tc>
      </w:tr>
      <w:tr w:rsidR="00651526" w:rsidRPr="0053182F" w14:paraId="022E915D" w14:textId="77777777" w:rsidTr="00D20468">
        <w:trPr>
          <w:trHeight w:val="224"/>
        </w:trPr>
        <w:tc>
          <w:tcPr>
            <w:tcW w:w="3173"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1E3A14A9"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United Kingdom</w:t>
            </w:r>
          </w:p>
        </w:tc>
        <w:tc>
          <w:tcPr>
            <w:tcW w:w="2596" w:type="dxa"/>
            <w:tcBorders>
              <w:top w:val="nil"/>
              <w:left w:val="nil"/>
              <w:bottom w:val="nil"/>
              <w:right w:val="nil"/>
            </w:tcBorders>
            <w:shd w:val="clear" w:color="auto" w:fill="FFFFFF" w:themeFill="background1"/>
            <w:tcMar>
              <w:top w:w="15" w:type="dxa"/>
              <w:left w:w="108" w:type="dxa"/>
              <w:bottom w:w="15" w:type="dxa"/>
              <w:right w:w="108" w:type="dxa"/>
            </w:tcMar>
            <w:vAlign w:val="bottom"/>
            <w:hideMark/>
          </w:tcPr>
          <w:p w14:paraId="353756EF"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17</w:t>
            </w:r>
          </w:p>
        </w:tc>
        <w:tc>
          <w:tcPr>
            <w:tcW w:w="3415" w:type="dxa"/>
            <w:tcBorders>
              <w:top w:val="nil"/>
              <w:left w:val="nil"/>
              <w:bottom w:val="nil"/>
              <w:right w:val="nil"/>
            </w:tcBorders>
            <w:shd w:val="clear" w:color="auto" w:fill="FFFFFF" w:themeFill="background1"/>
            <w:noWrap/>
            <w:tcMar>
              <w:top w:w="15" w:type="dxa"/>
              <w:left w:w="108" w:type="dxa"/>
              <w:bottom w:w="15" w:type="dxa"/>
              <w:right w:w="108" w:type="dxa"/>
            </w:tcMar>
            <w:vAlign w:val="bottom"/>
            <w:hideMark/>
          </w:tcPr>
          <w:p w14:paraId="270EE9DD"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255</w:t>
            </w:r>
          </w:p>
        </w:tc>
      </w:tr>
      <w:tr w:rsidR="00651526" w:rsidRPr="0053182F" w14:paraId="5068D930" w14:textId="77777777" w:rsidTr="00D20468">
        <w:trPr>
          <w:trHeight w:val="224"/>
        </w:trPr>
        <w:tc>
          <w:tcPr>
            <w:tcW w:w="3173" w:type="dxa"/>
            <w:tcBorders>
              <w:top w:val="nil"/>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4F8B5A9A" w14:textId="77777777" w:rsidR="00651526" w:rsidRPr="0053182F" w:rsidRDefault="00651526" w:rsidP="00D20468">
            <w:pPr>
              <w:spacing w:after="0" w:line="240" w:lineRule="auto"/>
              <w:rPr>
                <w:rFonts w:eastAsia="Times New Roman"/>
                <w:sz w:val="21"/>
                <w:szCs w:val="21"/>
                <w:lang w:eastAsia="en-GB"/>
              </w:rPr>
            </w:pPr>
            <w:r w:rsidRPr="0053182F">
              <w:rPr>
                <w:rFonts w:eastAsia="Times New Roman"/>
                <w:sz w:val="21"/>
                <w:szCs w:val="21"/>
                <w:lang w:eastAsia="en-GB"/>
              </w:rPr>
              <w:t>United States</w:t>
            </w:r>
          </w:p>
        </w:tc>
        <w:tc>
          <w:tcPr>
            <w:tcW w:w="2596" w:type="dxa"/>
            <w:tcBorders>
              <w:top w:val="nil"/>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301F9A2B" w14:textId="77777777" w:rsidR="00651526" w:rsidRPr="0053182F" w:rsidRDefault="00651526" w:rsidP="00D20468">
            <w:pPr>
              <w:spacing w:after="0" w:line="240" w:lineRule="auto"/>
              <w:jc w:val="center"/>
              <w:rPr>
                <w:rFonts w:eastAsia="Times New Roman"/>
                <w:sz w:val="21"/>
                <w:szCs w:val="21"/>
                <w:lang w:eastAsia="en-GB"/>
              </w:rPr>
            </w:pPr>
            <w:r w:rsidRPr="0053182F">
              <w:rPr>
                <w:sz w:val="21"/>
                <w:szCs w:val="21"/>
              </w:rPr>
              <w:t>78</w:t>
            </w:r>
          </w:p>
        </w:tc>
        <w:tc>
          <w:tcPr>
            <w:tcW w:w="3415" w:type="dxa"/>
            <w:tcBorders>
              <w:top w:val="nil"/>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476A3465" w14:textId="77777777" w:rsidR="00651526" w:rsidRPr="0053182F" w:rsidRDefault="00651526" w:rsidP="00D20468">
            <w:pPr>
              <w:spacing w:after="0" w:line="240" w:lineRule="auto"/>
              <w:jc w:val="center"/>
              <w:rPr>
                <w:rFonts w:eastAsia="Times New Roman"/>
                <w:sz w:val="21"/>
                <w:szCs w:val="21"/>
                <w:lang w:eastAsia="en-GB"/>
              </w:rPr>
            </w:pPr>
            <w:r w:rsidRPr="0053182F">
              <w:rPr>
                <w:rFonts w:eastAsia="Times New Roman"/>
                <w:sz w:val="21"/>
                <w:szCs w:val="21"/>
                <w:lang w:eastAsia="en-GB"/>
              </w:rPr>
              <w:t>1170</w:t>
            </w:r>
          </w:p>
        </w:tc>
      </w:tr>
      <w:tr w:rsidR="00651526" w:rsidRPr="0053182F" w14:paraId="03B7E392" w14:textId="77777777" w:rsidTr="00D20468">
        <w:trPr>
          <w:trHeight w:val="224"/>
        </w:trPr>
        <w:tc>
          <w:tcPr>
            <w:tcW w:w="3173"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6160DFC0" w14:textId="77777777" w:rsidR="00651526" w:rsidRPr="0053182F" w:rsidRDefault="00651526" w:rsidP="00D20468">
            <w:pPr>
              <w:spacing w:after="0" w:line="240" w:lineRule="auto"/>
              <w:rPr>
                <w:rFonts w:eastAsia="Times New Roman"/>
                <w:b/>
                <w:bCs/>
                <w:sz w:val="21"/>
                <w:szCs w:val="21"/>
                <w:lang w:eastAsia="en-GB"/>
              </w:rPr>
            </w:pPr>
            <w:r w:rsidRPr="0053182F">
              <w:rPr>
                <w:rFonts w:eastAsia="Times New Roman"/>
                <w:b/>
                <w:bCs/>
                <w:sz w:val="21"/>
                <w:szCs w:val="21"/>
                <w:lang w:eastAsia="en-GB"/>
              </w:rPr>
              <w:t>Grand Total</w:t>
            </w:r>
          </w:p>
        </w:tc>
        <w:tc>
          <w:tcPr>
            <w:tcW w:w="2596" w:type="dxa"/>
            <w:tcBorders>
              <w:top w:val="single" w:sz="4" w:space="0" w:color="auto"/>
              <w:left w:val="nil"/>
              <w:bottom w:val="single" w:sz="4" w:space="0" w:color="auto"/>
              <w:right w:val="nil"/>
            </w:tcBorders>
            <w:shd w:val="clear" w:color="auto" w:fill="FFFFFF" w:themeFill="background1"/>
            <w:tcMar>
              <w:top w:w="15" w:type="dxa"/>
              <w:left w:w="108" w:type="dxa"/>
              <w:bottom w:w="15" w:type="dxa"/>
              <w:right w:w="108" w:type="dxa"/>
            </w:tcMar>
            <w:vAlign w:val="bottom"/>
            <w:hideMark/>
          </w:tcPr>
          <w:p w14:paraId="5C74B65E" w14:textId="77777777" w:rsidR="00651526" w:rsidRPr="0053182F" w:rsidRDefault="00651526" w:rsidP="00D20468">
            <w:pPr>
              <w:spacing w:after="0" w:line="240" w:lineRule="auto"/>
              <w:jc w:val="center"/>
              <w:rPr>
                <w:rFonts w:eastAsia="Times New Roman"/>
                <w:b/>
                <w:bCs/>
                <w:sz w:val="21"/>
                <w:szCs w:val="21"/>
                <w:lang w:eastAsia="en-GB"/>
              </w:rPr>
            </w:pPr>
            <w:r w:rsidRPr="0053182F">
              <w:rPr>
                <w:b/>
                <w:bCs/>
                <w:sz w:val="21"/>
                <w:szCs w:val="21"/>
              </w:rPr>
              <w:t>255</w:t>
            </w:r>
          </w:p>
        </w:tc>
        <w:tc>
          <w:tcPr>
            <w:tcW w:w="3415" w:type="dxa"/>
            <w:tcBorders>
              <w:top w:val="single" w:sz="4" w:space="0" w:color="auto"/>
              <w:left w:val="nil"/>
              <w:bottom w:val="single" w:sz="4" w:space="0" w:color="auto"/>
              <w:right w:val="nil"/>
            </w:tcBorders>
            <w:shd w:val="clear" w:color="auto" w:fill="FFFFFF" w:themeFill="background1"/>
            <w:noWrap/>
            <w:tcMar>
              <w:top w:w="15" w:type="dxa"/>
              <w:left w:w="108" w:type="dxa"/>
              <w:bottom w:w="15" w:type="dxa"/>
              <w:right w:w="108" w:type="dxa"/>
            </w:tcMar>
            <w:vAlign w:val="bottom"/>
            <w:hideMark/>
          </w:tcPr>
          <w:p w14:paraId="04852A64" w14:textId="77777777" w:rsidR="00651526" w:rsidRPr="0053182F" w:rsidRDefault="00651526" w:rsidP="00D20468">
            <w:pPr>
              <w:spacing w:after="0" w:line="240" w:lineRule="auto"/>
              <w:jc w:val="center"/>
              <w:rPr>
                <w:rFonts w:eastAsia="Times New Roman"/>
                <w:b/>
                <w:bCs/>
                <w:sz w:val="21"/>
                <w:szCs w:val="21"/>
                <w:lang w:eastAsia="en-GB"/>
              </w:rPr>
            </w:pPr>
            <w:r w:rsidRPr="0053182F">
              <w:rPr>
                <w:rFonts w:eastAsia="Times New Roman"/>
                <w:b/>
                <w:bCs/>
                <w:sz w:val="21"/>
                <w:szCs w:val="21"/>
                <w:lang w:eastAsia="en-GB"/>
              </w:rPr>
              <w:t>3825</w:t>
            </w:r>
          </w:p>
        </w:tc>
      </w:tr>
    </w:tbl>
    <w:p w14:paraId="40A21614" w14:textId="77777777" w:rsidR="00651526" w:rsidRPr="0053182F" w:rsidRDefault="00651526" w:rsidP="00651526">
      <w:pPr>
        <w:spacing w:after="0" w:line="240" w:lineRule="auto"/>
        <w:jc w:val="both"/>
        <w:rPr>
          <w:sz w:val="21"/>
          <w:szCs w:val="21"/>
        </w:rPr>
      </w:pPr>
      <w:r w:rsidRPr="0053182F">
        <w:rPr>
          <w:b/>
          <w:bCs/>
          <w:sz w:val="21"/>
          <w:szCs w:val="21"/>
        </w:rPr>
        <w:t>Source (s):</w:t>
      </w:r>
      <w:r w:rsidRPr="0053182F">
        <w:rPr>
          <w:sz w:val="21"/>
          <w:szCs w:val="21"/>
        </w:rPr>
        <w:t xml:space="preserve"> Author's own work</w:t>
      </w:r>
    </w:p>
    <w:p w14:paraId="2535E664" w14:textId="77777777" w:rsidR="00651526" w:rsidRPr="0053182F" w:rsidRDefault="00651526" w:rsidP="00651526">
      <w:pPr>
        <w:spacing w:after="0" w:line="240" w:lineRule="auto"/>
        <w:jc w:val="both"/>
      </w:pPr>
    </w:p>
    <w:p w14:paraId="1FD45E1A" w14:textId="77777777" w:rsidR="00651526" w:rsidRPr="0053182F" w:rsidRDefault="00651526" w:rsidP="00651526">
      <w:pPr>
        <w:tabs>
          <w:tab w:val="left" w:pos="514"/>
        </w:tabs>
        <w:jc w:val="both"/>
        <w:rPr>
          <w:rFonts w:eastAsia="Times New Roman"/>
          <w:b/>
          <w:bCs/>
          <w:u w:val="single"/>
          <w:lang w:eastAsia="en-GB"/>
        </w:rPr>
      </w:pPr>
      <w:r w:rsidRPr="0053182F">
        <w:rPr>
          <w:rFonts w:eastAsia="Times New Roman"/>
          <w:b/>
          <w:bCs/>
          <w:u w:val="single"/>
          <w:lang w:eastAsia="en-GB"/>
        </w:rPr>
        <w:t>Industry composition</w:t>
      </w:r>
    </w:p>
    <w:p w14:paraId="312AC1C5" w14:textId="77777777" w:rsidR="00651526" w:rsidRPr="0053182F" w:rsidRDefault="00651526" w:rsidP="00651526">
      <w:pPr>
        <w:spacing w:after="0" w:line="480" w:lineRule="auto"/>
        <w:jc w:val="both"/>
      </w:pPr>
      <w:r w:rsidRPr="0053182F">
        <w:t>The industry classification presented in Table 7.6 offers a structured and analytically valuable overview of the 255 multinational firms included in the sample, organised according to two dimensions central to CMS research: (1) sectoral exposure to  CMS risk, and (2) labour versus capital intensity. Of the total sample, 186 firms operate within high-risk sectors, including apparel, food processing, automotive manufacturing, logistics, airlines, mining, and chemicals—industries characterised by long, fragmented supply chains, subcontracting networks, and heightened vulnerability to labour exploitation. Conversely, 69 firms are located in lower-risk, service-oriented sectors, such as banking, telecommunications, insurance, and software, where supply chains are shorter and less labour-intensive.</w:t>
      </w:r>
    </w:p>
    <w:p w14:paraId="5058707E" w14:textId="77777777" w:rsidR="00651526" w:rsidRPr="0053182F" w:rsidRDefault="00651526" w:rsidP="00651526">
      <w:pPr>
        <w:spacing w:after="0" w:line="480" w:lineRule="auto"/>
        <w:ind w:firstLine="720"/>
        <w:jc w:val="both"/>
      </w:pPr>
      <w:r w:rsidRPr="0053182F">
        <w:t>The classification further highlights substantial variation in production systems across the sample. Seventy-one firms operate in labour-intensive industries, where workforce conditions, informal contracting, and supplier practices play a defining role in operational outcomes. In contrast, 184 firms operate in capital-intensive sectors, such as energy, utilities, heavy manufacturing, and materials, where automation, scale efficiencies, and technological investments dominate production processes. This distribution underscores the diverse institutional and operational environments encompassed within the dataset and provides an essential analytical lens for interpreting cross-industry variability in SGIs and ACMS governance.</w:t>
      </w:r>
    </w:p>
    <w:p w14:paraId="6BE06803" w14:textId="77777777" w:rsidR="00651526" w:rsidRPr="0053182F" w:rsidRDefault="00651526" w:rsidP="00651526">
      <w:pPr>
        <w:spacing w:after="0" w:line="480" w:lineRule="auto"/>
        <w:ind w:firstLine="720"/>
        <w:jc w:val="both"/>
      </w:pPr>
      <w:r w:rsidRPr="0053182F">
        <w:t xml:space="preserve">Prior scholarship suggests that industry structure significantly shapes corporate behaviour, labour rights performance, and the likelihood of substantive versus symbolic compliance in addressing CMS risks </w:t>
      </w:r>
      <w:sdt>
        <w:sdtPr>
          <w:tag w:val="MENDELEY_CITATION_v3_eyJjaXRhdGlvbklEIjoiTUVOREVMRVlfQ0lUQVRJT05fYzQ4YzRjNGYtOWE4Zi00ZDI1LWI1YzctN2NhYjQyNDYxNzgwIiwicHJvcGVydGllcyI6eyJub3RlSW5kZXgiOjB9LCJpc0VkaXRlZCI6ZmFsc2UsIm1hbnVhbE92ZXJyaWRlIjp7ImlzTWFudWFsbHlPdmVycmlkZGVuIjpmYWxzZSwiY2l0ZXByb2NUZXh0IjoiKENyYW5lIDxpPmV0IGFsLjwvaT4sIDIwMTk7IFBlc3RlcmZpZWxkIGFuZCBSb2dlcnNvbiwgMjAyNDsgUm9nZXJzb24gYW5kIFBhcnJ5LCAyMDIw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"/>
          <w:id w:val="-716584486"/>
          <w:placeholder>
            <w:docPart w:val="5CF0F8EE96A24A588FF2EE14C500E619"/>
          </w:placeholder>
        </w:sdtPr>
        <w:sdtContent>
          <w:r w:rsidRPr="0053182F">
            <w:rPr>
              <w:rFonts w:eastAsia="Times New Roman"/>
            </w:rPr>
            <w:t xml:space="preserve">(Crane </w:t>
          </w:r>
          <w:r w:rsidRPr="0053182F">
            <w:rPr>
              <w:rFonts w:eastAsia="Times New Roman"/>
              <w:i/>
              <w:iCs/>
            </w:rPr>
            <w:t>et al.</w:t>
          </w:r>
          <w:r w:rsidRPr="0053182F">
            <w:rPr>
              <w:rFonts w:eastAsia="Times New Roman"/>
            </w:rPr>
            <w:t>, 2019; Pesterfield and Rogerson, 2024; Rogerson and Parry, 2020)</w:t>
          </w:r>
        </w:sdtContent>
      </w:sdt>
      <w:r w:rsidRPr="0053182F">
        <w:t xml:space="preserve">. Consistent with this literature, the present study adopted an industry-specific analytical strategy by categorising firms along the two aforementioned dimensions. First, industries were classified into high- and low-risk CMS sectors, drawing on established frameworks by Allam et al. (2024) and Christ et al. (2019), which identify sectors such as agriculture, textiles, construction, and extractives as particularly vulnerable to forced labour and exploitation. Second, following the approach of Helfaya </w:t>
      </w:r>
      <w:r w:rsidRPr="0053182F">
        <w:rPr>
          <w:i/>
          <w:iCs/>
        </w:rPr>
        <w:t>et al</w:t>
      </w:r>
      <w:r w:rsidRPr="0053182F">
        <w:t>. (2024), firms were further categorised into labour-intensive and capital-intensive industries to capture differences in resource dependency, production organisation, and exposure to labour governance pressures.</w:t>
      </w:r>
    </w:p>
    <w:p w14:paraId="1B033DEB" w14:textId="77777777" w:rsidR="00651526" w:rsidRPr="0053182F" w:rsidRDefault="00651526" w:rsidP="00651526">
      <w:pPr>
        <w:spacing w:after="0" w:line="480" w:lineRule="auto"/>
        <w:ind w:firstLine="720"/>
        <w:jc w:val="both"/>
        <w:rPr>
          <w:rStyle w:val="Emphasis"/>
          <w:i w:val="0"/>
          <w:iCs w:val="0"/>
        </w:rPr>
      </w:pPr>
      <w:r w:rsidRPr="0053182F">
        <w:t xml:space="preserve">This stratified classification enables a more nuanced examination of how SGIs operate under varying institutional logics and sectoral conditions. It further supports the theoretical premise of NIT by allowing the analysis to assess whether the effects of SGIs on ACMS outcomes differ across industries with distinct legitimacy pressures, regulatory scrutiny, and stakeholder expectations. A detailed presentation of the classification criteria for CMS-risk levels and industry orientation is provided in </w:t>
      </w:r>
      <w:r w:rsidRPr="0053182F">
        <w:rPr>
          <w:rStyle w:val="Emphasis"/>
          <w:i w:val="0"/>
          <w:iCs w:val="0"/>
        </w:rPr>
        <w:t>Table 7.7.</w:t>
      </w:r>
    </w:p>
    <w:p w14:paraId="666B198A" w14:textId="77777777" w:rsidR="00651526" w:rsidRPr="0053182F" w:rsidRDefault="00651526" w:rsidP="00651526">
      <w:pPr>
        <w:jc w:val="both"/>
      </w:pPr>
      <w:r w:rsidRPr="0053182F">
        <w:rPr>
          <w:rFonts w:eastAsia="Times New Roman"/>
          <w:b/>
          <w:bCs/>
          <w:lang w:eastAsia="en-GB"/>
        </w:rPr>
        <w:t xml:space="preserve">Table 7.6: </w:t>
      </w:r>
      <w:r w:rsidRPr="0053182F">
        <w:rPr>
          <w:rFonts w:eastAsia="Times New Roman"/>
          <w:lang w:eastAsia="en-GB"/>
        </w:rPr>
        <w:t xml:space="preserve"> Industry classification based on the CMS risk and Labour and capital Insensitivity</w:t>
      </w:r>
    </w:p>
    <w:tbl>
      <w:tblPr>
        <w:tblW w:w="9765" w:type="dxa"/>
        <w:tblLayout w:type="fixed"/>
        <w:tblLook w:val="04A0" w:firstRow="1" w:lastRow="0" w:firstColumn="1" w:lastColumn="0" w:noHBand="0" w:noVBand="1"/>
      </w:tblPr>
      <w:tblGrid>
        <w:gridCol w:w="505"/>
        <w:gridCol w:w="772"/>
        <w:gridCol w:w="3073"/>
        <w:gridCol w:w="1162"/>
        <w:gridCol w:w="932"/>
        <w:gridCol w:w="84"/>
        <w:gridCol w:w="971"/>
        <w:gridCol w:w="1133"/>
        <w:gridCol w:w="1133"/>
      </w:tblGrid>
      <w:tr w:rsidR="00651526" w:rsidRPr="0053182F" w14:paraId="402C1A5A" w14:textId="77777777" w:rsidTr="00D20468">
        <w:trPr>
          <w:trHeight w:val="800"/>
        </w:trPr>
        <w:tc>
          <w:tcPr>
            <w:tcW w:w="1276" w:type="dxa"/>
            <w:gridSpan w:val="2"/>
            <w:tcBorders>
              <w:top w:val="single" w:sz="4" w:space="0" w:color="auto"/>
              <w:left w:val="nil"/>
              <w:bottom w:val="nil"/>
              <w:right w:val="nil"/>
            </w:tcBorders>
            <w:shd w:val="clear" w:color="auto" w:fill="FFFFFF" w:themeFill="background1"/>
            <w:noWrap/>
            <w:vAlign w:val="bottom"/>
            <w:hideMark/>
          </w:tcPr>
          <w:p w14:paraId="35BFB3AD" w14:textId="77777777" w:rsidR="00651526" w:rsidRPr="0053182F" w:rsidRDefault="00651526" w:rsidP="00D20468">
            <w:pPr>
              <w:spacing w:after="0" w:line="240" w:lineRule="auto"/>
              <w:jc w:val="both"/>
              <w:rPr>
                <w:rFonts w:eastAsia="Times New Roman"/>
                <w:lang w:eastAsia="en-GB"/>
              </w:rPr>
            </w:pPr>
            <w:r w:rsidRPr="0053182F">
              <w:rPr>
                <w:rFonts w:eastAsia="Times New Roman"/>
                <w:b/>
                <w:bCs/>
                <w:sz w:val="18"/>
                <w:szCs w:val="18"/>
                <w:lang w:eastAsia="en-GB"/>
              </w:rPr>
              <w:t>Economic sector</w:t>
            </w:r>
            <w:r w:rsidRPr="0053182F">
              <w:rPr>
                <w:rStyle w:val="FootnoteReference"/>
                <w:rFonts w:eastAsia="Times New Roman"/>
                <w:b/>
                <w:bCs/>
                <w:sz w:val="18"/>
                <w:szCs w:val="18"/>
                <w:lang w:eastAsia="en-GB"/>
              </w:rPr>
              <w:footnoteReference w:id="19"/>
            </w:r>
          </w:p>
        </w:tc>
        <w:tc>
          <w:tcPr>
            <w:tcW w:w="3075" w:type="dxa"/>
            <w:tcBorders>
              <w:top w:val="single" w:sz="4" w:space="0" w:color="auto"/>
              <w:left w:val="nil"/>
              <w:bottom w:val="nil"/>
              <w:right w:val="nil"/>
            </w:tcBorders>
            <w:shd w:val="clear" w:color="auto" w:fill="FFFFFF" w:themeFill="background1"/>
            <w:vAlign w:val="center"/>
            <w:hideMark/>
          </w:tcPr>
          <w:p w14:paraId="165CC6F2"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Industry Name</w:t>
            </w:r>
          </w:p>
        </w:tc>
        <w:tc>
          <w:tcPr>
            <w:tcW w:w="1163" w:type="dxa"/>
            <w:tcBorders>
              <w:top w:val="single" w:sz="4" w:space="0" w:color="auto"/>
              <w:left w:val="nil"/>
              <w:bottom w:val="nil"/>
              <w:right w:val="nil"/>
            </w:tcBorders>
            <w:shd w:val="clear" w:color="auto" w:fill="FFFFFF" w:themeFill="background1"/>
            <w:vAlign w:val="center"/>
            <w:hideMark/>
          </w:tcPr>
          <w:p w14:paraId="0048F641"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Number of companies</w:t>
            </w:r>
          </w:p>
        </w:tc>
        <w:tc>
          <w:tcPr>
            <w:tcW w:w="1017" w:type="dxa"/>
            <w:gridSpan w:val="2"/>
            <w:tcBorders>
              <w:top w:val="single" w:sz="4" w:space="0" w:color="auto"/>
              <w:left w:val="nil"/>
              <w:bottom w:val="nil"/>
              <w:right w:val="nil"/>
            </w:tcBorders>
            <w:shd w:val="clear" w:color="auto" w:fill="FFFFFF" w:themeFill="background1"/>
            <w:vAlign w:val="center"/>
            <w:hideMark/>
          </w:tcPr>
          <w:p w14:paraId="0A1BC1E8"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High-risk sectors for CMS</w:t>
            </w:r>
          </w:p>
        </w:tc>
        <w:tc>
          <w:tcPr>
            <w:tcW w:w="972" w:type="dxa"/>
            <w:tcBorders>
              <w:top w:val="single" w:sz="4" w:space="0" w:color="auto"/>
              <w:left w:val="nil"/>
              <w:bottom w:val="nil"/>
              <w:right w:val="nil"/>
            </w:tcBorders>
            <w:shd w:val="clear" w:color="auto" w:fill="FFFFFF" w:themeFill="background1"/>
            <w:vAlign w:val="center"/>
            <w:hideMark/>
          </w:tcPr>
          <w:p w14:paraId="65EA8DCA"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Low-risk sectors for CMS</w:t>
            </w:r>
          </w:p>
        </w:tc>
        <w:tc>
          <w:tcPr>
            <w:tcW w:w="1134" w:type="dxa"/>
            <w:tcBorders>
              <w:top w:val="single" w:sz="4" w:space="0" w:color="auto"/>
              <w:left w:val="nil"/>
              <w:bottom w:val="nil"/>
              <w:right w:val="nil"/>
            </w:tcBorders>
            <w:shd w:val="clear" w:color="auto" w:fill="FFFFFF" w:themeFill="background1"/>
            <w:vAlign w:val="center"/>
            <w:hideMark/>
          </w:tcPr>
          <w:p w14:paraId="724E628D"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Labour-intensive Industries</w:t>
            </w:r>
          </w:p>
        </w:tc>
        <w:tc>
          <w:tcPr>
            <w:tcW w:w="1134" w:type="dxa"/>
            <w:tcBorders>
              <w:top w:val="single" w:sz="4" w:space="0" w:color="auto"/>
              <w:left w:val="nil"/>
              <w:bottom w:val="nil"/>
              <w:right w:val="nil"/>
            </w:tcBorders>
            <w:shd w:val="clear" w:color="auto" w:fill="FFFFFF" w:themeFill="background1"/>
            <w:vAlign w:val="center"/>
            <w:hideMark/>
          </w:tcPr>
          <w:p w14:paraId="4427A685"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Capital Intensive Industries</w:t>
            </w:r>
          </w:p>
        </w:tc>
      </w:tr>
      <w:tr w:rsidR="00651526" w:rsidRPr="0053182F" w14:paraId="267301C0"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76FBC6F5" w14:textId="77777777" w:rsidR="00651526" w:rsidRPr="0053182F" w:rsidRDefault="00651526" w:rsidP="00D20468">
            <w:pPr>
              <w:spacing w:after="0" w:line="240" w:lineRule="auto"/>
              <w:jc w:val="both"/>
              <w:rPr>
                <w:rFonts w:eastAsia="Times New Roman"/>
                <w:b/>
                <w:bCs/>
                <w:i/>
                <w:iCs/>
                <w:sz w:val="18"/>
                <w:szCs w:val="18"/>
                <w:lang w:eastAsia="en-GB"/>
              </w:rPr>
            </w:pPr>
            <w:r w:rsidRPr="0053182F">
              <w:rPr>
                <w:rFonts w:eastAsia="Times New Roman"/>
                <w:b/>
                <w:bCs/>
                <w:i/>
                <w:iCs/>
                <w:sz w:val="18"/>
                <w:szCs w:val="18"/>
                <w:lang w:eastAsia="en-GB"/>
              </w:rPr>
              <w:t>Communication Services</w:t>
            </w:r>
          </w:p>
        </w:tc>
        <w:tc>
          <w:tcPr>
            <w:tcW w:w="1163" w:type="dxa"/>
            <w:tcBorders>
              <w:top w:val="single" w:sz="8" w:space="0" w:color="auto"/>
              <w:left w:val="nil"/>
              <w:bottom w:val="single" w:sz="8" w:space="0" w:color="auto"/>
              <w:right w:val="nil"/>
            </w:tcBorders>
            <w:shd w:val="clear" w:color="auto" w:fill="FFFFFF" w:themeFill="background1"/>
            <w:noWrap/>
            <w:vAlign w:val="center"/>
            <w:hideMark/>
          </w:tcPr>
          <w:p w14:paraId="340CA42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14</w:t>
            </w:r>
          </w:p>
        </w:tc>
        <w:tc>
          <w:tcPr>
            <w:tcW w:w="933" w:type="dxa"/>
            <w:tcBorders>
              <w:top w:val="single" w:sz="8" w:space="0" w:color="auto"/>
              <w:left w:val="nil"/>
              <w:bottom w:val="single" w:sz="8" w:space="0" w:color="auto"/>
              <w:right w:val="nil"/>
            </w:tcBorders>
            <w:shd w:val="clear" w:color="auto" w:fill="FFFFFF" w:themeFill="background1"/>
            <w:noWrap/>
            <w:vAlign w:val="bottom"/>
            <w:hideMark/>
          </w:tcPr>
          <w:p w14:paraId="640275CF" w14:textId="77777777" w:rsidR="00651526" w:rsidRPr="0053182F" w:rsidRDefault="00651526" w:rsidP="00D20468">
            <w:pPr>
              <w:spacing w:after="0" w:line="240" w:lineRule="auto"/>
              <w:jc w:val="center"/>
              <w:rPr>
                <w:rFonts w:eastAsia="Times New Roman"/>
                <w:lang w:eastAsia="en-GB"/>
              </w:rPr>
            </w:pPr>
          </w:p>
        </w:tc>
        <w:tc>
          <w:tcPr>
            <w:tcW w:w="1056" w:type="dxa"/>
            <w:gridSpan w:val="2"/>
            <w:tcBorders>
              <w:top w:val="single" w:sz="8" w:space="0" w:color="auto"/>
              <w:left w:val="nil"/>
              <w:bottom w:val="single" w:sz="8" w:space="0" w:color="auto"/>
              <w:right w:val="nil"/>
            </w:tcBorders>
            <w:shd w:val="clear" w:color="auto" w:fill="FFFFFF" w:themeFill="background1"/>
            <w:noWrap/>
            <w:vAlign w:val="center"/>
            <w:hideMark/>
          </w:tcPr>
          <w:p w14:paraId="4D6E79E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14</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2246E4B0" w14:textId="77777777" w:rsidR="00651526" w:rsidRPr="0053182F" w:rsidRDefault="00651526" w:rsidP="00D20468">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14C00B02"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14</w:t>
            </w:r>
          </w:p>
        </w:tc>
      </w:tr>
      <w:tr w:rsidR="00651526" w:rsidRPr="0053182F" w14:paraId="725D57FD" w14:textId="77777777" w:rsidTr="00D20468">
        <w:trPr>
          <w:trHeight w:val="226"/>
        </w:trPr>
        <w:tc>
          <w:tcPr>
            <w:tcW w:w="504" w:type="dxa"/>
            <w:shd w:val="clear" w:color="auto" w:fill="FFFFFF" w:themeFill="background1"/>
            <w:noWrap/>
            <w:vAlign w:val="bottom"/>
            <w:hideMark/>
          </w:tcPr>
          <w:p w14:paraId="2516FB2B"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7DAE60FB"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Broadcasting</w:t>
            </w:r>
          </w:p>
        </w:tc>
        <w:tc>
          <w:tcPr>
            <w:tcW w:w="1163" w:type="dxa"/>
            <w:shd w:val="clear" w:color="auto" w:fill="FFFFFF" w:themeFill="background1"/>
            <w:noWrap/>
            <w:vAlign w:val="center"/>
            <w:hideMark/>
          </w:tcPr>
          <w:p w14:paraId="25CB7E8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bottom"/>
            <w:hideMark/>
          </w:tcPr>
          <w:p w14:paraId="0AC12EDA"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302F0AB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17BA8D5C"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ACDC07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6509085F" w14:textId="77777777" w:rsidTr="00D20468">
        <w:trPr>
          <w:trHeight w:val="226"/>
        </w:trPr>
        <w:tc>
          <w:tcPr>
            <w:tcW w:w="504" w:type="dxa"/>
            <w:shd w:val="clear" w:color="auto" w:fill="FFFFFF" w:themeFill="background1"/>
            <w:noWrap/>
            <w:vAlign w:val="bottom"/>
            <w:hideMark/>
          </w:tcPr>
          <w:p w14:paraId="02057F1F"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27EA85A1"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Integrated Telecommunications Services</w:t>
            </w:r>
          </w:p>
        </w:tc>
        <w:tc>
          <w:tcPr>
            <w:tcW w:w="1163" w:type="dxa"/>
            <w:shd w:val="clear" w:color="auto" w:fill="FFFFFF" w:themeFill="background1"/>
            <w:noWrap/>
            <w:vAlign w:val="center"/>
            <w:hideMark/>
          </w:tcPr>
          <w:p w14:paraId="6B15424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933" w:type="dxa"/>
            <w:shd w:val="clear" w:color="auto" w:fill="FFFFFF" w:themeFill="background1"/>
            <w:noWrap/>
            <w:vAlign w:val="bottom"/>
            <w:hideMark/>
          </w:tcPr>
          <w:p w14:paraId="299BEDD7"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5E00215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1134" w:type="dxa"/>
            <w:shd w:val="clear" w:color="auto" w:fill="FFFFFF" w:themeFill="background1"/>
            <w:noWrap/>
            <w:vAlign w:val="bottom"/>
            <w:hideMark/>
          </w:tcPr>
          <w:p w14:paraId="460C6824"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503FCE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r>
      <w:tr w:rsidR="00651526" w:rsidRPr="0053182F" w14:paraId="761E0D15" w14:textId="77777777" w:rsidTr="00D20468">
        <w:trPr>
          <w:trHeight w:val="226"/>
        </w:trPr>
        <w:tc>
          <w:tcPr>
            <w:tcW w:w="504" w:type="dxa"/>
            <w:shd w:val="clear" w:color="auto" w:fill="FFFFFF" w:themeFill="background1"/>
            <w:noWrap/>
            <w:vAlign w:val="bottom"/>
            <w:hideMark/>
          </w:tcPr>
          <w:p w14:paraId="26930D0A"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7267FB04"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Online Services</w:t>
            </w:r>
          </w:p>
        </w:tc>
        <w:tc>
          <w:tcPr>
            <w:tcW w:w="1163" w:type="dxa"/>
            <w:shd w:val="clear" w:color="auto" w:fill="FFFFFF" w:themeFill="background1"/>
            <w:noWrap/>
            <w:vAlign w:val="center"/>
            <w:hideMark/>
          </w:tcPr>
          <w:p w14:paraId="1A15C61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bottom"/>
            <w:hideMark/>
          </w:tcPr>
          <w:p w14:paraId="505DEB2D"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3E13F05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1DF929E1"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AC86D8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r>
      <w:tr w:rsidR="00651526" w:rsidRPr="0053182F" w14:paraId="460BFCC5"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79E8DE61"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75A823E6"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Wireless Telecommunications Services</w:t>
            </w:r>
          </w:p>
        </w:tc>
        <w:tc>
          <w:tcPr>
            <w:tcW w:w="1163" w:type="dxa"/>
            <w:tcBorders>
              <w:top w:val="nil"/>
              <w:left w:val="nil"/>
              <w:bottom w:val="single" w:sz="8" w:space="0" w:color="auto"/>
              <w:right w:val="nil"/>
            </w:tcBorders>
            <w:shd w:val="clear" w:color="auto" w:fill="FFFFFF" w:themeFill="background1"/>
            <w:noWrap/>
            <w:vAlign w:val="center"/>
            <w:hideMark/>
          </w:tcPr>
          <w:p w14:paraId="4E7627B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4</w:t>
            </w:r>
          </w:p>
        </w:tc>
        <w:tc>
          <w:tcPr>
            <w:tcW w:w="933" w:type="dxa"/>
            <w:tcBorders>
              <w:top w:val="nil"/>
              <w:left w:val="nil"/>
              <w:bottom w:val="single" w:sz="8" w:space="0" w:color="auto"/>
              <w:right w:val="nil"/>
            </w:tcBorders>
            <w:shd w:val="clear" w:color="auto" w:fill="FFFFFF" w:themeFill="background1"/>
            <w:noWrap/>
            <w:vAlign w:val="bottom"/>
            <w:hideMark/>
          </w:tcPr>
          <w:p w14:paraId="25DE6662" w14:textId="77777777" w:rsidR="00651526" w:rsidRPr="0053182F" w:rsidRDefault="00651526" w:rsidP="00D20468">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600A7B5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4</w:t>
            </w:r>
          </w:p>
        </w:tc>
        <w:tc>
          <w:tcPr>
            <w:tcW w:w="1134" w:type="dxa"/>
            <w:shd w:val="clear" w:color="auto" w:fill="FFFFFF" w:themeFill="background1"/>
            <w:noWrap/>
            <w:vAlign w:val="bottom"/>
            <w:hideMark/>
          </w:tcPr>
          <w:p w14:paraId="0D2AAC39"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91DC49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4</w:t>
            </w:r>
          </w:p>
        </w:tc>
      </w:tr>
      <w:tr w:rsidR="00651526" w:rsidRPr="0053182F" w14:paraId="149C49E2"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54ECED94" w14:textId="77777777" w:rsidR="00651526" w:rsidRPr="0053182F" w:rsidRDefault="00651526" w:rsidP="00D20468">
            <w:pPr>
              <w:spacing w:after="0" w:line="240" w:lineRule="auto"/>
              <w:jc w:val="both"/>
              <w:rPr>
                <w:rFonts w:eastAsia="Times New Roman"/>
                <w:b/>
                <w:bCs/>
                <w:i/>
                <w:iCs/>
                <w:sz w:val="18"/>
                <w:szCs w:val="18"/>
                <w:lang w:eastAsia="en-GB"/>
              </w:rPr>
            </w:pPr>
            <w:r w:rsidRPr="0053182F">
              <w:rPr>
                <w:rFonts w:eastAsia="Times New Roman"/>
                <w:b/>
                <w:bCs/>
                <w:i/>
                <w:iCs/>
                <w:sz w:val="18"/>
                <w:szCs w:val="18"/>
                <w:lang w:eastAsia="en-GB"/>
              </w:rPr>
              <w:t>Consumer Discretionary</w:t>
            </w:r>
          </w:p>
        </w:tc>
        <w:tc>
          <w:tcPr>
            <w:tcW w:w="1163" w:type="dxa"/>
            <w:tcBorders>
              <w:top w:val="nil"/>
              <w:left w:val="nil"/>
              <w:bottom w:val="single" w:sz="8" w:space="0" w:color="auto"/>
              <w:right w:val="nil"/>
            </w:tcBorders>
            <w:shd w:val="clear" w:color="auto" w:fill="FFFFFF" w:themeFill="background1"/>
            <w:noWrap/>
            <w:vAlign w:val="center"/>
            <w:hideMark/>
          </w:tcPr>
          <w:p w14:paraId="206322B4"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34</w:t>
            </w:r>
          </w:p>
        </w:tc>
        <w:tc>
          <w:tcPr>
            <w:tcW w:w="933" w:type="dxa"/>
            <w:tcBorders>
              <w:top w:val="nil"/>
              <w:left w:val="nil"/>
              <w:bottom w:val="single" w:sz="8" w:space="0" w:color="auto"/>
              <w:right w:val="nil"/>
            </w:tcBorders>
            <w:shd w:val="clear" w:color="auto" w:fill="FFFFFF" w:themeFill="background1"/>
            <w:noWrap/>
            <w:vAlign w:val="bottom"/>
            <w:hideMark/>
          </w:tcPr>
          <w:p w14:paraId="1637285D" w14:textId="77777777" w:rsidR="00651526" w:rsidRPr="0053182F" w:rsidRDefault="00651526" w:rsidP="00D20468">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5D142A83"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34</w:t>
            </w: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69AFBC4D"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11</w:t>
            </w: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15D7D893"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23</w:t>
            </w:r>
          </w:p>
        </w:tc>
      </w:tr>
      <w:tr w:rsidR="00651526" w:rsidRPr="0053182F" w14:paraId="5C76073B" w14:textId="77777777" w:rsidTr="00D20468">
        <w:trPr>
          <w:trHeight w:val="226"/>
        </w:trPr>
        <w:tc>
          <w:tcPr>
            <w:tcW w:w="504" w:type="dxa"/>
            <w:shd w:val="clear" w:color="auto" w:fill="FFFFFF" w:themeFill="background1"/>
            <w:noWrap/>
            <w:vAlign w:val="bottom"/>
            <w:hideMark/>
          </w:tcPr>
          <w:p w14:paraId="4ACB2BB5"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6F5898F7"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Apparel &amp; Accessories</w:t>
            </w:r>
          </w:p>
        </w:tc>
        <w:tc>
          <w:tcPr>
            <w:tcW w:w="1163" w:type="dxa"/>
            <w:shd w:val="clear" w:color="auto" w:fill="FFFFFF" w:themeFill="background1"/>
            <w:noWrap/>
            <w:vAlign w:val="center"/>
            <w:hideMark/>
          </w:tcPr>
          <w:p w14:paraId="34F1303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23D4A5B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2FE76774"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B78A98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3F0C7875" w14:textId="77777777" w:rsidR="00651526" w:rsidRPr="0053182F" w:rsidRDefault="00651526" w:rsidP="00D20468">
            <w:pPr>
              <w:spacing w:after="0" w:line="240" w:lineRule="auto"/>
              <w:jc w:val="center"/>
              <w:rPr>
                <w:rFonts w:eastAsia="Times New Roman"/>
                <w:lang w:eastAsia="en-GB"/>
              </w:rPr>
            </w:pPr>
          </w:p>
        </w:tc>
      </w:tr>
      <w:tr w:rsidR="00651526" w:rsidRPr="0053182F" w14:paraId="31C62B46" w14:textId="77777777" w:rsidTr="00D20468">
        <w:trPr>
          <w:trHeight w:val="226"/>
        </w:trPr>
        <w:tc>
          <w:tcPr>
            <w:tcW w:w="504" w:type="dxa"/>
            <w:shd w:val="clear" w:color="auto" w:fill="FFFFFF" w:themeFill="background1"/>
            <w:noWrap/>
            <w:vAlign w:val="bottom"/>
            <w:hideMark/>
          </w:tcPr>
          <w:p w14:paraId="37003D66"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1F40392A"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Apparel &amp; Accessories Retailers</w:t>
            </w:r>
          </w:p>
        </w:tc>
        <w:tc>
          <w:tcPr>
            <w:tcW w:w="1163" w:type="dxa"/>
            <w:shd w:val="clear" w:color="auto" w:fill="FFFFFF" w:themeFill="background1"/>
            <w:noWrap/>
            <w:vAlign w:val="center"/>
            <w:hideMark/>
          </w:tcPr>
          <w:p w14:paraId="7DDDC23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3F6FCC0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3EF24C75"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06BF54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78AD7749" w14:textId="77777777" w:rsidR="00651526" w:rsidRPr="0053182F" w:rsidRDefault="00651526" w:rsidP="00D20468">
            <w:pPr>
              <w:spacing w:after="0" w:line="240" w:lineRule="auto"/>
              <w:jc w:val="center"/>
              <w:rPr>
                <w:rFonts w:eastAsia="Times New Roman"/>
                <w:lang w:eastAsia="en-GB"/>
              </w:rPr>
            </w:pPr>
          </w:p>
        </w:tc>
      </w:tr>
      <w:tr w:rsidR="00651526" w:rsidRPr="0053182F" w14:paraId="43C3A5E8" w14:textId="77777777" w:rsidTr="00D20468">
        <w:trPr>
          <w:trHeight w:val="226"/>
        </w:trPr>
        <w:tc>
          <w:tcPr>
            <w:tcW w:w="504" w:type="dxa"/>
            <w:shd w:val="clear" w:color="auto" w:fill="FFFFFF" w:themeFill="background1"/>
            <w:noWrap/>
            <w:vAlign w:val="bottom"/>
            <w:hideMark/>
          </w:tcPr>
          <w:p w14:paraId="1A76EABB"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F17DAA7"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Auto &amp; Truck Manufacturers</w:t>
            </w:r>
          </w:p>
        </w:tc>
        <w:tc>
          <w:tcPr>
            <w:tcW w:w="1163" w:type="dxa"/>
            <w:shd w:val="clear" w:color="auto" w:fill="FFFFFF" w:themeFill="background1"/>
            <w:noWrap/>
            <w:vAlign w:val="center"/>
            <w:hideMark/>
          </w:tcPr>
          <w:p w14:paraId="312C26E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14</w:t>
            </w:r>
          </w:p>
        </w:tc>
        <w:tc>
          <w:tcPr>
            <w:tcW w:w="933" w:type="dxa"/>
            <w:shd w:val="clear" w:color="auto" w:fill="FFFFFF" w:themeFill="background1"/>
            <w:noWrap/>
            <w:vAlign w:val="center"/>
            <w:hideMark/>
          </w:tcPr>
          <w:p w14:paraId="05DCB3B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14</w:t>
            </w:r>
          </w:p>
        </w:tc>
        <w:tc>
          <w:tcPr>
            <w:tcW w:w="1056" w:type="dxa"/>
            <w:gridSpan w:val="2"/>
            <w:shd w:val="clear" w:color="auto" w:fill="FFFFFF" w:themeFill="background1"/>
            <w:noWrap/>
            <w:vAlign w:val="bottom"/>
            <w:hideMark/>
          </w:tcPr>
          <w:p w14:paraId="7EE79133"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4BA5F4B"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CE68D3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14</w:t>
            </w:r>
          </w:p>
        </w:tc>
      </w:tr>
      <w:tr w:rsidR="00651526" w:rsidRPr="0053182F" w14:paraId="23F93FB9" w14:textId="77777777" w:rsidTr="00D20468">
        <w:trPr>
          <w:trHeight w:val="226"/>
        </w:trPr>
        <w:tc>
          <w:tcPr>
            <w:tcW w:w="504" w:type="dxa"/>
            <w:shd w:val="clear" w:color="auto" w:fill="FFFFFF" w:themeFill="background1"/>
            <w:noWrap/>
            <w:vAlign w:val="bottom"/>
            <w:hideMark/>
          </w:tcPr>
          <w:p w14:paraId="43C0A0F4"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FEB8B27"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Auto, Truck &amp; Motorcycle Parts</w:t>
            </w:r>
          </w:p>
        </w:tc>
        <w:tc>
          <w:tcPr>
            <w:tcW w:w="1163" w:type="dxa"/>
            <w:shd w:val="clear" w:color="auto" w:fill="FFFFFF" w:themeFill="background1"/>
            <w:noWrap/>
            <w:vAlign w:val="center"/>
            <w:hideMark/>
          </w:tcPr>
          <w:p w14:paraId="1A46413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933" w:type="dxa"/>
            <w:shd w:val="clear" w:color="auto" w:fill="FFFFFF" w:themeFill="background1"/>
            <w:noWrap/>
            <w:vAlign w:val="center"/>
            <w:hideMark/>
          </w:tcPr>
          <w:p w14:paraId="143FCF7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1056" w:type="dxa"/>
            <w:gridSpan w:val="2"/>
            <w:shd w:val="clear" w:color="auto" w:fill="FFFFFF" w:themeFill="background1"/>
            <w:noWrap/>
            <w:vAlign w:val="bottom"/>
            <w:hideMark/>
          </w:tcPr>
          <w:p w14:paraId="6F06D9D3"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74DF6C6F"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A4FD70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r>
      <w:tr w:rsidR="00651526" w:rsidRPr="0053182F" w14:paraId="2DCC2ADA" w14:textId="77777777" w:rsidTr="00D20468">
        <w:trPr>
          <w:trHeight w:val="226"/>
        </w:trPr>
        <w:tc>
          <w:tcPr>
            <w:tcW w:w="504" w:type="dxa"/>
            <w:shd w:val="clear" w:color="auto" w:fill="FFFFFF" w:themeFill="background1"/>
            <w:noWrap/>
            <w:vAlign w:val="bottom"/>
            <w:hideMark/>
          </w:tcPr>
          <w:p w14:paraId="2C0E72AD"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15221DA"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Computer &amp; Electronics Retailers</w:t>
            </w:r>
          </w:p>
        </w:tc>
        <w:tc>
          <w:tcPr>
            <w:tcW w:w="1163" w:type="dxa"/>
            <w:shd w:val="clear" w:color="auto" w:fill="FFFFFF" w:themeFill="background1"/>
            <w:noWrap/>
            <w:vAlign w:val="center"/>
            <w:hideMark/>
          </w:tcPr>
          <w:p w14:paraId="06E97B3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4628D0B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26DBA6E4"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39E4B5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7ABC8877" w14:textId="77777777" w:rsidR="00651526" w:rsidRPr="0053182F" w:rsidRDefault="00651526" w:rsidP="00D20468">
            <w:pPr>
              <w:spacing w:after="0" w:line="240" w:lineRule="auto"/>
              <w:jc w:val="center"/>
              <w:rPr>
                <w:rFonts w:eastAsia="Times New Roman"/>
                <w:lang w:eastAsia="en-GB"/>
              </w:rPr>
            </w:pPr>
          </w:p>
        </w:tc>
      </w:tr>
      <w:tr w:rsidR="00651526" w:rsidRPr="0053182F" w14:paraId="0CFB1E4D" w14:textId="77777777" w:rsidTr="00D20468">
        <w:trPr>
          <w:trHeight w:val="226"/>
        </w:trPr>
        <w:tc>
          <w:tcPr>
            <w:tcW w:w="504" w:type="dxa"/>
            <w:shd w:val="clear" w:color="auto" w:fill="FFFFFF" w:themeFill="background1"/>
            <w:noWrap/>
            <w:vAlign w:val="bottom"/>
            <w:hideMark/>
          </w:tcPr>
          <w:p w14:paraId="0C94BD26"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1290703"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Department Stores</w:t>
            </w:r>
          </w:p>
        </w:tc>
        <w:tc>
          <w:tcPr>
            <w:tcW w:w="1163" w:type="dxa"/>
            <w:shd w:val="clear" w:color="auto" w:fill="FFFFFF" w:themeFill="background1"/>
            <w:noWrap/>
            <w:vAlign w:val="center"/>
            <w:hideMark/>
          </w:tcPr>
          <w:p w14:paraId="5DFEDE5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15A5CC0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14905F5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1A654B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650BB3BC" w14:textId="77777777" w:rsidR="00651526" w:rsidRPr="0053182F" w:rsidRDefault="00651526" w:rsidP="00D20468">
            <w:pPr>
              <w:spacing w:after="0" w:line="240" w:lineRule="auto"/>
              <w:jc w:val="center"/>
              <w:rPr>
                <w:rFonts w:eastAsia="Times New Roman"/>
                <w:lang w:eastAsia="en-GB"/>
              </w:rPr>
            </w:pPr>
          </w:p>
        </w:tc>
      </w:tr>
      <w:tr w:rsidR="00651526" w:rsidRPr="0053182F" w14:paraId="128B59C6" w14:textId="77777777" w:rsidTr="00D20468">
        <w:trPr>
          <w:trHeight w:val="226"/>
        </w:trPr>
        <w:tc>
          <w:tcPr>
            <w:tcW w:w="504" w:type="dxa"/>
            <w:shd w:val="clear" w:color="auto" w:fill="FFFFFF" w:themeFill="background1"/>
            <w:noWrap/>
            <w:vAlign w:val="bottom"/>
            <w:hideMark/>
          </w:tcPr>
          <w:p w14:paraId="18C6173D"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02763989"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Discount Stores</w:t>
            </w:r>
          </w:p>
        </w:tc>
        <w:tc>
          <w:tcPr>
            <w:tcW w:w="1163" w:type="dxa"/>
            <w:shd w:val="clear" w:color="auto" w:fill="FFFFFF" w:themeFill="background1"/>
            <w:noWrap/>
            <w:vAlign w:val="center"/>
            <w:hideMark/>
          </w:tcPr>
          <w:p w14:paraId="0C89DCF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1FEFB3C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49D17A6E"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452BD0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752B2084" w14:textId="77777777" w:rsidR="00651526" w:rsidRPr="0053182F" w:rsidRDefault="00651526" w:rsidP="00D20468">
            <w:pPr>
              <w:spacing w:after="0" w:line="240" w:lineRule="auto"/>
              <w:jc w:val="center"/>
              <w:rPr>
                <w:rFonts w:eastAsia="Times New Roman"/>
                <w:lang w:eastAsia="en-GB"/>
              </w:rPr>
            </w:pPr>
          </w:p>
        </w:tc>
      </w:tr>
      <w:tr w:rsidR="00651526" w:rsidRPr="0053182F" w14:paraId="4AE45952" w14:textId="77777777" w:rsidTr="00D20468">
        <w:trPr>
          <w:trHeight w:val="226"/>
        </w:trPr>
        <w:tc>
          <w:tcPr>
            <w:tcW w:w="504" w:type="dxa"/>
            <w:shd w:val="clear" w:color="auto" w:fill="FFFFFF" w:themeFill="background1"/>
            <w:noWrap/>
            <w:vAlign w:val="bottom"/>
            <w:hideMark/>
          </w:tcPr>
          <w:p w14:paraId="06FFB11D"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1A3A5125"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Footwear</w:t>
            </w:r>
          </w:p>
        </w:tc>
        <w:tc>
          <w:tcPr>
            <w:tcW w:w="1163" w:type="dxa"/>
            <w:shd w:val="clear" w:color="auto" w:fill="FFFFFF" w:themeFill="background1"/>
            <w:noWrap/>
            <w:vAlign w:val="center"/>
            <w:hideMark/>
          </w:tcPr>
          <w:p w14:paraId="4A47C75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3EB738B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16076B5F"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5AED96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0FD71F9C" w14:textId="77777777" w:rsidR="00651526" w:rsidRPr="0053182F" w:rsidRDefault="00651526" w:rsidP="00D20468">
            <w:pPr>
              <w:spacing w:after="0" w:line="240" w:lineRule="auto"/>
              <w:jc w:val="center"/>
              <w:rPr>
                <w:rFonts w:eastAsia="Times New Roman"/>
                <w:lang w:eastAsia="en-GB"/>
              </w:rPr>
            </w:pPr>
          </w:p>
        </w:tc>
      </w:tr>
      <w:tr w:rsidR="00651526" w:rsidRPr="0053182F" w14:paraId="608D62C6" w14:textId="77777777" w:rsidTr="00D20468">
        <w:trPr>
          <w:trHeight w:val="226"/>
        </w:trPr>
        <w:tc>
          <w:tcPr>
            <w:tcW w:w="504" w:type="dxa"/>
            <w:shd w:val="clear" w:color="auto" w:fill="FFFFFF" w:themeFill="background1"/>
            <w:noWrap/>
            <w:vAlign w:val="bottom"/>
            <w:hideMark/>
          </w:tcPr>
          <w:p w14:paraId="35437ABA"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78C80689"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Home Improvement Products &amp; Services Retailers</w:t>
            </w:r>
          </w:p>
        </w:tc>
        <w:tc>
          <w:tcPr>
            <w:tcW w:w="1163" w:type="dxa"/>
            <w:shd w:val="clear" w:color="auto" w:fill="FFFFFF" w:themeFill="background1"/>
            <w:noWrap/>
            <w:vAlign w:val="center"/>
            <w:hideMark/>
          </w:tcPr>
          <w:p w14:paraId="2CAFB53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6BC8247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782CFF5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14C995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22A2F493" w14:textId="77777777" w:rsidR="00651526" w:rsidRPr="0053182F" w:rsidRDefault="00651526" w:rsidP="00D20468">
            <w:pPr>
              <w:spacing w:after="0" w:line="240" w:lineRule="auto"/>
              <w:jc w:val="center"/>
              <w:rPr>
                <w:rFonts w:eastAsia="Times New Roman"/>
                <w:lang w:eastAsia="en-GB"/>
              </w:rPr>
            </w:pPr>
          </w:p>
        </w:tc>
      </w:tr>
      <w:tr w:rsidR="00651526" w:rsidRPr="0053182F" w14:paraId="1D18F56B" w14:textId="77777777" w:rsidTr="00D20468">
        <w:trPr>
          <w:trHeight w:val="226"/>
        </w:trPr>
        <w:tc>
          <w:tcPr>
            <w:tcW w:w="504" w:type="dxa"/>
            <w:shd w:val="clear" w:color="auto" w:fill="FFFFFF" w:themeFill="background1"/>
            <w:noWrap/>
            <w:vAlign w:val="bottom"/>
            <w:hideMark/>
          </w:tcPr>
          <w:p w14:paraId="2B1328B0"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190CAADA"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Household Electronics</w:t>
            </w:r>
          </w:p>
        </w:tc>
        <w:tc>
          <w:tcPr>
            <w:tcW w:w="1163" w:type="dxa"/>
            <w:shd w:val="clear" w:color="auto" w:fill="FFFFFF" w:themeFill="background1"/>
            <w:noWrap/>
            <w:vAlign w:val="center"/>
            <w:hideMark/>
          </w:tcPr>
          <w:p w14:paraId="1603288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12370A9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649D9E70"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0DD42441"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E7F84D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r>
      <w:tr w:rsidR="00651526" w:rsidRPr="0053182F" w14:paraId="0611937C" w14:textId="77777777" w:rsidTr="00D20468">
        <w:trPr>
          <w:trHeight w:val="226"/>
        </w:trPr>
        <w:tc>
          <w:tcPr>
            <w:tcW w:w="504" w:type="dxa"/>
            <w:shd w:val="clear" w:color="auto" w:fill="FFFFFF" w:themeFill="background1"/>
            <w:noWrap/>
            <w:vAlign w:val="bottom"/>
            <w:hideMark/>
          </w:tcPr>
          <w:p w14:paraId="618BC942"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AB4DC71"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Oil &amp; Gas Refining and Marketing</w:t>
            </w:r>
          </w:p>
        </w:tc>
        <w:tc>
          <w:tcPr>
            <w:tcW w:w="1163" w:type="dxa"/>
            <w:shd w:val="clear" w:color="auto" w:fill="FFFFFF" w:themeFill="background1"/>
            <w:noWrap/>
            <w:vAlign w:val="center"/>
            <w:hideMark/>
          </w:tcPr>
          <w:p w14:paraId="1779B15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3296469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4A1E770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0DC92A8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9712E7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59569F84" w14:textId="77777777" w:rsidTr="00D20468">
        <w:trPr>
          <w:trHeight w:val="226"/>
        </w:trPr>
        <w:tc>
          <w:tcPr>
            <w:tcW w:w="504" w:type="dxa"/>
            <w:shd w:val="clear" w:color="auto" w:fill="FFFFFF" w:themeFill="background1"/>
            <w:noWrap/>
            <w:vAlign w:val="bottom"/>
            <w:hideMark/>
          </w:tcPr>
          <w:p w14:paraId="6B53AB53"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03E08099"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Restaurants &amp; Bars</w:t>
            </w:r>
          </w:p>
        </w:tc>
        <w:tc>
          <w:tcPr>
            <w:tcW w:w="1163" w:type="dxa"/>
            <w:shd w:val="clear" w:color="auto" w:fill="FFFFFF" w:themeFill="background1"/>
            <w:noWrap/>
            <w:vAlign w:val="center"/>
            <w:hideMark/>
          </w:tcPr>
          <w:p w14:paraId="56B2215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0AB68D9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18633C3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209D9B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3EF1B26C" w14:textId="77777777" w:rsidR="00651526" w:rsidRPr="0053182F" w:rsidRDefault="00651526" w:rsidP="00D20468">
            <w:pPr>
              <w:spacing w:after="0" w:line="240" w:lineRule="auto"/>
              <w:jc w:val="center"/>
              <w:rPr>
                <w:rFonts w:eastAsia="Times New Roman"/>
                <w:lang w:eastAsia="en-GB"/>
              </w:rPr>
            </w:pPr>
          </w:p>
        </w:tc>
      </w:tr>
      <w:tr w:rsidR="00651526" w:rsidRPr="0053182F" w14:paraId="032C824B"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6B327353"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097F3855"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Tires &amp; Rubber Products</w:t>
            </w:r>
          </w:p>
        </w:tc>
        <w:tc>
          <w:tcPr>
            <w:tcW w:w="1163" w:type="dxa"/>
            <w:tcBorders>
              <w:top w:val="nil"/>
              <w:left w:val="nil"/>
              <w:bottom w:val="single" w:sz="8" w:space="0" w:color="auto"/>
              <w:right w:val="nil"/>
            </w:tcBorders>
            <w:shd w:val="clear" w:color="auto" w:fill="FFFFFF" w:themeFill="background1"/>
            <w:noWrap/>
            <w:vAlign w:val="center"/>
            <w:hideMark/>
          </w:tcPr>
          <w:p w14:paraId="70A0CE0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640D92E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77C97B29"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0786CC88"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96141F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279A22BF"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5D8F1764" w14:textId="77777777" w:rsidR="00651526" w:rsidRPr="0053182F" w:rsidRDefault="00651526" w:rsidP="00D20468">
            <w:pPr>
              <w:spacing w:after="0" w:line="240" w:lineRule="auto"/>
              <w:jc w:val="both"/>
              <w:rPr>
                <w:rFonts w:eastAsia="Times New Roman"/>
                <w:b/>
                <w:bCs/>
                <w:i/>
                <w:iCs/>
                <w:sz w:val="18"/>
                <w:szCs w:val="18"/>
                <w:lang w:eastAsia="en-GB"/>
              </w:rPr>
            </w:pPr>
            <w:r w:rsidRPr="0053182F">
              <w:rPr>
                <w:rFonts w:eastAsia="Times New Roman"/>
                <w:b/>
                <w:bCs/>
                <w:i/>
                <w:iCs/>
                <w:sz w:val="18"/>
                <w:szCs w:val="18"/>
                <w:lang w:eastAsia="en-GB"/>
              </w:rPr>
              <w:t>Consumer Staples</w:t>
            </w:r>
          </w:p>
        </w:tc>
        <w:tc>
          <w:tcPr>
            <w:tcW w:w="1163" w:type="dxa"/>
            <w:tcBorders>
              <w:top w:val="nil"/>
              <w:left w:val="nil"/>
              <w:bottom w:val="single" w:sz="8" w:space="0" w:color="auto"/>
              <w:right w:val="nil"/>
            </w:tcBorders>
            <w:shd w:val="clear" w:color="auto" w:fill="FFFFFF" w:themeFill="background1"/>
            <w:noWrap/>
            <w:vAlign w:val="center"/>
            <w:hideMark/>
          </w:tcPr>
          <w:p w14:paraId="55812E3F"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31</w:t>
            </w:r>
          </w:p>
        </w:tc>
        <w:tc>
          <w:tcPr>
            <w:tcW w:w="933" w:type="dxa"/>
            <w:tcBorders>
              <w:top w:val="nil"/>
              <w:left w:val="nil"/>
              <w:bottom w:val="single" w:sz="8" w:space="0" w:color="auto"/>
              <w:right w:val="nil"/>
            </w:tcBorders>
            <w:shd w:val="clear" w:color="auto" w:fill="FFFFFF" w:themeFill="background1"/>
            <w:noWrap/>
            <w:vAlign w:val="center"/>
            <w:hideMark/>
          </w:tcPr>
          <w:p w14:paraId="57D80C57"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165E3D33" w14:textId="77777777" w:rsidR="00651526" w:rsidRPr="0053182F" w:rsidRDefault="00651526" w:rsidP="00D20468">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385E8DF7"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31</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1E791EAA" w14:textId="77777777" w:rsidR="00651526" w:rsidRPr="0053182F" w:rsidRDefault="00651526" w:rsidP="00D20468">
            <w:pPr>
              <w:spacing w:after="0" w:line="240" w:lineRule="auto"/>
              <w:jc w:val="center"/>
              <w:rPr>
                <w:rFonts w:eastAsia="Times New Roman"/>
                <w:lang w:eastAsia="en-GB"/>
              </w:rPr>
            </w:pPr>
          </w:p>
        </w:tc>
      </w:tr>
      <w:tr w:rsidR="00651526" w:rsidRPr="0053182F" w14:paraId="6B6BB733" w14:textId="77777777" w:rsidTr="00D20468">
        <w:trPr>
          <w:trHeight w:val="226"/>
        </w:trPr>
        <w:tc>
          <w:tcPr>
            <w:tcW w:w="504" w:type="dxa"/>
            <w:shd w:val="clear" w:color="auto" w:fill="FFFFFF" w:themeFill="background1"/>
            <w:noWrap/>
            <w:vAlign w:val="bottom"/>
            <w:hideMark/>
          </w:tcPr>
          <w:p w14:paraId="5F33BBB2"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EB49259"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Brewers</w:t>
            </w:r>
          </w:p>
        </w:tc>
        <w:tc>
          <w:tcPr>
            <w:tcW w:w="1163" w:type="dxa"/>
            <w:shd w:val="clear" w:color="auto" w:fill="FFFFFF" w:themeFill="background1"/>
            <w:noWrap/>
            <w:vAlign w:val="center"/>
            <w:hideMark/>
          </w:tcPr>
          <w:p w14:paraId="505F55B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74694C1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0697ED30"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D73092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1132F849" w14:textId="77777777" w:rsidR="00651526" w:rsidRPr="0053182F" w:rsidRDefault="00651526" w:rsidP="00D20468">
            <w:pPr>
              <w:spacing w:after="0" w:line="240" w:lineRule="auto"/>
              <w:jc w:val="center"/>
              <w:rPr>
                <w:rFonts w:eastAsia="Times New Roman"/>
                <w:lang w:eastAsia="en-GB"/>
              </w:rPr>
            </w:pPr>
          </w:p>
        </w:tc>
      </w:tr>
      <w:tr w:rsidR="00651526" w:rsidRPr="0053182F" w14:paraId="7F02350A" w14:textId="77777777" w:rsidTr="00D20468">
        <w:trPr>
          <w:trHeight w:val="226"/>
        </w:trPr>
        <w:tc>
          <w:tcPr>
            <w:tcW w:w="504" w:type="dxa"/>
            <w:shd w:val="clear" w:color="auto" w:fill="FFFFFF" w:themeFill="background1"/>
            <w:noWrap/>
            <w:vAlign w:val="bottom"/>
            <w:hideMark/>
          </w:tcPr>
          <w:p w14:paraId="1E5FFF96"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63DCF23C"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Discount Stores</w:t>
            </w:r>
          </w:p>
        </w:tc>
        <w:tc>
          <w:tcPr>
            <w:tcW w:w="1163" w:type="dxa"/>
            <w:shd w:val="clear" w:color="auto" w:fill="FFFFFF" w:themeFill="background1"/>
            <w:noWrap/>
            <w:vAlign w:val="center"/>
            <w:hideMark/>
          </w:tcPr>
          <w:p w14:paraId="2E45D25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933" w:type="dxa"/>
            <w:shd w:val="clear" w:color="auto" w:fill="FFFFFF" w:themeFill="background1"/>
            <w:noWrap/>
            <w:vAlign w:val="center"/>
            <w:hideMark/>
          </w:tcPr>
          <w:p w14:paraId="47A35F0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056" w:type="dxa"/>
            <w:gridSpan w:val="2"/>
            <w:shd w:val="clear" w:color="auto" w:fill="FFFFFF" w:themeFill="background1"/>
            <w:noWrap/>
            <w:vAlign w:val="bottom"/>
            <w:hideMark/>
          </w:tcPr>
          <w:p w14:paraId="61822A78"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9A4390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134" w:type="dxa"/>
            <w:shd w:val="clear" w:color="auto" w:fill="FFFFFF" w:themeFill="background1"/>
            <w:noWrap/>
            <w:vAlign w:val="bottom"/>
            <w:hideMark/>
          </w:tcPr>
          <w:p w14:paraId="0C2B9510" w14:textId="77777777" w:rsidR="00651526" w:rsidRPr="0053182F" w:rsidRDefault="00651526" w:rsidP="00D20468">
            <w:pPr>
              <w:spacing w:after="0" w:line="240" w:lineRule="auto"/>
              <w:jc w:val="center"/>
              <w:rPr>
                <w:rFonts w:eastAsia="Times New Roman"/>
                <w:lang w:eastAsia="en-GB"/>
              </w:rPr>
            </w:pPr>
          </w:p>
        </w:tc>
      </w:tr>
      <w:tr w:rsidR="00651526" w:rsidRPr="0053182F" w14:paraId="4D34B5DA" w14:textId="77777777" w:rsidTr="00D20468">
        <w:trPr>
          <w:trHeight w:val="226"/>
        </w:trPr>
        <w:tc>
          <w:tcPr>
            <w:tcW w:w="504" w:type="dxa"/>
            <w:shd w:val="clear" w:color="auto" w:fill="FFFFFF" w:themeFill="background1"/>
            <w:noWrap/>
            <w:vAlign w:val="bottom"/>
            <w:hideMark/>
          </w:tcPr>
          <w:p w14:paraId="12B9C39C"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7B91FEA0"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Drug Retailers</w:t>
            </w:r>
          </w:p>
        </w:tc>
        <w:tc>
          <w:tcPr>
            <w:tcW w:w="1163" w:type="dxa"/>
            <w:shd w:val="clear" w:color="auto" w:fill="FFFFFF" w:themeFill="background1"/>
            <w:noWrap/>
            <w:vAlign w:val="center"/>
            <w:hideMark/>
          </w:tcPr>
          <w:p w14:paraId="2AE240D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44DEC76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3195B7CE"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7B9227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746B2343" w14:textId="77777777" w:rsidR="00651526" w:rsidRPr="0053182F" w:rsidRDefault="00651526" w:rsidP="00D20468">
            <w:pPr>
              <w:spacing w:after="0" w:line="240" w:lineRule="auto"/>
              <w:jc w:val="center"/>
              <w:rPr>
                <w:rFonts w:eastAsia="Times New Roman"/>
                <w:lang w:eastAsia="en-GB"/>
              </w:rPr>
            </w:pPr>
          </w:p>
        </w:tc>
      </w:tr>
      <w:tr w:rsidR="00651526" w:rsidRPr="0053182F" w14:paraId="2118EF1F" w14:textId="77777777" w:rsidTr="00D20468">
        <w:trPr>
          <w:trHeight w:val="226"/>
        </w:trPr>
        <w:tc>
          <w:tcPr>
            <w:tcW w:w="504" w:type="dxa"/>
            <w:shd w:val="clear" w:color="auto" w:fill="FFFFFF" w:themeFill="background1"/>
            <w:noWrap/>
            <w:vAlign w:val="bottom"/>
            <w:hideMark/>
          </w:tcPr>
          <w:p w14:paraId="7A31576A"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1F37AF0"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Food Processing</w:t>
            </w:r>
          </w:p>
        </w:tc>
        <w:tc>
          <w:tcPr>
            <w:tcW w:w="1163" w:type="dxa"/>
            <w:shd w:val="clear" w:color="auto" w:fill="FFFFFF" w:themeFill="background1"/>
            <w:noWrap/>
            <w:vAlign w:val="center"/>
            <w:hideMark/>
          </w:tcPr>
          <w:p w14:paraId="04C025B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933" w:type="dxa"/>
            <w:shd w:val="clear" w:color="auto" w:fill="FFFFFF" w:themeFill="background1"/>
            <w:noWrap/>
            <w:vAlign w:val="center"/>
            <w:hideMark/>
          </w:tcPr>
          <w:p w14:paraId="5A74108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1056" w:type="dxa"/>
            <w:gridSpan w:val="2"/>
            <w:shd w:val="clear" w:color="auto" w:fill="FFFFFF" w:themeFill="background1"/>
            <w:noWrap/>
            <w:vAlign w:val="bottom"/>
            <w:hideMark/>
          </w:tcPr>
          <w:p w14:paraId="31AC1C6F"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2CBAA0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1134" w:type="dxa"/>
            <w:shd w:val="clear" w:color="auto" w:fill="FFFFFF" w:themeFill="background1"/>
            <w:noWrap/>
            <w:vAlign w:val="bottom"/>
            <w:hideMark/>
          </w:tcPr>
          <w:p w14:paraId="4A4701B2" w14:textId="77777777" w:rsidR="00651526" w:rsidRPr="0053182F" w:rsidRDefault="00651526" w:rsidP="00D20468">
            <w:pPr>
              <w:spacing w:after="0" w:line="240" w:lineRule="auto"/>
              <w:jc w:val="center"/>
              <w:rPr>
                <w:rFonts w:eastAsia="Times New Roman"/>
                <w:lang w:eastAsia="en-GB"/>
              </w:rPr>
            </w:pPr>
          </w:p>
        </w:tc>
      </w:tr>
      <w:tr w:rsidR="00651526" w:rsidRPr="0053182F" w14:paraId="2A9DE904" w14:textId="77777777" w:rsidTr="00D20468">
        <w:trPr>
          <w:trHeight w:val="226"/>
        </w:trPr>
        <w:tc>
          <w:tcPr>
            <w:tcW w:w="504" w:type="dxa"/>
            <w:shd w:val="clear" w:color="auto" w:fill="FFFFFF" w:themeFill="background1"/>
            <w:noWrap/>
            <w:vAlign w:val="bottom"/>
            <w:hideMark/>
          </w:tcPr>
          <w:p w14:paraId="549A297D"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39368736"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Food Retail &amp; Distribution</w:t>
            </w:r>
          </w:p>
        </w:tc>
        <w:tc>
          <w:tcPr>
            <w:tcW w:w="1163" w:type="dxa"/>
            <w:shd w:val="clear" w:color="auto" w:fill="FFFFFF" w:themeFill="background1"/>
            <w:noWrap/>
            <w:vAlign w:val="center"/>
            <w:hideMark/>
          </w:tcPr>
          <w:p w14:paraId="7BEE048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12</w:t>
            </w:r>
          </w:p>
        </w:tc>
        <w:tc>
          <w:tcPr>
            <w:tcW w:w="933" w:type="dxa"/>
            <w:shd w:val="clear" w:color="auto" w:fill="FFFFFF" w:themeFill="background1"/>
            <w:noWrap/>
            <w:vAlign w:val="center"/>
            <w:hideMark/>
          </w:tcPr>
          <w:p w14:paraId="7531583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12</w:t>
            </w:r>
          </w:p>
        </w:tc>
        <w:tc>
          <w:tcPr>
            <w:tcW w:w="1056" w:type="dxa"/>
            <w:gridSpan w:val="2"/>
            <w:shd w:val="clear" w:color="auto" w:fill="FFFFFF" w:themeFill="background1"/>
            <w:noWrap/>
            <w:vAlign w:val="bottom"/>
            <w:hideMark/>
          </w:tcPr>
          <w:p w14:paraId="0111D215"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3B5279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12</w:t>
            </w:r>
          </w:p>
        </w:tc>
        <w:tc>
          <w:tcPr>
            <w:tcW w:w="1134" w:type="dxa"/>
            <w:shd w:val="clear" w:color="auto" w:fill="FFFFFF" w:themeFill="background1"/>
            <w:noWrap/>
            <w:vAlign w:val="bottom"/>
            <w:hideMark/>
          </w:tcPr>
          <w:p w14:paraId="77BD0CB8" w14:textId="77777777" w:rsidR="00651526" w:rsidRPr="0053182F" w:rsidRDefault="00651526" w:rsidP="00D20468">
            <w:pPr>
              <w:spacing w:after="0" w:line="240" w:lineRule="auto"/>
              <w:jc w:val="center"/>
              <w:rPr>
                <w:rFonts w:eastAsia="Times New Roman"/>
                <w:lang w:eastAsia="en-GB"/>
              </w:rPr>
            </w:pPr>
          </w:p>
        </w:tc>
      </w:tr>
      <w:tr w:rsidR="00651526" w:rsidRPr="0053182F" w14:paraId="32D5F9D9" w14:textId="77777777" w:rsidTr="00D20468">
        <w:trPr>
          <w:trHeight w:val="226"/>
        </w:trPr>
        <w:tc>
          <w:tcPr>
            <w:tcW w:w="504" w:type="dxa"/>
            <w:shd w:val="clear" w:color="auto" w:fill="FFFFFF" w:themeFill="background1"/>
            <w:noWrap/>
            <w:vAlign w:val="bottom"/>
            <w:hideMark/>
          </w:tcPr>
          <w:p w14:paraId="07010B8F"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E251CE7"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Non-Alcoholic Beverages</w:t>
            </w:r>
          </w:p>
        </w:tc>
        <w:tc>
          <w:tcPr>
            <w:tcW w:w="1163" w:type="dxa"/>
            <w:shd w:val="clear" w:color="auto" w:fill="FFFFFF" w:themeFill="background1"/>
            <w:noWrap/>
            <w:vAlign w:val="center"/>
            <w:hideMark/>
          </w:tcPr>
          <w:p w14:paraId="00D2AD5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2D510A9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19104C34"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14823D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6793F975" w14:textId="77777777" w:rsidR="00651526" w:rsidRPr="0053182F" w:rsidRDefault="00651526" w:rsidP="00D20468">
            <w:pPr>
              <w:spacing w:after="0" w:line="240" w:lineRule="auto"/>
              <w:jc w:val="center"/>
              <w:rPr>
                <w:rFonts w:eastAsia="Times New Roman"/>
                <w:lang w:eastAsia="en-GB"/>
              </w:rPr>
            </w:pPr>
          </w:p>
        </w:tc>
      </w:tr>
      <w:tr w:rsidR="00651526" w:rsidRPr="0053182F" w14:paraId="4AB14A69" w14:textId="77777777" w:rsidTr="00D20468">
        <w:trPr>
          <w:trHeight w:val="226"/>
        </w:trPr>
        <w:tc>
          <w:tcPr>
            <w:tcW w:w="504" w:type="dxa"/>
            <w:shd w:val="clear" w:color="auto" w:fill="FFFFFF" w:themeFill="background1"/>
            <w:noWrap/>
            <w:vAlign w:val="bottom"/>
            <w:hideMark/>
          </w:tcPr>
          <w:p w14:paraId="55DED10C"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6006A3AE"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Personal Products</w:t>
            </w:r>
          </w:p>
        </w:tc>
        <w:tc>
          <w:tcPr>
            <w:tcW w:w="1163" w:type="dxa"/>
            <w:shd w:val="clear" w:color="auto" w:fill="FFFFFF" w:themeFill="background1"/>
            <w:noWrap/>
            <w:vAlign w:val="center"/>
            <w:hideMark/>
          </w:tcPr>
          <w:p w14:paraId="79C240B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933" w:type="dxa"/>
            <w:shd w:val="clear" w:color="auto" w:fill="FFFFFF" w:themeFill="background1"/>
            <w:noWrap/>
            <w:vAlign w:val="center"/>
            <w:hideMark/>
          </w:tcPr>
          <w:p w14:paraId="2C3AC6D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056" w:type="dxa"/>
            <w:gridSpan w:val="2"/>
            <w:shd w:val="clear" w:color="auto" w:fill="FFFFFF" w:themeFill="background1"/>
            <w:noWrap/>
            <w:vAlign w:val="bottom"/>
            <w:hideMark/>
          </w:tcPr>
          <w:p w14:paraId="65EBE04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507F56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134" w:type="dxa"/>
            <w:shd w:val="clear" w:color="auto" w:fill="FFFFFF" w:themeFill="background1"/>
            <w:noWrap/>
            <w:vAlign w:val="bottom"/>
            <w:hideMark/>
          </w:tcPr>
          <w:p w14:paraId="3D5D9887" w14:textId="77777777" w:rsidR="00651526" w:rsidRPr="0053182F" w:rsidRDefault="00651526" w:rsidP="00D20468">
            <w:pPr>
              <w:spacing w:after="0" w:line="240" w:lineRule="auto"/>
              <w:jc w:val="center"/>
              <w:rPr>
                <w:rFonts w:eastAsia="Times New Roman"/>
                <w:lang w:eastAsia="en-GB"/>
              </w:rPr>
            </w:pPr>
          </w:p>
        </w:tc>
      </w:tr>
      <w:tr w:rsidR="00651526" w:rsidRPr="0053182F" w14:paraId="7BA40698"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0E80700B"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70571DED"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Tobacco</w:t>
            </w:r>
          </w:p>
        </w:tc>
        <w:tc>
          <w:tcPr>
            <w:tcW w:w="1163" w:type="dxa"/>
            <w:tcBorders>
              <w:top w:val="nil"/>
              <w:left w:val="nil"/>
              <w:bottom w:val="single" w:sz="8" w:space="0" w:color="auto"/>
              <w:right w:val="nil"/>
            </w:tcBorders>
            <w:shd w:val="clear" w:color="auto" w:fill="FFFFFF" w:themeFill="background1"/>
            <w:noWrap/>
            <w:vAlign w:val="center"/>
            <w:hideMark/>
          </w:tcPr>
          <w:p w14:paraId="5923F55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tcBorders>
              <w:top w:val="nil"/>
              <w:left w:val="nil"/>
              <w:bottom w:val="single" w:sz="8" w:space="0" w:color="auto"/>
              <w:right w:val="nil"/>
            </w:tcBorders>
            <w:shd w:val="clear" w:color="auto" w:fill="FFFFFF" w:themeFill="background1"/>
            <w:noWrap/>
            <w:vAlign w:val="center"/>
            <w:hideMark/>
          </w:tcPr>
          <w:p w14:paraId="53873E1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06665A31" w14:textId="77777777" w:rsidR="00651526" w:rsidRPr="0053182F" w:rsidRDefault="00651526" w:rsidP="00D20468">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center"/>
            <w:hideMark/>
          </w:tcPr>
          <w:p w14:paraId="1F9ECF1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tcBorders>
              <w:top w:val="nil"/>
              <w:left w:val="nil"/>
              <w:bottom w:val="single" w:sz="8" w:space="0" w:color="auto"/>
              <w:right w:val="nil"/>
            </w:tcBorders>
            <w:shd w:val="clear" w:color="auto" w:fill="FFFFFF" w:themeFill="background1"/>
            <w:noWrap/>
            <w:vAlign w:val="bottom"/>
            <w:hideMark/>
          </w:tcPr>
          <w:p w14:paraId="2A7C3FB0" w14:textId="77777777" w:rsidR="00651526" w:rsidRPr="0053182F" w:rsidRDefault="00651526" w:rsidP="00D20468">
            <w:pPr>
              <w:spacing w:after="0" w:line="240" w:lineRule="auto"/>
              <w:jc w:val="center"/>
              <w:rPr>
                <w:rFonts w:eastAsia="Times New Roman"/>
                <w:lang w:eastAsia="en-GB"/>
              </w:rPr>
            </w:pPr>
          </w:p>
        </w:tc>
      </w:tr>
      <w:tr w:rsidR="00651526" w:rsidRPr="0053182F" w14:paraId="3312E774"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5E9DF63E" w14:textId="77777777" w:rsidR="00651526" w:rsidRPr="0053182F" w:rsidRDefault="00651526" w:rsidP="00D20468">
            <w:pPr>
              <w:spacing w:after="0" w:line="240" w:lineRule="auto"/>
              <w:jc w:val="both"/>
              <w:rPr>
                <w:rFonts w:eastAsia="Times New Roman"/>
                <w:b/>
                <w:bCs/>
                <w:i/>
                <w:iCs/>
                <w:sz w:val="18"/>
                <w:szCs w:val="18"/>
                <w:lang w:eastAsia="en-GB"/>
              </w:rPr>
            </w:pPr>
            <w:r w:rsidRPr="0053182F">
              <w:rPr>
                <w:rFonts w:eastAsia="Times New Roman"/>
                <w:b/>
                <w:bCs/>
                <w:i/>
                <w:iCs/>
                <w:sz w:val="18"/>
                <w:szCs w:val="18"/>
                <w:lang w:eastAsia="en-GB"/>
              </w:rPr>
              <w:t>Energy</w:t>
            </w:r>
          </w:p>
        </w:tc>
        <w:tc>
          <w:tcPr>
            <w:tcW w:w="1163" w:type="dxa"/>
            <w:tcBorders>
              <w:top w:val="nil"/>
              <w:left w:val="nil"/>
              <w:bottom w:val="single" w:sz="8" w:space="0" w:color="auto"/>
              <w:right w:val="nil"/>
            </w:tcBorders>
            <w:shd w:val="clear" w:color="auto" w:fill="FFFFFF" w:themeFill="background1"/>
            <w:noWrap/>
            <w:vAlign w:val="center"/>
            <w:hideMark/>
          </w:tcPr>
          <w:p w14:paraId="6CFCA0A2"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33</w:t>
            </w:r>
          </w:p>
        </w:tc>
        <w:tc>
          <w:tcPr>
            <w:tcW w:w="933" w:type="dxa"/>
            <w:tcBorders>
              <w:top w:val="nil"/>
              <w:left w:val="nil"/>
              <w:bottom w:val="single" w:sz="8" w:space="0" w:color="auto"/>
              <w:right w:val="nil"/>
            </w:tcBorders>
            <w:shd w:val="clear" w:color="auto" w:fill="FFFFFF" w:themeFill="background1"/>
            <w:noWrap/>
            <w:vAlign w:val="center"/>
            <w:hideMark/>
          </w:tcPr>
          <w:p w14:paraId="32AB4736"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33</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6FD7ACDE" w14:textId="77777777" w:rsidR="00651526" w:rsidRPr="0053182F" w:rsidRDefault="00651526" w:rsidP="00D20468">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bottom"/>
            <w:hideMark/>
          </w:tcPr>
          <w:p w14:paraId="400FC113" w14:textId="77777777" w:rsidR="00651526" w:rsidRPr="0053182F" w:rsidRDefault="00651526" w:rsidP="00D20468">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center"/>
            <w:hideMark/>
          </w:tcPr>
          <w:p w14:paraId="376EDCA1"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33</w:t>
            </w:r>
          </w:p>
        </w:tc>
      </w:tr>
      <w:tr w:rsidR="00651526" w:rsidRPr="0053182F" w14:paraId="2BE9F639" w14:textId="77777777" w:rsidTr="00D20468">
        <w:trPr>
          <w:trHeight w:val="226"/>
        </w:trPr>
        <w:tc>
          <w:tcPr>
            <w:tcW w:w="504" w:type="dxa"/>
            <w:shd w:val="clear" w:color="auto" w:fill="FFFFFF" w:themeFill="background1"/>
            <w:noWrap/>
            <w:vAlign w:val="bottom"/>
            <w:hideMark/>
          </w:tcPr>
          <w:p w14:paraId="7746143F"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6839D30"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Integrated Oil &amp; Gas</w:t>
            </w:r>
          </w:p>
        </w:tc>
        <w:tc>
          <w:tcPr>
            <w:tcW w:w="1163" w:type="dxa"/>
            <w:shd w:val="clear" w:color="auto" w:fill="FFFFFF" w:themeFill="background1"/>
            <w:noWrap/>
            <w:vAlign w:val="center"/>
            <w:hideMark/>
          </w:tcPr>
          <w:p w14:paraId="12320E4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14</w:t>
            </w:r>
          </w:p>
        </w:tc>
        <w:tc>
          <w:tcPr>
            <w:tcW w:w="933" w:type="dxa"/>
            <w:shd w:val="clear" w:color="auto" w:fill="FFFFFF" w:themeFill="background1"/>
            <w:noWrap/>
            <w:vAlign w:val="center"/>
            <w:hideMark/>
          </w:tcPr>
          <w:p w14:paraId="255AC3D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14</w:t>
            </w:r>
          </w:p>
        </w:tc>
        <w:tc>
          <w:tcPr>
            <w:tcW w:w="1056" w:type="dxa"/>
            <w:gridSpan w:val="2"/>
            <w:shd w:val="clear" w:color="auto" w:fill="FFFFFF" w:themeFill="background1"/>
            <w:noWrap/>
            <w:vAlign w:val="bottom"/>
            <w:hideMark/>
          </w:tcPr>
          <w:p w14:paraId="2616CC5E"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53AB08C4"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37C202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14</w:t>
            </w:r>
          </w:p>
        </w:tc>
      </w:tr>
      <w:tr w:rsidR="00651526" w:rsidRPr="0053182F" w14:paraId="5C0AD33B" w14:textId="77777777" w:rsidTr="00D20468">
        <w:trPr>
          <w:trHeight w:val="226"/>
        </w:trPr>
        <w:tc>
          <w:tcPr>
            <w:tcW w:w="504" w:type="dxa"/>
            <w:shd w:val="clear" w:color="auto" w:fill="FFFFFF" w:themeFill="background1"/>
            <w:noWrap/>
            <w:vAlign w:val="bottom"/>
            <w:hideMark/>
          </w:tcPr>
          <w:p w14:paraId="4997A6D3"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9E7B661"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Oil &amp; Gas Exploration and Production</w:t>
            </w:r>
          </w:p>
        </w:tc>
        <w:tc>
          <w:tcPr>
            <w:tcW w:w="1163" w:type="dxa"/>
            <w:shd w:val="clear" w:color="auto" w:fill="FFFFFF" w:themeFill="background1"/>
            <w:noWrap/>
            <w:vAlign w:val="center"/>
            <w:hideMark/>
          </w:tcPr>
          <w:p w14:paraId="294C9D4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933" w:type="dxa"/>
            <w:shd w:val="clear" w:color="auto" w:fill="FFFFFF" w:themeFill="background1"/>
            <w:noWrap/>
            <w:vAlign w:val="center"/>
            <w:hideMark/>
          </w:tcPr>
          <w:p w14:paraId="7B397D4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1056" w:type="dxa"/>
            <w:gridSpan w:val="2"/>
            <w:shd w:val="clear" w:color="auto" w:fill="FFFFFF" w:themeFill="background1"/>
            <w:noWrap/>
            <w:vAlign w:val="bottom"/>
            <w:hideMark/>
          </w:tcPr>
          <w:p w14:paraId="6789307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5152D4F"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877EEA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r>
      <w:tr w:rsidR="00651526" w:rsidRPr="0053182F" w14:paraId="77972E62" w14:textId="77777777" w:rsidTr="00D20468">
        <w:trPr>
          <w:trHeight w:val="226"/>
        </w:trPr>
        <w:tc>
          <w:tcPr>
            <w:tcW w:w="504" w:type="dxa"/>
            <w:shd w:val="clear" w:color="auto" w:fill="FFFFFF" w:themeFill="background1"/>
            <w:noWrap/>
            <w:vAlign w:val="bottom"/>
            <w:hideMark/>
          </w:tcPr>
          <w:p w14:paraId="26566D7B"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CB2C280"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Oil &amp; Gas Refining and Marketing</w:t>
            </w:r>
          </w:p>
        </w:tc>
        <w:tc>
          <w:tcPr>
            <w:tcW w:w="1163" w:type="dxa"/>
            <w:shd w:val="clear" w:color="auto" w:fill="FFFFFF" w:themeFill="background1"/>
            <w:noWrap/>
            <w:vAlign w:val="center"/>
            <w:hideMark/>
          </w:tcPr>
          <w:p w14:paraId="50DC98E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12</w:t>
            </w:r>
          </w:p>
        </w:tc>
        <w:tc>
          <w:tcPr>
            <w:tcW w:w="933" w:type="dxa"/>
            <w:shd w:val="clear" w:color="auto" w:fill="FFFFFF" w:themeFill="background1"/>
            <w:noWrap/>
            <w:vAlign w:val="center"/>
            <w:hideMark/>
          </w:tcPr>
          <w:p w14:paraId="39E24E5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12</w:t>
            </w:r>
          </w:p>
        </w:tc>
        <w:tc>
          <w:tcPr>
            <w:tcW w:w="1056" w:type="dxa"/>
            <w:gridSpan w:val="2"/>
            <w:shd w:val="clear" w:color="auto" w:fill="FFFFFF" w:themeFill="background1"/>
            <w:noWrap/>
            <w:vAlign w:val="bottom"/>
            <w:hideMark/>
          </w:tcPr>
          <w:p w14:paraId="39E49F46"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2BF0C56"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648F2C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12</w:t>
            </w:r>
          </w:p>
        </w:tc>
      </w:tr>
      <w:tr w:rsidR="00651526" w:rsidRPr="0053182F" w14:paraId="222DA836" w14:textId="77777777" w:rsidTr="00D20468">
        <w:trPr>
          <w:trHeight w:val="226"/>
        </w:trPr>
        <w:tc>
          <w:tcPr>
            <w:tcW w:w="504" w:type="dxa"/>
            <w:shd w:val="clear" w:color="auto" w:fill="FFFFFF" w:themeFill="background1"/>
            <w:noWrap/>
            <w:vAlign w:val="bottom"/>
            <w:hideMark/>
          </w:tcPr>
          <w:p w14:paraId="7DDB613B"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642E098B"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Oil &amp; Gas Transportation Services</w:t>
            </w:r>
          </w:p>
        </w:tc>
        <w:tc>
          <w:tcPr>
            <w:tcW w:w="1163" w:type="dxa"/>
            <w:shd w:val="clear" w:color="auto" w:fill="FFFFFF" w:themeFill="background1"/>
            <w:noWrap/>
            <w:vAlign w:val="center"/>
            <w:hideMark/>
          </w:tcPr>
          <w:p w14:paraId="5531161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5729BFE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77B406A9"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50708A5D"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878ED2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5A4FECC5"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4C9AF350"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6F7519C7"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Oil Related Services and Equipment</w:t>
            </w:r>
          </w:p>
        </w:tc>
        <w:tc>
          <w:tcPr>
            <w:tcW w:w="1163" w:type="dxa"/>
            <w:tcBorders>
              <w:top w:val="nil"/>
              <w:left w:val="nil"/>
              <w:bottom w:val="single" w:sz="8" w:space="0" w:color="auto"/>
              <w:right w:val="nil"/>
            </w:tcBorders>
            <w:shd w:val="clear" w:color="auto" w:fill="FFFFFF" w:themeFill="background1"/>
            <w:noWrap/>
            <w:vAlign w:val="center"/>
            <w:hideMark/>
          </w:tcPr>
          <w:p w14:paraId="7A6ADFB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7114D25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46D5EDE8"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814ADD5"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C5D81F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7628DC03"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473B2E23" w14:textId="77777777" w:rsidR="00651526" w:rsidRPr="0053182F" w:rsidRDefault="00651526" w:rsidP="00D20468">
            <w:pPr>
              <w:spacing w:after="0" w:line="240" w:lineRule="auto"/>
              <w:jc w:val="both"/>
              <w:rPr>
                <w:rFonts w:eastAsia="Times New Roman"/>
                <w:b/>
                <w:bCs/>
                <w:i/>
                <w:iCs/>
                <w:sz w:val="18"/>
                <w:szCs w:val="18"/>
                <w:lang w:eastAsia="en-GB"/>
              </w:rPr>
            </w:pPr>
            <w:r w:rsidRPr="0053182F">
              <w:rPr>
                <w:rFonts w:eastAsia="Times New Roman"/>
                <w:b/>
                <w:bCs/>
                <w:i/>
                <w:iCs/>
                <w:sz w:val="18"/>
                <w:szCs w:val="18"/>
                <w:lang w:eastAsia="en-GB"/>
              </w:rPr>
              <w:t>Financials</w:t>
            </w:r>
          </w:p>
        </w:tc>
        <w:tc>
          <w:tcPr>
            <w:tcW w:w="1163" w:type="dxa"/>
            <w:tcBorders>
              <w:top w:val="nil"/>
              <w:left w:val="nil"/>
              <w:bottom w:val="single" w:sz="8" w:space="0" w:color="auto"/>
              <w:right w:val="nil"/>
            </w:tcBorders>
            <w:shd w:val="clear" w:color="auto" w:fill="FFFFFF" w:themeFill="background1"/>
            <w:noWrap/>
            <w:vAlign w:val="center"/>
            <w:hideMark/>
          </w:tcPr>
          <w:p w14:paraId="4465D61F"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32</w:t>
            </w:r>
          </w:p>
        </w:tc>
        <w:tc>
          <w:tcPr>
            <w:tcW w:w="933" w:type="dxa"/>
            <w:tcBorders>
              <w:top w:val="nil"/>
              <w:left w:val="nil"/>
              <w:bottom w:val="single" w:sz="8" w:space="0" w:color="auto"/>
              <w:right w:val="nil"/>
            </w:tcBorders>
            <w:shd w:val="clear" w:color="auto" w:fill="FFFFFF" w:themeFill="background1"/>
            <w:noWrap/>
            <w:vAlign w:val="bottom"/>
            <w:hideMark/>
          </w:tcPr>
          <w:p w14:paraId="11D44233" w14:textId="77777777" w:rsidR="00651526" w:rsidRPr="0053182F" w:rsidRDefault="00651526" w:rsidP="00D20468">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16FC5753"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32</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69AED8DA" w14:textId="77777777" w:rsidR="00651526" w:rsidRPr="0053182F" w:rsidRDefault="00651526" w:rsidP="00D20468">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73C20AE5"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32</w:t>
            </w:r>
          </w:p>
        </w:tc>
      </w:tr>
      <w:tr w:rsidR="00651526" w:rsidRPr="0053182F" w14:paraId="2DB69959" w14:textId="77777777" w:rsidTr="00D20468">
        <w:trPr>
          <w:trHeight w:val="226"/>
        </w:trPr>
        <w:tc>
          <w:tcPr>
            <w:tcW w:w="504" w:type="dxa"/>
            <w:shd w:val="clear" w:color="auto" w:fill="FFFFFF" w:themeFill="background1"/>
            <w:noWrap/>
            <w:vAlign w:val="bottom"/>
            <w:hideMark/>
          </w:tcPr>
          <w:p w14:paraId="188D63CA"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033A0A3D"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Banks</w:t>
            </w:r>
          </w:p>
        </w:tc>
        <w:tc>
          <w:tcPr>
            <w:tcW w:w="1163" w:type="dxa"/>
            <w:shd w:val="clear" w:color="auto" w:fill="FFFFFF" w:themeFill="background1"/>
            <w:noWrap/>
            <w:vAlign w:val="center"/>
            <w:hideMark/>
          </w:tcPr>
          <w:p w14:paraId="64A76F1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17</w:t>
            </w:r>
          </w:p>
        </w:tc>
        <w:tc>
          <w:tcPr>
            <w:tcW w:w="933" w:type="dxa"/>
            <w:shd w:val="clear" w:color="auto" w:fill="FFFFFF" w:themeFill="background1"/>
            <w:noWrap/>
            <w:vAlign w:val="bottom"/>
            <w:hideMark/>
          </w:tcPr>
          <w:p w14:paraId="065CE621"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34F5294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17</w:t>
            </w:r>
          </w:p>
        </w:tc>
        <w:tc>
          <w:tcPr>
            <w:tcW w:w="1134" w:type="dxa"/>
            <w:shd w:val="clear" w:color="auto" w:fill="FFFFFF" w:themeFill="background1"/>
            <w:noWrap/>
            <w:vAlign w:val="bottom"/>
            <w:hideMark/>
          </w:tcPr>
          <w:p w14:paraId="3C3D3F7E"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4B98F2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17</w:t>
            </w:r>
          </w:p>
        </w:tc>
      </w:tr>
      <w:tr w:rsidR="00651526" w:rsidRPr="0053182F" w14:paraId="63943524" w14:textId="77777777" w:rsidTr="00D20468">
        <w:trPr>
          <w:trHeight w:val="226"/>
        </w:trPr>
        <w:tc>
          <w:tcPr>
            <w:tcW w:w="504" w:type="dxa"/>
            <w:shd w:val="clear" w:color="auto" w:fill="FFFFFF" w:themeFill="background1"/>
            <w:noWrap/>
            <w:vAlign w:val="bottom"/>
            <w:hideMark/>
          </w:tcPr>
          <w:p w14:paraId="5125C9AB"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31B672E6"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Consumer Lending</w:t>
            </w:r>
          </w:p>
        </w:tc>
        <w:tc>
          <w:tcPr>
            <w:tcW w:w="1163" w:type="dxa"/>
            <w:shd w:val="clear" w:color="auto" w:fill="FFFFFF" w:themeFill="background1"/>
            <w:noWrap/>
            <w:vAlign w:val="center"/>
            <w:hideMark/>
          </w:tcPr>
          <w:p w14:paraId="3F62A9D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bottom"/>
            <w:hideMark/>
          </w:tcPr>
          <w:p w14:paraId="471B41A0"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7BB175C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61FF7D20"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17012F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694CF94E" w14:textId="77777777" w:rsidTr="00D20468">
        <w:trPr>
          <w:trHeight w:val="226"/>
        </w:trPr>
        <w:tc>
          <w:tcPr>
            <w:tcW w:w="504" w:type="dxa"/>
            <w:shd w:val="clear" w:color="auto" w:fill="FFFFFF" w:themeFill="background1"/>
            <w:noWrap/>
            <w:vAlign w:val="bottom"/>
            <w:hideMark/>
          </w:tcPr>
          <w:p w14:paraId="47C794BF"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EA24817"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Heavy Machinery &amp; Vehicles</w:t>
            </w:r>
          </w:p>
        </w:tc>
        <w:tc>
          <w:tcPr>
            <w:tcW w:w="1163" w:type="dxa"/>
            <w:shd w:val="clear" w:color="auto" w:fill="FFFFFF" w:themeFill="background1"/>
            <w:noWrap/>
            <w:vAlign w:val="center"/>
            <w:hideMark/>
          </w:tcPr>
          <w:p w14:paraId="42B478F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bottom"/>
            <w:hideMark/>
          </w:tcPr>
          <w:p w14:paraId="20926B90"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2C352B2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0EC49D8F"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7DD212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0144B8F4" w14:textId="77777777" w:rsidTr="00D20468">
        <w:trPr>
          <w:trHeight w:val="226"/>
        </w:trPr>
        <w:tc>
          <w:tcPr>
            <w:tcW w:w="504" w:type="dxa"/>
            <w:shd w:val="clear" w:color="auto" w:fill="FFFFFF" w:themeFill="background1"/>
            <w:noWrap/>
            <w:vAlign w:val="bottom"/>
            <w:hideMark/>
          </w:tcPr>
          <w:p w14:paraId="49050B03"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61845E96"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Investment Banking &amp; Brokerage Services</w:t>
            </w:r>
          </w:p>
        </w:tc>
        <w:tc>
          <w:tcPr>
            <w:tcW w:w="1163" w:type="dxa"/>
            <w:shd w:val="clear" w:color="auto" w:fill="FFFFFF" w:themeFill="background1"/>
            <w:noWrap/>
            <w:vAlign w:val="center"/>
            <w:hideMark/>
          </w:tcPr>
          <w:p w14:paraId="2E2D7AE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933" w:type="dxa"/>
            <w:shd w:val="clear" w:color="auto" w:fill="FFFFFF" w:themeFill="background1"/>
            <w:noWrap/>
            <w:vAlign w:val="bottom"/>
            <w:hideMark/>
          </w:tcPr>
          <w:p w14:paraId="21D1DF85"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0B78A9B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134" w:type="dxa"/>
            <w:shd w:val="clear" w:color="auto" w:fill="FFFFFF" w:themeFill="background1"/>
            <w:noWrap/>
            <w:vAlign w:val="bottom"/>
            <w:hideMark/>
          </w:tcPr>
          <w:p w14:paraId="2F1488E2"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1D41C0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r>
      <w:tr w:rsidR="00651526" w:rsidRPr="0053182F" w14:paraId="428E8943" w14:textId="77777777" w:rsidTr="00D20468">
        <w:trPr>
          <w:trHeight w:val="226"/>
        </w:trPr>
        <w:tc>
          <w:tcPr>
            <w:tcW w:w="504" w:type="dxa"/>
            <w:shd w:val="clear" w:color="auto" w:fill="FFFFFF" w:themeFill="background1"/>
            <w:noWrap/>
            <w:vAlign w:val="bottom"/>
            <w:hideMark/>
          </w:tcPr>
          <w:p w14:paraId="44780BC8"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C68D8C4"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Investment Management &amp; Fund Operators</w:t>
            </w:r>
          </w:p>
        </w:tc>
        <w:tc>
          <w:tcPr>
            <w:tcW w:w="1163" w:type="dxa"/>
            <w:shd w:val="clear" w:color="auto" w:fill="FFFFFF" w:themeFill="background1"/>
            <w:noWrap/>
            <w:vAlign w:val="center"/>
            <w:hideMark/>
          </w:tcPr>
          <w:p w14:paraId="6D50A5B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bottom"/>
            <w:hideMark/>
          </w:tcPr>
          <w:p w14:paraId="49F2B832"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7F91381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0121DA12"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AB7A70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r>
      <w:tr w:rsidR="00651526" w:rsidRPr="0053182F" w14:paraId="533C27A7" w14:textId="77777777" w:rsidTr="00D20468">
        <w:trPr>
          <w:trHeight w:val="226"/>
        </w:trPr>
        <w:tc>
          <w:tcPr>
            <w:tcW w:w="504" w:type="dxa"/>
            <w:shd w:val="clear" w:color="auto" w:fill="FFFFFF" w:themeFill="background1"/>
            <w:noWrap/>
            <w:vAlign w:val="bottom"/>
            <w:hideMark/>
          </w:tcPr>
          <w:p w14:paraId="7134A1A5"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0B2A386C"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Life &amp; Health Insurance</w:t>
            </w:r>
          </w:p>
        </w:tc>
        <w:tc>
          <w:tcPr>
            <w:tcW w:w="1163" w:type="dxa"/>
            <w:shd w:val="clear" w:color="auto" w:fill="FFFFFF" w:themeFill="background1"/>
            <w:noWrap/>
            <w:vAlign w:val="center"/>
            <w:hideMark/>
          </w:tcPr>
          <w:p w14:paraId="6DC335E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933" w:type="dxa"/>
            <w:shd w:val="clear" w:color="auto" w:fill="FFFFFF" w:themeFill="background1"/>
            <w:noWrap/>
            <w:vAlign w:val="bottom"/>
            <w:hideMark/>
          </w:tcPr>
          <w:p w14:paraId="74F83210"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70A58AE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1134" w:type="dxa"/>
            <w:shd w:val="clear" w:color="auto" w:fill="FFFFFF" w:themeFill="background1"/>
            <w:noWrap/>
            <w:vAlign w:val="bottom"/>
            <w:hideMark/>
          </w:tcPr>
          <w:p w14:paraId="19CF43FF"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F70536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r>
      <w:tr w:rsidR="00651526" w:rsidRPr="0053182F" w14:paraId="19B61335" w14:textId="77777777" w:rsidTr="00D20468">
        <w:trPr>
          <w:trHeight w:val="226"/>
        </w:trPr>
        <w:tc>
          <w:tcPr>
            <w:tcW w:w="504" w:type="dxa"/>
            <w:shd w:val="clear" w:color="auto" w:fill="FFFFFF" w:themeFill="background1"/>
            <w:noWrap/>
            <w:vAlign w:val="bottom"/>
            <w:hideMark/>
          </w:tcPr>
          <w:p w14:paraId="45CA02F7"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71E09AA4"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Multiline Insurance &amp; Brokers</w:t>
            </w:r>
          </w:p>
        </w:tc>
        <w:tc>
          <w:tcPr>
            <w:tcW w:w="1163" w:type="dxa"/>
            <w:shd w:val="clear" w:color="auto" w:fill="FFFFFF" w:themeFill="background1"/>
            <w:noWrap/>
            <w:vAlign w:val="center"/>
            <w:hideMark/>
          </w:tcPr>
          <w:p w14:paraId="5099686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bottom"/>
            <w:hideMark/>
          </w:tcPr>
          <w:p w14:paraId="28474E1A"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528BF9A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5EF4B2E9"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C80868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r>
      <w:tr w:rsidR="00651526" w:rsidRPr="0053182F" w14:paraId="76F2BAC0"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790B9F35"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4DE7B4FB"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Online Services</w:t>
            </w:r>
          </w:p>
        </w:tc>
        <w:tc>
          <w:tcPr>
            <w:tcW w:w="1163" w:type="dxa"/>
            <w:tcBorders>
              <w:top w:val="nil"/>
              <w:left w:val="nil"/>
              <w:bottom w:val="single" w:sz="8" w:space="0" w:color="auto"/>
              <w:right w:val="nil"/>
            </w:tcBorders>
            <w:shd w:val="clear" w:color="auto" w:fill="FFFFFF" w:themeFill="background1"/>
            <w:noWrap/>
            <w:vAlign w:val="center"/>
            <w:hideMark/>
          </w:tcPr>
          <w:p w14:paraId="4D16DD6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bottom"/>
            <w:hideMark/>
          </w:tcPr>
          <w:p w14:paraId="013942B8" w14:textId="77777777" w:rsidR="00651526" w:rsidRPr="0053182F" w:rsidRDefault="00651526" w:rsidP="00D20468">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0CC12F1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6A383934"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9F77FE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68246E64"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58F33EED" w14:textId="77777777" w:rsidR="00651526" w:rsidRPr="0053182F" w:rsidRDefault="00651526" w:rsidP="00D20468">
            <w:pPr>
              <w:spacing w:after="0" w:line="240" w:lineRule="auto"/>
              <w:jc w:val="both"/>
              <w:rPr>
                <w:rFonts w:eastAsia="Times New Roman"/>
                <w:b/>
                <w:bCs/>
                <w:i/>
                <w:iCs/>
                <w:sz w:val="18"/>
                <w:szCs w:val="18"/>
                <w:lang w:eastAsia="en-GB"/>
              </w:rPr>
            </w:pPr>
            <w:r w:rsidRPr="0053182F">
              <w:rPr>
                <w:rFonts w:eastAsia="Times New Roman"/>
                <w:b/>
                <w:bCs/>
                <w:i/>
                <w:iCs/>
                <w:sz w:val="18"/>
                <w:szCs w:val="18"/>
                <w:lang w:eastAsia="en-GB"/>
              </w:rPr>
              <w:t>Health Care</w:t>
            </w:r>
          </w:p>
        </w:tc>
        <w:tc>
          <w:tcPr>
            <w:tcW w:w="1163" w:type="dxa"/>
            <w:tcBorders>
              <w:top w:val="nil"/>
              <w:left w:val="nil"/>
              <w:bottom w:val="single" w:sz="8" w:space="0" w:color="auto"/>
              <w:right w:val="nil"/>
            </w:tcBorders>
            <w:shd w:val="clear" w:color="auto" w:fill="FFFFFF" w:themeFill="background1"/>
            <w:noWrap/>
            <w:vAlign w:val="center"/>
            <w:hideMark/>
          </w:tcPr>
          <w:p w14:paraId="06C1E896"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16</w:t>
            </w:r>
          </w:p>
        </w:tc>
        <w:tc>
          <w:tcPr>
            <w:tcW w:w="933" w:type="dxa"/>
            <w:tcBorders>
              <w:top w:val="nil"/>
              <w:left w:val="nil"/>
              <w:bottom w:val="single" w:sz="8" w:space="0" w:color="auto"/>
              <w:right w:val="nil"/>
            </w:tcBorders>
            <w:shd w:val="clear" w:color="auto" w:fill="FFFFFF" w:themeFill="background1"/>
            <w:noWrap/>
            <w:vAlign w:val="center"/>
            <w:hideMark/>
          </w:tcPr>
          <w:p w14:paraId="580477D7"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16</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3E765988" w14:textId="77777777" w:rsidR="00651526" w:rsidRPr="0053182F" w:rsidRDefault="00651526" w:rsidP="00D20468">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5D559BDC"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4</w:t>
            </w: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38491E84"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12</w:t>
            </w:r>
          </w:p>
        </w:tc>
      </w:tr>
      <w:tr w:rsidR="00651526" w:rsidRPr="0053182F" w14:paraId="356C8F85" w14:textId="77777777" w:rsidTr="00D20468">
        <w:trPr>
          <w:trHeight w:val="226"/>
        </w:trPr>
        <w:tc>
          <w:tcPr>
            <w:tcW w:w="504" w:type="dxa"/>
            <w:shd w:val="clear" w:color="auto" w:fill="FFFFFF" w:themeFill="background1"/>
            <w:noWrap/>
            <w:vAlign w:val="bottom"/>
            <w:hideMark/>
          </w:tcPr>
          <w:p w14:paraId="58ABD442"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2FAD153"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Advanced Medical Equipment &amp; Technology</w:t>
            </w:r>
          </w:p>
        </w:tc>
        <w:tc>
          <w:tcPr>
            <w:tcW w:w="1163" w:type="dxa"/>
            <w:shd w:val="clear" w:color="auto" w:fill="FFFFFF" w:themeFill="background1"/>
            <w:noWrap/>
            <w:vAlign w:val="center"/>
            <w:hideMark/>
          </w:tcPr>
          <w:p w14:paraId="7B3D45D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78ACA65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127626A8"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59B5C6C8"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D97D90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44F9EA26" w14:textId="77777777" w:rsidTr="00D20468">
        <w:trPr>
          <w:trHeight w:val="226"/>
        </w:trPr>
        <w:tc>
          <w:tcPr>
            <w:tcW w:w="504" w:type="dxa"/>
            <w:shd w:val="clear" w:color="auto" w:fill="FFFFFF" w:themeFill="background1"/>
            <w:noWrap/>
            <w:vAlign w:val="bottom"/>
            <w:hideMark/>
          </w:tcPr>
          <w:p w14:paraId="20CAB5D6"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1BAEA863"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Healthcare Facilities &amp; Services</w:t>
            </w:r>
          </w:p>
        </w:tc>
        <w:tc>
          <w:tcPr>
            <w:tcW w:w="1163" w:type="dxa"/>
            <w:shd w:val="clear" w:color="auto" w:fill="FFFFFF" w:themeFill="background1"/>
            <w:noWrap/>
            <w:vAlign w:val="center"/>
            <w:hideMark/>
          </w:tcPr>
          <w:p w14:paraId="167EA90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1427E4F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5988772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3500AA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10B68430" w14:textId="77777777" w:rsidR="00651526" w:rsidRPr="0053182F" w:rsidRDefault="00651526" w:rsidP="00D20468">
            <w:pPr>
              <w:spacing w:after="0" w:line="240" w:lineRule="auto"/>
              <w:jc w:val="center"/>
              <w:rPr>
                <w:rFonts w:eastAsia="Times New Roman"/>
                <w:lang w:eastAsia="en-GB"/>
              </w:rPr>
            </w:pPr>
          </w:p>
        </w:tc>
      </w:tr>
      <w:tr w:rsidR="00651526" w:rsidRPr="0053182F" w14:paraId="2AD0979D" w14:textId="77777777" w:rsidTr="00D20468">
        <w:trPr>
          <w:trHeight w:val="226"/>
        </w:trPr>
        <w:tc>
          <w:tcPr>
            <w:tcW w:w="504" w:type="dxa"/>
            <w:shd w:val="clear" w:color="auto" w:fill="FFFFFF" w:themeFill="background1"/>
            <w:noWrap/>
            <w:vAlign w:val="bottom"/>
            <w:hideMark/>
          </w:tcPr>
          <w:p w14:paraId="42987CEF"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6EFDC173"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Managed Healthcare</w:t>
            </w:r>
          </w:p>
        </w:tc>
        <w:tc>
          <w:tcPr>
            <w:tcW w:w="1163" w:type="dxa"/>
            <w:shd w:val="clear" w:color="auto" w:fill="FFFFFF" w:themeFill="background1"/>
            <w:noWrap/>
            <w:vAlign w:val="center"/>
            <w:hideMark/>
          </w:tcPr>
          <w:p w14:paraId="17F356C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6D560AC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18E779DD"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33ACE8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0212EB11" w14:textId="77777777" w:rsidR="00651526" w:rsidRPr="0053182F" w:rsidRDefault="00651526" w:rsidP="00D20468">
            <w:pPr>
              <w:spacing w:after="0" w:line="240" w:lineRule="auto"/>
              <w:jc w:val="center"/>
              <w:rPr>
                <w:rFonts w:eastAsia="Times New Roman"/>
                <w:lang w:eastAsia="en-GB"/>
              </w:rPr>
            </w:pPr>
          </w:p>
        </w:tc>
      </w:tr>
      <w:tr w:rsidR="00651526" w:rsidRPr="0053182F" w14:paraId="20159304" w14:textId="77777777" w:rsidTr="00D20468">
        <w:trPr>
          <w:trHeight w:val="226"/>
        </w:trPr>
        <w:tc>
          <w:tcPr>
            <w:tcW w:w="504" w:type="dxa"/>
            <w:shd w:val="clear" w:color="auto" w:fill="FFFFFF" w:themeFill="background1"/>
            <w:noWrap/>
            <w:vAlign w:val="bottom"/>
            <w:hideMark/>
          </w:tcPr>
          <w:p w14:paraId="1F55217F"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1FF2D191"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Medical Equipment, Supplies &amp; Distribution</w:t>
            </w:r>
          </w:p>
        </w:tc>
        <w:tc>
          <w:tcPr>
            <w:tcW w:w="1163" w:type="dxa"/>
            <w:shd w:val="clear" w:color="auto" w:fill="FFFFFF" w:themeFill="background1"/>
            <w:noWrap/>
            <w:vAlign w:val="center"/>
            <w:hideMark/>
          </w:tcPr>
          <w:p w14:paraId="415E65A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5D6E26B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65D0D230"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171C57C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355F3233" w14:textId="77777777" w:rsidR="00651526" w:rsidRPr="0053182F" w:rsidRDefault="00651526" w:rsidP="00D20468">
            <w:pPr>
              <w:spacing w:after="0" w:line="240" w:lineRule="auto"/>
              <w:jc w:val="center"/>
              <w:rPr>
                <w:rFonts w:eastAsia="Times New Roman"/>
                <w:lang w:eastAsia="en-GB"/>
              </w:rPr>
            </w:pPr>
          </w:p>
        </w:tc>
      </w:tr>
      <w:tr w:rsidR="00651526" w:rsidRPr="0053182F" w14:paraId="2CFB2329"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76B5B4AD"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33E141D7"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Pharmaceuticals</w:t>
            </w:r>
          </w:p>
        </w:tc>
        <w:tc>
          <w:tcPr>
            <w:tcW w:w="1163" w:type="dxa"/>
            <w:tcBorders>
              <w:top w:val="nil"/>
              <w:left w:val="nil"/>
              <w:bottom w:val="single" w:sz="8" w:space="0" w:color="auto"/>
              <w:right w:val="nil"/>
            </w:tcBorders>
            <w:shd w:val="clear" w:color="auto" w:fill="FFFFFF" w:themeFill="background1"/>
            <w:noWrap/>
            <w:vAlign w:val="center"/>
            <w:hideMark/>
          </w:tcPr>
          <w:p w14:paraId="63A7ABA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11</w:t>
            </w:r>
          </w:p>
        </w:tc>
        <w:tc>
          <w:tcPr>
            <w:tcW w:w="933" w:type="dxa"/>
            <w:tcBorders>
              <w:top w:val="nil"/>
              <w:left w:val="nil"/>
              <w:bottom w:val="single" w:sz="8" w:space="0" w:color="auto"/>
              <w:right w:val="nil"/>
            </w:tcBorders>
            <w:shd w:val="clear" w:color="auto" w:fill="FFFFFF" w:themeFill="background1"/>
            <w:noWrap/>
            <w:vAlign w:val="center"/>
            <w:hideMark/>
          </w:tcPr>
          <w:p w14:paraId="3270D14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2D195FB2"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4178ED68"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7387C0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11</w:t>
            </w:r>
          </w:p>
        </w:tc>
      </w:tr>
      <w:tr w:rsidR="00651526" w:rsidRPr="0053182F" w14:paraId="3F2F0A63" w14:textId="77777777" w:rsidTr="00D20468">
        <w:trPr>
          <w:trHeight w:val="226"/>
        </w:trPr>
        <w:tc>
          <w:tcPr>
            <w:tcW w:w="4351" w:type="dxa"/>
            <w:gridSpan w:val="3"/>
            <w:tcBorders>
              <w:top w:val="nil"/>
              <w:left w:val="nil"/>
              <w:bottom w:val="single" w:sz="8" w:space="0" w:color="auto"/>
              <w:right w:val="nil"/>
            </w:tcBorders>
            <w:shd w:val="clear" w:color="auto" w:fill="FFFFFF" w:themeFill="background1"/>
            <w:noWrap/>
            <w:vAlign w:val="center"/>
            <w:hideMark/>
          </w:tcPr>
          <w:p w14:paraId="3980B715"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Industrials</w:t>
            </w:r>
          </w:p>
        </w:tc>
        <w:tc>
          <w:tcPr>
            <w:tcW w:w="1163" w:type="dxa"/>
            <w:tcBorders>
              <w:top w:val="nil"/>
              <w:left w:val="nil"/>
              <w:bottom w:val="single" w:sz="8" w:space="0" w:color="auto"/>
              <w:right w:val="nil"/>
            </w:tcBorders>
            <w:shd w:val="clear" w:color="auto" w:fill="FFFFFF" w:themeFill="background1"/>
            <w:noWrap/>
            <w:vAlign w:val="center"/>
            <w:hideMark/>
          </w:tcPr>
          <w:p w14:paraId="19FC7CA5"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43</w:t>
            </w:r>
          </w:p>
        </w:tc>
        <w:tc>
          <w:tcPr>
            <w:tcW w:w="933" w:type="dxa"/>
            <w:tcBorders>
              <w:top w:val="nil"/>
              <w:left w:val="nil"/>
              <w:bottom w:val="single" w:sz="8" w:space="0" w:color="auto"/>
              <w:right w:val="nil"/>
            </w:tcBorders>
            <w:shd w:val="clear" w:color="auto" w:fill="FFFFFF" w:themeFill="background1"/>
            <w:noWrap/>
            <w:vAlign w:val="center"/>
            <w:hideMark/>
          </w:tcPr>
          <w:p w14:paraId="06467B85"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43</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58FD4BEC" w14:textId="77777777" w:rsidR="00651526" w:rsidRPr="0053182F" w:rsidRDefault="00651526" w:rsidP="00D20468">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085675D4"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24</w:t>
            </w: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77F2F85D"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19</w:t>
            </w:r>
          </w:p>
        </w:tc>
      </w:tr>
      <w:tr w:rsidR="00651526" w:rsidRPr="0053182F" w14:paraId="19FDA912" w14:textId="77777777" w:rsidTr="00D20468">
        <w:trPr>
          <w:trHeight w:val="226"/>
        </w:trPr>
        <w:tc>
          <w:tcPr>
            <w:tcW w:w="504" w:type="dxa"/>
            <w:shd w:val="clear" w:color="auto" w:fill="FFFFFF" w:themeFill="background1"/>
            <w:noWrap/>
            <w:vAlign w:val="bottom"/>
            <w:hideMark/>
          </w:tcPr>
          <w:p w14:paraId="0AAE4286"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A3AB7E4"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Aerospace &amp; Défense</w:t>
            </w:r>
          </w:p>
        </w:tc>
        <w:tc>
          <w:tcPr>
            <w:tcW w:w="1163" w:type="dxa"/>
            <w:shd w:val="clear" w:color="auto" w:fill="FFFFFF" w:themeFill="background1"/>
            <w:noWrap/>
            <w:vAlign w:val="center"/>
            <w:hideMark/>
          </w:tcPr>
          <w:p w14:paraId="19AD7BE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6</w:t>
            </w:r>
          </w:p>
        </w:tc>
        <w:tc>
          <w:tcPr>
            <w:tcW w:w="933" w:type="dxa"/>
            <w:shd w:val="clear" w:color="auto" w:fill="FFFFFF" w:themeFill="background1"/>
            <w:noWrap/>
            <w:vAlign w:val="center"/>
            <w:hideMark/>
          </w:tcPr>
          <w:p w14:paraId="2F77DB4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6</w:t>
            </w:r>
          </w:p>
        </w:tc>
        <w:tc>
          <w:tcPr>
            <w:tcW w:w="1056" w:type="dxa"/>
            <w:gridSpan w:val="2"/>
            <w:shd w:val="clear" w:color="auto" w:fill="FFFFFF" w:themeFill="background1"/>
            <w:noWrap/>
            <w:vAlign w:val="bottom"/>
            <w:hideMark/>
          </w:tcPr>
          <w:p w14:paraId="24235A9B"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7B57A7CC"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CCD45D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6</w:t>
            </w:r>
          </w:p>
        </w:tc>
      </w:tr>
      <w:tr w:rsidR="00651526" w:rsidRPr="0053182F" w14:paraId="7B1B3D06" w14:textId="77777777" w:rsidTr="00D20468">
        <w:trPr>
          <w:trHeight w:val="226"/>
        </w:trPr>
        <w:tc>
          <w:tcPr>
            <w:tcW w:w="504" w:type="dxa"/>
            <w:shd w:val="clear" w:color="auto" w:fill="FFFFFF" w:themeFill="background1"/>
            <w:noWrap/>
            <w:vAlign w:val="bottom"/>
            <w:hideMark/>
          </w:tcPr>
          <w:p w14:paraId="334BC82B"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7D4AEF09"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Airlines</w:t>
            </w:r>
          </w:p>
        </w:tc>
        <w:tc>
          <w:tcPr>
            <w:tcW w:w="1163" w:type="dxa"/>
            <w:shd w:val="clear" w:color="auto" w:fill="FFFFFF" w:themeFill="background1"/>
            <w:noWrap/>
            <w:vAlign w:val="center"/>
            <w:hideMark/>
          </w:tcPr>
          <w:p w14:paraId="3EC12F2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6</w:t>
            </w:r>
          </w:p>
        </w:tc>
        <w:tc>
          <w:tcPr>
            <w:tcW w:w="933" w:type="dxa"/>
            <w:shd w:val="clear" w:color="auto" w:fill="FFFFFF" w:themeFill="background1"/>
            <w:noWrap/>
            <w:vAlign w:val="center"/>
            <w:hideMark/>
          </w:tcPr>
          <w:p w14:paraId="143B6B0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6</w:t>
            </w:r>
          </w:p>
        </w:tc>
        <w:tc>
          <w:tcPr>
            <w:tcW w:w="1056" w:type="dxa"/>
            <w:gridSpan w:val="2"/>
            <w:shd w:val="clear" w:color="auto" w:fill="FFFFFF" w:themeFill="background1"/>
            <w:noWrap/>
            <w:vAlign w:val="bottom"/>
            <w:hideMark/>
          </w:tcPr>
          <w:p w14:paraId="468690D0"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336E5328"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A78E5F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6</w:t>
            </w:r>
          </w:p>
        </w:tc>
      </w:tr>
      <w:tr w:rsidR="00651526" w:rsidRPr="0053182F" w14:paraId="64422935" w14:textId="77777777" w:rsidTr="00D20468">
        <w:trPr>
          <w:trHeight w:val="226"/>
        </w:trPr>
        <w:tc>
          <w:tcPr>
            <w:tcW w:w="504" w:type="dxa"/>
            <w:shd w:val="clear" w:color="auto" w:fill="FFFFFF" w:themeFill="background1"/>
            <w:noWrap/>
            <w:vAlign w:val="bottom"/>
            <w:hideMark/>
          </w:tcPr>
          <w:p w14:paraId="5F00F887"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34B3BDE"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Construction &amp; Engineering</w:t>
            </w:r>
          </w:p>
        </w:tc>
        <w:tc>
          <w:tcPr>
            <w:tcW w:w="1163" w:type="dxa"/>
            <w:shd w:val="clear" w:color="auto" w:fill="FFFFFF" w:themeFill="background1"/>
            <w:noWrap/>
            <w:vAlign w:val="center"/>
            <w:hideMark/>
          </w:tcPr>
          <w:p w14:paraId="384491E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933" w:type="dxa"/>
            <w:shd w:val="clear" w:color="auto" w:fill="FFFFFF" w:themeFill="background1"/>
            <w:noWrap/>
            <w:vAlign w:val="center"/>
            <w:hideMark/>
          </w:tcPr>
          <w:p w14:paraId="399E5E7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056" w:type="dxa"/>
            <w:gridSpan w:val="2"/>
            <w:shd w:val="clear" w:color="auto" w:fill="FFFFFF" w:themeFill="background1"/>
            <w:noWrap/>
            <w:vAlign w:val="bottom"/>
            <w:hideMark/>
          </w:tcPr>
          <w:p w14:paraId="0B9A5492"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AAB230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134" w:type="dxa"/>
            <w:shd w:val="clear" w:color="auto" w:fill="FFFFFF" w:themeFill="background1"/>
            <w:noWrap/>
            <w:vAlign w:val="bottom"/>
            <w:hideMark/>
          </w:tcPr>
          <w:p w14:paraId="526ABF85" w14:textId="77777777" w:rsidR="00651526" w:rsidRPr="0053182F" w:rsidRDefault="00651526" w:rsidP="00D20468">
            <w:pPr>
              <w:spacing w:after="0" w:line="240" w:lineRule="auto"/>
              <w:jc w:val="center"/>
              <w:rPr>
                <w:rFonts w:eastAsia="Times New Roman"/>
                <w:lang w:eastAsia="en-GB"/>
              </w:rPr>
            </w:pPr>
          </w:p>
        </w:tc>
      </w:tr>
      <w:tr w:rsidR="00651526" w:rsidRPr="0053182F" w14:paraId="2F8A51D7" w14:textId="77777777" w:rsidTr="00D20468">
        <w:trPr>
          <w:trHeight w:val="226"/>
        </w:trPr>
        <w:tc>
          <w:tcPr>
            <w:tcW w:w="504" w:type="dxa"/>
            <w:shd w:val="clear" w:color="auto" w:fill="FFFFFF" w:themeFill="background1"/>
            <w:noWrap/>
            <w:vAlign w:val="bottom"/>
            <w:hideMark/>
          </w:tcPr>
          <w:p w14:paraId="5933B290"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2F563620"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Construction Supplies &amp; Fixtures</w:t>
            </w:r>
          </w:p>
        </w:tc>
        <w:tc>
          <w:tcPr>
            <w:tcW w:w="1163" w:type="dxa"/>
            <w:shd w:val="clear" w:color="auto" w:fill="FFFFFF" w:themeFill="background1"/>
            <w:noWrap/>
            <w:vAlign w:val="center"/>
            <w:hideMark/>
          </w:tcPr>
          <w:p w14:paraId="19672E1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2660C2C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691C7D7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05063B24"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B177FA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078AF719" w14:textId="77777777" w:rsidTr="00D20468">
        <w:trPr>
          <w:trHeight w:val="226"/>
        </w:trPr>
        <w:tc>
          <w:tcPr>
            <w:tcW w:w="504" w:type="dxa"/>
            <w:shd w:val="clear" w:color="auto" w:fill="FFFFFF" w:themeFill="background1"/>
            <w:noWrap/>
            <w:vAlign w:val="bottom"/>
            <w:hideMark/>
          </w:tcPr>
          <w:p w14:paraId="687262D8"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0746EC16"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Consumer Goods Conglomerates</w:t>
            </w:r>
          </w:p>
        </w:tc>
        <w:tc>
          <w:tcPr>
            <w:tcW w:w="1163" w:type="dxa"/>
            <w:shd w:val="clear" w:color="auto" w:fill="FFFFFF" w:themeFill="background1"/>
            <w:noWrap/>
            <w:vAlign w:val="center"/>
            <w:hideMark/>
          </w:tcPr>
          <w:p w14:paraId="46DBC5E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6</w:t>
            </w:r>
          </w:p>
        </w:tc>
        <w:tc>
          <w:tcPr>
            <w:tcW w:w="933" w:type="dxa"/>
            <w:shd w:val="clear" w:color="auto" w:fill="FFFFFF" w:themeFill="background1"/>
            <w:noWrap/>
            <w:vAlign w:val="center"/>
            <w:hideMark/>
          </w:tcPr>
          <w:p w14:paraId="78434A4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6</w:t>
            </w:r>
          </w:p>
        </w:tc>
        <w:tc>
          <w:tcPr>
            <w:tcW w:w="1056" w:type="dxa"/>
            <w:gridSpan w:val="2"/>
            <w:shd w:val="clear" w:color="auto" w:fill="FFFFFF" w:themeFill="background1"/>
            <w:noWrap/>
            <w:vAlign w:val="bottom"/>
            <w:hideMark/>
          </w:tcPr>
          <w:p w14:paraId="4885D4E5"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145312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6</w:t>
            </w:r>
          </w:p>
        </w:tc>
        <w:tc>
          <w:tcPr>
            <w:tcW w:w="1134" w:type="dxa"/>
            <w:shd w:val="clear" w:color="auto" w:fill="FFFFFF" w:themeFill="background1"/>
            <w:noWrap/>
            <w:vAlign w:val="bottom"/>
            <w:hideMark/>
          </w:tcPr>
          <w:p w14:paraId="667A93F4" w14:textId="77777777" w:rsidR="00651526" w:rsidRPr="0053182F" w:rsidRDefault="00651526" w:rsidP="00D20468">
            <w:pPr>
              <w:spacing w:after="0" w:line="240" w:lineRule="auto"/>
              <w:jc w:val="center"/>
              <w:rPr>
                <w:rFonts w:eastAsia="Times New Roman"/>
                <w:lang w:eastAsia="en-GB"/>
              </w:rPr>
            </w:pPr>
          </w:p>
        </w:tc>
      </w:tr>
      <w:tr w:rsidR="00651526" w:rsidRPr="0053182F" w14:paraId="146C2C33" w14:textId="77777777" w:rsidTr="00D20468">
        <w:trPr>
          <w:trHeight w:val="226"/>
        </w:trPr>
        <w:tc>
          <w:tcPr>
            <w:tcW w:w="504" w:type="dxa"/>
            <w:shd w:val="clear" w:color="auto" w:fill="FFFFFF" w:themeFill="background1"/>
            <w:noWrap/>
            <w:vAlign w:val="bottom"/>
            <w:hideMark/>
          </w:tcPr>
          <w:p w14:paraId="79362C6E"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2E537A90"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Courier, Postal, Air Freight &amp; Land-based Logistics</w:t>
            </w:r>
          </w:p>
        </w:tc>
        <w:tc>
          <w:tcPr>
            <w:tcW w:w="1163" w:type="dxa"/>
            <w:shd w:val="clear" w:color="auto" w:fill="FFFFFF" w:themeFill="background1"/>
            <w:noWrap/>
            <w:vAlign w:val="center"/>
            <w:hideMark/>
          </w:tcPr>
          <w:p w14:paraId="5391B0D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933" w:type="dxa"/>
            <w:shd w:val="clear" w:color="auto" w:fill="FFFFFF" w:themeFill="background1"/>
            <w:noWrap/>
            <w:vAlign w:val="center"/>
            <w:hideMark/>
          </w:tcPr>
          <w:p w14:paraId="173B043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056" w:type="dxa"/>
            <w:gridSpan w:val="2"/>
            <w:shd w:val="clear" w:color="auto" w:fill="FFFFFF" w:themeFill="background1"/>
            <w:noWrap/>
            <w:vAlign w:val="bottom"/>
            <w:hideMark/>
          </w:tcPr>
          <w:p w14:paraId="4E1DD4CD"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9798AF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134" w:type="dxa"/>
            <w:shd w:val="clear" w:color="auto" w:fill="FFFFFF" w:themeFill="background1"/>
            <w:noWrap/>
            <w:vAlign w:val="bottom"/>
            <w:hideMark/>
          </w:tcPr>
          <w:p w14:paraId="76D64042" w14:textId="77777777" w:rsidR="00651526" w:rsidRPr="0053182F" w:rsidRDefault="00651526" w:rsidP="00D20468">
            <w:pPr>
              <w:spacing w:after="0" w:line="240" w:lineRule="auto"/>
              <w:jc w:val="center"/>
              <w:rPr>
                <w:rFonts w:eastAsia="Times New Roman"/>
                <w:lang w:eastAsia="en-GB"/>
              </w:rPr>
            </w:pPr>
          </w:p>
        </w:tc>
      </w:tr>
      <w:tr w:rsidR="00651526" w:rsidRPr="0053182F" w14:paraId="6F85BBA4" w14:textId="77777777" w:rsidTr="00D20468">
        <w:trPr>
          <w:trHeight w:val="226"/>
        </w:trPr>
        <w:tc>
          <w:tcPr>
            <w:tcW w:w="504" w:type="dxa"/>
            <w:shd w:val="clear" w:color="auto" w:fill="FFFFFF" w:themeFill="background1"/>
            <w:noWrap/>
            <w:vAlign w:val="bottom"/>
            <w:hideMark/>
          </w:tcPr>
          <w:p w14:paraId="14E85CB3"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3138ED09"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Diversified Industrial Goods Wholesale</w:t>
            </w:r>
          </w:p>
        </w:tc>
        <w:tc>
          <w:tcPr>
            <w:tcW w:w="1163" w:type="dxa"/>
            <w:shd w:val="clear" w:color="auto" w:fill="FFFFFF" w:themeFill="background1"/>
            <w:noWrap/>
            <w:vAlign w:val="center"/>
            <w:hideMark/>
          </w:tcPr>
          <w:p w14:paraId="6FEA39F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933" w:type="dxa"/>
            <w:shd w:val="clear" w:color="auto" w:fill="FFFFFF" w:themeFill="background1"/>
            <w:noWrap/>
            <w:vAlign w:val="center"/>
            <w:hideMark/>
          </w:tcPr>
          <w:p w14:paraId="07BEFF2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1056" w:type="dxa"/>
            <w:gridSpan w:val="2"/>
            <w:shd w:val="clear" w:color="auto" w:fill="FFFFFF" w:themeFill="background1"/>
            <w:noWrap/>
            <w:vAlign w:val="bottom"/>
            <w:hideMark/>
          </w:tcPr>
          <w:p w14:paraId="454EE151"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E26C71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1134" w:type="dxa"/>
            <w:shd w:val="clear" w:color="auto" w:fill="FFFFFF" w:themeFill="background1"/>
            <w:noWrap/>
            <w:vAlign w:val="bottom"/>
            <w:hideMark/>
          </w:tcPr>
          <w:p w14:paraId="30B01E43" w14:textId="77777777" w:rsidR="00651526" w:rsidRPr="0053182F" w:rsidRDefault="00651526" w:rsidP="00D20468">
            <w:pPr>
              <w:spacing w:after="0" w:line="240" w:lineRule="auto"/>
              <w:jc w:val="center"/>
              <w:rPr>
                <w:rFonts w:eastAsia="Times New Roman"/>
                <w:lang w:eastAsia="en-GB"/>
              </w:rPr>
            </w:pPr>
          </w:p>
        </w:tc>
      </w:tr>
      <w:tr w:rsidR="00651526" w:rsidRPr="0053182F" w14:paraId="21C3D97C" w14:textId="77777777" w:rsidTr="00D20468">
        <w:trPr>
          <w:trHeight w:val="226"/>
        </w:trPr>
        <w:tc>
          <w:tcPr>
            <w:tcW w:w="504" w:type="dxa"/>
            <w:shd w:val="clear" w:color="auto" w:fill="FFFFFF" w:themeFill="background1"/>
            <w:noWrap/>
            <w:vAlign w:val="bottom"/>
            <w:hideMark/>
          </w:tcPr>
          <w:p w14:paraId="787C7178"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91A0233"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Electrical Components &amp; Equipment</w:t>
            </w:r>
          </w:p>
        </w:tc>
        <w:tc>
          <w:tcPr>
            <w:tcW w:w="1163" w:type="dxa"/>
            <w:shd w:val="clear" w:color="auto" w:fill="FFFFFF" w:themeFill="background1"/>
            <w:noWrap/>
            <w:vAlign w:val="center"/>
            <w:hideMark/>
          </w:tcPr>
          <w:p w14:paraId="55D3573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27C68A8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06BD9FA3"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33A1D8FA"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30DC17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r>
      <w:tr w:rsidR="00651526" w:rsidRPr="0053182F" w14:paraId="0793F9A2" w14:textId="77777777" w:rsidTr="00D20468">
        <w:trPr>
          <w:trHeight w:val="226"/>
        </w:trPr>
        <w:tc>
          <w:tcPr>
            <w:tcW w:w="504" w:type="dxa"/>
            <w:shd w:val="clear" w:color="auto" w:fill="FFFFFF" w:themeFill="background1"/>
            <w:noWrap/>
            <w:vAlign w:val="bottom"/>
            <w:hideMark/>
          </w:tcPr>
          <w:p w14:paraId="717B290F"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1CE31B70"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Employment Services</w:t>
            </w:r>
          </w:p>
        </w:tc>
        <w:tc>
          <w:tcPr>
            <w:tcW w:w="1163" w:type="dxa"/>
            <w:shd w:val="clear" w:color="auto" w:fill="FFFFFF" w:themeFill="background1"/>
            <w:noWrap/>
            <w:vAlign w:val="center"/>
            <w:hideMark/>
          </w:tcPr>
          <w:p w14:paraId="4FA05C3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55FFBE7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4F39E1EC"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A9CF1A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71EF621D" w14:textId="77777777" w:rsidR="00651526" w:rsidRPr="0053182F" w:rsidRDefault="00651526" w:rsidP="00D20468">
            <w:pPr>
              <w:spacing w:after="0" w:line="240" w:lineRule="auto"/>
              <w:jc w:val="center"/>
              <w:rPr>
                <w:rFonts w:eastAsia="Times New Roman"/>
                <w:lang w:eastAsia="en-GB"/>
              </w:rPr>
            </w:pPr>
          </w:p>
        </w:tc>
      </w:tr>
      <w:tr w:rsidR="00651526" w:rsidRPr="0053182F" w14:paraId="60ADFEFA" w14:textId="77777777" w:rsidTr="00D20468">
        <w:trPr>
          <w:trHeight w:val="226"/>
        </w:trPr>
        <w:tc>
          <w:tcPr>
            <w:tcW w:w="504" w:type="dxa"/>
            <w:shd w:val="clear" w:color="auto" w:fill="FFFFFF" w:themeFill="background1"/>
            <w:noWrap/>
            <w:vAlign w:val="bottom"/>
            <w:hideMark/>
          </w:tcPr>
          <w:p w14:paraId="52DC8282"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70879A14"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Heavy Machinery &amp; Vehicles</w:t>
            </w:r>
          </w:p>
        </w:tc>
        <w:tc>
          <w:tcPr>
            <w:tcW w:w="1163" w:type="dxa"/>
            <w:shd w:val="clear" w:color="auto" w:fill="FFFFFF" w:themeFill="background1"/>
            <w:noWrap/>
            <w:vAlign w:val="center"/>
            <w:hideMark/>
          </w:tcPr>
          <w:p w14:paraId="1D2EDDD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933" w:type="dxa"/>
            <w:shd w:val="clear" w:color="auto" w:fill="FFFFFF" w:themeFill="background1"/>
            <w:noWrap/>
            <w:vAlign w:val="center"/>
            <w:hideMark/>
          </w:tcPr>
          <w:p w14:paraId="2A013C3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056" w:type="dxa"/>
            <w:gridSpan w:val="2"/>
            <w:shd w:val="clear" w:color="auto" w:fill="FFFFFF" w:themeFill="background1"/>
            <w:noWrap/>
            <w:vAlign w:val="bottom"/>
            <w:hideMark/>
          </w:tcPr>
          <w:p w14:paraId="0C703C9D"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48D207B6"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C7E9F3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r>
      <w:tr w:rsidR="00651526" w:rsidRPr="0053182F" w14:paraId="0CF3DFAB" w14:textId="77777777" w:rsidTr="00D20468">
        <w:trPr>
          <w:trHeight w:val="226"/>
        </w:trPr>
        <w:tc>
          <w:tcPr>
            <w:tcW w:w="504" w:type="dxa"/>
            <w:shd w:val="clear" w:color="auto" w:fill="FFFFFF" w:themeFill="background1"/>
            <w:noWrap/>
            <w:vAlign w:val="bottom"/>
            <w:hideMark/>
          </w:tcPr>
          <w:p w14:paraId="0E1BB768"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857CA8D"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Investment Holding Companies</w:t>
            </w:r>
          </w:p>
        </w:tc>
        <w:tc>
          <w:tcPr>
            <w:tcW w:w="1163" w:type="dxa"/>
            <w:shd w:val="clear" w:color="auto" w:fill="FFFFFF" w:themeFill="background1"/>
            <w:noWrap/>
            <w:vAlign w:val="center"/>
            <w:hideMark/>
          </w:tcPr>
          <w:p w14:paraId="3B025EC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64FB1D8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10A7F1ED"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5F8C194"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327124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4CBBC47C" w14:textId="77777777" w:rsidTr="00D20468">
        <w:trPr>
          <w:trHeight w:val="226"/>
        </w:trPr>
        <w:tc>
          <w:tcPr>
            <w:tcW w:w="504" w:type="dxa"/>
            <w:shd w:val="clear" w:color="auto" w:fill="FFFFFF" w:themeFill="background1"/>
            <w:noWrap/>
            <w:vAlign w:val="bottom"/>
            <w:hideMark/>
          </w:tcPr>
          <w:p w14:paraId="02D8625E"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2425FF2"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IT Services &amp; Consulting</w:t>
            </w:r>
          </w:p>
        </w:tc>
        <w:tc>
          <w:tcPr>
            <w:tcW w:w="1163" w:type="dxa"/>
            <w:shd w:val="clear" w:color="auto" w:fill="FFFFFF" w:themeFill="background1"/>
            <w:noWrap/>
            <w:vAlign w:val="center"/>
            <w:hideMark/>
          </w:tcPr>
          <w:p w14:paraId="07678D2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center"/>
            <w:hideMark/>
          </w:tcPr>
          <w:p w14:paraId="2A9EEAA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shd w:val="clear" w:color="auto" w:fill="FFFFFF" w:themeFill="background1"/>
            <w:noWrap/>
            <w:vAlign w:val="bottom"/>
            <w:hideMark/>
          </w:tcPr>
          <w:p w14:paraId="2D9C1E0C"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593979F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0D09D1A1" w14:textId="77777777" w:rsidR="00651526" w:rsidRPr="0053182F" w:rsidRDefault="00651526" w:rsidP="00D20468">
            <w:pPr>
              <w:spacing w:after="0" w:line="240" w:lineRule="auto"/>
              <w:jc w:val="center"/>
              <w:rPr>
                <w:rFonts w:eastAsia="Times New Roman"/>
                <w:lang w:eastAsia="en-GB"/>
              </w:rPr>
            </w:pPr>
          </w:p>
        </w:tc>
      </w:tr>
      <w:tr w:rsidR="00651526" w:rsidRPr="0053182F" w14:paraId="12DCB844" w14:textId="77777777" w:rsidTr="00D20468">
        <w:trPr>
          <w:trHeight w:val="226"/>
        </w:trPr>
        <w:tc>
          <w:tcPr>
            <w:tcW w:w="504" w:type="dxa"/>
            <w:shd w:val="clear" w:color="auto" w:fill="FFFFFF" w:themeFill="background1"/>
            <w:noWrap/>
            <w:vAlign w:val="bottom"/>
            <w:hideMark/>
          </w:tcPr>
          <w:p w14:paraId="5A6DAF53"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3CEBDAAB"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Marine Freight &amp; Logistics</w:t>
            </w:r>
          </w:p>
        </w:tc>
        <w:tc>
          <w:tcPr>
            <w:tcW w:w="1163" w:type="dxa"/>
            <w:shd w:val="clear" w:color="auto" w:fill="FFFFFF" w:themeFill="background1"/>
            <w:noWrap/>
            <w:vAlign w:val="center"/>
            <w:hideMark/>
          </w:tcPr>
          <w:p w14:paraId="3F30B1F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4A27C3B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728B4646"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413D7A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6843FA0D" w14:textId="77777777" w:rsidR="00651526" w:rsidRPr="0053182F" w:rsidRDefault="00651526" w:rsidP="00D20468">
            <w:pPr>
              <w:spacing w:after="0" w:line="240" w:lineRule="auto"/>
              <w:jc w:val="center"/>
              <w:rPr>
                <w:rFonts w:eastAsia="Times New Roman"/>
                <w:lang w:eastAsia="en-GB"/>
              </w:rPr>
            </w:pPr>
          </w:p>
        </w:tc>
      </w:tr>
      <w:tr w:rsidR="00651526" w:rsidRPr="0053182F" w14:paraId="2BB4820D"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3895BFA0"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63E53C6F"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Miscellaneous Speciality Retailers</w:t>
            </w:r>
          </w:p>
        </w:tc>
        <w:tc>
          <w:tcPr>
            <w:tcW w:w="1163" w:type="dxa"/>
            <w:tcBorders>
              <w:top w:val="nil"/>
              <w:left w:val="nil"/>
              <w:bottom w:val="single" w:sz="8" w:space="0" w:color="auto"/>
              <w:right w:val="nil"/>
            </w:tcBorders>
            <w:shd w:val="clear" w:color="auto" w:fill="FFFFFF" w:themeFill="background1"/>
            <w:noWrap/>
            <w:vAlign w:val="center"/>
            <w:hideMark/>
          </w:tcPr>
          <w:p w14:paraId="6C4C49F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45BE41D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2EF02561"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DD6B90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418523A0" w14:textId="77777777" w:rsidR="00651526" w:rsidRPr="0053182F" w:rsidRDefault="00651526" w:rsidP="00D20468">
            <w:pPr>
              <w:spacing w:after="0" w:line="240" w:lineRule="auto"/>
              <w:jc w:val="center"/>
              <w:rPr>
                <w:rFonts w:eastAsia="Times New Roman"/>
                <w:lang w:eastAsia="en-GB"/>
              </w:rPr>
            </w:pPr>
          </w:p>
        </w:tc>
      </w:tr>
      <w:tr w:rsidR="00651526" w:rsidRPr="0053182F" w14:paraId="4CD86AF8"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46EDE6CB"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Information Technology</w:t>
            </w:r>
          </w:p>
        </w:tc>
        <w:tc>
          <w:tcPr>
            <w:tcW w:w="1163" w:type="dxa"/>
            <w:tcBorders>
              <w:top w:val="nil"/>
              <w:left w:val="nil"/>
              <w:bottom w:val="single" w:sz="8" w:space="0" w:color="auto"/>
              <w:right w:val="nil"/>
            </w:tcBorders>
            <w:shd w:val="clear" w:color="auto" w:fill="FFFFFF" w:themeFill="background1"/>
            <w:noWrap/>
            <w:vAlign w:val="center"/>
            <w:hideMark/>
          </w:tcPr>
          <w:p w14:paraId="2FBBCAD2"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23</w:t>
            </w:r>
          </w:p>
        </w:tc>
        <w:tc>
          <w:tcPr>
            <w:tcW w:w="933" w:type="dxa"/>
            <w:tcBorders>
              <w:top w:val="nil"/>
              <w:left w:val="nil"/>
              <w:bottom w:val="single" w:sz="8" w:space="0" w:color="auto"/>
              <w:right w:val="nil"/>
            </w:tcBorders>
            <w:shd w:val="clear" w:color="auto" w:fill="FFFFFF" w:themeFill="background1"/>
            <w:noWrap/>
            <w:vAlign w:val="bottom"/>
            <w:hideMark/>
          </w:tcPr>
          <w:p w14:paraId="5260A24B" w14:textId="77777777" w:rsidR="00651526" w:rsidRPr="0053182F" w:rsidRDefault="00651526" w:rsidP="00D20468">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603F0670"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23</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6CE6E5CE" w14:textId="77777777" w:rsidR="00651526" w:rsidRPr="0053182F" w:rsidRDefault="00651526" w:rsidP="00D20468">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710AF7FC"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23</w:t>
            </w:r>
          </w:p>
        </w:tc>
      </w:tr>
      <w:tr w:rsidR="00651526" w:rsidRPr="0053182F" w14:paraId="69272D78" w14:textId="77777777" w:rsidTr="00D20468">
        <w:trPr>
          <w:trHeight w:val="226"/>
        </w:trPr>
        <w:tc>
          <w:tcPr>
            <w:tcW w:w="504" w:type="dxa"/>
            <w:shd w:val="clear" w:color="auto" w:fill="FFFFFF" w:themeFill="background1"/>
            <w:noWrap/>
            <w:vAlign w:val="bottom"/>
            <w:hideMark/>
          </w:tcPr>
          <w:p w14:paraId="258C7FA4"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1A097E5D"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Communications &amp; Networking</w:t>
            </w:r>
          </w:p>
        </w:tc>
        <w:tc>
          <w:tcPr>
            <w:tcW w:w="1163" w:type="dxa"/>
            <w:shd w:val="clear" w:color="auto" w:fill="FFFFFF" w:themeFill="background1"/>
            <w:noWrap/>
            <w:vAlign w:val="center"/>
            <w:hideMark/>
          </w:tcPr>
          <w:p w14:paraId="794169B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shd w:val="clear" w:color="auto" w:fill="FFFFFF" w:themeFill="background1"/>
            <w:noWrap/>
            <w:vAlign w:val="bottom"/>
            <w:hideMark/>
          </w:tcPr>
          <w:p w14:paraId="5D81403C"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428A24D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134" w:type="dxa"/>
            <w:shd w:val="clear" w:color="auto" w:fill="FFFFFF" w:themeFill="background1"/>
            <w:noWrap/>
            <w:vAlign w:val="bottom"/>
            <w:hideMark/>
          </w:tcPr>
          <w:p w14:paraId="48B38320"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9BA3F9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63AA5882" w14:textId="77777777" w:rsidTr="00D20468">
        <w:trPr>
          <w:trHeight w:val="226"/>
        </w:trPr>
        <w:tc>
          <w:tcPr>
            <w:tcW w:w="504" w:type="dxa"/>
            <w:shd w:val="clear" w:color="auto" w:fill="FFFFFF" w:themeFill="background1"/>
            <w:noWrap/>
            <w:vAlign w:val="bottom"/>
            <w:hideMark/>
          </w:tcPr>
          <w:p w14:paraId="1F0840B8"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1AA78A71"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Computer Hardware</w:t>
            </w:r>
          </w:p>
        </w:tc>
        <w:tc>
          <w:tcPr>
            <w:tcW w:w="1163" w:type="dxa"/>
            <w:shd w:val="clear" w:color="auto" w:fill="FFFFFF" w:themeFill="background1"/>
            <w:noWrap/>
            <w:vAlign w:val="center"/>
            <w:hideMark/>
          </w:tcPr>
          <w:p w14:paraId="2876E25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933" w:type="dxa"/>
            <w:shd w:val="clear" w:color="auto" w:fill="FFFFFF" w:themeFill="background1"/>
            <w:noWrap/>
            <w:vAlign w:val="bottom"/>
            <w:hideMark/>
          </w:tcPr>
          <w:p w14:paraId="73D64D3E"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7F5E265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1134" w:type="dxa"/>
            <w:shd w:val="clear" w:color="auto" w:fill="FFFFFF" w:themeFill="background1"/>
            <w:noWrap/>
            <w:vAlign w:val="bottom"/>
            <w:hideMark/>
          </w:tcPr>
          <w:p w14:paraId="59F23B03"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CCEC6B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r>
      <w:tr w:rsidR="00651526" w:rsidRPr="0053182F" w14:paraId="57EF93EB" w14:textId="77777777" w:rsidTr="00D20468">
        <w:trPr>
          <w:trHeight w:val="226"/>
        </w:trPr>
        <w:tc>
          <w:tcPr>
            <w:tcW w:w="504" w:type="dxa"/>
            <w:shd w:val="clear" w:color="auto" w:fill="FFFFFF" w:themeFill="background1"/>
            <w:noWrap/>
            <w:vAlign w:val="bottom"/>
            <w:hideMark/>
          </w:tcPr>
          <w:p w14:paraId="19126100"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711FF472"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Electronic Equipment &amp; Parts</w:t>
            </w:r>
          </w:p>
        </w:tc>
        <w:tc>
          <w:tcPr>
            <w:tcW w:w="1163" w:type="dxa"/>
            <w:shd w:val="clear" w:color="auto" w:fill="FFFFFF" w:themeFill="background1"/>
            <w:noWrap/>
            <w:vAlign w:val="center"/>
            <w:hideMark/>
          </w:tcPr>
          <w:p w14:paraId="71F1A32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bottom"/>
            <w:hideMark/>
          </w:tcPr>
          <w:p w14:paraId="5E0C5AF1"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1B09B8A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5EFE989E"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831C21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r>
      <w:tr w:rsidR="00651526" w:rsidRPr="0053182F" w14:paraId="24FA0745" w14:textId="77777777" w:rsidTr="00D20468">
        <w:trPr>
          <w:trHeight w:val="226"/>
        </w:trPr>
        <w:tc>
          <w:tcPr>
            <w:tcW w:w="504" w:type="dxa"/>
            <w:shd w:val="clear" w:color="auto" w:fill="FFFFFF" w:themeFill="background1"/>
            <w:noWrap/>
            <w:vAlign w:val="bottom"/>
            <w:hideMark/>
          </w:tcPr>
          <w:p w14:paraId="1D0A749E"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3528877F"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IT Services &amp; Consulting</w:t>
            </w:r>
          </w:p>
        </w:tc>
        <w:tc>
          <w:tcPr>
            <w:tcW w:w="1163" w:type="dxa"/>
            <w:shd w:val="clear" w:color="auto" w:fill="FFFFFF" w:themeFill="background1"/>
            <w:noWrap/>
            <w:vAlign w:val="center"/>
            <w:hideMark/>
          </w:tcPr>
          <w:p w14:paraId="6EE2F285"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933" w:type="dxa"/>
            <w:shd w:val="clear" w:color="auto" w:fill="FFFFFF" w:themeFill="background1"/>
            <w:noWrap/>
            <w:vAlign w:val="bottom"/>
            <w:hideMark/>
          </w:tcPr>
          <w:p w14:paraId="137EBAED"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7FD5CB1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134" w:type="dxa"/>
            <w:shd w:val="clear" w:color="auto" w:fill="FFFFFF" w:themeFill="background1"/>
            <w:noWrap/>
            <w:vAlign w:val="bottom"/>
            <w:hideMark/>
          </w:tcPr>
          <w:p w14:paraId="47DC5B7D"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BAE9E4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r>
      <w:tr w:rsidR="00651526" w:rsidRPr="0053182F" w14:paraId="541A073D" w14:textId="77777777" w:rsidTr="00D20468">
        <w:trPr>
          <w:trHeight w:val="226"/>
        </w:trPr>
        <w:tc>
          <w:tcPr>
            <w:tcW w:w="504" w:type="dxa"/>
            <w:shd w:val="clear" w:color="auto" w:fill="FFFFFF" w:themeFill="background1"/>
            <w:noWrap/>
            <w:vAlign w:val="bottom"/>
            <w:hideMark/>
          </w:tcPr>
          <w:p w14:paraId="26F5AC06"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39D5205F"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Phones &amp; Handheld Devices</w:t>
            </w:r>
          </w:p>
        </w:tc>
        <w:tc>
          <w:tcPr>
            <w:tcW w:w="1163" w:type="dxa"/>
            <w:shd w:val="clear" w:color="auto" w:fill="FFFFFF" w:themeFill="background1"/>
            <w:noWrap/>
            <w:vAlign w:val="center"/>
            <w:hideMark/>
          </w:tcPr>
          <w:p w14:paraId="4047AD3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bottom"/>
            <w:hideMark/>
          </w:tcPr>
          <w:p w14:paraId="18CCBC26"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015AB4E2"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134" w:type="dxa"/>
            <w:shd w:val="clear" w:color="auto" w:fill="FFFFFF" w:themeFill="background1"/>
            <w:noWrap/>
            <w:vAlign w:val="bottom"/>
            <w:hideMark/>
          </w:tcPr>
          <w:p w14:paraId="0FD9E2A0"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4D7C12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r>
      <w:tr w:rsidR="00651526" w:rsidRPr="0053182F" w14:paraId="7883B407" w14:textId="77777777" w:rsidTr="00D20468">
        <w:trPr>
          <w:trHeight w:val="226"/>
        </w:trPr>
        <w:tc>
          <w:tcPr>
            <w:tcW w:w="504" w:type="dxa"/>
            <w:shd w:val="clear" w:color="auto" w:fill="FFFFFF" w:themeFill="background1"/>
            <w:noWrap/>
            <w:vAlign w:val="bottom"/>
            <w:hideMark/>
          </w:tcPr>
          <w:p w14:paraId="0594A058"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31D7FE6D"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Semiconductors</w:t>
            </w:r>
          </w:p>
        </w:tc>
        <w:tc>
          <w:tcPr>
            <w:tcW w:w="1163" w:type="dxa"/>
            <w:shd w:val="clear" w:color="auto" w:fill="FFFFFF" w:themeFill="background1"/>
            <w:noWrap/>
            <w:vAlign w:val="center"/>
            <w:hideMark/>
          </w:tcPr>
          <w:p w14:paraId="464866C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933" w:type="dxa"/>
            <w:shd w:val="clear" w:color="auto" w:fill="FFFFFF" w:themeFill="background1"/>
            <w:noWrap/>
            <w:vAlign w:val="bottom"/>
            <w:hideMark/>
          </w:tcPr>
          <w:p w14:paraId="629AB4B5" w14:textId="77777777" w:rsidR="00651526" w:rsidRPr="0053182F" w:rsidRDefault="00651526" w:rsidP="00D20468">
            <w:pPr>
              <w:spacing w:after="0" w:line="240" w:lineRule="auto"/>
              <w:jc w:val="center"/>
              <w:rPr>
                <w:rFonts w:eastAsia="Times New Roman"/>
                <w:lang w:eastAsia="en-GB"/>
              </w:rPr>
            </w:pPr>
          </w:p>
        </w:tc>
        <w:tc>
          <w:tcPr>
            <w:tcW w:w="1056" w:type="dxa"/>
            <w:gridSpan w:val="2"/>
            <w:shd w:val="clear" w:color="auto" w:fill="FFFFFF" w:themeFill="background1"/>
            <w:noWrap/>
            <w:vAlign w:val="center"/>
            <w:hideMark/>
          </w:tcPr>
          <w:p w14:paraId="64135F3D"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1134" w:type="dxa"/>
            <w:shd w:val="clear" w:color="auto" w:fill="FFFFFF" w:themeFill="background1"/>
            <w:noWrap/>
            <w:vAlign w:val="bottom"/>
            <w:hideMark/>
          </w:tcPr>
          <w:p w14:paraId="56399F0B"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B975AC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r>
      <w:tr w:rsidR="00651526" w:rsidRPr="0053182F" w14:paraId="28B4FC35"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6F9E620F"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2A24BA7C"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Software</w:t>
            </w:r>
          </w:p>
        </w:tc>
        <w:tc>
          <w:tcPr>
            <w:tcW w:w="1163" w:type="dxa"/>
            <w:tcBorders>
              <w:top w:val="nil"/>
              <w:left w:val="nil"/>
              <w:bottom w:val="single" w:sz="8" w:space="0" w:color="auto"/>
              <w:right w:val="nil"/>
            </w:tcBorders>
            <w:shd w:val="clear" w:color="auto" w:fill="FFFFFF" w:themeFill="background1"/>
            <w:noWrap/>
            <w:vAlign w:val="center"/>
            <w:hideMark/>
          </w:tcPr>
          <w:p w14:paraId="5E12E33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933" w:type="dxa"/>
            <w:tcBorders>
              <w:top w:val="nil"/>
              <w:left w:val="nil"/>
              <w:bottom w:val="single" w:sz="8" w:space="0" w:color="auto"/>
              <w:right w:val="nil"/>
            </w:tcBorders>
            <w:shd w:val="clear" w:color="auto" w:fill="FFFFFF" w:themeFill="background1"/>
            <w:noWrap/>
            <w:vAlign w:val="bottom"/>
            <w:hideMark/>
          </w:tcPr>
          <w:p w14:paraId="15A3895A" w14:textId="77777777" w:rsidR="00651526" w:rsidRPr="0053182F" w:rsidRDefault="00651526" w:rsidP="00D20468">
            <w:pPr>
              <w:spacing w:after="0" w:line="240" w:lineRule="auto"/>
              <w:jc w:val="center"/>
              <w:rPr>
                <w:rFonts w:eastAsia="Times New Roman"/>
                <w:lang w:eastAsia="en-GB"/>
              </w:rPr>
            </w:pPr>
          </w:p>
        </w:tc>
        <w:tc>
          <w:tcPr>
            <w:tcW w:w="1056" w:type="dxa"/>
            <w:gridSpan w:val="2"/>
            <w:tcBorders>
              <w:top w:val="nil"/>
              <w:left w:val="nil"/>
              <w:bottom w:val="single" w:sz="8" w:space="0" w:color="auto"/>
              <w:right w:val="nil"/>
            </w:tcBorders>
            <w:shd w:val="clear" w:color="auto" w:fill="FFFFFF" w:themeFill="background1"/>
            <w:noWrap/>
            <w:vAlign w:val="center"/>
            <w:hideMark/>
          </w:tcPr>
          <w:p w14:paraId="3DD9096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134" w:type="dxa"/>
            <w:shd w:val="clear" w:color="auto" w:fill="FFFFFF" w:themeFill="background1"/>
            <w:noWrap/>
            <w:vAlign w:val="bottom"/>
            <w:hideMark/>
          </w:tcPr>
          <w:p w14:paraId="4A4A87BD"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84636E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r>
      <w:tr w:rsidR="00651526" w:rsidRPr="0053182F" w14:paraId="09A07D8C"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423C5140"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Materials</w:t>
            </w:r>
          </w:p>
        </w:tc>
        <w:tc>
          <w:tcPr>
            <w:tcW w:w="1163" w:type="dxa"/>
            <w:tcBorders>
              <w:top w:val="nil"/>
              <w:left w:val="nil"/>
              <w:bottom w:val="single" w:sz="8" w:space="0" w:color="auto"/>
              <w:right w:val="nil"/>
            </w:tcBorders>
            <w:shd w:val="clear" w:color="auto" w:fill="FFFFFF" w:themeFill="background1"/>
            <w:noWrap/>
            <w:vAlign w:val="center"/>
            <w:hideMark/>
          </w:tcPr>
          <w:p w14:paraId="1F05CF7B"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21</w:t>
            </w:r>
          </w:p>
        </w:tc>
        <w:tc>
          <w:tcPr>
            <w:tcW w:w="933" w:type="dxa"/>
            <w:tcBorders>
              <w:top w:val="nil"/>
              <w:left w:val="nil"/>
              <w:bottom w:val="single" w:sz="8" w:space="0" w:color="auto"/>
              <w:right w:val="nil"/>
            </w:tcBorders>
            <w:shd w:val="clear" w:color="auto" w:fill="FFFFFF" w:themeFill="background1"/>
            <w:noWrap/>
            <w:vAlign w:val="center"/>
            <w:hideMark/>
          </w:tcPr>
          <w:p w14:paraId="3CF5633F"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21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2CED3F41" w14:textId="77777777" w:rsidR="00651526" w:rsidRPr="0053182F" w:rsidRDefault="00651526" w:rsidP="00D20468">
            <w:pPr>
              <w:spacing w:after="0" w:line="240" w:lineRule="auto"/>
              <w:jc w:val="center"/>
              <w:rPr>
                <w:rFonts w:eastAsia="Times New Roman"/>
                <w:lang w:eastAsia="en-GB"/>
              </w:rPr>
            </w:pPr>
          </w:p>
        </w:tc>
        <w:tc>
          <w:tcPr>
            <w:tcW w:w="1134" w:type="dxa"/>
            <w:tcBorders>
              <w:top w:val="single" w:sz="8" w:space="0" w:color="000000" w:themeColor="text1"/>
              <w:left w:val="nil"/>
              <w:bottom w:val="single" w:sz="8" w:space="0" w:color="000000" w:themeColor="text1"/>
              <w:right w:val="nil"/>
            </w:tcBorders>
            <w:shd w:val="clear" w:color="auto" w:fill="FFFFFF" w:themeFill="background1"/>
            <w:noWrap/>
            <w:vAlign w:val="bottom"/>
            <w:hideMark/>
          </w:tcPr>
          <w:p w14:paraId="24A07283" w14:textId="77777777" w:rsidR="00651526" w:rsidRPr="0053182F" w:rsidRDefault="00651526" w:rsidP="00D20468">
            <w:pPr>
              <w:spacing w:after="0" w:line="240" w:lineRule="auto"/>
              <w:jc w:val="center"/>
              <w:rPr>
                <w:rFonts w:eastAsia="Times New Roman"/>
                <w:lang w:eastAsia="en-GB"/>
              </w:rPr>
            </w:pPr>
          </w:p>
        </w:tc>
        <w:tc>
          <w:tcPr>
            <w:tcW w:w="1134" w:type="dxa"/>
            <w:tcBorders>
              <w:top w:val="single" w:sz="8" w:space="0" w:color="000000" w:themeColor="text1"/>
              <w:left w:val="nil"/>
              <w:bottom w:val="single" w:sz="8" w:space="0" w:color="000000" w:themeColor="text1"/>
              <w:right w:val="nil"/>
            </w:tcBorders>
            <w:shd w:val="clear" w:color="auto" w:fill="FFFFFF" w:themeFill="background1"/>
            <w:noWrap/>
            <w:vAlign w:val="center"/>
            <w:hideMark/>
          </w:tcPr>
          <w:p w14:paraId="3A55D386"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21</w:t>
            </w:r>
          </w:p>
        </w:tc>
      </w:tr>
      <w:tr w:rsidR="00651526" w:rsidRPr="0053182F" w14:paraId="64B508AB" w14:textId="77777777" w:rsidTr="00D20468">
        <w:trPr>
          <w:trHeight w:val="226"/>
        </w:trPr>
        <w:tc>
          <w:tcPr>
            <w:tcW w:w="504" w:type="dxa"/>
            <w:shd w:val="clear" w:color="auto" w:fill="FFFFFF" w:themeFill="background1"/>
            <w:noWrap/>
            <w:vAlign w:val="bottom"/>
            <w:hideMark/>
          </w:tcPr>
          <w:p w14:paraId="6CFD0A5F"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283C64A"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Commodity Chemicals</w:t>
            </w:r>
          </w:p>
        </w:tc>
        <w:tc>
          <w:tcPr>
            <w:tcW w:w="1163" w:type="dxa"/>
            <w:shd w:val="clear" w:color="auto" w:fill="FFFFFF" w:themeFill="background1"/>
            <w:noWrap/>
            <w:vAlign w:val="center"/>
            <w:hideMark/>
          </w:tcPr>
          <w:p w14:paraId="545ACE6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4</w:t>
            </w:r>
          </w:p>
        </w:tc>
        <w:tc>
          <w:tcPr>
            <w:tcW w:w="933" w:type="dxa"/>
            <w:shd w:val="clear" w:color="auto" w:fill="FFFFFF" w:themeFill="background1"/>
            <w:noWrap/>
            <w:vAlign w:val="center"/>
            <w:hideMark/>
          </w:tcPr>
          <w:p w14:paraId="3AAC8D1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4</w:t>
            </w:r>
          </w:p>
        </w:tc>
        <w:tc>
          <w:tcPr>
            <w:tcW w:w="1056" w:type="dxa"/>
            <w:gridSpan w:val="2"/>
            <w:shd w:val="clear" w:color="auto" w:fill="FFFFFF" w:themeFill="background1"/>
            <w:noWrap/>
            <w:vAlign w:val="bottom"/>
            <w:hideMark/>
          </w:tcPr>
          <w:p w14:paraId="08ACD4F8"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6972D102"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74C92C4A"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4</w:t>
            </w:r>
          </w:p>
        </w:tc>
      </w:tr>
      <w:tr w:rsidR="00651526" w:rsidRPr="0053182F" w14:paraId="1E3B8F5D" w14:textId="77777777" w:rsidTr="00D20468">
        <w:trPr>
          <w:trHeight w:val="226"/>
        </w:trPr>
        <w:tc>
          <w:tcPr>
            <w:tcW w:w="504" w:type="dxa"/>
            <w:shd w:val="clear" w:color="auto" w:fill="FFFFFF" w:themeFill="background1"/>
            <w:noWrap/>
            <w:vAlign w:val="bottom"/>
            <w:hideMark/>
          </w:tcPr>
          <w:p w14:paraId="101A76A5"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62464858"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Construction Materials</w:t>
            </w:r>
          </w:p>
        </w:tc>
        <w:tc>
          <w:tcPr>
            <w:tcW w:w="1163" w:type="dxa"/>
            <w:shd w:val="clear" w:color="auto" w:fill="FFFFFF" w:themeFill="background1"/>
            <w:noWrap/>
            <w:vAlign w:val="center"/>
            <w:hideMark/>
          </w:tcPr>
          <w:p w14:paraId="3D523ED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933" w:type="dxa"/>
            <w:shd w:val="clear" w:color="auto" w:fill="FFFFFF" w:themeFill="background1"/>
            <w:noWrap/>
            <w:vAlign w:val="center"/>
            <w:hideMark/>
          </w:tcPr>
          <w:p w14:paraId="1741CD5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c>
          <w:tcPr>
            <w:tcW w:w="1056" w:type="dxa"/>
            <w:gridSpan w:val="2"/>
            <w:shd w:val="clear" w:color="auto" w:fill="FFFFFF" w:themeFill="background1"/>
            <w:noWrap/>
            <w:vAlign w:val="bottom"/>
            <w:hideMark/>
          </w:tcPr>
          <w:p w14:paraId="52707460"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3F2D6FED"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4D2BA3E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3</w:t>
            </w:r>
          </w:p>
        </w:tc>
      </w:tr>
      <w:tr w:rsidR="00651526" w:rsidRPr="0053182F" w14:paraId="3D39C4F5" w14:textId="77777777" w:rsidTr="00D20468">
        <w:trPr>
          <w:trHeight w:val="226"/>
        </w:trPr>
        <w:tc>
          <w:tcPr>
            <w:tcW w:w="504" w:type="dxa"/>
            <w:shd w:val="clear" w:color="auto" w:fill="FFFFFF" w:themeFill="background1"/>
            <w:noWrap/>
            <w:vAlign w:val="bottom"/>
            <w:hideMark/>
          </w:tcPr>
          <w:p w14:paraId="6DF7B055"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5234AD01"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Diversified Chemicals</w:t>
            </w:r>
          </w:p>
        </w:tc>
        <w:tc>
          <w:tcPr>
            <w:tcW w:w="1163" w:type="dxa"/>
            <w:shd w:val="clear" w:color="auto" w:fill="FFFFFF" w:themeFill="background1"/>
            <w:noWrap/>
            <w:vAlign w:val="center"/>
            <w:hideMark/>
          </w:tcPr>
          <w:p w14:paraId="49DDF09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62634936"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15FC8897"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410D8E2"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655D0947"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r>
      <w:tr w:rsidR="00651526" w:rsidRPr="0053182F" w14:paraId="556F19EE" w14:textId="77777777" w:rsidTr="00D20468">
        <w:trPr>
          <w:trHeight w:val="226"/>
        </w:trPr>
        <w:tc>
          <w:tcPr>
            <w:tcW w:w="504" w:type="dxa"/>
            <w:shd w:val="clear" w:color="auto" w:fill="FFFFFF" w:themeFill="background1"/>
            <w:noWrap/>
            <w:vAlign w:val="bottom"/>
            <w:hideMark/>
          </w:tcPr>
          <w:p w14:paraId="6C45AE83"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844CAAE"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Diversified Mining</w:t>
            </w:r>
          </w:p>
        </w:tc>
        <w:tc>
          <w:tcPr>
            <w:tcW w:w="1163" w:type="dxa"/>
            <w:shd w:val="clear" w:color="auto" w:fill="FFFFFF" w:themeFill="background1"/>
            <w:noWrap/>
            <w:vAlign w:val="center"/>
            <w:hideMark/>
          </w:tcPr>
          <w:p w14:paraId="12204F0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4</w:t>
            </w:r>
          </w:p>
        </w:tc>
        <w:tc>
          <w:tcPr>
            <w:tcW w:w="933" w:type="dxa"/>
            <w:shd w:val="clear" w:color="auto" w:fill="FFFFFF" w:themeFill="background1"/>
            <w:noWrap/>
            <w:vAlign w:val="center"/>
            <w:hideMark/>
          </w:tcPr>
          <w:p w14:paraId="7C85776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4</w:t>
            </w:r>
          </w:p>
        </w:tc>
        <w:tc>
          <w:tcPr>
            <w:tcW w:w="1056" w:type="dxa"/>
            <w:gridSpan w:val="2"/>
            <w:shd w:val="clear" w:color="auto" w:fill="FFFFFF" w:themeFill="background1"/>
            <w:noWrap/>
            <w:vAlign w:val="bottom"/>
            <w:hideMark/>
          </w:tcPr>
          <w:p w14:paraId="27423715"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3247EEEE"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CA5F32F"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4</w:t>
            </w:r>
          </w:p>
        </w:tc>
      </w:tr>
      <w:tr w:rsidR="00651526" w:rsidRPr="0053182F" w14:paraId="3C97730E" w14:textId="77777777" w:rsidTr="00D20468">
        <w:trPr>
          <w:trHeight w:val="226"/>
        </w:trPr>
        <w:tc>
          <w:tcPr>
            <w:tcW w:w="504" w:type="dxa"/>
            <w:shd w:val="clear" w:color="auto" w:fill="FFFFFF" w:themeFill="background1"/>
            <w:noWrap/>
            <w:vAlign w:val="bottom"/>
            <w:hideMark/>
          </w:tcPr>
          <w:p w14:paraId="2242A0B8"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711C83D7"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Iron &amp; Steel</w:t>
            </w:r>
          </w:p>
        </w:tc>
        <w:tc>
          <w:tcPr>
            <w:tcW w:w="1163" w:type="dxa"/>
            <w:shd w:val="clear" w:color="auto" w:fill="FFFFFF" w:themeFill="background1"/>
            <w:noWrap/>
            <w:vAlign w:val="center"/>
            <w:hideMark/>
          </w:tcPr>
          <w:p w14:paraId="6DFAB681"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933" w:type="dxa"/>
            <w:shd w:val="clear" w:color="auto" w:fill="FFFFFF" w:themeFill="background1"/>
            <w:noWrap/>
            <w:vAlign w:val="center"/>
            <w:hideMark/>
          </w:tcPr>
          <w:p w14:paraId="4638662E"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c>
          <w:tcPr>
            <w:tcW w:w="1056" w:type="dxa"/>
            <w:gridSpan w:val="2"/>
            <w:shd w:val="clear" w:color="auto" w:fill="FFFFFF" w:themeFill="background1"/>
            <w:noWrap/>
            <w:vAlign w:val="bottom"/>
            <w:hideMark/>
          </w:tcPr>
          <w:p w14:paraId="7CB4BB2A"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3C7D2CE6"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29304A1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7</w:t>
            </w:r>
          </w:p>
        </w:tc>
      </w:tr>
      <w:tr w:rsidR="00651526" w:rsidRPr="0053182F" w14:paraId="2AF7F213"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1925AEFD"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55B6DDA6"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Specialty Chemicals</w:t>
            </w:r>
          </w:p>
        </w:tc>
        <w:tc>
          <w:tcPr>
            <w:tcW w:w="1163" w:type="dxa"/>
            <w:tcBorders>
              <w:top w:val="nil"/>
              <w:left w:val="nil"/>
              <w:bottom w:val="single" w:sz="8" w:space="0" w:color="auto"/>
              <w:right w:val="nil"/>
            </w:tcBorders>
            <w:shd w:val="clear" w:color="auto" w:fill="FFFFFF" w:themeFill="background1"/>
            <w:noWrap/>
            <w:vAlign w:val="center"/>
            <w:hideMark/>
          </w:tcPr>
          <w:p w14:paraId="63621CE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45FC47A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7A54A04F"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1B96F914"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9DE29D8"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r>
      <w:tr w:rsidR="00651526" w:rsidRPr="0053182F" w14:paraId="6E0E0909"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050E9BFF" w14:textId="77777777" w:rsidR="00651526" w:rsidRPr="0053182F" w:rsidRDefault="00651526" w:rsidP="00D20468">
            <w:pPr>
              <w:spacing w:after="0" w:line="240" w:lineRule="auto"/>
              <w:jc w:val="both"/>
              <w:rPr>
                <w:rFonts w:eastAsia="Times New Roman"/>
                <w:b/>
                <w:bCs/>
                <w:i/>
                <w:iCs/>
                <w:sz w:val="18"/>
                <w:szCs w:val="18"/>
                <w:lang w:eastAsia="en-GB"/>
              </w:rPr>
            </w:pPr>
            <w:r w:rsidRPr="0053182F">
              <w:rPr>
                <w:rFonts w:eastAsia="Times New Roman"/>
                <w:b/>
                <w:bCs/>
                <w:i/>
                <w:iCs/>
                <w:sz w:val="18"/>
                <w:szCs w:val="18"/>
                <w:lang w:eastAsia="en-GB"/>
              </w:rPr>
              <w:t>Real Estate</w:t>
            </w:r>
          </w:p>
        </w:tc>
        <w:tc>
          <w:tcPr>
            <w:tcW w:w="1163" w:type="dxa"/>
            <w:tcBorders>
              <w:top w:val="nil"/>
              <w:left w:val="nil"/>
              <w:bottom w:val="single" w:sz="8" w:space="0" w:color="auto"/>
              <w:right w:val="nil"/>
            </w:tcBorders>
            <w:shd w:val="clear" w:color="auto" w:fill="FFFFFF" w:themeFill="background1"/>
            <w:noWrap/>
            <w:vAlign w:val="center"/>
            <w:hideMark/>
          </w:tcPr>
          <w:p w14:paraId="1C8337FE"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7107C125"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51899948" w14:textId="77777777" w:rsidR="00651526" w:rsidRPr="0053182F" w:rsidRDefault="00651526" w:rsidP="00D20468">
            <w:pPr>
              <w:spacing w:after="0" w:line="240" w:lineRule="auto"/>
              <w:jc w:val="center"/>
              <w:rPr>
                <w:rFonts w:eastAsia="Times New Roman"/>
                <w:lang w:eastAsia="en-GB"/>
              </w:rPr>
            </w:pPr>
          </w:p>
        </w:tc>
        <w:tc>
          <w:tcPr>
            <w:tcW w:w="1134" w:type="dxa"/>
            <w:tcBorders>
              <w:top w:val="single" w:sz="8" w:space="0" w:color="auto"/>
              <w:left w:val="nil"/>
              <w:bottom w:val="single" w:sz="8" w:space="0" w:color="auto"/>
              <w:right w:val="nil"/>
            </w:tcBorders>
            <w:shd w:val="clear" w:color="auto" w:fill="FFFFFF" w:themeFill="background1"/>
            <w:noWrap/>
            <w:vAlign w:val="center"/>
            <w:hideMark/>
          </w:tcPr>
          <w:p w14:paraId="26CA4E47"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1</w:t>
            </w:r>
          </w:p>
        </w:tc>
        <w:tc>
          <w:tcPr>
            <w:tcW w:w="1134" w:type="dxa"/>
            <w:tcBorders>
              <w:top w:val="single" w:sz="8" w:space="0" w:color="auto"/>
              <w:left w:val="nil"/>
              <w:bottom w:val="single" w:sz="8" w:space="0" w:color="auto"/>
              <w:right w:val="nil"/>
            </w:tcBorders>
            <w:shd w:val="clear" w:color="auto" w:fill="FFFFFF" w:themeFill="background1"/>
            <w:noWrap/>
            <w:vAlign w:val="bottom"/>
            <w:hideMark/>
          </w:tcPr>
          <w:p w14:paraId="3A29BB95" w14:textId="77777777" w:rsidR="00651526" w:rsidRPr="0053182F" w:rsidRDefault="00651526" w:rsidP="00D20468">
            <w:pPr>
              <w:spacing w:after="0" w:line="240" w:lineRule="auto"/>
              <w:jc w:val="center"/>
              <w:rPr>
                <w:rFonts w:eastAsia="Times New Roman"/>
                <w:lang w:eastAsia="en-GB"/>
              </w:rPr>
            </w:pPr>
          </w:p>
        </w:tc>
      </w:tr>
      <w:tr w:rsidR="00651526" w:rsidRPr="0053182F" w14:paraId="570D762B"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2B7D8A2B"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0A2A5CAE"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Homebuilding</w:t>
            </w:r>
          </w:p>
        </w:tc>
        <w:tc>
          <w:tcPr>
            <w:tcW w:w="1163" w:type="dxa"/>
            <w:tcBorders>
              <w:top w:val="nil"/>
              <w:left w:val="nil"/>
              <w:bottom w:val="single" w:sz="8" w:space="0" w:color="auto"/>
              <w:right w:val="nil"/>
            </w:tcBorders>
            <w:shd w:val="clear" w:color="auto" w:fill="FFFFFF" w:themeFill="background1"/>
            <w:noWrap/>
            <w:vAlign w:val="center"/>
            <w:hideMark/>
          </w:tcPr>
          <w:p w14:paraId="1632368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933" w:type="dxa"/>
            <w:tcBorders>
              <w:top w:val="nil"/>
              <w:left w:val="nil"/>
              <w:bottom w:val="single" w:sz="8" w:space="0" w:color="auto"/>
              <w:right w:val="nil"/>
            </w:tcBorders>
            <w:shd w:val="clear" w:color="auto" w:fill="FFFFFF" w:themeFill="background1"/>
            <w:noWrap/>
            <w:vAlign w:val="center"/>
            <w:hideMark/>
          </w:tcPr>
          <w:p w14:paraId="1F61F504"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1</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0C01617D" w14:textId="77777777" w:rsidR="00651526" w:rsidRPr="0053182F" w:rsidRDefault="00651526" w:rsidP="00D20468">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center"/>
            <w:hideMark/>
          </w:tcPr>
          <w:p w14:paraId="2C05B361"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1</w:t>
            </w:r>
          </w:p>
        </w:tc>
        <w:tc>
          <w:tcPr>
            <w:tcW w:w="1134" w:type="dxa"/>
            <w:tcBorders>
              <w:top w:val="nil"/>
              <w:left w:val="nil"/>
              <w:bottom w:val="single" w:sz="8" w:space="0" w:color="auto"/>
              <w:right w:val="nil"/>
            </w:tcBorders>
            <w:shd w:val="clear" w:color="auto" w:fill="FFFFFF" w:themeFill="background1"/>
            <w:noWrap/>
            <w:vAlign w:val="bottom"/>
            <w:hideMark/>
          </w:tcPr>
          <w:p w14:paraId="71BF6834" w14:textId="77777777" w:rsidR="00651526" w:rsidRPr="0053182F" w:rsidRDefault="00651526" w:rsidP="00D20468">
            <w:pPr>
              <w:spacing w:after="0" w:line="240" w:lineRule="auto"/>
              <w:jc w:val="center"/>
              <w:rPr>
                <w:rFonts w:eastAsia="Times New Roman"/>
                <w:lang w:eastAsia="en-GB"/>
              </w:rPr>
            </w:pPr>
          </w:p>
        </w:tc>
      </w:tr>
      <w:tr w:rsidR="00651526" w:rsidRPr="0053182F" w14:paraId="3C707DFE" w14:textId="77777777" w:rsidTr="00D20468">
        <w:trPr>
          <w:trHeight w:val="226"/>
        </w:trPr>
        <w:tc>
          <w:tcPr>
            <w:tcW w:w="4351" w:type="dxa"/>
            <w:gridSpan w:val="3"/>
            <w:tcBorders>
              <w:top w:val="single" w:sz="8" w:space="0" w:color="auto"/>
              <w:left w:val="nil"/>
              <w:bottom w:val="single" w:sz="8" w:space="0" w:color="auto"/>
              <w:right w:val="nil"/>
            </w:tcBorders>
            <w:shd w:val="clear" w:color="auto" w:fill="FFFFFF" w:themeFill="background1"/>
            <w:noWrap/>
            <w:vAlign w:val="center"/>
            <w:hideMark/>
          </w:tcPr>
          <w:p w14:paraId="3A7B4363" w14:textId="77777777" w:rsidR="00651526" w:rsidRPr="0053182F" w:rsidRDefault="00651526" w:rsidP="00D20468">
            <w:pPr>
              <w:spacing w:after="0" w:line="240" w:lineRule="auto"/>
              <w:jc w:val="both"/>
              <w:rPr>
                <w:rFonts w:eastAsia="Times New Roman"/>
                <w:b/>
                <w:bCs/>
                <w:i/>
                <w:iCs/>
                <w:sz w:val="18"/>
                <w:szCs w:val="18"/>
                <w:lang w:eastAsia="en-GB"/>
              </w:rPr>
            </w:pPr>
            <w:r w:rsidRPr="0053182F">
              <w:rPr>
                <w:rFonts w:eastAsia="Times New Roman"/>
                <w:b/>
                <w:bCs/>
                <w:i/>
                <w:iCs/>
                <w:sz w:val="18"/>
                <w:szCs w:val="18"/>
                <w:lang w:eastAsia="en-GB"/>
              </w:rPr>
              <w:t>Utilities</w:t>
            </w:r>
          </w:p>
        </w:tc>
        <w:tc>
          <w:tcPr>
            <w:tcW w:w="1163" w:type="dxa"/>
            <w:tcBorders>
              <w:top w:val="nil"/>
              <w:left w:val="nil"/>
              <w:bottom w:val="single" w:sz="8" w:space="0" w:color="auto"/>
              <w:right w:val="nil"/>
            </w:tcBorders>
            <w:shd w:val="clear" w:color="auto" w:fill="FFFFFF" w:themeFill="background1"/>
            <w:noWrap/>
            <w:vAlign w:val="center"/>
            <w:hideMark/>
          </w:tcPr>
          <w:p w14:paraId="25D4F8CB"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7</w:t>
            </w:r>
          </w:p>
        </w:tc>
        <w:tc>
          <w:tcPr>
            <w:tcW w:w="933" w:type="dxa"/>
            <w:tcBorders>
              <w:top w:val="nil"/>
              <w:left w:val="nil"/>
              <w:bottom w:val="single" w:sz="8" w:space="0" w:color="auto"/>
              <w:right w:val="nil"/>
            </w:tcBorders>
            <w:shd w:val="clear" w:color="auto" w:fill="FFFFFF" w:themeFill="background1"/>
            <w:noWrap/>
            <w:vAlign w:val="center"/>
            <w:hideMark/>
          </w:tcPr>
          <w:p w14:paraId="765956B0"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7</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5C5FA110" w14:textId="77777777" w:rsidR="00651526" w:rsidRPr="0053182F" w:rsidRDefault="00651526" w:rsidP="00D20468">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bottom"/>
            <w:hideMark/>
          </w:tcPr>
          <w:p w14:paraId="5BB2B7DB" w14:textId="77777777" w:rsidR="00651526" w:rsidRPr="0053182F" w:rsidRDefault="00651526" w:rsidP="00D20468">
            <w:pPr>
              <w:spacing w:after="0" w:line="240" w:lineRule="auto"/>
              <w:jc w:val="center"/>
              <w:rPr>
                <w:rFonts w:eastAsia="Times New Roman"/>
                <w:lang w:eastAsia="en-GB"/>
              </w:rPr>
            </w:pPr>
          </w:p>
        </w:tc>
        <w:tc>
          <w:tcPr>
            <w:tcW w:w="1134" w:type="dxa"/>
            <w:tcBorders>
              <w:top w:val="nil"/>
              <w:left w:val="nil"/>
              <w:bottom w:val="single" w:sz="8" w:space="0" w:color="auto"/>
              <w:right w:val="nil"/>
            </w:tcBorders>
            <w:shd w:val="clear" w:color="auto" w:fill="FFFFFF" w:themeFill="background1"/>
            <w:noWrap/>
            <w:vAlign w:val="center"/>
            <w:hideMark/>
          </w:tcPr>
          <w:p w14:paraId="72442C9D" w14:textId="77777777" w:rsidR="00651526" w:rsidRPr="0053182F" w:rsidRDefault="00651526" w:rsidP="00D20468">
            <w:pPr>
              <w:spacing w:after="0" w:line="240" w:lineRule="auto"/>
              <w:jc w:val="center"/>
              <w:rPr>
                <w:rFonts w:eastAsia="Times New Roman"/>
                <w:b/>
                <w:bCs/>
                <w:i/>
                <w:iCs/>
                <w:sz w:val="18"/>
                <w:szCs w:val="18"/>
                <w:lang w:eastAsia="en-GB"/>
              </w:rPr>
            </w:pPr>
            <w:r w:rsidRPr="0053182F">
              <w:rPr>
                <w:rFonts w:eastAsia="Times New Roman"/>
                <w:b/>
                <w:bCs/>
                <w:i/>
                <w:iCs/>
                <w:sz w:val="18"/>
                <w:szCs w:val="18"/>
                <w:lang w:eastAsia="en-GB"/>
              </w:rPr>
              <w:t>7</w:t>
            </w:r>
          </w:p>
        </w:tc>
      </w:tr>
      <w:tr w:rsidR="00651526" w:rsidRPr="0053182F" w14:paraId="0AFF3D46" w14:textId="77777777" w:rsidTr="00D20468">
        <w:trPr>
          <w:trHeight w:val="226"/>
        </w:trPr>
        <w:tc>
          <w:tcPr>
            <w:tcW w:w="504" w:type="dxa"/>
            <w:shd w:val="clear" w:color="auto" w:fill="FFFFFF" w:themeFill="background1"/>
            <w:noWrap/>
            <w:vAlign w:val="bottom"/>
            <w:hideMark/>
          </w:tcPr>
          <w:p w14:paraId="429E55F6"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shd w:val="clear" w:color="auto" w:fill="FFFFFF" w:themeFill="background1"/>
            <w:noWrap/>
            <w:vAlign w:val="center"/>
            <w:hideMark/>
          </w:tcPr>
          <w:p w14:paraId="4F548C4B"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Electric Utilities</w:t>
            </w:r>
          </w:p>
        </w:tc>
        <w:tc>
          <w:tcPr>
            <w:tcW w:w="1163" w:type="dxa"/>
            <w:shd w:val="clear" w:color="auto" w:fill="FFFFFF" w:themeFill="background1"/>
            <w:noWrap/>
            <w:vAlign w:val="center"/>
            <w:hideMark/>
          </w:tcPr>
          <w:p w14:paraId="7996EF7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933" w:type="dxa"/>
            <w:shd w:val="clear" w:color="auto" w:fill="FFFFFF" w:themeFill="background1"/>
            <w:noWrap/>
            <w:vAlign w:val="center"/>
            <w:hideMark/>
          </w:tcPr>
          <w:p w14:paraId="2E6E6AE0"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c>
          <w:tcPr>
            <w:tcW w:w="1056" w:type="dxa"/>
            <w:gridSpan w:val="2"/>
            <w:shd w:val="clear" w:color="auto" w:fill="FFFFFF" w:themeFill="background1"/>
            <w:noWrap/>
            <w:vAlign w:val="bottom"/>
            <w:hideMark/>
          </w:tcPr>
          <w:p w14:paraId="5D06CC8B"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68E1E109"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3C830FBB"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2</w:t>
            </w:r>
          </w:p>
        </w:tc>
      </w:tr>
      <w:tr w:rsidR="00651526" w:rsidRPr="0053182F" w14:paraId="4E92A027" w14:textId="77777777" w:rsidTr="00D20468">
        <w:trPr>
          <w:trHeight w:val="226"/>
        </w:trPr>
        <w:tc>
          <w:tcPr>
            <w:tcW w:w="504" w:type="dxa"/>
            <w:tcBorders>
              <w:top w:val="nil"/>
              <w:left w:val="nil"/>
              <w:bottom w:val="single" w:sz="8" w:space="0" w:color="auto"/>
              <w:right w:val="nil"/>
            </w:tcBorders>
            <w:shd w:val="clear" w:color="auto" w:fill="FFFFFF" w:themeFill="background1"/>
            <w:noWrap/>
            <w:vAlign w:val="bottom"/>
            <w:hideMark/>
          </w:tcPr>
          <w:p w14:paraId="7CDE4CB7" w14:textId="77777777" w:rsidR="00651526" w:rsidRPr="0053182F" w:rsidRDefault="00651526" w:rsidP="00D20468">
            <w:pPr>
              <w:spacing w:after="0" w:line="240" w:lineRule="auto"/>
              <w:jc w:val="both"/>
              <w:rPr>
                <w:rFonts w:eastAsia="Times New Roman"/>
                <w:lang w:eastAsia="en-GB"/>
              </w:rPr>
            </w:pPr>
            <w:r w:rsidRPr="0053182F">
              <w:rPr>
                <w:rFonts w:eastAsia="Times New Roman"/>
                <w:lang w:eastAsia="en-GB"/>
              </w:rPr>
              <w:t> </w:t>
            </w:r>
          </w:p>
        </w:tc>
        <w:tc>
          <w:tcPr>
            <w:tcW w:w="3847" w:type="dxa"/>
            <w:gridSpan w:val="2"/>
            <w:tcBorders>
              <w:top w:val="nil"/>
              <w:left w:val="nil"/>
              <w:bottom w:val="single" w:sz="8" w:space="0" w:color="auto"/>
              <w:right w:val="nil"/>
            </w:tcBorders>
            <w:shd w:val="clear" w:color="auto" w:fill="FFFFFF" w:themeFill="background1"/>
            <w:noWrap/>
            <w:vAlign w:val="center"/>
            <w:hideMark/>
          </w:tcPr>
          <w:p w14:paraId="773201B6" w14:textId="77777777" w:rsidR="00651526" w:rsidRPr="0053182F" w:rsidRDefault="00651526" w:rsidP="00D20468">
            <w:pPr>
              <w:spacing w:after="0" w:line="240" w:lineRule="auto"/>
              <w:jc w:val="both"/>
              <w:rPr>
                <w:rFonts w:eastAsia="Times New Roman"/>
                <w:sz w:val="18"/>
                <w:szCs w:val="18"/>
                <w:lang w:eastAsia="en-GB"/>
              </w:rPr>
            </w:pPr>
            <w:r w:rsidRPr="0053182F">
              <w:rPr>
                <w:rFonts w:eastAsia="Times New Roman"/>
                <w:sz w:val="18"/>
                <w:szCs w:val="18"/>
                <w:lang w:eastAsia="en-GB"/>
              </w:rPr>
              <w:t>Multiline Utilities</w:t>
            </w:r>
          </w:p>
        </w:tc>
        <w:tc>
          <w:tcPr>
            <w:tcW w:w="1163" w:type="dxa"/>
            <w:tcBorders>
              <w:top w:val="nil"/>
              <w:left w:val="nil"/>
              <w:bottom w:val="single" w:sz="8" w:space="0" w:color="auto"/>
              <w:right w:val="nil"/>
            </w:tcBorders>
            <w:shd w:val="clear" w:color="auto" w:fill="FFFFFF" w:themeFill="background1"/>
            <w:noWrap/>
            <w:vAlign w:val="center"/>
            <w:hideMark/>
          </w:tcPr>
          <w:p w14:paraId="54789F6C"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933" w:type="dxa"/>
            <w:tcBorders>
              <w:top w:val="nil"/>
              <w:left w:val="nil"/>
              <w:bottom w:val="single" w:sz="8" w:space="0" w:color="auto"/>
              <w:right w:val="nil"/>
            </w:tcBorders>
            <w:shd w:val="clear" w:color="auto" w:fill="FFFFFF" w:themeFill="background1"/>
            <w:noWrap/>
            <w:vAlign w:val="center"/>
            <w:hideMark/>
          </w:tcPr>
          <w:p w14:paraId="3288D943"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c>
          <w:tcPr>
            <w:tcW w:w="1056" w:type="dxa"/>
            <w:gridSpan w:val="2"/>
            <w:tcBorders>
              <w:top w:val="nil"/>
              <w:left w:val="nil"/>
              <w:bottom w:val="single" w:sz="8" w:space="0" w:color="auto"/>
              <w:right w:val="nil"/>
            </w:tcBorders>
            <w:shd w:val="clear" w:color="auto" w:fill="FFFFFF" w:themeFill="background1"/>
            <w:noWrap/>
            <w:vAlign w:val="bottom"/>
            <w:hideMark/>
          </w:tcPr>
          <w:p w14:paraId="4703AFD0"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bottom"/>
            <w:hideMark/>
          </w:tcPr>
          <w:p w14:paraId="737C9B8C" w14:textId="77777777" w:rsidR="00651526" w:rsidRPr="0053182F" w:rsidRDefault="00651526" w:rsidP="00D20468">
            <w:pPr>
              <w:spacing w:after="0" w:line="240" w:lineRule="auto"/>
              <w:jc w:val="center"/>
              <w:rPr>
                <w:rFonts w:eastAsia="Times New Roman"/>
                <w:lang w:eastAsia="en-GB"/>
              </w:rPr>
            </w:pPr>
          </w:p>
        </w:tc>
        <w:tc>
          <w:tcPr>
            <w:tcW w:w="1134" w:type="dxa"/>
            <w:shd w:val="clear" w:color="auto" w:fill="FFFFFF" w:themeFill="background1"/>
            <w:noWrap/>
            <w:vAlign w:val="center"/>
            <w:hideMark/>
          </w:tcPr>
          <w:p w14:paraId="0E6833A9" w14:textId="77777777" w:rsidR="00651526" w:rsidRPr="0053182F" w:rsidRDefault="00651526" w:rsidP="00D20468">
            <w:pPr>
              <w:spacing w:after="0" w:line="240" w:lineRule="auto"/>
              <w:jc w:val="center"/>
              <w:rPr>
                <w:rFonts w:eastAsia="Times New Roman"/>
                <w:sz w:val="18"/>
                <w:szCs w:val="18"/>
                <w:lang w:eastAsia="en-GB"/>
              </w:rPr>
            </w:pPr>
            <w:r w:rsidRPr="0053182F">
              <w:rPr>
                <w:rFonts w:eastAsia="Times New Roman"/>
                <w:sz w:val="18"/>
                <w:szCs w:val="18"/>
                <w:lang w:eastAsia="en-GB"/>
              </w:rPr>
              <w:t>5</w:t>
            </w:r>
          </w:p>
        </w:tc>
      </w:tr>
      <w:tr w:rsidR="00651526" w:rsidRPr="0053182F" w14:paraId="372E72F0" w14:textId="77777777" w:rsidTr="00D20468">
        <w:trPr>
          <w:trHeight w:val="226"/>
        </w:trPr>
        <w:tc>
          <w:tcPr>
            <w:tcW w:w="4351" w:type="dxa"/>
            <w:gridSpan w:val="3"/>
            <w:tcBorders>
              <w:top w:val="single" w:sz="8" w:space="0" w:color="auto"/>
              <w:left w:val="nil"/>
              <w:bottom w:val="single" w:sz="4" w:space="0" w:color="auto"/>
              <w:right w:val="nil"/>
            </w:tcBorders>
            <w:shd w:val="clear" w:color="auto" w:fill="FFFFFF" w:themeFill="background1"/>
            <w:noWrap/>
            <w:vAlign w:val="center"/>
            <w:hideMark/>
          </w:tcPr>
          <w:p w14:paraId="6A16D620" w14:textId="77777777" w:rsidR="00651526" w:rsidRPr="0053182F" w:rsidRDefault="00651526" w:rsidP="00D20468">
            <w:pPr>
              <w:spacing w:after="0" w:line="240" w:lineRule="auto"/>
              <w:jc w:val="both"/>
              <w:rPr>
                <w:rFonts w:eastAsia="Times New Roman"/>
                <w:b/>
                <w:bCs/>
                <w:sz w:val="18"/>
                <w:szCs w:val="18"/>
                <w:lang w:eastAsia="en-GB"/>
              </w:rPr>
            </w:pPr>
            <w:r w:rsidRPr="0053182F">
              <w:rPr>
                <w:rFonts w:eastAsia="Times New Roman"/>
                <w:b/>
                <w:bCs/>
                <w:sz w:val="18"/>
                <w:szCs w:val="18"/>
                <w:lang w:eastAsia="en-GB"/>
              </w:rPr>
              <w:t>Total number of Companies</w:t>
            </w:r>
          </w:p>
        </w:tc>
        <w:tc>
          <w:tcPr>
            <w:tcW w:w="1163" w:type="dxa"/>
            <w:tcBorders>
              <w:top w:val="nil"/>
              <w:left w:val="nil"/>
              <w:bottom w:val="single" w:sz="4" w:space="0" w:color="auto"/>
              <w:right w:val="nil"/>
            </w:tcBorders>
            <w:shd w:val="clear" w:color="auto" w:fill="FFFFFF" w:themeFill="background1"/>
            <w:noWrap/>
            <w:vAlign w:val="center"/>
            <w:hideMark/>
          </w:tcPr>
          <w:p w14:paraId="0921814A"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255</w:t>
            </w:r>
          </w:p>
        </w:tc>
        <w:tc>
          <w:tcPr>
            <w:tcW w:w="933" w:type="dxa"/>
            <w:tcBorders>
              <w:top w:val="nil"/>
              <w:left w:val="nil"/>
              <w:bottom w:val="single" w:sz="4" w:space="0" w:color="auto"/>
              <w:right w:val="nil"/>
            </w:tcBorders>
            <w:shd w:val="clear" w:color="auto" w:fill="FFFFFF" w:themeFill="background1"/>
            <w:noWrap/>
            <w:vAlign w:val="center"/>
            <w:hideMark/>
          </w:tcPr>
          <w:p w14:paraId="6569AA6E"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186</w:t>
            </w:r>
          </w:p>
        </w:tc>
        <w:tc>
          <w:tcPr>
            <w:tcW w:w="1056" w:type="dxa"/>
            <w:gridSpan w:val="2"/>
            <w:tcBorders>
              <w:top w:val="nil"/>
              <w:left w:val="nil"/>
              <w:bottom w:val="single" w:sz="4" w:space="0" w:color="auto"/>
              <w:right w:val="nil"/>
            </w:tcBorders>
            <w:shd w:val="clear" w:color="auto" w:fill="FFFFFF" w:themeFill="background1"/>
            <w:noWrap/>
            <w:vAlign w:val="center"/>
            <w:hideMark/>
          </w:tcPr>
          <w:p w14:paraId="21BC20CB"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69</w:t>
            </w:r>
          </w:p>
        </w:tc>
        <w:tc>
          <w:tcPr>
            <w:tcW w:w="1134" w:type="dxa"/>
            <w:tcBorders>
              <w:top w:val="single" w:sz="8" w:space="0" w:color="auto"/>
              <w:left w:val="nil"/>
              <w:bottom w:val="single" w:sz="4" w:space="0" w:color="auto"/>
              <w:right w:val="nil"/>
            </w:tcBorders>
            <w:shd w:val="clear" w:color="auto" w:fill="FFFFFF" w:themeFill="background1"/>
            <w:noWrap/>
            <w:vAlign w:val="center"/>
            <w:hideMark/>
          </w:tcPr>
          <w:p w14:paraId="4942D5A0"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71</w:t>
            </w:r>
          </w:p>
        </w:tc>
        <w:tc>
          <w:tcPr>
            <w:tcW w:w="1134" w:type="dxa"/>
            <w:tcBorders>
              <w:top w:val="single" w:sz="8" w:space="0" w:color="auto"/>
              <w:left w:val="nil"/>
              <w:bottom w:val="single" w:sz="4" w:space="0" w:color="auto"/>
              <w:right w:val="nil"/>
            </w:tcBorders>
            <w:shd w:val="clear" w:color="auto" w:fill="FFFFFF" w:themeFill="background1"/>
            <w:noWrap/>
            <w:vAlign w:val="center"/>
            <w:hideMark/>
          </w:tcPr>
          <w:p w14:paraId="240A38B6" w14:textId="77777777" w:rsidR="00651526" w:rsidRPr="0053182F" w:rsidRDefault="00651526" w:rsidP="00D20468">
            <w:pPr>
              <w:spacing w:after="0" w:line="240" w:lineRule="auto"/>
              <w:jc w:val="center"/>
              <w:rPr>
                <w:rFonts w:eastAsia="Times New Roman"/>
                <w:b/>
                <w:bCs/>
                <w:sz w:val="18"/>
                <w:szCs w:val="18"/>
                <w:lang w:eastAsia="en-GB"/>
              </w:rPr>
            </w:pPr>
            <w:r w:rsidRPr="0053182F">
              <w:rPr>
                <w:rFonts w:eastAsia="Times New Roman"/>
                <w:b/>
                <w:bCs/>
                <w:sz w:val="18"/>
                <w:szCs w:val="18"/>
                <w:lang w:eastAsia="en-GB"/>
              </w:rPr>
              <w:t>184</w:t>
            </w:r>
          </w:p>
        </w:tc>
      </w:tr>
    </w:tbl>
    <w:p w14:paraId="0BFC2C58" w14:textId="77777777" w:rsidR="00651526" w:rsidRPr="0053182F" w:rsidRDefault="00651526" w:rsidP="00651526">
      <w:pPr>
        <w:spacing w:after="0" w:line="240" w:lineRule="auto"/>
        <w:jc w:val="both"/>
        <w:rPr>
          <w:sz w:val="21"/>
          <w:szCs w:val="21"/>
        </w:rPr>
      </w:pPr>
      <w:r w:rsidRPr="0053182F">
        <w:rPr>
          <w:b/>
          <w:bCs/>
          <w:sz w:val="21"/>
          <w:szCs w:val="21"/>
        </w:rPr>
        <w:t>Source (s):</w:t>
      </w:r>
      <w:r w:rsidRPr="0053182F">
        <w:rPr>
          <w:sz w:val="21"/>
          <w:szCs w:val="21"/>
        </w:rPr>
        <w:t xml:space="preserve"> Author's own work</w:t>
      </w:r>
    </w:p>
    <w:p w14:paraId="2DE3785D" w14:textId="77777777" w:rsidR="00E03636" w:rsidRDefault="00E03636" w:rsidP="00651526">
      <w:pPr>
        <w:pStyle w:val="Heading2"/>
        <w:rPr>
          <w:rStyle w:val="Strong"/>
          <w:b/>
        </w:rPr>
      </w:pPr>
      <w:bookmarkStart w:id="376" w:name="_Toc215651888"/>
      <w:bookmarkStart w:id="377" w:name="_Toc216557288"/>
      <w:bookmarkStart w:id="378" w:name="_Toc218357178"/>
    </w:p>
    <w:p w14:paraId="643DE690" w14:textId="6F51BD99" w:rsidR="00651526" w:rsidRPr="0053182F" w:rsidRDefault="00651526" w:rsidP="00651526">
      <w:pPr>
        <w:pStyle w:val="Heading2"/>
        <w:rPr>
          <w:rStyle w:val="Strong"/>
          <w:bCs/>
        </w:rPr>
      </w:pPr>
      <w:r w:rsidRPr="0053182F">
        <w:rPr>
          <w:rStyle w:val="Strong"/>
          <w:b/>
        </w:rPr>
        <w:t>7.9 Definitions of variables</w:t>
      </w:r>
      <w:bookmarkEnd w:id="376"/>
      <w:bookmarkEnd w:id="377"/>
      <w:bookmarkEnd w:id="378"/>
    </w:p>
    <w:p w14:paraId="35C2FDCD" w14:textId="77777777" w:rsidR="00651526" w:rsidRPr="0053182F" w:rsidRDefault="00651526" w:rsidP="00651526">
      <w:pPr>
        <w:spacing w:line="480" w:lineRule="auto"/>
        <w:rPr>
          <w:rStyle w:val="Strong"/>
          <w:rFonts w:eastAsia="Times New Roman"/>
          <w:b w:val="0"/>
          <w:bCs w:val="0"/>
        </w:rPr>
      </w:pPr>
      <w:r w:rsidRPr="0053182F">
        <w:rPr>
          <w:rStyle w:val="Strong"/>
          <w:rFonts w:eastAsia="Times New Roman"/>
          <w:b w:val="0"/>
          <w:bCs w:val="0"/>
        </w:rPr>
        <w:t>Table 7.7 presents the definitions of the variables.</w:t>
      </w:r>
    </w:p>
    <w:p w14:paraId="148F72FF" w14:textId="77777777" w:rsidR="00651526" w:rsidRPr="0053182F" w:rsidRDefault="00651526" w:rsidP="00651526">
      <w:pPr>
        <w:spacing w:after="0" w:line="480" w:lineRule="auto"/>
        <w:rPr>
          <w:rStyle w:val="Strong"/>
          <w:rFonts w:eastAsia="Times New Roman"/>
          <w:b w:val="0"/>
          <w:bCs w:val="0"/>
        </w:rPr>
      </w:pPr>
      <w:r w:rsidRPr="0053182F">
        <w:rPr>
          <w:rStyle w:val="Strong"/>
          <w:rFonts w:eastAsia="Times New Roman"/>
        </w:rPr>
        <w:t xml:space="preserve">Table 7.7: </w:t>
      </w:r>
      <w:r w:rsidRPr="0053182F">
        <w:rPr>
          <w:rStyle w:val="Strong"/>
          <w:rFonts w:eastAsia="Times New Roman"/>
          <w:b w:val="0"/>
          <w:bCs w:val="0"/>
        </w:rPr>
        <w:t xml:space="preserve">Definition of components of ACMS </w:t>
      </w:r>
    </w:p>
    <w:tbl>
      <w:tblPr>
        <w:tblStyle w:val="TableGrid"/>
        <w:tblW w:w="9498" w:type="dxa"/>
        <w:tblLook w:val="04A0" w:firstRow="1" w:lastRow="0" w:firstColumn="1" w:lastColumn="0" w:noHBand="0" w:noVBand="1"/>
      </w:tblPr>
      <w:tblGrid>
        <w:gridCol w:w="1803"/>
        <w:gridCol w:w="1461"/>
        <w:gridCol w:w="6234"/>
      </w:tblGrid>
      <w:tr w:rsidR="00651526" w:rsidRPr="0053182F" w14:paraId="28AE84D3" w14:textId="77777777" w:rsidTr="00D20468">
        <w:trPr>
          <w:trHeight w:val="300"/>
        </w:trPr>
        <w:tc>
          <w:tcPr>
            <w:tcW w:w="9498" w:type="dxa"/>
            <w:gridSpan w:val="3"/>
            <w:tcBorders>
              <w:top w:val="single" w:sz="4" w:space="0" w:color="auto"/>
              <w:left w:val="nil"/>
              <w:bottom w:val="single" w:sz="4" w:space="0" w:color="auto"/>
              <w:right w:val="nil"/>
            </w:tcBorders>
            <w:hideMark/>
          </w:tcPr>
          <w:p w14:paraId="5E3B6C17" w14:textId="77777777" w:rsidR="00651526" w:rsidRPr="0053182F" w:rsidRDefault="00651526" w:rsidP="00D20468">
            <w:pPr>
              <w:jc w:val="center"/>
              <w:rPr>
                <w:rStyle w:val="Strong"/>
              </w:rPr>
            </w:pPr>
            <w:r w:rsidRPr="0053182F">
              <w:rPr>
                <w:rStyle w:val="Strong"/>
              </w:rPr>
              <w:t>Dependent Variable</w:t>
            </w:r>
          </w:p>
        </w:tc>
      </w:tr>
      <w:tr w:rsidR="00651526" w:rsidRPr="0053182F" w14:paraId="5657C90D" w14:textId="77777777" w:rsidTr="00D20468">
        <w:trPr>
          <w:trHeight w:val="300"/>
        </w:trPr>
        <w:tc>
          <w:tcPr>
            <w:tcW w:w="9498" w:type="dxa"/>
            <w:gridSpan w:val="3"/>
            <w:tcBorders>
              <w:top w:val="single" w:sz="4" w:space="0" w:color="auto"/>
              <w:left w:val="nil"/>
              <w:bottom w:val="single" w:sz="4" w:space="0" w:color="auto"/>
              <w:right w:val="nil"/>
            </w:tcBorders>
            <w:hideMark/>
          </w:tcPr>
          <w:p w14:paraId="4A2A5DA8" w14:textId="77777777" w:rsidR="00651526" w:rsidRPr="0053182F" w:rsidRDefault="00651526" w:rsidP="00D20468">
            <w:r w:rsidRPr="0053182F">
              <w:rPr>
                <w:rStyle w:val="Strong"/>
              </w:rPr>
              <w:t>Variable                Acronym</w:t>
            </w:r>
            <w:r w:rsidRPr="0053182F">
              <w:tab/>
            </w:r>
            <w:r w:rsidRPr="0053182F">
              <w:rPr>
                <w:rStyle w:val="Strong"/>
              </w:rPr>
              <w:t xml:space="preserve">                           Definition</w:t>
            </w:r>
          </w:p>
        </w:tc>
      </w:tr>
      <w:tr w:rsidR="00651526" w:rsidRPr="0053182F" w14:paraId="0384A6C3" w14:textId="77777777" w:rsidTr="00D20468">
        <w:trPr>
          <w:trHeight w:val="1192"/>
        </w:trPr>
        <w:tc>
          <w:tcPr>
            <w:tcW w:w="1803" w:type="dxa"/>
            <w:tcBorders>
              <w:top w:val="single" w:sz="4" w:space="0" w:color="auto"/>
              <w:left w:val="nil"/>
              <w:bottom w:val="nil"/>
              <w:right w:val="nil"/>
            </w:tcBorders>
          </w:tcPr>
          <w:p w14:paraId="00C8DB75" w14:textId="77777777" w:rsidR="00651526" w:rsidRPr="0053182F" w:rsidRDefault="00651526" w:rsidP="00D20468">
            <w:pPr>
              <w:rPr>
                <w:rFonts w:eastAsia="Times New Roman"/>
              </w:rPr>
            </w:pPr>
            <w:r w:rsidRPr="0053182F">
              <w:rPr>
                <w:rFonts w:eastAsia="Times New Roman"/>
              </w:rPr>
              <w:t>Health and Safety Policy Score</w:t>
            </w:r>
          </w:p>
          <w:p w14:paraId="3497C1EA" w14:textId="77777777" w:rsidR="00651526" w:rsidRPr="0053182F" w:rsidRDefault="00651526" w:rsidP="00D20468">
            <w:pPr>
              <w:rPr>
                <w:rFonts w:eastAsia="Times New Roman"/>
              </w:rPr>
            </w:pPr>
            <w:r w:rsidRPr="0053182F">
              <w:rPr>
                <w:rStyle w:val="Strong"/>
                <w:b w:val="0"/>
                <w:bCs w:val="0"/>
              </w:rPr>
              <w:t>(0-100)</w:t>
            </w:r>
          </w:p>
          <w:p w14:paraId="3CF70081" w14:textId="77777777" w:rsidR="00651526" w:rsidRPr="0053182F" w:rsidRDefault="00651526" w:rsidP="00D20468">
            <w:pPr>
              <w:rPr>
                <w:rStyle w:val="Strong"/>
                <w:b w:val="0"/>
                <w:bCs w:val="0"/>
              </w:rPr>
            </w:pPr>
          </w:p>
        </w:tc>
        <w:tc>
          <w:tcPr>
            <w:tcW w:w="1461" w:type="dxa"/>
            <w:tcBorders>
              <w:top w:val="single" w:sz="4" w:space="0" w:color="auto"/>
              <w:left w:val="nil"/>
              <w:bottom w:val="nil"/>
              <w:right w:val="nil"/>
            </w:tcBorders>
          </w:tcPr>
          <w:p w14:paraId="6ADB39AD" w14:textId="77777777" w:rsidR="00651526" w:rsidRPr="0053182F" w:rsidRDefault="00651526" w:rsidP="00D20468">
            <w:pPr>
              <w:jc w:val="center"/>
              <w:rPr>
                <w:rStyle w:val="Strong"/>
                <w:b w:val="0"/>
                <w:bCs w:val="0"/>
              </w:rPr>
            </w:pPr>
            <w:r w:rsidRPr="0053182F">
              <w:rPr>
                <w:rStyle w:val="Strong"/>
                <w:b w:val="0"/>
                <w:bCs w:val="0"/>
              </w:rPr>
              <w:t>H&amp;S</w:t>
            </w:r>
          </w:p>
          <w:p w14:paraId="77409E13" w14:textId="77777777" w:rsidR="00651526" w:rsidRPr="0053182F" w:rsidRDefault="00651526" w:rsidP="00D20468">
            <w:pPr>
              <w:jc w:val="center"/>
            </w:pPr>
          </w:p>
          <w:p w14:paraId="04FD4567" w14:textId="77777777" w:rsidR="00651526" w:rsidRPr="0053182F" w:rsidRDefault="00651526" w:rsidP="00D20468">
            <w:pPr>
              <w:jc w:val="center"/>
              <w:rPr>
                <w:rStyle w:val="Strong"/>
              </w:rPr>
            </w:pPr>
          </w:p>
        </w:tc>
        <w:tc>
          <w:tcPr>
            <w:tcW w:w="6234" w:type="dxa"/>
            <w:tcBorders>
              <w:top w:val="single" w:sz="4" w:space="0" w:color="auto"/>
              <w:left w:val="nil"/>
              <w:bottom w:val="nil"/>
              <w:right w:val="nil"/>
            </w:tcBorders>
            <w:hideMark/>
          </w:tcPr>
          <w:p w14:paraId="035C35B2" w14:textId="77777777" w:rsidR="00651526" w:rsidRPr="0053182F" w:rsidRDefault="00651526" w:rsidP="00D20468">
            <w:pPr>
              <w:jc w:val="both"/>
            </w:pPr>
            <w:r w:rsidRPr="0053182F">
              <w:t>Assesses the strength of health and safety protocols across operations and supply chains. A higher score reflects comprehensive safeguards and effective risk controls.</w:t>
            </w:r>
          </w:p>
        </w:tc>
      </w:tr>
      <w:tr w:rsidR="00651526" w:rsidRPr="0053182F" w14:paraId="293627E1" w14:textId="77777777" w:rsidTr="00D20468">
        <w:trPr>
          <w:trHeight w:val="300"/>
        </w:trPr>
        <w:tc>
          <w:tcPr>
            <w:tcW w:w="1803" w:type="dxa"/>
          </w:tcPr>
          <w:p w14:paraId="12FE4A0E" w14:textId="77777777" w:rsidR="00651526" w:rsidRPr="0053182F" w:rsidRDefault="00651526" w:rsidP="00D20468">
            <w:pPr>
              <w:rPr>
                <w:rFonts w:eastAsia="Times New Roman"/>
              </w:rPr>
            </w:pPr>
          </w:p>
          <w:p w14:paraId="406BABF1" w14:textId="77777777" w:rsidR="00651526" w:rsidRPr="0053182F" w:rsidRDefault="00651526" w:rsidP="00D20468">
            <w:pPr>
              <w:rPr>
                <w:rFonts w:eastAsia="Times New Roman"/>
              </w:rPr>
            </w:pPr>
            <w:r w:rsidRPr="0053182F">
              <w:rPr>
                <w:rFonts w:eastAsia="Times New Roman"/>
              </w:rPr>
              <w:t>Child Labour Policy Score</w:t>
            </w:r>
          </w:p>
          <w:p w14:paraId="7DB00082" w14:textId="77777777" w:rsidR="00651526" w:rsidRPr="0053182F" w:rsidRDefault="00651526" w:rsidP="00D20468">
            <w:pPr>
              <w:rPr>
                <w:rFonts w:eastAsia="Times New Roman"/>
              </w:rPr>
            </w:pPr>
            <w:r w:rsidRPr="0053182F">
              <w:rPr>
                <w:rStyle w:val="Strong"/>
                <w:b w:val="0"/>
                <w:bCs w:val="0"/>
              </w:rPr>
              <w:t>(0-100)</w:t>
            </w:r>
          </w:p>
          <w:p w14:paraId="641071C3" w14:textId="77777777" w:rsidR="00651526" w:rsidRPr="0053182F" w:rsidRDefault="00651526" w:rsidP="00D20468">
            <w:pPr>
              <w:rPr>
                <w:rStyle w:val="Strong"/>
                <w:b w:val="0"/>
                <w:bCs w:val="0"/>
              </w:rPr>
            </w:pPr>
          </w:p>
        </w:tc>
        <w:tc>
          <w:tcPr>
            <w:tcW w:w="1461" w:type="dxa"/>
            <w:tcBorders>
              <w:top w:val="single" w:sz="4" w:space="0" w:color="auto"/>
              <w:left w:val="nil"/>
              <w:bottom w:val="nil"/>
              <w:right w:val="nil"/>
            </w:tcBorders>
          </w:tcPr>
          <w:p w14:paraId="65E92D77" w14:textId="77777777" w:rsidR="00651526" w:rsidRPr="0053182F" w:rsidRDefault="00651526" w:rsidP="00D20468">
            <w:pPr>
              <w:jc w:val="center"/>
            </w:pPr>
          </w:p>
          <w:p w14:paraId="3D821016" w14:textId="77777777" w:rsidR="00651526" w:rsidRPr="0053182F" w:rsidRDefault="00651526" w:rsidP="00D20468">
            <w:pPr>
              <w:jc w:val="center"/>
              <w:rPr>
                <w:lang w:val="de-DE"/>
              </w:rPr>
            </w:pPr>
            <w:r w:rsidRPr="0053182F">
              <w:rPr>
                <w:lang w:val="de-DE"/>
              </w:rPr>
              <w:t>CL</w:t>
            </w:r>
          </w:p>
          <w:p w14:paraId="41AFFE60" w14:textId="77777777" w:rsidR="00651526" w:rsidRPr="0053182F" w:rsidRDefault="00651526" w:rsidP="00D20468">
            <w:pPr>
              <w:jc w:val="center"/>
              <w:rPr>
                <w:rStyle w:val="Strong"/>
              </w:rPr>
            </w:pPr>
          </w:p>
        </w:tc>
        <w:tc>
          <w:tcPr>
            <w:tcW w:w="6234" w:type="dxa"/>
            <w:tcBorders>
              <w:top w:val="single" w:sz="4" w:space="0" w:color="auto"/>
              <w:left w:val="nil"/>
              <w:bottom w:val="nil"/>
              <w:right w:val="nil"/>
            </w:tcBorders>
          </w:tcPr>
          <w:p w14:paraId="17BE6F4F" w14:textId="77777777" w:rsidR="00651526" w:rsidRPr="0053182F" w:rsidRDefault="00651526" w:rsidP="00D20468">
            <w:pPr>
              <w:jc w:val="both"/>
              <w:rPr>
                <w:rFonts w:eastAsia="Times New Roman"/>
              </w:rPr>
            </w:pPr>
            <w:r w:rsidRPr="0053182F">
              <w:t xml:space="preserve">Evaluates efforts to prevent child labour, including adherence to international codes </w:t>
            </w:r>
            <w:r w:rsidRPr="0053182F">
              <w:rPr>
                <w:rFonts w:eastAsia="Times New Roman"/>
              </w:rPr>
              <w:t xml:space="preserve">(e.g., the Electronic Industry Citizenship Coalition (EICC) Code of Conduct and the Pharmaceutical Industry Principles (PSCI)), </w:t>
            </w:r>
            <w:r w:rsidRPr="0053182F">
              <w:t>and legal frameworks. A higher score indicates rigorous enforcement and proactive measures.</w:t>
            </w:r>
          </w:p>
          <w:p w14:paraId="7FC0F9A5" w14:textId="77777777" w:rsidR="00651526" w:rsidRPr="0053182F" w:rsidRDefault="00651526" w:rsidP="00D20468">
            <w:pPr>
              <w:jc w:val="both"/>
              <w:rPr>
                <w:lang w:val="de-DE"/>
              </w:rPr>
            </w:pPr>
          </w:p>
        </w:tc>
      </w:tr>
      <w:tr w:rsidR="00651526" w:rsidRPr="0053182F" w14:paraId="4AAEEA26" w14:textId="77777777" w:rsidTr="00D20468">
        <w:trPr>
          <w:trHeight w:val="300"/>
        </w:trPr>
        <w:tc>
          <w:tcPr>
            <w:tcW w:w="1803" w:type="dxa"/>
            <w:hideMark/>
          </w:tcPr>
          <w:p w14:paraId="1DA49CCF" w14:textId="77777777" w:rsidR="00651526" w:rsidRPr="0053182F" w:rsidRDefault="00651526" w:rsidP="00D20468">
            <w:pPr>
              <w:rPr>
                <w:rFonts w:eastAsia="Times New Roman"/>
              </w:rPr>
            </w:pPr>
            <w:r w:rsidRPr="0053182F">
              <w:rPr>
                <w:rFonts w:eastAsia="Times New Roman"/>
              </w:rPr>
              <w:t>Forced Labour Policy Score</w:t>
            </w:r>
          </w:p>
          <w:p w14:paraId="4F208245" w14:textId="77777777" w:rsidR="00651526" w:rsidRPr="0053182F" w:rsidRDefault="00651526" w:rsidP="00D20468">
            <w:pPr>
              <w:rPr>
                <w:rStyle w:val="Strong"/>
                <w:b w:val="0"/>
                <w:bCs w:val="0"/>
              </w:rPr>
            </w:pPr>
            <w:r w:rsidRPr="0053182F">
              <w:rPr>
                <w:rStyle w:val="Strong"/>
                <w:b w:val="0"/>
                <w:bCs w:val="0"/>
              </w:rPr>
              <w:t>(0-100)</w:t>
            </w:r>
          </w:p>
        </w:tc>
        <w:tc>
          <w:tcPr>
            <w:tcW w:w="1461" w:type="dxa"/>
            <w:tcBorders>
              <w:top w:val="single" w:sz="4" w:space="0" w:color="auto"/>
              <w:left w:val="nil"/>
              <w:bottom w:val="nil"/>
              <w:right w:val="nil"/>
            </w:tcBorders>
          </w:tcPr>
          <w:p w14:paraId="2D327F70" w14:textId="77777777" w:rsidR="00651526" w:rsidRPr="0053182F" w:rsidRDefault="00651526" w:rsidP="00D20468">
            <w:pPr>
              <w:jc w:val="center"/>
              <w:rPr>
                <w:lang w:val="de-DE"/>
              </w:rPr>
            </w:pPr>
            <w:r w:rsidRPr="0053182F">
              <w:rPr>
                <w:lang w:val="de-DE"/>
              </w:rPr>
              <w:t>FL</w:t>
            </w:r>
          </w:p>
          <w:p w14:paraId="054FB486" w14:textId="77777777" w:rsidR="00651526" w:rsidRPr="0053182F" w:rsidRDefault="00651526" w:rsidP="00D20468">
            <w:pPr>
              <w:jc w:val="center"/>
              <w:rPr>
                <w:lang w:val="de-DE"/>
              </w:rPr>
            </w:pPr>
          </w:p>
          <w:p w14:paraId="5DCD1B12" w14:textId="77777777" w:rsidR="00651526" w:rsidRPr="0053182F" w:rsidRDefault="00651526" w:rsidP="00D20468">
            <w:pPr>
              <w:jc w:val="center"/>
              <w:rPr>
                <w:rStyle w:val="Strong"/>
              </w:rPr>
            </w:pPr>
          </w:p>
        </w:tc>
        <w:tc>
          <w:tcPr>
            <w:tcW w:w="6234" w:type="dxa"/>
            <w:tcBorders>
              <w:top w:val="single" w:sz="4" w:space="0" w:color="auto"/>
              <w:left w:val="nil"/>
              <w:bottom w:val="nil"/>
              <w:right w:val="nil"/>
            </w:tcBorders>
          </w:tcPr>
          <w:p w14:paraId="209469B1" w14:textId="77777777" w:rsidR="00651526" w:rsidRPr="0053182F" w:rsidRDefault="00651526" w:rsidP="00D20468">
            <w:pPr>
              <w:jc w:val="both"/>
            </w:pPr>
            <w:r w:rsidRPr="0053182F">
              <w:t>Measures the company’s systems to prevent forced or compulsory labour, aligned with industry codes and legal standards. A higher score denotes robust compliance mechanisms.</w:t>
            </w:r>
          </w:p>
          <w:p w14:paraId="78A77135" w14:textId="77777777" w:rsidR="00651526" w:rsidRPr="0053182F" w:rsidRDefault="00651526" w:rsidP="00D20468">
            <w:pPr>
              <w:jc w:val="both"/>
            </w:pPr>
          </w:p>
        </w:tc>
      </w:tr>
      <w:tr w:rsidR="00651526" w:rsidRPr="0053182F" w14:paraId="5267AAAF" w14:textId="77777777" w:rsidTr="00D20468">
        <w:trPr>
          <w:trHeight w:val="300"/>
        </w:trPr>
        <w:tc>
          <w:tcPr>
            <w:tcW w:w="1803" w:type="dxa"/>
          </w:tcPr>
          <w:p w14:paraId="3359A339" w14:textId="77777777" w:rsidR="00651526" w:rsidRPr="0053182F" w:rsidRDefault="00651526" w:rsidP="00D20468">
            <w:pPr>
              <w:jc w:val="both"/>
            </w:pPr>
            <w:r w:rsidRPr="0053182F">
              <w:rPr>
                <w:rFonts w:eastAsia="Times New Roman"/>
              </w:rPr>
              <w:t>Human Rights Contractor Policy Score</w:t>
            </w:r>
            <w:r w:rsidRPr="0053182F">
              <w:tab/>
            </w:r>
          </w:p>
          <w:p w14:paraId="10D79F5F" w14:textId="77777777" w:rsidR="00651526" w:rsidRPr="0053182F" w:rsidRDefault="00651526" w:rsidP="00D20468">
            <w:pPr>
              <w:jc w:val="both"/>
              <w:rPr>
                <w:rFonts w:eastAsia="Times New Roman"/>
              </w:rPr>
            </w:pPr>
            <w:r w:rsidRPr="0053182F">
              <w:rPr>
                <w:rStyle w:val="Strong"/>
                <w:b w:val="0"/>
                <w:bCs w:val="0"/>
              </w:rPr>
              <w:t>(0-100)</w:t>
            </w:r>
          </w:p>
          <w:p w14:paraId="3B09B4F0" w14:textId="77777777" w:rsidR="00651526" w:rsidRPr="0053182F" w:rsidRDefault="00651526" w:rsidP="00D20468">
            <w:pPr>
              <w:rPr>
                <w:rStyle w:val="Strong"/>
                <w:b w:val="0"/>
                <w:bCs w:val="0"/>
              </w:rPr>
            </w:pPr>
          </w:p>
        </w:tc>
        <w:tc>
          <w:tcPr>
            <w:tcW w:w="1461" w:type="dxa"/>
            <w:tcBorders>
              <w:top w:val="single" w:sz="4" w:space="0" w:color="auto"/>
              <w:left w:val="nil"/>
              <w:bottom w:val="nil"/>
              <w:right w:val="nil"/>
            </w:tcBorders>
          </w:tcPr>
          <w:p w14:paraId="7E6F2237" w14:textId="77777777" w:rsidR="00651526" w:rsidRPr="0053182F" w:rsidRDefault="00651526" w:rsidP="00D20468">
            <w:pPr>
              <w:jc w:val="both"/>
              <w:rPr>
                <w:rFonts w:eastAsia="Times New Roman"/>
                <w:lang w:val="de-DE"/>
              </w:rPr>
            </w:pPr>
            <w:r w:rsidRPr="0053182F">
              <w:rPr>
                <w:rFonts w:eastAsia="Times New Roman"/>
                <w:lang w:val="de-DE"/>
              </w:rPr>
              <w:t>HRCON</w:t>
            </w:r>
            <w:r w:rsidRPr="0053182F">
              <w:rPr>
                <w:lang w:val="de-DE"/>
              </w:rPr>
              <w:tab/>
            </w:r>
          </w:p>
          <w:p w14:paraId="08809FAE" w14:textId="77777777" w:rsidR="00651526" w:rsidRPr="0053182F" w:rsidRDefault="00651526" w:rsidP="00D20468">
            <w:pPr>
              <w:jc w:val="center"/>
              <w:rPr>
                <w:rStyle w:val="Strong"/>
              </w:rPr>
            </w:pPr>
          </w:p>
        </w:tc>
        <w:tc>
          <w:tcPr>
            <w:tcW w:w="6234" w:type="dxa"/>
            <w:tcBorders>
              <w:top w:val="single" w:sz="4" w:space="0" w:color="auto"/>
              <w:left w:val="nil"/>
              <w:bottom w:val="nil"/>
              <w:right w:val="nil"/>
            </w:tcBorders>
          </w:tcPr>
          <w:p w14:paraId="497A87E3" w14:textId="77777777" w:rsidR="00651526" w:rsidRPr="0053182F" w:rsidRDefault="00651526" w:rsidP="00D20468">
            <w:pPr>
              <w:jc w:val="both"/>
              <w:rPr>
                <w:rFonts w:eastAsia="Times New Roman"/>
              </w:rPr>
            </w:pPr>
            <w:r w:rsidRPr="0053182F">
              <w:rPr>
                <w:rFonts w:eastAsia="Times New Roman"/>
              </w:rPr>
              <w:t>Captures integration of human rights criteria in supplier selection and oversight, reflecting alignment with EICC, PSCI, and laws like the UK MSA. A higher score signals strong supplier governance.</w:t>
            </w:r>
          </w:p>
          <w:p w14:paraId="7CBBF9B6" w14:textId="77777777" w:rsidR="00651526" w:rsidRPr="0053182F" w:rsidRDefault="00651526" w:rsidP="00D20468">
            <w:pPr>
              <w:jc w:val="both"/>
            </w:pPr>
          </w:p>
        </w:tc>
      </w:tr>
      <w:tr w:rsidR="00651526" w:rsidRPr="0053182F" w14:paraId="4DC50FF9" w14:textId="77777777" w:rsidTr="00D20468">
        <w:trPr>
          <w:trHeight w:val="300"/>
        </w:trPr>
        <w:tc>
          <w:tcPr>
            <w:tcW w:w="1803" w:type="dxa"/>
          </w:tcPr>
          <w:p w14:paraId="6E0BE73E" w14:textId="77777777" w:rsidR="00651526" w:rsidRPr="0053182F" w:rsidRDefault="00651526" w:rsidP="00D20468">
            <w:pPr>
              <w:jc w:val="both"/>
              <w:rPr>
                <w:rFonts w:eastAsia="Times New Roman"/>
              </w:rPr>
            </w:pPr>
            <w:r w:rsidRPr="0053182F">
              <w:rPr>
                <w:rFonts w:eastAsia="Times New Roman"/>
              </w:rPr>
              <w:t>Human Rights Policy Score</w:t>
            </w:r>
          </w:p>
          <w:p w14:paraId="59B33666" w14:textId="77777777" w:rsidR="00651526" w:rsidRPr="0053182F" w:rsidRDefault="00651526" w:rsidP="00D20468">
            <w:pPr>
              <w:jc w:val="both"/>
              <w:rPr>
                <w:rFonts w:eastAsia="Times New Roman"/>
              </w:rPr>
            </w:pPr>
            <w:r w:rsidRPr="0053182F">
              <w:rPr>
                <w:rStyle w:val="Strong"/>
                <w:b w:val="0"/>
                <w:bCs w:val="0"/>
              </w:rPr>
              <w:t>(0-100)</w:t>
            </w:r>
          </w:p>
          <w:p w14:paraId="4B3AD114" w14:textId="77777777" w:rsidR="00651526" w:rsidRPr="0053182F" w:rsidRDefault="00651526" w:rsidP="00D20468">
            <w:pPr>
              <w:rPr>
                <w:rStyle w:val="Strong"/>
                <w:b w:val="0"/>
                <w:bCs w:val="0"/>
              </w:rPr>
            </w:pPr>
          </w:p>
        </w:tc>
        <w:tc>
          <w:tcPr>
            <w:tcW w:w="1461" w:type="dxa"/>
            <w:tcBorders>
              <w:top w:val="single" w:sz="4" w:space="0" w:color="auto"/>
              <w:left w:val="nil"/>
              <w:bottom w:val="nil"/>
              <w:right w:val="nil"/>
            </w:tcBorders>
          </w:tcPr>
          <w:p w14:paraId="2A73C6EE" w14:textId="77777777" w:rsidR="00651526" w:rsidRPr="0053182F" w:rsidRDefault="00651526" w:rsidP="00D20468">
            <w:pPr>
              <w:jc w:val="center"/>
              <w:rPr>
                <w:rFonts w:eastAsia="Times New Roman"/>
                <w:lang w:val="de-DE"/>
              </w:rPr>
            </w:pPr>
          </w:p>
          <w:p w14:paraId="36A36A0F" w14:textId="77777777" w:rsidR="00651526" w:rsidRPr="0053182F" w:rsidRDefault="00651526" w:rsidP="00D20468">
            <w:pPr>
              <w:jc w:val="center"/>
              <w:rPr>
                <w:lang w:val="de-DE"/>
              </w:rPr>
            </w:pPr>
            <w:r w:rsidRPr="0053182F">
              <w:rPr>
                <w:rFonts w:eastAsia="Times New Roman"/>
                <w:lang w:val="de-DE"/>
              </w:rPr>
              <w:t>PHR</w:t>
            </w:r>
          </w:p>
          <w:p w14:paraId="362893DF" w14:textId="77777777" w:rsidR="00651526" w:rsidRPr="0053182F" w:rsidRDefault="00651526" w:rsidP="00D20468">
            <w:pPr>
              <w:jc w:val="center"/>
              <w:rPr>
                <w:rStyle w:val="Strong"/>
              </w:rPr>
            </w:pPr>
          </w:p>
        </w:tc>
        <w:tc>
          <w:tcPr>
            <w:tcW w:w="6234" w:type="dxa"/>
            <w:tcBorders>
              <w:top w:val="single" w:sz="4" w:space="0" w:color="auto"/>
              <w:left w:val="nil"/>
              <w:bottom w:val="nil"/>
              <w:right w:val="nil"/>
            </w:tcBorders>
          </w:tcPr>
          <w:p w14:paraId="4DBDA45B" w14:textId="77777777" w:rsidR="00651526" w:rsidRPr="0053182F" w:rsidRDefault="00651526" w:rsidP="00D20468">
            <w:pPr>
              <w:jc w:val="both"/>
              <w:rPr>
                <w:rFonts w:eastAsia="Times New Roman"/>
              </w:rPr>
            </w:pPr>
            <w:r w:rsidRPr="0053182F">
              <w:t>Evaluates the breadth and implementation of the company’s general human rights policy. A higher score reflects clear articulation and robust execution.</w:t>
            </w:r>
          </w:p>
          <w:p w14:paraId="7F5728CC" w14:textId="77777777" w:rsidR="00651526" w:rsidRPr="0053182F" w:rsidRDefault="00651526" w:rsidP="00D20468">
            <w:pPr>
              <w:jc w:val="both"/>
            </w:pPr>
          </w:p>
        </w:tc>
      </w:tr>
      <w:tr w:rsidR="00651526" w:rsidRPr="0053182F" w14:paraId="44400764" w14:textId="77777777" w:rsidTr="00D20468">
        <w:trPr>
          <w:trHeight w:val="300"/>
        </w:trPr>
        <w:tc>
          <w:tcPr>
            <w:tcW w:w="1803" w:type="dxa"/>
            <w:hideMark/>
          </w:tcPr>
          <w:p w14:paraId="1C0292A9" w14:textId="77777777" w:rsidR="00651526" w:rsidRPr="0053182F" w:rsidRDefault="00651526" w:rsidP="00D20468">
            <w:pPr>
              <w:rPr>
                <w:rFonts w:eastAsia="Times New Roman"/>
              </w:rPr>
            </w:pPr>
            <w:r w:rsidRPr="0053182F">
              <w:rPr>
                <w:rFonts w:eastAsia="Times New Roman"/>
              </w:rPr>
              <w:t>ILO and United Nations Human Rights Score</w:t>
            </w:r>
          </w:p>
          <w:p w14:paraId="29C110A6" w14:textId="77777777" w:rsidR="00651526" w:rsidRPr="0053182F" w:rsidRDefault="00651526" w:rsidP="00D20468">
            <w:pPr>
              <w:rPr>
                <w:rStyle w:val="Strong"/>
                <w:b w:val="0"/>
                <w:bCs w:val="0"/>
              </w:rPr>
            </w:pPr>
            <w:r w:rsidRPr="0053182F">
              <w:rPr>
                <w:rStyle w:val="Strong"/>
                <w:b w:val="0"/>
                <w:bCs w:val="0"/>
              </w:rPr>
              <w:t>(0-100)</w:t>
            </w:r>
            <w:r w:rsidRPr="0053182F">
              <w:tab/>
            </w:r>
          </w:p>
        </w:tc>
        <w:tc>
          <w:tcPr>
            <w:tcW w:w="1461" w:type="dxa"/>
            <w:tcBorders>
              <w:top w:val="single" w:sz="4" w:space="0" w:color="auto"/>
              <w:left w:val="nil"/>
              <w:bottom w:val="nil"/>
              <w:right w:val="nil"/>
            </w:tcBorders>
          </w:tcPr>
          <w:p w14:paraId="6EA86D12" w14:textId="77777777" w:rsidR="00651526" w:rsidRPr="0053182F" w:rsidRDefault="00651526" w:rsidP="00D20468">
            <w:pPr>
              <w:jc w:val="center"/>
              <w:rPr>
                <w:lang w:val="de-DE"/>
              </w:rPr>
            </w:pPr>
            <w:r w:rsidRPr="0053182F">
              <w:rPr>
                <w:rFonts w:eastAsia="Times New Roman"/>
                <w:lang w:val="de-DE"/>
              </w:rPr>
              <w:t>FHR</w:t>
            </w:r>
          </w:p>
          <w:p w14:paraId="4E6D314B" w14:textId="77777777" w:rsidR="00651526" w:rsidRPr="0053182F" w:rsidRDefault="00651526" w:rsidP="00D20468">
            <w:pPr>
              <w:jc w:val="center"/>
              <w:rPr>
                <w:rStyle w:val="Strong"/>
              </w:rPr>
            </w:pPr>
          </w:p>
        </w:tc>
        <w:tc>
          <w:tcPr>
            <w:tcW w:w="6234" w:type="dxa"/>
            <w:tcBorders>
              <w:top w:val="single" w:sz="4" w:space="0" w:color="auto"/>
              <w:left w:val="nil"/>
              <w:bottom w:val="nil"/>
              <w:right w:val="nil"/>
            </w:tcBorders>
            <w:hideMark/>
          </w:tcPr>
          <w:p w14:paraId="4E08D77F" w14:textId="77777777" w:rsidR="00651526" w:rsidRPr="0053182F" w:rsidRDefault="00651526" w:rsidP="00D20468">
            <w:pPr>
              <w:jc w:val="both"/>
            </w:pPr>
            <w:r w:rsidRPr="0053182F">
              <w:t>Assesses public commitment to international human rights principles (ILO, UN). A higher score indicates strong alignment and formal recognition.</w:t>
            </w:r>
          </w:p>
        </w:tc>
      </w:tr>
      <w:tr w:rsidR="00651526" w:rsidRPr="0053182F" w14:paraId="2A983DF7" w14:textId="77777777" w:rsidTr="00D20468">
        <w:trPr>
          <w:trHeight w:val="300"/>
        </w:trPr>
        <w:tc>
          <w:tcPr>
            <w:tcW w:w="9498" w:type="dxa"/>
            <w:gridSpan w:val="3"/>
            <w:tcBorders>
              <w:top w:val="single" w:sz="4" w:space="0" w:color="auto"/>
              <w:left w:val="nil"/>
              <w:bottom w:val="nil"/>
              <w:right w:val="nil"/>
            </w:tcBorders>
            <w:hideMark/>
          </w:tcPr>
          <w:p w14:paraId="67686284" w14:textId="77777777" w:rsidR="00651526" w:rsidRPr="0053182F" w:rsidRDefault="00651526" w:rsidP="00D20468">
            <w:pPr>
              <w:jc w:val="center"/>
              <w:rPr>
                <w:b/>
                <w:bCs/>
              </w:rPr>
            </w:pPr>
            <w:r w:rsidRPr="0053182F">
              <w:rPr>
                <w:b/>
                <w:bCs/>
              </w:rPr>
              <w:t>Independent Variables</w:t>
            </w:r>
          </w:p>
        </w:tc>
      </w:tr>
      <w:tr w:rsidR="00651526" w:rsidRPr="0053182F" w14:paraId="4DC43221" w14:textId="77777777" w:rsidTr="00D20468">
        <w:trPr>
          <w:trHeight w:val="300"/>
        </w:trPr>
        <w:tc>
          <w:tcPr>
            <w:tcW w:w="1803" w:type="dxa"/>
            <w:tcBorders>
              <w:top w:val="single" w:sz="4" w:space="0" w:color="auto"/>
              <w:left w:val="nil"/>
              <w:bottom w:val="nil"/>
              <w:right w:val="nil"/>
            </w:tcBorders>
            <w:hideMark/>
          </w:tcPr>
          <w:p w14:paraId="2D8E08AB" w14:textId="77777777" w:rsidR="00651526" w:rsidRPr="0053182F" w:rsidRDefault="00651526" w:rsidP="00D20468">
            <w:pPr>
              <w:rPr>
                <w:b/>
                <w:bCs/>
              </w:rPr>
            </w:pPr>
            <w:r w:rsidRPr="0053182F">
              <w:rPr>
                <w:rStyle w:val="Strong"/>
                <w:b w:val="0"/>
                <w:bCs w:val="0"/>
              </w:rPr>
              <w:t>CSR Strategy Score (0-100)</w:t>
            </w:r>
          </w:p>
        </w:tc>
        <w:tc>
          <w:tcPr>
            <w:tcW w:w="1461" w:type="dxa"/>
            <w:tcBorders>
              <w:top w:val="single" w:sz="4" w:space="0" w:color="auto"/>
              <w:left w:val="nil"/>
              <w:bottom w:val="single" w:sz="4" w:space="0" w:color="auto"/>
              <w:right w:val="nil"/>
            </w:tcBorders>
            <w:hideMark/>
          </w:tcPr>
          <w:p w14:paraId="3CEF5D17" w14:textId="77777777" w:rsidR="00651526" w:rsidRPr="0053182F" w:rsidRDefault="00651526" w:rsidP="00D20468">
            <w:pPr>
              <w:jc w:val="center"/>
              <w:rPr>
                <w:b/>
                <w:bCs/>
              </w:rPr>
            </w:pPr>
            <w:r w:rsidRPr="0053182F">
              <w:rPr>
                <w:rStyle w:val="Strong"/>
                <w:b w:val="0"/>
                <w:bCs w:val="0"/>
              </w:rPr>
              <w:t>CSRST</w:t>
            </w:r>
          </w:p>
        </w:tc>
        <w:tc>
          <w:tcPr>
            <w:tcW w:w="6234" w:type="dxa"/>
            <w:tcBorders>
              <w:top w:val="single" w:sz="4" w:space="0" w:color="auto"/>
              <w:left w:val="nil"/>
              <w:bottom w:val="single" w:sz="4" w:space="0" w:color="auto"/>
              <w:right w:val="nil"/>
            </w:tcBorders>
            <w:hideMark/>
          </w:tcPr>
          <w:p w14:paraId="45D31472" w14:textId="77777777" w:rsidR="00651526" w:rsidRPr="0053182F" w:rsidRDefault="00651526" w:rsidP="00D20468">
            <w:pPr>
              <w:jc w:val="both"/>
            </w:pPr>
            <w:r w:rsidRPr="0053182F">
              <w:t>Assess the extent to which a company integrates economic, social, and environmental factors into strategic decision-making. Higher values indicate a stronger commitment to sustainable business practices.</w:t>
            </w:r>
          </w:p>
        </w:tc>
      </w:tr>
      <w:tr w:rsidR="00651526" w:rsidRPr="0053182F" w14:paraId="6AC737AE" w14:textId="77777777" w:rsidTr="00D20468">
        <w:trPr>
          <w:trHeight w:val="300"/>
        </w:trPr>
        <w:tc>
          <w:tcPr>
            <w:tcW w:w="1803" w:type="dxa"/>
          </w:tcPr>
          <w:p w14:paraId="7AC3F839" w14:textId="77777777" w:rsidR="00651526" w:rsidRPr="0053182F" w:rsidRDefault="00651526" w:rsidP="00D20468">
            <w:pPr>
              <w:rPr>
                <w:rStyle w:val="Strong"/>
                <w:b w:val="0"/>
                <w:bCs w:val="0"/>
              </w:rPr>
            </w:pPr>
            <w:r w:rsidRPr="0053182F">
              <w:rPr>
                <w:rStyle w:val="Strong"/>
                <w:b w:val="0"/>
                <w:bCs w:val="0"/>
              </w:rPr>
              <w:t xml:space="preserve">Board Gender Diversity </w:t>
            </w:r>
          </w:p>
          <w:p w14:paraId="4B16938C" w14:textId="77777777" w:rsidR="00651526" w:rsidRPr="0053182F" w:rsidRDefault="00651526" w:rsidP="00D20468">
            <w:r w:rsidRPr="0053182F">
              <w:rPr>
                <w:rStyle w:val="Strong"/>
                <w:b w:val="0"/>
                <w:bCs w:val="0"/>
              </w:rPr>
              <w:t>(0-100)</w:t>
            </w:r>
          </w:p>
        </w:tc>
        <w:tc>
          <w:tcPr>
            <w:tcW w:w="1461" w:type="dxa"/>
            <w:tcBorders>
              <w:top w:val="single" w:sz="4" w:space="0" w:color="auto"/>
              <w:left w:val="nil"/>
              <w:bottom w:val="single" w:sz="4" w:space="0" w:color="auto"/>
              <w:right w:val="nil"/>
            </w:tcBorders>
          </w:tcPr>
          <w:p w14:paraId="3C2750FB" w14:textId="77777777" w:rsidR="00651526" w:rsidRPr="0053182F" w:rsidRDefault="00651526" w:rsidP="00D20468">
            <w:pPr>
              <w:rPr>
                <w:rStyle w:val="Strong"/>
                <w:b w:val="0"/>
                <w:bCs w:val="0"/>
              </w:rPr>
            </w:pPr>
          </w:p>
          <w:p w14:paraId="4B5A6EF8" w14:textId="77777777" w:rsidR="00651526" w:rsidRPr="0053182F" w:rsidRDefault="00651526" w:rsidP="00D20468">
            <w:pPr>
              <w:jc w:val="center"/>
            </w:pPr>
            <w:r w:rsidRPr="0053182F">
              <w:rPr>
                <w:rStyle w:val="Strong"/>
                <w:b w:val="0"/>
                <w:bCs w:val="0"/>
              </w:rPr>
              <w:t>BGD</w:t>
            </w:r>
          </w:p>
        </w:tc>
        <w:tc>
          <w:tcPr>
            <w:tcW w:w="6234" w:type="dxa"/>
            <w:tcBorders>
              <w:top w:val="single" w:sz="4" w:space="0" w:color="auto"/>
              <w:left w:val="nil"/>
              <w:bottom w:val="single" w:sz="4" w:space="0" w:color="auto"/>
              <w:right w:val="nil"/>
            </w:tcBorders>
            <w:hideMark/>
          </w:tcPr>
          <w:p w14:paraId="67600C5D" w14:textId="77777777" w:rsidR="00651526" w:rsidRPr="0053182F" w:rsidRDefault="00651526" w:rsidP="00D20468">
            <w:pPr>
              <w:jc w:val="both"/>
            </w:pPr>
            <w:r w:rsidRPr="0053182F">
              <w:t>The percentage of female directors on a company’s board reflects the firm’s commitment to gender diversity and ethical governance.</w:t>
            </w:r>
          </w:p>
        </w:tc>
      </w:tr>
      <w:tr w:rsidR="00651526" w:rsidRPr="0053182F" w14:paraId="43F300AD" w14:textId="77777777" w:rsidTr="00D20468">
        <w:trPr>
          <w:trHeight w:val="300"/>
        </w:trPr>
        <w:tc>
          <w:tcPr>
            <w:tcW w:w="1803" w:type="dxa"/>
            <w:hideMark/>
          </w:tcPr>
          <w:p w14:paraId="77AFFDA0" w14:textId="77777777" w:rsidR="00651526" w:rsidRPr="0053182F" w:rsidRDefault="00651526" w:rsidP="00D20468">
            <w:pPr>
              <w:rPr>
                <w:b/>
                <w:bCs/>
              </w:rPr>
            </w:pPr>
            <w:r w:rsidRPr="0053182F">
              <w:rPr>
                <w:rStyle w:val="Strong"/>
                <w:b w:val="0"/>
                <w:bCs w:val="0"/>
              </w:rPr>
              <w:t>CSR Committee Score (0-100)</w:t>
            </w:r>
          </w:p>
        </w:tc>
        <w:tc>
          <w:tcPr>
            <w:tcW w:w="1461" w:type="dxa"/>
            <w:tcBorders>
              <w:top w:val="single" w:sz="4" w:space="0" w:color="auto"/>
              <w:left w:val="nil"/>
              <w:bottom w:val="single" w:sz="4" w:space="0" w:color="auto"/>
              <w:right w:val="nil"/>
            </w:tcBorders>
            <w:hideMark/>
          </w:tcPr>
          <w:p w14:paraId="35A1E739" w14:textId="77777777" w:rsidR="00651526" w:rsidRPr="0053182F" w:rsidRDefault="00651526" w:rsidP="00D20468">
            <w:pPr>
              <w:jc w:val="center"/>
              <w:rPr>
                <w:b/>
                <w:bCs/>
              </w:rPr>
            </w:pPr>
            <w:r w:rsidRPr="0053182F">
              <w:rPr>
                <w:rStyle w:val="Strong"/>
                <w:b w:val="0"/>
                <w:bCs w:val="0"/>
              </w:rPr>
              <w:t>CSRC</w:t>
            </w:r>
          </w:p>
        </w:tc>
        <w:tc>
          <w:tcPr>
            <w:tcW w:w="6234" w:type="dxa"/>
            <w:tcBorders>
              <w:top w:val="single" w:sz="4" w:space="0" w:color="auto"/>
              <w:left w:val="nil"/>
              <w:bottom w:val="single" w:sz="4" w:space="0" w:color="auto"/>
              <w:right w:val="nil"/>
            </w:tcBorders>
          </w:tcPr>
          <w:p w14:paraId="1F30588A" w14:textId="77777777" w:rsidR="00651526" w:rsidRPr="0053182F" w:rsidRDefault="00651526" w:rsidP="00D20468">
            <w:pPr>
              <w:jc w:val="both"/>
            </w:pPr>
            <w:r w:rsidRPr="0053182F">
              <w:t>Measures whether a firm has a dedicated CSR or sustainability committee responsible for overseeing sustainability policies. A higher score indicates stronger governance and accountability.</w:t>
            </w:r>
          </w:p>
          <w:p w14:paraId="1CC17004" w14:textId="77777777" w:rsidR="00651526" w:rsidRPr="0053182F" w:rsidRDefault="00651526" w:rsidP="00D20468">
            <w:pPr>
              <w:jc w:val="both"/>
            </w:pPr>
          </w:p>
        </w:tc>
      </w:tr>
      <w:tr w:rsidR="00651526" w:rsidRPr="0053182F" w14:paraId="0DA29F9B" w14:textId="77777777" w:rsidTr="00D20468">
        <w:trPr>
          <w:trHeight w:val="300"/>
        </w:trPr>
        <w:tc>
          <w:tcPr>
            <w:tcW w:w="1803" w:type="dxa"/>
            <w:hideMark/>
          </w:tcPr>
          <w:p w14:paraId="5C6DC1AA" w14:textId="77777777" w:rsidR="00651526" w:rsidRPr="0053182F" w:rsidRDefault="00651526" w:rsidP="00D20468">
            <w:pPr>
              <w:rPr>
                <w:b/>
                <w:bCs/>
              </w:rPr>
            </w:pPr>
            <w:r w:rsidRPr="0053182F">
              <w:rPr>
                <w:rStyle w:val="Strong"/>
                <w:b w:val="0"/>
                <w:bCs w:val="0"/>
              </w:rPr>
              <w:t>External CSR Assurance Score (0-100)</w:t>
            </w:r>
          </w:p>
        </w:tc>
        <w:tc>
          <w:tcPr>
            <w:tcW w:w="1461" w:type="dxa"/>
            <w:tcBorders>
              <w:top w:val="single" w:sz="4" w:space="0" w:color="auto"/>
              <w:left w:val="nil"/>
              <w:bottom w:val="single" w:sz="4" w:space="0" w:color="auto"/>
              <w:right w:val="nil"/>
            </w:tcBorders>
            <w:hideMark/>
          </w:tcPr>
          <w:p w14:paraId="79AB8845" w14:textId="77777777" w:rsidR="00651526" w:rsidRPr="0053182F" w:rsidRDefault="00651526" w:rsidP="00D20468">
            <w:pPr>
              <w:jc w:val="center"/>
              <w:rPr>
                <w:b/>
                <w:bCs/>
              </w:rPr>
            </w:pPr>
            <w:r w:rsidRPr="0053182F">
              <w:rPr>
                <w:rStyle w:val="Strong"/>
                <w:b w:val="0"/>
                <w:bCs w:val="0"/>
              </w:rPr>
              <w:t>CSRA</w:t>
            </w:r>
          </w:p>
        </w:tc>
        <w:tc>
          <w:tcPr>
            <w:tcW w:w="6234" w:type="dxa"/>
            <w:tcBorders>
              <w:top w:val="single" w:sz="4" w:space="0" w:color="auto"/>
              <w:left w:val="nil"/>
              <w:bottom w:val="single" w:sz="4" w:space="0" w:color="auto"/>
              <w:right w:val="nil"/>
            </w:tcBorders>
          </w:tcPr>
          <w:p w14:paraId="4497C663" w14:textId="77777777" w:rsidR="00651526" w:rsidRPr="0053182F" w:rsidRDefault="00651526" w:rsidP="00D20468">
            <w:pPr>
              <w:jc w:val="both"/>
            </w:pPr>
            <w:r w:rsidRPr="0053182F">
              <w:t>Assess whether a company engages independent auditors for CSR, health and safety (H&amp;S), or sustainability reporting. A higher score reflects greater transparency and regulatory compliance.</w:t>
            </w:r>
          </w:p>
        </w:tc>
      </w:tr>
      <w:tr w:rsidR="00651526" w:rsidRPr="0053182F" w14:paraId="3F6936BC" w14:textId="77777777" w:rsidTr="00D20468">
        <w:trPr>
          <w:trHeight w:val="300"/>
        </w:trPr>
        <w:tc>
          <w:tcPr>
            <w:tcW w:w="1803" w:type="dxa"/>
            <w:hideMark/>
          </w:tcPr>
          <w:p w14:paraId="32D1B668" w14:textId="77777777" w:rsidR="00651526" w:rsidRPr="0053182F" w:rsidRDefault="00651526" w:rsidP="00D20468">
            <w:pPr>
              <w:rPr>
                <w:rStyle w:val="Strong"/>
                <w:b w:val="0"/>
                <w:bCs w:val="0"/>
              </w:rPr>
            </w:pPr>
            <w:r w:rsidRPr="0053182F">
              <w:rPr>
                <w:rStyle w:val="Strong"/>
                <w:b w:val="0"/>
                <w:bCs w:val="0"/>
              </w:rPr>
              <w:t>Corporate Social Performance Score (0-100)</w:t>
            </w:r>
          </w:p>
        </w:tc>
        <w:tc>
          <w:tcPr>
            <w:tcW w:w="1461" w:type="dxa"/>
            <w:tcBorders>
              <w:top w:val="single" w:sz="4" w:space="0" w:color="auto"/>
              <w:left w:val="nil"/>
              <w:bottom w:val="single" w:sz="4" w:space="0" w:color="auto"/>
              <w:right w:val="nil"/>
            </w:tcBorders>
            <w:hideMark/>
          </w:tcPr>
          <w:p w14:paraId="324F76FE" w14:textId="77777777" w:rsidR="00651526" w:rsidRPr="0053182F" w:rsidRDefault="00651526" w:rsidP="00D20468">
            <w:pPr>
              <w:jc w:val="center"/>
              <w:rPr>
                <w:rStyle w:val="Strong"/>
                <w:b w:val="0"/>
                <w:bCs w:val="0"/>
              </w:rPr>
            </w:pPr>
            <w:r w:rsidRPr="0053182F">
              <w:rPr>
                <w:rStyle w:val="Strong"/>
                <w:b w:val="0"/>
                <w:bCs w:val="0"/>
              </w:rPr>
              <w:t>CSP</w:t>
            </w:r>
          </w:p>
        </w:tc>
        <w:tc>
          <w:tcPr>
            <w:tcW w:w="6234" w:type="dxa"/>
            <w:tcBorders>
              <w:top w:val="single" w:sz="4" w:space="0" w:color="auto"/>
              <w:left w:val="nil"/>
              <w:bottom w:val="single" w:sz="4" w:space="0" w:color="auto"/>
              <w:right w:val="nil"/>
            </w:tcBorders>
          </w:tcPr>
          <w:p w14:paraId="2D94C57E" w14:textId="77777777" w:rsidR="00651526" w:rsidRPr="0053182F" w:rsidRDefault="00651526" w:rsidP="00D20468">
            <w:pPr>
              <w:jc w:val="both"/>
            </w:pPr>
            <w:r w:rsidRPr="0053182F">
              <w:t>The social pillar score measures a firm’s ability to foster trust and loyalty through ethical management and effective stakeholder engagement. A higher score reflects stronger social governance and responsible business conduct.</w:t>
            </w:r>
          </w:p>
        </w:tc>
      </w:tr>
      <w:tr w:rsidR="00651526" w:rsidRPr="0053182F" w14:paraId="4DC95E20" w14:textId="77777777" w:rsidTr="00D20468">
        <w:trPr>
          <w:trHeight w:val="300"/>
        </w:trPr>
        <w:tc>
          <w:tcPr>
            <w:tcW w:w="1803" w:type="dxa"/>
            <w:hideMark/>
          </w:tcPr>
          <w:p w14:paraId="42659A78" w14:textId="77777777" w:rsidR="00651526" w:rsidRPr="0053182F" w:rsidRDefault="00651526" w:rsidP="00D20468">
            <w:pPr>
              <w:rPr>
                <w:b/>
                <w:bCs/>
              </w:rPr>
            </w:pPr>
            <w:r w:rsidRPr="0053182F">
              <w:rPr>
                <w:rStyle w:val="Strong"/>
                <w:b w:val="0"/>
                <w:bCs w:val="0"/>
              </w:rPr>
              <w:t>CSR Recognition Awards Score (0-100)</w:t>
            </w:r>
          </w:p>
        </w:tc>
        <w:tc>
          <w:tcPr>
            <w:tcW w:w="1461" w:type="dxa"/>
            <w:tcBorders>
              <w:top w:val="single" w:sz="4" w:space="0" w:color="auto"/>
              <w:left w:val="nil"/>
              <w:bottom w:val="single" w:sz="4" w:space="0" w:color="auto"/>
              <w:right w:val="nil"/>
            </w:tcBorders>
            <w:hideMark/>
          </w:tcPr>
          <w:p w14:paraId="4EE3D512" w14:textId="77777777" w:rsidR="00651526" w:rsidRPr="0053182F" w:rsidRDefault="00651526" w:rsidP="00D20468">
            <w:pPr>
              <w:jc w:val="center"/>
              <w:rPr>
                <w:b/>
                <w:bCs/>
              </w:rPr>
            </w:pPr>
            <w:r w:rsidRPr="0053182F">
              <w:rPr>
                <w:rStyle w:val="Strong"/>
                <w:b w:val="0"/>
                <w:bCs w:val="0"/>
              </w:rPr>
              <w:t>CSRAW</w:t>
            </w:r>
          </w:p>
        </w:tc>
        <w:tc>
          <w:tcPr>
            <w:tcW w:w="6234" w:type="dxa"/>
            <w:tcBorders>
              <w:top w:val="single" w:sz="4" w:space="0" w:color="auto"/>
              <w:left w:val="nil"/>
              <w:bottom w:val="single" w:sz="4" w:space="0" w:color="auto"/>
              <w:right w:val="nil"/>
            </w:tcBorders>
          </w:tcPr>
          <w:p w14:paraId="1571E776" w14:textId="77777777" w:rsidR="00651526" w:rsidRPr="0053182F" w:rsidRDefault="00651526" w:rsidP="00D20468">
            <w:pPr>
              <w:jc w:val="both"/>
            </w:pPr>
            <w:r w:rsidRPr="0053182F">
              <w:t>Evaluate whether a company has received external recognition for CSR initiatives, including corporate social responsibility, human rights, or environmental sustainability awards. Higher values indicate strong external validation.</w:t>
            </w:r>
          </w:p>
        </w:tc>
      </w:tr>
      <w:tr w:rsidR="00651526" w:rsidRPr="0053182F" w14:paraId="03874E33" w14:textId="77777777" w:rsidTr="00D20468">
        <w:trPr>
          <w:trHeight w:val="300"/>
        </w:trPr>
        <w:tc>
          <w:tcPr>
            <w:tcW w:w="1803" w:type="dxa"/>
          </w:tcPr>
          <w:p w14:paraId="412CDDAC" w14:textId="77777777" w:rsidR="00651526" w:rsidRPr="0053182F" w:rsidRDefault="00651526" w:rsidP="00D20468">
            <w:pPr>
              <w:rPr>
                <w:rStyle w:val="Strong"/>
                <w:b w:val="0"/>
                <w:bCs w:val="0"/>
              </w:rPr>
            </w:pPr>
            <w:r w:rsidRPr="0053182F">
              <w:rPr>
                <w:rStyle w:val="Strong"/>
                <w:b w:val="0"/>
                <w:bCs w:val="0"/>
              </w:rPr>
              <w:t>Board Independence (0-100)</w:t>
            </w:r>
          </w:p>
        </w:tc>
        <w:tc>
          <w:tcPr>
            <w:tcW w:w="1461" w:type="dxa"/>
            <w:tcBorders>
              <w:top w:val="single" w:sz="4" w:space="0" w:color="auto"/>
              <w:left w:val="nil"/>
              <w:bottom w:val="single" w:sz="4" w:space="0" w:color="auto"/>
              <w:right w:val="nil"/>
            </w:tcBorders>
            <w:hideMark/>
          </w:tcPr>
          <w:p w14:paraId="7140E679" w14:textId="77777777" w:rsidR="00651526" w:rsidRPr="0053182F" w:rsidRDefault="00651526" w:rsidP="00D20468">
            <w:pPr>
              <w:jc w:val="center"/>
              <w:rPr>
                <w:rStyle w:val="Strong"/>
                <w:b w:val="0"/>
                <w:bCs w:val="0"/>
              </w:rPr>
            </w:pPr>
            <w:r w:rsidRPr="0053182F">
              <w:rPr>
                <w:rStyle w:val="Strong"/>
                <w:b w:val="0"/>
                <w:bCs w:val="0"/>
              </w:rPr>
              <w:t>BINDP</w:t>
            </w:r>
          </w:p>
        </w:tc>
        <w:tc>
          <w:tcPr>
            <w:tcW w:w="6234" w:type="dxa"/>
            <w:tcBorders>
              <w:top w:val="single" w:sz="4" w:space="0" w:color="auto"/>
              <w:left w:val="nil"/>
              <w:bottom w:val="single" w:sz="4" w:space="0" w:color="auto"/>
              <w:right w:val="nil"/>
            </w:tcBorders>
            <w:hideMark/>
          </w:tcPr>
          <w:p w14:paraId="61D6ABBD" w14:textId="77777777" w:rsidR="00651526" w:rsidRPr="0053182F" w:rsidRDefault="00651526" w:rsidP="00D20468">
            <w:pPr>
              <w:jc w:val="both"/>
            </w:pPr>
            <w:r w:rsidRPr="0053182F">
              <w:t>The percentage of independent board members reflects the corporate governance structures that ensure oversight and accountability.</w:t>
            </w:r>
          </w:p>
        </w:tc>
      </w:tr>
      <w:tr w:rsidR="00651526" w:rsidRPr="0053182F" w14:paraId="6AB6AD06" w14:textId="77777777" w:rsidTr="00D20468">
        <w:trPr>
          <w:trHeight w:val="300"/>
        </w:trPr>
        <w:tc>
          <w:tcPr>
            <w:tcW w:w="1803" w:type="dxa"/>
            <w:tcBorders>
              <w:bottom w:val="single" w:sz="4" w:space="0" w:color="auto"/>
            </w:tcBorders>
          </w:tcPr>
          <w:p w14:paraId="78CFBA83" w14:textId="77777777" w:rsidR="00651526" w:rsidRPr="0053182F" w:rsidRDefault="00651526" w:rsidP="00D20468">
            <w:pPr>
              <w:rPr>
                <w:b/>
                <w:bCs/>
              </w:rPr>
            </w:pPr>
            <w:r w:rsidRPr="0053182F">
              <w:rPr>
                <w:rStyle w:val="Strong"/>
                <w:b w:val="0"/>
                <w:bCs w:val="0"/>
              </w:rPr>
              <w:t xml:space="preserve">CSR Reporting </w:t>
            </w:r>
          </w:p>
          <w:p w14:paraId="54333870" w14:textId="77777777" w:rsidR="00651526" w:rsidRPr="0053182F" w:rsidRDefault="00651526" w:rsidP="00D20468">
            <w:pPr>
              <w:rPr>
                <w:rStyle w:val="Strong"/>
                <w:b w:val="0"/>
                <w:bCs w:val="0"/>
              </w:rPr>
            </w:pPr>
            <w:r w:rsidRPr="0053182F">
              <w:rPr>
                <w:rStyle w:val="Strong"/>
                <w:b w:val="0"/>
                <w:bCs w:val="0"/>
              </w:rPr>
              <w:t>Score (0-100)</w:t>
            </w:r>
          </w:p>
        </w:tc>
        <w:tc>
          <w:tcPr>
            <w:tcW w:w="1461" w:type="dxa"/>
            <w:tcBorders>
              <w:top w:val="single" w:sz="4" w:space="0" w:color="auto"/>
              <w:left w:val="nil"/>
              <w:bottom w:val="single" w:sz="4" w:space="0" w:color="auto"/>
              <w:right w:val="nil"/>
            </w:tcBorders>
          </w:tcPr>
          <w:p w14:paraId="4C08FC79" w14:textId="77777777" w:rsidR="00651526" w:rsidRPr="0053182F" w:rsidRDefault="00651526" w:rsidP="00D20468">
            <w:pPr>
              <w:jc w:val="center"/>
              <w:rPr>
                <w:rStyle w:val="Strong"/>
                <w:b w:val="0"/>
                <w:bCs w:val="0"/>
              </w:rPr>
            </w:pPr>
            <w:r w:rsidRPr="0053182F">
              <w:rPr>
                <w:rStyle w:val="Strong"/>
                <w:b w:val="0"/>
                <w:bCs w:val="0"/>
              </w:rPr>
              <w:t>CSRREP</w:t>
            </w:r>
          </w:p>
        </w:tc>
        <w:tc>
          <w:tcPr>
            <w:tcW w:w="6234" w:type="dxa"/>
            <w:tcBorders>
              <w:top w:val="single" w:sz="4" w:space="0" w:color="auto"/>
              <w:left w:val="nil"/>
              <w:bottom w:val="single" w:sz="4" w:space="0" w:color="auto"/>
              <w:right w:val="nil"/>
            </w:tcBorders>
          </w:tcPr>
          <w:p w14:paraId="0FCA9B5B" w14:textId="77777777" w:rsidR="00651526" w:rsidRPr="0053182F" w:rsidRDefault="00651526" w:rsidP="00D20468">
            <w:pPr>
              <w:jc w:val="both"/>
            </w:pPr>
            <w:r w:rsidRPr="0053182F">
              <w:t>Measures the extent to which the company discloses CSR, H&amp;S, or sustainability initiatives through standalone reports or annual disclosures.</w:t>
            </w:r>
          </w:p>
        </w:tc>
      </w:tr>
      <w:tr w:rsidR="00651526" w:rsidRPr="0053182F" w14:paraId="392B0782" w14:textId="77777777" w:rsidTr="00D20468">
        <w:trPr>
          <w:trHeight w:val="300"/>
        </w:trPr>
        <w:tc>
          <w:tcPr>
            <w:tcW w:w="9498" w:type="dxa"/>
            <w:gridSpan w:val="3"/>
            <w:tcBorders>
              <w:top w:val="single" w:sz="4" w:space="0" w:color="auto"/>
              <w:bottom w:val="single" w:sz="4" w:space="0" w:color="auto"/>
            </w:tcBorders>
          </w:tcPr>
          <w:p w14:paraId="7D18BD81" w14:textId="77777777" w:rsidR="00651526" w:rsidRPr="0053182F" w:rsidRDefault="00651526" w:rsidP="00D20468">
            <w:pPr>
              <w:jc w:val="center"/>
              <w:rPr>
                <w:b/>
                <w:bCs/>
              </w:rPr>
            </w:pPr>
            <w:r w:rsidRPr="0053182F">
              <w:rPr>
                <w:b/>
                <w:bCs/>
              </w:rPr>
              <w:t>Control variables</w:t>
            </w:r>
          </w:p>
        </w:tc>
      </w:tr>
      <w:tr w:rsidR="00651526" w:rsidRPr="0053182F" w14:paraId="41BCE246" w14:textId="77777777" w:rsidTr="00D20468">
        <w:trPr>
          <w:trHeight w:val="300"/>
        </w:trPr>
        <w:tc>
          <w:tcPr>
            <w:tcW w:w="1803" w:type="dxa"/>
            <w:tcBorders>
              <w:top w:val="single" w:sz="4" w:space="0" w:color="auto"/>
            </w:tcBorders>
            <w:hideMark/>
          </w:tcPr>
          <w:p w14:paraId="42CBD3A1" w14:textId="77777777" w:rsidR="00651526" w:rsidRPr="0053182F" w:rsidRDefault="00651526" w:rsidP="00D20468">
            <w:pPr>
              <w:rPr>
                <w:rStyle w:val="Strong"/>
                <w:b w:val="0"/>
                <w:bCs w:val="0"/>
              </w:rPr>
            </w:pPr>
            <w:r w:rsidRPr="0053182F">
              <w:rPr>
                <w:rStyle w:val="Strong"/>
                <w:b w:val="0"/>
                <w:bCs w:val="0"/>
              </w:rPr>
              <w:t>Board Size</w:t>
            </w:r>
          </w:p>
        </w:tc>
        <w:tc>
          <w:tcPr>
            <w:tcW w:w="1461" w:type="dxa"/>
            <w:tcBorders>
              <w:top w:val="single" w:sz="4" w:space="0" w:color="auto"/>
              <w:left w:val="nil"/>
              <w:bottom w:val="single" w:sz="4" w:space="0" w:color="auto"/>
              <w:right w:val="nil"/>
            </w:tcBorders>
            <w:hideMark/>
          </w:tcPr>
          <w:p w14:paraId="20829351" w14:textId="77777777" w:rsidR="00651526" w:rsidRPr="0053182F" w:rsidRDefault="00651526" w:rsidP="00D20468">
            <w:pPr>
              <w:jc w:val="center"/>
              <w:rPr>
                <w:rStyle w:val="Strong"/>
                <w:b w:val="0"/>
                <w:bCs w:val="0"/>
              </w:rPr>
            </w:pPr>
            <w:r w:rsidRPr="0053182F">
              <w:rPr>
                <w:rStyle w:val="Strong"/>
                <w:b w:val="0"/>
                <w:bCs w:val="0"/>
              </w:rPr>
              <w:t>BSIZE</w:t>
            </w:r>
          </w:p>
        </w:tc>
        <w:tc>
          <w:tcPr>
            <w:tcW w:w="6234" w:type="dxa"/>
            <w:tcBorders>
              <w:top w:val="single" w:sz="4" w:space="0" w:color="auto"/>
              <w:left w:val="nil"/>
              <w:bottom w:val="single" w:sz="4" w:space="0" w:color="auto"/>
              <w:right w:val="nil"/>
            </w:tcBorders>
          </w:tcPr>
          <w:p w14:paraId="4C5A5D5F" w14:textId="77777777" w:rsidR="00651526" w:rsidRPr="0053182F" w:rsidRDefault="00651526" w:rsidP="00D20468">
            <w:pPr>
              <w:jc w:val="both"/>
            </w:pPr>
            <w:r w:rsidRPr="0053182F">
              <w:t>Total number of board members at the end of the fiscal year, influencing governance efficiency and strategic decision-making.</w:t>
            </w:r>
          </w:p>
        </w:tc>
      </w:tr>
      <w:tr w:rsidR="00651526" w:rsidRPr="0053182F" w14:paraId="5424AC90" w14:textId="77777777" w:rsidTr="00D20468">
        <w:trPr>
          <w:trHeight w:val="300"/>
        </w:trPr>
        <w:tc>
          <w:tcPr>
            <w:tcW w:w="1803" w:type="dxa"/>
            <w:hideMark/>
          </w:tcPr>
          <w:p w14:paraId="06416C54" w14:textId="77777777" w:rsidR="00651526" w:rsidRPr="0053182F" w:rsidRDefault="00651526" w:rsidP="00D20468">
            <w:pPr>
              <w:rPr>
                <w:rStyle w:val="Strong"/>
                <w:b w:val="0"/>
                <w:bCs w:val="0"/>
              </w:rPr>
            </w:pPr>
            <w:r w:rsidRPr="0053182F">
              <w:rPr>
                <w:rStyle w:val="Strong"/>
                <w:b w:val="0"/>
                <w:bCs w:val="0"/>
              </w:rPr>
              <w:t>Return on Assets</w:t>
            </w:r>
          </w:p>
        </w:tc>
        <w:tc>
          <w:tcPr>
            <w:tcW w:w="1461" w:type="dxa"/>
            <w:tcBorders>
              <w:top w:val="single" w:sz="4" w:space="0" w:color="auto"/>
              <w:left w:val="nil"/>
              <w:bottom w:val="single" w:sz="4" w:space="0" w:color="auto"/>
              <w:right w:val="nil"/>
            </w:tcBorders>
            <w:hideMark/>
          </w:tcPr>
          <w:p w14:paraId="16E57E47" w14:textId="77777777" w:rsidR="00651526" w:rsidRPr="0053182F" w:rsidRDefault="00651526" w:rsidP="00D20468">
            <w:pPr>
              <w:jc w:val="center"/>
              <w:rPr>
                <w:rStyle w:val="Strong"/>
                <w:b w:val="0"/>
                <w:bCs w:val="0"/>
              </w:rPr>
            </w:pPr>
            <w:r w:rsidRPr="0053182F">
              <w:rPr>
                <w:rStyle w:val="Strong"/>
                <w:b w:val="0"/>
                <w:bCs w:val="0"/>
              </w:rPr>
              <w:t>Log_ROA</w:t>
            </w:r>
          </w:p>
        </w:tc>
        <w:tc>
          <w:tcPr>
            <w:tcW w:w="6234" w:type="dxa"/>
            <w:tcBorders>
              <w:top w:val="single" w:sz="4" w:space="0" w:color="auto"/>
              <w:left w:val="nil"/>
              <w:bottom w:val="single" w:sz="4" w:space="0" w:color="auto"/>
              <w:right w:val="nil"/>
            </w:tcBorders>
          </w:tcPr>
          <w:p w14:paraId="7D2A2043" w14:textId="77777777" w:rsidR="00651526" w:rsidRPr="0053182F" w:rsidRDefault="00651526" w:rsidP="00D20468">
            <w:pPr>
              <w:jc w:val="both"/>
            </w:pPr>
            <w:r w:rsidRPr="0053182F">
              <w:t>The income after taxes-to-average total assets ratio reflects a firm’s financial performance and efficiency.</w:t>
            </w:r>
          </w:p>
        </w:tc>
      </w:tr>
      <w:tr w:rsidR="00651526" w:rsidRPr="0053182F" w14:paraId="6B50CE8B" w14:textId="77777777" w:rsidTr="00D20468">
        <w:trPr>
          <w:trHeight w:val="300"/>
        </w:trPr>
        <w:tc>
          <w:tcPr>
            <w:tcW w:w="1803" w:type="dxa"/>
            <w:hideMark/>
          </w:tcPr>
          <w:p w14:paraId="1DFD04D4" w14:textId="77777777" w:rsidR="00651526" w:rsidRPr="0053182F" w:rsidRDefault="00651526" w:rsidP="00D20468">
            <w:pPr>
              <w:rPr>
                <w:rStyle w:val="Strong"/>
                <w:b w:val="0"/>
                <w:bCs w:val="0"/>
              </w:rPr>
            </w:pPr>
            <w:r w:rsidRPr="0053182F">
              <w:rPr>
                <w:rStyle w:val="Strong"/>
                <w:b w:val="0"/>
                <w:bCs w:val="0"/>
              </w:rPr>
              <w:t>Firm Size (Employees)</w:t>
            </w:r>
          </w:p>
        </w:tc>
        <w:tc>
          <w:tcPr>
            <w:tcW w:w="1461" w:type="dxa"/>
            <w:tcBorders>
              <w:top w:val="single" w:sz="4" w:space="0" w:color="auto"/>
              <w:left w:val="nil"/>
              <w:bottom w:val="single" w:sz="4" w:space="0" w:color="auto"/>
              <w:right w:val="nil"/>
            </w:tcBorders>
            <w:hideMark/>
          </w:tcPr>
          <w:p w14:paraId="0EAEFDCE" w14:textId="77777777" w:rsidR="00651526" w:rsidRPr="0053182F" w:rsidRDefault="00651526" w:rsidP="00D20468">
            <w:pPr>
              <w:jc w:val="center"/>
              <w:rPr>
                <w:rStyle w:val="Strong"/>
                <w:b w:val="0"/>
                <w:bCs w:val="0"/>
              </w:rPr>
            </w:pPr>
            <w:r w:rsidRPr="0053182F">
              <w:rPr>
                <w:rStyle w:val="Strong"/>
                <w:b w:val="0"/>
                <w:bCs w:val="0"/>
              </w:rPr>
              <w:t>Log_FTE</w:t>
            </w:r>
          </w:p>
        </w:tc>
        <w:tc>
          <w:tcPr>
            <w:tcW w:w="6234" w:type="dxa"/>
            <w:tcBorders>
              <w:top w:val="single" w:sz="4" w:space="0" w:color="auto"/>
              <w:left w:val="nil"/>
              <w:bottom w:val="single" w:sz="4" w:space="0" w:color="auto"/>
              <w:right w:val="nil"/>
            </w:tcBorders>
          </w:tcPr>
          <w:p w14:paraId="6A4B7192" w14:textId="77777777" w:rsidR="00651526" w:rsidRPr="0053182F" w:rsidRDefault="00651526" w:rsidP="00D20468">
            <w:pPr>
              <w:jc w:val="both"/>
            </w:pPr>
            <w:r w:rsidRPr="0053182F">
              <w:t>Log-transformed number of full-time employees, serving as a proxy for firm size, influences resource allocation and sustainability practices.</w:t>
            </w:r>
          </w:p>
        </w:tc>
      </w:tr>
      <w:tr w:rsidR="00651526" w:rsidRPr="0053182F" w14:paraId="34B5CF42" w14:textId="77777777" w:rsidTr="00D20468">
        <w:trPr>
          <w:trHeight w:val="300"/>
        </w:trPr>
        <w:tc>
          <w:tcPr>
            <w:tcW w:w="1803" w:type="dxa"/>
            <w:hideMark/>
          </w:tcPr>
          <w:p w14:paraId="1610A8E7" w14:textId="77777777" w:rsidR="00651526" w:rsidRPr="0053182F" w:rsidRDefault="00651526" w:rsidP="00D20468">
            <w:pPr>
              <w:rPr>
                <w:rStyle w:val="Strong"/>
                <w:b w:val="0"/>
                <w:bCs w:val="0"/>
              </w:rPr>
            </w:pPr>
            <w:r w:rsidRPr="0053182F">
              <w:rPr>
                <w:rStyle w:val="Strong"/>
                <w:b w:val="0"/>
                <w:bCs w:val="0"/>
              </w:rPr>
              <w:t xml:space="preserve">Board Skills </w:t>
            </w:r>
          </w:p>
          <w:p w14:paraId="182C69E1" w14:textId="77777777" w:rsidR="00651526" w:rsidRPr="0053182F" w:rsidRDefault="00651526" w:rsidP="00D20468">
            <w:pPr>
              <w:rPr>
                <w:rStyle w:val="Strong"/>
                <w:b w:val="0"/>
                <w:bCs w:val="0"/>
              </w:rPr>
            </w:pPr>
            <w:r w:rsidRPr="0053182F">
              <w:rPr>
                <w:rStyle w:val="Strong"/>
                <w:b w:val="0"/>
                <w:bCs w:val="0"/>
              </w:rPr>
              <w:t xml:space="preserve">(0-100) </w:t>
            </w:r>
          </w:p>
        </w:tc>
        <w:tc>
          <w:tcPr>
            <w:tcW w:w="1461" w:type="dxa"/>
            <w:tcBorders>
              <w:top w:val="single" w:sz="4" w:space="0" w:color="auto"/>
              <w:left w:val="nil"/>
              <w:bottom w:val="single" w:sz="4" w:space="0" w:color="auto"/>
              <w:right w:val="nil"/>
            </w:tcBorders>
            <w:hideMark/>
          </w:tcPr>
          <w:p w14:paraId="7AE6ACE9" w14:textId="77777777" w:rsidR="00651526" w:rsidRPr="0053182F" w:rsidRDefault="00651526" w:rsidP="00D20468">
            <w:pPr>
              <w:jc w:val="center"/>
              <w:rPr>
                <w:rStyle w:val="Strong"/>
                <w:b w:val="0"/>
                <w:bCs w:val="0"/>
              </w:rPr>
            </w:pPr>
            <w:r w:rsidRPr="0053182F">
              <w:rPr>
                <w:rStyle w:val="Strong"/>
                <w:b w:val="0"/>
                <w:bCs w:val="0"/>
              </w:rPr>
              <w:t>BSKIL</w:t>
            </w:r>
          </w:p>
        </w:tc>
        <w:tc>
          <w:tcPr>
            <w:tcW w:w="6234" w:type="dxa"/>
            <w:tcBorders>
              <w:top w:val="single" w:sz="4" w:space="0" w:color="auto"/>
              <w:left w:val="nil"/>
              <w:bottom w:val="single" w:sz="4" w:space="0" w:color="auto"/>
              <w:right w:val="nil"/>
            </w:tcBorders>
          </w:tcPr>
          <w:p w14:paraId="7E844E1E" w14:textId="77777777" w:rsidR="00651526" w:rsidRPr="0053182F" w:rsidRDefault="00651526" w:rsidP="00D20468">
            <w:pPr>
              <w:jc w:val="both"/>
            </w:pPr>
            <w:r w:rsidRPr="0053182F">
              <w:t>Percentage of board members with expertise in industry-specific domains or finance, reflecting corporate governance quality.</w:t>
            </w:r>
          </w:p>
        </w:tc>
      </w:tr>
      <w:tr w:rsidR="00651526" w:rsidRPr="0053182F" w14:paraId="700F7058" w14:textId="77777777" w:rsidTr="00D20468">
        <w:trPr>
          <w:trHeight w:val="300"/>
        </w:trPr>
        <w:tc>
          <w:tcPr>
            <w:tcW w:w="1803" w:type="dxa"/>
            <w:vAlign w:val="center"/>
            <w:hideMark/>
          </w:tcPr>
          <w:p w14:paraId="3DDCE248" w14:textId="77777777" w:rsidR="00651526" w:rsidRPr="0053182F" w:rsidRDefault="00651526" w:rsidP="00D20468">
            <w:pPr>
              <w:rPr>
                <w:rStyle w:val="Strong"/>
              </w:rPr>
            </w:pPr>
            <w:r w:rsidRPr="0053182F">
              <w:rPr>
                <w:rFonts w:eastAsia="Times New Roman"/>
                <w:lang w:eastAsia="en-GB"/>
              </w:rPr>
              <w:t>Industry</w:t>
            </w:r>
          </w:p>
        </w:tc>
        <w:tc>
          <w:tcPr>
            <w:tcW w:w="1461" w:type="dxa"/>
            <w:tcBorders>
              <w:top w:val="single" w:sz="4" w:space="0" w:color="auto"/>
              <w:left w:val="nil"/>
              <w:bottom w:val="single" w:sz="4" w:space="0" w:color="auto"/>
              <w:right w:val="nil"/>
            </w:tcBorders>
            <w:vAlign w:val="center"/>
            <w:hideMark/>
          </w:tcPr>
          <w:p w14:paraId="5DE1ACAF" w14:textId="77777777" w:rsidR="00651526" w:rsidRPr="0053182F" w:rsidRDefault="00651526" w:rsidP="00D20468">
            <w:pPr>
              <w:jc w:val="center"/>
              <w:rPr>
                <w:rStyle w:val="Strong"/>
                <w:b w:val="0"/>
                <w:bCs w:val="0"/>
              </w:rPr>
            </w:pPr>
            <w:r w:rsidRPr="0053182F">
              <w:rPr>
                <w:rFonts w:eastAsia="Times New Roman"/>
                <w:lang w:eastAsia="en-GB"/>
              </w:rPr>
              <w:t>Industry</w:t>
            </w:r>
          </w:p>
        </w:tc>
        <w:tc>
          <w:tcPr>
            <w:tcW w:w="6234" w:type="dxa"/>
            <w:tcBorders>
              <w:top w:val="single" w:sz="4" w:space="0" w:color="auto"/>
              <w:left w:val="nil"/>
              <w:bottom w:val="single" w:sz="4" w:space="0" w:color="auto"/>
              <w:right w:val="nil"/>
            </w:tcBorders>
            <w:vAlign w:val="center"/>
            <w:hideMark/>
          </w:tcPr>
          <w:p w14:paraId="35AAAF2F" w14:textId="77777777" w:rsidR="00651526" w:rsidRPr="0053182F" w:rsidRDefault="00651526" w:rsidP="00D20468">
            <w:pPr>
              <w:jc w:val="both"/>
            </w:pPr>
            <w:r w:rsidRPr="0053182F">
              <w:rPr>
                <w:rFonts w:eastAsia="Times New Roman"/>
                <w:color w:val="auto"/>
                <w:lang w:eastAsia="en-GB"/>
              </w:rPr>
              <w:t>A dummy variable representing  firms based on the industry classification benchmark (TRBC</w:t>
            </w:r>
            <w:r w:rsidRPr="0053182F">
              <w:rPr>
                <w:rStyle w:val="FootnoteReference"/>
                <w:rFonts w:eastAsia="Times New Roman"/>
                <w:color w:val="auto"/>
                <w:lang w:eastAsia="en-GB"/>
              </w:rPr>
              <w:footnoteReference w:id="20"/>
            </w:r>
            <w:r w:rsidRPr="0053182F">
              <w:rPr>
                <w:rFonts w:eastAsia="Times New Roman"/>
                <w:color w:val="auto"/>
                <w:lang w:eastAsia="en-GB"/>
              </w:rPr>
              <w:t>) to control for the industry effects</w:t>
            </w:r>
          </w:p>
        </w:tc>
      </w:tr>
      <w:tr w:rsidR="00651526" w:rsidRPr="0053182F" w14:paraId="0945CC5D" w14:textId="77777777" w:rsidTr="00D20468">
        <w:trPr>
          <w:trHeight w:val="300"/>
        </w:trPr>
        <w:tc>
          <w:tcPr>
            <w:tcW w:w="1803" w:type="dxa"/>
            <w:vAlign w:val="center"/>
            <w:hideMark/>
          </w:tcPr>
          <w:p w14:paraId="1B55CABE" w14:textId="77777777" w:rsidR="00651526" w:rsidRPr="0053182F" w:rsidRDefault="00651526" w:rsidP="00D20468">
            <w:pPr>
              <w:rPr>
                <w:rStyle w:val="Strong"/>
              </w:rPr>
            </w:pPr>
            <w:r w:rsidRPr="0053182F">
              <w:rPr>
                <w:rFonts w:eastAsia="Times New Roman"/>
                <w:lang w:eastAsia="en-GB"/>
              </w:rPr>
              <w:t>Firms</w:t>
            </w:r>
          </w:p>
        </w:tc>
        <w:tc>
          <w:tcPr>
            <w:tcW w:w="1461" w:type="dxa"/>
            <w:tcBorders>
              <w:top w:val="single" w:sz="4" w:space="0" w:color="auto"/>
              <w:left w:val="nil"/>
              <w:bottom w:val="single" w:sz="4" w:space="0" w:color="auto"/>
              <w:right w:val="nil"/>
            </w:tcBorders>
            <w:vAlign w:val="center"/>
            <w:hideMark/>
          </w:tcPr>
          <w:p w14:paraId="454FAEB8" w14:textId="77777777" w:rsidR="00651526" w:rsidRPr="0053182F" w:rsidRDefault="00651526" w:rsidP="00D20468">
            <w:pPr>
              <w:jc w:val="center"/>
              <w:rPr>
                <w:rStyle w:val="Strong"/>
                <w:b w:val="0"/>
                <w:bCs w:val="0"/>
              </w:rPr>
            </w:pPr>
            <w:r w:rsidRPr="0053182F">
              <w:rPr>
                <w:rFonts w:eastAsia="Times New Roman"/>
                <w:lang w:eastAsia="en-GB"/>
              </w:rPr>
              <w:t>Firm</w:t>
            </w:r>
          </w:p>
        </w:tc>
        <w:tc>
          <w:tcPr>
            <w:tcW w:w="6234" w:type="dxa"/>
            <w:tcBorders>
              <w:top w:val="single" w:sz="4" w:space="0" w:color="auto"/>
              <w:left w:val="nil"/>
              <w:bottom w:val="single" w:sz="4" w:space="0" w:color="auto"/>
              <w:right w:val="nil"/>
            </w:tcBorders>
            <w:vAlign w:val="center"/>
            <w:hideMark/>
          </w:tcPr>
          <w:p w14:paraId="1CEE9E90" w14:textId="77777777" w:rsidR="00651526" w:rsidRPr="0053182F" w:rsidRDefault="00651526" w:rsidP="00D20468">
            <w:pPr>
              <w:jc w:val="both"/>
            </w:pPr>
            <w:r w:rsidRPr="0053182F">
              <w:rPr>
                <w:rFonts w:eastAsia="Times New Roman"/>
                <w:color w:val="auto"/>
                <w:lang w:eastAsia="en-GB"/>
              </w:rPr>
              <w:t>Dummy variables to control for firm effects</w:t>
            </w:r>
          </w:p>
        </w:tc>
      </w:tr>
      <w:tr w:rsidR="00651526" w:rsidRPr="0053182F" w14:paraId="59BAB529" w14:textId="77777777" w:rsidTr="00D20468">
        <w:trPr>
          <w:trHeight w:val="300"/>
        </w:trPr>
        <w:tc>
          <w:tcPr>
            <w:tcW w:w="1803" w:type="dxa"/>
            <w:tcBorders>
              <w:bottom w:val="single" w:sz="4" w:space="0" w:color="auto"/>
            </w:tcBorders>
            <w:vAlign w:val="center"/>
            <w:hideMark/>
          </w:tcPr>
          <w:p w14:paraId="55BDBB4A" w14:textId="77777777" w:rsidR="00651526" w:rsidRPr="0053182F" w:rsidRDefault="00651526" w:rsidP="00D20468">
            <w:pPr>
              <w:rPr>
                <w:rStyle w:val="Strong"/>
              </w:rPr>
            </w:pPr>
            <w:r w:rsidRPr="0053182F">
              <w:rPr>
                <w:rFonts w:eastAsia="Times New Roman"/>
                <w:lang w:eastAsia="en-GB"/>
              </w:rPr>
              <w:t>Year</w:t>
            </w:r>
          </w:p>
        </w:tc>
        <w:tc>
          <w:tcPr>
            <w:tcW w:w="1461" w:type="dxa"/>
            <w:tcBorders>
              <w:top w:val="single" w:sz="4" w:space="0" w:color="auto"/>
              <w:left w:val="nil"/>
              <w:bottom w:val="single" w:sz="4" w:space="0" w:color="auto"/>
              <w:right w:val="nil"/>
            </w:tcBorders>
            <w:vAlign w:val="center"/>
            <w:hideMark/>
          </w:tcPr>
          <w:p w14:paraId="6AC6E5DD" w14:textId="77777777" w:rsidR="00651526" w:rsidRPr="0053182F" w:rsidRDefault="00651526" w:rsidP="00D20468">
            <w:pPr>
              <w:jc w:val="center"/>
              <w:rPr>
                <w:rStyle w:val="Strong"/>
                <w:b w:val="0"/>
                <w:bCs w:val="0"/>
              </w:rPr>
            </w:pPr>
            <w:r w:rsidRPr="0053182F">
              <w:rPr>
                <w:rFonts w:eastAsia="Times New Roman"/>
                <w:lang w:eastAsia="en-GB"/>
              </w:rPr>
              <w:t>Year</w:t>
            </w:r>
          </w:p>
        </w:tc>
        <w:tc>
          <w:tcPr>
            <w:tcW w:w="6234" w:type="dxa"/>
            <w:tcBorders>
              <w:top w:val="single" w:sz="4" w:space="0" w:color="auto"/>
              <w:left w:val="nil"/>
              <w:bottom w:val="single" w:sz="4" w:space="0" w:color="auto"/>
              <w:right w:val="nil"/>
            </w:tcBorders>
            <w:vAlign w:val="center"/>
            <w:hideMark/>
          </w:tcPr>
          <w:p w14:paraId="6B6D4346" w14:textId="77777777" w:rsidR="00651526" w:rsidRPr="0053182F" w:rsidRDefault="00651526" w:rsidP="00D20468">
            <w:pPr>
              <w:jc w:val="both"/>
            </w:pPr>
            <w:r w:rsidRPr="0053182F">
              <w:rPr>
                <w:rFonts w:eastAsia="Times New Roman"/>
                <w:color w:val="auto"/>
                <w:lang w:eastAsia="en-GB"/>
              </w:rPr>
              <w:t>Dummy variables to control for year effects</w:t>
            </w:r>
          </w:p>
        </w:tc>
      </w:tr>
      <w:tr w:rsidR="00651526" w:rsidRPr="0053182F" w14:paraId="6B8AC7A4" w14:textId="77777777" w:rsidTr="00D20468">
        <w:trPr>
          <w:trHeight w:val="300"/>
        </w:trPr>
        <w:tc>
          <w:tcPr>
            <w:tcW w:w="1803" w:type="dxa"/>
            <w:tcBorders>
              <w:top w:val="single" w:sz="4" w:space="0" w:color="auto"/>
            </w:tcBorders>
            <w:vAlign w:val="center"/>
            <w:hideMark/>
          </w:tcPr>
          <w:p w14:paraId="6AC4D2EA" w14:textId="77777777" w:rsidR="00651526" w:rsidRPr="0053182F" w:rsidRDefault="00651526" w:rsidP="00D20468">
            <w:pPr>
              <w:rPr>
                <w:rStyle w:val="Strong"/>
              </w:rPr>
            </w:pPr>
            <w:r w:rsidRPr="0053182F">
              <w:rPr>
                <w:rFonts w:eastAsia="Times New Roman"/>
                <w:lang w:eastAsia="en-GB"/>
              </w:rPr>
              <w:t>Capital Intensive Industry</w:t>
            </w:r>
          </w:p>
        </w:tc>
        <w:tc>
          <w:tcPr>
            <w:tcW w:w="7695" w:type="dxa"/>
            <w:gridSpan w:val="2"/>
            <w:tcBorders>
              <w:top w:val="single" w:sz="4" w:space="0" w:color="auto"/>
              <w:left w:val="nil"/>
              <w:bottom w:val="single" w:sz="4" w:space="0" w:color="auto"/>
              <w:right w:val="nil"/>
            </w:tcBorders>
            <w:vAlign w:val="center"/>
            <w:hideMark/>
          </w:tcPr>
          <w:p w14:paraId="1BDC3FDD" w14:textId="77777777" w:rsidR="00651526" w:rsidRPr="0053182F" w:rsidRDefault="00651526" w:rsidP="00D20468">
            <w:pPr>
              <w:jc w:val="both"/>
            </w:pPr>
            <w:r w:rsidRPr="0053182F">
              <w:rPr>
                <w:rFonts w:eastAsia="Times New Roman"/>
              </w:rPr>
              <w:t xml:space="preserve">Capital-intensive industries rely heavily on large-scale investments in machinery, equipment, and technology rather than on human labour. Firms in these industries often have higher fixed costs but greater automation and efficiency </w:t>
            </w:r>
            <w:sdt>
              <w:sdtPr>
                <w:tag w:val="MENDELEY_CITATION_v3_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U2hpcmxleSIsInBhcnNlLW5hbWVzIjpmYWxzZSwiZHJvcHBpbmctcGFydGljbGUiOiIiLCJub24tZHJvcHBpbmctcGFydGljbGUiOiIifV0sImNvbnRhaW5lci10aXRsZSI6IlN1c3RhaW5hYmlsaXR5IiwiY29udGFpbmVyLXRpdGxlLXNob3J0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n0sImlzVGVtcG9yYXJ5IjpmYWxzZX1dfQ=="/>
                <w:id w:val="341283516"/>
                <w:placeholder>
                  <w:docPart w:val="2194182F28E748999A981D192771F88E"/>
                </w:placeholder>
              </w:sdtPr>
              <w:sdtContent>
                <w:r w:rsidRPr="0053182F">
                  <w:rPr>
                    <w:rFonts w:eastAsia="Times New Roman"/>
                  </w:rPr>
                  <w:t xml:space="preserve">(Helfaya </w:t>
                </w:r>
                <w:r w:rsidRPr="0053182F">
                  <w:rPr>
                    <w:rFonts w:eastAsia="Times New Roman"/>
                    <w:i/>
                    <w:iCs/>
                  </w:rPr>
                  <w:t>et al.</w:t>
                </w:r>
                <w:r w:rsidRPr="0053182F">
                  <w:rPr>
                    <w:rFonts w:eastAsia="Times New Roman"/>
                  </w:rPr>
                  <w:t>, 2024)</w:t>
                </w:r>
              </w:sdtContent>
            </w:sdt>
          </w:p>
        </w:tc>
      </w:tr>
      <w:tr w:rsidR="00651526" w:rsidRPr="0053182F" w14:paraId="2CF8CE40" w14:textId="77777777" w:rsidTr="00D20468">
        <w:trPr>
          <w:trHeight w:val="300"/>
        </w:trPr>
        <w:tc>
          <w:tcPr>
            <w:tcW w:w="1803" w:type="dxa"/>
            <w:vAlign w:val="center"/>
            <w:hideMark/>
          </w:tcPr>
          <w:p w14:paraId="4619CDEC" w14:textId="77777777" w:rsidR="00651526" w:rsidRPr="0053182F" w:rsidRDefault="00651526" w:rsidP="00D20468">
            <w:pPr>
              <w:rPr>
                <w:rStyle w:val="Strong"/>
              </w:rPr>
            </w:pPr>
            <w:r w:rsidRPr="0053182F">
              <w:rPr>
                <w:rFonts w:eastAsia="Times New Roman"/>
                <w:lang w:eastAsia="en-GB"/>
              </w:rPr>
              <w:t>Labour-intensive Industries</w:t>
            </w:r>
          </w:p>
        </w:tc>
        <w:tc>
          <w:tcPr>
            <w:tcW w:w="7695" w:type="dxa"/>
            <w:gridSpan w:val="2"/>
            <w:tcBorders>
              <w:top w:val="single" w:sz="4" w:space="0" w:color="auto"/>
              <w:left w:val="nil"/>
              <w:bottom w:val="single" w:sz="4" w:space="0" w:color="auto"/>
              <w:right w:val="nil"/>
            </w:tcBorders>
            <w:vAlign w:val="center"/>
            <w:hideMark/>
          </w:tcPr>
          <w:p w14:paraId="66FDAD93" w14:textId="77777777" w:rsidR="00651526" w:rsidRPr="0053182F" w:rsidRDefault="00651526" w:rsidP="00D20468">
            <w:pPr>
              <w:jc w:val="both"/>
            </w:pPr>
            <w:r w:rsidRPr="0053182F">
              <w:rPr>
                <w:rFonts w:eastAsia="Times New Roman"/>
              </w:rPr>
              <w:t xml:space="preserve">Labour-intensive industries primarily depend on human effort rather than automated processes. These industries are more vulnerable to labour exploitation, requiring stronger governance frameworks to mitigate MS risks </w:t>
            </w:r>
            <w:sdt>
              <w:sdtPr>
                <w:tag w:val="MENDELEY_CITATION_v3_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U2hpcmxleSIsInBhcnNlLW5hbWVzIjpmYWxzZSwiZHJvcHBpbmctcGFydGljbGUiOiIiLCJub24tZHJvcHBpbmctcGFydGljbGUiOiIifV0sImNvbnRhaW5lci10aXRsZSI6IlN1c3RhaW5hYmlsaXR5IiwiY29udGFpbmVyLXRpdGxlLXNob3J0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n0sImlzVGVtcG9yYXJ5IjpmYWxzZX1dfQ=="/>
                <w:id w:val="1025174036"/>
                <w:placeholder>
                  <w:docPart w:val="D25F254A236340D7A3981DE03BC5FDD1"/>
                </w:placeholder>
              </w:sdtPr>
              <w:sdtContent>
                <w:r w:rsidRPr="0053182F">
                  <w:rPr>
                    <w:rFonts w:eastAsia="Times New Roman"/>
                  </w:rPr>
                  <w:t xml:space="preserve">(Helfaya </w:t>
                </w:r>
                <w:r w:rsidRPr="0053182F">
                  <w:rPr>
                    <w:rFonts w:eastAsia="Times New Roman"/>
                    <w:i/>
                    <w:iCs/>
                  </w:rPr>
                  <w:t>et al.</w:t>
                </w:r>
                <w:r w:rsidRPr="0053182F">
                  <w:rPr>
                    <w:rFonts w:eastAsia="Times New Roman"/>
                  </w:rPr>
                  <w:t>, 2024)</w:t>
                </w:r>
              </w:sdtContent>
            </w:sdt>
            <w:r w:rsidRPr="0053182F">
              <w:t>.</w:t>
            </w:r>
          </w:p>
        </w:tc>
      </w:tr>
      <w:tr w:rsidR="00651526" w:rsidRPr="0053182F" w14:paraId="623AF4F3" w14:textId="77777777" w:rsidTr="00D20468">
        <w:trPr>
          <w:trHeight w:val="300"/>
        </w:trPr>
        <w:tc>
          <w:tcPr>
            <w:tcW w:w="1803" w:type="dxa"/>
            <w:vAlign w:val="center"/>
            <w:hideMark/>
          </w:tcPr>
          <w:p w14:paraId="600D2BAA" w14:textId="77777777" w:rsidR="00651526" w:rsidRPr="0053182F" w:rsidRDefault="00651526" w:rsidP="00D20468">
            <w:pPr>
              <w:rPr>
                <w:rStyle w:val="Strong"/>
              </w:rPr>
            </w:pPr>
            <w:r w:rsidRPr="0053182F">
              <w:rPr>
                <w:rFonts w:eastAsia="Times New Roman"/>
                <w:lang w:eastAsia="en-GB"/>
              </w:rPr>
              <w:t>High-risk sectors for CMS</w:t>
            </w:r>
          </w:p>
        </w:tc>
        <w:tc>
          <w:tcPr>
            <w:tcW w:w="7695" w:type="dxa"/>
            <w:gridSpan w:val="2"/>
            <w:tcBorders>
              <w:top w:val="single" w:sz="4" w:space="0" w:color="auto"/>
              <w:left w:val="nil"/>
              <w:bottom w:val="single" w:sz="4" w:space="0" w:color="auto"/>
              <w:right w:val="nil"/>
            </w:tcBorders>
            <w:vAlign w:val="center"/>
          </w:tcPr>
          <w:p w14:paraId="7450FE5C" w14:textId="77777777" w:rsidR="00651526" w:rsidRPr="0053182F" w:rsidRDefault="00651526" w:rsidP="00D20468">
            <w:pPr>
              <w:jc w:val="both"/>
            </w:pPr>
            <w:r w:rsidRPr="0053182F">
              <w:rPr>
                <w:rFonts w:eastAsia="Times New Roman"/>
                <w:color w:val="auto"/>
                <w:lang w:eastAsia="en-GB"/>
              </w:rPr>
              <w:t xml:space="preserve">Dummy variable representing industries with a high risk of exposure to MS risks </w:t>
            </w:r>
            <w:sdt>
              <w:sdtPr>
                <w:rPr>
                  <w:rFonts w:eastAsia="Times New Roman"/>
                  <w:lang w:eastAsia="en-GB"/>
                </w:rPr>
                <w:tag w:val="MENDELEY_CITATION_v3_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"/>
                <w:id w:val="149890001"/>
                <w:placeholder>
                  <w:docPart w:val="975D004A05D4456F823B139D7F241B45"/>
                </w:placeholder>
              </w:sdtPr>
              <w:sdtEndPr>
                <w:rPr>
                  <w:rFonts w:eastAsiaTheme="minorHAnsi"/>
                  <w:lang w:eastAsia="en-US"/>
                </w:rPr>
              </w:sdtEndPr>
              <w:sdtContent>
                <w:r w:rsidRPr="0053182F">
                  <w:rPr>
                    <w:rFonts w:eastAsia="Times New Roman"/>
                  </w:rPr>
                  <w:t xml:space="preserve">(Allam </w:t>
                </w:r>
                <w:r w:rsidRPr="0053182F">
                  <w:rPr>
                    <w:rFonts w:eastAsia="Times New Roman"/>
                    <w:i/>
                    <w:iCs/>
                  </w:rPr>
                  <w:t>et al.</w:t>
                </w:r>
                <w:r w:rsidRPr="0053182F">
                  <w:rPr>
                    <w:rFonts w:eastAsia="Times New Roman"/>
                  </w:rPr>
                  <w:t xml:space="preserve">, 2024; Cousins </w:t>
                </w:r>
                <w:r w:rsidRPr="0053182F">
                  <w:rPr>
                    <w:rFonts w:eastAsia="Times New Roman"/>
                    <w:i/>
                    <w:iCs/>
                  </w:rPr>
                  <w:t>et al.</w:t>
                </w:r>
                <w:r w:rsidRPr="0053182F">
                  <w:rPr>
                    <w:rFonts w:eastAsia="Times New Roman"/>
                  </w:rPr>
                  <w:t>, 2020)</w:t>
                </w:r>
              </w:sdtContent>
            </w:sdt>
            <w:r w:rsidRPr="0053182F">
              <w:t>.</w:t>
            </w:r>
          </w:p>
        </w:tc>
      </w:tr>
      <w:tr w:rsidR="00651526" w:rsidRPr="0053182F" w14:paraId="1E906B6F" w14:textId="77777777" w:rsidTr="00D20468">
        <w:trPr>
          <w:trHeight w:val="300"/>
        </w:trPr>
        <w:tc>
          <w:tcPr>
            <w:tcW w:w="1803" w:type="dxa"/>
            <w:vAlign w:val="center"/>
            <w:hideMark/>
          </w:tcPr>
          <w:p w14:paraId="0AD3ECEA" w14:textId="77777777" w:rsidR="00651526" w:rsidRPr="0053182F" w:rsidRDefault="00651526" w:rsidP="00D20468">
            <w:pPr>
              <w:rPr>
                <w:rStyle w:val="Strong"/>
              </w:rPr>
            </w:pPr>
            <w:r w:rsidRPr="0053182F">
              <w:rPr>
                <w:rFonts w:eastAsia="Times New Roman"/>
                <w:lang w:eastAsia="en-GB"/>
              </w:rPr>
              <w:t>Low-risk sectors for CMS</w:t>
            </w:r>
          </w:p>
        </w:tc>
        <w:tc>
          <w:tcPr>
            <w:tcW w:w="7695" w:type="dxa"/>
            <w:gridSpan w:val="2"/>
            <w:vMerge w:val="restart"/>
            <w:tcBorders>
              <w:top w:val="single" w:sz="4" w:space="0" w:color="auto"/>
              <w:left w:val="nil"/>
              <w:bottom w:val="single" w:sz="4" w:space="0" w:color="auto"/>
              <w:right w:val="nil"/>
            </w:tcBorders>
            <w:vAlign w:val="center"/>
            <w:hideMark/>
          </w:tcPr>
          <w:p w14:paraId="7F34904A" w14:textId="77777777" w:rsidR="00651526" w:rsidRPr="0053182F" w:rsidRDefault="00651526" w:rsidP="00D20468">
            <w:pPr>
              <w:jc w:val="both"/>
            </w:pPr>
            <w:r w:rsidRPr="0053182F">
              <w:rPr>
                <w:rFonts w:eastAsia="Times New Roman"/>
                <w:color w:val="auto"/>
                <w:lang w:eastAsia="en-GB"/>
              </w:rPr>
              <w:t xml:space="preserve">Dummy variable representing the industries that have a low risk of exploring MS risks </w:t>
            </w:r>
            <w:sdt>
              <w:sdtPr>
                <w:tag w:val="MENDELEY_CITATION_v3_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"/>
                <w:id w:val="613690562"/>
                <w:placeholder>
                  <w:docPart w:val="9BFE72D3FAB449BF8488AF1C496B83E6"/>
                </w:placeholder>
              </w:sdtPr>
              <w:sdtContent>
                <w:r w:rsidRPr="0053182F">
                  <w:rPr>
                    <w:rFonts w:eastAsia="Times New Roman"/>
                  </w:rPr>
                  <w:t>(Cousins et al., 2020; Allam et al., 2024)</w:t>
                </w:r>
              </w:sdtContent>
            </w:sdt>
            <w:r w:rsidRPr="0053182F">
              <w:t>.</w:t>
            </w:r>
          </w:p>
        </w:tc>
      </w:tr>
      <w:tr w:rsidR="00651526" w:rsidRPr="0053182F" w14:paraId="6C3B04AE" w14:textId="77777777" w:rsidTr="00D20468">
        <w:trPr>
          <w:trHeight w:val="300"/>
        </w:trPr>
        <w:tc>
          <w:tcPr>
            <w:tcW w:w="1803" w:type="dxa"/>
            <w:tcBorders>
              <w:top w:val="nil"/>
              <w:left w:val="nil"/>
              <w:bottom w:val="single" w:sz="4" w:space="0" w:color="auto"/>
              <w:right w:val="nil"/>
            </w:tcBorders>
          </w:tcPr>
          <w:p w14:paraId="2576413D" w14:textId="77777777" w:rsidR="00651526" w:rsidRPr="0053182F" w:rsidRDefault="00651526" w:rsidP="00D20468">
            <w:pPr>
              <w:rPr>
                <w:rStyle w:val="Strong"/>
                <w:b w:val="0"/>
                <w:bCs w:val="0"/>
              </w:rPr>
            </w:pPr>
          </w:p>
        </w:tc>
        <w:tc>
          <w:tcPr>
            <w:tcW w:w="0" w:type="auto"/>
            <w:gridSpan w:val="2"/>
            <w:vMerge/>
            <w:tcBorders>
              <w:top w:val="nil"/>
              <w:left w:val="nil"/>
              <w:bottom w:val="single" w:sz="4" w:space="0" w:color="auto"/>
              <w:right w:val="nil"/>
            </w:tcBorders>
            <w:vAlign w:val="center"/>
            <w:hideMark/>
          </w:tcPr>
          <w:p w14:paraId="44B198AD" w14:textId="77777777" w:rsidR="00651526" w:rsidRPr="0053182F" w:rsidRDefault="00651526" w:rsidP="00D20468"/>
        </w:tc>
      </w:tr>
    </w:tbl>
    <w:p w14:paraId="2F2F6D44" w14:textId="77777777" w:rsidR="00651526" w:rsidRPr="0053182F" w:rsidRDefault="00651526" w:rsidP="00651526">
      <w:pPr>
        <w:spacing w:after="0" w:line="240" w:lineRule="auto"/>
        <w:jc w:val="both"/>
        <w:rPr>
          <w:sz w:val="21"/>
          <w:szCs w:val="21"/>
        </w:rPr>
      </w:pPr>
      <w:r w:rsidRPr="0053182F">
        <w:rPr>
          <w:b/>
          <w:bCs/>
          <w:sz w:val="21"/>
          <w:szCs w:val="21"/>
        </w:rPr>
        <w:t>Source (s):</w:t>
      </w:r>
      <w:r w:rsidRPr="0053182F">
        <w:rPr>
          <w:sz w:val="21"/>
          <w:szCs w:val="21"/>
        </w:rPr>
        <w:t xml:space="preserve"> Author's own work</w:t>
      </w:r>
    </w:p>
    <w:p w14:paraId="497F8C77" w14:textId="77777777" w:rsidR="00651526" w:rsidRPr="0053182F" w:rsidRDefault="00651526" w:rsidP="00651526">
      <w:pPr>
        <w:spacing w:after="0" w:line="240" w:lineRule="auto"/>
        <w:jc w:val="both"/>
      </w:pPr>
    </w:p>
    <w:p w14:paraId="3D3C8500" w14:textId="77777777" w:rsidR="00651526" w:rsidRPr="0053182F" w:rsidRDefault="00651526" w:rsidP="00651526">
      <w:pPr>
        <w:pStyle w:val="Heading2"/>
        <w:rPr>
          <w:lang w:eastAsia="en-GB"/>
        </w:rPr>
      </w:pPr>
      <w:bookmarkStart w:id="379" w:name="_Toc215651889"/>
      <w:bookmarkStart w:id="380" w:name="_Toc216557289"/>
      <w:bookmarkStart w:id="381" w:name="_Toc218357179"/>
      <w:r w:rsidRPr="0053182F">
        <w:rPr>
          <w:lang w:eastAsia="en-GB"/>
        </w:rPr>
        <w:t>7.11. Dependent Variable:</w:t>
      </w:r>
      <w:bookmarkEnd w:id="379"/>
      <w:bookmarkEnd w:id="380"/>
      <w:bookmarkEnd w:id="381"/>
    </w:p>
    <w:p w14:paraId="55C72DAF" w14:textId="77777777" w:rsidR="00651526" w:rsidRPr="0053182F" w:rsidRDefault="00651526" w:rsidP="00651526">
      <w:pPr>
        <w:spacing w:line="480" w:lineRule="auto"/>
        <w:jc w:val="both"/>
        <w:rPr>
          <w:color w:val="auto"/>
        </w:rPr>
      </w:pPr>
      <w:r w:rsidRPr="0053182F">
        <w:rPr>
          <w:color w:val="auto"/>
        </w:rPr>
        <w:t>The dependent variable for the meso-level quantitative analysis is the ACMS Index, developed to capture the extent of a firm’s formal governance commitments to addressing CMS risks within its operations and global supply chains. The ACMS Index is constructed as a policy-based, disclosure-driven measure that reflects the presence and strength of ACMS policies, due diligence systems, and governance mechanisms documented in publicly available reports.</w:t>
      </w:r>
    </w:p>
    <w:p w14:paraId="553086DD" w14:textId="4F8EAC49" w:rsidR="00651526" w:rsidRPr="0053182F" w:rsidRDefault="00651526" w:rsidP="00651526">
      <w:pPr>
        <w:spacing w:line="480" w:lineRule="auto"/>
        <w:ind w:firstLine="720"/>
        <w:jc w:val="both"/>
        <w:rPr>
          <w:color w:val="auto"/>
        </w:rPr>
      </w:pPr>
      <w:r w:rsidRPr="0053182F">
        <w:rPr>
          <w:color w:val="auto"/>
        </w:rPr>
        <w:t xml:space="preserve">Although the ACMS Index does not directly measure the actual implementation or effectiveness of ACMS practices, it is theoretically justified within the NIT framework. NIT emphasises that organisations respond to coercive pressures (e.g., regulatory requirements such as MSAs), normative pressures (professional and societal expectations), and mimetic pressures (imitation of industry leaders) by adopting formal structures and policies that signal compliance and legitimacy. Thus, policy disclosures—despite the potential gap between rhetoric and practice—constitute a valid indicator of firms’ institutional responses to external accountability demands </w:t>
      </w:r>
      <w:sdt>
        <w:sdtPr>
          <w:tag w:val="MENDELEY_CITATION_v3_eyJjaXRhdGlvbklEIjoiTUVOREVMRVlfQ0lUQVRJT05fNDRhNzUxNTEtYWY1Ni00YmM3LWJiY2ItYTQwYjU3ZTNiYWY5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116636808"/>
          <w:placeholder>
            <w:docPart w:val="C971B9A971234310AD87EA533AE28FED"/>
          </w:placeholder>
        </w:sdtPr>
        <w:sdtContent>
          <w:sdt>
            <w:sdtPr>
              <w:tag w:val="MENDELEY_CITATION_v3_eyJjaXRhdGlvbklEIjoiTUVOREVMRVlfQ0lUQVRJT05fNDRhNzUxNTEtYWY1Ni00YmM3LWJiY2ItYTQwYjU3ZTNiYWY5IiwicHJvcGVydGllcyI6eyJub3RlSW5kZXgiOjB9LCJpc0VkaXRlZCI6ZmFsc2UsIm1hbnVhbE92ZXJyaWRlIjp7ImlzTWFudWFsbHlPdmVycmlkZGVuIjpmYWxzZSwiY2l0ZXByb2NUZXh0IjoiKEd1dGllcnJlei1IdWVydGVyIE8gPGk+ZXQgYWwuPC9pPiwgMjAyMzsgS2FyYW1hdHphbmlzIDxpPmV0IGFsLjwvaT4sIDIwMjU7I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"/>
              <w:id w:val="854927772"/>
              <w:placeholder>
                <w:docPart w:val="DF5E213B76354EB7BA0BAA5A60CDF5F5"/>
              </w:placeholder>
            </w:sdtPr>
            <w:sdtContent>
              <w:r w:rsidR="00F16215" w:rsidRPr="00DA7999">
                <w:rPr>
                  <w:rFonts w:eastAsia="Times New Roman"/>
                </w:rPr>
                <w:t xml:space="preserve">(Gutierrez-Huerter O </w:t>
              </w:r>
              <w:r w:rsidR="00F16215" w:rsidRPr="00DA7999">
                <w:rPr>
                  <w:rFonts w:eastAsia="Times New Roman"/>
                  <w:i/>
                  <w:iCs/>
                </w:rPr>
                <w:t>et al.</w:t>
              </w:r>
              <w:r w:rsidR="00F16215" w:rsidRPr="00DA7999">
                <w:rPr>
                  <w:rFonts w:eastAsia="Times New Roman"/>
                </w:rPr>
                <w:t xml:space="preserve">, 2023; Karamatzanis </w:t>
              </w:r>
              <w:r w:rsidR="00F16215" w:rsidRPr="00DA7999">
                <w:rPr>
                  <w:rFonts w:eastAsia="Times New Roman"/>
                  <w:i/>
                  <w:iCs/>
                </w:rPr>
                <w:t>et al.</w:t>
              </w:r>
              <w:r w:rsidR="00F16215" w:rsidRPr="00DA7999">
                <w:rPr>
                  <w:rFonts w:eastAsia="Times New Roman"/>
                </w:rPr>
                <w:t xml:space="preserve">, 2025; Muthuthantrige </w:t>
              </w:r>
              <w:r w:rsidR="00F16215" w:rsidRPr="00DA7999">
                <w:rPr>
                  <w:rFonts w:eastAsia="Times New Roman"/>
                  <w:i/>
                  <w:iCs/>
                </w:rPr>
                <w:t>et al.</w:t>
              </w:r>
              <w:r w:rsidR="00F16215" w:rsidRPr="00DA7999">
                <w:rPr>
                  <w:rFonts w:eastAsia="Times New Roman"/>
                </w:rPr>
                <w:t>, 2026)</w:t>
              </w:r>
            </w:sdtContent>
          </w:sdt>
        </w:sdtContent>
      </w:sdt>
      <w:r w:rsidRPr="0053182F">
        <w:rPr>
          <w:color w:val="auto"/>
        </w:rPr>
        <w:t>.</w:t>
      </w:r>
    </w:p>
    <w:p w14:paraId="41B2A287" w14:textId="210CFC05" w:rsidR="00651526" w:rsidRPr="0053182F" w:rsidRDefault="00651526" w:rsidP="00651526">
      <w:pPr>
        <w:spacing w:line="480" w:lineRule="auto"/>
        <w:ind w:firstLine="720"/>
        <w:jc w:val="both"/>
        <w:rPr>
          <w:lang w:eastAsia="en-GB"/>
        </w:rPr>
      </w:pPr>
      <w:r w:rsidRPr="0053182F">
        <w:rPr>
          <w:color w:val="auto"/>
        </w:rPr>
        <w:t xml:space="preserve">The ACMS Index is therefore conceptualised as a proxy for a firm’s formalised AMS governance architecture, capturing how organisations position themselves in relation to legal, ethical, and reputational expectations. This aligns with prior scholarship that uses disclosure-based indices to measure corporate commitments to human rights, MS, and sustainability governance </w:t>
      </w:r>
      <w:sdt>
        <w:sdtPr>
          <w:tag w:val="MENDELEY_CITATION_v3_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"/>
          <w:id w:val="-1168250164"/>
          <w:placeholder>
            <w:docPart w:val="3D2726C6FCC441A4835FCC6E5F8B14FC"/>
          </w:placeholder>
        </w:sdtPr>
        <w:sdtContent>
          <w:r w:rsidRPr="0053182F">
            <w:t>(Burritt and Christ, 2021; Islam and Van Staden, 202</w:t>
          </w:r>
          <w:r w:rsidR="00DF28DA">
            <w:t>1</w:t>
          </w:r>
          <w:r w:rsidRPr="0053182F">
            <w:t>; Young and Gad, 2022)</w:t>
          </w:r>
        </w:sdtContent>
      </w:sdt>
      <w:r w:rsidRPr="0053182F">
        <w:t xml:space="preserve">. </w:t>
      </w:r>
      <w:r w:rsidRPr="0053182F">
        <w:rPr>
          <w:lang w:eastAsia="en-GB"/>
        </w:rPr>
        <w:t>The ACMS Index ranges from 0 to 100, with higher values representing more comprehensive policy articulation and stronger formalised commitments.</w:t>
      </w:r>
    </w:p>
    <w:p w14:paraId="7D11F180" w14:textId="77777777" w:rsidR="00651526" w:rsidRPr="0053182F" w:rsidRDefault="00651526" w:rsidP="00651526">
      <w:pPr>
        <w:spacing w:line="480" w:lineRule="auto"/>
        <w:ind w:firstLine="720"/>
        <w:jc w:val="both"/>
        <w:rPr>
          <w:lang w:eastAsia="en-GB"/>
        </w:rPr>
      </w:pPr>
      <w:r w:rsidRPr="0053182F">
        <w:rPr>
          <w:lang w:eastAsia="en-GB"/>
        </w:rPr>
        <w:t>The ACMS Index is constructed using six policy dimensions reported in the Refinitiv Eikon database, each of which reflects a core aspect of corporate labour-rights governance:</w:t>
      </w:r>
    </w:p>
    <w:p w14:paraId="346AC13F" w14:textId="77777777" w:rsidR="00651526" w:rsidRPr="0053182F" w:rsidRDefault="00651526" w:rsidP="00651526">
      <w:pPr>
        <w:pStyle w:val="ListParagraph"/>
        <w:numPr>
          <w:ilvl w:val="0"/>
          <w:numId w:val="40"/>
        </w:numPr>
        <w:shd w:val="clear" w:color="auto" w:fill="FFFFFF" w:themeFill="background1"/>
        <w:spacing w:after="0" w:line="480" w:lineRule="auto"/>
        <w:jc w:val="both"/>
        <w:rPr>
          <w:lang w:eastAsia="en-GB"/>
        </w:rPr>
      </w:pPr>
      <w:r w:rsidRPr="0053182F">
        <w:rPr>
          <w:lang w:eastAsia="en-GB"/>
        </w:rPr>
        <w:t>Health and Safety Policy (H&amp;S)</w:t>
      </w:r>
    </w:p>
    <w:p w14:paraId="7E847090" w14:textId="77777777" w:rsidR="00651526" w:rsidRPr="0053182F" w:rsidRDefault="00651526" w:rsidP="00651526">
      <w:pPr>
        <w:pStyle w:val="ListParagraph"/>
        <w:numPr>
          <w:ilvl w:val="0"/>
          <w:numId w:val="40"/>
        </w:numPr>
        <w:shd w:val="clear" w:color="auto" w:fill="FFFFFF" w:themeFill="background1"/>
        <w:spacing w:after="0" w:line="480" w:lineRule="auto"/>
        <w:jc w:val="both"/>
        <w:rPr>
          <w:lang w:eastAsia="en-GB"/>
        </w:rPr>
      </w:pPr>
      <w:r w:rsidRPr="0053182F">
        <w:rPr>
          <w:lang w:eastAsia="en-GB"/>
        </w:rPr>
        <w:t>Child Labour Policy (CL)</w:t>
      </w:r>
    </w:p>
    <w:p w14:paraId="39DF4CFB" w14:textId="77777777" w:rsidR="00651526" w:rsidRPr="0053182F" w:rsidRDefault="00651526" w:rsidP="00651526">
      <w:pPr>
        <w:pStyle w:val="ListParagraph"/>
        <w:numPr>
          <w:ilvl w:val="0"/>
          <w:numId w:val="40"/>
        </w:numPr>
        <w:shd w:val="clear" w:color="auto" w:fill="FFFFFF" w:themeFill="background1"/>
        <w:spacing w:after="0" w:line="480" w:lineRule="auto"/>
        <w:jc w:val="both"/>
        <w:rPr>
          <w:lang w:eastAsia="en-GB"/>
        </w:rPr>
      </w:pPr>
      <w:r w:rsidRPr="0053182F">
        <w:rPr>
          <w:lang w:eastAsia="en-GB"/>
        </w:rPr>
        <w:t>Forced Labour Policy (FL)</w:t>
      </w:r>
    </w:p>
    <w:p w14:paraId="46991F03" w14:textId="77777777" w:rsidR="00651526" w:rsidRPr="0053182F" w:rsidRDefault="00651526" w:rsidP="00651526">
      <w:pPr>
        <w:pStyle w:val="ListParagraph"/>
        <w:numPr>
          <w:ilvl w:val="0"/>
          <w:numId w:val="40"/>
        </w:numPr>
        <w:shd w:val="clear" w:color="auto" w:fill="FFFFFF" w:themeFill="background1"/>
        <w:spacing w:after="0" w:line="480" w:lineRule="auto"/>
        <w:jc w:val="both"/>
        <w:rPr>
          <w:lang w:eastAsia="en-GB"/>
        </w:rPr>
      </w:pPr>
      <w:r w:rsidRPr="0053182F">
        <w:rPr>
          <w:lang w:eastAsia="en-GB"/>
        </w:rPr>
        <w:t>Human Rights Contractor Policy (HRCON)</w:t>
      </w:r>
    </w:p>
    <w:p w14:paraId="7B478A28" w14:textId="77777777" w:rsidR="00651526" w:rsidRPr="0053182F" w:rsidRDefault="00651526" w:rsidP="00651526">
      <w:pPr>
        <w:pStyle w:val="ListParagraph"/>
        <w:numPr>
          <w:ilvl w:val="0"/>
          <w:numId w:val="40"/>
        </w:numPr>
        <w:shd w:val="clear" w:color="auto" w:fill="FFFFFF" w:themeFill="background1"/>
        <w:spacing w:after="0" w:line="480" w:lineRule="auto"/>
        <w:jc w:val="both"/>
        <w:rPr>
          <w:lang w:eastAsia="en-GB"/>
        </w:rPr>
      </w:pPr>
      <w:r w:rsidRPr="0053182F">
        <w:rPr>
          <w:lang w:eastAsia="en-GB"/>
        </w:rPr>
        <w:t>Human Rights Policy (PHR)</w:t>
      </w:r>
    </w:p>
    <w:p w14:paraId="028C1918" w14:textId="77777777" w:rsidR="00651526" w:rsidRPr="0053182F" w:rsidRDefault="00651526" w:rsidP="00651526">
      <w:pPr>
        <w:pStyle w:val="ListParagraph"/>
        <w:numPr>
          <w:ilvl w:val="0"/>
          <w:numId w:val="40"/>
        </w:numPr>
        <w:shd w:val="clear" w:color="auto" w:fill="FFFFFF" w:themeFill="background1"/>
        <w:spacing w:after="0" w:line="480" w:lineRule="auto"/>
        <w:jc w:val="both"/>
        <w:rPr>
          <w:lang w:eastAsia="en-GB"/>
        </w:rPr>
      </w:pPr>
      <w:r w:rsidRPr="0053182F">
        <w:rPr>
          <w:lang w:eastAsia="en-GB"/>
        </w:rPr>
        <w:t>ILO and United Nations Fundamental Human Rights policy score (FHR)</w:t>
      </w:r>
    </w:p>
    <w:p w14:paraId="53AB6B3C" w14:textId="77777777" w:rsidR="00651526" w:rsidRPr="0053182F" w:rsidRDefault="00651526" w:rsidP="00651526">
      <w:pPr>
        <w:shd w:val="clear" w:color="auto" w:fill="FFFFFF" w:themeFill="background1"/>
        <w:spacing w:after="0" w:line="480" w:lineRule="auto"/>
        <w:jc w:val="both"/>
        <w:rPr>
          <w:lang w:eastAsia="en-GB"/>
        </w:rPr>
      </w:pPr>
      <w:r w:rsidRPr="0053182F">
        <w:rPr>
          <w:lang w:eastAsia="en-GB"/>
        </w:rPr>
        <w:t>Each variable is standardised on a 0–100 scale, and the AMS Index is computed as their unweighted arithmetic mean:</w:t>
      </w:r>
    </w:p>
    <w:p w14:paraId="723DBB81" w14:textId="77777777" w:rsidR="00651526" w:rsidRPr="0053182F" w:rsidRDefault="00651526" w:rsidP="00651526">
      <w:pPr>
        <w:pStyle w:val="ListParagraph"/>
        <w:shd w:val="clear" w:color="auto" w:fill="FFFFFF" w:themeFill="background1"/>
        <w:spacing w:after="0" w:line="480" w:lineRule="auto"/>
        <w:ind w:left="1080"/>
        <w:jc w:val="both"/>
        <w:rPr>
          <w:lang w:eastAsia="en-GB"/>
        </w:rPr>
      </w:pPr>
      <w:r w:rsidRPr="0053182F">
        <w:rPr>
          <w:lang w:eastAsia="en-GB"/>
        </w:rPr>
        <w:t>ACMS Score = (H&amp;S + CL + FL + HRCON + PHR + FHR) / 6</w:t>
      </w:r>
    </w:p>
    <w:p w14:paraId="454F4B7C" w14:textId="2CAC8737" w:rsidR="00651526" w:rsidRPr="0053182F" w:rsidRDefault="00651526" w:rsidP="00651526">
      <w:pPr>
        <w:shd w:val="clear" w:color="auto" w:fill="FFFFFF" w:themeFill="background1"/>
        <w:spacing w:after="0" w:line="480" w:lineRule="auto"/>
        <w:jc w:val="both"/>
        <w:rPr>
          <w:lang w:eastAsia="en-GB"/>
        </w:rPr>
      </w:pPr>
      <w:r w:rsidRPr="0053182F">
        <w:rPr>
          <w:lang w:eastAsia="en-GB"/>
        </w:rPr>
        <w:t>(See Table 7.</w:t>
      </w:r>
      <w:r w:rsidR="00DC45EA">
        <w:rPr>
          <w:lang w:eastAsia="en-GB"/>
        </w:rPr>
        <w:t>8</w:t>
      </w:r>
      <w:r w:rsidRPr="0053182F">
        <w:rPr>
          <w:lang w:eastAsia="en-GB"/>
        </w:rPr>
        <w:t xml:space="preserve"> for detailed variable definitions.)</w:t>
      </w:r>
    </w:p>
    <w:p w14:paraId="0E0FA533" w14:textId="77777777" w:rsidR="00651526" w:rsidRPr="0053182F" w:rsidRDefault="00651526" w:rsidP="00651526">
      <w:pPr>
        <w:shd w:val="clear" w:color="auto" w:fill="FFFFFF" w:themeFill="background1"/>
        <w:spacing w:after="0" w:line="480" w:lineRule="auto"/>
        <w:jc w:val="both"/>
        <w:rPr>
          <w:lang w:eastAsia="en-GB"/>
        </w:rPr>
      </w:pPr>
      <w:r w:rsidRPr="0053182F">
        <w:rPr>
          <w:lang w:eastAsia="en-GB"/>
        </w:rPr>
        <w:t xml:space="preserve">This study’s use of policy-based indicators aligns with a growing body of scholarship that recognises that formal corporate disclosures provide a credible proxy for organisational commitment to labour rights governance, particularly in contexts where verified enforcement data are scarce or inconsistent. As demonstrated by Helfaya </w:t>
      </w:r>
      <w:r w:rsidRPr="0053182F">
        <w:rPr>
          <w:i/>
          <w:iCs/>
          <w:lang w:eastAsia="en-GB"/>
        </w:rPr>
        <w:t>et al</w:t>
      </w:r>
      <w:r w:rsidRPr="0053182F">
        <w:rPr>
          <w:lang w:eastAsia="en-GB"/>
        </w:rPr>
        <w:t xml:space="preserve"> (2024), policy statements on forced labour, child labour, and broader human rights protection serve as meaningful indicators of a firm’s ethical orientation and governance stance. </w:t>
      </w:r>
      <w:sdt>
        <w:sdtPr>
          <w:rPr>
            <w:lang w:eastAsia="en-GB"/>
          </w:rPr>
          <w:tag w:val="MENDELEY_CITATION_v3_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"/>
          <w:id w:val="-1986925507"/>
          <w:placeholder>
            <w:docPart w:val="3D2726C6FCC441A4835FCC6E5F8B14FC"/>
          </w:placeholder>
        </w:sdtPr>
        <w:sdtContent>
          <w:r w:rsidRPr="0053182F">
            <w:rPr>
              <w:lang w:eastAsia="en-GB"/>
            </w:rPr>
            <w:t>Locke (2013)</w:t>
          </w:r>
        </w:sdtContent>
      </w:sdt>
      <w:r w:rsidRPr="0053182F">
        <w:rPr>
          <w:lang w:eastAsia="en-GB"/>
        </w:rPr>
        <w:t xml:space="preserve"> similarly argues that organisational responses to labour exploitation typically begin with the articulation of formal policies, which often precede and shape subsequent behavioural and operational changes. By drawing on structured policy disclosures available through the Refinitiv Eikon database, this study adopts a methodologically robust approach consistent with established ESG and social accountability research. Within this thesis, the ACMS Index is therefore conceptualised not as a measure of enforcement effectiveness, but as a theoretically justified indicator of a firm’s formal governance commitment to addressing CMS risks and aligning with evolving institutional expectations.</w:t>
      </w:r>
    </w:p>
    <w:p w14:paraId="09413E24" w14:textId="77777777" w:rsidR="00651526" w:rsidRPr="0053182F" w:rsidRDefault="00651526" w:rsidP="00651526">
      <w:pPr>
        <w:shd w:val="clear" w:color="auto" w:fill="FFFFFF" w:themeFill="background1"/>
        <w:spacing w:after="0" w:line="480" w:lineRule="auto"/>
        <w:ind w:firstLine="720"/>
        <w:jc w:val="both"/>
        <w:rPr>
          <w:rStyle w:val="Strong"/>
          <w:b w:val="0"/>
          <w:bCs w:val="0"/>
        </w:rPr>
      </w:pPr>
      <w:r w:rsidRPr="0053182F">
        <w:rPr>
          <w:lang w:eastAsia="en-GB"/>
        </w:rPr>
        <w:t>This conceptual distinction is firmly rooted in NIT, which posits that organisations frequently adopt formal structures, policies, and governance mechanisms in response to external institutional pressures from regulators, investors, civil society, and other stakeholders (DiM</w:t>
      </w:r>
      <w:sdt>
        <w:sdtPr>
          <w:rPr>
            <w:lang w:eastAsia="en-GB"/>
          </w:rPr>
          <w:tag w:val="MENDELEY_CITATION_v3_eyJjaXRhdGlvbklEIjoiTUVOREVMRVlfQ0lUQVRJT05fNTRiMjM0NzUtMjA5Yy00OWVhLTljNzMtZDVhNTM2ZWFlMTY5IiwicHJvcGVydGllcyI6eyJub3RlSW5kZXgiOjB9LCJpc0VkaXRlZCI6ZmFsc2UsIm1hbnVhbE92ZXJyaWRlIjp7ImlzTWFudWFsbHlPdmVycmlkZGVuIjp0cnVlLCJjaXRlcHJvY1RleHQiOiIoRGlNYWdnaW8gYW5kIFBvd2VsbCwgMTk4MzsgTnRpbSBhbmQgU29vYmFyb3llbiwgMjAxMykiLCJtYW51YWxPdmVycmlkZVRleHQiOiJnZ2lvIGFuZCBQb3dlbGwsIDE5ODM7IE50aW0gYW5kIFNvb2Jhcm95ZW4sIDIwMTMp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
          <w:id w:val="556434853"/>
          <w:placeholder>
            <w:docPart w:val="E42691668463444CA50CB7FE6E130285"/>
          </w:placeholder>
        </w:sdtPr>
        <w:sdtContent>
          <w:r w:rsidRPr="0053182F">
            <w:rPr>
              <w:lang w:eastAsia="en-GB"/>
            </w:rPr>
            <w:t>ggio and Powell, 1983; Ntim and Soobaroyen, 2013)</w:t>
          </w:r>
        </w:sdtContent>
      </w:sdt>
      <w:r w:rsidRPr="0053182F">
        <w:rPr>
          <w:lang w:eastAsia="en-GB"/>
        </w:rPr>
        <w:t xml:space="preserve">. Such policy adoption—whether or not it translates into substantive operational change—constitutes a form of institutional isomorphism aimed at signalling conformity with prevailing social, regulatory, and normative expectations. In this regard, the existence of formal ACMS policies reflects a firm’s efforts to secure organisational legitimacy, manage reputational exposure, and align with globally recognised governance standards, including SDG Target 8.7 and emerging mandatory human rights due diligence frameworks </w:t>
      </w:r>
      <w:sdt>
        <w:sdtPr>
          <w:rPr>
            <w:rStyle w:val="Strong"/>
            <w:b w:val="0"/>
            <w:bCs w:val="0"/>
          </w:rPr>
          <w:tag w:val="MENDELEY_CITATION_v3_eyJjaXRhdGlvbklEIjoiTUVOREVMRVlfQ0lUQVRJT05fZTQzYzFlYjAtOGI3YS00ZGM2LTkwMGUtYzk1NDlkMjY4YTdmIiwicHJvcGVydGllcyI6eyJub3RlSW5kZXgiOjB9LCJpc0VkaXRlZCI6ZmFsc2UsIm1hbnVhbE92ZXJyaWRlIjp7ImlzTWFudWFsbHlPdmVycmlkZGVuIjpmYWxzZSwiY2l0ZXByb2NUZXh0IjoiKEFsbGFpbiA8aT5ldCBhbC48L2k+LCAyMDEzOyBWaWRhbCA8aT5ldCBhbC48L2k+LCAyMDIzKSIsIm1hbnVhbE92ZXJyaWRlVGV4dCI6IiJ9LCJjaXRhdGlvbkl0ZW1zIjpb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"/>
          <w:id w:val="2063124589"/>
          <w:placeholder>
            <w:docPart w:val="87435134C77E4C94AB97F69E40EB2E49"/>
          </w:placeholder>
        </w:sdtPr>
        <w:sdtContent>
          <w:r w:rsidRPr="0053182F">
            <w:rPr>
              <w:rFonts w:eastAsia="Times New Roman"/>
            </w:rPr>
            <w:t xml:space="preserve">(Allain </w:t>
          </w:r>
          <w:r w:rsidRPr="0053182F">
            <w:rPr>
              <w:rFonts w:eastAsia="Times New Roman"/>
              <w:i/>
              <w:iCs/>
            </w:rPr>
            <w:t>et al.</w:t>
          </w:r>
          <w:r w:rsidRPr="0053182F">
            <w:rPr>
              <w:rFonts w:eastAsia="Times New Roman"/>
            </w:rPr>
            <w:t xml:space="preserve">, 2013; Vidal </w:t>
          </w:r>
          <w:r w:rsidRPr="0053182F">
            <w:rPr>
              <w:rFonts w:eastAsia="Times New Roman"/>
              <w:i/>
              <w:iCs/>
            </w:rPr>
            <w:t>et al.</w:t>
          </w:r>
          <w:r w:rsidRPr="0053182F">
            <w:rPr>
              <w:rFonts w:eastAsia="Times New Roman"/>
            </w:rPr>
            <w:t>, 2023)</w:t>
          </w:r>
        </w:sdtContent>
      </w:sdt>
      <w:r w:rsidRPr="0053182F">
        <w:rPr>
          <w:rStyle w:val="Strong"/>
          <w:b w:val="0"/>
          <w:bCs w:val="0"/>
        </w:rPr>
        <w:t>.</w:t>
      </w:r>
    </w:p>
    <w:p w14:paraId="26F9AFCA" w14:textId="77777777" w:rsidR="00651526" w:rsidRPr="0053182F" w:rsidRDefault="00651526" w:rsidP="00651526">
      <w:pPr>
        <w:shd w:val="clear" w:color="auto" w:fill="FFFFFF" w:themeFill="background1"/>
        <w:spacing w:after="0" w:line="480" w:lineRule="auto"/>
        <w:ind w:firstLine="720"/>
        <w:jc w:val="both"/>
        <w:rPr>
          <w:lang w:eastAsia="en-GB"/>
        </w:rPr>
      </w:pPr>
      <w:r w:rsidRPr="0053182F">
        <w:rPr>
          <w:lang w:eastAsia="en-GB"/>
        </w:rPr>
        <w:t>While this study recognises the inherent limitations of policy-based measures—particularly the risk of symbolic adoption without corresponding action—the presence and specification of such policies remain valuable first-order indicators of a firm’s ethical orientation and governance intent. Policy disclosures provide a transparent, standardised, and cross-comparable basis for examining corporate commitments in contexts where direct evidence of enforcement is often unavailable or inconsistent. Accordingly, the ACMS score is employed in this thesis as a proxy for corporate commitment to AMS governance, capturing the extent to which firms institutionalise internal accountability mechanisms and align with international labour rights expectations, such as those embedded in the EU-CSDDD.</w:t>
      </w:r>
    </w:p>
    <w:p w14:paraId="53D9A183" w14:textId="77777777" w:rsidR="00651526" w:rsidRPr="0053182F" w:rsidRDefault="00651526" w:rsidP="00651526">
      <w:pPr>
        <w:pStyle w:val="Heading2"/>
        <w:rPr>
          <w:lang w:eastAsia="en-GB"/>
        </w:rPr>
      </w:pPr>
      <w:bookmarkStart w:id="382" w:name="_Toc215651890"/>
      <w:bookmarkStart w:id="383" w:name="_Toc216557290"/>
      <w:bookmarkStart w:id="384" w:name="_Toc218357180"/>
      <w:r w:rsidRPr="0053182F">
        <w:rPr>
          <w:lang w:eastAsia="en-GB"/>
        </w:rPr>
        <w:t>7.12 Independent Variables</w:t>
      </w:r>
      <w:bookmarkEnd w:id="382"/>
      <w:bookmarkEnd w:id="383"/>
      <w:bookmarkEnd w:id="384"/>
    </w:p>
    <w:p w14:paraId="5F160338" w14:textId="77777777" w:rsidR="00651526" w:rsidRPr="0053182F" w:rsidRDefault="00651526" w:rsidP="00651526">
      <w:pPr>
        <w:spacing w:line="480" w:lineRule="auto"/>
        <w:jc w:val="both"/>
        <w:rPr>
          <w:lang w:eastAsia="en-GB"/>
        </w:rPr>
      </w:pPr>
      <w:r w:rsidRPr="0053182F">
        <w:rPr>
          <w:lang w:eastAsia="en-GB"/>
        </w:rPr>
        <w:t>SGI index, a composite indicator (</w:t>
      </w:r>
      <w:r w:rsidRPr="0053182F">
        <w:rPr>
          <w:rStyle w:val="Strong"/>
          <w:rFonts w:eastAsiaTheme="majorEastAsia"/>
          <w:b w:val="0"/>
          <w:bCs w:val="0"/>
        </w:rPr>
        <w:t>CSRST, BGD, CSRC,</w:t>
      </w:r>
      <w:r w:rsidRPr="0053182F">
        <w:rPr>
          <w:b/>
          <w:bCs/>
        </w:rPr>
        <w:t xml:space="preserve"> </w:t>
      </w:r>
      <w:r w:rsidRPr="0053182F">
        <w:rPr>
          <w:rStyle w:val="Strong"/>
          <w:rFonts w:eastAsiaTheme="majorEastAsia"/>
          <w:b w:val="0"/>
          <w:bCs w:val="0"/>
        </w:rPr>
        <w:t xml:space="preserve">CSRA, CSP,  CSRAW and CSRREP) </w:t>
      </w:r>
      <w:r w:rsidRPr="0053182F">
        <w:rPr>
          <w:lang w:eastAsia="en-GB"/>
        </w:rPr>
        <w:t xml:space="preserve">developed to capture the extent to which firms embed sustainability-related governance structures and practices within their organisational systems. The SGI index reflects how companies internalise sustainability principles across strategic, managerial, and accountability processes. It aligns with the assumptions of NIT, which suggests that organisations adopt governance structures in response to institutionalised expectations and pressures—whether coercive, normative, or mimetic—aimed at securing legitimacy and reducing uncertainty </w:t>
      </w:r>
      <w:sdt>
        <w:sdtPr>
          <w:rPr>
            <w:lang w:eastAsia="en-GB"/>
          </w:rPr>
          <w:tag w:val="MENDELEY_CITATION_v3_eyJjaXRhdGlvbklEIjoiTUVOREVMRVlfQ0lUQVRJT05fM2JkZjdlMzAtMzkzMS00YmNhLWJlZjEtOWZiNWUwNjlkNGYw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433938512"/>
          <w:placeholder>
            <w:docPart w:val="5CF0F8EE96A24A588FF2EE14C500E619"/>
          </w:placeholder>
        </w:sdtPr>
        <w:sdtContent>
          <w:r w:rsidRPr="0053182F">
            <w:rPr>
              <w:lang w:eastAsia="en-GB"/>
            </w:rPr>
            <w:t>(DiMaggio and Powell, 1983; Scott, 2013)</w:t>
          </w:r>
        </w:sdtContent>
      </w:sdt>
      <w:r w:rsidRPr="0053182F">
        <w:rPr>
          <w:lang w:eastAsia="en-GB"/>
        </w:rPr>
        <w:t xml:space="preserve">. </w:t>
      </w:r>
      <w:r w:rsidRPr="0053182F">
        <w:t>The SGI index is constructed by averaging six governance components, each scored from 0 to 100:</w:t>
      </w:r>
    </w:p>
    <w:p w14:paraId="6A865302" w14:textId="77777777" w:rsidR="00651526" w:rsidRPr="0053182F" w:rsidRDefault="00651526" w:rsidP="00651526">
      <w:pPr>
        <w:pStyle w:val="NormalWeb"/>
        <w:spacing w:before="0" w:beforeAutospacing="0" w:after="0" w:afterAutospacing="0" w:line="480" w:lineRule="auto"/>
        <w:jc w:val="both"/>
        <w:rPr>
          <w:rStyle w:val="katex-mathml"/>
        </w:rPr>
      </w:pPr>
      <w:r w:rsidRPr="0053182F">
        <w:rPr>
          <w:rStyle w:val="katex-mathml"/>
        </w:rPr>
        <w:t>SGIs = (CSRST+BGD+CSRC+CSRA+CSP+CSRAW+CSRREP)/7</w:t>
      </w:r>
    </w:p>
    <w:p w14:paraId="3E2B617F" w14:textId="510E4F43" w:rsidR="00651526" w:rsidRPr="0053182F" w:rsidRDefault="00651526" w:rsidP="00651526">
      <w:pPr>
        <w:pStyle w:val="NormalWeb"/>
        <w:spacing w:before="0" w:beforeAutospacing="0" w:after="0" w:afterAutospacing="0" w:line="480" w:lineRule="auto"/>
        <w:jc w:val="both"/>
        <w:rPr>
          <w:rStyle w:val="katex-mathml"/>
        </w:rPr>
      </w:pPr>
      <w:r w:rsidRPr="0053182F">
        <w:rPr>
          <w:rStyle w:val="katex-mathml"/>
        </w:rPr>
        <w:t xml:space="preserve">See </w:t>
      </w:r>
      <w:r w:rsidRPr="00DA32BF">
        <w:rPr>
          <w:rStyle w:val="katex-mathml"/>
        </w:rPr>
        <w:t>Table 7.</w:t>
      </w:r>
      <w:r w:rsidR="007B0F8C" w:rsidRPr="00DA32BF">
        <w:rPr>
          <w:rStyle w:val="katex-mathml"/>
        </w:rPr>
        <w:t>8</w:t>
      </w:r>
      <w:r w:rsidRPr="00DA32BF">
        <w:rPr>
          <w:rStyle w:val="katex-mathml"/>
        </w:rPr>
        <w:t xml:space="preserve"> for</w:t>
      </w:r>
      <w:r w:rsidRPr="0053182F">
        <w:rPr>
          <w:rStyle w:val="katex-mathml"/>
        </w:rPr>
        <w:t xml:space="preserve"> the detailed definitions of these variables. </w:t>
      </w:r>
    </w:p>
    <w:p w14:paraId="214822F3" w14:textId="77777777" w:rsidR="00651526" w:rsidRPr="0053182F" w:rsidRDefault="00651526" w:rsidP="00651526">
      <w:pPr>
        <w:pStyle w:val="Heading2"/>
      </w:pPr>
      <w:bookmarkStart w:id="385" w:name="_Toc215651891"/>
      <w:bookmarkStart w:id="386" w:name="_Toc216557291"/>
      <w:bookmarkStart w:id="387" w:name="_Toc218357181"/>
      <w:r w:rsidRPr="0053182F">
        <w:rPr>
          <w:rStyle w:val="Strong"/>
          <w:b/>
        </w:rPr>
        <w:t>7</w:t>
      </w:r>
      <w:r w:rsidRPr="0053182F">
        <w:t>.13 Control Variables</w:t>
      </w:r>
      <w:bookmarkEnd w:id="385"/>
      <w:bookmarkEnd w:id="386"/>
      <w:bookmarkEnd w:id="387"/>
    </w:p>
    <w:p w14:paraId="677187A3" w14:textId="77777777" w:rsidR="00651526" w:rsidRPr="0053182F" w:rsidRDefault="00651526" w:rsidP="00651526">
      <w:pPr>
        <w:pStyle w:val="NormalWeb"/>
        <w:spacing w:before="0" w:beforeAutospacing="0" w:after="0" w:afterAutospacing="0" w:line="480" w:lineRule="auto"/>
        <w:jc w:val="both"/>
        <w:rPr>
          <w:rStyle w:val="Strong"/>
          <w:rFonts w:eastAsiaTheme="majorEastAsia"/>
          <w:b w:val="0"/>
          <w:bCs w:val="0"/>
        </w:rPr>
      </w:pPr>
      <w:r w:rsidRPr="0053182F">
        <w:rPr>
          <w:color w:val="auto"/>
        </w:rPr>
        <w:t xml:space="preserve">To enhance the robustness </w:t>
      </w:r>
      <w:r w:rsidRPr="0053182F">
        <w:t xml:space="preserve">of the results, the study incorporates control variables for corporate governance, financial performance, and firm size, while accounting for firm-specific factors that may influence the effectiveness of ACMS policy implementation. </w:t>
      </w:r>
      <w:r w:rsidRPr="0053182F">
        <w:rPr>
          <w:rStyle w:val="Strong"/>
          <w:rFonts w:eastAsiaTheme="majorEastAsia"/>
          <w:b w:val="0"/>
          <w:bCs w:val="0"/>
        </w:rPr>
        <w:t>Board Independence (BINDP)</w:t>
      </w:r>
      <w:r w:rsidRPr="0053182F">
        <w:t xml:space="preserve"> is included as a control variable because independent directors are often associated with stronger oversight and accountability, which can enhance a firm’s commitment to adopt AMS practices </w:t>
      </w:r>
      <w:sdt>
        <w:sdtPr>
          <w:tag w:val="MENDELEY_CITATION_v3_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"/>
          <w:id w:val="683250406"/>
          <w:placeholder>
            <w:docPart w:val="BA8D5702F2934A99882BD55EC7EE5D72"/>
          </w:placeholder>
        </w:sdtPr>
        <w:sdtContent>
          <w:r w:rsidRPr="0053182F">
            <w:t xml:space="preserve">(Allam </w:t>
          </w:r>
          <w:r w:rsidRPr="0053182F">
            <w:rPr>
              <w:i/>
              <w:iCs/>
            </w:rPr>
            <w:t>et al.</w:t>
          </w:r>
          <w:r w:rsidRPr="0053182F">
            <w:t>, 2024)</w:t>
          </w:r>
        </w:sdtContent>
      </w:sdt>
      <w:r w:rsidRPr="0053182F">
        <w:t xml:space="preserve">. </w:t>
      </w:r>
      <w:r w:rsidRPr="0053182F">
        <w:rPr>
          <w:rStyle w:val="Strong"/>
          <w:rFonts w:eastAsiaTheme="majorEastAsia"/>
          <w:b w:val="0"/>
          <w:bCs w:val="0"/>
        </w:rPr>
        <w:t>Board size (BSIZE) is also controlled</w:t>
      </w:r>
      <w:r w:rsidRPr="0053182F">
        <w:t xml:space="preserve">, as larger boards may either improve decision-making due to diverse perspectives or create inefficiencies that hinder effective oversight. The </w:t>
      </w:r>
      <w:r w:rsidRPr="0053182F">
        <w:rPr>
          <w:rStyle w:val="Strong"/>
          <w:rFonts w:eastAsiaTheme="majorEastAsia"/>
          <w:b w:val="0"/>
          <w:bCs w:val="0"/>
        </w:rPr>
        <w:t>profitability of a firm,</w:t>
      </w:r>
      <w:r w:rsidRPr="0053182F">
        <w:t xml:space="preserve"> measured by the </w:t>
      </w:r>
      <w:r w:rsidRPr="0053182F">
        <w:rPr>
          <w:rStyle w:val="Strong"/>
          <w:rFonts w:eastAsiaTheme="majorEastAsia"/>
          <w:b w:val="0"/>
          <w:bCs w:val="0"/>
        </w:rPr>
        <w:t>log of return on assets (Log_ROA</w:t>
      </w:r>
      <w:r w:rsidRPr="0053182F">
        <w:rPr>
          <w:b/>
          <w:bCs/>
        </w:rPr>
        <w:t>),</w:t>
      </w:r>
      <w:r w:rsidRPr="0053182F">
        <w:t xml:space="preserve"> is another key control variable, as more profitable firms may have greater financial resources to invest in </w:t>
      </w:r>
      <w:r w:rsidRPr="0053182F">
        <w:rPr>
          <w:rStyle w:val="Strong"/>
          <w:rFonts w:eastAsiaTheme="majorEastAsia"/>
          <w:b w:val="0"/>
          <w:bCs w:val="0"/>
        </w:rPr>
        <w:t>AMS initiatives.</w:t>
      </w:r>
    </w:p>
    <w:p w14:paraId="096D5D5F" w14:textId="011B8B3C" w:rsidR="00651526" w:rsidRPr="0053182F" w:rsidRDefault="00651526" w:rsidP="00651526">
      <w:pPr>
        <w:spacing w:after="0" w:line="480" w:lineRule="auto"/>
        <w:ind w:firstLine="720"/>
        <w:jc w:val="both"/>
        <w:rPr>
          <w:rFonts w:eastAsia="Times New Roman"/>
          <w:kern w:val="0"/>
          <w:lang w:eastAsia="en-GB"/>
          <w14:ligatures w14:val="none"/>
        </w:rPr>
      </w:pPr>
      <w:r w:rsidRPr="0053182F">
        <w:t xml:space="preserve">Additionally, the study includes </w:t>
      </w:r>
      <w:r w:rsidRPr="0053182F">
        <w:rPr>
          <w:rStyle w:val="Strong"/>
          <w:rFonts w:eastAsiaTheme="majorEastAsia"/>
          <w:b w:val="0"/>
          <w:bCs w:val="0"/>
        </w:rPr>
        <w:t>firm size</w:t>
      </w:r>
      <w:r w:rsidRPr="0053182F">
        <w:rPr>
          <w:b/>
          <w:bCs/>
        </w:rPr>
        <w:t xml:space="preserve">, </w:t>
      </w:r>
      <w:r w:rsidRPr="0053182F">
        <w:t>measured as the l</w:t>
      </w:r>
      <w:r w:rsidRPr="0053182F">
        <w:rPr>
          <w:rStyle w:val="Strong"/>
          <w:rFonts w:eastAsiaTheme="majorEastAsia"/>
          <w:b w:val="0"/>
          <w:bCs w:val="0"/>
        </w:rPr>
        <w:t>og of full-time employees</w:t>
      </w:r>
      <w:r w:rsidRPr="0053182F">
        <w:rPr>
          <w:rStyle w:val="Strong"/>
          <w:rFonts w:eastAsiaTheme="majorEastAsia"/>
        </w:rPr>
        <w:t xml:space="preserve"> </w:t>
      </w:r>
      <w:r w:rsidRPr="0053182F">
        <w:rPr>
          <w:rStyle w:val="Strong"/>
          <w:rFonts w:eastAsiaTheme="majorEastAsia"/>
          <w:b w:val="0"/>
          <w:bCs w:val="0"/>
        </w:rPr>
        <w:t>(Log_FTE)</w:t>
      </w:r>
      <w:r w:rsidRPr="0053182F">
        <w:rPr>
          <w:b/>
          <w:bCs/>
        </w:rPr>
        <w:t>.</w:t>
      </w:r>
      <w:r w:rsidRPr="0053182F">
        <w:t xml:space="preserve"> It helps to account for differences in operational complexity. Larger firms may have more resources to implement AMS strategies, but may also face challenges in managing complex, global supply chains </w:t>
      </w:r>
      <w:sdt>
        <w:sdtPr>
          <w:tag w:val="MENDELEY_CITATION_v3_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"/>
          <w:id w:val="-1789278810"/>
          <w:placeholder>
            <w:docPart w:val="484A42204B634E689D3851F459619B49"/>
          </w:placeholder>
        </w:sdtPr>
        <w:sdtContent>
          <w:r w:rsidRPr="0053182F">
            <w:t>(GRI and RLI, 2019)</w:t>
          </w:r>
        </w:sdtContent>
      </w:sdt>
      <w:r w:rsidRPr="0053182F">
        <w:t xml:space="preserve">. </w:t>
      </w:r>
      <w:r w:rsidRPr="0053182F">
        <w:rPr>
          <w:rStyle w:val="Strong"/>
          <w:rFonts w:eastAsiaTheme="majorEastAsia"/>
          <w:b w:val="0"/>
          <w:bCs w:val="0"/>
        </w:rPr>
        <w:t>Board Skill Diversity (BSKIL)</w:t>
      </w:r>
      <w:r w:rsidRPr="0053182F">
        <w:t xml:space="preserve"> is also controlled for, as boards with a higher proportion of directors with expertise in sustainability and ethics are more likely to implement robust governance structures, thereby contributing to the effectiveness of AMS</w:t>
      </w:r>
      <w:r w:rsidRPr="0053182F">
        <w:rPr>
          <w:rStyle w:val="Strong"/>
          <w:rFonts w:eastAsiaTheme="majorEastAsia"/>
          <w:b w:val="0"/>
          <w:bCs w:val="0"/>
        </w:rPr>
        <w:t xml:space="preserve"> efforts</w:t>
      </w:r>
      <w:r w:rsidRPr="0053182F">
        <w:rPr>
          <w:b/>
          <w:bCs/>
        </w:rPr>
        <w:t>.</w:t>
      </w:r>
      <w:r w:rsidRPr="0053182F">
        <w:t xml:space="preserve"> Detailed definitions of the control variables are presented in Table 7.</w:t>
      </w:r>
      <w:r w:rsidR="007B0F8C">
        <w:t>8</w:t>
      </w:r>
      <w:r w:rsidRPr="0053182F">
        <w:t>.</w:t>
      </w:r>
    </w:p>
    <w:p w14:paraId="43A3C13B" w14:textId="77777777" w:rsidR="00651526" w:rsidRPr="0053182F" w:rsidRDefault="00651526" w:rsidP="00651526">
      <w:pPr>
        <w:pStyle w:val="Heading2"/>
      </w:pPr>
      <w:bookmarkStart w:id="388" w:name="_Toc215651892"/>
      <w:bookmarkStart w:id="389" w:name="_Toc216557292"/>
      <w:bookmarkStart w:id="390" w:name="_Toc218357182"/>
      <w:r w:rsidRPr="0053182F">
        <w:t>7.14 Model Specification</w:t>
      </w:r>
      <w:bookmarkEnd w:id="388"/>
      <w:bookmarkEnd w:id="389"/>
      <w:bookmarkEnd w:id="390"/>
    </w:p>
    <w:p w14:paraId="7C38C55A" w14:textId="77777777" w:rsidR="00651526" w:rsidRPr="0053182F" w:rsidRDefault="00651526" w:rsidP="00651526">
      <w:pPr>
        <w:spacing w:after="0" w:line="480" w:lineRule="auto"/>
        <w:jc w:val="both"/>
      </w:pPr>
      <w:r w:rsidRPr="0053182F">
        <w:t xml:space="preserve">This study primarily employs two-stage least squares (2SLS) regression models to investigate the causal impact of firm-level sustainability governance mechanisms on their performance in addressing MS risks, as measured by the CAMS index. The 2SLS approach is chosen to address potential </w:t>
      </w:r>
      <w:r w:rsidRPr="0053182F">
        <w:rPr>
          <w:rStyle w:val="Strong"/>
          <w:b w:val="0"/>
          <w:bCs w:val="0"/>
        </w:rPr>
        <w:t>endogeneity concerns</w:t>
      </w:r>
      <w:r w:rsidRPr="0053182F">
        <w:t xml:space="preserve">, such as </w:t>
      </w:r>
      <w:r w:rsidRPr="0053182F">
        <w:rPr>
          <w:rStyle w:val="Strong"/>
          <w:b w:val="0"/>
          <w:bCs w:val="0"/>
        </w:rPr>
        <w:t>reverse causality</w:t>
      </w:r>
      <w:r w:rsidRPr="0053182F">
        <w:rPr>
          <w:b/>
          <w:bCs/>
        </w:rPr>
        <w:t xml:space="preserve">, </w:t>
      </w:r>
      <w:r w:rsidRPr="0053182F">
        <w:rPr>
          <w:rStyle w:val="Strong"/>
          <w:b w:val="0"/>
          <w:bCs w:val="0"/>
        </w:rPr>
        <w:t>simultaneity</w:t>
      </w:r>
      <w:r w:rsidRPr="0053182F">
        <w:t xml:space="preserve">, and </w:t>
      </w:r>
      <w:r w:rsidRPr="0053182F">
        <w:rPr>
          <w:rStyle w:val="Strong"/>
          <w:b w:val="0"/>
          <w:bCs w:val="0"/>
        </w:rPr>
        <w:t>omitted variable</w:t>
      </w:r>
      <w:r w:rsidRPr="0053182F">
        <w:rPr>
          <w:rStyle w:val="Strong"/>
        </w:rPr>
        <w:t xml:space="preserve"> </w:t>
      </w:r>
      <w:r w:rsidRPr="0053182F">
        <w:rPr>
          <w:rStyle w:val="Strong"/>
          <w:b w:val="0"/>
          <w:bCs w:val="0"/>
        </w:rPr>
        <w:t>bias</w:t>
      </w:r>
      <w:r w:rsidRPr="0053182F">
        <w:t xml:space="preserve">, which are common in corporate governance studies </w:t>
      </w:r>
      <w:sdt>
        <w:sdtPr>
          <w:tag w:val="MENDELEY_CITATION_v3_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"/>
          <w:id w:val="1366644997"/>
          <w:placeholder>
            <w:docPart w:val="A216A3084C36412CAE7EBD8AAE3F3F96"/>
          </w:placeholder>
        </w:sdtPr>
        <w:sdtContent>
          <w:r w:rsidRPr="0053182F">
            <w:rPr>
              <w:rFonts w:eastAsia="Times New Roman"/>
            </w:rPr>
            <w:t xml:space="preserve">(Wintoki </w:t>
          </w:r>
          <w:r w:rsidRPr="0053182F">
            <w:rPr>
              <w:rFonts w:eastAsia="Times New Roman"/>
              <w:i/>
              <w:iCs/>
            </w:rPr>
            <w:t>et al.</w:t>
          </w:r>
          <w:r w:rsidRPr="0053182F">
            <w:rPr>
              <w:rFonts w:eastAsia="Times New Roman"/>
            </w:rPr>
            <w:t>, 2012)</w:t>
          </w:r>
        </w:sdtContent>
      </w:sdt>
      <w:r w:rsidRPr="0053182F">
        <w:t>. The empirical model is specified as follows:</w:t>
      </w:r>
    </w:p>
    <w:p w14:paraId="28F8147E" w14:textId="77777777" w:rsidR="00651526" w:rsidRPr="0053182F" w:rsidRDefault="00651526" w:rsidP="00651526">
      <w:pPr>
        <w:spacing w:after="0" w:line="240" w:lineRule="auto"/>
        <w:ind w:left="720"/>
        <w:rPr>
          <w:rFonts w:eastAsia="Times New Roman"/>
          <w:kern w:val="0"/>
          <w:vertAlign w:val="subscript"/>
          <w:lang w:eastAsia="en-GB"/>
          <w14:ligatures w14:val="none"/>
        </w:rPr>
      </w:pPr>
      <w:r w:rsidRPr="0053182F">
        <w:rPr>
          <w:rFonts w:eastAsia="Times New Roman"/>
          <w:kern w:val="0"/>
          <w:vertAlign w:val="superscript"/>
          <w:lang w:eastAsia="en-GB"/>
          <w14:ligatures w14:val="none"/>
        </w:rPr>
        <w:t xml:space="preserve">                                                   </w:t>
      </w:r>
      <w:r w:rsidRPr="0053182F">
        <w:rPr>
          <w:rFonts w:eastAsia="Times New Roman"/>
          <w:kern w:val="0"/>
          <w:vertAlign w:val="subscript"/>
          <w:lang w:eastAsia="en-GB"/>
          <w14:ligatures w14:val="none"/>
        </w:rPr>
        <w:t>n</w:t>
      </w:r>
    </w:p>
    <w:p w14:paraId="5036F6EC" w14:textId="77777777" w:rsidR="00651526" w:rsidRPr="0053182F" w:rsidRDefault="00651526" w:rsidP="00651526">
      <w:pPr>
        <w:spacing w:after="0" w:line="240" w:lineRule="auto"/>
        <w:ind w:left="720"/>
        <w:rPr>
          <w:rStyle w:val="mop"/>
        </w:rPr>
      </w:pPr>
      <w:r w:rsidRPr="0053182F">
        <w:rPr>
          <w:rFonts w:eastAsia="Times New Roman"/>
          <w:kern w:val="0"/>
          <w:lang w:eastAsia="en-GB"/>
          <w14:ligatures w14:val="none"/>
        </w:rPr>
        <w:t>ACMS</w:t>
      </w:r>
      <w:r w:rsidRPr="0053182F">
        <w:rPr>
          <w:rFonts w:eastAsia="Times New Roman"/>
          <w:i/>
          <w:iCs/>
          <w:kern w:val="0"/>
          <w:vertAlign w:val="subscript"/>
          <w:lang w:eastAsia="en-GB"/>
          <w14:ligatures w14:val="none"/>
        </w:rPr>
        <w:t>it</w:t>
      </w:r>
      <w:r w:rsidRPr="0053182F">
        <w:rPr>
          <w:rFonts w:eastAsia="Times New Roman"/>
          <w:kern w:val="0"/>
          <w:vertAlign w:val="subscript"/>
          <w:lang w:eastAsia="en-GB"/>
          <w14:ligatures w14:val="none"/>
        </w:rPr>
        <w:t>​</w:t>
      </w:r>
      <w:r w:rsidRPr="0053182F">
        <w:rPr>
          <w:rFonts w:eastAsia="Times New Roman"/>
          <w:kern w:val="0"/>
          <w:lang w:eastAsia="en-GB"/>
          <w14:ligatures w14:val="none"/>
        </w:rPr>
        <w:t>=</w:t>
      </w:r>
      <w:r w:rsidRPr="0053182F">
        <w:rPr>
          <w:rFonts w:eastAsia="Times New Roman"/>
          <w:i/>
          <w:iCs/>
          <w:kern w:val="0"/>
          <w:lang w:eastAsia="en-GB"/>
          <w14:ligatures w14:val="none"/>
        </w:rPr>
        <w:t>β</w:t>
      </w:r>
      <w:r w:rsidRPr="0053182F">
        <w:rPr>
          <w:rFonts w:eastAsia="Times New Roman"/>
          <w:kern w:val="0"/>
          <w:vertAlign w:val="subscript"/>
          <w:lang w:eastAsia="en-GB"/>
          <w14:ligatures w14:val="none"/>
        </w:rPr>
        <w:t>0</w:t>
      </w:r>
      <w:r w:rsidRPr="0053182F">
        <w:rPr>
          <w:rFonts w:eastAsia="Times New Roman"/>
          <w:kern w:val="0"/>
          <w:lang w:eastAsia="en-GB"/>
          <w14:ligatures w14:val="none"/>
        </w:rPr>
        <w:t>​+</w:t>
      </w:r>
      <w:r w:rsidRPr="0053182F">
        <w:rPr>
          <w:rFonts w:eastAsia="Times New Roman"/>
          <w:i/>
          <w:iCs/>
          <w:kern w:val="0"/>
          <w:lang w:eastAsia="en-GB"/>
          <w14:ligatures w14:val="none"/>
        </w:rPr>
        <w:t>β</w:t>
      </w:r>
      <w:r w:rsidRPr="0053182F">
        <w:rPr>
          <w:rFonts w:eastAsia="Times New Roman"/>
          <w:kern w:val="0"/>
          <w:vertAlign w:val="subscript"/>
          <w:lang w:eastAsia="en-GB"/>
          <w14:ligatures w14:val="none"/>
        </w:rPr>
        <w:t>1</w:t>
      </w:r>
      <w:r w:rsidRPr="0053182F">
        <w:rPr>
          <w:rFonts w:eastAsia="Times New Roman"/>
          <w:kern w:val="0"/>
          <w:lang w:eastAsia="en-GB"/>
          <w14:ligatures w14:val="none"/>
        </w:rPr>
        <w:t>​SGIs</w:t>
      </w:r>
      <w:r w:rsidRPr="0053182F">
        <w:rPr>
          <w:rFonts w:eastAsia="Times New Roman"/>
          <w:i/>
          <w:iCs/>
          <w:kern w:val="0"/>
          <w:vertAlign w:val="subscript"/>
          <w:lang w:eastAsia="en-GB"/>
          <w14:ligatures w14:val="none"/>
        </w:rPr>
        <w:t>it</w:t>
      </w:r>
      <w:r w:rsidRPr="0053182F">
        <w:rPr>
          <w:rFonts w:eastAsia="Times New Roman"/>
          <w:kern w:val="0"/>
          <w:lang w:eastAsia="en-GB"/>
          <w14:ligatures w14:val="none"/>
        </w:rPr>
        <w:t xml:space="preserve">​+ </w:t>
      </w:r>
      <w:r w:rsidRPr="0053182F">
        <w:rPr>
          <w:rStyle w:val="mop"/>
        </w:rPr>
        <w:t>∑</w:t>
      </w:r>
      <w:r w:rsidRPr="0053182F">
        <w:rPr>
          <w:rStyle w:val="mord"/>
          <w:i/>
          <w:iCs/>
        </w:rPr>
        <w:t xml:space="preserve">γk </w:t>
      </w:r>
      <w:r w:rsidRPr="0053182F">
        <w:rPr>
          <w:rStyle w:val="vlist-s"/>
        </w:rPr>
        <w:t xml:space="preserve">​ </w:t>
      </w:r>
      <w:r w:rsidRPr="0053182F">
        <w:rPr>
          <w:rFonts w:eastAsia="Times New Roman"/>
          <w:kern w:val="0"/>
          <w:lang w:eastAsia="en-GB"/>
          <w14:ligatures w14:val="none"/>
        </w:rPr>
        <w:t>Control Variables</w:t>
      </w:r>
      <w:r w:rsidRPr="0053182F">
        <w:rPr>
          <w:rFonts w:eastAsia="Times New Roman"/>
          <w:i/>
          <w:iCs/>
          <w:kern w:val="0"/>
          <w:vertAlign w:val="subscript"/>
          <w:lang w:eastAsia="en-GB"/>
          <w14:ligatures w14:val="none"/>
        </w:rPr>
        <w:t>it</w:t>
      </w:r>
      <w:r w:rsidRPr="0053182F">
        <w:rPr>
          <w:rFonts w:eastAsia="Times New Roman"/>
          <w:kern w:val="0"/>
          <w:vertAlign w:val="subscript"/>
          <w:lang w:eastAsia="en-GB"/>
          <w14:ligatures w14:val="none"/>
        </w:rPr>
        <w:t>​</w:t>
      </w:r>
      <w:r w:rsidRPr="0053182F">
        <w:rPr>
          <w:rFonts w:eastAsia="Times New Roman"/>
          <w:kern w:val="0"/>
          <w:lang w:eastAsia="en-GB"/>
          <w14:ligatures w14:val="none"/>
        </w:rPr>
        <w:t>+</w:t>
      </w:r>
      <w:r w:rsidRPr="0053182F">
        <w:rPr>
          <w:rFonts w:eastAsia="Times New Roman"/>
          <w:i/>
          <w:iCs/>
          <w:kern w:val="0"/>
          <w:lang w:eastAsia="en-GB"/>
          <w14:ligatures w14:val="none"/>
        </w:rPr>
        <w:t>α</w:t>
      </w:r>
      <w:r w:rsidRPr="0053182F">
        <w:rPr>
          <w:rFonts w:eastAsia="Times New Roman"/>
          <w:i/>
          <w:iCs/>
          <w:kern w:val="0"/>
          <w:vertAlign w:val="subscript"/>
          <w:lang w:eastAsia="en-GB"/>
          <w14:ligatures w14:val="none"/>
        </w:rPr>
        <w:t>i</w:t>
      </w:r>
      <w:r w:rsidRPr="0053182F">
        <w:rPr>
          <w:rFonts w:eastAsia="Times New Roman"/>
          <w:kern w:val="0"/>
          <w:lang w:eastAsia="en-GB"/>
          <w14:ligatures w14:val="none"/>
        </w:rPr>
        <w:t>​+</w:t>
      </w:r>
      <w:r w:rsidRPr="0053182F">
        <w:rPr>
          <w:rFonts w:eastAsia="Times New Roman"/>
          <w:i/>
          <w:iCs/>
          <w:kern w:val="0"/>
          <w:lang w:eastAsia="en-GB"/>
          <w14:ligatures w14:val="none"/>
        </w:rPr>
        <w:t>δ</w:t>
      </w:r>
      <w:r w:rsidRPr="0053182F">
        <w:rPr>
          <w:rFonts w:eastAsia="Times New Roman"/>
          <w:i/>
          <w:iCs/>
          <w:kern w:val="0"/>
          <w:vertAlign w:val="subscript"/>
          <w:lang w:eastAsia="en-GB"/>
          <w14:ligatures w14:val="none"/>
        </w:rPr>
        <w:t>t</w:t>
      </w:r>
      <w:r w:rsidRPr="0053182F">
        <w:rPr>
          <w:rFonts w:eastAsia="Times New Roman"/>
          <w:kern w:val="0"/>
          <w:vertAlign w:val="subscript"/>
          <w:lang w:eastAsia="en-GB"/>
          <w14:ligatures w14:val="none"/>
        </w:rPr>
        <w:t>​</w:t>
      </w:r>
      <w:r w:rsidRPr="0053182F">
        <w:rPr>
          <w:rFonts w:eastAsia="Times New Roman"/>
          <w:kern w:val="0"/>
          <w:lang w:eastAsia="en-GB"/>
          <w14:ligatures w14:val="none"/>
        </w:rPr>
        <w:t>+</w:t>
      </w:r>
      <w:r w:rsidRPr="0053182F">
        <w:rPr>
          <w:rFonts w:eastAsia="Times New Roman"/>
          <w:i/>
          <w:iCs/>
          <w:kern w:val="0"/>
          <w:lang w:eastAsia="en-GB"/>
          <w14:ligatures w14:val="none"/>
        </w:rPr>
        <w:t>ϵ</w:t>
      </w:r>
      <w:r w:rsidRPr="0053182F">
        <w:rPr>
          <w:rFonts w:eastAsia="Times New Roman"/>
          <w:i/>
          <w:iCs/>
          <w:kern w:val="0"/>
          <w:vertAlign w:val="subscript"/>
          <w:lang w:eastAsia="en-GB"/>
          <w14:ligatures w14:val="none"/>
        </w:rPr>
        <w:t>it</w:t>
      </w:r>
      <w:r w:rsidRPr="0053182F">
        <w:rPr>
          <w:rFonts w:eastAsia="Times New Roman"/>
          <w:kern w:val="0"/>
          <w:vertAlign w:val="subscript"/>
          <w:lang w:eastAsia="en-GB"/>
          <w14:ligatures w14:val="none"/>
        </w:rPr>
        <w:t>​</w:t>
      </w:r>
      <w:r w:rsidRPr="0053182F">
        <w:br/>
      </w:r>
      <w:r w:rsidRPr="0053182F">
        <w:rPr>
          <w:rStyle w:val="mord"/>
          <w:i/>
          <w:iCs/>
          <w:vertAlign w:val="subscript"/>
        </w:rPr>
        <w:t xml:space="preserve">                                                   k</w:t>
      </w:r>
      <w:r w:rsidRPr="0053182F">
        <w:rPr>
          <w:rStyle w:val="mrel"/>
          <w:vertAlign w:val="subscript"/>
        </w:rPr>
        <w:t>=</w:t>
      </w:r>
      <w:r w:rsidRPr="0053182F">
        <w:rPr>
          <w:rStyle w:val="mord"/>
          <w:vertAlign w:val="subscript"/>
        </w:rPr>
        <w:t>1</w:t>
      </w:r>
      <w:r w:rsidRPr="0053182F">
        <w:rPr>
          <w:rStyle w:val="vlist-s"/>
        </w:rPr>
        <w:t>​​</w:t>
      </w:r>
    </w:p>
    <w:p w14:paraId="67AB8AB5" w14:textId="77777777" w:rsidR="00651526" w:rsidRPr="0053182F" w:rsidRDefault="00651526" w:rsidP="00651526">
      <w:pPr>
        <w:spacing w:after="0" w:line="480" w:lineRule="auto"/>
        <w:rPr>
          <w:rFonts w:eastAsia="Times New Roman"/>
          <w:kern w:val="0"/>
          <w:lang w:eastAsia="en-GB"/>
          <w14:ligatures w14:val="none"/>
        </w:rPr>
      </w:pPr>
      <w:r w:rsidRPr="0053182F">
        <w:rPr>
          <w:rFonts w:eastAsia="Times New Roman"/>
          <w:kern w:val="0"/>
          <w:lang w:eastAsia="en-GB"/>
          <w14:ligatures w14:val="none"/>
        </w:rPr>
        <w:t>Where:</w:t>
      </w:r>
    </w:p>
    <w:p w14:paraId="3AF52CD4" w14:textId="77777777" w:rsidR="00651526" w:rsidRPr="0053182F" w:rsidRDefault="00651526" w:rsidP="00651526">
      <w:pPr>
        <w:numPr>
          <w:ilvl w:val="0"/>
          <w:numId w:val="25"/>
        </w:numPr>
        <w:spacing w:after="0" w:line="480" w:lineRule="auto"/>
        <w:rPr>
          <w:rFonts w:eastAsia="Times New Roman"/>
          <w:lang w:eastAsia="en-GB"/>
        </w:rPr>
      </w:pPr>
      <w:r w:rsidRPr="0053182F">
        <w:rPr>
          <w:rFonts w:eastAsia="Times New Roman"/>
          <w:kern w:val="0"/>
          <w:lang w:eastAsia="en-GB"/>
          <w14:ligatures w14:val="none"/>
        </w:rPr>
        <w:t>ACMS</w:t>
      </w:r>
      <w:r w:rsidRPr="0053182F">
        <w:rPr>
          <w:rFonts w:eastAsia="Times New Roman"/>
          <w:i/>
          <w:iCs/>
          <w:kern w:val="0"/>
          <w:vertAlign w:val="subscript"/>
          <w:lang w:eastAsia="en-GB"/>
          <w14:ligatures w14:val="none"/>
        </w:rPr>
        <w:t>it</w:t>
      </w:r>
      <w:r w:rsidRPr="0053182F">
        <w:rPr>
          <w:rFonts w:eastAsia="Times New Roman"/>
          <w:kern w:val="0"/>
          <w:lang w:eastAsia="en-GB"/>
          <w14:ligatures w14:val="none"/>
        </w:rPr>
        <w:t xml:space="preserve">​: Composite index captures the level of Anti-modern slavery practices of firm </w:t>
      </w:r>
      <w:r w:rsidRPr="0053182F">
        <w:rPr>
          <w:rFonts w:eastAsia="Times New Roman"/>
          <w:i/>
          <w:iCs/>
          <w:kern w:val="0"/>
          <w:lang w:eastAsia="en-GB"/>
          <w14:ligatures w14:val="none"/>
        </w:rPr>
        <w:t>i</w:t>
      </w:r>
      <w:r w:rsidRPr="0053182F">
        <w:rPr>
          <w:rFonts w:eastAsia="Times New Roman"/>
          <w:kern w:val="0"/>
          <w:lang w:eastAsia="en-GB"/>
          <w14:ligatures w14:val="none"/>
        </w:rPr>
        <w:t> in year </w:t>
      </w:r>
      <w:r w:rsidRPr="0053182F">
        <w:rPr>
          <w:rFonts w:eastAsia="Times New Roman"/>
          <w:i/>
          <w:iCs/>
          <w:kern w:val="0"/>
          <w:lang w:eastAsia="en-GB"/>
          <w14:ligatures w14:val="none"/>
        </w:rPr>
        <w:t>t</w:t>
      </w:r>
      <w:r w:rsidRPr="0053182F">
        <w:rPr>
          <w:rFonts w:eastAsia="Times New Roman"/>
          <w:kern w:val="0"/>
          <w:lang w:eastAsia="en-GB"/>
          <w14:ligatures w14:val="none"/>
        </w:rPr>
        <w:t>.</w:t>
      </w:r>
    </w:p>
    <w:p w14:paraId="6AC58A25" w14:textId="77777777" w:rsidR="00651526" w:rsidRPr="0053182F" w:rsidRDefault="00651526" w:rsidP="00651526">
      <w:pPr>
        <w:numPr>
          <w:ilvl w:val="0"/>
          <w:numId w:val="25"/>
        </w:numPr>
        <w:spacing w:after="0" w:line="480" w:lineRule="auto"/>
        <w:rPr>
          <w:rFonts w:eastAsia="Times New Roman"/>
          <w:lang w:eastAsia="en-GB"/>
        </w:rPr>
      </w:pPr>
      <w:r w:rsidRPr="0053182F">
        <w:rPr>
          <w:rFonts w:eastAsia="Times New Roman"/>
          <w:kern w:val="0"/>
          <w:bdr w:val="none" w:sz="0" w:space="0" w:color="auto" w:frame="1"/>
          <w:lang w:eastAsia="en-GB"/>
          <w14:ligatures w14:val="none"/>
        </w:rPr>
        <w:t>SGI</w:t>
      </w:r>
      <w:r w:rsidRPr="0053182F">
        <w:rPr>
          <w:rFonts w:eastAsia="Times New Roman"/>
          <w:i/>
          <w:iCs/>
          <w:kern w:val="0"/>
          <w:vertAlign w:val="subscript"/>
          <w:lang w:eastAsia="en-GB"/>
          <w14:ligatures w14:val="none"/>
        </w:rPr>
        <w:t>it</w:t>
      </w:r>
      <w:r w:rsidRPr="0053182F">
        <w:rPr>
          <w:rFonts w:eastAsia="Times New Roman"/>
          <w:kern w:val="0"/>
          <w:vertAlign w:val="subscript"/>
          <w:lang w:eastAsia="en-GB"/>
          <w14:ligatures w14:val="none"/>
        </w:rPr>
        <w:t>​</w:t>
      </w:r>
      <w:r w:rsidRPr="0053182F">
        <w:rPr>
          <w:rFonts w:eastAsia="Times New Roman"/>
          <w:kern w:val="0"/>
          <w:lang w:eastAsia="en-GB"/>
          <w14:ligatures w14:val="none"/>
        </w:rPr>
        <w:t xml:space="preserve">: </w:t>
      </w:r>
      <w:r w:rsidRPr="0053182F">
        <w:t xml:space="preserve">Denotes the sustainability governance initiatives for firm </w:t>
      </w:r>
      <w:r w:rsidRPr="0053182F">
        <w:rPr>
          <w:rStyle w:val="katex-mathml"/>
        </w:rPr>
        <w:t xml:space="preserve">i </w:t>
      </w:r>
      <w:r w:rsidRPr="0053182F">
        <w:t xml:space="preserve">in year </w:t>
      </w:r>
      <w:r w:rsidRPr="0053182F">
        <w:rPr>
          <w:rStyle w:val="mord"/>
        </w:rPr>
        <w:t>t</w:t>
      </w:r>
      <w:r w:rsidRPr="0053182F">
        <w:t>, encompassing seven dimensions (</w:t>
      </w:r>
      <w:r w:rsidRPr="0053182F">
        <w:rPr>
          <w:rFonts w:eastAsia="Times New Roman"/>
          <w:kern w:val="0"/>
          <w:lang w:eastAsia="en-GB"/>
          <w14:ligatures w14:val="none"/>
        </w:rPr>
        <w:t>CSRST, BGD, CSRC, CSRA, CSP, CSRAW, CSRREP)</w:t>
      </w:r>
    </w:p>
    <w:p w14:paraId="37519212" w14:textId="77777777" w:rsidR="00651526" w:rsidRPr="0053182F" w:rsidRDefault="00651526" w:rsidP="00651526">
      <w:pPr>
        <w:numPr>
          <w:ilvl w:val="0"/>
          <w:numId w:val="25"/>
        </w:numPr>
        <w:spacing w:after="0" w:line="480" w:lineRule="auto"/>
      </w:pPr>
      <w:r w:rsidRPr="0053182F">
        <w:rPr>
          <w:rStyle w:val="mop"/>
        </w:rPr>
        <w:t>∑</w:t>
      </w:r>
      <w:r w:rsidRPr="0053182F">
        <w:rPr>
          <w:rStyle w:val="mord"/>
          <w:i/>
          <w:iCs/>
        </w:rPr>
        <w:t xml:space="preserve">γk </w:t>
      </w:r>
      <w:r w:rsidRPr="0053182F">
        <w:rPr>
          <w:rStyle w:val="Strong"/>
          <w:rFonts w:eastAsiaTheme="majorEastAsia"/>
          <w:b w:val="0"/>
          <w:bCs w:val="0"/>
        </w:rPr>
        <w:t>Control Variables</w:t>
      </w:r>
      <w:r w:rsidRPr="0053182F">
        <w:rPr>
          <w:b/>
          <w:bCs/>
        </w:rPr>
        <w:t xml:space="preserve">: </w:t>
      </w:r>
      <w:r w:rsidRPr="0053182F">
        <w:t xml:space="preserve">includes a vector of control variables </w:t>
      </w:r>
      <w:r w:rsidRPr="0053182F">
        <w:rPr>
          <w:rStyle w:val="mord"/>
          <w:rFonts w:eastAsiaTheme="majorEastAsia"/>
        </w:rPr>
        <w:t>BINDP</w:t>
      </w:r>
      <w:r w:rsidRPr="0053182F">
        <w:t xml:space="preserve">, </w:t>
      </w:r>
      <w:r w:rsidRPr="0053182F">
        <w:rPr>
          <w:rStyle w:val="mord"/>
          <w:rFonts w:eastAsiaTheme="majorEastAsia"/>
        </w:rPr>
        <w:t>BSIZE</w:t>
      </w:r>
      <w:r w:rsidRPr="0053182F">
        <w:t xml:space="preserve">, </w:t>
      </w:r>
      <w:r w:rsidRPr="0053182F">
        <w:rPr>
          <w:rStyle w:val="mop"/>
        </w:rPr>
        <w:t>Log_</w:t>
      </w:r>
      <w:r w:rsidRPr="0053182F">
        <w:rPr>
          <w:rStyle w:val="mord"/>
          <w:rFonts w:eastAsiaTheme="majorEastAsia"/>
        </w:rPr>
        <w:t>ROA</w:t>
      </w:r>
      <w:r w:rsidRPr="0053182F">
        <w:t xml:space="preserve">, Log_FTE, </w:t>
      </w:r>
      <w:r w:rsidRPr="0053182F">
        <w:rPr>
          <w:rStyle w:val="mord"/>
          <w:rFonts w:eastAsiaTheme="majorEastAsia"/>
        </w:rPr>
        <w:t>BSKIL.</w:t>
      </w:r>
    </w:p>
    <w:p w14:paraId="4F5D9448" w14:textId="77777777" w:rsidR="00651526" w:rsidRPr="0053182F" w:rsidRDefault="00651526" w:rsidP="00651526">
      <w:pPr>
        <w:numPr>
          <w:ilvl w:val="0"/>
          <w:numId w:val="25"/>
        </w:numPr>
        <w:spacing w:after="0" w:line="480" w:lineRule="auto"/>
        <w:rPr>
          <w:rFonts w:eastAsia="Times New Roman"/>
          <w:kern w:val="0"/>
          <w:lang w:eastAsia="en-GB"/>
          <w14:ligatures w14:val="none"/>
        </w:rPr>
      </w:pPr>
      <w:r w:rsidRPr="0053182F">
        <w:rPr>
          <w:rFonts w:eastAsia="Times New Roman"/>
          <w:i/>
          <w:iCs/>
          <w:kern w:val="0"/>
          <w:lang w:eastAsia="en-GB"/>
          <w14:ligatures w14:val="none"/>
        </w:rPr>
        <w:t>α</w:t>
      </w:r>
      <w:r w:rsidRPr="0053182F">
        <w:rPr>
          <w:rFonts w:eastAsia="Times New Roman"/>
          <w:i/>
          <w:iCs/>
          <w:kern w:val="0"/>
          <w:vertAlign w:val="subscript"/>
          <w:lang w:eastAsia="en-GB"/>
          <w14:ligatures w14:val="none"/>
        </w:rPr>
        <w:t>i</w:t>
      </w:r>
      <w:r w:rsidRPr="0053182F">
        <w:rPr>
          <w:rFonts w:eastAsia="Times New Roman"/>
          <w:kern w:val="0"/>
          <w:lang w:eastAsia="en-GB"/>
          <w14:ligatures w14:val="none"/>
        </w:rPr>
        <w:t>​: Industry-fixed effects.</w:t>
      </w:r>
    </w:p>
    <w:p w14:paraId="540E5C88" w14:textId="77777777" w:rsidR="00651526" w:rsidRPr="0053182F" w:rsidRDefault="00651526" w:rsidP="00651526">
      <w:pPr>
        <w:numPr>
          <w:ilvl w:val="0"/>
          <w:numId w:val="25"/>
        </w:numPr>
        <w:spacing w:after="0" w:line="480" w:lineRule="auto"/>
        <w:rPr>
          <w:rFonts w:eastAsia="Times New Roman"/>
          <w:kern w:val="0"/>
          <w:lang w:eastAsia="en-GB"/>
          <w14:ligatures w14:val="none"/>
        </w:rPr>
      </w:pPr>
      <w:r w:rsidRPr="0053182F">
        <w:rPr>
          <w:rFonts w:eastAsia="Times New Roman"/>
          <w:kern w:val="0"/>
          <w:bdr w:val="none" w:sz="0" w:space="0" w:color="auto" w:frame="1"/>
          <w:lang w:eastAsia="en-GB"/>
          <w14:ligatures w14:val="none"/>
        </w:rPr>
        <w:t>δ</w:t>
      </w:r>
      <w:r w:rsidRPr="0053182F">
        <w:rPr>
          <w:rFonts w:eastAsia="Times New Roman"/>
          <w:kern w:val="0"/>
          <w:bdr w:val="none" w:sz="0" w:space="0" w:color="auto" w:frame="1"/>
          <w:vertAlign w:val="subscript"/>
          <w:lang w:eastAsia="en-GB"/>
          <w14:ligatures w14:val="none"/>
        </w:rPr>
        <w:t>t</w:t>
      </w:r>
      <w:r w:rsidRPr="0053182F">
        <w:rPr>
          <w:rFonts w:eastAsia="Times New Roman"/>
          <w:kern w:val="0"/>
          <w:lang w:eastAsia="en-GB"/>
          <w14:ligatures w14:val="none"/>
        </w:rPr>
        <w:t>​: Year-fixed effects.</w:t>
      </w:r>
    </w:p>
    <w:p w14:paraId="4600A718" w14:textId="77777777" w:rsidR="00651526" w:rsidRPr="0053182F" w:rsidRDefault="00651526" w:rsidP="00651526">
      <w:pPr>
        <w:numPr>
          <w:ilvl w:val="0"/>
          <w:numId w:val="25"/>
        </w:numPr>
        <w:spacing w:after="0" w:line="480" w:lineRule="auto"/>
        <w:rPr>
          <w:rFonts w:eastAsia="Times New Roman"/>
          <w:kern w:val="0"/>
          <w:lang w:eastAsia="en-GB"/>
          <w14:ligatures w14:val="none"/>
        </w:rPr>
      </w:pPr>
      <w:r w:rsidRPr="0053182F">
        <w:rPr>
          <w:rFonts w:eastAsia="Times New Roman"/>
          <w:i/>
          <w:iCs/>
          <w:kern w:val="0"/>
          <w:lang w:eastAsia="en-GB"/>
          <w14:ligatures w14:val="none"/>
        </w:rPr>
        <w:t>ϵ</w:t>
      </w:r>
      <w:r w:rsidRPr="0053182F">
        <w:rPr>
          <w:rFonts w:eastAsia="Times New Roman"/>
          <w:i/>
          <w:iCs/>
          <w:kern w:val="0"/>
          <w:vertAlign w:val="subscript"/>
          <w:lang w:eastAsia="en-GB"/>
          <w14:ligatures w14:val="none"/>
        </w:rPr>
        <w:t>it</w:t>
      </w:r>
      <w:r w:rsidRPr="0053182F">
        <w:rPr>
          <w:rFonts w:eastAsia="Times New Roman"/>
          <w:kern w:val="0"/>
          <w:lang w:eastAsia="en-GB"/>
          <w14:ligatures w14:val="none"/>
        </w:rPr>
        <w:t>​: Error term.</w:t>
      </w:r>
    </w:p>
    <w:p w14:paraId="22172DD2" w14:textId="77777777" w:rsidR="00651526" w:rsidRPr="0053182F" w:rsidRDefault="00651526" w:rsidP="00651526">
      <w:pPr>
        <w:numPr>
          <w:ilvl w:val="0"/>
          <w:numId w:val="25"/>
        </w:numPr>
        <w:spacing w:after="0" w:line="480" w:lineRule="auto"/>
        <w:rPr>
          <w:rFonts w:eastAsia="Times New Roman"/>
          <w:kern w:val="0"/>
          <w:lang w:eastAsia="en-GB"/>
          <w14:ligatures w14:val="none"/>
        </w:rPr>
      </w:pPr>
      <w:r w:rsidRPr="0053182F">
        <w:t>Clustered standard errors at the firm level account for within-firm correlation.</w:t>
      </w:r>
    </w:p>
    <w:p w14:paraId="4C25C6FD" w14:textId="77777777" w:rsidR="00156A23" w:rsidRPr="0053182F" w:rsidRDefault="00156A23" w:rsidP="00156A23">
      <w:pPr>
        <w:pStyle w:val="Heading1"/>
        <w:rPr>
          <w:rStyle w:val="normaltextrun"/>
          <w:rFonts w:eastAsia="Times New Roman" w:cs="Times New Roman"/>
          <w:bCs/>
        </w:rPr>
      </w:pPr>
      <w:bookmarkStart w:id="391" w:name="_Toc218357183"/>
      <w:r w:rsidRPr="0053182F">
        <w:rPr>
          <w:rStyle w:val="normaltextrun"/>
          <w:rFonts w:eastAsia="Times New Roman" w:cs="Times New Roman"/>
          <w:bCs/>
        </w:rPr>
        <w:t xml:space="preserve">Phase 3: </w:t>
      </w:r>
      <w:r w:rsidRPr="0053182F">
        <w:rPr>
          <w:rStyle w:val="normaltextrun"/>
          <w:rFonts w:eastAsia="Times New Roman" w:cs="Times New Roman"/>
          <w:b w:val="0"/>
          <w:bCs/>
        </w:rPr>
        <w:t xml:space="preserve"> </w:t>
      </w:r>
      <w:r w:rsidRPr="0053182F">
        <w:rPr>
          <w:rStyle w:val="normaltextrun"/>
          <w:rFonts w:eastAsia="Times New Roman" w:cs="Times New Roman"/>
          <w:bCs/>
        </w:rPr>
        <w:t>Meso-Level Extension-Disclosure Analysis</w:t>
      </w:r>
      <w:bookmarkEnd w:id="372"/>
      <w:bookmarkEnd w:id="391"/>
    </w:p>
    <w:p w14:paraId="604FA6A8" w14:textId="77777777" w:rsidR="00156A23" w:rsidRPr="0053182F" w:rsidRDefault="00156A23" w:rsidP="00156A23">
      <w:p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The meso-level qualitative extension plays a critical role in contextualising and deepening insights from the quantitative analysis of SGIs and ACMS commitments. While the quantitative strand identifies statistical patterns in corporate sustainability governance, it cannot, on its own, explain </w:t>
      </w:r>
      <w:r w:rsidRPr="0053182F">
        <w:rPr>
          <w:rFonts w:eastAsia="Times New Roman"/>
          <w:i/>
          <w:iCs/>
          <w:color w:val="auto"/>
          <w:kern w:val="0"/>
          <w:lang w:eastAsia="en-GB"/>
          <w14:ligatures w14:val="none"/>
        </w:rPr>
        <w:t>how</w:t>
      </w:r>
      <w:r w:rsidRPr="0053182F">
        <w:rPr>
          <w:rFonts w:eastAsia="Times New Roman"/>
          <w:color w:val="auto"/>
          <w:kern w:val="0"/>
          <w:lang w:eastAsia="en-GB"/>
          <w14:ligatures w14:val="none"/>
        </w:rPr>
        <w:t xml:space="preserve"> or </w:t>
      </w:r>
      <w:r w:rsidRPr="0053182F">
        <w:rPr>
          <w:rFonts w:eastAsia="Times New Roman"/>
          <w:i/>
          <w:iCs/>
          <w:color w:val="auto"/>
          <w:kern w:val="0"/>
          <w:lang w:eastAsia="en-GB"/>
          <w14:ligatures w14:val="none"/>
        </w:rPr>
        <w:t>why</w:t>
      </w:r>
      <w:r w:rsidRPr="0053182F">
        <w:rPr>
          <w:rFonts w:eastAsia="Times New Roman"/>
          <w:color w:val="auto"/>
          <w:kern w:val="0"/>
          <w:lang w:eastAsia="en-GB"/>
          <w14:ligatures w14:val="none"/>
        </w:rPr>
        <w:t xml:space="preserve"> firms articulate particular commitments, nor whether these commitments represent substantive action or merely symbolic compliance. The disclosure analysis, therefore, examines the narrative, rhetorical, and structural features of corporate reporting to assess the extent to which firms translate institutional expectations into meaningful labour rights governance.</w:t>
      </w:r>
    </w:p>
    <w:p w14:paraId="6AB9778F" w14:textId="77777777" w:rsidR="00156A23" w:rsidRPr="0053182F" w:rsidRDefault="00156A23" w:rsidP="00156A23">
      <w:pPr>
        <w:spacing w:before="100" w:beforeAutospacing="1" w:after="100" w:afterAutospacing="1" w:line="480" w:lineRule="auto"/>
        <w:ind w:firstLine="720"/>
        <w:jc w:val="both"/>
        <w:rPr>
          <w:color w:val="auto"/>
          <w:kern w:val="0"/>
          <w:lang w:eastAsia="en-GB"/>
          <w14:ligatures w14:val="none"/>
        </w:rPr>
      </w:pPr>
      <w:r w:rsidRPr="0053182F">
        <w:rPr>
          <w:rFonts w:eastAsia="Times New Roman"/>
          <w:color w:val="auto"/>
          <w:kern w:val="0"/>
          <w:lang w:eastAsia="en-GB"/>
          <w14:ligatures w14:val="none"/>
        </w:rPr>
        <w:t xml:space="preserve"> Anchored in NIT, this phase interrogates the interplay of coercive, normative, and mimetic pressures shaping corporate responses to MS regulation, particularly within high-risk global supply chains. It also provides an empirical lens through which to identify institutional decoupling—the disjunction between formal policy commitments and actual implementation practices—and legitimacy-seeking behaviours embedded in sustainability and slavery-related disclosures. By analysing how leading apparel and textile MNCs publicly construct their ACMS strategies, this meso-level extension bridges the macro-level institutional environment and the micro-level lived realities of workers, enabling a more nuanced interpretation of governance gaps and the organisational motivations that underlie them.</w:t>
      </w:r>
    </w:p>
    <w:p w14:paraId="682CA4CE" w14:textId="77777777" w:rsidR="00156A23" w:rsidRPr="0053182F" w:rsidRDefault="00156A23" w:rsidP="00156A23">
      <w:pPr>
        <w:pStyle w:val="Heading2"/>
        <w:rPr>
          <w:rFonts w:eastAsia="Times New Roman"/>
          <w:lang w:eastAsia="en-GB"/>
        </w:rPr>
      </w:pPr>
      <w:bookmarkStart w:id="392" w:name="_Toc216557294"/>
      <w:bookmarkStart w:id="393" w:name="_Toc218357184"/>
      <w:r w:rsidRPr="0053182F">
        <w:rPr>
          <w:rFonts w:eastAsia="Times New Roman"/>
          <w:lang w:eastAsia="en-GB"/>
        </w:rPr>
        <w:t>7.15 Case Selection and Justification</w:t>
      </w:r>
      <w:bookmarkEnd w:id="392"/>
      <w:bookmarkEnd w:id="393"/>
    </w:p>
    <w:p w14:paraId="13BB5658" w14:textId="77777777" w:rsidR="00156A23" w:rsidRPr="0053182F" w:rsidRDefault="00156A23" w:rsidP="00156A23">
      <w:pPr>
        <w:pStyle w:val="NormalWeb"/>
        <w:spacing w:before="0" w:beforeAutospacing="0" w:after="0" w:afterAutospacing="0" w:line="480" w:lineRule="auto"/>
        <w:jc w:val="both"/>
        <w:rPr>
          <w:color w:val="auto"/>
        </w:rPr>
      </w:pPr>
      <w:r w:rsidRPr="0053182F">
        <w:rPr>
          <w:color w:val="auto"/>
        </w:rPr>
        <w:t>The meso-level extension focuses on three leading multinational corporations—Nike, Inditex, and Christian Dior—selected through a theoretically informed and context-driven sampling strategy. Table 7.8 presents the justification for the sample selection for the Meso-Level disclosure analysis. These firms were chosen because they operate within the global A&amp;TI sector, which is widely recognised as high-risk for CMS due to its extensive subcontracting networks, labour-intensive production processes, and geographically dispersed supply chains. Each company represents a distinct market segment—Nike, Inditex, and Dior—enabling comparative analysis across different business models, governance structures, and institutional environments.</w:t>
      </w:r>
    </w:p>
    <w:p w14:paraId="14EC29D7" w14:textId="77777777" w:rsidR="00156A23" w:rsidRPr="0053182F" w:rsidRDefault="00156A23" w:rsidP="00156A23">
      <w:pPr>
        <w:spacing w:after="0"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The selection is further justified by their significant sourcing presence in Sri Lanka’s A&amp;TI, as confirmed through public supplier disclosures (e.g., Nike) and worker testimonies referencing production for these brands. Their longstanding global visibility and substantial market share make them subject to strong coercive, normative, and mimetic institutional pressures, making them analytically suitable for exploring how these pressures shape disclosure practices </w:t>
      </w:r>
      <w:sdt>
        <w:sdtPr>
          <w:rPr>
            <w:rFonts w:eastAsia="Times New Roman"/>
            <w:kern w:val="0"/>
            <w:lang w:eastAsia="en-GB"/>
            <w14:ligatures w14:val="none"/>
          </w:rPr>
          <w:tag w:val="MENDELEY_CITATION_v3_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"/>
          <w:id w:val="497700585"/>
          <w:placeholder>
            <w:docPart w:val="944EE29C6B334162B786D58D9FBA4C77"/>
          </w:placeholder>
        </w:sdtPr>
        <w:sdtContent>
          <w:r w:rsidRPr="0053182F">
            <w:rPr>
              <w:rFonts w:eastAsia="Times New Roman"/>
            </w:rPr>
            <w:t xml:space="preserve">(Alves </w:t>
          </w:r>
          <w:r w:rsidRPr="0053182F">
            <w:rPr>
              <w:rFonts w:eastAsia="Times New Roman"/>
              <w:i/>
              <w:iCs/>
            </w:rPr>
            <w:t>et al.</w:t>
          </w:r>
          <w:r w:rsidRPr="0053182F">
            <w:rPr>
              <w:rFonts w:eastAsia="Times New Roman"/>
            </w:rPr>
            <w:t>, 2024)</w:t>
          </w:r>
        </w:sdtContent>
      </w:sdt>
      <w:r w:rsidRPr="0053182F">
        <w:rPr>
          <w:rFonts w:eastAsia="Times New Roman"/>
          <w:color w:val="auto"/>
          <w:kern w:val="0"/>
          <w:lang w:eastAsia="en-GB"/>
          <w14:ligatures w14:val="none"/>
        </w:rPr>
        <w:t>. Moreover, all three firms publish extensive sustainability, human rights, and MS-related disclosures, offering rich longitudinal documentary evidence for the period 2019–2023. This availability of consistent reporting allows for systematic comparison of policy commitments, narrative framing, and governance mechanisms over time.</w:t>
      </w:r>
    </w:p>
    <w:p w14:paraId="430DD59A" w14:textId="77777777" w:rsidR="00156A23" w:rsidRPr="0053182F" w:rsidRDefault="00156A23" w:rsidP="00156A23">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By selecting firms that are both industry leaders and institutional exemplars, this phase enables a rigorous assessment of whether corporate disclosures reflect substantive accountability or symbolic compliance. It also provides a crucial bridge between macro-level governance indicators and micro-level labour experiences, thereby advancing the explanatory aims of the sequential mixed-methods design.</w:t>
      </w:r>
    </w:p>
    <w:p w14:paraId="04C84D24" w14:textId="77777777" w:rsidR="00156A23" w:rsidRPr="0053182F" w:rsidRDefault="00156A23" w:rsidP="00156A23">
      <w:pPr>
        <w:spacing w:after="0" w:line="240" w:lineRule="auto"/>
        <w:jc w:val="center"/>
        <w:rPr>
          <w:rFonts w:eastAsia="Times New Roman"/>
          <w:b/>
          <w:bCs/>
          <w:color w:val="auto"/>
          <w:kern w:val="0"/>
          <w:lang w:eastAsia="en-GB"/>
          <w14:ligatures w14:val="none"/>
        </w:rPr>
      </w:pPr>
    </w:p>
    <w:p w14:paraId="1344098A" w14:textId="77777777" w:rsidR="00156A23" w:rsidRPr="0053182F" w:rsidRDefault="00156A23" w:rsidP="00156A23">
      <w:pPr>
        <w:spacing w:after="0" w:line="240" w:lineRule="auto"/>
        <w:rPr>
          <w:rFonts w:eastAsia="Times New Roman"/>
          <w:b/>
          <w:bCs/>
          <w:color w:val="auto"/>
          <w:kern w:val="0"/>
          <w:lang w:eastAsia="en-GB"/>
          <w14:ligatures w14:val="none"/>
        </w:rPr>
        <w:sectPr w:rsidR="00156A23" w:rsidRPr="0053182F" w:rsidSect="00156A23">
          <w:pgSz w:w="11906" w:h="16838"/>
          <w:pgMar w:top="1440" w:right="1440" w:bottom="1440" w:left="1440" w:header="708" w:footer="708" w:gutter="0"/>
          <w:cols w:space="720"/>
        </w:sectPr>
      </w:pPr>
    </w:p>
    <w:tbl>
      <w:tblPr>
        <w:tblpPr w:leftFromText="180" w:rightFromText="180" w:bottomFromText="160" w:vertAnchor="page" w:horzAnchor="margin" w:tblpY="1747"/>
        <w:tblW w:w="0" w:type="auto"/>
        <w:tblCellSpacing w:w="15" w:type="dxa"/>
        <w:tblLayout w:type="fixed"/>
        <w:tblLook w:val="04A0" w:firstRow="1" w:lastRow="0" w:firstColumn="1" w:lastColumn="0" w:noHBand="0" w:noVBand="1"/>
      </w:tblPr>
      <w:tblGrid>
        <w:gridCol w:w="2268"/>
        <w:gridCol w:w="2731"/>
        <w:gridCol w:w="2574"/>
        <w:gridCol w:w="2917"/>
        <w:gridCol w:w="3464"/>
      </w:tblGrid>
      <w:tr w:rsidR="00156A23" w:rsidRPr="0053182F" w14:paraId="1F1C387B" w14:textId="77777777" w:rsidTr="00D20468">
        <w:trPr>
          <w:trHeight w:val="172"/>
          <w:tblHeader/>
          <w:tblCellSpacing w:w="15" w:type="dxa"/>
        </w:trPr>
        <w:tc>
          <w:tcPr>
            <w:tcW w:w="2223"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342EB419" w14:textId="77777777" w:rsidR="00156A23" w:rsidRPr="0053182F" w:rsidRDefault="00156A23" w:rsidP="00D20468">
            <w:pPr>
              <w:spacing w:after="0" w:line="240" w:lineRule="auto"/>
              <w:jc w:val="center"/>
              <w:rPr>
                <w:rFonts w:eastAsia="Times New Roman"/>
                <w:b/>
                <w:bCs/>
                <w:color w:val="auto"/>
                <w:kern w:val="0"/>
                <w:sz w:val="22"/>
                <w:szCs w:val="22"/>
                <w:lang w:eastAsia="en-GB"/>
                <w14:ligatures w14:val="none"/>
              </w:rPr>
            </w:pPr>
            <w:r w:rsidRPr="0053182F">
              <w:rPr>
                <w:rFonts w:eastAsia="Times New Roman"/>
                <w:b/>
                <w:bCs/>
                <w:color w:val="auto"/>
                <w:kern w:val="0"/>
                <w:sz w:val="22"/>
                <w:szCs w:val="22"/>
                <w:lang w:eastAsia="en-GB"/>
                <w14:ligatures w14:val="none"/>
              </w:rPr>
              <w:t>Criterion</w:t>
            </w:r>
          </w:p>
        </w:tc>
        <w:tc>
          <w:tcPr>
            <w:tcW w:w="2701"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7EBFE910" w14:textId="77777777" w:rsidR="00156A23" w:rsidRPr="0053182F" w:rsidRDefault="00156A23" w:rsidP="00D20468">
            <w:pPr>
              <w:spacing w:after="0" w:line="240" w:lineRule="auto"/>
              <w:jc w:val="center"/>
              <w:rPr>
                <w:rFonts w:eastAsia="Times New Roman"/>
                <w:b/>
                <w:bCs/>
                <w:color w:val="auto"/>
                <w:kern w:val="0"/>
                <w:sz w:val="22"/>
                <w:szCs w:val="22"/>
                <w:lang w:eastAsia="en-GB"/>
                <w14:ligatures w14:val="none"/>
              </w:rPr>
            </w:pPr>
            <w:r w:rsidRPr="0053182F">
              <w:rPr>
                <w:rFonts w:eastAsia="Times New Roman"/>
                <w:b/>
                <w:bCs/>
                <w:color w:val="auto"/>
                <w:kern w:val="0"/>
                <w:sz w:val="22"/>
                <w:szCs w:val="22"/>
                <w:lang w:eastAsia="en-GB"/>
                <w14:ligatures w14:val="none"/>
              </w:rPr>
              <w:t xml:space="preserve">Nike </w:t>
            </w:r>
          </w:p>
        </w:tc>
        <w:tc>
          <w:tcPr>
            <w:tcW w:w="2544"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235CFDAE" w14:textId="77777777" w:rsidR="00156A23" w:rsidRPr="0053182F" w:rsidRDefault="00156A23" w:rsidP="00D20468">
            <w:pPr>
              <w:spacing w:after="0" w:line="240" w:lineRule="auto"/>
              <w:jc w:val="center"/>
              <w:rPr>
                <w:rFonts w:eastAsia="Times New Roman"/>
                <w:b/>
                <w:bCs/>
                <w:color w:val="auto"/>
                <w:kern w:val="0"/>
                <w:sz w:val="22"/>
                <w:szCs w:val="22"/>
                <w:lang w:eastAsia="en-GB"/>
                <w14:ligatures w14:val="none"/>
              </w:rPr>
            </w:pPr>
            <w:r w:rsidRPr="0053182F">
              <w:rPr>
                <w:rFonts w:eastAsia="Times New Roman"/>
                <w:b/>
                <w:bCs/>
                <w:color w:val="auto"/>
                <w:kern w:val="0"/>
                <w:sz w:val="22"/>
                <w:szCs w:val="22"/>
                <w:lang w:eastAsia="en-GB"/>
                <w14:ligatures w14:val="none"/>
              </w:rPr>
              <w:t xml:space="preserve">Inditex </w:t>
            </w:r>
          </w:p>
        </w:tc>
        <w:tc>
          <w:tcPr>
            <w:tcW w:w="2887"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417CC138" w14:textId="77777777" w:rsidR="00156A23" w:rsidRPr="0053182F" w:rsidRDefault="00156A23" w:rsidP="00D20468">
            <w:pPr>
              <w:spacing w:after="0" w:line="240" w:lineRule="auto"/>
              <w:jc w:val="center"/>
              <w:rPr>
                <w:rFonts w:eastAsia="Times New Roman"/>
                <w:b/>
                <w:bCs/>
                <w:color w:val="auto"/>
                <w:kern w:val="0"/>
                <w:sz w:val="22"/>
                <w:szCs w:val="22"/>
                <w:lang w:eastAsia="en-GB"/>
                <w14:ligatures w14:val="none"/>
              </w:rPr>
            </w:pPr>
            <w:r w:rsidRPr="0053182F">
              <w:rPr>
                <w:rFonts w:eastAsia="Times New Roman"/>
                <w:b/>
                <w:bCs/>
                <w:color w:val="auto"/>
                <w:kern w:val="0"/>
                <w:sz w:val="22"/>
                <w:szCs w:val="22"/>
                <w:lang w:eastAsia="en-GB"/>
                <w14:ligatures w14:val="none"/>
              </w:rPr>
              <w:t>Christian Dior</w:t>
            </w:r>
          </w:p>
        </w:tc>
        <w:tc>
          <w:tcPr>
            <w:tcW w:w="3419" w:type="dxa"/>
            <w:tcBorders>
              <w:top w:val="single" w:sz="4" w:space="0" w:color="auto"/>
              <w:left w:val="nil"/>
              <w:bottom w:val="single" w:sz="4" w:space="0" w:color="auto"/>
              <w:right w:val="nil"/>
            </w:tcBorders>
            <w:tcMar>
              <w:top w:w="15" w:type="dxa"/>
              <w:left w:w="15" w:type="dxa"/>
              <w:bottom w:w="15" w:type="dxa"/>
              <w:right w:w="15" w:type="dxa"/>
            </w:tcMar>
            <w:vAlign w:val="center"/>
            <w:hideMark/>
          </w:tcPr>
          <w:p w14:paraId="6A0D6658" w14:textId="77777777" w:rsidR="00156A23" w:rsidRPr="0053182F" w:rsidRDefault="00156A23" w:rsidP="00D20468">
            <w:pPr>
              <w:spacing w:after="0" w:line="240" w:lineRule="auto"/>
              <w:jc w:val="center"/>
              <w:rPr>
                <w:rFonts w:eastAsia="Times New Roman"/>
                <w:b/>
                <w:bCs/>
                <w:color w:val="auto"/>
                <w:kern w:val="0"/>
                <w:sz w:val="22"/>
                <w:szCs w:val="22"/>
                <w:lang w:eastAsia="en-GB"/>
                <w14:ligatures w14:val="none"/>
              </w:rPr>
            </w:pPr>
            <w:r w:rsidRPr="0053182F">
              <w:rPr>
                <w:rFonts w:eastAsia="Times New Roman"/>
                <w:b/>
                <w:bCs/>
                <w:color w:val="auto"/>
                <w:kern w:val="0"/>
                <w:sz w:val="22"/>
                <w:szCs w:val="22"/>
                <w:lang w:eastAsia="en-GB"/>
                <w14:ligatures w14:val="none"/>
              </w:rPr>
              <w:t>Justification</w:t>
            </w:r>
          </w:p>
        </w:tc>
      </w:tr>
      <w:tr w:rsidR="00156A23" w:rsidRPr="0053182F" w14:paraId="7ACBCECD" w14:textId="77777777" w:rsidTr="00D20468">
        <w:trPr>
          <w:trHeight w:val="855"/>
          <w:tblCellSpacing w:w="15" w:type="dxa"/>
        </w:trPr>
        <w:tc>
          <w:tcPr>
            <w:tcW w:w="2223" w:type="dxa"/>
            <w:tcMar>
              <w:top w:w="15" w:type="dxa"/>
              <w:left w:w="15" w:type="dxa"/>
              <w:bottom w:w="15" w:type="dxa"/>
              <w:right w:w="15" w:type="dxa"/>
            </w:tcMar>
            <w:vAlign w:val="center"/>
            <w:hideMark/>
          </w:tcPr>
          <w:p w14:paraId="18AF797D"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Global Market Power</w:t>
            </w:r>
          </w:p>
        </w:tc>
        <w:tc>
          <w:tcPr>
            <w:tcW w:w="2701" w:type="dxa"/>
            <w:tcMar>
              <w:top w:w="15" w:type="dxa"/>
              <w:left w:w="15" w:type="dxa"/>
              <w:bottom w:w="15" w:type="dxa"/>
              <w:right w:w="15" w:type="dxa"/>
            </w:tcMar>
            <w:vAlign w:val="center"/>
            <w:hideMark/>
          </w:tcPr>
          <w:p w14:paraId="1ED469BC"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tc>
        <w:tc>
          <w:tcPr>
            <w:tcW w:w="2544" w:type="dxa"/>
            <w:tcMar>
              <w:top w:w="15" w:type="dxa"/>
              <w:left w:w="15" w:type="dxa"/>
              <w:bottom w:w="15" w:type="dxa"/>
              <w:right w:w="15" w:type="dxa"/>
            </w:tcMar>
            <w:vAlign w:val="center"/>
            <w:hideMark/>
          </w:tcPr>
          <w:p w14:paraId="55E9030C"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tc>
        <w:tc>
          <w:tcPr>
            <w:tcW w:w="2887" w:type="dxa"/>
            <w:tcMar>
              <w:top w:w="15" w:type="dxa"/>
              <w:left w:w="15" w:type="dxa"/>
              <w:bottom w:w="15" w:type="dxa"/>
              <w:right w:w="15" w:type="dxa"/>
            </w:tcMar>
            <w:vAlign w:val="center"/>
            <w:hideMark/>
          </w:tcPr>
          <w:p w14:paraId="6726D493"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tc>
        <w:tc>
          <w:tcPr>
            <w:tcW w:w="3419" w:type="dxa"/>
            <w:tcMar>
              <w:top w:w="15" w:type="dxa"/>
              <w:left w:w="15" w:type="dxa"/>
              <w:bottom w:w="15" w:type="dxa"/>
              <w:right w:w="15" w:type="dxa"/>
            </w:tcMar>
            <w:vAlign w:val="center"/>
            <w:hideMark/>
          </w:tcPr>
          <w:p w14:paraId="57B5F6D9"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All three are industry leaders with significant influence over global apparel supply-chain practices.</w:t>
            </w:r>
          </w:p>
        </w:tc>
      </w:tr>
      <w:tr w:rsidR="00156A23" w:rsidRPr="0053182F" w14:paraId="254A2AA0" w14:textId="77777777" w:rsidTr="00D20468">
        <w:trPr>
          <w:trHeight w:val="681"/>
          <w:tblCellSpacing w:w="15" w:type="dxa"/>
        </w:trPr>
        <w:tc>
          <w:tcPr>
            <w:tcW w:w="2223" w:type="dxa"/>
            <w:tcMar>
              <w:top w:w="15" w:type="dxa"/>
              <w:left w:w="15" w:type="dxa"/>
              <w:bottom w:w="15" w:type="dxa"/>
              <w:right w:w="15" w:type="dxa"/>
            </w:tcMar>
            <w:vAlign w:val="center"/>
            <w:hideMark/>
          </w:tcPr>
          <w:p w14:paraId="77C984DB"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Presence in G500 Sample</w:t>
            </w:r>
          </w:p>
        </w:tc>
        <w:tc>
          <w:tcPr>
            <w:tcW w:w="2701" w:type="dxa"/>
            <w:tcMar>
              <w:top w:w="15" w:type="dxa"/>
              <w:left w:w="15" w:type="dxa"/>
              <w:bottom w:w="15" w:type="dxa"/>
              <w:right w:w="15" w:type="dxa"/>
            </w:tcMar>
            <w:vAlign w:val="center"/>
            <w:hideMark/>
          </w:tcPr>
          <w:p w14:paraId="08FAC577"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tc>
        <w:tc>
          <w:tcPr>
            <w:tcW w:w="2544" w:type="dxa"/>
            <w:tcMar>
              <w:top w:w="15" w:type="dxa"/>
              <w:left w:w="15" w:type="dxa"/>
              <w:bottom w:w="15" w:type="dxa"/>
              <w:right w:w="15" w:type="dxa"/>
            </w:tcMar>
            <w:vAlign w:val="center"/>
            <w:hideMark/>
          </w:tcPr>
          <w:p w14:paraId="17761C1B"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tc>
        <w:tc>
          <w:tcPr>
            <w:tcW w:w="2887" w:type="dxa"/>
            <w:tcMar>
              <w:top w:w="15" w:type="dxa"/>
              <w:left w:w="15" w:type="dxa"/>
              <w:bottom w:w="15" w:type="dxa"/>
              <w:right w:w="15" w:type="dxa"/>
            </w:tcMar>
            <w:vAlign w:val="center"/>
            <w:hideMark/>
          </w:tcPr>
          <w:p w14:paraId="2921024A"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tc>
        <w:tc>
          <w:tcPr>
            <w:tcW w:w="3419" w:type="dxa"/>
            <w:tcMar>
              <w:top w:w="15" w:type="dxa"/>
              <w:left w:w="15" w:type="dxa"/>
              <w:bottom w:w="15" w:type="dxa"/>
              <w:right w:w="15" w:type="dxa"/>
            </w:tcMar>
            <w:vAlign w:val="center"/>
            <w:hideMark/>
          </w:tcPr>
          <w:p w14:paraId="7261997C"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Ensures alignment and comparability with the meso-level quantitative dataset.</w:t>
            </w:r>
          </w:p>
        </w:tc>
      </w:tr>
      <w:tr w:rsidR="00156A23" w:rsidRPr="0053182F" w14:paraId="63C8043F" w14:textId="77777777" w:rsidTr="00D20468">
        <w:trPr>
          <w:trHeight w:val="885"/>
          <w:tblCellSpacing w:w="15" w:type="dxa"/>
        </w:trPr>
        <w:tc>
          <w:tcPr>
            <w:tcW w:w="2223" w:type="dxa"/>
            <w:tcMar>
              <w:top w:w="15" w:type="dxa"/>
              <w:left w:w="15" w:type="dxa"/>
              <w:bottom w:w="15" w:type="dxa"/>
              <w:right w:w="15" w:type="dxa"/>
            </w:tcMar>
            <w:vAlign w:val="center"/>
            <w:hideMark/>
          </w:tcPr>
          <w:p w14:paraId="29520A47"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Sri Lanka Sourcing Links</w:t>
            </w:r>
          </w:p>
        </w:tc>
        <w:tc>
          <w:tcPr>
            <w:tcW w:w="2701" w:type="dxa"/>
            <w:tcMar>
              <w:top w:w="15" w:type="dxa"/>
              <w:left w:w="15" w:type="dxa"/>
              <w:bottom w:w="15" w:type="dxa"/>
              <w:right w:w="15" w:type="dxa"/>
            </w:tcMar>
            <w:vAlign w:val="center"/>
            <w:hideMark/>
          </w:tcPr>
          <w:p w14:paraId="4B610A94"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64DF9FDD"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(Public supplier list includes Sri Lanka)</w:t>
            </w:r>
          </w:p>
        </w:tc>
        <w:tc>
          <w:tcPr>
            <w:tcW w:w="2544" w:type="dxa"/>
            <w:tcMar>
              <w:top w:w="15" w:type="dxa"/>
              <w:left w:w="15" w:type="dxa"/>
              <w:bottom w:w="15" w:type="dxa"/>
              <w:right w:w="15" w:type="dxa"/>
            </w:tcMar>
            <w:vAlign w:val="center"/>
            <w:hideMark/>
          </w:tcPr>
          <w:p w14:paraId="7204C1CA"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3B8B60CA"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(workers referenced Zara production in interviews)</w:t>
            </w:r>
          </w:p>
        </w:tc>
        <w:tc>
          <w:tcPr>
            <w:tcW w:w="2887" w:type="dxa"/>
            <w:tcMar>
              <w:top w:w="15" w:type="dxa"/>
              <w:left w:w="15" w:type="dxa"/>
              <w:bottom w:w="15" w:type="dxa"/>
              <w:right w:w="15" w:type="dxa"/>
            </w:tcMar>
            <w:vAlign w:val="center"/>
            <w:hideMark/>
          </w:tcPr>
          <w:p w14:paraId="6D0CE957"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2360A525"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(mentioned in worker accounts; sector presence in Sri Lankan suppliers)</w:t>
            </w:r>
          </w:p>
        </w:tc>
        <w:tc>
          <w:tcPr>
            <w:tcW w:w="3419" w:type="dxa"/>
            <w:tcMar>
              <w:top w:w="15" w:type="dxa"/>
              <w:left w:w="15" w:type="dxa"/>
              <w:bottom w:w="15" w:type="dxa"/>
              <w:right w:w="15" w:type="dxa"/>
            </w:tcMar>
            <w:vAlign w:val="center"/>
            <w:hideMark/>
          </w:tcPr>
          <w:p w14:paraId="4DAC3DB4"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Establishes relevance to micro-level fieldwork; ties corporate disclosure to worker realities.</w:t>
            </w:r>
          </w:p>
        </w:tc>
      </w:tr>
      <w:tr w:rsidR="00156A23" w:rsidRPr="0053182F" w14:paraId="4A7B4C8E" w14:textId="77777777" w:rsidTr="00D20468">
        <w:trPr>
          <w:trHeight w:val="892"/>
          <w:tblCellSpacing w:w="15" w:type="dxa"/>
        </w:trPr>
        <w:tc>
          <w:tcPr>
            <w:tcW w:w="2223" w:type="dxa"/>
            <w:tcMar>
              <w:top w:w="15" w:type="dxa"/>
              <w:left w:w="15" w:type="dxa"/>
              <w:bottom w:w="15" w:type="dxa"/>
              <w:right w:w="15" w:type="dxa"/>
            </w:tcMar>
            <w:vAlign w:val="center"/>
            <w:hideMark/>
          </w:tcPr>
          <w:p w14:paraId="0B57C745"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Availability of Disclosure Materials (2019–2023)</w:t>
            </w:r>
          </w:p>
        </w:tc>
        <w:tc>
          <w:tcPr>
            <w:tcW w:w="2701" w:type="dxa"/>
            <w:tcMar>
              <w:top w:w="15" w:type="dxa"/>
              <w:left w:w="15" w:type="dxa"/>
              <w:bottom w:w="15" w:type="dxa"/>
              <w:right w:w="15" w:type="dxa"/>
            </w:tcMar>
            <w:vAlign w:val="center"/>
            <w:hideMark/>
          </w:tcPr>
          <w:p w14:paraId="41846880"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0FA9C674"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Annual Reports, Impact Reports, MSA Statements</w:t>
            </w:r>
          </w:p>
        </w:tc>
        <w:tc>
          <w:tcPr>
            <w:tcW w:w="2544" w:type="dxa"/>
            <w:tcMar>
              <w:top w:w="15" w:type="dxa"/>
              <w:left w:w="15" w:type="dxa"/>
              <w:bottom w:w="15" w:type="dxa"/>
              <w:right w:w="15" w:type="dxa"/>
            </w:tcMar>
            <w:vAlign w:val="center"/>
            <w:hideMark/>
          </w:tcPr>
          <w:p w14:paraId="7F2EFC58"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4893C29D"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Integrated Reports, Sustainability Reports, Policies</w:t>
            </w:r>
          </w:p>
        </w:tc>
        <w:tc>
          <w:tcPr>
            <w:tcW w:w="2887" w:type="dxa"/>
            <w:tcMar>
              <w:top w:w="15" w:type="dxa"/>
              <w:left w:w="15" w:type="dxa"/>
              <w:bottom w:w="15" w:type="dxa"/>
              <w:right w:w="15" w:type="dxa"/>
            </w:tcMar>
            <w:vAlign w:val="center"/>
            <w:hideMark/>
          </w:tcPr>
          <w:p w14:paraId="679DEA9B"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303E39E4"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Annual Reports, Human Rights Disclosures</w:t>
            </w:r>
          </w:p>
        </w:tc>
        <w:tc>
          <w:tcPr>
            <w:tcW w:w="3419" w:type="dxa"/>
            <w:tcMar>
              <w:top w:w="15" w:type="dxa"/>
              <w:left w:w="15" w:type="dxa"/>
              <w:bottom w:w="15" w:type="dxa"/>
              <w:right w:w="15" w:type="dxa"/>
            </w:tcMar>
            <w:vAlign w:val="center"/>
            <w:hideMark/>
          </w:tcPr>
          <w:p w14:paraId="5E3FA3C9"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Ensures the feasibility of longitudinal content analysis.</w:t>
            </w:r>
          </w:p>
        </w:tc>
      </w:tr>
      <w:tr w:rsidR="00156A23" w:rsidRPr="0053182F" w14:paraId="378CF746" w14:textId="77777777" w:rsidTr="00D20468">
        <w:trPr>
          <w:trHeight w:val="855"/>
          <w:tblCellSpacing w:w="15" w:type="dxa"/>
        </w:trPr>
        <w:tc>
          <w:tcPr>
            <w:tcW w:w="2223" w:type="dxa"/>
            <w:tcMar>
              <w:top w:w="15" w:type="dxa"/>
              <w:left w:w="15" w:type="dxa"/>
              <w:bottom w:w="15" w:type="dxa"/>
              <w:right w:w="15" w:type="dxa"/>
            </w:tcMar>
            <w:vAlign w:val="center"/>
            <w:hideMark/>
          </w:tcPr>
          <w:p w14:paraId="7734CB0F"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High CMS-Risk Industry</w:t>
            </w:r>
          </w:p>
        </w:tc>
        <w:tc>
          <w:tcPr>
            <w:tcW w:w="2701" w:type="dxa"/>
            <w:tcMar>
              <w:top w:w="15" w:type="dxa"/>
              <w:left w:w="15" w:type="dxa"/>
              <w:bottom w:w="15" w:type="dxa"/>
              <w:right w:w="15" w:type="dxa"/>
            </w:tcMar>
            <w:vAlign w:val="center"/>
            <w:hideMark/>
          </w:tcPr>
          <w:p w14:paraId="3F5EF8BC"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3979088F"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 xml:space="preserve"> Apparel/Footwear</w:t>
            </w:r>
          </w:p>
        </w:tc>
        <w:tc>
          <w:tcPr>
            <w:tcW w:w="2544" w:type="dxa"/>
            <w:tcMar>
              <w:top w:w="15" w:type="dxa"/>
              <w:left w:w="15" w:type="dxa"/>
              <w:bottom w:w="15" w:type="dxa"/>
              <w:right w:w="15" w:type="dxa"/>
            </w:tcMar>
            <w:vAlign w:val="center"/>
            <w:hideMark/>
          </w:tcPr>
          <w:p w14:paraId="734A1BA1"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r w:rsidRPr="0053182F">
              <w:rPr>
                <w:rFonts w:eastAsia="Times New Roman"/>
                <w:color w:val="auto"/>
                <w:kern w:val="0"/>
                <w:sz w:val="22"/>
                <w:szCs w:val="22"/>
                <w:lang w:eastAsia="en-GB"/>
                <w14:ligatures w14:val="none"/>
              </w:rPr>
              <w:t xml:space="preserve"> </w:t>
            </w:r>
          </w:p>
          <w:p w14:paraId="7D12ECD7"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Fast Fashion</w:t>
            </w:r>
          </w:p>
        </w:tc>
        <w:tc>
          <w:tcPr>
            <w:tcW w:w="2887" w:type="dxa"/>
            <w:tcMar>
              <w:top w:w="15" w:type="dxa"/>
              <w:left w:w="15" w:type="dxa"/>
              <w:bottom w:w="15" w:type="dxa"/>
              <w:right w:w="15" w:type="dxa"/>
            </w:tcMar>
            <w:vAlign w:val="center"/>
            <w:hideMark/>
          </w:tcPr>
          <w:p w14:paraId="5A14EFF6"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704693F2"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Luxury Fashion</w:t>
            </w:r>
          </w:p>
        </w:tc>
        <w:tc>
          <w:tcPr>
            <w:tcW w:w="3419" w:type="dxa"/>
            <w:tcMar>
              <w:top w:w="15" w:type="dxa"/>
              <w:left w:w="15" w:type="dxa"/>
              <w:bottom w:w="15" w:type="dxa"/>
              <w:right w:w="15" w:type="dxa"/>
            </w:tcMar>
            <w:vAlign w:val="center"/>
            <w:hideMark/>
          </w:tcPr>
          <w:p w14:paraId="5EA6941D"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The A&amp;TI is classified as high-risk for forced labour, wage exploitation, and supply-chain opacity.</w:t>
            </w:r>
          </w:p>
        </w:tc>
      </w:tr>
      <w:tr w:rsidR="00156A23" w:rsidRPr="0053182F" w14:paraId="7341D7BC" w14:textId="77777777" w:rsidTr="00D20468">
        <w:trPr>
          <w:trHeight w:val="711"/>
          <w:tblCellSpacing w:w="15" w:type="dxa"/>
        </w:trPr>
        <w:tc>
          <w:tcPr>
            <w:tcW w:w="2223" w:type="dxa"/>
            <w:tcMar>
              <w:top w:w="15" w:type="dxa"/>
              <w:left w:w="15" w:type="dxa"/>
              <w:bottom w:w="15" w:type="dxa"/>
              <w:right w:w="15" w:type="dxa"/>
            </w:tcMar>
            <w:vAlign w:val="center"/>
            <w:hideMark/>
          </w:tcPr>
          <w:p w14:paraId="35F710FF"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Significance in Global Supply Chains</w:t>
            </w:r>
          </w:p>
        </w:tc>
        <w:tc>
          <w:tcPr>
            <w:tcW w:w="2701" w:type="dxa"/>
            <w:tcMar>
              <w:top w:w="15" w:type="dxa"/>
              <w:left w:w="15" w:type="dxa"/>
              <w:bottom w:w="15" w:type="dxa"/>
              <w:right w:w="15" w:type="dxa"/>
            </w:tcMar>
            <w:vAlign w:val="center"/>
            <w:hideMark/>
          </w:tcPr>
          <w:p w14:paraId="6253D4EF"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451CCDE9"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Large-scale tiered production networks</w:t>
            </w:r>
          </w:p>
        </w:tc>
        <w:tc>
          <w:tcPr>
            <w:tcW w:w="2544" w:type="dxa"/>
            <w:tcMar>
              <w:top w:w="15" w:type="dxa"/>
              <w:left w:w="15" w:type="dxa"/>
              <w:bottom w:w="15" w:type="dxa"/>
              <w:right w:w="15" w:type="dxa"/>
            </w:tcMar>
            <w:vAlign w:val="center"/>
            <w:hideMark/>
          </w:tcPr>
          <w:p w14:paraId="7D142B7F"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r w:rsidRPr="0053182F">
              <w:rPr>
                <w:rFonts w:eastAsia="Times New Roman"/>
                <w:color w:val="auto"/>
                <w:kern w:val="0"/>
                <w:sz w:val="22"/>
                <w:szCs w:val="22"/>
                <w:lang w:eastAsia="en-GB"/>
                <w14:ligatures w14:val="none"/>
              </w:rPr>
              <w:t xml:space="preserve"> </w:t>
            </w:r>
          </w:p>
          <w:p w14:paraId="09D5AEC3"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World’s largest fashion retailer</w:t>
            </w:r>
          </w:p>
        </w:tc>
        <w:tc>
          <w:tcPr>
            <w:tcW w:w="2887" w:type="dxa"/>
            <w:tcMar>
              <w:top w:w="15" w:type="dxa"/>
              <w:left w:w="15" w:type="dxa"/>
              <w:bottom w:w="15" w:type="dxa"/>
              <w:right w:w="15" w:type="dxa"/>
            </w:tcMar>
            <w:vAlign w:val="center"/>
            <w:hideMark/>
          </w:tcPr>
          <w:p w14:paraId="659E199F"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7D49DE19"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Global luxury conglomerate under LVMH</w:t>
            </w:r>
          </w:p>
        </w:tc>
        <w:tc>
          <w:tcPr>
            <w:tcW w:w="3419" w:type="dxa"/>
            <w:tcMar>
              <w:top w:w="15" w:type="dxa"/>
              <w:left w:w="15" w:type="dxa"/>
              <w:bottom w:w="15" w:type="dxa"/>
              <w:right w:w="15" w:type="dxa"/>
            </w:tcMar>
            <w:vAlign w:val="center"/>
            <w:hideMark/>
          </w:tcPr>
          <w:p w14:paraId="15DA5028"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Ideal cases for examining decoupling and symbolic compliance.</w:t>
            </w:r>
          </w:p>
        </w:tc>
      </w:tr>
      <w:tr w:rsidR="00156A23" w:rsidRPr="0053182F" w14:paraId="68FEE198" w14:textId="77777777" w:rsidTr="00D20468">
        <w:trPr>
          <w:trHeight w:val="711"/>
          <w:tblCellSpacing w:w="15" w:type="dxa"/>
        </w:trPr>
        <w:tc>
          <w:tcPr>
            <w:tcW w:w="2223" w:type="dxa"/>
            <w:tcBorders>
              <w:top w:val="nil"/>
              <w:left w:val="nil"/>
              <w:bottom w:val="single" w:sz="4" w:space="0" w:color="auto"/>
              <w:right w:val="nil"/>
            </w:tcBorders>
            <w:tcMar>
              <w:top w:w="15" w:type="dxa"/>
              <w:left w:w="15" w:type="dxa"/>
              <w:bottom w:w="15" w:type="dxa"/>
              <w:right w:w="15" w:type="dxa"/>
            </w:tcMar>
            <w:vAlign w:val="center"/>
            <w:hideMark/>
          </w:tcPr>
          <w:p w14:paraId="3FFE32E5"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Brand Visibility and Institutional Pressures</w:t>
            </w:r>
          </w:p>
        </w:tc>
        <w:tc>
          <w:tcPr>
            <w:tcW w:w="2701" w:type="dxa"/>
            <w:tcBorders>
              <w:top w:val="nil"/>
              <w:left w:val="nil"/>
              <w:bottom w:val="single" w:sz="4" w:space="0" w:color="auto"/>
              <w:right w:val="nil"/>
            </w:tcBorders>
            <w:tcMar>
              <w:top w:w="15" w:type="dxa"/>
              <w:left w:w="15" w:type="dxa"/>
              <w:bottom w:w="15" w:type="dxa"/>
              <w:right w:w="15" w:type="dxa"/>
            </w:tcMar>
            <w:vAlign w:val="center"/>
            <w:hideMark/>
          </w:tcPr>
          <w:p w14:paraId="15F34EBD"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p>
          <w:p w14:paraId="32207071"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Subject to strong public scrutiny and activism</w:t>
            </w:r>
          </w:p>
        </w:tc>
        <w:tc>
          <w:tcPr>
            <w:tcW w:w="2544" w:type="dxa"/>
            <w:tcBorders>
              <w:top w:val="nil"/>
              <w:left w:val="nil"/>
              <w:bottom w:val="single" w:sz="4" w:space="0" w:color="auto"/>
              <w:right w:val="nil"/>
            </w:tcBorders>
            <w:tcMar>
              <w:top w:w="15" w:type="dxa"/>
              <w:left w:w="15" w:type="dxa"/>
              <w:bottom w:w="15" w:type="dxa"/>
              <w:right w:w="15" w:type="dxa"/>
            </w:tcMar>
            <w:vAlign w:val="center"/>
            <w:hideMark/>
          </w:tcPr>
          <w:p w14:paraId="21867957"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r w:rsidRPr="0053182F">
              <w:rPr>
                <w:rFonts w:eastAsia="Times New Roman"/>
                <w:color w:val="auto"/>
                <w:kern w:val="0"/>
                <w:sz w:val="22"/>
                <w:szCs w:val="22"/>
                <w:lang w:eastAsia="en-GB"/>
                <w14:ligatures w14:val="none"/>
              </w:rPr>
              <w:t xml:space="preserve"> </w:t>
            </w:r>
          </w:p>
          <w:p w14:paraId="3EE9D3B9"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High regulatory and consumer visibility</w:t>
            </w:r>
          </w:p>
        </w:tc>
        <w:tc>
          <w:tcPr>
            <w:tcW w:w="2887" w:type="dxa"/>
            <w:tcBorders>
              <w:top w:val="nil"/>
              <w:left w:val="nil"/>
              <w:bottom w:val="single" w:sz="4" w:space="0" w:color="auto"/>
              <w:right w:val="nil"/>
            </w:tcBorders>
            <w:tcMar>
              <w:top w:w="15" w:type="dxa"/>
              <w:left w:w="15" w:type="dxa"/>
              <w:bottom w:w="15" w:type="dxa"/>
              <w:right w:w="15" w:type="dxa"/>
            </w:tcMar>
            <w:vAlign w:val="center"/>
            <w:hideMark/>
          </w:tcPr>
          <w:p w14:paraId="2B6C473C"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ascii="Segoe UI Symbol" w:eastAsia="Times New Roman" w:hAnsi="Segoe UI Symbol" w:cs="Segoe UI Symbol"/>
                <w:color w:val="auto"/>
                <w:kern w:val="0"/>
                <w:sz w:val="22"/>
                <w:szCs w:val="22"/>
                <w:lang w:eastAsia="en-GB"/>
                <w14:ligatures w14:val="none"/>
              </w:rPr>
              <w:t>✓</w:t>
            </w:r>
            <w:r w:rsidRPr="0053182F">
              <w:rPr>
                <w:rFonts w:eastAsia="Times New Roman"/>
                <w:color w:val="auto"/>
                <w:kern w:val="0"/>
                <w:sz w:val="22"/>
                <w:szCs w:val="22"/>
                <w:lang w:eastAsia="en-GB"/>
                <w14:ligatures w14:val="none"/>
              </w:rPr>
              <w:t xml:space="preserve"> </w:t>
            </w:r>
          </w:p>
          <w:p w14:paraId="73F59944"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Reputational sensitivity in luxury markets</w:t>
            </w:r>
          </w:p>
        </w:tc>
        <w:tc>
          <w:tcPr>
            <w:tcW w:w="3419" w:type="dxa"/>
            <w:tcBorders>
              <w:top w:val="nil"/>
              <w:left w:val="nil"/>
              <w:bottom w:val="single" w:sz="4" w:space="0" w:color="auto"/>
              <w:right w:val="nil"/>
            </w:tcBorders>
            <w:tcMar>
              <w:top w:w="15" w:type="dxa"/>
              <w:left w:w="15" w:type="dxa"/>
              <w:bottom w:w="15" w:type="dxa"/>
              <w:right w:w="15" w:type="dxa"/>
            </w:tcMar>
            <w:vAlign w:val="center"/>
            <w:hideMark/>
          </w:tcPr>
          <w:p w14:paraId="3005C90E" w14:textId="77777777" w:rsidR="00156A23" w:rsidRPr="0053182F" w:rsidRDefault="00156A23" w:rsidP="00D20468">
            <w:pPr>
              <w:spacing w:after="0" w:line="240" w:lineRule="auto"/>
              <w:jc w:val="center"/>
              <w:rPr>
                <w:rFonts w:eastAsia="Times New Roman"/>
                <w:color w:val="auto"/>
                <w:kern w:val="0"/>
                <w:sz w:val="22"/>
                <w:szCs w:val="22"/>
                <w:lang w:eastAsia="en-GB"/>
                <w14:ligatures w14:val="none"/>
              </w:rPr>
            </w:pPr>
            <w:r w:rsidRPr="0053182F">
              <w:rPr>
                <w:rFonts w:eastAsia="Times New Roman"/>
                <w:color w:val="auto"/>
                <w:kern w:val="0"/>
                <w:sz w:val="22"/>
                <w:szCs w:val="22"/>
                <w:lang w:eastAsia="en-GB"/>
                <w14:ligatures w14:val="none"/>
              </w:rPr>
              <w:t>NIT-aligned: high coercive, normative, and mimetic pressures.</w:t>
            </w:r>
          </w:p>
        </w:tc>
      </w:tr>
    </w:tbl>
    <w:p w14:paraId="15217750" w14:textId="77777777" w:rsidR="00156A23" w:rsidRPr="0053182F" w:rsidRDefault="00156A23" w:rsidP="00156A23">
      <w:pPr>
        <w:spacing w:after="0" w:line="480" w:lineRule="auto"/>
        <w:jc w:val="both"/>
        <w:rPr>
          <w:rFonts w:eastAsia="Times New Roman"/>
          <w:color w:val="auto"/>
          <w:kern w:val="0"/>
          <w:lang w:eastAsia="en-GB"/>
          <w14:ligatures w14:val="none"/>
        </w:rPr>
      </w:pPr>
      <w:r w:rsidRPr="0053182F">
        <w:rPr>
          <w:b/>
          <w:bCs/>
        </w:rPr>
        <w:t>Table 7.8:</w:t>
      </w:r>
      <w:r w:rsidRPr="0053182F">
        <w:t xml:space="preserve"> Justification for sample selection for Meso-Level Disclosure Analysis</w:t>
      </w:r>
    </w:p>
    <w:p w14:paraId="3FEAEB8A" w14:textId="77777777" w:rsidR="00156A23" w:rsidRPr="0053182F" w:rsidRDefault="00156A23" w:rsidP="00156A23">
      <w:pPr>
        <w:spacing w:after="0" w:line="240" w:lineRule="auto"/>
        <w:ind w:firstLine="720"/>
        <w:jc w:val="both"/>
        <w:rPr>
          <w:rFonts w:eastAsia="Times New Roman"/>
          <w:color w:val="auto"/>
          <w:kern w:val="0"/>
          <w:lang w:eastAsia="en-GB"/>
          <w14:ligatures w14:val="none"/>
        </w:rPr>
      </w:pPr>
      <w:r w:rsidRPr="0053182F">
        <w:rPr>
          <w:rFonts w:eastAsia="Times New Roman"/>
          <w:b/>
          <w:bCs/>
          <w:color w:val="auto"/>
          <w:kern w:val="0"/>
          <w:lang w:eastAsia="en-GB"/>
          <w14:ligatures w14:val="none"/>
        </w:rPr>
        <w:t>Source:</w:t>
      </w:r>
      <w:r w:rsidRPr="0053182F">
        <w:rPr>
          <w:rFonts w:eastAsia="Times New Roman"/>
          <w:color w:val="auto"/>
          <w:kern w:val="0"/>
          <w:lang w:eastAsia="en-GB"/>
          <w14:ligatures w14:val="none"/>
        </w:rPr>
        <w:t xml:space="preserve"> Author's own work</w:t>
      </w:r>
    </w:p>
    <w:p w14:paraId="325ADECE" w14:textId="77777777" w:rsidR="00156A23" w:rsidRPr="0053182F" w:rsidRDefault="00156A23" w:rsidP="00156A23">
      <w:pPr>
        <w:spacing w:after="0" w:line="240" w:lineRule="auto"/>
        <w:rPr>
          <w:rFonts w:eastAsia="Times New Roman"/>
          <w:color w:val="auto"/>
          <w:kern w:val="0"/>
          <w:lang w:eastAsia="en-GB"/>
          <w14:ligatures w14:val="none"/>
        </w:rPr>
        <w:sectPr w:rsidR="00156A23" w:rsidRPr="0053182F" w:rsidSect="00156A23">
          <w:pgSz w:w="16838" w:h="11906" w:orient="landscape"/>
          <w:pgMar w:top="1440" w:right="1440" w:bottom="1440" w:left="1440" w:header="709" w:footer="709" w:gutter="0"/>
          <w:cols w:space="720"/>
        </w:sectPr>
      </w:pPr>
    </w:p>
    <w:p w14:paraId="63225E39" w14:textId="77777777" w:rsidR="00156A23" w:rsidRPr="0053182F" w:rsidRDefault="00156A23" w:rsidP="00156A23">
      <w:pPr>
        <w:pStyle w:val="Heading2"/>
      </w:pPr>
      <w:bookmarkStart w:id="394" w:name="_Toc216557295"/>
      <w:bookmarkStart w:id="395" w:name="_Toc218357185"/>
      <w:r w:rsidRPr="0053182F">
        <w:t>7.16 Data Sources for Disclosure Analysis</w:t>
      </w:r>
      <w:bookmarkEnd w:id="394"/>
      <w:bookmarkEnd w:id="395"/>
    </w:p>
    <w:p w14:paraId="3885A54C" w14:textId="77777777" w:rsidR="00156A23" w:rsidRPr="0053182F" w:rsidRDefault="00156A23" w:rsidP="00156A23">
      <w:pPr>
        <w:pStyle w:val="Heading3"/>
        <w:rPr>
          <w:color w:val="0F4761" w:themeColor="accent1" w:themeShade="BF"/>
        </w:rPr>
      </w:pPr>
      <w:bookmarkStart w:id="396" w:name="_Toc216557296"/>
      <w:bookmarkStart w:id="397" w:name="_Toc218357186"/>
      <w:r w:rsidRPr="0053182F">
        <w:t>7.16.1 Documents Included</w:t>
      </w:r>
      <w:bookmarkEnd w:id="396"/>
      <w:bookmarkEnd w:id="397"/>
    </w:p>
    <w:p w14:paraId="7A23205C" w14:textId="77777777" w:rsidR="00156A23" w:rsidRPr="0053182F" w:rsidRDefault="00156A23" w:rsidP="00156A23">
      <w:pPr>
        <w:spacing w:line="480" w:lineRule="auto"/>
        <w:jc w:val="both"/>
      </w:pPr>
      <w:r w:rsidRPr="0053182F">
        <w:t>The meso-level disclosure analysis drew on a curated set of publicly available corporate documents from Nike, Inditex, and Christian Dior, produced between 2019 and 2023. The dataset comprised Integrated Reports, Annual Reports, Sustainability/Impact Reports, MSS, Codes of Conduct, Supplier Standards, and Human Rights/Due Diligence disclosures. These documents represent each firm's formal and externally communicated commitments to labour governance, ethical sourcing, and ACMS compliance, making them suitable for examining both symbolic and substantive accountability practices.</w:t>
      </w:r>
    </w:p>
    <w:p w14:paraId="309D5BC4" w14:textId="77777777" w:rsidR="00156A23" w:rsidRPr="0053182F" w:rsidRDefault="00156A23" w:rsidP="00156A23">
      <w:pPr>
        <w:spacing w:line="480" w:lineRule="auto"/>
        <w:ind w:firstLine="720"/>
        <w:jc w:val="both"/>
      </w:pPr>
      <w:r w:rsidRPr="0053182F">
        <w:t>To strengthen analytical depth and triangulation, these primary corporate disclosures were supplemented with media investigations, NGO reports, and labour rights publications (e.g., the Clean Clothes Campaign and Human Rights Watch). These external sources provided independent perspectives on working conditions, enforcement gaps, and supply-chain realities, enabling the study to contrast corporate narratives with documented incidents and industry scrutiny. Collectively, the dataset provided a longitudinal, multi-perspectival evidence base for analysing how the selected MNCs articulated, adapted, and legitimised their labour and supply-chain governance strategies over the five years.</w:t>
      </w:r>
    </w:p>
    <w:p w14:paraId="1FD628E0" w14:textId="77777777" w:rsidR="00156A23" w:rsidRPr="0053182F" w:rsidRDefault="00156A23" w:rsidP="00156A23">
      <w:pPr>
        <w:pStyle w:val="Heading3"/>
      </w:pPr>
      <w:bookmarkStart w:id="398" w:name="_Toc216557297"/>
      <w:bookmarkStart w:id="399" w:name="_Toc218357187"/>
      <w:r w:rsidRPr="0053182F">
        <w:t>7.16.2 Inclusion and Exclusion Criteria</w:t>
      </w:r>
      <w:bookmarkEnd w:id="398"/>
      <w:bookmarkEnd w:id="399"/>
    </w:p>
    <w:p w14:paraId="75EAD577" w14:textId="77777777" w:rsidR="00156A23" w:rsidRPr="0053182F" w:rsidRDefault="00156A23" w:rsidP="00156A23">
      <w:p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color w:val="auto"/>
          <w:kern w:val="0"/>
          <w:lang w:eastAsia="en-GB"/>
          <w14:ligatures w14:val="none"/>
        </w:rPr>
        <w:t>Documents were included in the analysis if they met the following criteria:</w:t>
      </w:r>
    </w:p>
    <w:p w14:paraId="4D0C29FF" w14:textId="77777777" w:rsidR="00156A23" w:rsidRPr="0053182F" w:rsidRDefault="00156A23" w:rsidP="00156A23">
      <w:pPr>
        <w:pStyle w:val="ListParagraph"/>
        <w:numPr>
          <w:ilvl w:val="0"/>
          <w:numId w:val="36"/>
        </w:num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b/>
          <w:bCs/>
          <w:i/>
          <w:iCs/>
          <w:color w:val="auto"/>
          <w:kern w:val="0"/>
          <w:lang w:eastAsia="en-GB"/>
          <w14:ligatures w14:val="none"/>
        </w:rPr>
        <w:t>Publication period:</w:t>
      </w:r>
      <w:r w:rsidRPr="0053182F">
        <w:rPr>
          <w:rFonts w:eastAsia="Times New Roman"/>
          <w:color w:val="auto"/>
          <w:kern w:val="0"/>
          <w:lang w:eastAsia="en-GB"/>
          <w14:ligatures w14:val="none"/>
        </w:rPr>
        <w:t xml:space="preserve"> 2019-2023.</w:t>
      </w:r>
    </w:p>
    <w:p w14:paraId="66B3E789" w14:textId="77777777" w:rsidR="00156A23" w:rsidRPr="0053182F" w:rsidRDefault="00156A23" w:rsidP="00156A23">
      <w:pPr>
        <w:pStyle w:val="ListParagraph"/>
        <w:numPr>
          <w:ilvl w:val="0"/>
          <w:numId w:val="36"/>
        </w:num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b/>
          <w:bCs/>
          <w:i/>
          <w:iCs/>
          <w:color w:val="auto"/>
          <w:kern w:val="0"/>
          <w:lang w:eastAsia="en-GB"/>
          <w14:ligatures w14:val="none"/>
        </w:rPr>
        <w:t>Content relevance:</w:t>
      </w:r>
      <w:r w:rsidRPr="0053182F">
        <w:rPr>
          <w:rFonts w:eastAsia="Times New Roman"/>
          <w:color w:val="auto"/>
          <w:kern w:val="0"/>
          <w:lang w:eastAsia="en-GB"/>
          <w14:ligatures w14:val="none"/>
        </w:rPr>
        <w:t xml:space="preserve"> contained explicit reference to labour governance, human rights, supply-chain oversight, due diligence mechanisms, or MS-related policies.</w:t>
      </w:r>
    </w:p>
    <w:p w14:paraId="1EC6730D" w14:textId="77777777" w:rsidR="00156A23" w:rsidRPr="0053182F" w:rsidRDefault="00156A23" w:rsidP="00156A23">
      <w:pPr>
        <w:spacing w:before="100" w:beforeAutospacing="1" w:after="100" w:afterAutospacing="1" w:line="480" w:lineRule="auto"/>
        <w:ind w:left="567"/>
        <w:jc w:val="both"/>
        <w:rPr>
          <w:rFonts w:eastAsia="Times New Roman"/>
          <w:color w:val="auto"/>
          <w:kern w:val="0"/>
          <w:lang w:eastAsia="en-GB"/>
          <w14:ligatures w14:val="none"/>
        </w:rPr>
      </w:pPr>
    </w:p>
    <w:p w14:paraId="3E386C00" w14:textId="77777777" w:rsidR="00156A23" w:rsidRPr="0053182F" w:rsidRDefault="00156A23" w:rsidP="00156A23">
      <w:pPr>
        <w:pStyle w:val="ListParagraph"/>
        <w:numPr>
          <w:ilvl w:val="0"/>
          <w:numId w:val="36"/>
        </w:num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b/>
          <w:bCs/>
          <w:i/>
          <w:iCs/>
          <w:color w:val="auto"/>
          <w:kern w:val="0"/>
          <w:lang w:eastAsia="en-GB"/>
          <w14:ligatures w14:val="none"/>
        </w:rPr>
        <w:t>Source validity</w:t>
      </w:r>
      <w:r w:rsidRPr="0053182F">
        <w:rPr>
          <w:rFonts w:eastAsia="Times New Roman"/>
          <w:color w:val="auto"/>
          <w:kern w:val="0"/>
          <w:lang w:eastAsia="en-GB"/>
          <w14:ligatures w14:val="none"/>
        </w:rPr>
        <w:t xml:space="preserve"> was official corporate publications or verified third-party reports (e.g., reputable NGOs, investigative media).</w:t>
      </w:r>
    </w:p>
    <w:p w14:paraId="15941145" w14:textId="77777777" w:rsidR="00156A23" w:rsidRPr="0053182F" w:rsidRDefault="00156A23" w:rsidP="00156A23">
      <w:pPr>
        <w:pStyle w:val="ListParagraph"/>
        <w:numPr>
          <w:ilvl w:val="0"/>
          <w:numId w:val="36"/>
        </w:numPr>
        <w:spacing w:before="100" w:beforeAutospacing="1" w:after="100" w:afterAutospacing="1" w:line="480" w:lineRule="auto"/>
        <w:jc w:val="both"/>
        <w:rPr>
          <w:rFonts w:eastAsia="Times New Roman"/>
          <w:color w:val="auto"/>
          <w:kern w:val="0"/>
          <w:lang w:eastAsia="en-GB"/>
          <w14:ligatures w14:val="none"/>
        </w:rPr>
      </w:pPr>
      <w:r w:rsidRPr="0053182F">
        <w:rPr>
          <w:rFonts w:eastAsia="Times New Roman"/>
          <w:b/>
          <w:bCs/>
          <w:i/>
          <w:iCs/>
          <w:color w:val="auto"/>
          <w:kern w:val="0"/>
          <w:lang w:eastAsia="en-GB"/>
          <w14:ligatures w14:val="none"/>
        </w:rPr>
        <w:t>Comparability:</w:t>
      </w:r>
      <w:r w:rsidRPr="0053182F">
        <w:rPr>
          <w:rFonts w:eastAsia="Times New Roman"/>
          <w:color w:val="auto"/>
          <w:kern w:val="0"/>
          <w:lang w:eastAsia="en-GB"/>
          <w14:ligatures w14:val="none"/>
        </w:rPr>
        <w:t xml:space="preserve"> followed standardised reporting formats that enabled cross-company and longitudinal analysis.</w:t>
      </w:r>
    </w:p>
    <w:p w14:paraId="6C6752AA" w14:textId="77777777" w:rsidR="00156A23" w:rsidRPr="0053182F" w:rsidRDefault="00156A23" w:rsidP="00156A23">
      <w:pPr>
        <w:spacing w:before="100" w:beforeAutospacing="1" w:after="100" w:afterAutospacing="1" w:line="480" w:lineRule="auto"/>
        <w:ind w:firstLine="360"/>
        <w:jc w:val="both"/>
        <w:rPr>
          <w:rFonts w:eastAsia="Times New Roman"/>
          <w:color w:val="auto"/>
          <w:kern w:val="0"/>
          <w:lang w:eastAsia="en-GB"/>
          <w14:ligatures w14:val="none"/>
        </w:rPr>
      </w:pPr>
      <w:r w:rsidRPr="0053182F">
        <w:rPr>
          <w:rFonts w:eastAsia="Times New Roman"/>
          <w:color w:val="auto"/>
          <w:kern w:val="0"/>
          <w:lang w:eastAsia="en-GB"/>
          <w14:ligatures w14:val="none"/>
        </w:rPr>
        <w:t>Documents were excluded if they focused primarily on brand promotion, marketing, or financial performance without substantive labour or sustainability content. Investor presentations, press releases, and advertising materials were similarly excluded due to a lack of analytical value for the ACMS governance assessment.</w:t>
      </w:r>
    </w:p>
    <w:p w14:paraId="52DB325A" w14:textId="77777777" w:rsidR="00156A23" w:rsidRPr="0053182F" w:rsidRDefault="00156A23" w:rsidP="00156A23">
      <w:pPr>
        <w:spacing w:before="100" w:beforeAutospacing="1" w:after="100" w:afterAutospacing="1"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This selective inclusion strategy ensured that the final dataset captured material disclosures most relevant to evaluating firms’ institutional responses to MS governance expectations and aligned with key regulatory frameworks, including the UK MSA (2015), the Australian MSA (2018), and the emerging EU-CSDDD (2024). Restricting the analysis to standardised, publicly available disclosures enhanced both transparency and comparability, providing a robust basis for identifying patterns of institutional decoupling, legitimacy-seeking behaviour, and governance alignment across the three case-study firms.</w:t>
      </w:r>
    </w:p>
    <w:p w14:paraId="3E27846E" w14:textId="77777777" w:rsidR="00156A23" w:rsidRPr="0053182F" w:rsidRDefault="00156A23" w:rsidP="00156A23">
      <w:pPr>
        <w:spacing w:after="0" w:line="480" w:lineRule="auto"/>
        <w:ind w:firstLine="720"/>
        <w:jc w:val="both"/>
        <w:rPr>
          <w:rFonts w:eastAsia="Times New Roman"/>
          <w:color w:val="auto"/>
          <w:kern w:val="0"/>
          <w:lang w:eastAsia="en-GB"/>
          <w14:ligatures w14:val="none"/>
        </w:rPr>
      </w:pPr>
      <w:r w:rsidRPr="0053182F">
        <w:rPr>
          <w:rFonts w:eastAsia="Times New Roman"/>
          <w:color w:val="auto"/>
          <w:kern w:val="0"/>
          <w:lang w:eastAsia="en-GB"/>
          <w14:ligatures w14:val="none"/>
        </w:rPr>
        <w:t xml:space="preserve">Figure 7.7 presents a PRISMA-style flow diagram documenting the systematic process by which disclosure materials were identified, screened, evaluated, and ultimately included in the meso-level qualitative analysis. The adoption of a PRISMA structure enhances methodological rigour by providing a replicable and auditable selection pathway, establishing transparent inclusion and exclusion criteria, reducing the risk of selection bias, and aligning the study with best practices in qualitative document analysis </w:t>
      </w:r>
      <w:sdt>
        <w:sdtPr>
          <w:rPr>
            <w:rFonts w:eastAsia="Times New Roman"/>
            <w:kern w:val="0"/>
            <w:lang w:eastAsia="en-GB"/>
            <w14:ligatures w14:val="none"/>
          </w:rPr>
          <w:tag w:val="MENDELEY_CITATION_v3_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iLCJwYXJzZS1uYW1lcyI6ZmFsc2UsImRyb3BwaW5nLXBhcnRpY2xlIjoiIiwibm9uLWRyb3BwaW5nLXBhcnRpY2xlIjoiIn0seyJmYW1pbHkiOiJXZWxjaCIsImdpdmVuIjoiVml2aWFuIEE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"/>
          <w:id w:val="-1088309032"/>
          <w:placeholder>
            <w:docPart w:val="DC1BE2D2DF9F4DEEB7AAC0A5B038E2B8"/>
          </w:placeholder>
        </w:sdtPr>
        <w:sdtContent>
          <w:r w:rsidRPr="0053182F">
            <w:rPr>
              <w:rFonts w:eastAsia="Times New Roman"/>
            </w:rPr>
            <w:t xml:space="preserve">(Mishra and Mishra, 2023; Page </w:t>
          </w:r>
          <w:r w:rsidRPr="0053182F">
            <w:rPr>
              <w:rFonts w:eastAsia="Times New Roman"/>
              <w:i/>
              <w:iCs/>
            </w:rPr>
            <w:t>et al.</w:t>
          </w:r>
          <w:r w:rsidRPr="0053182F">
            <w:rPr>
              <w:rFonts w:eastAsia="Times New Roman"/>
            </w:rPr>
            <w:t>, 2021)</w:t>
          </w:r>
        </w:sdtContent>
      </w:sdt>
      <w:r w:rsidRPr="0053182F">
        <w:rPr>
          <w:rFonts w:eastAsia="Times New Roman"/>
          <w:color w:val="auto"/>
          <w:kern w:val="0"/>
          <w:lang w:eastAsia="en-GB"/>
          <w14:ligatures w14:val="none"/>
        </w:rPr>
        <w:t xml:space="preserve">. Beyond its procedural function, the diagram also serves a conceptual role by visually reinforcing the methodology's explanatory sequential logic and demonstrating how the disclosure dataset was systematically constructed prior to coding and thematic analysis </w:t>
      </w:r>
      <w:sdt>
        <w:sdtPr>
          <w:rPr>
            <w:rFonts w:eastAsia="Times New Roman"/>
            <w:kern w:val="0"/>
            <w:lang w:eastAsia="en-GB"/>
            <w14:ligatures w14:val="none"/>
          </w:rPr>
          <w:tag w:val="MENDELEY_CITATION_v3_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"/>
          <w:id w:val="1461837168"/>
          <w:placeholder>
            <w:docPart w:val="944EE29C6B334162B786D58D9FBA4C77"/>
          </w:placeholder>
        </w:sdtPr>
        <w:sdtContent>
          <w:r w:rsidRPr="0053182F">
            <w:rPr>
              <w:rFonts w:eastAsia="Times New Roman"/>
              <w:kern w:val="0"/>
              <w:lang w:eastAsia="en-GB"/>
              <w14:ligatures w14:val="none"/>
            </w:rPr>
            <w:t>(Bowen, 2009)</w:t>
          </w:r>
        </w:sdtContent>
      </w:sdt>
      <w:r w:rsidRPr="0053182F">
        <w:rPr>
          <w:rFonts w:eastAsia="Times New Roman"/>
          <w:color w:val="auto"/>
          <w:kern w:val="0"/>
          <w:lang w:eastAsia="en-GB"/>
          <w14:ligatures w14:val="none"/>
        </w:rPr>
        <w:t>.</w:t>
      </w:r>
    </w:p>
    <w:p w14:paraId="0D1052B8" w14:textId="77777777" w:rsidR="00156A23" w:rsidRPr="0053182F" w:rsidRDefault="00156A23" w:rsidP="00156A23">
      <w:pPr>
        <w:spacing w:after="0"/>
        <w:rPr>
          <w:rStyle w:val="normaltextrun"/>
          <w:b/>
          <w:bCs/>
        </w:rPr>
      </w:pPr>
      <w:r w:rsidRPr="0053182F">
        <w:rPr>
          <w:noProof/>
        </w:rPr>
        <mc:AlternateContent>
          <mc:Choice Requires="wpg">
            <w:drawing>
              <wp:anchor distT="0" distB="0" distL="114300" distR="114300" simplePos="0" relativeHeight="251660418" behindDoc="0" locked="0" layoutInCell="1" allowOverlap="1" wp14:anchorId="33C7BE8E" wp14:editId="10E615E5">
                <wp:simplePos x="0" y="0"/>
                <wp:positionH relativeFrom="column">
                  <wp:posOffset>0</wp:posOffset>
                </wp:positionH>
                <wp:positionV relativeFrom="paragraph">
                  <wp:posOffset>165100</wp:posOffset>
                </wp:positionV>
                <wp:extent cx="5763260" cy="3782695"/>
                <wp:effectExtent l="0" t="0" r="27940" b="27305"/>
                <wp:wrapNone/>
                <wp:docPr id="392437976" name="Group 8"/>
                <wp:cNvGraphicFramePr/>
                <a:graphic xmlns:a="http://schemas.openxmlformats.org/drawingml/2006/main">
                  <a:graphicData uri="http://schemas.microsoft.com/office/word/2010/wordprocessingGroup">
                    <wpg:wgp>
                      <wpg:cNvGrpSpPr/>
                      <wpg:grpSpPr>
                        <a:xfrm>
                          <a:off x="0" y="0"/>
                          <a:ext cx="5763260" cy="3782695"/>
                          <a:chOff x="0" y="0"/>
                          <a:chExt cx="5763336" cy="3732784"/>
                        </a:xfrm>
                      </wpg:grpSpPr>
                      <wps:wsp>
                        <wps:cNvPr id="839144774" name="Text Box 2"/>
                        <wps:cNvSpPr txBox="1">
                          <a:spLocks noChangeArrowheads="1"/>
                        </wps:cNvSpPr>
                        <wps:spPr bwMode="auto">
                          <a:xfrm>
                            <a:off x="3028426" y="1585849"/>
                            <a:ext cx="2684145" cy="2146935"/>
                          </a:xfrm>
                          <a:prstGeom prst="rect">
                            <a:avLst/>
                          </a:prstGeom>
                          <a:solidFill>
                            <a:srgbClr val="FFFFFF"/>
                          </a:solidFill>
                          <a:ln w="9525">
                            <a:solidFill>
                              <a:srgbClr val="000000"/>
                            </a:solidFill>
                            <a:miter lim="800000"/>
                            <a:headEnd/>
                            <a:tailEnd/>
                          </a:ln>
                        </wps:spPr>
                        <wps:txbx>
                          <w:txbxContent>
                            <w:p w14:paraId="10694AE7" w14:textId="77777777" w:rsidR="00156A23" w:rsidRPr="004F777C" w:rsidRDefault="00156A23" w:rsidP="00156A23">
                              <w:pPr>
                                <w:spacing w:after="0"/>
                                <w:rPr>
                                  <w:rStyle w:val="normaltextrun"/>
                                  <w:b/>
                                  <w:bCs/>
                                  <w:sz w:val="20"/>
                                  <w:szCs w:val="20"/>
                                </w:rPr>
                              </w:pPr>
                              <w:r w:rsidRPr="004F777C">
                                <w:rPr>
                                  <w:rStyle w:val="normaltextrun"/>
                                  <w:b/>
                                  <w:bCs/>
                                  <w:sz w:val="20"/>
                                  <w:szCs w:val="20"/>
                                </w:rPr>
                                <w:t>INCLUSION (n=51):</w:t>
                              </w:r>
                            </w:p>
                            <w:p w14:paraId="326B2E86"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Published 2019–2023  </w:t>
                              </w:r>
                            </w:p>
                            <w:p w14:paraId="54E4A3C5"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Contains explicit labour/human rights content  </w:t>
                              </w:r>
                            </w:p>
                            <w:p w14:paraId="626B9548"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Official corporate disclosure or verified third-party report  </w:t>
                              </w:r>
                            </w:p>
                            <w:p w14:paraId="544AC764" w14:textId="77777777" w:rsidR="00156A23" w:rsidRPr="004F777C" w:rsidRDefault="00156A23" w:rsidP="00156A23">
                              <w:pPr>
                                <w:spacing w:after="0"/>
                                <w:rPr>
                                  <w:rStyle w:val="normaltextrun"/>
                                  <w:b/>
                                  <w:bCs/>
                                  <w:sz w:val="20"/>
                                  <w:szCs w:val="20"/>
                                </w:rPr>
                              </w:pPr>
                              <w:r w:rsidRPr="004F777C">
                                <w:rPr>
                                  <w:rStyle w:val="normaltextrun"/>
                                  <w:b/>
                                  <w:bCs/>
                                  <w:sz w:val="20"/>
                                  <w:szCs w:val="20"/>
                                </w:rPr>
                                <w:t>EXCLUSION (n=36):</w:t>
                              </w:r>
                            </w:p>
                            <w:p w14:paraId="53D0382B"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Marketing-only or promotional materials </w:t>
                              </w:r>
                            </w:p>
                            <w:p w14:paraId="7607B896"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Financial-only documents with no labour disclosure </w:t>
                              </w:r>
                            </w:p>
                            <w:p w14:paraId="21415312"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Duplicates or archived versions </w:t>
                              </w:r>
                            </w:p>
                            <w:p w14:paraId="621CA7B0" w14:textId="77777777" w:rsidR="00156A23" w:rsidRPr="004F777C" w:rsidRDefault="00156A23" w:rsidP="00156A23">
                              <w:pPr>
                                <w:spacing w:after="0"/>
                              </w:pPr>
                              <w:r w:rsidRPr="004F777C">
                                <w:rPr>
                                  <w:rStyle w:val="normaltextrun"/>
                                  <w:rFonts w:ascii="Segoe UI Symbol" w:hAnsi="Segoe UI Symbol" w:cs="Segoe UI Symbol"/>
                                  <w:sz w:val="20"/>
                                  <w:szCs w:val="20"/>
                                </w:rPr>
                                <w:t>✗</w:t>
                              </w:r>
                              <w:r w:rsidRPr="004F777C">
                                <w:rPr>
                                  <w:rStyle w:val="normaltextrun"/>
                                  <w:sz w:val="20"/>
                                  <w:szCs w:val="20"/>
                                </w:rPr>
                                <w:t xml:space="preserve"> Reports outside timeframe </w:t>
                              </w:r>
                            </w:p>
                          </w:txbxContent>
                        </wps:txbx>
                        <wps:bodyPr rot="0" vert="horz" wrap="square" lIns="91440" tIns="45720" rIns="91440" bIns="45720" anchor="t" anchorCtr="0">
                          <a:noAutofit/>
                        </wps:bodyPr>
                      </wps:wsp>
                      <wps:wsp>
                        <wps:cNvPr id="1998685576" name="Text Box 2"/>
                        <wps:cNvSpPr txBox="1">
                          <a:spLocks noChangeArrowheads="1"/>
                        </wps:cNvSpPr>
                        <wps:spPr bwMode="auto">
                          <a:xfrm>
                            <a:off x="285226" y="1560682"/>
                            <a:ext cx="2289810" cy="964565"/>
                          </a:xfrm>
                          <a:prstGeom prst="rect">
                            <a:avLst/>
                          </a:prstGeom>
                          <a:solidFill>
                            <a:srgbClr val="FFFFFF"/>
                          </a:solidFill>
                          <a:ln w="9525">
                            <a:solidFill>
                              <a:srgbClr val="000000"/>
                            </a:solidFill>
                            <a:miter lim="800000"/>
                            <a:headEnd/>
                            <a:tailEnd/>
                          </a:ln>
                        </wps:spPr>
                        <wps:txbx>
                          <w:txbxContent>
                            <w:p w14:paraId="0059F617" w14:textId="77777777" w:rsidR="00156A23" w:rsidRPr="004F777C" w:rsidRDefault="00156A23" w:rsidP="00156A23">
                              <w:pPr>
                                <w:spacing w:after="0"/>
                                <w:rPr>
                                  <w:sz w:val="20"/>
                                  <w:szCs w:val="20"/>
                                </w:rPr>
                              </w:pPr>
                              <w:r w:rsidRPr="004F777C">
                                <w:rPr>
                                  <w:sz w:val="20"/>
                                  <w:szCs w:val="20"/>
                                </w:rPr>
                                <w:t>Documents screened for relevance to:</w:t>
                              </w:r>
                            </w:p>
                            <w:p w14:paraId="16427A18" w14:textId="77777777" w:rsidR="00156A23" w:rsidRPr="004F777C" w:rsidRDefault="00156A23" w:rsidP="00156A23">
                              <w:pPr>
                                <w:spacing w:after="0"/>
                                <w:rPr>
                                  <w:sz w:val="20"/>
                                  <w:szCs w:val="20"/>
                                </w:rPr>
                              </w:pPr>
                              <w:r w:rsidRPr="004F777C">
                                <w:rPr>
                                  <w:sz w:val="20"/>
                                  <w:szCs w:val="20"/>
                                </w:rPr>
                                <w:t>• Labour governance</w:t>
                              </w:r>
                            </w:p>
                            <w:p w14:paraId="0F52A4DE" w14:textId="77777777" w:rsidR="00156A23" w:rsidRPr="004F777C" w:rsidRDefault="00156A23" w:rsidP="00156A23">
                              <w:pPr>
                                <w:spacing w:after="0"/>
                                <w:rPr>
                                  <w:sz w:val="20"/>
                                  <w:szCs w:val="20"/>
                                </w:rPr>
                              </w:pPr>
                              <w:r w:rsidRPr="004F777C">
                                <w:rPr>
                                  <w:sz w:val="20"/>
                                  <w:szCs w:val="20"/>
                                </w:rPr>
                                <w:t>• Human rights due diligence</w:t>
                              </w:r>
                            </w:p>
                            <w:p w14:paraId="708B98B1" w14:textId="77777777" w:rsidR="00156A23" w:rsidRPr="004F777C" w:rsidRDefault="00156A23" w:rsidP="00156A23">
                              <w:pPr>
                                <w:spacing w:after="0"/>
                                <w:rPr>
                                  <w:sz w:val="20"/>
                                  <w:szCs w:val="20"/>
                                </w:rPr>
                              </w:pPr>
                              <w:r w:rsidRPr="004F777C">
                                <w:rPr>
                                  <w:sz w:val="20"/>
                                  <w:szCs w:val="20"/>
                                </w:rPr>
                                <w:t>• Supply-chain oversight</w:t>
                              </w:r>
                            </w:p>
                            <w:p w14:paraId="366DAB9A" w14:textId="77777777" w:rsidR="00156A23" w:rsidRPr="004F777C" w:rsidRDefault="00156A23" w:rsidP="00156A23">
                              <w:pPr>
                                <w:spacing w:after="0"/>
                                <w:rPr>
                                  <w:sz w:val="20"/>
                                  <w:szCs w:val="20"/>
                                </w:rPr>
                              </w:pPr>
                              <w:r w:rsidRPr="004F777C">
                                <w:rPr>
                                  <w:sz w:val="20"/>
                                  <w:szCs w:val="20"/>
                                </w:rPr>
                                <w:t>• ACMS policies</w:t>
                              </w:r>
                            </w:p>
                          </w:txbxContent>
                        </wps:txbx>
                        <wps:bodyPr rot="0" vert="horz" wrap="square" lIns="91440" tIns="45720" rIns="91440" bIns="45720" anchor="t" anchorCtr="0">
                          <a:noAutofit/>
                        </wps:bodyPr>
                      </wps:wsp>
                      <wps:wsp>
                        <wps:cNvPr id="354892200" name="Text Box 2"/>
                        <wps:cNvSpPr txBox="1">
                          <a:spLocks noChangeArrowheads="1"/>
                        </wps:cNvSpPr>
                        <wps:spPr bwMode="auto">
                          <a:xfrm>
                            <a:off x="3029026" y="528825"/>
                            <a:ext cx="2734310" cy="449433"/>
                          </a:xfrm>
                          <a:prstGeom prst="rect">
                            <a:avLst/>
                          </a:prstGeom>
                          <a:solidFill>
                            <a:srgbClr val="FFFFFF"/>
                          </a:solidFill>
                          <a:ln w="9525">
                            <a:solidFill>
                              <a:srgbClr val="000000"/>
                            </a:solidFill>
                            <a:miter lim="800000"/>
                            <a:headEnd/>
                            <a:tailEnd/>
                          </a:ln>
                        </wps:spPr>
                        <wps:txbx>
                          <w:txbxContent>
                            <w:p w14:paraId="285D152E" w14:textId="77777777" w:rsidR="00156A23" w:rsidRPr="004F777C" w:rsidRDefault="00156A23" w:rsidP="00156A23">
                              <w:pPr>
                                <w:spacing w:after="0" w:line="240" w:lineRule="auto"/>
                                <w:ind w:firstLineChars="100" w:firstLine="201"/>
                                <w:rPr>
                                  <w:rFonts w:eastAsia="Times New Roman"/>
                                  <w:b/>
                                  <w:bCs/>
                                  <w:kern w:val="0"/>
                                  <w:sz w:val="20"/>
                                  <w:szCs w:val="20"/>
                                  <w:lang w:eastAsia="en-GB"/>
                                  <w14:ligatures w14:val="none"/>
                                </w:rPr>
                              </w:pPr>
                              <w:r w:rsidRPr="004F777C">
                                <w:rPr>
                                  <w:rFonts w:eastAsia="Times New Roman"/>
                                  <w:b/>
                                  <w:bCs/>
                                  <w:kern w:val="0"/>
                                  <w:sz w:val="20"/>
                                  <w:szCs w:val="20"/>
                                  <w:lang w:eastAsia="en-GB"/>
                                  <w14:ligatures w14:val="none"/>
                                </w:rPr>
                                <w:t>Additional records from external sources</w:t>
                              </w:r>
                              <w:r w:rsidRPr="004F777C">
                                <w:rPr>
                                  <w:rFonts w:eastAsia="Times New Roman"/>
                                  <w:kern w:val="0"/>
                                  <w:sz w:val="20"/>
                                  <w:szCs w:val="20"/>
                                  <w:lang w:eastAsia="en-GB"/>
                                  <w14:ligatures w14:val="none"/>
                                </w:rPr>
                                <w:t>:</w:t>
                              </w:r>
                            </w:p>
                            <w:p w14:paraId="16023E36" w14:textId="77777777" w:rsidR="00156A23" w:rsidRPr="004F777C" w:rsidRDefault="00156A23" w:rsidP="00156A23">
                              <w:pPr>
                                <w:spacing w:after="0" w:line="240" w:lineRule="auto"/>
                                <w:ind w:firstLineChars="100" w:firstLine="200"/>
                                <w:rPr>
                                  <w:rFonts w:eastAsia="Times New Roman"/>
                                  <w:kern w:val="0"/>
                                  <w:sz w:val="20"/>
                                  <w:szCs w:val="20"/>
                                  <w:lang w:eastAsia="en-GB"/>
                                  <w14:ligatures w14:val="none"/>
                                </w:rPr>
                              </w:pPr>
                              <w:r w:rsidRPr="004F777C">
                                <w:rPr>
                                  <w:rFonts w:eastAsia="Times New Roman"/>
                                  <w:kern w:val="0"/>
                                  <w:sz w:val="20"/>
                                  <w:szCs w:val="20"/>
                                  <w:lang w:eastAsia="en-GB"/>
                                  <w14:ligatures w14:val="none"/>
                                </w:rPr>
                                <w:t xml:space="preserve">NGO </w:t>
                              </w:r>
                              <w:r>
                                <w:rPr>
                                  <w:rFonts w:eastAsia="Times New Roman"/>
                                  <w:kern w:val="0"/>
                                  <w:sz w:val="20"/>
                                  <w:szCs w:val="20"/>
                                  <w:lang w:eastAsia="en-GB"/>
                                  <w14:ligatures w14:val="none"/>
                                </w:rPr>
                                <w:t>and</w:t>
                              </w:r>
                              <w:r w:rsidRPr="004F777C">
                                <w:rPr>
                                  <w:rFonts w:eastAsia="Times New Roman"/>
                                  <w:kern w:val="0"/>
                                  <w:sz w:val="20"/>
                                  <w:szCs w:val="20"/>
                                  <w:lang w:eastAsia="en-GB"/>
                                  <w14:ligatures w14:val="none"/>
                                </w:rPr>
                                <w:t xml:space="preserve"> media reports: </w:t>
                              </w:r>
                              <w:r w:rsidRPr="004F777C">
                                <w:rPr>
                                  <w:rFonts w:eastAsia="Times New Roman"/>
                                  <w:b/>
                                  <w:bCs/>
                                  <w:kern w:val="0"/>
                                  <w:sz w:val="20"/>
                                  <w:szCs w:val="20"/>
                                  <w:lang w:eastAsia="en-GB"/>
                                  <w14:ligatures w14:val="none"/>
                                </w:rPr>
                                <w:t>n = 26</w:t>
                              </w:r>
                            </w:p>
                            <w:p w14:paraId="6F194F71" w14:textId="77777777" w:rsidR="00156A23" w:rsidRPr="004F777C" w:rsidRDefault="00156A23" w:rsidP="00156A23"/>
                          </w:txbxContent>
                        </wps:txbx>
                        <wps:bodyPr rot="0" vert="horz" wrap="square" lIns="91440" tIns="45720" rIns="91440" bIns="45720" anchor="t" anchorCtr="0">
                          <a:noAutofit/>
                        </wps:bodyPr>
                      </wps:wsp>
                      <wps:wsp>
                        <wps:cNvPr id="622047330" name="Text Box 2"/>
                        <wps:cNvSpPr txBox="1">
                          <a:spLocks noChangeArrowheads="1"/>
                        </wps:cNvSpPr>
                        <wps:spPr bwMode="auto">
                          <a:xfrm>
                            <a:off x="637563" y="0"/>
                            <a:ext cx="1316990" cy="264795"/>
                          </a:xfrm>
                          <a:prstGeom prst="rect">
                            <a:avLst/>
                          </a:prstGeom>
                          <a:solidFill>
                            <a:srgbClr val="FFFFFF"/>
                          </a:solidFill>
                          <a:ln w="9525">
                            <a:solidFill>
                              <a:srgbClr val="000000"/>
                            </a:solidFill>
                            <a:miter lim="800000"/>
                            <a:headEnd/>
                            <a:tailEnd/>
                          </a:ln>
                        </wps:spPr>
                        <wps:txbx>
                          <w:txbxContent>
                            <w:p w14:paraId="39099A3D" w14:textId="77777777" w:rsidR="00156A23" w:rsidRPr="004F777C" w:rsidRDefault="00156A23" w:rsidP="00156A23">
                              <w:pPr>
                                <w:spacing w:after="0" w:line="240" w:lineRule="auto"/>
                                <w:rPr>
                                  <w:rFonts w:eastAsia="Times New Roman"/>
                                  <w:b/>
                                  <w:bCs/>
                                  <w:kern w:val="0"/>
                                  <w:sz w:val="22"/>
                                  <w:szCs w:val="22"/>
                                  <w:lang w:eastAsia="en-GB"/>
                                  <w14:ligatures w14:val="none"/>
                                </w:rPr>
                              </w:pPr>
                              <w:r w:rsidRPr="004F777C">
                                <w:rPr>
                                  <w:rFonts w:eastAsia="Times New Roman"/>
                                  <w:b/>
                                  <w:bCs/>
                                  <w:kern w:val="0"/>
                                  <w:sz w:val="22"/>
                                  <w:szCs w:val="22"/>
                                  <w:lang w:eastAsia="en-GB"/>
                                  <w14:ligatures w14:val="none"/>
                                </w:rPr>
                                <w:t>Identification</w:t>
                              </w:r>
                            </w:p>
                            <w:p w14:paraId="406ED720" w14:textId="77777777" w:rsidR="00156A23" w:rsidRPr="004F777C" w:rsidRDefault="00156A23" w:rsidP="00156A23"/>
                          </w:txbxContent>
                        </wps:txbx>
                        <wps:bodyPr rot="0" vert="horz" wrap="square" lIns="91440" tIns="45720" rIns="91440" bIns="45720" anchor="t" anchorCtr="0">
                          <a:noAutofit/>
                        </wps:bodyPr>
                      </wps:wsp>
                      <wps:wsp>
                        <wps:cNvPr id="157668019" name="Straight Arrow Connector 157668019"/>
                        <wps:cNvCnPr/>
                        <wps:spPr>
                          <a:xfrm>
                            <a:off x="1303265" y="293944"/>
                            <a:ext cx="0" cy="26797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664344306" name="Straight Arrow Connector 664344306"/>
                        <wps:cNvCnPr/>
                        <wps:spPr>
                          <a:xfrm>
                            <a:off x="1303265" y="2558972"/>
                            <a:ext cx="0" cy="26797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323790" name="Text Box 2"/>
                        <wps:cNvSpPr txBox="1">
                          <a:spLocks noChangeArrowheads="1"/>
                        </wps:cNvSpPr>
                        <wps:spPr bwMode="auto">
                          <a:xfrm>
                            <a:off x="0" y="528836"/>
                            <a:ext cx="2700655" cy="477648"/>
                          </a:xfrm>
                          <a:prstGeom prst="rect">
                            <a:avLst/>
                          </a:prstGeom>
                          <a:solidFill>
                            <a:srgbClr val="FFFFFF"/>
                          </a:solidFill>
                          <a:ln w="9525">
                            <a:solidFill>
                              <a:srgbClr val="000000"/>
                            </a:solidFill>
                            <a:miter lim="800000"/>
                            <a:headEnd/>
                            <a:tailEnd/>
                          </a:ln>
                        </wps:spPr>
                        <wps:txbx>
                          <w:txbxContent>
                            <w:p w14:paraId="773FAC9B" w14:textId="77777777" w:rsidR="00156A23" w:rsidRPr="004F777C" w:rsidRDefault="00156A23" w:rsidP="00156A23">
                              <w:pPr>
                                <w:spacing w:after="0" w:line="240" w:lineRule="auto"/>
                                <w:rPr>
                                  <w:sz w:val="20"/>
                                  <w:szCs w:val="20"/>
                                </w:rPr>
                              </w:pPr>
                              <w:r w:rsidRPr="004F777C">
                                <w:rPr>
                                  <w:b/>
                                  <w:bCs/>
                                  <w:sz w:val="20"/>
                                  <w:szCs w:val="20"/>
                                </w:rPr>
                                <w:t>Corporate disclosures identified</w:t>
                              </w:r>
                              <w:r w:rsidRPr="004F777C">
                                <w:rPr>
                                  <w:sz w:val="20"/>
                                  <w:szCs w:val="20"/>
                                </w:rPr>
                                <w:t xml:space="preserve"> (2019–2023): </w:t>
                              </w:r>
                            </w:p>
                            <w:p w14:paraId="60CDA92C" w14:textId="77777777" w:rsidR="00156A23" w:rsidRPr="004F777C" w:rsidRDefault="00156A23" w:rsidP="00156A23">
                              <w:pPr>
                                <w:spacing w:after="0" w:line="240" w:lineRule="auto"/>
                                <w:jc w:val="center"/>
                                <w:rPr>
                                  <w:sz w:val="20"/>
                                  <w:szCs w:val="20"/>
                                </w:rPr>
                              </w:pPr>
                              <w:r w:rsidRPr="004F777C">
                                <w:rPr>
                                  <w:sz w:val="20"/>
                                  <w:szCs w:val="20"/>
                                </w:rPr>
                                <w:t>Total documents: n = 87</w:t>
                              </w:r>
                            </w:p>
                          </w:txbxContent>
                        </wps:txbx>
                        <wps:bodyPr rot="0" vert="horz" wrap="square" lIns="91440" tIns="45720" rIns="91440" bIns="45720" anchor="t" anchorCtr="0">
                          <a:noAutofit/>
                        </wps:bodyPr>
                      </wps:wsp>
                      <wps:wsp>
                        <wps:cNvPr id="875904040" name="Straight Arrow Connector 875904040"/>
                        <wps:cNvCnPr/>
                        <wps:spPr>
                          <a:xfrm>
                            <a:off x="2701255" y="722482"/>
                            <a:ext cx="327771" cy="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935996220" name="Straight Arrow Connector 1935996220"/>
                        <wps:cNvCnPr/>
                        <wps:spPr>
                          <a:xfrm>
                            <a:off x="1303265" y="1007008"/>
                            <a:ext cx="0" cy="570807"/>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s:wsp>
                        <wps:cNvPr id="1174098742" name="Straight Arrow Connector 1174098742"/>
                        <wps:cNvCnPr/>
                        <wps:spPr>
                          <a:xfrm>
                            <a:off x="2575420" y="2073109"/>
                            <a:ext cx="453390" cy="0"/>
                          </a:xfrm>
                          <a:prstGeom prst="straightConnector1">
                            <a:avLst/>
                          </a:prstGeom>
                          <a:ln w="19050" cap="flat" cmpd="sng" algn="ctr">
                            <a:solidFill>
                              <a:schemeClr val="dk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wps:wsp>
                    </wpg:wgp>
                  </a:graphicData>
                </a:graphic>
                <wp14:sizeRelH relativeFrom="page">
                  <wp14:pctWidth>0</wp14:pctWidth>
                </wp14:sizeRelH>
                <wp14:sizeRelV relativeFrom="margin">
                  <wp14:pctHeight>0</wp14:pctHeight>
                </wp14:sizeRelV>
              </wp:anchor>
            </w:drawing>
          </mc:Choice>
          <mc:Fallback>
            <w:pict>
              <v:group w14:anchorId="33C7BE8E" id="Group 8" o:spid="_x0000_s1131" style="position:absolute;margin-left:0;margin-top:13pt;width:453.8pt;height:297.85pt;z-index:251660418;mso-height-relative:margin" coordsize="57633,373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">
                <v:shape id="_x0000_s1132" type="#_x0000_t202" style="position:absolute;left:30284;top:15858;width:26841;height:21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">
                  <v:textbox>
                    <w:txbxContent>
                      <w:p w14:paraId="10694AE7" w14:textId="77777777" w:rsidR="00156A23" w:rsidRPr="004F777C" w:rsidRDefault="00156A23" w:rsidP="00156A23">
                        <w:pPr>
                          <w:spacing w:after="0"/>
                          <w:rPr>
                            <w:rStyle w:val="normaltextrun"/>
                            <w:b/>
                            <w:bCs/>
                            <w:sz w:val="20"/>
                            <w:szCs w:val="20"/>
                          </w:rPr>
                        </w:pPr>
                        <w:r w:rsidRPr="004F777C">
                          <w:rPr>
                            <w:rStyle w:val="normaltextrun"/>
                            <w:b/>
                            <w:bCs/>
                            <w:sz w:val="20"/>
                            <w:szCs w:val="20"/>
                          </w:rPr>
                          <w:t>INCLUSION (n=51):</w:t>
                        </w:r>
                      </w:p>
                      <w:p w14:paraId="326B2E86"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Published 2019–2023  </w:t>
                        </w:r>
                      </w:p>
                      <w:p w14:paraId="54E4A3C5"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Contains explicit labour/human rights content  </w:t>
                        </w:r>
                      </w:p>
                      <w:p w14:paraId="626B9548"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Official corporate disclosure or verified third-party report  </w:t>
                        </w:r>
                      </w:p>
                      <w:p w14:paraId="544AC764" w14:textId="77777777" w:rsidR="00156A23" w:rsidRPr="004F777C" w:rsidRDefault="00156A23" w:rsidP="00156A23">
                        <w:pPr>
                          <w:spacing w:after="0"/>
                          <w:rPr>
                            <w:rStyle w:val="normaltextrun"/>
                            <w:b/>
                            <w:bCs/>
                            <w:sz w:val="20"/>
                            <w:szCs w:val="20"/>
                          </w:rPr>
                        </w:pPr>
                        <w:r w:rsidRPr="004F777C">
                          <w:rPr>
                            <w:rStyle w:val="normaltextrun"/>
                            <w:b/>
                            <w:bCs/>
                            <w:sz w:val="20"/>
                            <w:szCs w:val="20"/>
                          </w:rPr>
                          <w:t>EXCLUSION (n=36):</w:t>
                        </w:r>
                      </w:p>
                      <w:p w14:paraId="53D0382B"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Marketing-only or promotional materials </w:t>
                        </w:r>
                      </w:p>
                      <w:p w14:paraId="7607B896"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Financial-only documents with no labour disclosure </w:t>
                        </w:r>
                      </w:p>
                      <w:p w14:paraId="21415312" w14:textId="77777777" w:rsidR="00156A23" w:rsidRPr="004F777C" w:rsidRDefault="00156A23" w:rsidP="00156A23">
                        <w:pPr>
                          <w:spacing w:after="0"/>
                          <w:rPr>
                            <w:rStyle w:val="normaltextrun"/>
                            <w:sz w:val="20"/>
                            <w:szCs w:val="20"/>
                          </w:rPr>
                        </w:pPr>
                        <w:r w:rsidRPr="004F777C">
                          <w:rPr>
                            <w:rStyle w:val="normaltextrun"/>
                            <w:rFonts w:ascii="Segoe UI Symbol" w:hAnsi="Segoe UI Symbol" w:cs="Segoe UI Symbol"/>
                            <w:sz w:val="20"/>
                            <w:szCs w:val="20"/>
                          </w:rPr>
                          <w:t>✗</w:t>
                        </w:r>
                        <w:r w:rsidRPr="004F777C">
                          <w:rPr>
                            <w:rStyle w:val="normaltextrun"/>
                            <w:sz w:val="20"/>
                            <w:szCs w:val="20"/>
                          </w:rPr>
                          <w:t xml:space="preserve"> Duplicates or archived versions </w:t>
                        </w:r>
                      </w:p>
                      <w:p w14:paraId="621CA7B0" w14:textId="77777777" w:rsidR="00156A23" w:rsidRPr="004F777C" w:rsidRDefault="00156A23" w:rsidP="00156A23">
                        <w:pPr>
                          <w:spacing w:after="0"/>
                        </w:pPr>
                        <w:r w:rsidRPr="004F777C">
                          <w:rPr>
                            <w:rStyle w:val="normaltextrun"/>
                            <w:rFonts w:ascii="Segoe UI Symbol" w:hAnsi="Segoe UI Symbol" w:cs="Segoe UI Symbol"/>
                            <w:sz w:val="20"/>
                            <w:szCs w:val="20"/>
                          </w:rPr>
                          <w:t>✗</w:t>
                        </w:r>
                        <w:r w:rsidRPr="004F777C">
                          <w:rPr>
                            <w:rStyle w:val="normaltextrun"/>
                            <w:sz w:val="20"/>
                            <w:szCs w:val="20"/>
                          </w:rPr>
                          <w:t xml:space="preserve"> Reports outside timeframe </w:t>
                        </w:r>
                      </w:p>
                    </w:txbxContent>
                  </v:textbox>
                </v:shape>
                <v:shape id="_x0000_s1133" type="#_x0000_t202" style="position:absolute;left:2852;top:15606;width:22898;height:96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">
                  <v:textbox>
                    <w:txbxContent>
                      <w:p w14:paraId="0059F617" w14:textId="77777777" w:rsidR="00156A23" w:rsidRPr="004F777C" w:rsidRDefault="00156A23" w:rsidP="00156A23">
                        <w:pPr>
                          <w:spacing w:after="0"/>
                          <w:rPr>
                            <w:sz w:val="20"/>
                            <w:szCs w:val="20"/>
                          </w:rPr>
                        </w:pPr>
                        <w:r w:rsidRPr="004F777C">
                          <w:rPr>
                            <w:sz w:val="20"/>
                            <w:szCs w:val="20"/>
                          </w:rPr>
                          <w:t>Documents screened for relevance to:</w:t>
                        </w:r>
                      </w:p>
                      <w:p w14:paraId="16427A18" w14:textId="77777777" w:rsidR="00156A23" w:rsidRPr="004F777C" w:rsidRDefault="00156A23" w:rsidP="00156A23">
                        <w:pPr>
                          <w:spacing w:after="0"/>
                          <w:rPr>
                            <w:sz w:val="20"/>
                            <w:szCs w:val="20"/>
                          </w:rPr>
                        </w:pPr>
                        <w:r w:rsidRPr="004F777C">
                          <w:rPr>
                            <w:sz w:val="20"/>
                            <w:szCs w:val="20"/>
                          </w:rPr>
                          <w:t>• Labour governance</w:t>
                        </w:r>
                      </w:p>
                      <w:p w14:paraId="0F52A4DE" w14:textId="77777777" w:rsidR="00156A23" w:rsidRPr="004F777C" w:rsidRDefault="00156A23" w:rsidP="00156A23">
                        <w:pPr>
                          <w:spacing w:after="0"/>
                          <w:rPr>
                            <w:sz w:val="20"/>
                            <w:szCs w:val="20"/>
                          </w:rPr>
                        </w:pPr>
                        <w:r w:rsidRPr="004F777C">
                          <w:rPr>
                            <w:sz w:val="20"/>
                            <w:szCs w:val="20"/>
                          </w:rPr>
                          <w:t>• Human rights due diligence</w:t>
                        </w:r>
                      </w:p>
                      <w:p w14:paraId="708B98B1" w14:textId="77777777" w:rsidR="00156A23" w:rsidRPr="004F777C" w:rsidRDefault="00156A23" w:rsidP="00156A23">
                        <w:pPr>
                          <w:spacing w:after="0"/>
                          <w:rPr>
                            <w:sz w:val="20"/>
                            <w:szCs w:val="20"/>
                          </w:rPr>
                        </w:pPr>
                        <w:r w:rsidRPr="004F777C">
                          <w:rPr>
                            <w:sz w:val="20"/>
                            <w:szCs w:val="20"/>
                          </w:rPr>
                          <w:t>• Supply-chain oversight</w:t>
                        </w:r>
                      </w:p>
                      <w:p w14:paraId="366DAB9A" w14:textId="77777777" w:rsidR="00156A23" w:rsidRPr="004F777C" w:rsidRDefault="00156A23" w:rsidP="00156A23">
                        <w:pPr>
                          <w:spacing w:after="0"/>
                          <w:rPr>
                            <w:sz w:val="20"/>
                            <w:szCs w:val="20"/>
                          </w:rPr>
                        </w:pPr>
                        <w:r w:rsidRPr="004F777C">
                          <w:rPr>
                            <w:sz w:val="20"/>
                            <w:szCs w:val="20"/>
                          </w:rPr>
                          <w:t>• ACMS policies</w:t>
                        </w:r>
                      </w:p>
                    </w:txbxContent>
                  </v:textbox>
                </v:shape>
                <v:shape id="_x0000_s1134" type="#_x0000_t202" style="position:absolute;left:30290;top:5288;width:27343;height:44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">
                  <v:textbox>
                    <w:txbxContent>
                      <w:p w14:paraId="285D152E" w14:textId="77777777" w:rsidR="00156A23" w:rsidRPr="004F777C" w:rsidRDefault="00156A23" w:rsidP="00156A23">
                        <w:pPr>
                          <w:spacing w:after="0" w:line="240" w:lineRule="auto"/>
                          <w:ind w:firstLineChars="100" w:firstLine="201"/>
                          <w:rPr>
                            <w:rFonts w:eastAsia="Times New Roman"/>
                            <w:b/>
                            <w:bCs/>
                            <w:kern w:val="0"/>
                            <w:sz w:val="20"/>
                            <w:szCs w:val="20"/>
                            <w:lang w:eastAsia="en-GB"/>
                            <w14:ligatures w14:val="none"/>
                          </w:rPr>
                        </w:pPr>
                        <w:r w:rsidRPr="004F777C">
                          <w:rPr>
                            <w:rFonts w:eastAsia="Times New Roman"/>
                            <w:b/>
                            <w:bCs/>
                            <w:kern w:val="0"/>
                            <w:sz w:val="20"/>
                            <w:szCs w:val="20"/>
                            <w:lang w:eastAsia="en-GB"/>
                            <w14:ligatures w14:val="none"/>
                          </w:rPr>
                          <w:t>Additional records from external sources</w:t>
                        </w:r>
                        <w:r w:rsidRPr="004F777C">
                          <w:rPr>
                            <w:rFonts w:eastAsia="Times New Roman"/>
                            <w:kern w:val="0"/>
                            <w:sz w:val="20"/>
                            <w:szCs w:val="20"/>
                            <w:lang w:eastAsia="en-GB"/>
                            <w14:ligatures w14:val="none"/>
                          </w:rPr>
                          <w:t>:</w:t>
                        </w:r>
                      </w:p>
                      <w:p w14:paraId="16023E36" w14:textId="77777777" w:rsidR="00156A23" w:rsidRPr="004F777C" w:rsidRDefault="00156A23" w:rsidP="00156A23">
                        <w:pPr>
                          <w:spacing w:after="0" w:line="240" w:lineRule="auto"/>
                          <w:ind w:firstLineChars="100" w:firstLine="200"/>
                          <w:rPr>
                            <w:rFonts w:eastAsia="Times New Roman"/>
                            <w:kern w:val="0"/>
                            <w:sz w:val="20"/>
                            <w:szCs w:val="20"/>
                            <w:lang w:eastAsia="en-GB"/>
                            <w14:ligatures w14:val="none"/>
                          </w:rPr>
                        </w:pPr>
                        <w:r w:rsidRPr="004F777C">
                          <w:rPr>
                            <w:rFonts w:eastAsia="Times New Roman"/>
                            <w:kern w:val="0"/>
                            <w:sz w:val="20"/>
                            <w:szCs w:val="20"/>
                            <w:lang w:eastAsia="en-GB"/>
                            <w14:ligatures w14:val="none"/>
                          </w:rPr>
                          <w:t xml:space="preserve">NGO </w:t>
                        </w:r>
                        <w:r>
                          <w:rPr>
                            <w:rFonts w:eastAsia="Times New Roman"/>
                            <w:kern w:val="0"/>
                            <w:sz w:val="20"/>
                            <w:szCs w:val="20"/>
                            <w:lang w:eastAsia="en-GB"/>
                            <w14:ligatures w14:val="none"/>
                          </w:rPr>
                          <w:t>and</w:t>
                        </w:r>
                        <w:r w:rsidRPr="004F777C">
                          <w:rPr>
                            <w:rFonts w:eastAsia="Times New Roman"/>
                            <w:kern w:val="0"/>
                            <w:sz w:val="20"/>
                            <w:szCs w:val="20"/>
                            <w:lang w:eastAsia="en-GB"/>
                            <w14:ligatures w14:val="none"/>
                          </w:rPr>
                          <w:t xml:space="preserve"> media reports: </w:t>
                        </w:r>
                        <w:r w:rsidRPr="004F777C">
                          <w:rPr>
                            <w:rFonts w:eastAsia="Times New Roman"/>
                            <w:b/>
                            <w:bCs/>
                            <w:kern w:val="0"/>
                            <w:sz w:val="20"/>
                            <w:szCs w:val="20"/>
                            <w:lang w:eastAsia="en-GB"/>
                            <w14:ligatures w14:val="none"/>
                          </w:rPr>
                          <w:t>n = 26</w:t>
                        </w:r>
                      </w:p>
                      <w:p w14:paraId="6F194F71" w14:textId="77777777" w:rsidR="00156A23" w:rsidRPr="004F777C" w:rsidRDefault="00156A23" w:rsidP="00156A23"/>
                    </w:txbxContent>
                  </v:textbox>
                </v:shape>
                <v:shape id="_x0000_s1135" type="#_x0000_t202" style="position:absolute;left:6375;width:13170;height:264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">
                  <v:textbox>
                    <w:txbxContent>
                      <w:p w14:paraId="39099A3D" w14:textId="77777777" w:rsidR="00156A23" w:rsidRPr="004F777C" w:rsidRDefault="00156A23" w:rsidP="00156A23">
                        <w:pPr>
                          <w:spacing w:after="0" w:line="240" w:lineRule="auto"/>
                          <w:rPr>
                            <w:rFonts w:eastAsia="Times New Roman"/>
                            <w:b/>
                            <w:bCs/>
                            <w:kern w:val="0"/>
                            <w:sz w:val="22"/>
                            <w:szCs w:val="22"/>
                            <w:lang w:eastAsia="en-GB"/>
                            <w14:ligatures w14:val="none"/>
                          </w:rPr>
                        </w:pPr>
                        <w:r w:rsidRPr="004F777C">
                          <w:rPr>
                            <w:rFonts w:eastAsia="Times New Roman"/>
                            <w:b/>
                            <w:bCs/>
                            <w:kern w:val="0"/>
                            <w:sz w:val="22"/>
                            <w:szCs w:val="22"/>
                            <w:lang w:eastAsia="en-GB"/>
                            <w14:ligatures w14:val="none"/>
                          </w:rPr>
                          <w:t>Identification</w:t>
                        </w:r>
                      </w:p>
                      <w:p w14:paraId="406ED720" w14:textId="77777777" w:rsidR="00156A23" w:rsidRPr="004F777C" w:rsidRDefault="00156A23" w:rsidP="00156A23"/>
                    </w:txbxContent>
                  </v:textbox>
                </v:shape>
                <v:shape id="Straight Arrow Connector 157668019" o:spid="_x0000_s1136" type="#_x0000_t32" style="position:absolute;left:13032;top:2939;width:0;height:26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" strokecolor="black [3200]" strokeweight="1.5pt">
                  <v:stroke endarrow="open"/>
                </v:shape>
                <v:shape id="Straight Arrow Connector 664344306" o:spid="_x0000_s1137" type="#_x0000_t32" style="position:absolute;left:13032;top:25589;width:0;height:26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" strokecolor="black [3200]" strokeweight="1.5pt">
                  <v:stroke endarrow="open"/>
                </v:shape>
                <v:shape id="_x0000_s1138" type="#_x0000_t202" style="position:absolute;top:5288;width:27006;height:47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">
                  <v:textbox>
                    <w:txbxContent>
                      <w:p w14:paraId="773FAC9B" w14:textId="77777777" w:rsidR="00156A23" w:rsidRPr="004F777C" w:rsidRDefault="00156A23" w:rsidP="00156A23">
                        <w:pPr>
                          <w:spacing w:after="0" w:line="240" w:lineRule="auto"/>
                          <w:rPr>
                            <w:sz w:val="20"/>
                            <w:szCs w:val="20"/>
                          </w:rPr>
                        </w:pPr>
                        <w:r w:rsidRPr="004F777C">
                          <w:rPr>
                            <w:b/>
                            <w:bCs/>
                            <w:sz w:val="20"/>
                            <w:szCs w:val="20"/>
                          </w:rPr>
                          <w:t>Corporate disclosures identified</w:t>
                        </w:r>
                        <w:r w:rsidRPr="004F777C">
                          <w:rPr>
                            <w:sz w:val="20"/>
                            <w:szCs w:val="20"/>
                          </w:rPr>
                          <w:t xml:space="preserve"> (2019–2023): </w:t>
                        </w:r>
                      </w:p>
                      <w:p w14:paraId="60CDA92C" w14:textId="77777777" w:rsidR="00156A23" w:rsidRPr="004F777C" w:rsidRDefault="00156A23" w:rsidP="00156A23">
                        <w:pPr>
                          <w:spacing w:after="0" w:line="240" w:lineRule="auto"/>
                          <w:jc w:val="center"/>
                          <w:rPr>
                            <w:sz w:val="20"/>
                            <w:szCs w:val="20"/>
                          </w:rPr>
                        </w:pPr>
                        <w:r w:rsidRPr="004F777C">
                          <w:rPr>
                            <w:sz w:val="20"/>
                            <w:szCs w:val="20"/>
                          </w:rPr>
                          <w:t>Total documents: n = 87</w:t>
                        </w:r>
                      </w:p>
                    </w:txbxContent>
                  </v:textbox>
                </v:shape>
                <v:shape id="Straight Arrow Connector 875904040" o:spid="_x0000_s1139" type="#_x0000_t32" style="position:absolute;left:27012;top:7224;width:327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" strokecolor="black [3200]" strokeweight="1.5pt">
                  <v:stroke endarrow="open"/>
                </v:shape>
                <v:shape id="Straight Arrow Connector 1935996220" o:spid="_x0000_s1140" type="#_x0000_t32" style="position:absolute;left:13032;top:10070;width:0;height:570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" strokecolor="black [3200]" strokeweight="1.5pt">
                  <v:stroke endarrow="open"/>
                </v:shape>
                <v:shape id="Straight Arrow Connector 1174098742" o:spid="_x0000_s1141" type="#_x0000_t32" style="position:absolute;left:25754;top:20731;width:4534;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" strokecolor="black [3200]" strokeweight="1.5pt">
                  <v:stroke endarrow="open"/>
                </v:shape>
              </v:group>
            </w:pict>
          </mc:Fallback>
        </mc:AlternateContent>
      </w:r>
    </w:p>
    <w:p w14:paraId="46421FC1" w14:textId="77777777" w:rsidR="00156A23" w:rsidRPr="0053182F" w:rsidRDefault="00156A23" w:rsidP="00156A23">
      <w:pPr>
        <w:spacing w:after="0"/>
        <w:rPr>
          <w:rStyle w:val="normaltextrun"/>
        </w:rPr>
      </w:pPr>
    </w:p>
    <w:p w14:paraId="71C910D1" w14:textId="77777777" w:rsidR="00156A23" w:rsidRPr="0053182F" w:rsidRDefault="00156A23" w:rsidP="00156A23">
      <w:pPr>
        <w:rPr>
          <w:rStyle w:val="normaltextrun"/>
        </w:rPr>
      </w:pPr>
    </w:p>
    <w:p w14:paraId="49971CBC" w14:textId="77777777" w:rsidR="00156A23" w:rsidRPr="0053182F" w:rsidRDefault="00156A23" w:rsidP="00156A23">
      <w:pPr>
        <w:spacing w:after="0" w:line="240" w:lineRule="auto"/>
        <w:rPr>
          <w:rFonts w:eastAsia="Times New Roman"/>
          <w:b/>
          <w:bCs/>
          <w:kern w:val="0"/>
          <w:sz w:val="20"/>
          <w:szCs w:val="20"/>
          <w:lang w:eastAsia="en-GB"/>
          <w14:ligatures w14:val="none"/>
        </w:rPr>
      </w:pPr>
      <w:r w:rsidRPr="0053182F">
        <w:rPr>
          <w:rFonts w:eastAsia="Times New Roman"/>
          <w:b/>
          <w:bCs/>
          <w:kern w:val="0"/>
          <w:sz w:val="20"/>
          <w:szCs w:val="20"/>
          <w:lang w:eastAsia="en-GB"/>
          <w14:ligatures w14:val="none"/>
        </w:rPr>
        <w:t>Screening Criteria</w:t>
      </w:r>
    </w:p>
    <w:p w14:paraId="4536270C" w14:textId="77777777" w:rsidR="00156A23" w:rsidRPr="0053182F" w:rsidRDefault="00156A23" w:rsidP="00156A23">
      <w:pPr>
        <w:rPr>
          <w:rStyle w:val="normaltextrun"/>
        </w:rPr>
      </w:pPr>
    </w:p>
    <w:p w14:paraId="4984CD87" w14:textId="77777777" w:rsidR="00156A23" w:rsidRPr="0053182F" w:rsidRDefault="00156A23" w:rsidP="00156A23">
      <w:pPr>
        <w:ind w:firstLine="720"/>
        <w:rPr>
          <w:rStyle w:val="normaltextrun"/>
        </w:rPr>
      </w:pPr>
      <w:r w:rsidRPr="0053182F">
        <w:rPr>
          <w:rStyle w:val="normaltextrun"/>
        </w:rPr>
        <w:t>Eligibility</w:t>
      </w:r>
    </w:p>
    <w:p w14:paraId="06CD898A" w14:textId="77777777" w:rsidR="00156A23" w:rsidRPr="0053182F" w:rsidRDefault="00156A23" w:rsidP="00156A23">
      <w:pPr>
        <w:rPr>
          <w:rStyle w:val="normaltextrun"/>
        </w:rPr>
      </w:pPr>
    </w:p>
    <w:p w14:paraId="16223047" w14:textId="77777777" w:rsidR="00156A23" w:rsidRPr="0053182F" w:rsidRDefault="00156A23" w:rsidP="00156A23">
      <w:pPr>
        <w:rPr>
          <w:rStyle w:val="normaltextrun"/>
        </w:rPr>
      </w:pPr>
    </w:p>
    <w:p w14:paraId="38A2CFA9" w14:textId="77777777" w:rsidR="00156A23" w:rsidRPr="0053182F" w:rsidRDefault="00156A23" w:rsidP="00156A23">
      <w:pPr>
        <w:rPr>
          <w:rStyle w:val="normaltextrun"/>
        </w:rPr>
      </w:pPr>
    </w:p>
    <w:p w14:paraId="59056541" w14:textId="77777777" w:rsidR="00156A23" w:rsidRPr="0053182F" w:rsidRDefault="00156A23" w:rsidP="00156A23">
      <w:pPr>
        <w:rPr>
          <w:rStyle w:val="normaltextrun"/>
        </w:rPr>
      </w:pPr>
    </w:p>
    <w:p w14:paraId="3F0A46CE" w14:textId="77777777" w:rsidR="00156A23" w:rsidRPr="0053182F" w:rsidRDefault="00156A23" w:rsidP="00156A23">
      <w:pPr>
        <w:rPr>
          <w:rStyle w:val="normaltextrun"/>
        </w:rPr>
      </w:pPr>
      <w:r w:rsidRPr="0053182F">
        <w:rPr>
          <w:noProof/>
        </w:rPr>
        <mc:AlternateContent>
          <mc:Choice Requires="wps">
            <w:drawing>
              <wp:anchor distT="45720" distB="45720" distL="114300" distR="114300" simplePos="0" relativeHeight="251661442" behindDoc="0" locked="0" layoutInCell="1" allowOverlap="1" wp14:anchorId="65E2B088" wp14:editId="449B300A">
                <wp:simplePos x="0" y="0"/>
                <wp:positionH relativeFrom="column">
                  <wp:posOffset>133350</wp:posOffset>
                </wp:positionH>
                <wp:positionV relativeFrom="paragraph">
                  <wp:posOffset>137795</wp:posOffset>
                </wp:positionV>
                <wp:extent cx="2365375" cy="1686560"/>
                <wp:effectExtent l="0" t="0" r="15875" b="15240"/>
                <wp:wrapSquare wrapText="bothSides"/>
                <wp:docPr id="136274222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5375" cy="1611630"/>
                        </a:xfrm>
                        <a:prstGeom prst="rect">
                          <a:avLst/>
                        </a:prstGeom>
                        <a:solidFill>
                          <a:srgbClr val="FFFFFF"/>
                        </a:solidFill>
                        <a:ln w="9525">
                          <a:solidFill>
                            <a:srgbClr val="000000"/>
                          </a:solidFill>
                          <a:miter lim="800000"/>
                          <a:headEnd/>
                          <a:tailEnd/>
                        </a:ln>
                      </wps:spPr>
                      <wps:txbx>
                        <w:txbxContent>
                          <w:p w14:paraId="4CDFE85B" w14:textId="77777777" w:rsidR="00156A23" w:rsidRDefault="00156A23" w:rsidP="00156A23">
                            <w:pPr>
                              <w:spacing w:after="0"/>
                              <w:rPr>
                                <w:rFonts w:eastAsia="Times New Roman"/>
                                <w:kern w:val="0"/>
                                <w:sz w:val="20"/>
                                <w:szCs w:val="20"/>
                                <w:lang w:eastAsia="en-GB"/>
                                <w14:ligatures w14:val="none"/>
                              </w:rPr>
                            </w:pPr>
                            <w:r>
                              <w:rPr>
                                <w:rFonts w:eastAsia="Times New Roman"/>
                                <w:b/>
                                <w:bCs/>
                                <w:kern w:val="0"/>
                                <w:sz w:val="20"/>
                                <w:szCs w:val="20"/>
                                <w:lang w:eastAsia="en-GB"/>
                                <w14:ligatures w14:val="none"/>
                              </w:rPr>
                              <w:t xml:space="preserve">Final documents included in qualitative disclosure analysis:   </w:t>
                            </w:r>
                            <w:r>
                              <w:rPr>
                                <w:rFonts w:eastAsia="Times New Roman"/>
                                <w:kern w:val="0"/>
                                <w:sz w:val="20"/>
                                <w:szCs w:val="20"/>
                                <w:lang w:eastAsia="en-GB"/>
                                <w14:ligatures w14:val="none"/>
                              </w:rPr>
                              <w:t>n = 51</w:t>
                            </w:r>
                          </w:p>
                          <w:p w14:paraId="44E1D010" w14:textId="77777777" w:rsidR="00156A23" w:rsidRDefault="00156A23" w:rsidP="00156A23">
                            <w:pPr>
                              <w:spacing w:after="0"/>
                              <w:rPr>
                                <w:rFonts w:eastAsia="Times New Roman"/>
                                <w:kern w:val="0"/>
                                <w:sz w:val="20"/>
                                <w:szCs w:val="20"/>
                                <w:lang w:eastAsia="en-GB"/>
                                <w14:ligatures w14:val="none"/>
                              </w:rPr>
                            </w:pPr>
                            <w:r>
                              <w:rPr>
                                <w:rFonts w:eastAsia="Times New Roman"/>
                                <w:kern w:val="0"/>
                                <w:sz w:val="20"/>
                                <w:szCs w:val="20"/>
                                <w:lang w:eastAsia="en-GB"/>
                                <w14:ligatures w14:val="none"/>
                              </w:rPr>
                              <w:t>Breakdown:</w:t>
                            </w:r>
                          </w:p>
                          <w:p w14:paraId="25F7C9F5" w14:textId="77777777" w:rsidR="00156A23" w:rsidRDefault="00156A23" w:rsidP="00156A23">
                            <w:pPr>
                              <w:spacing w:after="0"/>
                              <w:ind w:left="720"/>
                              <w:rPr>
                                <w:rFonts w:eastAsia="Times New Roman"/>
                                <w:kern w:val="0"/>
                                <w:sz w:val="20"/>
                                <w:szCs w:val="20"/>
                                <w:lang w:eastAsia="en-GB"/>
                                <w14:ligatures w14:val="none"/>
                              </w:rPr>
                            </w:pPr>
                            <w:r>
                              <w:rPr>
                                <w:rFonts w:eastAsia="Times New Roman"/>
                                <w:kern w:val="0"/>
                                <w:sz w:val="20"/>
                                <w:szCs w:val="20"/>
                                <w:lang w:eastAsia="en-GB"/>
                                <w14:ligatures w14:val="none"/>
                              </w:rPr>
                              <w:t>• Nike = 18</w:t>
                            </w:r>
                          </w:p>
                          <w:p w14:paraId="2E0B952C" w14:textId="77777777" w:rsidR="00156A23" w:rsidRDefault="00156A23" w:rsidP="00156A23">
                            <w:pPr>
                              <w:spacing w:after="0"/>
                              <w:ind w:left="720"/>
                              <w:rPr>
                                <w:rFonts w:eastAsia="Times New Roman"/>
                                <w:kern w:val="0"/>
                                <w:sz w:val="20"/>
                                <w:szCs w:val="20"/>
                                <w:lang w:eastAsia="en-GB"/>
                                <w14:ligatures w14:val="none"/>
                              </w:rPr>
                            </w:pPr>
                            <w:r>
                              <w:rPr>
                                <w:rFonts w:eastAsia="Times New Roman"/>
                                <w:kern w:val="0"/>
                                <w:sz w:val="20"/>
                                <w:szCs w:val="20"/>
                                <w:lang w:eastAsia="en-GB"/>
                                <w14:ligatures w14:val="none"/>
                              </w:rPr>
                              <w:t>• Inditex = 9</w:t>
                            </w:r>
                          </w:p>
                          <w:p w14:paraId="0D66724F" w14:textId="77777777" w:rsidR="00156A23" w:rsidRDefault="00156A23" w:rsidP="00156A23">
                            <w:pPr>
                              <w:spacing w:after="0"/>
                              <w:ind w:left="720"/>
                              <w:rPr>
                                <w:rFonts w:eastAsia="Times New Roman"/>
                                <w:kern w:val="0"/>
                                <w:sz w:val="20"/>
                                <w:szCs w:val="20"/>
                                <w:lang w:eastAsia="en-GB"/>
                                <w14:ligatures w14:val="none"/>
                              </w:rPr>
                            </w:pPr>
                            <w:r>
                              <w:rPr>
                                <w:rFonts w:eastAsia="Times New Roman"/>
                                <w:kern w:val="0"/>
                                <w:sz w:val="20"/>
                                <w:szCs w:val="20"/>
                                <w:lang w:eastAsia="en-GB"/>
                                <w14:ligatures w14:val="none"/>
                              </w:rPr>
                              <w:t>• Christian Dior = 7</w:t>
                            </w:r>
                          </w:p>
                          <w:p w14:paraId="2E3BF274" w14:textId="77777777" w:rsidR="00156A23" w:rsidRDefault="00156A23" w:rsidP="00156A23">
                            <w:pPr>
                              <w:spacing w:after="0"/>
                              <w:rPr>
                                <w:rFonts w:eastAsia="Times New Roman"/>
                                <w:kern w:val="0"/>
                                <w:sz w:val="20"/>
                                <w:szCs w:val="20"/>
                                <w:lang w:eastAsia="en-GB"/>
                                <w14:ligatures w14:val="none"/>
                              </w:rPr>
                            </w:pPr>
                            <w:r>
                              <w:rPr>
                                <w:rFonts w:eastAsia="Times New Roman"/>
                                <w:kern w:val="0"/>
                                <w:sz w:val="20"/>
                                <w:szCs w:val="20"/>
                                <w:lang w:eastAsia="en-GB"/>
                                <w14:ligatures w14:val="none"/>
                              </w:rPr>
                              <w:t>External triangulation sources included:</w:t>
                            </w:r>
                          </w:p>
                          <w:p w14:paraId="4CD116FE" w14:textId="77777777" w:rsidR="00156A23" w:rsidRDefault="00156A23" w:rsidP="00156A23">
                            <w:pPr>
                              <w:spacing w:after="0"/>
                              <w:ind w:left="720"/>
                              <w:rPr>
                                <w:sz w:val="20"/>
                                <w:szCs w:val="20"/>
                              </w:rPr>
                            </w:pPr>
                            <w:r>
                              <w:rPr>
                                <w:rFonts w:eastAsia="Times New Roman"/>
                                <w:kern w:val="0"/>
                                <w:sz w:val="20"/>
                                <w:szCs w:val="20"/>
                                <w:lang w:eastAsia="en-GB"/>
                                <w14:ligatures w14:val="none"/>
                              </w:rPr>
                              <w:t>• NGO reports and  Investigative media = 17</w:t>
                            </w:r>
                          </w:p>
                        </w:txbxContent>
                      </wps:txbx>
                      <wps:bodyPr rot="0" vertOverflow="clip" horzOverflow="clip"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E2B088" id="Text Box 7" o:spid="_x0000_s1142" type="#_x0000_t202" style="position:absolute;margin-left:10.5pt;margin-top:10.85pt;width:186.25pt;height:132.8pt;z-index:25166144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">
                <v:textbox style="mso-fit-shape-to-text:t">
                  <w:txbxContent>
                    <w:p w14:paraId="4CDFE85B" w14:textId="77777777" w:rsidR="00156A23" w:rsidRDefault="00156A23" w:rsidP="00156A23">
                      <w:pPr>
                        <w:spacing w:after="0"/>
                        <w:rPr>
                          <w:rFonts w:eastAsia="Times New Roman"/>
                          <w:kern w:val="0"/>
                          <w:sz w:val="20"/>
                          <w:szCs w:val="20"/>
                          <w:lang w:eastAsia="en-GB"/>
                          <w14:ligatures w14:val="none"/>
                        </w:rPr>
                      </w:pPr>
                      <w:r>
                        <w:rPr>
                          <w:rFonts w:eastAsia="Times New Roman"/>
                          <w:b/>
                          <w:bCs/>
                          <w:kern w:val="0"/>
                          <w:sz w:val="20"/>
                          <w:szCs w:val="20"/>
                          <w:lang w:eastAsia="en-GB"/>
                          <w14:ligatures w14:val="none"/>
                        </w:rPr>
                        <w:t xml:space="preserve">Final documents included in qualitative disclosure analysis:   </w:t>
                      </w:r>
                      <w:r>
                        <w:rPr>
                          <w:rFonts w:eastAsia="Times New Roman"/>
                          <w:kern w:val="0"/>
                          <w:sz w:val="20"/>
                          <w:szCs w:val="20"/>
                          <w:lang w:eastAsia="en-GB"/>
                          <w14:ligatures w14:val="none"/>
                        </w:rPr>
                        <w:t>n = 51</w:t>
                      </w:r>
                    </w:p>
                    <w:p w14:paraId="44E1D010" w14:textId="77777777" w:rsidR="00156A23" w:rsidRDefault="00156A23" w:rsidP="00156A23">
                      <w:pPr>
                        <w:spacing w:after="0"/>
                        <w:rPr>
                          <w:rFonts w:eastAsia="Times New Roman"/>
                          <w:kern w:val="0"/>
                          <w:sz w:val="20"/>
                          <w:szCs w:val="20"/>
                          <w:lang w:eastAsia="en-GB"/>
                          <w14:ligatures w14:val="none"/>
                        </w:rPr>
                      </w:pPr>
                      <w:r>
                        <w:rPr>
                          <w:rFonts w:eastAsia="Times New Roman"/>
                          <w:kern w:val="0"/>
                          <w:sz w:val="20"/>
                          <w:szCs w:val="20"/>
                          <w:lang w:eastAsia="en-GB"/>
                          <w14:ligatures w14:val="none"/>
                        </w:rPr>
                        <w:t>Breakdown:</w:t>
                      </w:r>
                    </w:p>
                    <w:p w14:paraId="25F7C9F5" w14:textId="77777777" w:rsidR="00156A23" w:rsidRDefault="00156A23" w:rsidP="00156A23">
                      <w:pPr>
                        <w:spacing w:after="0"/>
                        <w:ind w:left="720"/>
                        <w:rPr>
                          <w:rFonts w:eastAsia="Times New Roman"/>
                          <w:kern w:val="0"/>
                          <w:sz w:val="20"/>
                          <w:szCs w:val="20"/>
                          <w:lang w:eastAsia="en-GB"/>
                          <w14:ligatures w14:val="none"/>
                        </w:rPr>
                      </w:pPr>
                      <w:r>
                        <w:rPr>
                          <w:rFonts w:eastAsia="Times New Roman"/>
                          <w:kern w:val="0"/>
                          <w:sz w:val="20"/>
                          <w:szCs w:val="20"/>
                          <w:lang w:eastAsia="en-GB"/>
                          <w14:ligatures w14:val="none"/>
                        </w:rPr>
                        <w:t>• Nike = 18</w:t>
                      </w:r>
                    </w:p>
                    <w:p w14:paraId="2E0B952C" w14:textId="77777777" w:rsidR="00156A23" w:rsidRDefault="00156A23" w:rsidP="00156A23">
                      <w:pPr>
                        <w:spacing w:after="0"/>
                        <w:ind w:left="720"/>
                        <w:rPr>
                          <w:rFonts w:eastAsia="Times New Roman"/>
                          <w:kern w:val="0"/>
                          <w:sz w:val="20"/>
                          <w:szCs w:val="20"/>
                          <w:lang w:eastAsia="en-GB"/>
                          <w14:ligatures w14:val="none"/>
                        </w:rPr>
                      </w:pPr>
                      <w:r>
                        <w:rPr>
                          <w:rFonts w:eastAsia="Times New Roman"/>
                          <w:kern w:val="0"/>
                          <w:sz w:val="20"/>
                          <w:szCs w:val="20"/>
                          <w:lang w:eastAsia="en-GB"/>
                          <w14:ligatures w14:val="none"/>
                        </w:rPr>
                        <w:t>• Inditex = 9</w:t>
                      </w:r>
                    </w:p>
                    <w:p w14:paraId="0D66724F" w14:textId="77777777" w:rsidR="00156A23" w:rsidRDefault="00156A23" w:rsidP="00156A23">
                      <w:pPr>
                        <w:spacing w:after="0"/>
                        <w:ind w:left="720"/>
                        <w:rPr>
                          <w:rFonts w:eastAsia="Times New Roman"/>
                          <w:kern w:val="0"/>
                          <w:sz w:val="20"/>
                          <w:szCs w:val="20"/>
                          <w:lang w:eastAsia="en-GB"/>
                          <w14:ligatures w14:val="none"/>
                        </w:rPr>
                      </w:pPr>
                      <w:r>
                        <w:rPr>
                          <w:rFonts w:eastAsia="Times New Roman"/>
                          <w:kern w:val="0"/>
                          <w:sz w:val="20"/>
                          <w:szCs w:val="20"/>
                          <w:lang w:eastAsia="en-GB"/>
                          <w14:ligatures w14:val="none"/>
                        </w:rPr>
                        <w:t>• Christian Dior = 7</w:t>
                      </w:r>
                    </w:p>
                    <w:p w14:paraId="2E3BF274" w14:textId="77777777" w:rsidR="00156A23" w:rsidRDefault="00156A23" w:rsidP="00156A23">
                      <w:pPr>
                        <w:spacing w:after="0"/>
                        <w:rPr>
                          <w:rFonts w:eastAsia="Times New Roman"/>
                          <w:kern w:val="0"/>
                          <w:sz w:val="20"/>
                          <w:szCs w:val="20"/>
                          <w:lang w:eastAsia="en-GB"/>
                          <w14:ligatures w14:val="none"/>
                        </w:rPr>
                      </w:pPr>
                      <w:r>
                        <w:rPr>
                          <w:rFonts w:eastAsia="Times New Roman"/>
                          <w:kern w:val="0"/>
                          <w:sz w:val="20"/>
                          <w:szCs w:val="20"/>
                          <w:lang w:eastAsia="en-GB"/>
                          <w14:ligatures w14:val="none"/>
                        </w:rPr>
                        <w:t>External triangulation sources included:</w:t>
                      </w:r>
                    </w:p>
                    <w:p w14:paraId="4CD116FE" w14:textId="77777777" w:rsidR="00156A23" w:rsidRDefault="00156A23" w:rsidP="00156A23">
                      <w:pPr>
                        <w:spacing w:after="0"/>
                        <w:ind w:left="720"/>
                        <w:rPr>
                          <w:sz w:val="20"/>
                          <w:szCs w:val="20"/>
                        </w:rPr>
                      </w:pPr>
                      <w:r>
                        <w:rPr>
                          <w:rFonts w:eastAsia="Times New Roman"/>
                          <w:kern w:val="0"/>
                          <w:sz w:val="20"/>
                          <w:szCs w:val="20"/>
                          <w:lang w:eastAsia="en-GB"/>
                          <w14:ligatures w14:val="none"/>
                        </w:rPr>
                        <w:t>• NGO reports and  Investigative media = 17</w:t>
                      </w:r>
                    </w:p>
                  </w:txbxContent>
                </v:textbox>
                <w10:wrap type="square"/>
              </v:shape>
            </w:pict>
          </mc:Fallback>
        </mc:AlternateContent>
      </w:r>
    </w:p>
    <w:p w14:paraId="084B1EA9" w14:textId="77777777" w:rsidR="00156A23" w:rsidRPr="0053182F" w:rsidRDefault="00156A23" w:rsidP="00156A23">
      <w:pPr>
        <w:rPr>
          <w:rStyle w:val="normaltextrun"/>
        </w:rPr>
      </w:pPr>
    </w:p>
    <w:p w14:paraId="44E3FA5B" w14:textId="77777777" w:rsidR="00156A23" w:rsidRPr="0053182F" w:rsidRDefault="00156A23" w:rsidP="00156A23">
      <w:pPr>
        <w:rPr>
          <w:rStyle w:val="normaltextrun"/>
        </w:rPr>
      </w:pPr>
    </w:p>
    <w:p w14:paraId="79086167" w14:textId="77777777" w:rsidR="00156A23" w:rsidRPr="0053182F" w:rsidRDefault="00156A23" w:rsidP="00156A23">
      <w:pPr>
        <w:rPr>
          <w:rStyle w:val="normaltextrun"/>
        </w:rPr>
      </w:pPr>
    </w:p>
    <w:p w14:paraId="518D9F48" w14:textId="77777777" w:rsidR="00156A23" w:rsidRPr="0053182F" w:rsidRDefault="00156A23" w:rsidP="00156A23">
      <w:pPr>
        <w:rPr>
          <w:rStyle w:val="normaltextrun"/>
        </w:rPr>
      </w:pPr>
    </w:p>
    <w:p w14:paraId="41247887" w14:textId="77777777" w:rsidR="00156A23" w:rsidRPr="0053182F" w:rsidRDefault="00156A23" w:rsidP="00156A23">
      <w:pPr>
        <w:rPr>
          <w:rStyle w:val="normaltextrun"/>
        </w:rPr>
      </w:pPr>
    </w:p>
    <w:p w14:paraId="2F30B80C" w14:textId="77777777" w:rsidR="00156A23" w:rsidRPr="0053182F" w:rsidRDefault="00156A23" w:rsidP="00156A23">
      <w:pPr>
        <w:jc w:val="center"/>
        <w:rPr>
          <w:rStyle w:val="normaltextrun"/>
        </w:rPr>
      </w:pPr>
      <w:r w:rsidRPr="0053182F">
        <w:rPr>
          <w:rStyle w:val="normaltextrun"/>
          <w:b/>
          <w:bCs/>
        </w:rPr>
        <w:t>Figure 7.7</w:t>
      </w:r>
      <w:r w:rsidRPr="0053182F">
        <w:rPr>
          <w:rStyle w:val="normaltextrun"/>
        </w:rPr>
        <w:t>: PRISMA Document Selection Flowchart</w:t>
      </w:r>
    </w:p>
    <w:p w14:paraId="7B117880" w14:textId="77777777" w:rsidR="00156A23" w:rsidRPr="0053182F" w:rsidRDefault="00156A23" w:rsidP="00156A23">
      <w:pPr>
        <w:rPr>
          <w:rStyle w:val="normaltextrun"/>
          <w:rFonts w:eastAsiaTheme="majorEastAsia"/>
          <w:b/>
          <w:color w:val="000000" w:themeColor="text1"/>
        </w:rPr>
      </w:pPr>
      <w:r w:rsidRPr="0053182F">
        <w:rPr>
          <w:rStyle w:val="normaltextrun"/>
          <w:rFonts w:eastAsiaTheme="majorEastAsia"/>
          <w:b/>
          <w:color w:val="000000" w:themeColor="text1"/>
        </w:rPr>
        <w:t xml:space="preserve">Source: </w:t>
      </w:r>
      <w:r w:rsidRPr="0053182F">
        <w:rPr>
          <w:rStyle w:val="normaltextrun"/>
          <w:rFonts w:eastAsiaTheme="majorEastAsia"/>
          <w:bCs/>
          <w:color w:val="000000" w:themeColor="text1"/>
        </w:rPr>
        <w:t>Author’s own work</w:t>
      </w:r>
    </w:p>
    <w:p w14:paraId="6848C607" w14:textId="77777777" w:rsidR="00156A23" w:rsidRPr="0053182F" w:rsidRDefault="00156A23" w:rsidP="00156A23">
      <w:pPr>
        <w:pStyle w:val="Heading2"/>
        <w:rPr>
          <w:color w:val="0F4761" w:themeColor="accent1" w:themeShade="BF"/>
        </w:rPr>
      </w:pPr>
      <w:bookmarkStart w:id="400" w:name="_Toc216557298"/>
      <w:bookmarkStart w:id="401" w:name="_Toc218357188"/>
      <w:r w:rsidRPr="0053182F">
        <w:t>7.17 Analytical Framework for Disclosure Analysis</w:t>
      </w:r>
      <w:bookmarkEnd w:id="400"/>
      <w:bookmarkEnd w:id="401"/>
    </w:p>
    <w:p w14:paraId="4AE1DA60" w14:textId="77777777" w:rsidR="00156A23" w:rsidRPr="0053182F" w:rsidRDefault="00156A23" w:rsidP="00156A23">
      <w:pPr>
        <w:pStyle w:val="Heading3"/>
      </w:pPr>
      <w:bookmarkStart w:id="402" w:name="_Toc216557299"/>
      <w:bookmarkStart w:id="403" w:name="_Toc218357189"/>
      <w:r w:rsidRPr="0053182F">
        <w:t>7.17.1 Analytical Approach: Thematic Analysis</w:t>
      </w:r>
      <w:bookmarkEnd w:id="402"/>
      <w:bookmarkEnd w:id="403"/>
    </w:p>
    <w:p w14:paraId="55837AED" w14:textId="77777777" w:rsidR="00156A23" w:rsidRPr="0053182F" w:rsidRDefault="00156A23" w:rsidP="00156A23"/>
    <w:p w14:paraId="300FBF13" w14:textId="77777777" w:rsidR="00156A23" w:rsidRPr="0053182F" w:rsidRDefault="00156A23" w:rsidP="00156A23">
      <w:pPr>
        <w:spacing w:after="0" w:line="480" w:lineRule="auto"/>
        <w:jc w:val="both"/>
        <w:rPr>
          <w:color w:val="auto"/>
        </w:rPr>
      </w:pPr>
      <w:r w:rsidRPr="0053182F">
        <w:t xml:space="preserve">In line with recent </w:t>
      </w:r>
      <w:r w:rsidRPr="0053182F">
        <w:rPr>
          <w:highlight w:val="yellow"/>
        </w:rPr>
        <w:t xml:space="preserve">literature </w:t>
      </w:r>
      <w:sdt>
        <w:sdtPr>
          <w:rPr>
            <w:highlight w:val="yellow"/>
          </w:rPr>
          <w:tag w:val="MENDELEY_CITATION_v3_eyJjaXRhdGlvbklEIjoiTUVOREVMRVlfQ0lUQVRJT05fNmVhZGFmNTUtMGJlOC00ZmUzLWEzMjEtZmMyNjE2ODA0NTU5IiwicHJvcGVydGllcyI6eyJub3RlSW5kZXgiOjB9LCJpc0VkaXRlZCI6ZmFsc2UsIm1hbnVhbE92ZXJyaWRlIjp7ImlzTWFudWFsbHlPdmVycmlkZGVuIjp0cnVlLCJjaXRlcHJvY1RleHQiOiIoTXV0aHV0aGFudHJpZ2UgPGk+ZXQgYWwuPC9pPiwgMjAyNikiLCJtYW51YWxPdmVycmlkZVRleHQiOiIoTXV0aHV0aGFudHJpZ2UgZXQgYWwuLCA2KSJ9LCJjaXRhdGlvbkl0ZW1zIjpb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
          <w:id w:val="-2058459406"/>
          <w:placeholder>
            <w:docPart w:val="944EE29C6B334162B786D58D9FBA4C77"/>
          </w:placeholder>
        </w:sdtPr>
        <w:sdtContent>
          <w:r w:rsidRPr="0053182F">
            <w:rPr>
              <w:highlight w:val="yellow"/>
            </w:rPr>
            <w:t>(Muthuthantrige et al., 6)</w:t>
          </w:r>
        </w:sdtContent>
      </w:sdt>
      <w:r w:rsidRPr="0053182F">
        <w:rPr>
          <w:highlight w:val="yellow"/>
        </w:rPr>
        <w:t>, t</w:t>
      </w:r>
      <w:r w:rsidRPr="0053182F">
        <w:t xml:space="preserve">his research employed an adapted version of </w:t>
      </w:r>
      <w:sdt>
        <w:sdtPr>
          <w:rPr>
            <w:rFonts w:eastAsia="Times New Roman"/>
            <w:kern w:val="0"/>
            <w:lang w:eastAsia="en-GB"/>
            <w14:ligatures w14:val="none"/>
          </w:rPr>
          <w:tag w:val="MENDELEY_CITATION_v3_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"/>
          <w:id w:val="-703481915"/>
          <w:placeholder>
            <w:docPart w:val="00E04DB4C48E4D10B1D2E4D8C7268388"/>
          </w:placeholder>
        </w:sdtPr>
        <w:sdtContent>
          <w:r w:rsidRPr="0053182F">
            <w:rPr>
              <w:rFonts w:eastAsia="Times New Roman"/>
              <w:kern w:val="0"/>
              <w:lang w:eastAsia="en-GB"/>
              <w14:ligatures w14:val="none"/>
            </w:rPr>
            <w:t>Braun and Clarke’s (2006)</w:t>
          </w:r>
        </w:sdtContent>
      </w:sdt>
      <w:r w:rsidRPr="0053182F">
        <w:rPr>
          <w:rFonts w:eastAsia="Times New Roman"/>
          <w:kern w:val="0"/>
          <w:lang w:eastAsia="en-GB"/>
          <w14:ligatures w14:val="none"/>
        </w:rPr>
        <w:t xml:space="preserve"> </w:t>
      </w:r>
      <w:r w:rsidRPr="0053182F">
        <w:t xml:space="preserve">six-phase thematic analysis framework. This approach was selected for its methodological flexibility and its capacity to interrogate complex organisational narratives embedded within corporate disclosure reports. </w:t>
      </w:r>
      <w:r w:rsidRPr="0053182F">
        <w:rPr>
          <w:color w:val="auto"/>
        </w:rPr>
        <w:t>This approach was particularly appropriate for analysing how firms construct legitimacy, articulate ACMS commitments, and potentially obscure labour-related risks through symbolic or selective reporting. Consistent with Braun and Clarke’s model, the analysis proceeded through six iterative phases:</w:t>
      </w:r>
    </w:p>
    <w:p w14:paraId="672201BC" w14:textId="77777777" w:rsidR="00156A23" w:rsidRPr="0053182F" w:rsidRDefault="00156A23" w:rsidP="00156A23">
      <w:pPr>
        <w:spacing w:after="0" w:line="480" w:lineRule="auto"/>
        <w:jc w:val="both"/>
        <w:rPr>
          <w:color w:val="auto"/>
        </w:rPr>
      </w:pPr>
      <w:r w:rsidRPr="0053182F">
        <w:rPr>
          <w:color w:val="auto"/>
        </w:rPr>
        <w:t>(1) familiarisation with the dataset through repeated reading of annual reports, sustainability disclosures, and MS statements.</w:t>
      </w:r>
    </w:p>
    <w:p w14:paraId="1EA96E3A" w14:textId="77777777" w:rsidR="00156A23" w:rsidRPr="0053182F" w:rsidRDefault="00156A23" w:rsidP="00156A23">
      <w:pPr>
        <w:spacing w:after="0" w:line="480" w:lineRule="auto"/>
        <w:jc w:val="both"/>
        <w:rPr>
          <w:color w:val="auto"/>
        </w:rPr>
      </w:pPr>
      <w:r w:rsidRPr="0053182F">
        <w:rPr>
          <w:color w:val="auto"/>
        </w:rPr>
        <w:t>(2) generation of initial codes applied systematically across the documents.</w:t>
      </w:r>
    </w:p>
    <w:p w14:paraId="64F6743F" w14:textId="77777777" w:rsidR="00156A23" w:rsidRPr="0053182F" w:rsidRDefault="00156A23" w:rsidP="00156A23">
      <w:pPr>
        <w:spacing w:after="0" w:line="480" w:lineRule="auto"/>
        <w:jc w:val="both"/>
        <w:rPr>
          <w:color w:val="auto"/>
        </w:rPr>
      </w:pPr>
      <w:r w:rsidRPr="0053182F">
        <w:rPr>
          <w:color w:val="auto"/>
        </w:rPr>
        <w:t>(3) searching for themes by clustering related codes into broader conceptual patterns.</w:t>
      </w:r>
    </w:p>
    <w:p w14:paraId="5DD6722C" w14:textId="77777777" w:rsidR="00156A23" w:rsidRPr="0053182F" w:rsidRDefault="00156A23" w:rsidP="00156A23">
      <w:pPr>
        <w:spacing w:after="0" w:line="480" w:lineRule="auto"/>
        <w:jc w:val="both"/>
        <w:rPr>
          <w:color w:val="auto"/>
        </w:rPr>
      </w:pPr>
      <w:r w:rsidRPr="0053182F">
        <w:rPr>
          <w:color w:val="auto"/>
        </w:rPr>
        <w:t>(4) reviewing themes to test internal coherence and alignment with the research questions.</w:t>
      </w:r>
    </w:p>
    <w:p w14:paraId="06E6E14C" w14:textId="77777777" w:rsidR="00156A23" w:rsidRPr="0053182F" w:rsidRDefault="00156A23" w:rsidP="00156A23">
      <w:pPr>
        <w:spacing w:after="0" w:line="480" w:lineRule="auto"/>
        <w:jc w:val="both"/>
        <w:rPr>
          <w:color w:val="auto"/>
        </w:rPr>
      </w:pPr>
      <w:r w:rsidRPr="0053182F">
        <w:rPr>
          <w:color w:val="auto"/>
        </w:rPr>
        <w:t>(5) defining and naming themes to sharpen analytic clarity and interpretive precision; and</w:t>
      </w:r>
    </w:p>
    <w:p w14:paraId="625DD5E2" w14:textId="77777777" w:rsidR="00156A23" w:rsidRPr="0053182F" w:rsidRDefault="00156A23" w:rsidP="00156A23">
      <w:pPr>
        <w:spacing w:after="0" w:line="480" w:lineRule="auto"/>
        <w:jc w:val="both"/>
        <w:rPr>
          <w:color w:val="auto"/>
        </w:rPr>
      </w:pPr>
      <w:r w:rsidRPr="0053182F">
        <w:rPr>
          <w:color w:val="auto"/>
        </w:rPr>
        <w:t>(6) producing the report, which involved synthesising themes into a structured narrative to compare corporate claims with qualitative interview findings and macro-level institutional expectations.</w:t>
      </w:r>
    </w:p>
    <w:p w14:paraId="44E31E8F" w14:textId="77777777" w:rsidR="00156A23" w:rsidRPr="0053182F" w:rsidRDefault="00156A23" w:rsidP="00156A23">
      <w:pPr>
        <w:spacing w:line="480" w:lineRule="auto"/>
        <w:ind w:firstLine="720"/>
        <w:jc w:val="both"/>
        <w:rPr>
          <w:color w:val="auto"/>
        </w:rPr>
      </w:pPr>
      <w:r w:rsidRPr="0053182F">
        <w:rPr>
          <w:color w:val="auto"/>
        </w:rPr>
        <w:t>This structured but flexible process enabled a deeper interrogation of the discursive, symbolic, and strategic dimensions of AMS disclosures, thereby enhancing interpretive insight into institutional decoupling and performative compliance—central concerns within NIT.</w:t>
      </w:r>
    </w:p>
    <w:p w14:paraId="58183D86" w14:textId="77777777" w:rsidR="00156A23" w:rsidRPr="0053182F" w:rsidRDefault="00156A23" w:rsidP="00156A23">
      <w:pPr>
        <w:pStyle w:val="Heading3"/>
      </w:pPr>
      <w:bookmarkStart w:id="404" w:name="_Toc216557300"/>
      <w:bookmarkStart w:id="405" w:name="_Toc218357190"/>
      <w:r w:rsidRPr="0053182F">
        <w:t>7.17.2 Coding Framework</w:t>
      </w:r>
      <w:bookmarkEnd w:id="404"/>
      <w:bookmarkEnd w:id="405"/>
    </w:p>
    <w:p w14:paraId="34FD14E6" w14:textId="77777777" w:rsidR="00156A23" w:rsidRPr="0053182F" w:rsidRDefault="00156A23" w:rsidP="00156A23">
      <w:pPr>
        <w:spacing w:line="480" w:lineRule="auto"/>
        <w:jc w:val="both"/>
        <w:rPr>
          <w:color w:val="auto"/>
        </w:rPr>
      </w:pPr>
      <w:r w:rsidRPr="0053182F">
        <w:rPr>
          <w:color w:val="auto"/>
        </w:rPr>
        <w:t xml:space="preserve">The disclosure analysis employed a hybrid deductive–inductive coding framework to ensure grounding in established theoretical constructs while remaining open to the emergence of context-specific patterns within the data </w:t>
      </w:r>
      <w:sdt>
        <w:sdtPr>
          <w:tag w:val="MENDELEY_CITATION_v3_eyJjaXRhdGlvbklEIjoiTUVOREVMRVlfQ0lUQVRJT05fYzI2Y2YzNTYtMDk2NS00OTNkLWE4ZTEtYmY0MTNmYzE2NmEz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60139946"/>
          <w:placeholder>
            <w:docPart w:val="944EE29C6B334162B786D58D9FBA4C77"/>
          </w:placeholder>
        </w:sdtPr>
        <w:sdtContent>
          <w:r w:rsidRPr="0053182F">
            <w:rPr>
              <w:rFonts w:eastAsia="Times New Roman"/>
            </w:rPr>
            <w:t xml:space="preserve">(Muthuthantrige </w:t>
          </w:r>
          <w:r w:rsidRPr="0053182F">
            <w:rPr>
              <w:rFonts w:eastAsia="Times New Roman"/>
              <w:i/>
              <w:iCs/>
            </w:rPr>
            <w:t>et al.</w:t>
          </w:r>
          <w:r w:rsidRPr="0053182F">
            <w:rPr>
              <w:rFonts w:eastAsia="Times New Roman"/>
            </w:rPr>
            <w:t>, 2026)</w:t>
          </w:r>
        </w:sdtContent>
      </w:sdt>
      <w:r w:rsidRPr="0053182F">
        <w:rPr>
          <w:color w:val="auto"/>
        </w:rPr>
        <w:t xml:space="preserve">. The deductive coding structure was informed primarily by internationally recognised labour governance frameworks and core tenets of NIT. In particular, the ILO’s five fundamental labour pillars—the elimination of child labour, elimination of forced or bonded labour, provision of safe and healthy working environments, protection of freedom of association and collective bargaining, and elimination of discrimination—provided a normative scaffold against which the selected MNCs’ ACMS disclosures could be assessed </w:t>
      </w:r>
      <w:sdt>
        <w:sdtPr>
          <w:tag w:val="MENDELEY_CITATION_v3_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262651387"/>
          <w:placeholder>
            <w:docPart w:val="944EE29C6B334162B786D58D9FBA4C77"/>
          </w:placeholder>
        </w:sdtPr>
        <w:sdtContent>
          <w:r w:rsidRPr="0053182F">
            <w:t>(ILO, 2020; Muthuthantrige et al., 2026)</w:t>
          </w:r>
        </w:sdtContent>
      </w:sdt>
      <w:r w:rsidRPr="0053182F">
        <w:rPr>
          <w:color w:val="auto"/>
        </w:rPr>
        <w:t xml:space="preserve">. </w:t>
      </w:r>
    </w:p>
    <w:p w14:paraId="6C177F83" w14:textId="006976F3" w:rsidR="00156A23" w:rsidRPr="0053182F" w:rsidRDefault="00156A23" w:rsidP="00156A23">
      <w:pPr>
        <w:spacing w:line="480" w:lineRule="auto"/>
        <w:ind w:firstLine="720"/>
        <w:jc w:val="both"/>
        <w:rPr>
          <w:color w:val="auto"/>
        </w:rPr>
      </w:pPr>
      <w:r w:rsidRPr="0053182F">
        <w:rPr>
          <w:color w:val="auto"/>
        </w:rPr>
        <w:t xml:space="preserve">These pillars have been widely used in prior MS and corporate labour governance research to benchmark the adequacy and scope of firms' stated commitments </w:t>
      </w:r>
      <w:sdt>
        <w:sdtPr>
          <w:tag w:val="MENDELEY_CITATION_v3_eyJjaXRhdGlvbklEIjoiTUVOREVMRVlfQ0lUQVRJT05fYWZiZDE5OTQtZTNhNy00ZTFjLTlmZDQtZjcwYzg5ZDZmMzM1IiwicHJvcGVydGllcyI6eyJub3RlSW5kZXgiOjB9LCJpc0VkaXRlZCI6ZmFsc2UsIm1hbnVhbE92ZXJyaWRlIjp7ImlzTWFudWFsbHlPdmVycmlkZGVuIjpmYWxzZSwiY2l0ZXByb2NUZXh0IjoiKENyYW5lIDxpPmV0IGFsLjwvaT4sIDIwMTk7IExlQmFyb24gYW5kIExpc3RlciwgMjAyMS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XX0="/>
          <w:id w:val="-1616288580"/>
          <w:placeholder>
            <w:docPart w:val="944EE29C6B334162B786D58D9FBA4C77"/>
          </w:placeholder>
        </w:sdtPr>
        <w:sdtContent>
          <w:r w:rsidRPr="0053182F">
            <w:rPr>
              <w:rFonts w:eastAsia="Times New Roman"/>
            </w:rPr>
            <w:t xml:space="preserve">(Crane </w:t>
          </w:r>
          <w:r w:rsidRPr="0053182F">
            <w:rPr>
              <w:rFonts w:eastAsia="Times New Roman"/>
              <w:i/>
              <w:iCs/>
            </w:rPr>
            <w:t>et al.</w:t>
          </w:r>
          <w:r w:rsidRPr="0053182F">
            <w:rPr>
              <w:rFonts w:eastAsia="Times New Roman"/>
            </w:rPr>
            <w:t>, 2019; LeBaron and Lister, 2021)</w:t>
          </w:r>
        </w:sdtContent>
      </w:sdt>
      <w:r w:rsidRPr="0053182F">
        <w:rPr>
          <w:color w:val="auto"/>
        </w:rPr>
        <w:t xml:space="preserve">. Complementing these, a second set of deductive codes was derived from NIT, capturing coercive, normative, and mimetic pressures shaping organisational disclosure practices </w:t>
      </w:r>
      <w:sdt>
        <w:sdtPr>
          <w:tag w:val="MENDELEY_CITATION_v3_eyJjaXRhdGlvbklEIjoiTUVOREVMRVlfQ0lUQVRJT05fYTZmOGRhNWYtZTI1Ni00NjBmLTg0ZTMtMjE5NjJhZGE4MWI3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
          <w:id w:val="-140497550"/>
          <w:placeholder>
            <w:docPart w:val="944EE29C6B334162B786D58D9FBA4C77"/>
          </w:placeholder>
        </w:sdtPr>
        <w:sdtContent>
          <w:r w:rsidRPr="0053182F">
            <w:t>(DiMaggio and Powell, 1983; Scott, 2013)</w:t>
          </w:r>
        </w:sdtContent>
      </w:sdt>
      <w:r w:rsidRPr="0053182F">
        <w:t>.</w:t>
      </w:r>
      <w:r w:rsidRPr="0053182F">
        <w:rPr>
          <w:color w:val="auto"/>
        </w:rPr>
        <w:t xml:space="preserve"> These codes enabled systematic identification of institutional decoupling, symbolic compliance, and legitimacy-seeking behaviours—phenomena well documented in sustainability reporting and labour governance literature </w:t>
      </w:r>
      <w:sdt>
        <w:sdtPr>
          <w:tag w:val="MENDELEY_CITATION_v3_eyJjaXRhdGlvbklEIjoiTUVOREVMRVlfQ0lUQVRJT05fY2UxYWE3Y2ItNjI1NS00ZmYzLWI5MjUtZWRiY2RmYzI4ZWFjIiwicHJvcGVydGllcyI6eyJub3RlSW5kZXgiOjB9LCJpc0VkaXRlZCI6ZmFsc2UsIm1hbnVhbE92ZXJyaWRlIjp7ImlzTWFudWFsbHlPdmVycmlkZGVuIjpmYWxzZSwiY2l0ZXByb2NUZXh0IjoiKElzbGFtIGFuZCBWYW4gU3RhZGVuLCAyMDIyOyBNZXllciBhbmQgUm93YW4sIDE5Nzc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"/>
          <w:id w:val="-49994558"/>
          <w:placeholder>
            <w:docPart w:val="944EE29C6B334162B786D58D9FBA4C77"/>
          </w:placeholder>
        </w:sdtPr>
        <w:sdtContent>
          <w:r w:rsidRPr="0053182F">
            <w:t>(Islam and Van Staden, 202</w:t>
          </w:r>
          <w:r w:rsidR="00DF28DA">
            <w:t>1</w:t>
          </w:r>
          <w:r w:rsidRPr="0053182F">
            <w:t>; Meyer and Rowan, 1977)</w:t>
          </w:r>
        </w:sdtContent>
      </w:sdt>
      <w:r w:rsidRPr="0053182F">
        <w:t>.</w:t>
      </w:r>
    </w:p>
    <w:p w14:paraId="5C83BB20" w14:textId="77777777" w:rsidR="00156A23" w:rsidRPr="0053182F" w:rsidRDefault="00156A23" w:rsidP="00156A23">
      <w:pPr>
        <w:spacing w:line="480" w:lineRule="auto"/>
        <w:ind w:firstLine="720"/>
        <w:jc w:val="both"/>
        <w:rPr>
          <w:color w:val="auto"/>
        </w:rPr>
      </w:pPr>
      <w:r w:rsidRPr="0053182F">
        <w:rPr>
          <w:color w:val="auto"/>
        </w:rPr>
        <w:t xml:space="preserve">Alongside this theoretically anchored, deductive structure, inductive coding enabled the emergence of grounded, empirically driven insights embedded in the corporate reports </w:t>
      </w:r>
      <w:sdt>
        <w:sdtPr>
          <w:tag w:val="MENDELEY_CITATION_v3_eyJjaXRhdGlvbklEIjoiTUVOREVMRVlfQ0lUQVRJT05fMTBiYzg4NTItMGNlMC00MzQ1LWI5MjktNjAyZTYyMTI3MTgy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0499438"/>
          <w:placeholder>
            <w:docPart w:val="944EE29C6B334162B786D58D9FBA4C77"/>
          </w:placeholder>
        </w:sdtPr>
        <w:sdtContent>
          <w:r w:rsidRPr="0053182F">
            <w:rPr>
              <w:rFonts w:eastAsia="Times New Roman"/>
            </w:rPr>
            <w:t xml:space="preserve">(Muthuthantrige </w:t>
          </w:r>
          <w:r w:rsidRPr="0053182F">
            <w:rPr>
              <w:rFonts w:eastAsia="Times New Roman"/>
              <w:i/>
              <w:iCs/>
            </w:rPr>
            <w:t>et al.</w:t>
          </w:r>
          <w:r w:rsidRPr="0053182F">
            <w:rPr>
              <w:rFonts w:eastAsia="Times New Roman"/>
            </w:rPr>
            <w:t>, 2026)</w:t>
          </w:r>
        </w:sdtContent>
      </w:sdt>
      <w:r w:rsidRPr="0053182F">
        <w:rPr>
          <w:color w:val="auto"/>
        </w:rPr>
        <w:t xml:space="preserve">. This inductive dimension was essential for identifying disclosure patterns that were not explicitly addressed by existing frameworks but were recurrent across the dataset. For example, several disclosures revealed recurring issues such as wage theft and wage disparity, which align with growing evidence that economic exploitation constitutes a central dimension of contemporary MS </w:t>
      </w:r>
      <w:sdt>
        <w:sdtPr>
          <w:tag w:val="MENDELEY_CITATION_v3_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357046776"/>
          <w:placeholder>
            <w:docPart w:val="944EE29C6B334162B786D58D9FBA4C77"/>
          </w:placeholder>
        </w:sdtPr>
        <w:sdtContent>
          <w:r w:rsidRPr="0053182F">
            <w:rPr>
              <w:rFonts w:eastAsia="Times New Roman"/>
            </w:rPr>
            <w:t xml:space="preserve">(Lewis </w:t>
          </w:r>
          <w:r w:rsidRPr="0053182F">
            <w:rPr>
              <w:rFonts w:eastAsia="Times New Roman"/>
              <w:i/>
              <w:iCs/>
            </w:rPr>
            <w:t>et al.</w:t>
          </w:r>
          <w:r w:rsidRPr="0053182F">
            <w:rPr>
              <w:rFonts w:eastAsia="Times New Roman"/>
            </w:rPr>
            <w:t xml:space="preserve">, 2015; Muthuthantrige </w:t>
          </w:r>
          <w:r w:rsidRPr="0053182F">
            <w:rPr>
              <w:rFonts w:eastAsia="Times New Roman"/>
              <w:i/>
              <w:iCs/>
            </w:rPr>
            <w:t>et al.</w:t>
          </w:r>
          <w:r w:rsidRPr="0053182F">
            <w:rPr>
              <w:rFonts w:eastAsia="Times New Roman"/>
            </w:rPr>
            <w:t>, 2026)</w:t>
          </w:r>
        </w:sdtContent>
      </w:sdt>
      <w:r w:rsidRPr="0053182F">
        <w:t>.</w:t>
      </w:r>
      <w:r w:rsidRPr="0053182F">
        <w:rPr>
          <w:color w:val="auto"/>
        </w:rPr>
        <w:t xml:space="preserve"> Additional inductive themes included production pressure, unrealistic quotas, restricted worker mobility, and subcontracting opacity, reflecting risk factors highlighted in labour rights investigations and global value chain scholarship </w:t>
      </w:r>
      <w:sdt>
        <w:sdtPr>
          <w:tag w:val="MENDELEY_CITATION_v3_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"/>
          <w:id w:val="455610991"/>
          <w:placeholder>
            <w:docPart w:val="944EE29C6B334162B786D58D9FBA4C77"/>
          </w:placeholder>
        </w:sdtPr>
        <w:sdtContent>
          <w:r w:rsidRPr="0053182F">
            <w:t>(Anner, 2020; Barrientos, 2019)</w:t>
          </w:r>
        </w:sdtContent>
      </w:sdt>
      <w:r w:rsidRPr="0053182F">
        <w:rPr>
          <w:color w:val="auto"/>
        </w:rPr>
        <w:t xml:space="preserve">. Other emergent codes—such as gendered harassment, weak or vague corrective action narratives, and audit manipulation indicators—echo concerns raised in critical studies of private auditing and CSR reporting, which often emphasise how supply-chain monitoring can mask deeper structural vulnerabilities </w:t>
      </w:r>
      <w:sdt>
        <w:sdtPr>
          <w:tag w:val="MENDELEY_CITATION_v3_eyJjaXRhdGlvbklEIjoiTUVOREVMRVlfQ0lUQVRJT05fZmEzMWJhNmEtZWI3NS00ZWRhLTgwOTMtNmI0NzljNWE5NmMxIiwicHJvcGVydGllcyI6eyJub3RlSW5kZXgiOjB9LCJpc0VkaXRlZCI6ZmFsc2UsIm1hbnVhbE92ZXJyaWRlIjp7ImlzTWFudWFsbHlPdmVycmlkZGVuIjpmYWxzZSwiY2l0ZXByb2NUZXh0IjoiKExlQmFyb24gYW5kIExpc3RlciwgMjAyMTsgUGFyc2EgPGk+ZXQgYWwuPC9pPiwgMjAxOC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"/>
          <w:id w:val="136389494"/>
          <w:placeholder>
            <w:docPart w:val="944EE29C6B334162B786D58D9FBA4C77"/>
          </w:placeholder>
        </w:sdtPr>
        <w:sdtContent>
          <w:r w:rsidRPr="0053182F">
            <w:rPr>
              <w:rFonts w:eastAsia="Times New Roman"/>
            </w:rPr>
            <w:t xml:space="preserve">(LeBaron and Lister, 2021; Parsa </w:t>
          </w:r>
          <w:r w:rsidRPr="0053182F">
            <w:rPr>
              <w:rFonts w:eastAsia="Times New Roman"/>
              <w:i/>
              <w:iCs/>
            </w:rPr>
            <w:t>et al.</w:t>
          </w:r>
          <w:r w:rsidRPr="0053182F">
            <w:rPr>
              <w:rFonts w:eastAsia="Times New Roman"/>
            </w:rPr>
            <w:t>, 2018)</w:t>
          </w:r>
        </w:sdtContent>
      </w:sdt>
      <w:r w:rsidRPr="0053182F">
        <w:t>.</w:t>
      </w:r>
    </w:p>
    <w:p w14:paraId="44AEA240" w14:textId="77777777" w:rsidR="00156A23" w:rsidRPr="0053182F" w:rsidRDefault="00156A23" w:rsidP="00156A23">
      <w:pPr>
        <w:spacing w:line="480" w:lineRule="auto"/>
        <w:ind w:firstLine="720"/>
        <w:jc w:val="both"/>
        <w:rPr>
          <w:color w:val="auto"/>
        </w:rPr>
      </w:pPr>
      <w:r w:rsidRPr="0053182F">
        <w:rPr>
          <w:color w:val="auto"/>
        </w:rPr>
        <w:t>By integrating both deductive and inductive coding strategies, the analysis examined corporate disclosures through a theoretically robust lens while remaining attentive to nuanced organisational behaviours and silences that may signal symbolic compliance or strategic concealment. This hybrid approach thus enhanced the depth and interpretive validity of the meso-level analysis, providing a richer basis for triangulation with worker testimonies and macro-level institutional findings.</w:t>
      </w:r>
    </w:p>
    <w:p w14:paraId="7A93531A" w14:textId="77777777" w:rsidR="00156A23" w:rsidRPr="0053182F" w:rsidRDefault="00156A23" w:rsidP="00156A23">
      <w:pPr>
        <w:pStyle w:val="Heading1"/>
        <w:rPr>
          <w:rFonts w:cs="Times New Roman"/>
        </w:rPr>
      </w:pPr>
      <w:bookmarkStart w:id="406" w:name="_Toc216557301"/>
      <w:bookmarkStart w:id="407" w:name="_Toc218357191"/>
      <w:r w:rsidRPr="0053182F">
        <w:rPr>
          <w:rFonts w:cs="Times New Roman"/>
        </w:rPr>
        <w:t>Part 4: Micro-Level Qualitative Analysis</w:t>
      </w:r>
      <w:bookmarkEnd w:id="406"/>
      <w:bookmarkEnd w:id="407"/>
    </w:p>
    <w:p w14:paraId="00E81532" w14:textId="77777777" w:rsidR="00156A23" w:rsidRPr="0053182F" w:rsidRDefault="00156A23" w:rsidP="00156A23">
      <w:pPr>
        <w:pStyle w:val="Heading2"/>
        <w:rPr>
          <w:color w:val="0F4761" w:themeColor="accent1" w:themeShade="BF"/>
        </w:rPr>
      </w:pPr>
      <w:bookmarkStart w:id="408" w:name="_Toc216557302"/>
      <w:bookmarkStart w:id="409" w:name="_Toc218357192"/>
      <w:r w:rsidRPr="0053182F">
        <w:t>7.18 Micro-Level Research Setting and Rationale</w:t>
      </w:r>
      <w:bookmarkEnd w:id="408"/>
      <w:bookmarkEnd w:id="409"/>
    </w:p>
    <w:p w14:paraId="6281BF4E" w14:textId="77777777" w:rsidR="00156A23" w:rsidRPr="0053182F" w:rsidRDefault="00156A23" w:rsidP="00156A23">
      <w:pPr>
        <w:pStyle w:val="Heading3"/>
      </w:pPr>
      <w:bookmarkStart w:id="410" w:name="_Toc216557303"/>
      <w:bookmarkStart w:id="411" w:name="_Toc218357193"/>
      <w:r w:rsidRPr="0053182F">
        <w:t>7.18.1 Why Sri Lanka’s Apparel and Textile Industry?</w:t>
      </w:r>
      <w:bookmarkEnd w:id="410"/>
      <w:bookmarkEnd w:id="411"/>
    </w:p>
    <w:p w14:paraId="2695109E" w14:textId="77777777" w:rsidR="00156A23" w:rsidRPr="0053182F" w:rsidRDefault="00156A23" w:rsidP="00156A23"/>
    <w:p w14:paraId="3FAB5750" w14:textId="77777777" w:rsidR="00156A23" w:rsidRPr="0053182F" w:rsidRDefault="00156A23" w:rsidP="00156A23">
      <w:pPr>
        <w:spacing w:line="480" w:lineRule="auto"/>
        <w:ind w:firstLine="720"/>
        <w:jc w:val="both"/>
        <w:rPr>
          <w:color w:val="auto"/>
        </w:rPr>
      </w:pPr>
      <w:r w:rsidRPr="0053182F">
        <w:rPr>
          <w:color w:val="auto"/>
        </w:rPr>
        <w:t xml:space="preserve">Sri Lanka’s A&amp;TI was selected as the micro-level research context due to its strategic significance within global supply chains and its unique institutional characteristics that make it highly relevant for studying CMS </w:t>
      </w:r>
      <w:sdt>
        <w:sdtPr>
          <w:tag w:val="MENDELEY_CITATION_v3_eyJjaXRhdGlvbklEIjoiTUVOREVMRVlfQ0lUQVRJT05fNDY0YzhiMjMtMTNmOC00OTAwLWFkZTItNTkwMWMyM2RiOWVj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469570423"/>
          <w:placeholder>
            <w:docPart w:val="944EE29C6B334162B786D58D9FBA4C77"/>
          </w:placeholder>
        </w:sdtPr>
        <w:sdtContent>
          <w:r w:rsidRPr="0053182F">
            <w:rPr>
              <w:rFonts w:eastAsia="Times New Roman"/>
            </w:rPr>
            <w:t xml:space="preserve">(Muthuthantrige </w:t>
          </w:r>
          <w:r w:rsidRPr="0053182F">
            <w:rPr>
              <w:rFonts w:eastAsia="Times New Roman"/>
              <w:i/>
              <w:iCs/>
            </w:rPr>
            <w:t>et al.</w:t>
          </w:r>
          <w:r w:rsidRPr="0053182F">
            <w:rPr>
              <w:rFonts w:eastAsia="Times New Roman"/>
            </w:rPr>
            <w:t>, 2026)</w:t>
          </w:r>
        </w:sdtContent>
      </w:sdt>
      <w:r w:rsidRPr="0053182F">
        <w:rPr>
          <w:color w:val="auto"/>
        </w:rPr>
        <w:t xml:space="preserve">. As one of the country’s largest export sectors, the A&amp;TI plays a central role in national economic development while simultaneously exhibiting structural vulnerabilities that heighten workers’ exposure to exploitation. The sector is dominated by a large female workforce, many of whom migrate from rural areas and face heightened socio-economic precarity—conditions consistently identified as risk factors for forced labour, coercion, and abuse </w:t>
      </w:r>
      <w:sdt>
        <w:sdtPr>
          <w:tag w:val="MENDELEY_CITATION_v3_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"/>
          <w:id w:val="-1173180952"/>
          <w:placeholder>
            <w:docPart w:val="944EE29C6B334162B786D58D9FBA4C77"/>
          </w:placeholder>
        </w:sdtPr>
        <w:sdtContent>
          <w:r w:rsidRPr="0053182F">
            <w:t>(EDB, 2024; International Trade Union Confederation (ITUC), 2010)</w:t>
          </w:r>
        </w:sdtContent>
      </w:sdt>
      <w:r w:rsidRPr="0053182F">
        <w:rPr>
          <w:color w:val="auto"/>
        </w:rPr>
        <w:t>.</w:t>
      </w:r>
    </w:p>
    <w:p w14:paraId="2B4170B4" w14:textId="77777777" w:rsidR="00156A23" w:rsidRPr="0053182F" w:rsidRDefault="00156A23" w:rsidP="00156A23">
      <w:pPr>
        <w:spacing w:line="480" w:lineRule="auto"/>
        <w:ind w:firstLine="720"/>
        <w:jc w:val="both"/>
        <w:rPr>
          <w:color w:val="auto"/>
        </w:rPr>
      </w:pPr>
      <w:r w:rsidRPr="0053182F">
        <w:t xml:space="preserve">Table 7.9 explains the rationale for selecting Sri Lanka’s A&amp;TI as the study context. </w:t>
      </w:r>
      <w:r w:rsidRPr="0053182F">
        <w:rPr>
          <w:color w:val="auto"/>
        </w:rPr>
        <w:t>Sri Lanka’s long-standing reputation for “ethical manufacturing” and its global branding campaign, Garments Without Guilt, create a compelling setting for interrogating the gaps between corporate rhetoric and factory-level realities. These public narratives of compliance contrast sharply with findings from NGOs, labour rights organisations, and international indices (e.g., Walk Free, 2023), which reveal persistent labour violations and governance failures. This tension aligns with the study’s aim to examine institutional decoupling and symbolic compliance.</w:t>
      </w:r>
    </w:p>
    <w:p w14:paraId="088D7EAA" w14:textId="77777777" w:rsidR="00156A23" w:rsidRPr="0053182F" w:rsidRDefault="00156A23" w:rsidP="00156A23">
      <w:pPr>
        <w:spacing w:line="480" w:lineRule="auto"/>
        <w:ind w:firstLine="720"/>
        <w:jc w:val="both"/>
        <w:rPr>
          <w:color w:val="auto"/>
        </w:rPr>
      </w:pPr>
      <w:r w:rsidRPr="0053182F">
        <w:rPr>
          <w:color w:val="auto"/>
        </w:rPr>
        <w:t>Moreover, Sri Lanka remains a major sourcing hub for leading multinational apparel brands—including Nike, Inditex, and Dior—making it an analytically rich context for linking meso-level corporate disclosures with micro-level labour experiences. Recent economic and political crises have further intensified worker vulnerability, weakened regulatory enforcement, and increased dependency on foreign buyers, amplifying conditions under which CMS practices may flourish. Together, these factors make Sri Lanka’s A&amp;TI an ideal empirical setting for exploring how global governance pressures, corporate sustainability commitments, and local labour dynamics interact to shape MS risks.</w:t>
      </w:r>
    </w:p>
    <w:tbl>
      <w:tblPr>
        <w:tblpPr w:leftFromText="180" w:rightFromText="180" w:vertAnchor="text" w:horzAnchor="margin" w:tblpY="379"/>
        <w:tblW w:w="0" w:type="auto"/>
        <w:tblCellSpacing w:w="15" w:type="dxa"/>
        <w:tblBorders>
          <w:bottom w:val="single" w:sz="4" w:space="0" w:color="auto"/>
        </w:tblBorders>
        <w:tblLook w:val="04A0" w:firstRow="1" w:lastRow="0" w:firstColumn="1" w:lastColumn="0" w:noHBand="0" w:noVBand="1"/>
      </w:tblPr>
      <w:tblGrid>
        <w:gridCol w:w="2127"/>
        <w:gridCol w:w="6899"/>
      </w:tblGrid>
      <w:tr w:rsidR="00156A23" w:rsidRPr="0053182F" w14:paraId="33E8C763" w14:textId="77777777" w:rsidTr="00D20468">
        <w:trPr>
          <w:tblHeader/>
          <w:tblCellSpacing w:w="15" w:type="dxa"/>
        </w:trPr>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3740E7FF" w14:textId="77777777" w:rsidR="00156A23" w:rsidRPr="0053182F" w:rsidRDefault="00156A23"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Reason</w:t>
            </w:r>
          </w:p>
        </w:tc>
        <w:tc>
          <w:tcPr>
            <w:tcW w:w="0" w:type="auto"/>
            <w:tcBorders>
              <w:top w:val="single" w:sz="4" w:space="0" w:color="auto"/>
              <w:left w:val="nil"/>
              <w:bottom w:val="single" w:sz="4" w:space="0" w:color="auto"/>
              <w:right w:val="nil"/>
            </w:tcBorders>
            <w:tcMar>
              <w:top w:w="15" w:type="dxa"/>
              <w:left w:w="15" w:type="dxa"/>
              <w:bottom w:w="15" w:type="dxa"/>
              <w:right w:w="15" w:type="dxa"/>
            </w:tcMar>
            <w:vAlign w:val="center"/>
            <w:hideMark/>
          </w:tcPr>
          <w:p w14:paraId="5010E9DE" w14:textId="77777777" w:rsidR="00156A23" w:rsidRPr="0053182F" w:rsidRDefault="00156A23"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Explanation</w:t>
            </w:r>
          </w:p>
        </w:tc>
      </w:tr>
      <w:tr w:rsidR="00156A23" w:rsidRPr="0053182F" w14:paraId="59F9FF96"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0435DD5C"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High Export Dependency</w:t>
            </w:r>
          </w:p>
        </w:tc>
        <w:tc>
          <w:tcPr>
            <w:tcW w:w="0" w:type="auto"/>
            <w:tcBorders>
              <w:top w:val="nil"/>
              <w:left w:val="nil"/>
              <w:bottom w:val="nil"/>
              <w:right w:val="nil"/>
            </w:tcBorders>
            <w:tcMar>
              <w:top w:w="15" w:type="dxa"/>
              <w:left w:w="15" w:type="dxa"/>
              <w:bottom w:w="15" w:type="dxa"/>
              <w:right w:w="15" w:type="dxa"/>
            </w:tcMar>
            <w:vAlign w:val="center"/>
            <w:hideMark/>
          </w:tcPr>
          <w:p w14:paraId="2179D556"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The A&amp;TI contributes over 50% of Sri Lanka’s total export earnings, making the sector highly exposed to global buyer demands and international labour governance pressures.</w:t>
            </w:r>
          </w:p>
        </w:tc>
      </w:tr>
      <w:tr w:rsidR="00156A23" w:rsidRPr="0053182F" w14:paraId="088BB77D"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66CEF1EF"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Large Female-Dominated Workforce</w:t>
            </w:r>
          </w:p>
        </w:tc>
        <w:tc>
          <w:tcPr>
            <w:tcW w:w="0" w:type="auto"/>
            <w:tcBorders>
              <w:top w:val="nil"/>
              <w:left w:val="nil"/>
              <w:bottom w:val="nil"/>
              <w:right w:val="nil"/>
            </w:tcBorders>
            <w:tcMar>
              <w:top w:w="15" w:type="dxa"/>
              <w:left w:w="15" w:type="dxa"/>
              <w:bottom w:w="15" w:type="dxa"/>
              <w:right w:w="15" w:type="dxa"/>
            </w:tcMar>
            <w:vAlign w:val="center"/>
            <w:hideMark/>
          </w:tcPr>
          <w:p w14:paraId="2C2452DD"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Approximately 78% of workers in the sector are women—many from rural, low-income backgrounds—heightening vulnerability to exploitation, harassment, and coercive labour practices.</w:t>
            </w:r>
          </w:p>
        </w:tc>
      </w:tr>
      <w:tr w:rsidR="00156A23" w:rsidRPr="0053182F" w14:paraId="5C9C8981"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730AE9A9"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Ethical Branding Narrative</w:t>
            </w:r>
          </w:p>
        </w:tc>
        <w:tc>
          <w:tcPr>
            <w:tcW w:w="0" w:type="auto"/>
            <w:tcBorders>
              <w:top w:val="nil"/>
              <w:left w:val="nil"/>
              <w:bottom w:val="nil"/>
              <w:right w:val="nil"/>
            </w:tcBorders>
            <w:tcMar>
              <w:top w:w="15" w:type="dxa"/>
              <w:left w:w="15" w:type="dxa"/>
              <w:bottom w:w="15" w:type="dxa"/>
              <w:right w:w="15" w:type="dxa"/>
            </w:tcMar>
            <w:vAlign w:val="center"/>
            <w:hideMark/>
          </w:tcPr>
          <w:p w14:paraId="04B2DB87"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Sri Lanka promotes itself globally through the “Garments Without Guilt” campaign, creating strong legitimacy expectations that contrast with reported labour realities, making it ideal for examining symbolic compliance and decoupling.</w:t>
            </w:r>
          </w:p>
        </w:tc>
      </w:tr>
      <w:tr w:rsidR="00156A23" w:rsidRPr="0053182F" w14:paraId="279CB7B8"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7C54144B"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Economic Crisis and Increased Vulnerability</w:t>
            </w:r>
          </w:p>
        </w:tc>
        <w:tc>
          <w:tcPr>
            <w:tcW w:w="0" w:type="auto"/>
            <w:tcBorders>
              <w:top w:val="nil"/>
              <w:left w:val="nil"/>
              <w:bottom w:val="nil"/>
              <w:right w:val="nil"/>
            </w:tcBorders>
            <w:tcMar>
              <w:top w:w="15" w:type="dxa"/>
              <w:left w:w="15" w:type="dxa"/>
              <w:bottom w:w="15" w:type="dxa"/>
              <w:right w:w="15" w:type="dxa"/>
            </w:tcMar>
            <w:vAlign w:val="center"/>
            <w:hideMark/>
          </w:tcPr>
          <w:p w14:paraId="409B79CE"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Recent political and economic instability has intensified worker precarity, increased household debt, and weakened bargaining power, amplifying MS risks.</w:t>
            </w:r>
          </w:p>
        </w:tc>
      </w:tr>
      <w:tr w:rsidR="00156A23" w:rsidRPr="0053182F" w14:paraId="7F74C325"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240C631"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Presence of Major MNC Buyers</w:t>
            </w:r>
          </w:p>
        </w:tc>
        <w:tc>
          <w:tcPr>
            <w:tcW w:w="0" w:type="auto"/>
            <w:tcBorders>
              <w:top w:val="nil"/>
              <w:left w:val="nil"/>
              <w:bottom w:val="nil"/>
              <w:right w:val="nil"/>
            </w:tcBorders>
            <w:tcMar>
              <w:top w:w="15" w:type="dxa"/>
              <w:left w:w="15" w:type="dxa"/>
              <w:bottom w:w="15" w:type="dxa"/>
              <w:right w:w="15" w:type="dxa"/>
            </w:tcMar>
            <w:vAlign w:val="center"/>
            <w:hideMark/>
          </w:tcPr>
          <w:p w14:paraId="4A00100E"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The country hosts supplier factories producing for Nike, Inditex (Zara), H&amp;M, Victoria’s Secret, GAP, and other global brands, offering a relevant context for exploring how corporate commitments translate into local practices.</w:t>
            </w:r>
          </w:p>
        </w:tc>
      </w:tr>
      <w:tr w:rsidR="00156A23" w:rsidRPr="0053182F" w14:paraId="5AFD02B5"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3D6F6F62"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Weak Labour Governance and Enforcement</w:t>
            </w:r>
          </w:p>
        </w:tc>
        <w:tc>
          <w:tcPr>
            <w:tcW w:w="0" w:type="auto"/>
            <w:tcBorders>
              <w:top w:val="nil"/>
              <w:left w:val="nil"/>
              <w:bottom w:val="nil"/>
              <w:right w:val="nil"/>
            </w:tcBorders>
            <w:tcMar>
              <w:top w:w="15" w:type="dxa"/>
              <w:left w:w="15" w:type="dxa"/>
              <w:bottom w:w="15" w:type="dxa"/>
              <w:right w:w="15" w:type="dxa"/>
            </w:tcMar>
            <w:vAlign w:val="center"/>
            <w:hideMark/>
          </w:tcPr>
          <w:p w14:paraId="7710CFB3"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Despite ratifying core ILO conventions, Sri Lanka faces challenges such as limited labour inspections, weak enforcement mechanisms, and fragmented regulatory oversight.</w:t>
            </w:r>
          </w:p>
        </w:tc>
      </w:tr>
      <w:tr w:rsidR="00156A23" w:rsidRPr="0053182F" w14:paraId="159AB93A"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375DBD2F"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Complex, Multi-Tiered Supply Chains</w:t>
            </w:r>
          </w:p>
        </w:tc>
        <w:tc>
          <w:tcPr>
            <w:tcW w:w="0" w:type="auto"/>
            <w:tcBorders>
              <w:top w:val="nil"/>
              <w:left w:val="nil"/>
              <w:bottom w:val="nil"/>
              <w:right w:val="nil"/>
            </w:tcBorders>
            <w:tcMar>
              <w:top w:w="15" w:type="dxa"/>
              <w:left w:w="15" w:type="dxa"/>
              <w:bottom w:w="15" w:type="dxa"/>
              <w:right w:w="15" w:type="dxa"/>
            </w:tcMar>
            <w:vAlign w:val="center"/>
            <w:hideMark/>
          </w:tcPr>
          <w:p w14:paraId="222F8F57"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Prevalence of subcontracting, outsourcing, and informal labour arrangements increases opacity, creating conditions that enable concealed MS practices.</w:t>
            </w:r>
          </w:p>
        </w:tc>
      </w:tr>
      <w:tr w:rsidR="00156A23" w:rsidRPr="0053182F" w14:paraId="4B704CD3"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6BC09785"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Strategic South Asian Location</w:t>
            </w:r>
          </w:p>
        </w:tc>
        <w:tc>
          <w:tcPr>
            <w:tcW w:w="0" w:type="auto"/>
            <w:tcBorders>
              <w:top w:val="nil"/>
              <w:left w:val="nil"/>
              <w:bottom w:val="nil"/>
              <w:right w:val="nil"/>
            </w:tcBorders>
            <w:tcMar>
              <w:top w:w="15" w:type="dxa"/>
              <w:left w:w="15" w:type="dxa"/>
              <w:bottom w:w="15" w:type="dxa"/>
              <w:right w:w="15" w:type="dxa"/>
            </w:tcMar>
            <w:vAlign w:val="center"/>
            <w:hideMark/>
          </w:tcPr>
          <w:p w14:paraId="5681C506"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The country’s position within global production networks makes it a significant sourcing hub for Western markets, where institutional pressures for compliance and disclosure are high.</w:t>
            </w:r>
          </w:p>
        </w:tc>
      </w:tr>
      <w:tr w:rsidR="00156A23" w:rsidRPr="0053182F" w14:paraId="59182D57"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2E4005BB"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Historical Significance in the Global Apparel Sector</w:t>
            </w:r>
          </w:p>
        </w:tc>
        <w:tc>
          <w:tcPr>
            <w:tcW w:w="0" w:type="auto"/>
            <w:tcBorders>
              <w:top w:val="nil"/>
              <w:left w:val="nil"/>
              <w:bottom w:val="nil"/>
              <w:right w:val="nil"/>
            </w:tcBorders>
            <w:tcMar>
              <w:top w:w="15" w:type="dxa"/>
              <w:left w:w="15" w:type="dxa"/>
              <w:bottom w:w="15" w:type="dxa"/>
              <w:right w:w="15" w:type="dxa"/>
            </w:tcMar>
            <w:vAlign w:val="center"/>
            <w:hideMark/>
          </w:tcPr>
          <w:p w14:paraId="6928B0EC"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With over four decades of integration into global supply chains, Sri Lanka provides a mature case for examining the evolution of labour governance, CSR practices, and institutional responses.</w:t>
            </w:r>
          </w:p>
        </w:tc>
      </w:tr>
      <w:tr w:rsidR="00156A23" w:rsidRPr="0053182F" w14:paraId="72ADF915"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0F905A1F" w14:textId="77777777" w:rsidR="00156A23" w:rsidRPr="0053182F" w:rsidRDefault="00156A23" w:rsidP="00D20468">
            <w:pPr>
              <w:spacing w:after="0" w:line="240" w:lineRule="auto"/>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Worker Access and Contextual Richness</w:t>
            </w:r>
          </w:p>
        </w:tc>
        <w:tc>
          <w:tcPr>
            <w:tcW w:w="0" w:type="auto"/>
            <w:tcBorders>
              <w:top w:val="nil"/>
              <w:left w:val="nil"/>
              <w:bottom w:val="nil"/>
              <w:right w:val="nil"/>
            </w:tcBorders>
            <w:tcMar>
              <w:top w:w="15" w:type="dxa"/>
              <w:left w:w="15" w:type="dxa"/>
              <w:bottom w:w="15" w:type="dxa"/>
              <w:right w:w="15" w:type="dxa"/>
            </w:tcMar>
            <w:vAlign w:val="center"/>
            <w:hideMark/>
          </w:tcPr>
          <w:p w14:paraId="2FDDFFE0" w14:textId="77777777" w:rsidR="00156A23" w:rsidRPr="0053182F" w:rsidRDefault="00156A23" w:rsidP="00D20468">
            <w:pPr>
              <w:spacing w:after="0" w:line="240" w:lineRule="auto"/>
              <w:jc w:val="both"/>
              <w:rPr>
                <w:rFonts w:eastAsia="Times New Roman"/>
                <w:color w:val="auto"/>
                <w:kern w:val="0"/>
                <w:sz w:val="20"/>
                <w:szCs w:val="20"/>
                <w:lang w:eastAsia="en-GB"/>
                <w14:ligatures w14:val="none"/>
              </w:rPr>
            </w:pPr>
            <w:r w:rsidRPr="0053182F">
              <w:rPr>
                <w:rFonts w:eastAsia="Times New Roman"/>
                <w:color w:val="auto"/>
                <w:kern w:val="0"/>
                <w:sz w:val="20"/>
                <w:szCs w:val="20"/>
                <w:lang w:eastAsia="en-GB"/>
                <w14:ligatures w14:val="none"/>
              </w:rPr>
              <w:t>Strong NGO presence, active labour rights groups, and worker communities allowed for meaningful engagement, enhancing the depth and authenticity of qualitative insights.</w:t>
            </w:r>
          </w:p>
        </w:tc>
      </w:tr>
    </w:tbl>
    <w:p w14:paraId="17398A20" w14:textId="77777777" w:rsidR="00156A23" w:rsidRPr="0053182F" w:rsidRDefault="00156A23" w:rsidP="00156A23">
      <w:pPr>
        <w:spacing w:line="480" w:lineRule="auto"/>
        <w:ind w:firstLine="720"/>
        <w:jc w:val="both"/>
        <w:rPr>
          <w:color w:val="auto"/>
        </w:rPr>
      </w:pPr>
      <w:r w:rsidRPr="0053182F">
        <w:rPr>
          <w:b/>
          <w:bCs/>
        </w:rPr>
        <w:t>Table 7.9</w:t>
      </w:r>
      <w:r w:rsidRPr="0053182F">
        <w:t>: Rationale for Selecting Sri Lanka’s A&amp;TI as the Study Context</w:t>
      </w:r>
    </w:p>
    <w:p w14:paraId="1574ABE5" w14:textId="77777777" w:rsidR="00156A23" w:rsidRPr="0053182F" w:rsidRDefault="00156A23" w:rsidP="00156A23">
      <w:pPr>
        <w:spacing w:line="480" w:lineRule="auto"/>
        <w:ind w:firstLine="720"/>
        <w:jc w:val="both"/>
        <w:rPr>
          <w:b/>
          <w:bCs/>
          <w:color w:val="auto"/>
        </w:rPr>
      </w:pPr>
      <w:r w:rsidRPr="0053182F">
        <w:rPr>
          <w:b/>
          <w:bCs/>
          <w:color w:val="auto"/>
        </w:rPr>
        <w:t xml:space="preserve">Source: </w:t>
      </w:r>
      <w:sdt>
        <w:sdtPr>
          <w:rPr>
            <w:bCs/>
          </w:rPr>
          <w:tag w:val="MENDELEY_CITATION_v3_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"/>
          <w:id w:val="-579977991"/>
          <w:placeholder>
            <w:docPart w:val="944EE29C6B334162B786D58D9FBA4C77"/>
          </w:placeholder>
        </w:sdtPr>
        <w:sdtContent>
          <w:r w:rsidRPr="0053182F">
            <w:rPr>
              <w:bCs/>
            </w:rPr>
            <w:t>Export Development Board (EDB) (2025)</w:t>
          </w:r>
        </w:sdtContent>
      </w:sdt>
    </w:p>
    <w:p w14:paraId="37F3217F" w14:textId="77777777" w:rsidR="00156A23" w:rsidRPr="0053182F" w:rsidRDefault="00156A23" w:rsidP="00156A23">
      <w:pPr>
        <w:pStyle w:val="Heading3"/>
        <w:rPr>
          <w:b w:val="0"/>
        </w:rPr>
      </w:pPr>
      <w:bookmarkStart w:id="412" w:name="_Toc216557304"/>
      <w:bookmarkStart w:id="413" w:name="_Toc218357194"/>
      <w:r w:rsidRPr="0053182F">
        <w:t>7.18.2 Sampling and Data Collection (Interviews and Fieldwork)</w:t>
      </w:r>
      <w:bookmarkEnd w:id="412"/>
      <w:bookmarkEnd w:id="413"/>
    </w:p>
    <w:p w14:paraId="0558CC8C" w14:textId="77777777" w:rsidR="00156A23" w:rsidRPr="0053182F" w:rsidRDefault="00156A23" w:rsidP="00156A23">
      <w:pPr>
        <w:pStyle w:val="Heading4"/>
        <w:rPr>
          <w:rFonts w:cs="Times New Roman"/>
        </w:rPr>
      </w:pPr>
      <w:r w:rsidRPr="0053182F">
        <w:rPr>
          <w:rFonts w:cs="Times New Roman"/>
        </w:rPr>
        <w:t>7.18.2.1 Sampling Strategy</w:t>
      </w:r>
    </w:p>
    <w:p w14:paraId="3AABCE4F" w14:textId="77777777" w:rsidR="00156A23" w:rsidRPr="0053182F" w:rsidRDefault="00156A23" w:rsidP="00156A23">
      <w:pPr>
        <w:spacing w:line="480" w:lineRule="auto"/>
        <w:ind w:firstLine="720"/>
        <w:jc w:val="both"/>
        <w:rPr>
          <w:color w:val="auto"/>
        </w:rPr>
      </w:pPr>
      <w:r w:rsidRPr="0053182F">
        <w:rPr>
          <w:color w:val="auto"/>
        </w:rPr>
        <w:t>A combined purposive and snowball sampling strategy was adopted to ensure access to a diverse range of participants and to capture the multilayered nature of CMS within Sri Lanka’s A&amp;TI. Purposive sampling enabled the recruitment of individuals with direct experience or knowledge of labour practices, including workers, supervisors, factory managers, and labour rights advocates. Snowball sampling was essential for reaching hidden or vulnerable populations—such as subcontracted workers, temporary employees, LGBTQ workers, and victims of harassment or coercive practices—who are often absent from formal datasets and who typically avoid direct engagement due to fear of retaliation or social stigma.</w:t>
      </w:r>
    </w:p>
    <w:p w14:paraId="6C16700F" w14:textId="77777777" w:rsidR="00156A23" w:rsidRPr="0053182F" w:rsidRDefault="00156A23" w:rsidP="00156A23">
      <w:pPr>
        <w:spacing w:line="480" w:lineRule="auto"/>
        <w:ind w:firstLine="720"/>
        <w:jc w:val="both"/>
        <w:rPr>
          <w:color w:val="auto"/>
        </w:rPr>
      </w:pPr>
      <w:r w:rsidRPr="0053182F">
        <w:rPr>
          <w:color w:val="auto"/>
        </w:rPr>
        <w:t>This multi-stakeholder approach reflects best practice in MS research, ensuring analytical depth and enabling triangulation across organisational levels. The inclusion of diverse participant categories strengthens the study's internal validity by ensuring that findings are not limited to managerial narratives but reflect a holistic, grounded understanding of CMS dynamics. The sampling strategy, therefore, supports both the study's explanatory aims and the broader NIT's focus on how pressures and contradictions manifest across institutional hierarchies.</w:t>
      </w:r>
    </w:p>
    <w:p w14:paraId="33D5D49A" w14:textId="77777777" w:rsidR="00156A23" w:rsidRPr="0053182F" w:rsidRDefault="00156A23" w:rsidP="00156A23">
      <w:pPr>
        <w:pStyle w:val="Heading4"/>
        <w:rPr>
          <w:rFonts w:cs="Times New Roman"/>
        </w:rPr>
      </w:pPr>
      <w:r w:rsidRPr="0053182F">
        <w:rPr>
          <w:rFonts w:cs="Times New Roman"/>
        </w:rPr>
        <w:t>7.18.2.2 Participant Categories</w:t>
      </w:r>
    </w:p>
    <w:p w14:paraId="2D49FA2E" w14:textId="77777777" w:rsidR="00156A23" w:rsidRPr="0053182F" w:rsidRDefault="00156A23" w:rsidP="00156A23"/>
    <w:p w14:paraId="0A0F6F36" w14:textId="77777777" w:rsidR="00156A23" w:rsidRPr="0053182F" w:rsidRDefault="00156A23" w:rsidP="00156A23">
      <w:pPr>
        <w:spacing w:line="480" w:lineRule="auto"/>
        <w:ind w:firstLine="720"/>
        <w:jc w:val="both"/>
        <w:rPr>
          <w:color w:val="auto"/>
        </w:rPr>
      </w:pPr>
      <w:r w:rsidRPr="0053182F">
        <w:rPr>
          <w:color w:val="auto"/>
        </w:rPr>
        <w:t>Participants were drawn from a broad cross-section of the A&amp;TI supply chain and institutional environment to ensure comprehensive representation of experiences and perspectives. Worker participants included female, male, pregnant, migrant, and LGBTQ-identifying workers, capturing heterogeneity in vulnerabilities and workplace experiences. In addition, supervisors, production managers, and HR personnel were interviewed to understand managerial logics, enforcement practices, and organisational responses to global buyer requirements.</w:t>
      </w:r>
    </w:p>
    <w:p w14:paraId="0D2A1C73" w14:textId="77777777" w:rsidR="00156A23" w:rsidRPr="0053182F" w:rsidRDefault="00156A23" w:rsidP="00156A23">
      <w:pPr>
        <w:spacing w:line="480" w:lineRule="auto"/>
        <w:ind w:firstLine="720"/>
        <w:jc w:val="both"/>
        <w:rPr>
          <w:color w:val="auto"/>
        </w:rPr>
      </w:pPr>
      <w:r w:rsidRPr="0053182F">
        <w:rPr>
          <w:color w:val="auto"/>
        </w:rPr>
        <w:t>Individuals from trade unions, labour rights NGOs, ex-workers, and sector-specific academics were also included to provide external and historical perspectives on labour governance, constraints on collective bargaining, and systemic drivers of CMS. This multi-stakeholder composition allows the study to triangulate accounts across power hierarchies and institutional boundaries, ensuring that the resulting analysis captures both formal governance narratives and lived labour realities.</w:t>
      </w:r>
    </w:p>
    <w:p w14:paraId="2392133D" w14:textId="77777777" w:rsidR="00156A23" w:rsidRPr="0053182F" w:rsidRDefault="00156A23" w:rsidP="00156A23">
      <w:pPr>
        <w:pStyle w:val="Heading4"/>
        <w:spacing w:line="480" w:lineRule="auto"/>
        <w:rPr>
          <w:rFonts w:cs="Times New Roman"/>
        </w:rPr>
      </w:pPr>
      <w:r w:rsidRPr="0053182F">
        <w:rPr>
          <w:rFonts w:cs="Times New Roman"/>
        </w:rPr>
        <w:t xml:space="preserve">7.18.2.3 Data Collection Methods- Interview </w:t>
      </w:r>
    </w:p>
    <w:p w14:paraId="35F8CC20" w14:textId="77777777" w:rsidR="00156A23" w:rsidRPr="0053182F" w:rsidRDefault="00156A23" w:rsidP="00156A23">
      <w:pPr>
        <w:spacing w:line="480" w:lineRule="auto"/>
        <w:ind w:firstLine="720"/>
        <w:jc w:val="both"/>
        <w:rPr>
          <w:color w:val="auto"/>
        </w:rPr>
      </w:pPr>
      <w:r w:rsidRPr="0053182F">
        <w:rPr>
          <w:color w:val="auto"/>
        </w:rPr>
        <w:t>Data were collected primarily through semi-structured interviews, enabling participants to discuss sensitive topics—such as harassment, forced overtime, wage manipulation, and mobility restrictions—in a flexible yet guided manner. Interviews were conducted in Sinhala or English, depending on the participant's preference, and ranged from 30 to 90 minutes. Fieldnotes were also collected during site visits, boarding-house observations, and informal interactions, providing important contextual insights into workplace conditions, worker living arrangements, and local socio-cultural dynamics.</w:t>
      </w:r>
    </w:p>
    <w:p w14:paraId="24BBAD9C" w14:textId="77777777" w:rsidR="00156A23" w:rsidRPr="0053182F" w:rsidRDefault="00156A23" w:rsidP="00156A23">
      <w:pPr>
        <w:spacing w:line="480" w:lineRule="auto"/>
        <w:ind w:firstLine="720"/>
        <w:jc w:val="both"/>
        <w:rPr>
          <w:color w:val="auto"/>
        </w:rPr>
      </w:pPr>
      <w:r w:rsidRPr="0053182F">
        <w:rPr>
          <w:color w:val="auto"/>
        </w:rPr>
        <w:t xml:space="preserve">While most interviews were audio-recorded, non-recording was employed in cases involving heightened ethical and cultural sensitivities, particularly with female and LGBTQ workers who expressed fear of employer reprisal, social judgment, or personal risk. In such cases, detailed anonymised notes were taken immediately during and after the interview to preserve accuracy. This flexible recording protocol aligns with ethical guidelines for research involving vulnerable populations and ensures that participant safety and comfort remain prioritised throughout the data collection process </w:t>
      </w:r>
      <w:sdt>
        <w:sdtPr>
          <w:tag w:val="MENDELEY_CITATION_v3_eyJjaXRhdGlvbklEIjoiTUVOREVMRVlfQ0lUQVRJT05fMTQzZTU4MDItMmQ5Ni00NzFlLTkwODctNDkyM2I2ZjQwNWRi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267500941"/>
          <w:placeholder>
            <w:docPart w:val="944EE29C6B334162B786D58D9FBA4C77"/>
          </w:placeholder>
        </w:sdtPr>
        <w:sdtContent>
          <w:r w:rsidRPr="0053182F">
            <w:rPr>
              <w:rFonts w:eastAsia="Times New Roman"/>
            </w:rPr>
            <w:t xml:space="preserve">(Muthuthantrige </w:t>
          </w:r>
          <w:r w:rsidRPr="0053182F">
            <w:rPr>
              <w:rFonts w:eastAsia="Times New Roman"/>
              <w:i/>
              <w:iCs/>
            </w:rPr>
            <w:t>et al.</w:t>
          </w:r>
          <w:r w:rsidRPr="0053182F">
            <w:rPr>
              <w:rFonts w:eastAsia="Times New Roman"/>
            </w:rPr>
            <w:t>, 2026)</w:t>
          </w:r>
        </w:sdtContent>
      </w:sdt>
      <w:r w:rsidRPr="0053182F">
        <w:rPr>
          <w:color w:val="auto"/>
        </w:rPr>
        <w:t>. Together, these methods provided a rich, triangulated dataset that supports a nuanced interpretation of CMS practices and institutional dynamics within Sri Lanka’s A&amp;TI.</w:t>
      </w:r>
    </w:p>
    <w:p w14:paraId="4F00062C" w14:textId="77777777" w:rsidR="00156A23" w:rsidRPr="0053182F" w:rsidRDefault="00156A23" w:rsidP="00156A23">
      <w:pPr>
        <w:pStyle w:val="Heading2"/>
      </w:pPr>
      <w:bookmarkStart w:id="414" w:name="_Toc216557305"/>
      <w:bookmarkStart w:id="415" w:name="_Toc218357195"/>
      <w:r w:rsidRPr="0053182F">
        <w:t>7.19 Data Analysis Procedures (Micro-Level Interviews)</w:t>
      </w:r>
      <w:bookmarkEnd w:id="414"/>
      <w:bookmarkEnd w:id="415"/>
    </w:p>
    <w:p w14:paraId="4EF9B148" w14:textId="77777777" w:rsidR="00156A23" w:rsidRPr="0053182F" w:rsidRDefault="00156A23" w:rsidP="00156A23">
      <w:pPr>
        <w:spacing w:line="480" w:lineRule="auto"/>
        <w:jc w:val="both"/>
        <w:rPr>
          <w:color w:val="auto"/>
        </w:rPr>
      </w:pPr>
      <w:r w:rsidRPr="0053182F">
        <w:rPr>
          <w:color w:val="auto"/>
        </w:rPr>
        <w:t xml:space="preserve">Similar to the </w:t>
      </w:r>
      <w:sdt>
        <w:sdtPr>
          <w:tag w:val="MENDELEY_CITATION_v3_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394245577"/>
          <w:placeholder>
            <w:docPart w:val="944EE29C6B334162B786D58D9FBA4C77"/>
          </w:placeholder>
        </w:sdtPr>
        <w:sdtContent>
          <w:r w:rsidRPr="0053182F">
            <w:t>Muthuthantrige et al (2026) study, the micro-level interview data were analysed using the six-phase thematic analysis framework (Braun and Clarke, 2006), adapted for labour exploitation and CMS research (see Table</w:t>
          </w:r>
        </w:sdtContent>
      </w:sdt>
      <w:r w:rsidRPr="0053182F">
        <w:rPr>
          <w:color w:val="auto"/>
        </w:rPr>
        <w:t xml:space="preserve"> 7.10). This approach allowed for a flexible yet rigorous interrogation of complex, layered narratives across diverse stakeholder groups. The analysis began with immersion in the data, including repeated readings of transcripts and field notes to deepen contextual familiarity. A hybrid deductive–inductive coding strategy was applied, consistent with methodological recommendations for studying institutionalised exploitation </w:t>
      </w:r>
      <w:sdt>
        <w:sdtPr>
          <w:tag w:val="MENDELEY_CITATION_v3_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"/>
          <w:id w:val="1492442637"/>
          <w:placeholder>
            <w:docPart w:val="8019D5D53E8F4690B87550617897A666"/>
          </w:placeholder>
        </w:sdtPr>
        <w:sdtContent>
          <w:r w:rsidRPr="0053182F">
            <w:rPr>
              <w:rFonts w:eastAsia="Times New Roman"/>
            </w:rPr>
            <w:t xml:space="preserve">(Fereday </w:t>
          </w:r>
          <w:r w:rsidRPr="0053182F">
            <w:rPr>
              <w:rFonts w:eastAsia="Times New Roman"/>
              <w:i/>
              <w:iCs/>
            </w:rPr>
            <w:t>et al.</w:t>
          </w:r>
          <w:r w:rsidRPr="0053182F">
            <w:rPr>
              <w:rFonts w:eastAsia="Times New Roman"/>
            </w:rPr>
            <w:t>, 2006)</w:t>
          </w:r>
        </w:sdtContent>
      </w:sdt>
      <w:r w:rsidRPr="0053182F">
        <w:rPr>
          <w:color w:val="auto"/>
        </w:rPr>
        <w:t xml:space="preserve">. </w:t>
      </w:r>
    </w:p>
    <w:p w14:paraId="5C12F531" w14:textId="77777777" w:rsidR="00156A23" w:rsidRPr="0053182F" w:rsidRDefault="00156A23" w:rsidP="00156A23">
      <w:pPr>
        <w:rPr>
          <w:color w:val="auto"/>
          <w:kern w:val="0"/>
          <w14:ligatures w14:val="none"/>
        </w:rPr>
      </w:pPr>
      <w:r w:rsidRPr="0053182F">
        <w:rPr>
          <w:b/>
          <w:bCs/>
        </w:rPr>
        <w:t>Table 7.10:</w:t>
      </w:r>
      <w:r w:rsidRPr="0053182F">
        <w:t xml:space="preserve"> Thematic Analysis Process</w:t>
      </w:r>
    </w:p>
    <w:tbl>
      <w:tblPr>
        <w:tblW w:w="9105"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2739"/>
        <w:gridCol w:w="6366"/>
      </w:tblGrid>
      <w:tr w:rsidR="00156A23" w:rsidRPr="0053182F" w14:paraId="3DB1B3F0" w14:textId="77777777" w:rsidTr="00D20468">
        <w:trPr>
          <w:trHeight w:val="329"/>
        </w:trPr>
        <w:tc>
          <w:tcPr>
            <w:tcW w:w="2739" w:type="dxa"/>
            <w:tcBorders>
              <w:top w:val="single" w:sz="12" w:space="0" w:color="000000" w:themeColor="text1"/>
              <w:left w:val="nil"/>
              <w:bottom w:val="single" w:sz="12" w:space="0" w:color="000000" w:themeColor="text1"/>
              <w:right w:val="nil"/>
            </w:tcBorders>
            <w:vAlign w:val="bottom"/>
            <w:hideMark/>
          </w:tcPr>
          <w:p w14:paraId="5E553111" w14:textId="77777777" w:rsidR="00156A23" w:rsidRPr="0053182F" w:rsidRDefault="00156A23" w:rsidP="00D20468">
            <w:pPr>
              <w:spacing w:after="0"/>
              <w:jc w:val="center"/>
              <w:rPr>
                <w:rFonts w:eastAsia="Times New Roman"/>
                <w:color w:val="000000" w:themeColor="text1"/>
              </w:rPr>
            </w:pPr>
            <w:r w:rsidRPr="0053182F">
              <w:rPr>
                <w:rFonts w:eastAsia="Times New Roman"/>
                <w:b/>
                <w:bCs/>
                <w:color w:val="000000" w:themeColor="text1"/>
              </w:rPr>
              <w:t>Stage</w:t>
            </w:r>
          </w:p>
        </w:tc>
        <w:tc>
          <w:tcPr>
            <w:tcW w:w="6367" w:type="dxa"/>
            <w:tcBorders>
              <w:top w:val="single" w:sz="12" w:space="0" w:color="000000" w:themeColor="text1"/>
              <w:left w:val="nil"/>
              <w:bottom w:val="single" w:sz="12" w:space="0" w:color="000000" w:themeColor="text1"/>
              <w:right w:val="nil"/>
            </w:tcBorders>
            <w:vAlign w:val="bottom"/>
            <w:hideMark/>
          </w:tcPr>
          <w:p w14:paraId="054831F8" w14:textId="77777777" w:rsidR="00156A23" w:rsidRPr="0053182F" w:rsidRDefault="00156A23" w:rsidP="00D20468">
            <w:pPr>
              <w:spacing w:after="0"/>
              <w:jc w:val="center"/>
              <w:rPr>
                <w:rFonts w:eastAsia="Times New Roman"/>
                <w:color w:val="000000" w:themeColor="text1"/>
              </w:rPr>
            </w:pPr>
            <w:r w:rsidRPr="0053182F">
              <w:rPr>
                <w:rFonts w:eastAsia="Times New Roman"/>
                <w:b/>
                <w:bCs/>
                <w:color w:val="000000" w:themeColor="text1"/>
              </w:rPr>
              <w:t>Description</w:t>
            </w:r>
          </w:p>
        </w:tc>
      </w:tr>
      <w:tr w:rsidR="00156A23" w:rsidRPr="0053182F" w14:paraId="6280C9CC" w14:textId="77777777" w:rsidTr="00D20468">
        <w:trPr>
          <w:trHeight w:val="329"/>
        </w:trPr>
        <w:tc>
          <w:tcPr>
            <w:tcW w:w="2739" w:type="dxa"/>
            <w:tcBorders>
              <w:top w:val="single" w:sz="12" w:space="0" w:color="000000" w:themeColor="text1"/>
              <w:left w:val="nil"/>
              <w:bottom w:val="single" w:sz="6" w:space="0" w:color="auto"/>
              <w:right w:val="nil"/>
            </w:tcBorders>
            <w:vAlign w:val="bottom"/>
            <w:hideMark/>
          </w:tcPr>
          <w:p w14:paraId="6550C48B" w14:textId="77777777" w:rsidR="00156A23" w:rsidRPr="0053182F" w:rsidRDefault="00156A23" w:rsidP="00D20468">
            <w:pPr>
              <w:spacing w:after="0"/>
              <w:rPr>
                <w:rFonts w:eastAsia="Times New Roman"/>
                <w:color w:val="000000" w:themeColor="text1"/>
              </w:rPr>
            </w:pPr>
            <w:r w:rsidRPr="0053182F">
              <w:rPr>
                <w:rFonts w:eastAsia="Times New Roman"/>
                <w:color w:val="000000" w:themeColor="text1"/>
              </w:rPr>
              <w:t>1. Familiarisation</w:t>
            </w:r>
          </w:p>
        </w:tc>
        <w:tc>
          <w:tcPr>
            <w:tcW w:w="6367" w:type="dxa"/>
            <w:tcBorders>
              <w:top w:val="single" w:sz="12" w:space="0" w:color="000000" w:themeColor="text1"/>
              <w:left w:val="nil"/>
              <w:bottom w:val="single" w:sz="6" w:space="0" w:color="auto"/>
              <w:right w:val="nil"/>
            </w:tcBorders>
            <w:vAlign w:val="bottom"/>
            <w:hideMark/>
          </w:tcPr>
          <w:p w14:paraId="6690F7D6" w14:textId="77777777" w:rsidR="00156A23" w:rsidRPr="0053182F" w:rsidRDefault="00156A23" w:rsidP="00D20468">
            <w:pPr>
              <w:spacing w:after="0"/>
              <w:jc w:val="both"/>
              <w:rPr>
                <w:rFonts w:eastAsia="Times New Roman"/>
                <w:color w:val="000000" w:themeColor="text1"/>
              </w:rPr>
            </w:pPr>
            <w:r w:rsidRPr="0053182F">
              <w:rPr>
                <w:rFonts w:eastAsia="Times New Roman"/>
                <w:color w:val="000000" w:themeColor="text1"/>
              </w:rPr>
              <w:t>Interview transcripts and documents were read multiple times to achieve a thorough understanding of the data.</w:t>
            </w:r>
          </w:p>
        </w:tc>
      </w:tr>
      <w:tr w:rsidR="00156A23" w:rsidRPr="0053182F" w14:paraId="1BBF23D1" w14:textId="77777777" w:rsidTr="00D20468">
        <w:trPr>
          <w:trHeight w:val="329"/>
        </w:trPr>
        <w:tc>
          <w:tcPr>
            <w:tcW w:w="2739" w:type="dxa"/>
            <w:tcBorders>
              <w:top w:val="single" w:sz="6" w:space="0" w:color="auto"/>
              <w:left w:val="nil"/>
              <w:bottom w:val="single" w:sz="6" w:space="0" w:color="auto"/>
              <w:right w:val="nil"/>
            </w:tcBorders>
            <w:vAlign w:val="bottom"/>
            <w:hideMark/>
          </w:tcPr>
          <w:p w14:paraId="01CA7706" w14:textId="77777777" w:rsidR="00156A23" w:rsidRPr="0053182F" w:rsidRDefault="00156A23" w:rsidP="00D20468">
            <w:pPr>
              <w:spacing w:after="0"/>
              <w:rPr>
                <w:rFonts w:eastAsia="Times New Roman"/>
                <w:color w:val="000000" w:themeColor="text1"/>
              </w:rPr>
            </w:pPr>
            <w:r w:rsidRPr="0053182F">
              <w:rPr>
                <w:rFonts w:eastAsia="Times New Roman"/>
                <w:color w:val="000000" w:themeColor="text1"/>
              </w:rPr>
              <w:t>2. Initial Coding</w:t>
            </w:r>
          </w:p>
        </w:tc>
        <w:tc>
          <w:tcPr>
            <w:tcW w:w="6367" w:type="dxa"/>
            <w:tcBorders>
              <w:top w:val="single" w:sz="6" w:space="0" w:color="auto"/>
              <w:left w:val="nil"/>
              <w:bottom w:val="single" w:sz="6" w:space="0" w:color="auto"/>
              <w:right w:val="nil"/>
            </w:tcBorders>
            <w:vAlign w:val="bottom"/>
            <w:hideMark/>
          </w:tcPr>
          <w:p w14:paraId="4F44C179" w14:textId="77777777" w:rsidR="00156A23" w:rsidRPr="0053182F" w:rsidRDefault="00156A23" w:rsidP="00D20468">
            <w:pPr>
              <w:spacing w:after="0"/>
              <w:jc w:val="both"/>
              <w:rPr>
                <w:rFonts w:eastAsia="Times New Roman"/>
                <w:color w:val="000000" w:themeColor="text1"/>
              </w:rPr>
            </w:pPr>
            <w:r w:rsidRPr="0053182F">
              <w:rPr>
                <w:rFonts w:eastAsia="Times New Roman"/>
                <w:color w:val="000000" w:themeColor="text1"/>
              </w:rPr>
              <w:t xml:space="preserve">Two researchers independently conducted open coding to identify key phrases, patterns, and recurring narratives. Coding was conducted using NVivo 12 software to ensure consistency. To ensure rigour, the process incorporated data triangulation, member checking, and collaborative coding. An audit trail was maintained to document coding decisions and promote transparency and reliability </w:t>
            </w:r>
            <w:sdt>
              <w:sdtPr>
                <w:rPr>
                  <w:rFonts w:eastAsia="Times New Roman"/>
                </w:rPr>
                <w:tag w:val="MENDELEY_CITATION_v3_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IFJlcyBQc3ljaG9s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"/>
                <w:id w:val="2049872759"/>
                <w:placeholder>
                  <w:docPart w:val="944EE29C6B334162B786D58D9FBA4C77"/>
                </w:placeholder>
              </w:sdtPr>
              <w:sdtContent>
                <w:r w:rsidRPr="0053182F">
                  <w:rPr>
                    <w:rFonts w:eastAsia="Times New Roman"/>
                  </w:rPr>
                  <w:t>(Braun and Clarke, 2006; Creswell, 2014)</w:t>
                </w:r>
              </w:sdtContent>
            </w:sdt>
            <w:r w:rsidRPr="0053182F">
              <w:rPr>
                <w:rFonts w:eastAsia="Times New Roman"/>
                <w:color w:val="000000" w:themeColor="text1"/>
              </w:rPr>
              <w:t xml:space="preserve"> </w:t>
            </w:r>
          </w:p>
        </w:tc>
      </w:tr>
      <w:tr w:rsidR="00156A23" w:rsidRPr="0053182F" w14:paraId="4FAF21D3" w14:textId="77777777" w:rsidTr="00D20468">
        <w:trPr>
          <w:trHeight w:val="329"/>
        </w:trPr>
        <w:tc>
          <w:tcPr>
            <w:tcW w:w="2739" w:type="dxa"/>
            <w:tcBorders>
              <w:top w:val="single" w:sz="6" w:space="0" w:color="auto"/>
              <w:left w:val="nil"/>
              <w:bottom w:val="single" w:sz="6" w:space="0" w:color="auto"/>
              <w:right w:val="nil"/>
            </w:tcBorders>
            <w:vAlign w:val="bottom"/>
            <w:hideMark/>
          </w:tcPr>
          <w:p w14:paraId="0ECDBFC7" w14:textId="77777777" w:rsidR="00156A23" w:rsidRPr="0053182F" w:rsidRDefault="00156A23" w:rsidP="00D20468">
            <w:pPr>
              <w:spacing w:after="0"/>
              <w:rPr>
                <w:rFonts w:eastAsia="Times New Roman"/>
                <w:color w:val="000000" w:themeColor="text1"/>
              </w:rPr>
            </w:pPr>
            <w:r w:rsidRPr="0053182F">
              <w:rPr>
                <w:rFonts w:eastAsia="Times New Roman"/>
                <w:color w:val="000000" w:themeColor="text1"/>
              </w:rPr>
              <w:t>3. Theme Development</w:t>
            </w:r>
          </w:p>
        </w:tc>
        <w:tc>
          <w:tcPr>
            <w:tcW w:w="6367" w:type="dxa"/>
            <w:tcBorders>
              <w:top w:val="single" w:sz="6" w:space="0" w:color="auto"/>
              <w:left w:val="nil"/>
              <w:bottom w:val="single" w:sz="6" w:space="0" w:color="auto"/>
              <w:right w:val="nil"/>
            </w:tcBorders>
            <w:vAlign w:val="bottom"/>
            <w:hideMark/>
          </w:tcPr>
          <w:p w14:paraId="0642E746" w14:textId="77777777" w:rsidR="00156A23" w:rsidRPr="0053182F" w:rsidRDefault="00156A23" w:rsidP="00D20468">
            <w:pPr>
              <w:spacing w:after="0"/>
              <w:jc w:val="both"/>
              <w:rPr>
                <w:rFonts w:eastAsia="Times New Roman"/>
                <w:color w:val="000000" w:themeColor="text1"/>
              </w:rPr>
            </w:pPr>
            <w:r w:rsidRPr="0053182F">
              <w:rPr>
                <w:rFonts w:eastAsia="Times New Roman"/>
                <w:color w:val="000000" w:themeColor="text1"/>
              </w:rPr>
              <w:t>Through iterative comparison, axial coding was applied to cluster codes into broader categories. This recursive process involved cycling between empirical data, theory, and literature to refine and synthesise themes.</w:t>
            </w:r>
          </w:p>
        </w:tc>
      </w:tr>
      <w:tr w:rsidR="00156A23" w:rsidRPr="0053182F" w14:paraId="172AC727" w14:textId="77777777" w:rsidTr="00D20468">
        <w:trPr>
          <w:trHeight w:val="329"/>
        </w:trPr>
        <w:tc>
          <w:tcPr>
            <w:tcW w:w="2739" w:type="dxa"/>
            <w:tcBorders>
              <w:top w:val="single" w:sz="6" w:space="0" w:color="auto"/>
              <w:left w:val="nil"/>
              <w:bottom w:val="single" w:sz="6" w:space="0" w:color="auto"/>
              <w:right w:val="nil"/>
            </w:tcBorders>
            <w:vAlign w:val="bottom"/>
            <w:hideMark/>
          </w:tcPr>
          <w:p w14:paraId="0CB17ABD" w14:textId="77777777" w:rsidR="00156A23" w:rsidRPr="0053182F" w:rsidRDefault="00156A23" w:rsidP="00D20468">
            <w:pPr>
              <w:spacing w:after="0"/>
              <w:rPr>
                <w:rFonts w:eastAsia="Times New Roman"/>
                <w:color w:val="000000" w:themeColor="text1"/>
              </w:rPr>
            </w:pPr>
            <w:r w:rsidRPr="0053182F">
              <w:rPr>
                <w:rFonts w:eastAsia="Times New Roman"/>
                <w:color w:val="000000" w:themeColor="text1"/>
              </w:rPr>
              <w:t>4. Reviewing and Defining Themes</w:t>
            </w:r>
          </w:p>
        </w:tc>
        <w:tc>
          <w:tcPr>
            <w:tcW w:w="6367" w:type="dxa"/>
            <w:tcBorders>
              <w:top w:val="single" w:sz="6" w:space="0" w:color="auto"/>
              <w:left w:val="nil"/>
              <w:bottom w:val="single" w:sz="6" w:space="0" w:color="auto"/>
              <w:right w:val="nil"/>
            </w:tcBorders>
            <w:vAlign w:val="bottom"/>
            <w:hideMark/>
          </w:tcPr>
          <w:p w14:paraId="0FBE6B65" w14:textId="77777777" w:rsidR="00156A23" w:rsidRPr="0053182F" w:rsidRDefault="00156A23" w:rsidP="00D20468">
            <w:pPr>
              <w:spacing w:after="0"/>
              <w:jc w:val="both"/>
              <w:rPr>
                <w:rFonts w:eastAsia="Times New Roman"/>
                <w:color w:val="000000" w:themeColor="text1"/>
              </w:rPr>
            </w:pPr>
            <w:r w:rsidRPr="0053182F">
              <w:rPr>
                <w:rFonts w:eastAsia="Times New Roman"/>
                <w:color w:val="000000" w:themeColor="text1"/>
              </w:rPr>
              <w:t>Codes and categories were repeatedly revisited to ensure coherence and reduce redundancy, as recommended by Braun and Clarke (2006). Any overlapping or vague themes were clarified through the author’s discussion and triangulation.</w:t>
            </w:r>
          </w:p>
        </w:tc>
      </w:tr>
      <w:tr w:rsidR="00156A23" w:rsidRPr="0053182F" w14:paraId="15888E1B" w14:textId="77777777" w:rsidTr="00D20468">
        <w:trPr>
          <w:trHeight w:val="329"/>
        </w:trPr>
        <w:tc>
          <w:tcPr>
            <w:tcW w:w="2739" w:type="dxa"/>
            <w:tcBorders>
              <w:top w:val="single" w:sz="6" w:space="0" w:color="auto"/>
              <w:left w:val="nil"/>
              <w:bottom w:val="single" w:sz="6" w:space="0" w:color="auto"/>
              <w:right w:val="nil"/>
            </w:tcBorders>
            <w:vAlign w:val="bottom"/>
            <w:hideMark/>
          </w:tcPr>
          <w:p w14:paraId="5F26E541" w14:textId="77777777" w:rsidR="00156A23" w:rsidRPr="0053182F" w:rsidRDefault="00156A23" w:rsidP="00D20468">
            <w:pPr>
              <w:spacing w:after="0"/>
              <w:rPr>
                <w:rFonts w:eastAsia="Times New Roman"/>
                <w:color w:val="000000" w:themeColor="text1"/>
              </w:rPr>
            </w:pPr>
            <w:r w:rsidRPr="0053182F">
              <w:rPr>
                <w:rFonts w:eastAsia="Times New Roman"/>
                <w:color w:val="000000" w:themeColor="text1"/>
              </w:rPr>
              <w:t>5. Reflexive Interpretation</w:t>
            </w:r>
          </w:p>
        </w:tc>
        <w:tc>
          <w:tcPr>
            <w:tcW w:w="6367" w:type="dxa"/>
            <w:tcBorders>
              <w:top w:val="single" w:sz="6" w:space="0" w:color="auto"/>
              <w:left w:val="nil"/>
              <w:bottom w:val="single" w:sz="6" w:space="0" w:color="auto"/>
              <w:right w:val="nil"/>
            </w:tcBorders>
            <w:vAlign w:val="bottom"/>
            <w:hideMark/>
          </w:tcPr>
          <w:p w14:paraId="7235D064" w14:textId="77777777" w:rsidR="00156A23" w:rsidRPr="0053182F" w:rsidRDefault="00156A23" w:rsidP="00D20468">
            <w:pPr>
              <w:spacing w:after="0"/>
              <w:jc w:val="both"/>
              <w:rPr>
                <w:rFonts w:eastAsia="Times New Roman"/>
                <w:color w:val="000000" w:themeColor="text1"/>
              </w:rPr>
            </w:pPr>
            <w:r w:rsidRPr="0053182F">
              <w:rPr>
                <w:rFonts w:eastAsia="Times New Roman"/>
                <w:color w:val="000000" w:themeColor="text1"/>
              </w:rPr>
              <w:t>Final themes were contextualised within the socio-political realities of Sri Lanka’s A&amp;TI and cross-compared between interview and document data.</w:t>
            </w:r>
          </w:p>
        </w:tc>
      </w:tr>
      <w:tr w:rsidR="00156A23" w:rsidRPr="0053182F" w14:paraId="68FCCE83" w14:textId="77777777" w:rsidTr="00D20468">
        <w:trPr>
          <w:trHeight w:val="329"/>
        </w:trPr>
        <w:tc>
          <w:tcPr>
            <w:tcW w:w="2739" w:type="dxa"/>
            <w:tcBorders>
              <w:top w:val="single" w:sz="6" w:space="0" w:color="auto"/>
              <w:left w:val="nil"/>
              <w:bottom w:val="single" w:sz="12" w:space="0" w:color="000000" w:themeColor="text1"/>
              <w:right w:val="nil"/>
            </w:tcBorders>
            <w:vAlign w:val="bottom"/>
            <w:hideMark/>
          </w:tcPr>
          <w:p w14:paraId="32C06C5D" w14:textId="77777777" w:rsidR="00156A23" w:rsidRPr="0053182F" w:rsidRDefault="00156A23" w:rsidP="00D20468">
            <w:pPr>
              <w:spacing w:after="0"/>
              <w:rPr>
                <w:rFonts w:eastAsia="Times New Roman"/>
                <w:color w:val="000000" w:themeColor="text1"/>
              </w:rPr>
            </w:pPr>
            <w:r w:rsidRPr="0053182F">
              <w:rPr>
                <w:rFonts w:eastAsia="Times New Roman"/>
                <w:color w:val="000000" w:themeColor="text1"/>
              </w:rPr>
              <w:t>6. Narrative Construction</w:t>
            </w:r>
          </w:p>
        </w:tc>
        <w:tc>
          <w:tcPr>
            <w:tcW w:w="6367" w:type="dxa"/>
            <w:tcBorders>
              <w:top w:val="single" w:sz="6" w:space="0" w:color="auto"/>
              <w:left w:val="nil"/>
              <w:bottom w:val="single" w:sz="12" w:space="0" w:color="000000" w:themeColor="text1"/>
              <w:right w:val="nil"/>
            </w:tcBorders>
            <w:vAlign w:val="bottom"/>
            <w:hideMark/>
          </w:tcPr>
          <w:p w14:paraId="1B09FB5D" w14:textId="77777777" w:rsidR="00156A23" w:rsidRPr="0053182F" w:rsidRDefault="00156A23" w:rsidP="00D20468">
            <w:pPr>
              <w:spacing w:after="0"/>
              <w:jc w:val="both"/>
              <w:rPr>
                <w:rFonts w:eastAsia="Times New Roman"/>
                <w:color w:val="000000" w:themeColor="text1"/>
              </w:rPr>
            </w:pPr>
            <w:r w:rsidRPr="0053182F">
              <w:rPr>
                <w:rFonts w:eastAsia="Times New Roman"/>
                <w:color w:val="000000" w:themeColor="text1"/>
              </w:rPr>
              <w:t>The final step involved integrating themes into a coherent analytical narrative that explains how symbolic compliance and structural vulnerabilities manifest in CMS practices.</w:t>
            </w:r>
          </w:p>
        </w:tc>
      </w:tr>
    </w:tbl>
    <w:p w14:paraId="458B6C7A" w14:textId="77777777" w:rsidR="00156A23" w:rsidRPr="0053182F" w:rsidRDefault="00156A23" w:rsidP="00156A23">
      <w:pPr>
        <w:spacing w:line="480" w:lineRule="auto"/>
        <w:ind w:firstLine="720"/>
        <w:jc w:val="both"/>
        <w:rPr>
          <w:color w:val="auto"/>
        </w:rPr>
      </w:pPr>
      <w:r w:rsidRPr="0053182F">
        <w:rPr>
          <w:color w:val="auto"/>
        </w:rPr>
        <w:t xml:space="preserve"> </w:t>
      </w:r>
      <w:r w:rsidRPr="0053182F">
        <w:rPr>
          <w:b/>
          <w:bCs/>
          <w:color w:val="auto"/>
          <w:highlight w:val="yellow"/>
        </w:rPr>
        <w:t>Source:</w:t>
      </w:r>
      <w:r w:rsidRPr="0053182F">
        <w:rPr>
          <w:color w:val="auto"/>
          <w:highlight w:val="yellow"/>
        </w:rPr>
        <w:t xml:space="preserve"> </w:t>
      </w:r>
      <w:sdt>
        <w:sdtPr>
          <w:rPr>
            <w:highlight w:val="yellow"/>
          </w:rPr>
          <w:tag w:val="MENDELEY_CITATION_v3_eyJjaXRhdGlvbklEIjoiTUVOREVMRVlfQ0lUQVRJT05fNzRiNTg1YzItNDRjYy00MzM3LWI4ZDItNzBiMDQyZTBiNWQyIiwicHJvcGVydGllcyI6eyJub3RlSW5kZXgiOjB9LCJpc0VkaXRlZCI6ZmFsc2UsIm1hbnVhbE92ZXJyaWRlIjp7ImlzTWFudWFsbHlPdmVycmlkZGVuIjp0cnVlLCJjaXRlcHJvY1RleHQiOiIoTXV0aHV0aGFudHJpZ2UgPGk+ZXQgYWwuPC9pPiwgMjAyNikiLCJtYW51YWxPdmVycmlkZVRleHQiOiJNdXRodXRoYW50cmlnZSBldCBhbCAoMjAyNiwgcCk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
          <w:id w:val="1204834461"/>
          <w:placeholder>
            <w:docPart w:val="944EE29C6B334162B786D58D9FBA4C77"/>
          </w:placeholder>
        </w:sdtPr>
        <w:sdtContent>
          <w:r w:rsidRPr="0053182F">
            <w:rPr>
              <w:highlight w:val="yellow"/>
            </w:rPr>
            <w:t>Muthuthantrige et al (2026, p)</w:t>
          </w:r>
        </w:sdtContent>
      </w:sdt>
    </w:p>
    <w:p w14:paraId="10CD6BF3" w14:textId="77777777" w:rsidR="00156A23" w:rsidRPr="0053182F" w:rsidRDefault="00156A23" w:rsidP="00156A23">
      <w:pPr>
        <w:spacing w:line="480" w:lineRule="auto"/>
        <w:ind w:firstLine="720"/>
        <w:jc w:val="both"/>
        <w:rPr>
          <w:color w:val="auto"/>
        </w:rPr>
      </w:pPr>
      <w:r w:rsidRPr="0053182F">
        <w:rPr>
          <w:color w:val="auto"/>
        </w:rPr>
        <w:t xml:space="preserve">Deductive codes were derived from international frameworks—including ILO forced labour indicators, the forced-labour continuum </w:t>
      </w:r>
      <w:sdt>
        <w:sdtPr>
          <w:tag w:val="MENDELEY_CITATION_v3_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"/>
          <w:id w:val="716321039"/>
          <w:placeholder>
            <w:docPart w:val="A3335AF45D5142298D71C1F7A0C376D5"/>
          </w:placeholder>
        </w:sdtPr>
        <w:sdtContent>
          <w:r w:rsidRPr="0053182F">
            <w:rPr>
              <w:rFonts w:eastAsia="Times New Roman"/>
            </w:rPr>
            <w:t xml:space="preserve">(Lewis </w:t>
          </w:r>
          <w:r w:rsidRPr="0053182F">
            <w:rPr>
              <w:rFonts w:eastAsia="Times New Roman"/>
              <w:i/>
              <w:iCs/>
            </w:rPr>
            <w:t>et al.</w:t>
          </w:r>
          <w:r w:rsidRPr="0053182F">
            <w:rPr>
              <w:rFonts w:eastAsia="Times New Roman"/>
            </w:rPr>
            <w:t>, 2015; Skrivankova, 2010)</w:t>
          </w:r>
        </w:sdtContent>
      </w:sdt>
      <w:r w:rsidRPr="0053182F">
        <w:rPr>
          <w:color w:val="auto"/>
        </w:rPr>
        <w:t xml:space="preserve">, and NIT constructs such as coercive pressures, institutional decoupling, and symbolic compliance—while inductive codes emerged organically from worker testimonies highlighting wage dependency, harassment, unsafe conditions, subcontracting opacity, and audit manipulation. Coding was conducted using NVivo 12, with iterative refinement facilitated by peer debriefing and code comparison to enhance reliability. As noted in the </w:t>
      </w:r>
      <w:r w:rsidRPr="0053182F">
        <w:t>study by Muthuthantrige et al. (2026), the analysis triangulated interview data with NGO reports, media investigations, and corporate disclosures, enabling cross-validation and the identification of contradictions between policy rhetoric and workers' experiences</w:t>
      </w:r>
      <w:r w:rsidRPr="0053182F">
        <w:rPr>
          <w:color w:val="auto"/>
        </w:rPr>
        <w:t>. Reflexive memo-writing was employed throughout to surface researchers' assumptions and maintain analytical transparency, culminating in the development of cohesive themes that directly address the study’s research questions.</w:t>
      </w:r>
    </w:p>
    <w:p w14:paraId="33B304C6" w14:textId="77777777" w:rsidR="00156A23" w:rsidRPr="0053182F" w:rsidRDefault="00156A23" w:rsidP="00156A23">
      <w:pPr>
        <w:pStyle w:val="Heading2"/>
      </w:pPr>
      <w:bookmarkStart w:id="416" w:name="_Toc216557306"/>
      <w:bookmarkStart w:id="417" w:name="_Toc218357196"/>
      <w:r w:rsidRPr="0053182F">
        <w:t>7.20 Qualitative Questionnaire</w:t>
      </w:r>
      <w:bookmarkEnd w:id="416"/>
      <w:bookmarkEnd w:id="417"/>
      <w:r w:rsidRPr="0053182F">
        <w:t xml:space="preserve"> </w:t>
      </w:r>
    </w:p>
    <w:p w14:paraId="75CADBF2" w14:textId="77777777" w:rsidR="00156A23" w:rsidRPr="0053182F" w:rsidRDefault="00156A23" w:rsidP="00156A23">
      <w:pPr>
        <w:pStyle w:val="Heading3"/>
        <w:rPr>
          <w:color w:val="0F4761" w:themeColor="accent1" w:themeShade="BF"/>
        </w:rPr>
      </w:pPr>
      <w:bookmarkStart w:id="418" w:name="_Toc216557307"/>
      <w:bookmarkStart w:id="419" w:name="_Toc218357197"/>
      <w:r w:rsidRPr="0053182F">
        <w:t>7.20.1 Purpose of the Qualitative Questionnaire</w:t>
      </w:r>
      <w:bookmarkEnd w:id="418"/>
      <w:bookmarkEnd w:id="419"/>
    </w:p>
    <w:p w14:paraId="0264BFB7" w14:textId="77777777" w:rsidR="00156A23" w:rsidRPr="0053182F" w:rsidRDefault="00156A23" w:rsidP="00156A23">
      <w:pPr>
        <w:spacing w:line="480" w:lineRule="auto"/>
        <w:jc w:val="both"/>
        <w:rPr>
          <w:color w:val="auto"/>
        </w:rPr>
      </w:pPr>
      <w:r w:rsidRPr="0053182F">
        <w:rPr>
          <w:color w:val="auto"/>
        </w:rPr>
        <w:t xml:space="preserve">The qualitative questionnaire was designed to complement the semi-structured interviews by capturing a broader range of worker perceptions and lived experiences related to CMS practices within Sri Lanka’s A&amp;TI. Unlike quantitative surveys, the questionnaire employed open-ended and short-answer questions, allowing participants to describe their experiences in their own words while maintaining flexibility, anonymity, and cultural sensitivity. This method was particularly appropriate for engaging workers who were uncomfortable participating in recorded interviews or who preferred written responses due to fear of retaliation, time constraints, or limited privacy within factory settings </w:t>
      </w:r>
      <w:sdt>
        <w:sdtPr>
          <w:tag w:val="MENDELEY_CITATION_v3_eyJjaXRhdGlvbklEIjoiTUVOREVMRVlfQ0lUQVRJT05fOTBiN2ZkNTQtMWIwMS00ZGE4LWJhZDAtZjhkZTdjNGJhMjJi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805380933"/>
          <w:placeholder>
            <w:docPart w:val="944EE29C6B334162B786D58D9FBA4C77"/>
          </w:placeholder>
        </w:sdtPr>
        <w:sdtContent>
          <w:r w:rsidRPr="0053182F">
            <w:rPr>
              <w:rFonts w:eastAsia="Times New Roman"/>
            </w:rPr>
            <w:t xml:space="preserve">(Muthuthantrige </w:t>
          </w:r>
          <w:r w:rsidRPr="0053182F">
            <w:rPr>
              <w:rFonts w:eastAsia="Times New Roman"/>
              <w:i/>
              <w:iCs/>
            </w:rPr>
            <w:t>et al.</w:t>
          </w:r>
          <w:r w:rsidRPr="0053182F">
            <w:rPr>
              <w:rFonts w:eastAsia="Times New Roman"/>
            </w:rPr>
            <w:t>, 2026)</w:t>
          </w:r>
        </w:sdtContent>
      </w:sdt>
      <w:r w:rsidRPr="0053182F">
        <w:rPr>
          <w:color w:val="auto"/>
        </w:rPr>
        <w:t>.</w:t>
      </w:r>
    </w:p>
    <w:p w14:paraId="6E1B7910" w14:textId="77777777" w:rsidR="00156A23" w:rsidRPr="0053182F" w:rsidRDefault="00156A23" w:rsidP="00156A23">
      <w:pPr>
        <w:spacing w:line="480" w:lineRule="auto"/>
        <w:jc w:val="both"/>
        <w:rPr>
          <w:color w:val="auto"/>
        </w:rPr>
      </w:pPr>
      <w:r w:rsidRPr="0053182F">
        <w:rPr>
          <w:color w:val="auto"/>
        </w:rPr>
        <w:tab/>
        <w:t xml:space="preserve">The questionnaire provided an additional layer of insight into issues such as working conditions, economic vulnerability, discrimination, harassment, and worker agency—areas that are often underreported due to the normalisation of exploitative practices in the industry </w:t>
      </w:r>
      <w:sdt>
        <w:sdtPr>
          <w:tag w:val="MENDELEY_CITATION_v3_eyJjaXRhdGlvbklEIjoiTUVOREVMRVlfQ0lUQVRJT05fZmNkY2NjZTctMmJiNy00N2Y3LThlMTEtYmE4NTE4M2QzNjc5IiwicHJvcGVydGllcyI6eyJub3RlSW5kZXgiOjB9LCJpc0VkaXRlZCI6ZmFsc2UsIm1hbnVhbE92ZXJyaWRlIjp7ImlzTWFudWFsbHlPdmVycmlkZGVuIjpmYWxzZSwiY2l0ZXByb2NUZXh0IjoiKExlQmFyb24gYW5kIExpc3RlciwgMjAyMTsgTXV0aHV0aGFudHJpZ2UgPGk+ZXQgYWwuPC9pPiwgMjAyNikiLCJtYW51YWxPdmVycmlkZVRleHQiOiI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"/>
          <w:id w:val="-1193452444"/>
          <w:placeholder>
            <w:docPart w:val="944EE29C6B334162B786D58D9FBA4C77"/>
          </w:placeholder>
        </w:sdtPr>
        <w:sdtContent>
          <w:r w:rsidRPr="0053182F">
            <w:rPr>
              <w:rFonts w:eastAsia="Times New Roman"/>
            </w:rPr>
            <w:t xml:space="preserve">(LeBaron and Lister, 2021; Muthuthantrige </w:t>
          </w:r>
          <w:r w:rsidRPr="0053182F">
            <w:rPr>
              <w:rFonts w:eastAsia="Times New Roman"/>
              <w:i/>
              <w:iCs/>
            </w:rPr>
            <w:t>et al.</w:t>
          </w:r>
          <w:r w:rsidRPr="0053182F">
            <w:rPr>
              <w:rFonts w:eastAsia="Times New Roman"/>
            </w:rPr>
            <w:t>, 2026)</w:t>
          </w:r>
        </w:sdtContent>
      </w:sdt>
      <w:r w:rsidRPr="0053182F">
        <w:t xml:space="preserve">. </w:t>
      </w:r>
      <w:r w:rsidRPr="0053182F">
        <w:rPr>
          <w:color w:val="auto"/>
        </w:rPr>
        <w:t xml:space="preserve"> As part of the explanatory sequential design, these responses enriched the interpretation of micro-level themes and triangulated findings from interviews and document analysis.</w:t>
      </w:r>
    </w:p>
    <w:p w14:paraId="2F0053C0" w14:textId="77777777" w:rsidR="00156A23" w:rsidRPr="0053182F" w:rsidRDefault="00156A23" w:rsidP="00156A23">
      <w:pPr>
        <w:pStyle w:val="Heading3"/>
      </w:pPr>
      <w:bookmarkStart w:id="420" w:name="_Toc216557308"/>
      <w:bookmarkStart w:id="421" w:name="_Toc218357198"/>
      <w:r w:rsidRPr="0053182F">
        <w:t>7.20.2 Questionnaire Design and Development</w:t>
      </w:r>
      <w:bookmarkEnd w:id="420"/>
      <w:bookmarkEnd w:id="421"/>
    </w:p>
    <w:p w14:paraId="3A99BDC0" w14:textId="77777777" w:rsidR="00156A23" w:rsidRPr="0053182F" w:rsidRDefault="00156A23" w:rsidP="00156A23">
      <w:pPr>
        <w:spacing w:line="480" w:lineRule="auto"/>
        <w:jc w:val="both"/>
        <w:rPr>
          <w:color w:val="auto"/>
        </w:rPr>
      </w:pPr>
      <w:r w:rsidRPr="0053182F">
        <w:rPr>
          <w:color w:val="auto"/>
        </w:rPr>
        <w:t>The qualitative questionnaire was designed through an iterative process that drew on both deductive and inductive foundations. Deductively, the structure and content were informed by recognised international labour governance frameworks, including ILO indicators, the UNGP and Human Rights, and SDG Target 8.7, ensuring alignment with globally established markers of labour exploitation and MS vulnerability. Inductively, the questionnaire incorporated insights emerging from preliminary field observations, informal conversations with workers, and pilot consultations with NGO partners who work closely with apparel-sector employees. This combined approach supported the development of questions that were theoretically grounded while remaining sensitive to contextual nuances within Sri Lanka’s A&amp;TI.</w:t>
      </w:r>
    </w:p>
    <w:p w14:paraId="37112FCA" w14:textId="77777777" w:rsidR="00156A23" w:rsidRPr="0053182F" w:rsidRDefault="00156A23" w:rsidP="00156A23">
      <w:pPr>
        <w:spacing w:line="480" w:lineRule="auto"/>
        <w:ind w:firstLine="720"/>
        <w:jc w:val="both"/>
        <w:rPr>
          <w:color w:val="auto"/>
        </w:rPr>
      </w:pPr>
      <w:r w:rsidRPr="0053182F">
        <w:rPr>
          <w:color w:val="auto"/>
        </w:rPr>
        <w:t>The final instrument was composed of open-ended and short reflective questions designed to elicit rich narrative responses from workers with diverse educational and literacy backgrounds. The questionnaire explored several core thematic domains, including employment background (such as age, education level), working conditions (production hours, target pressures, overtime, and safety practices), and wages and financial vulnerability (including living wage adequacy, deductions, debt obligations, and recruitment-related costs). Additional sections examined freedom association—particularly potential restrictions, coercive supervision, and practices such as salary retention—as well as experiences of discrimination and harassment linked to gender, caste, ethnicity, or pregnancy. The questionnaire further probed workers’ voice and representation, focusing on union accessibility, grievance mechanisms, and fears of retaliation, alongside their perceptions of global brand influence, especially in relation to well-known global brands—the instrument concluded by inviting workers to provide suggestions for improving labour conditions.</w:t>
      </w:r>
    </w:p>
    <w:p w14:paraId="29632556" w14:textId="77777777" w:rsidR="00156A23" w:rsidRPr="0053182F" w:rsidRDefault="00156A23" w:rsidP="00156A23">
      <w:pPr>
        <w:spacing w:line="480" w:lineRule="auto"/>
        <w:ind w:firstLine="720"/>
        <w:jc w:val="both"/>
        <w:rPr>
          <w:color w:val="auto"/>
        </w:rPr>
      </w:pPr>
      <w:r w:rsidRPr="0053182F">
        <w:t xml:space="preserve">To ensure linguistic accessibility, </w:t>
      </w:r>
      <w:r w:rsidRPr="0053182F">
        <w:rPr>
          <w:color w:val="auto"/>
        </w:rPr>
        <w:t>cultural appropriateness,</w:t>
      </w:r>
      <w:r w:rsidRPr="0053182F">
        <w:t xml:space="preserve"> and conceptual accuracy, the questionnaire was translated into </w:t>
      </w:r>
      <w:r w:rsidRPr="0053182F">
        <w:rPr>
          <w:rStyle w:val="Strong"/>
          <w:b w:val="0"/>
          <w:bCs w:val="0"/>
        </w:rPr>
        <w:t>Sinhala</w:t>
      </w:r>
      <w:r w:rsidRPr="0053182F">
        <w:t>, the primary language of A&amp;TI workers, and then back-translated to confirm semantic and contextual equivalence. The instrument was pilot tested with a small group of workers and NGO practitioners, resulting in refinements to wording, sequencing, and layout to enhance comprehension and comfort. This rigorous development process ensured that the questionnaire was culturally appropriate, ethically sensitive, and methodologically robust for capturing the lived realities of workers within a high-risk, under-researched labour context.</w:t>
      </w:r>
    </w:p>
    <w:p w14:paraId="5B9C1C9F" w14:textId="77777777" w:rsidR="00156A23" w:rsidRPr="0053182F" w:rsidRDefault="00156A23" w:rsidP="00156A23">
      <w:pPr>
        <w:pStyle w:val="Heading3"/>
        <w:rPr>
          <w:kern w:val="0"/>
          <w14:ligatures w14:val="none"/>
        </w:rPr>
      </w:pPr>
      <w:bookmarkStart w:id="422" w:name="_Toc216557309"/>
      <w:bookmarkStart w:id="423" w:name="_Toc218357199"/>
      <w:r w:rsidRPr="0053182F">
        <w:rPr>
          <w:rStyle w:val="Strong"/>
          <w:b/>
          <w:bCs w:val="0"/>
        </w:rPr>
        <w:t>7.20.3 Sampling and Data Collection (</w:t>
      </w:r>
      <w:r w:rsidRPr="0053182F">
        <w:t>Questionnaire and Fieldwork)</w:t>
      </w:r>
      <w:bookmarkEnd w:id="422"/>
      <w:bookmarkEnd w:id="423"/>
    </w:p>
    <w:p w14:paraId="0F02EB70" w14:textId="77777777" w:rsidR="00156A23" w:rsidRPr="0053182F" w:rsidRDefault="00156A23" w:rsidP="00156A23">
      <w:pPr>
        <w:pStyle w:val="NormalWeb"/>
        <w:spacing w:line="480" w:lineRule="auto"/>
        <w:jc w:val="both"/>
      </w:pPr>
      <w:r w:rsidRPr="0053182F">
        <w:t xml:space="preserve">A </w:t>
      </w:r>
      <w:r w:rsidRPr="0053182F">
        <w:rPr>
          <w:rStyle w:val="Strong"/>
          <w:rFonts w:eastAsiaTheme="majorEastAsia"/>
          <w:b w:val="0"/>
          <w:bCs w:val="0"/>
        </w:rPr>
        <w:t>purposive and snowball sampling</w:t>
      </w:r>
      <w:r w:rsidRPr="0053182F">
        <w:t xml:space="preserve"> strategy was used to distribute the questionnaires among workers from different tiers of the A&amp;TI supply chain, including b</w:t>
      </w:r>
      <w:r w:rsidRPr="0053182F">
        <w:rPr>
          <w:rStyle w:val="Strong"/>
          <w:rFonts w:eastAsiaTheme="majorEastAsia"/>
          <w:b w:val="0"/>
          <w:bCs w:val="0"/>
        </w:rPr>
        <w:t xml:space="preserve">oarding house workers, factory-floor workers (sewing, finishing, cutting, packing), temporary and subcontracted, night-shift workers, and workers in higher-risk geographical zones (Katunayake, Biyagama, Koggala). </w:t>
      </w:r>
      <w:r w:rsidRPr="0053182F">
        <w:t>Participants were recruited through trusted intermediaries such as NGO-RED, worker centres, and community contacts, which significantly improved participation among vulnerable groups hesitant to speak publicly.</w:t>
      </w:r>
    </w:p>
    <w:p w14:paraId="7E0EDBD6" w14:textId="77777777" w:rsidR="00156A23" w:rsidRPr="0053182F" w:rsidRDefault="00156A23" w:rsidP="00156A23">
      <w:pPr>
        <w:pStyle w:val="NormalWeb"/>
        <w:spacing w:line="480" w:lineRule="auto"/>
        <w:jc w:val="both"/>
      </w:pPr>
    </w:p>
    <w:p w14:paraId="1B148AC5" w14:textId="77777777" w:rsidR="00156A23" w:rsidRPr="0053182F" w:rsidRDefault="00156A23" w:rsidP="00156A23">
      <w:pPr>
        <w:pStyle w:val="Heading3"/>
      </w:pPr>
      <w:bookmarkStart w:id="424" w:name="_Toc216557310"/>
      <w:bookmarkStart w:id="425" w:name="_Toc218357200"/>
      <w:r w:rsidRPr="0053182F">
        <w:t>7.20.4 Questionnaire Administration and Field Procedures</w:t>
      </w:r>
      <w:bookmarkEnd w:id="424"/>
      <w:bookmarkEnd w:id="425"/>
    </w:p>
    <w:p w14:paraId="7E1C5BF0" w14:textId="77777777" w:rsidR="00156A23" w:rsidRPr="0053182F" w:rsidRDefault="00156A23" w:rsidP="00156A23"/>
    <w:p w14:paraId="2100051E" w14:textId="77777777" w:rsidR="00156A23" w:rsidRPr="0053182F" w:rsidRDefault="00156A23" w:rsidP="00156A23">
      <w:pPr>
        <w:spacing w:line="480" w:lineRule="auto"/>
        <w:jc w:val="both"/>
        <w:rPr>
          <w:color w:val="auto"/>
        </w:rPr>
      </w:pPr>
      <w:r w:rsidRPr="0053182F">
        <w:rPr>
          <w:color w:val="auto"/>
        </w:rPr>
        <w:t>The questionnaire was administered alongside the semi-structured interviews during the micro-level fieldwork to capture workers' lived experiences of CMS in a complementary and mutually reinforcing manner. Conducting both methods concurrently allowed the research to balance breadth (through the questionnaire) and depth (through the interviews), consistent with the explanatory sequential design and the need for triangulation in sensitive labour-governance research.</w:t>
      </w:r>
    </w:p>
    <w:p w14:paraId="18D11E5A" w14:textId="77777777" w:rsidR="00156A23" w:rsidRPr="0053182F" w:rsidRDefault="00156A23" w:rsidP="00156A23">
      <w:pPr>
        <w:spacing w:line="480" w:lineRule="auto"/>
        <w:ind w:firstLine="720"/>
        <w:jc w:val="both"/>
        <w:rPr>
          <w:color w:val="auto"/>
        </w:rPr>
      </w:pPr>
      <w:r w:rsidRPr="0053182F">
        <w:rPr>
          <w:color w:val="auto"/>
        </w:rPr>
        <w:t>Data collection occurred over three months across multiple factory zones, workers’ boarding houses, community centres, and NGO-supported safe spaces. These locations were intentionally selected to ensure privacy, minimise surveillance, and facilitate participation from vulnerable groups. Collaboration with local NGOs, such as RED, was essential to providing safe, trusted environments for both questionnaire completion and interviews.</w:t>
      </w:r>
    </w:p>
    <w:p w14:paraId="29861CFE" w14:textId="77777777" w:rsidR="00156A23" w:rsidRPr="0053182F" w:rsidRDefault="00156A23" w:rsidP="00156A23">
      <w:pPr>
        <w:spacing w:line="480" w:lineRule="auto"/>
        <w:ind w:firstLine="720"/>
        <w:jc w:val="both"/>
        <w:rPr>
          <w:color w:val="auto"/>
        </w:rPr>
      </w:pPr>
      <w:r w:rsidRPr="0053182F">
        <w:rPr>
          <w:color w:val="auto"/>
        </w:rPr>
        <w:t>Participation was voluntary, and respondents were informed that all data would be kept anonymous and confidential and would not be shared with employers or state authorities. To further mitigate risks of employer retaliation or monitoring, the questionnaires were completed: individually, without supervisors present, to prevent intimidation or influence;  off-site, wherever possible, with the assistance of NGOs mediating access; in Sinhala, using a clear and accessible format suitable for varying literacy levels; with researcher support, particularly for workers who preferred oral explanation due to language or literacy barriers.</w:t>
      </w:r>
    </w:p>
    <w:p w14:paraId="1912FBE4" w14:textId="77777777" w:rsidR="00156A23" w:rsidRPr="0053182F" w:rsidRDefault="00156A23" w:rsidP="00156A23">
      <w:pPr>
        <w:spacing w:line="480" w:lineRule="auto"/>
        <w:ind w:firstLine="720"/>
        <w:jc w:val="both"/>
        <w:rPr>
          <w:color w:val="auto"/>
        </w:rPr>
      </w:pPr>
      <w:r w:rsidRPr="0053182F">
        <w:rPr>
          <w:color w:val="auto"/>
        </w:rPr>
        <w:t>Because interviews and questionnaires were administered concurrently, participants could choose the format in which they felt most comfortable sharing sensitive information. For example, individuals reluctant to speak openly in interviews due to stigma, shame, or fear of reprisals often preferred to disclose concerns about wages, harassment, or coercion anonymously through the questionnaire. Conversely, some participants used the questionnaire as an initial engagement tool before agreeing to a more in-depth interview.</w:t>
      </w:r>
    </w:p>
    <w:p w14:paraId="0856157A" w14:textId="77777777" w:rsidR="00156A23" w:rsidRPr="0053182F" w:rsidRDefault="00156A23" w:rsidP="00156A23">
      <w:pPr>
        <w:spacing w:line="480" w:lineRule="auto"/>
        <w:ind w:firstLine="720"/>
        <w:jc w:val="both"/>
        <w:rPr>
          <w:color w:val="auto"/>
        </w:rPr>
      </w:pPr>
      <w:r w:rsidRPr="0053182F">
        <w:rPr>
          <w:color w:val="auto"/>
        </w:rPr>
        <w:t>Completed questionnaires were checked for internal consistency, missing responses, and clarity, while ensuring that no identifying markers—such as names, factory numbers, or line supervisors—were recorded. Open-ended sections invited participants to describe experiences in their own words, and these narratives were later integrated with interview transcripts through inductive coding to strengthen thematic triangulation.</w:t>
      </w:r>
    </w:p>
    <w:p w14:paraId="69828CE9" w14:textId="77777777" w:rsidR="00156A23" w:rsidRPr="0053182F" w:rsidRDefault="00156A23" w:rsidP="00156A23">
      <w:pPr>
        <w:spacing w:line="480" w:lineRule="auto"/>
        <w:ind w:firstLine="720"/>
        <w:jc w:val="both"/>
        <w:rPr>
          <w:color w:val="auto"/>
        </w:rPr>
      </w:pPr>
      <w:r w:rsidRPr="0053182F">
        <w:rPr>
          <w:color w:val="auto"/>
        </w:rPr>
        <w:t>By administering questionnaires and interviews simultaneously, the study was able to cross-validate findings, capture a broader range of worker experiences, and address limitations associated with relying on a single qualitative method in a high-risk research context.</w:t>
      </w:r>
    </w:p>
    <w:p w14:paraId="5064AB33" w14:textId="77777777" w:rsidR="00156A23" w:rsidRPr="0053182F" w:rsidRDefault="00156A23" w:rsidP="00156A23">
      <w:pPr>
        <w:pStyle w:val="Heading2"/>
      </w:pPr>
      <w:bookmarkStart w:id="426" w:name="_Toc216557311"/>
      <w:bookmarkStart w:id="427" w:name="_Toc218357201"/>
      <w:r w:rsidRPr="0053182F">
        <w:t>7.21 Ethical Considerations</w:t>
      </w:r>
      <w:bookmarkEnd w:id="426"/>
      <w:bookmarkEnd w:id="427"/>
    </w:p>
    <w:p w14:paraId="4108943A" w14:textId="77777777" w:rsidR="00156A23" w:rsidRPr="0053182F" w:rsidRDefault="00156A23" w:rsidP="00156A23">
      <w:pPr>
        <w:spacing w:line="480" w:lineRule="auto"/>
        <w:ind w:firstLine="720"/>
        <w:jc w:val="both"/>
        <w:rPr>
          <w:color w:val="auto"/>
        </w:rPr>
      </w:pPr>
      <w:r w:rsidRPr="0053182F">
        <w:rPr>
          <w:color w:val="auto"/>
        </w:rPr>
        <w:t xml:space="preserve">Given the extreme sensitivity surrounding CMS, coercion, harassment, and workplace exploitation, the micro-level qualitative phase adhered to strict ethical protocols designed to protect vulnerable participants. Ethical approval was secured from the Keele University research ethics committee prior to </w:t>
      </w:r>
      <w:r w:rsidRPr="0053182F">
        <w:rPr>
          <w:color w:val="EE0000"/>
        </w:rPr>
        <w:t xml:space="preserve">fieldwork (see Appendix </w:t>
      </w:r>
      <w:r w:rsidRPr="0053182F">
        <w:rPr>
          <w:color w:val="auto"/>
        </w:rPr>
        <w:t xml:space="preserve">4), consistent with best practice in qualitative labour rights research </w:t>
      </w:r>
      <w:sdt>
        <w:sdtPr>
          <w:tag w:val="MENDELEY_CITATION_v3_eyJjaXRhdGlvbklEIjoiTUVOREVMRVlfQ0lUQVRJT05fOTJlOThkYjYtNmViOS00Mzc5LWJlMWItMzQzMmI1ZTQyZjRiIiwicHJvcGVydGllcyI6eyJub3RlSW5kZXgiOjB9LCJpc0VkaXRlZCI6ZmFsc2UsIm1hbnVhbE92ZXJyaWRlIjp7ImlzTWFudWFsbHlPdmVycmlkZGVuIjpmYWxzZSwiY2l0ZXByb2NUZXh0IjoiKENyZXN3ZWxsLCAyMDE0OyBNdXRodXRoYW50cmlnZSA8aT5ldCBhbC48L2k+LCAyMDI2KSIsIm1hbnVhbE92ZXJyaWRlVGV4dCI6IiJ9LCJjaXRhdGlvbkl0ZW1zIjpb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"/>
          <w:id w:val="1031456417"/>
          <w:placeholder>
            <w:docPart w:val="B1165F7B00364F2B898C0F066D1DA639"/>
          </w:placeholder>
        </w:sdtPr>
        <w:sdtContent>
          <w:r w:rsidRPr="0053182F">
            <w:rPr>
              <w:rFonts w:eastAsia="Times New Roman"/>
            </w:rPr>
            <w:t xml:space="preserve">(Creswell, 2014; Muthuthantrige </w:t>
          </w:r>
          <w:r w:rsidRPr="0053182F">
            <w:rPr>
              <w:rFonts w:eastAsia="Times New Roman"/>
              <w:i/>
              <w:iCs/>
            </w:rPr>
            <w:t>et al.</w:t>
          </w:r>
          <w:r w:rsidRPr="0053182F">
            <w:rPr>
              <w:rFonts w:eastAsia="Times New Roman"/>
            </w:rPr>
            <w:t>, 2026)</w:t>
          </w:r>
        </w:sdtContent>
      </w:sdt>
      <w:r w:rsidRPr="0053182F">
        <w:rPr>
          <w:color w:val="auto"/>
        </w:rPr>
        <w:t xml:space="preserve">. Both interview and questionnaire participants were fully informed of the study’s aims, confidentiality measures, and voluntary nature, and each provided informed consent. Special care was taken when interviewing female workers, LGBTQ participants, and those reporting abuse, reflecting known risks of retaliation, stigma, and psychological harm among workers </w:t>
      </w:r>
      <w:sdt>
        <w:sdtPr>
          <w:tag w:val="MENDELEY_CITATION_v3_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"/>
          <w:id w:val="-706488957"/>
          <w:placeholder>
            <w:docPart w:val="A3335AF45D5142298D71C1F7A0C376D5"/>
          </w:placeholder>
        </w:sdtPr>
        <w:sdtContent>
          <w:r w:rsidRPr="0053182F">
            <w:rPr>
              <w:rFonts w:eastAsia="Times New Roman"/>
            </w:rPr>
            <w:t xml:space="preserve">(Ahmad </w:t>
          </w:r>
          <w:r w:rsidRPr="0053182F">
            <w:rPr>
              <w:rFonts w:eastAsia="Times New Roman"/>
              <w:i/>
              <w:iCs/>
            </w:rPr>
            <w:t>et al.</w:t>
          </w:r>
          <w:r w:rsidRPr="0053182F">
            <w:rPr>
              <w:rFonts w:eastAsia="Times New Roman"/>
            </w:rPr>
            <w:t>, 2022; Islam and McPhail, 2011)</w:t>
          </w:r>
        </w:sdtContent>
      </w:sdt>
      <w:r w:rsidRPr="0053182F">
        <w:t>.</w:t>
      </w:r>
      <w:r w:rsidRPr="0053182F">
        <w:rPr>
          <w:color w:val="auto"/>
        </w:rPr>
        <w:t xml:space="preserve"> </w:t>
      </w:r>
    </w:p>
    <w:p w14:paraId="012B409A" w14:textId="77777777" w:rsidR="00156A23" w:rsidRPr="0053182F" w:rsidRDefault="00156A23" w:rsidP="00156A23">
      <w:pPr>
        <w:spacing w:line="480" w:lineRule="auto"/>
        <w:ind w:firstLine="720"/>
        <w:jc w:val="both"/>
        <w:rPr>
          <w:color w:val="auto"/>
        </w:rPr>
      </w:pPr>
      <w:r w:rsidRPr="0053182F">
        <w:rPr>
          <w:color w:val="auto"/>
        </w:rPr>
        <w:t xml:space="preserve">Similar to the </w:t>
      </w:r>
      <w:sdt>
        <w:sdtPr>
          <w:tag w:val="MENDELEY_CITATION_v3_eyJjaXRhdGlvbklEIjoiTUVOREVMRVlfQ0lUQVRJT05fNjE2NzBhNjctZWZmNi00YzdjLTgzNmUtYThkZmY4ZTc3YzE4IiwicHJvcGVydGllcyI6eyJub3RlSW5kZXgiOjB9LCJpc0VkaXRlZCI6ZmFsc2UsIm1hbnVhbE92ZXJyaWRlIjp7ImlzTWFudWFsbHlPdmVycmlkZGVuIjp0cnVlLCJjaXRlcHJvY1RleHQiOiIoTXV0aHV0aGFudHJpZ2UgPGk+ZXQgYWwuPC9pPiwgMjAyNikiLCJtYW51YWxPdmVycmlkZVRleHQiOiIoTXV0aHV0aGFudHJpZ2UgZXQgYWwgKDIwMjYp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14569834"/>
          <w:placeholder>
            <w:docPart w:val="B1165F7B00364F2B898C0F066D1DA639"/>
          </w:placeholder>
        </w:sdtPr>
        <w:sdtContent>
          <w:r w:rsidRPr="0053182F">
            <w:t>(Muthuthantrige et al (2026)</w:t>
          </w:r>
        </w:sdtContent>
      </w:sdt>
      <w:r w:rsidRPr="0053182F">
        <w:rPr>
          <w:color w:val="auto"/>
        </w:rPr>
        <w:t xml:space="preserve"> notes, several participants expressed fear of job loss, harassment, or social repercussions, necessitating alternative data collection approaches such as non-recorded interviews, the use of pseudonyms, and off-site meeting locations to ensure safety . Reflexive ethical decision-making guided the research process, with interviewers continuously assessing power imbalances, emotional distress, and cultural sensitivities, particularly given the prevalence of gender-based violence and harassment in Sri Lanka’s A&amp;TI. Participants were provided opportunities to withdraw at any stage, and referrals to support organisations were offered when disclosures indicated potential harm.</w:t>
      </w:r>
    </w:p>
    <w:p w14:paraId="735A0B04" w14:textId="77777777" w:rsidR="00156A23" w:rsidRPr="0053182F" w:rsidRDefault="00156A23" w:rsidP="00156A23">
      <w:pPr>
        <w:spacing w:line="480" w:lineRule="auto"/>
        <w:jc w:val="both"/>
        <w:rPr>
          <w:b/>
          <w:bCs/>
          <w:i/>
          <w:iCs/>
          <w:color w:val="auto"/>
          <w:u w:val="single"/>
        </w:rPr>
      </w:pPr>
      <w:r w:rsidRPr="0053182F">
        <w:rPr>
          <w:color w:val="auto"/>
        </w:rPr>
        <w:t xml:space="preserve"> </w:t>
      </w:r>
      <w:r w:rsidRPr="0053182F">
        <w:rPr>
          <w:b/>
          <w:bCs/>
          <w:i/>
          <w:iCs/>
          <w:color w:val="auto"/>
          <w:u w:val="single"/>
        </w:rPr>
        <w:t>Data Management and Confidentiality</w:t>
      </w:r>
    </w:p>
    <w:p w14:paraId="606585B3" w14:textId="77777777" w:rsidR="00156A23" w:rsidRPr="0053182F" w:rsidRDefault="00156A23" w:rsidP="00156A23">
      <w:pPr>
        <w:spacing w:line="480" w:lineRule="auto"/>
        <w:ind w:firstLine="720"/>
        <w:jc w:val="both"/>
      </w:pPr>
      <w:r w:rsidRPr="0053182F">
        <w:rPr>
          <w:color w:val="auto"/>
        </w:rPr>
        <w:t xml:space="preserve">To protect participants’ anonymity and comply with institutional data protection requirements, all questionnaire and interview materials were handled using secure, encrypted data management procedures </w:t>
      </w:r>
      <w:sdt>
        <w:sdtPr>
          <w:tag w:val="MENDELEY_CITATION_v3_eyJjaXRhdGlvbklEIjoiTUVOREVMRVlfQ0lUQVRJT05fY2Q1ZjQ1ODEtYmM5ZC00NTgzLThlOWEtZTc2NmQ2OWMwOTA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
          <w:id w:val="1456981067"/>
          <w:placeholder>
            <w:docPart w:val="B1165F7B00364F2B898C0F066D1DA639"/>
          </w:placeholder>
        </w:sdtPr>
        <w:sdtContent>
          <w:r w:rsidRPr="0053182F">
            <w:rPr>
              <w:rFonts w:eastAsia="Times New Roman"/>
            </w:rPr>
            <w:t xml:space="preserve">(Muthuthantrige </w:t>
          </w:r>
          <w:r w:rsidRPr="0053182F">
            <w:rPr>
              <w:rFonts w:eastAsia="Times New Roman"/>
              <w:i/>
              <w:iCs/>
            </w:rPr>
            <w:t>et al.</w:t>
          </w:r>
          <w:r w:rsidRPr="0053182F">
            <w:rPr>
              <w:rFonts w:eastAsia="Times New Roman"/>
            </w:rPr>
            <w:t>, 2026)</w:t>
          </w:r>
        </w:sdtContent>
      </w:sdt>
      <w:r w:rsidRPr="0053182F">
        <w:rPr>
          <w:color w:val="auto"/>
        </w:rPr>
        <w:t xml:space="preserve">. Audio files, transcripts, and field notes were stored on password-protected devices accessible only to the research team. Identifying information—including names, locations, factory identifiers, and brand references—was removed during transcription and replaced with anonymised codes (e.g., FW1, HRM3, NGO-RED), following the pseudonymisation approach outlined in the manuscript. Handwritten field notes from non-recorded interviews were digitised immediately after each session, cross-checked for accuracy, and stored securely. A full audit trail was maintained to document data management decisions and ensure traceability of analytic processes </w:t>
      </w:r>
      <w:sdt>
        <w:sdtPr>
          <w:tag w:val="MENDELEY_CITATION_v3_eyJjaXRhdGlvbklEIjoiTUVOREVMRVlfQ0lUQVRJT05fZTUyMTg4NTQtZjQ5Yy00OTFkLThhN2QtNDAzNGE2NWQ5ZmUwIiwicHJvcGVydGllcyI6eyJub3RlSW5kZXgiOjB9LCJpc0VkaXRlZCI6ZmFsc2UsIm1hbnVhbE92ZXJyaWRlIjp7ImlzTWFudWFsbHlPdmVycmlkZGVuIjpmYWxzZSwiY2l0ZXByb2NUZXh0IjoiKEJyYXVuIGFuZCBDbGFya2UsIDIwMDYpIiwibWFudWFsT3ZlcnJpZGVUZXh0IjoiIn0sImNpdGF0aW9uSXRlbXMiOlt7ImlkIjoiNjY3ODRmNmMtZjM3Yi0zOGYxLThiMWUtNGMyNjAwMjg5MzI2IiwiaXRlbURhdGEiOnsidHlwZSI6ImFydGljbGUtam91cm5hbCIsImlkIjoiNjY3ODRmNmMtZjM3Yi0zOGYxLThiMWUtNGMyNjAwMjg5MzI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
          <w:id w:val="976035647"/>
          <w:placeholder>
            <w:docPart w:val="B1165F7B00364F2B898C0F066D1DA639"/>
          </w:placeholder>
        </w:sdtPr>
        <w:sdtContent>
          <w:r w:rsidRPr="0053182F">
            <w:t>(Braun and Clarke, 2006)</w:t>
          </w:r>
        </w:sdtContent>
      </w:sdt>
      <w:r w:rsidRPr="0053182F">
        <w:rPr>
          <w:color w:val="auto"/>
        </w:rPr>
        <w:t xml:space="preserve">. In compliance with institutional policy, data will be retained for a defined period and destroyed thereafter. Confidentiality obligations were explicitly communicated to all participants, and no identifiable information was shared with third parties, employers, or state authorities. This approach aligns with ethical recommendations for research involving highly vulnerable labour populations experiencing coercion, fear, and managerial surveillance </w:t>
      </w:r>
      <w:sdt>
        <w:sdtPr>
          <w:tag w:val="MENDELEY_CITATION_v3_eyJjaXRhdGlvbklEIjoiTUVOREVMRVlfQ0lUQVRJT05fYmE3MGIyM2UtOGM1YS00N2I4LTg1NDctYWJjYWQ3Y2ZjMTJiIiwicHJvcGVydGllcyI6eyJub3RlSW5kZXgiOjB9LCJpc0VkaXRlZCI6ZmFsc2UsIm1hbnVhbE92ZXJyaWRlIjp7ImlzTWFudWFsbHlPdmVycmlkZGVuIjpmYWxzZSwiY2l0ZXByb2NUZXh0IjoiKExlQmFyb24gYW5kIExpc3RlciwgMjAyMTsgTXV0aHV0aGFudHJpZ2UgPGk+ZXQgYWwuPC9pPiwgMjAyNi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
          <w:id w:val="1523591216"/>
          <w:placeholder>
            <w:docPart w:val="B1165F7B00364F2B898C0F066D1DA639"/>
          </w:placeholder>
        </w:sdtPr>
        <w:sdtContent>
          <w:r w:rsidRPr="0053182F">
            <w:rPr>
              <w:rFonts w:eastAsia="Times New Roman"/>
            </w:rPr>
            <w:t xml:space="preserve">(LeBaron and Lister, 2021; Muthuthantrige </w:t>
          </w:r>
          <w:r w:rsidRPr="0053182F">
            <w:rPr>
              <w:rFonts w:eastAsia="Times New Roman"/>
              <w:i/>
              <w:iCs/>
            </w:rPr>
            <w:t>et al.</w:t>
          </w:r>
          <w:r w:rsidRPr="0053182F">
            <w:rPr>
              <w:rFonts w:eastAsia="Times New Roman"/>
            </w:rPr>
            <w:t>, 2026)</w:t>
          </w:r>
        </w:sdtContent>
      </w:sdt>
      <w:r w:rsidRPr="0053182F">
        <w:t>.</w:t>
      </w:r>
    </w:p>
    <w:p w14:paraId="31C702F6" w14:textId="77777777" w:rsidR="00156A23" w:rsidRPr="0053182F" w:rsidRDefault="00156A23" w:rsidP="00156A23">
      <w:pPr>
        <w:pStyle w:val="Heading2"/>
      </w:pPr>
      <w:bookmarkStart w:id="428" w:name="_Toc216557312"/>
      <w:bookmarkStart w:id="429" w:name="_Toc218357202"/>
      <w:r w:rsidRPr="0053182F">
        <w:t>7.22 Cross-phase integration</w:t>
      </w:r>
      <w:bookmarkEnd w:id="428"/>
      <w:bookmarkEnd w:id="429"/>
      <w:r w:rsidRPr="0053182F">
        <w:t xml:space="preserve"> </w:t>
      </w:r>
    </w:p>
    <w:p w14:paraId="3AC97687" w14:textId="77777777" w:rsidR="00156A23" w:rsidRPr="0053182F" w:rsidRDefault="00156A23" w:rsidP="00156A23">
      <w:pPr>
        <w:spacing w:after="0" w:line="480" w:lineRule="auto"/>
        <w:jc w:val="both"/>
        <w:rPr>
          <w:color w:val="auto"/>
          <w:kern w:val="0"/>
          <w14:ligatures w14:val="none"/>
        </w:rPr>
      </w:pPr>
      <w:r w:rsidRPr="0053182F">
        <w:rPr>
          <w:color w:val="auto"/>
          <w:kern w:val="0"/>
          <w14:ligatures w14:val="none"/>
        </w:rPr>
        <w:t>The integration of findings across the quantitative (macro–meso) and qualitative (meso-extension and micro-level) phases followed an explanatory sequential mixed-methods design, in which qualitative evidence is used to deepen, clarify, and reinterpret the statistical patterns identified earlier in the study. Integration was achieved through the use of joint displays, meta-inferences, and systematic triangulation, enabling coherence across the three analytical levels. Joint displays served as a central interface, allowing the side-by-side comparison of statistical associations (such as the relationship between MS and country governance and development indicators, SGIs, and ACMS commitments), patterns emerging from corporate disclosures, and worker experiences captured through interviews and questionnaires. These visual matrices, presented in subsequent empirical chapters, highlighted areas of convergence and divergence—for example, cases in which SGIs appeared to be significant predictors of ACMS performance in the quantitative phase, yet qualitative data revealed limited translation of these commitments into improved labour conditions.</w:t>
      </w:r>
    </w:p>
    <w:p w14:paraId="5DD4E6BE" w14:textId="77777777" w:rsidR="00156A23" w:rsidRPr="0053182F" w:rsidRDefault="00156A23" w:rsidP="00156A23">
      <w:pPr>
        <w:spacing w:after="0"/>
        <w:jc w:val="both"/>
        <w:rPr>
          <w:color w:val="auto"/>
          <w:kern w:val="0"/>
          <w14:ligatures w14:val="none"/>
        </w:rPr>
      </w:pPr>
    </w:p>
    <w:p w14:paraId="4BA4EEB9" w14:textId="77777777" w:rsidR="00156A23" w:rsidRPr="0053182F" w:rsidRDefault="00156A23" w:rsidP="00156A23">
      <w:pPr>
        <w:spacing w:after="0" w:line="480" w:lineRule="auto"/>
        <w:ind w:firstLine="720"/>
        <w:jc w:val="both"/>
        <w:rPr>
          <w:color w:val="auto"/>
          <w:kern w:val="0"/>
          <w14:ligatures w14:val="none"/>
        </w:rPr>
      </w:pPr>
      <w:r w:rsidRPr="0053182F">
        <w:rPr>
          <w:color w:val="auto"/>
          <w:kern w:val="0"/>
          <w14:ligatures w14:val="none"/>
        </w:rPr>
        <w:t>Meta-inferences were then generated by synthesising insights from the macro, meso, and micro strands to explain how and why specific quantitative outcomes manifest in practice. This interpretive process illuminated why firms with strong SGI profiles did not consistently demonstrate equally strong ACMS implementation, how institutional pressures shaped symbolic compliance, and why policy–practice gaps emerged within complex, multi-tiered supply chains. Such meta-inferences are strongly aligned with NIT, reinforcing the theory’s proposition that organisational behaviour is often driven more by legitimacy pressures than by substantive ethical commitments.</w:t>
      </w:r>
    </w:p>
    <w:p w14:paraId="11671809" w14:textId="77777777" w:rsidR="00156A23" w:rsidRPr="0053182F" w:rsidRDefault="00156A23" w:rsidP="00156A23">
      <w:pPr>
        <w:spacing w:after="0"/>
        <w:jc w:val="both"/>
        <w:rPr>
          <w:color w:val="auto"/>
          <w:kern w:val="0"/>
          <w14:ligatures w14:val="none"/>
        </w:rPr>
      </w:pPr>
    </w:p>
    <w:p w14:paraId="3B11C92B" w14:textId="77777777" w:rsidR="00156A23" w:rsidRPr="0053182F" w:rsidRDefault="00156A23" w:rsidP="00156A23">
      <w:pPr>
        <w:spacing w:after="0" w:line="480" w:lineRule="auto"/>
        <w:ind w:firstLine="720"/>
        <w:jc w:val="both"/>
        <w:rPr>
          <w:color w:val="auto"/>
          <w:kern w:val="0"/>
          <w14:ligatures w14:val="none"/>
        </w:rPr>
      </w:pPr>
      <w:r w:rsidRPr="0053182F">
        <w:rPr>
          <w:color w:val="auto"/>
          <w:kern w:val="0"/>
          <w14:ligatures w14:val="none"/>
        </w:rPr>
        <w:t>Triangulation further strengthened the study's credibility by comparing and integrating evidence from quantitative models, corporate disclosures, and worker narratives. This process revealed both alignment and contradiction. For instance, while quantitative findings suggested a positive association between SGIs and ACMS commitments, disclosure analysis frequently exposed selective reporting, reliance on generic due diligence language, and inconsistencies across reporting years. Micro-level testimonies added further depth, revealing production pressures, wage deductions, harassment, restricted mobility, and opaque subcontracting—issues rarely acknowledged in corporate reports. These grounded accounts provided critical explanations for disclosure gaps, illustrating patterns of institutional decoupling.</w:t>
      </w:r>
    </w:p>
    <w:p w14:paraId="345F3D6E" w14:textId="77777777" w:rsidR="00156A23" w:rsidRPr="0053182F" w:rsidRDefault="00156A23" w:rsidP="00156A23">
      <w:pPr>
        <w:spacing w:after="0" w:line="480" w:lineRule="auto"/>
        <w:ind w:firstLine="720"/>
        <w:jc w:val="both"/>
        <w:rPr>
          <w:color w:val="auto"/>
          <w:kern w:val="0"/>
          <w14:ligatures w14:val="none"/>
        </w:rPr>
      </w:pPr>
      <w:r w:rsidRPr="0053182F">
        <w:rPr>
          <w:color w:val="auto"/>
          <w:kern w:val="0"/>
          <w14:ligatures w14:val="none"/>
        </w:rPr>
        <w:t>Conversely, the disclosure analysis helped contextualise quantitative associations by demonstrating that high SGI scores often reflect firms’ adoption of extensive policy frameworks in response to coercive and normative institutional pressures rather than evidence of substantive implementation. Industries with greater reputational exposure tended to produce more detailed disclosures, boosting their measured SGI and ACMS scores even when practice lagged behind policy. Similarly, variations by country of incorporation corresponded to differences in reporting regimes and regulatory expectations, further reinforcing NIT’s core arguments. Through these integrative mechanisms, the study generated robust, multi-layered insights that explain not only what relationships exist in the data but also how and why they materialise in practice.</w:t>
      </w:r>
    </w:p>
    <w:p w14:paraId="44C47163" w14:textId="77777777" w:rsidR="00156A23" w:rsidRPr="0053182F" w:rsidRDefault="00156A23" w:rsidP="00156A23">
      <w:pPr>
        <w:pStyle w:val="Heading2"/>
      </w:pPr>
      <w:bookmarkStart w:id="430" w:name="_Toc216557313"/>
      <w:bookmarkStart w:id="431" w:name="_Toc218357203"/>
      <w:r w:rsidRPr="0053182F">
        <w:t>7.23 Validity, Reliability, and Trustworthiness</w:t>
      </w:r>
      <w:bookmarkEnd w:id="430"/>
      <w:bookmarkEnd w:id="431"/>
      <w:r w:rsidRPr="0053182F">
        <w:t xml:space="preserve"> </w:t>
      </w:r>
    </w:p>
    <w:p w14:paraId="3F3EC74B" w14:textId="77777777" w:rsidR="00156A23" w:rsidRPr="0053182F" w:rsidRDefault="00156A23" w:rsidP="00156A23">
      <w:pPr>
        <w:spacing w:after="0"/>
        <w:jc w:val="both"/>
        <w:rPr>
          <w:color w:val="auto"/>
          <w:kern w:val="0"/>
          <w14:ligatures w14:val="none"/>
        </w:rPr>
      </w:pPr>
    </w:p>
    <w:p w14:paraId="66706A66" w14:textId="77777777" w:rsidR="00156A23" w:rsidRPr="0053182F" w:rsidRDefault="00156A23" w:rsidP="00156A23">
      <w:pPr>
        <w:spacing w:after="0" w:line="480" w:lineRule="auto"/>
        <w:jc w:val="both"/>
        <w:rPr>
          <w:color w:val="auto"/>
          <w:kern w:val="0"/>
          <w14:ligatures w14:val="none"/>
        </w:rPr>
      </w:pPr>
      <w:r w:rsidRPr="0053182F">
        <w:rPr>
          <w:color w:val="auto"/>
          <w:kern w:val="0"/>
          <w14:ligatures w14:val="none"/>
        </w:rPr>
        <w:t>Ensuring methodological rigour in this multi-phase mixed-methods study required a comprehensive strategy to address validity, reliability, and trustworthiness across the quantitative, qualitative, and integrative components. For the quantitative strand, construct validity was strengthened by operationalising variables using established international indicators such as the WGI, SDGI, IHDI, and WGIs, as well as Refinitiv Eikon datasets, thereby ensuring that institutional and corporate governance constructs reflected their theoretical foundations. Internal validity was enhanced through panel-data techniques, including fixed- and random-effects modelling, robust standard errors, and extensive diagnostic testing for multicollinearity, heteroskedasticity, and outlier effects. Time and industry-stratified models further ensured that findings were not artefacts of model specification. External validity was supported by the breadth of the dataset—166 countries and 255  of the G500 firms—providing generalisability across diverse economic contexts. Reliability was maintained through consistent secondary data extraction processes, an audit trail documenting data-cleaning decisions, and the use of replicable coding structures.</w:t>
      </w:r>
    </w:p>
    <w:p w14:paraId="01AEC950" w14:textId="77777777" w:rsidR="00156A23" w:rsidRPr="0053182F" w:rsidRDefault="00156A23" w:rsidP="00156A23">
      <w:pPr>
        <w:spacing w:after="0"/>
        <w:jc w:val="both"/>
        <w:rPr>
          <w:color w:val="auto"/>
          <w:kern w:val="0"/>
          <w14:ligatures w14:val="none"/>
        </w:rPr>
      </w:pPr>
    </w:p>
    <w:p w14:paraId="296DB803" w14:textId="77777777" w:rsidR="00156A23" w:rsidRPr="0053182F" w:rsidRDefault="00156A23" w:rsidP="00156A23">
      <w:pPr>
        <w:spacing w:after="0" w:line="480" w:lineRule="auto"/>
        <w:ind w:firstLine="720"/>
        <w:jc w:val="both"/>
        <w:rPr>
          <w:color w:val="auto"/>
          <w:kern w:val="0"/>
          <w14:ligatures w14:val="none"/>
        </w:rPr>
      </w:pPr>
      <w:r w:rsidRPr="0053182F">
        <w:rPr>
          <w:color w:val="auto"/>
          <w:kern w:val="0"/>
          <w14:ligatures w14:val="none"/>
        </w:rPr>
        <w:t>For the qualitative strand, trustworthiness was established through the criteria of credibility, dependability, confirmability, and transferability. Credibility was reinforced through triangulation of multiple data sources—including interviews, questionnaires, corporate disclosures, NGO reports, and media investigations—which enabled comparison of narratives across stakeholder groups. Member-checking and prolonged engagement in the field further enhanced interpretive accuracy. Dependability was achieved by maintaining a clear audit trail documenting sampling decisions, coding processes, and thematic development. Collaborative coding and systematic anonymisation of data, ensuring that interpretations were grounded in participant accounts rather than researcher bias. Transferability was facilitated by providing thick descriptions of the Sri Lankan A&amp;TI context, enabling readers to assess the applicability of findings to other Global South production settings.</w:t>
      </w:r>
    </w:p>
    <w:p w14:paraId="71391C89" w14:textId="77777777" w:rsidR="00156A23" w:rsidRPr="0053182F" w:rsidRDefault="00156A23" w:rsidP="00156A23">
      <w:pPr>
        <w:spacing w:after="0" w:line="480" w:lineRule="auto"/>
        <w:ind w:firstLine="720"/>
        <w:jc w:val="both"/>
        <w:rPr>
          <w:color w:val="auto"/>
          <w:kern w:val="0"/>
          <w14:ligatures w14:val="none"/>
        </w:rPr>
      </w:pPr>
      <w:r w:rsidRPr="0053182F">
        <w:rPr>
          <w:color w:val="auto"/>
          <w:kern w:val="0"/>
          <w14:ligatures w14:val="none"/>
        </w:rPr>
        <w:t>Finally, rigour in the integration of mixed methods was ensured through clear alignment among strands and systematic triangulation during interpretation. The explanatory sequential design allowed quantitative results to inform qualitative sampling and instrument development, while qualitative insights clarified and contextualised statistical associations. Integration validity was achieved by constructing meta-inferences that synthesised evidence across macro, meso, and micro levels, ensuring theoretical coherence with NIT and empirical consistency across datasets. By combining complementarity, development, and triangulation logics, the study generated robust, multi-layered insights into CMS governance dynamics that would not have been attainable through a single-method design.</w:t>
      </w:r>
    </w:p>
    <w:p w14:paraId="3708B59F" w14:textId="77777777" w:rsidR="00156A23" w:rsidRPr="0053182F" w:rsidRDefault="00156A23" w:rsidP="00156A23">
      <w:pPr>
        <w:pStyle w:val="Heading2"/>
      </w:pPr>
      <w:bookmarkStart w:id="432" w:name="_Toc216557314"/>
      <w:bookmarkStart w:id="433" w:name="_Toc218357204"/>
      <w:r w:rsidRPr="0053182F">
        <w:t>7.24 Methodological Limitations</w:t>
      </w:r>
      <w:bookmarkEnd w:id="432"/>
      <w:bookmarkEnd w:id="433"/>
      <w:r w:rsidRPr="0053182F">
        <w:t xml:space="preserve"> </w:t>
      </w:r>
    </w:p>
    <w:p w14:paraId="642C665B" w14:textId="77777777" w:rsidR="00156A23" w:rsidRPr="0053182F" w:rsidRDefault="00156A23" w:rsidP="00156A23">
      <w:r w:rsidRPr="0053182F">
        <w:t>Table 7.11 below presents the study's methodological limitations.</w:t>
      </w:r>
    </w:p>
    <w:p w14:paraId="165FA9D9" w14:textId="77777777" w:rsidR="00156A23" w:rsidRPr="0053182F" w:rsidRDefault="00156A23" w:rsidP="00156A23">
      <w:r w:rsidRPr="0053182F">
        <w:rPr>
          <w:b/>
          <w:bCs/>
        </w:rPr>
        <w:t>Table 7.11:</w:t>
      </w:r>
      <w:r w:rsidRPr="0053182F">
        <w:t xml:space="preserve"> Methodological limitations</w:t>
      </w:r>
    </w:p>
    <w:tbl>
      <w:tblPr>
        <w:tblW w:w="0" w:type="auto"/>
        <w:tblCellSpacing w:w="15" w:type="dxa"/>
        <w:tblBorders>
          <w:top w:val="single" w:sz="4" w:space="0" w:color="auto"/>
          <w:bottom w:val="single" w:sz="4" w:space="0" w:color="auto"/>
        </w:tblBorders>
        <w:tblLook w:val="04A0" w:firstRow="1" w:lastRow="0" w:firstColumn="1" w:lastColumn="0" w:noHBand="0" w:noVBand="1"/>
      </w:tblPr>
      <w:tblGrid>
        <w:gridCol w:w="2234"/>
        <w:gridCol w:w="3439"/>
        <w:gridCol w:w="3353"/>
      </w:tblGrid>
      <w:tr w:rsidR="00156A23" w:rsidRPr="0053182F" w14:paraId="667871AE" w14:textId="77777777" w:rsidTr="00D20468">
        <w:trPr>
          <w:tblHeader/>
          <w:tblCellSpacing w:w="15" w:type="dxa"/>
        </w:trPr>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6F0395D0" w14:textId="77777777" w:rsidR="00156A23" w:rsidRPr="0053182F" w:rsidRDefault="00156A23"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Limitation Category</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77973E4D" w14:textId="77777777" w:rsidR="00156A23" w:rsidRPr="0053182F" w:rsidRDefault="00156A23"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Description of Limitation</w:t>
            </w:r>
          </w:p>
        </w:tc>
        <w:tc>
          <w:tcPr>
            <w:tcW w:w="0" w:type="auto"/>
            <w:tcBorders>
              <w:top w:val="nil"/>
              <w:left w:val="nil"/>
              <w:bottom w:val="single" w:sz="4" w:space="0" w:color="auto"/>
              <w:right w:val="nil"/>
            </w:tcBorders>
            <w:tcMar>
              <w:top w:w="15" w:type="dxa"/>
              <w:left w:w="15" w:type="dxa"/>
              <w:bottom w:w="15" w:type="dxa"/>
              <w:right w:w="15" w:type="dxa"/>
            </w:tcMar>
            <w:vAlign w:val="center"/>
            <w:hideMark/>
          </w:tcPr>
          <w:p w14:paraId="003E05FD" w14:textId="77777777" w:rsidR="00156A23" w:rsidRPr="0053182F" w:rsidRDefault="00156A23" w:rsidP="00D20468">
            <w:pPr>
              <w:spacing w:after="0" w:line="240" w:lineRule="auto"/>
              <w:jc w:val="center"/>
              <w:rPr>
                <w:rFonts w:eastAsia="Times New Roman"/>
                <w:b/>
                <w:bCs/>
                <w:color w:val="auto"/>
                <w:kern w:val="0"/>
                <w:lang w:eastAsia="en-GB"/>
                <w14:ligatures w14:val="none"/>
              </w:rPr>
            </w:pPr>
            <w:r w:rsidRPr="0053182F">
              <w:rPr>
                <w:rFonts w:eastAsia="Times New Roman"/>
                <w:b/>
                <w:bCs/>
                <w:color w:val="auto"/>
                <w:kern w:val="0"/>
                <w:lang w:eastAsia="en-GB"/>
                <w14:ligatures w14:val="none"/>
              </w:rPr>
              <w:t>Mitigation Strategy Applied</w:t>
            </w:r>
          </w:p>
        </w:tc>
      </w:tr>
      <w:tr w:rsidR="00156A23" w:rsidRPr="0053182F" w14:paraId="5B64B1C4"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35AE17F3"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1. Secondary Data Gaps (Quantitative Phase)</w:t>
            </w:r>
          </w:p>
        </w:tc>
        <w:tc>
          <w:tcPr>
            <w:tcW w:w="0" w:type="auto"/>
            <w:tcBorders>
              <w:top w:val="nil"/>
              <w:left w:val="nil"/>
              <w:bottom w:val="nil"/>
              <w:right w:val="nil"/>
            </w:tcBorders>
            <w:tcMar>
              <w:top w:w="15" w:type="dxa"/>
              <w:left w:w="15" w:type="dxa"/>
              <w:bottom w:w="15" w:type="dxa"/>
              <w:right w:w="15" w:type="dxa"/>
            </w:tcMar>
            <w:vAlign w:val="center"/>
            <w:hideMark/>
          </w:tcPr>
          <w:p w14:paraId="72D9912D"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Missing SGI, ACMS, and control variable data for several G500 firms reduced the sample and introduced potential selection bias.</w:t>
            </w:r>
          </w:p>
        </w:tc>
        <w:tc>
          <w:tcPr>
            <w:tcW w:w="0" w:type="auto"/>
            <w:tcBorders>
              <w:top w:val="nil"/>
              <w:left w:val="nil"/>
              <w:bottom w:val="nil"/>
              <w:right w:val="nil"/>
            </w:tcBorders>
            <w:tcMar>
              <w:top w:w="15" w:type="dxa"/>
              <w:left w:w="15" w:type="dxa"/>
              <w:bottom w:w="15" w:type="dxa"/>
              <w:right w:w="15" w:type="dxa"/>
            </w:tcMar>
            <w:vAlign w:val="center"/>
            <w:hideMark/>
          </w:tcPr>
          <w:p w14:paraId="1FA36BA1"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Employed strict inclusion criteria; conducted robustness checks; transparently reported exclusions and sample characteristics.</w:t>
            </w:r>
          </w:p>
        </w:tc>
      </w:tr>
      <w:tr w:rsidR="00156A23" w:rsidRPr="0053182F" w14:paraId="59DE5572"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1048179"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2. Variability in Corporate Disclosure Quality (Meso Extension)</w:t>
            </w:r>
          </w:p>
        </w:tc>
        <w:tc>
          <w:tcPr>
            <w:tcW w:w="0" w:type="auto"/>
            <w:tcBorders>
              <w:top w:val="nil"/>
              <w:left w:val="nil"/>
              <w:bottom w:val="nil"/>
              <w:right w:val="nil"/>
            </w:tcBorders>
            <w:tcMar>
              <w:top w:w="15" w:type="dxa"/>
              <w:left w:w="15" w:type="dxa"/>
              <w:bottom w:w="15" w:type="dxa"/>
              <w:right w:w="15" w:type="dxa"/>
            </w:tcMar>
            <w:vAlign w:val="center"/>
            <w:hideMark/>
          </w:tcPr>
          <w:p w14:paraId="64E7CD8E"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Annual reports and sustainability disclosures vary in depth and comparability across firms and years, creating a risk of selective reporting and narrative bias.</w:t>
            </w:r>
          </w:p>
        </w:tc>
        <w:tc>
          <w:tcPr>
            <w:tcW w:w="0" w:type="auto"/>
            <w:tcBorders>
              <w:top w:val="nil"/>
              <w:left w:val="nil"/>
              <w:bottom w:val="nil"/>
              <w:right w:val="nil"/>
            </w:tcBorders>
            <w:tcMar>
              <w:top w:w="15" w:type="dxa"/>
              <w:left w:w="15" w:type="dxa"/>
              <w:bottom w:w="15" w:type="dxa"/>
              <w:right w:w="15" w:type="dxa"/>
            </w:tcMar>
            <w:vAlign w:val="center"/>
            <w:hideMark/>
          </w:tcPr>
          <w:p w14:paraId="2BC5AF2F"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Used a standardised coding framework; triangulated disclosures with NGO and media reports; analysed longitudinal patterns to identify inconsistencies.</w:t>
            </w:r>
          </w:p>
        </w:tc>
      </w:tr>
      <w:tr w:rsidR="00156A23" w:rsidRPr="0053182F" w14:paraId="7A705CFF"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180D92B"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3. Symbolic vs. Substantive Reporting</w:t>
            </w:r>
          </w:p>
        </w:tc>
        <w:tc>
          <w:tcPr>
            <w:tcW w:w="0" w:type="auto"/>
            <w:tcBorders>
              <w:top w:val="nil"/>
              <w:left w:val="nil"/>
              <w:bottom w:val="nil"/>
              <w:right w:val="nil"/>
            </w:tcBorders>
            <w:tcMar>
              <w:top w:w="15" w:type="dxa"/>
              <w:left w:w="15" w:type="dxa"/>
              <w:bottom w:w="15" w:type="dxa"/>
              <w:right w:w="15" w:type="dxa"/>
            </w:tcMar>
            <w:vAlign w:val="center"/>
            <w:hideMark/>
          </w:tcPr>
          <w:p w14:paraId="07182FE6"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Corporate disclosures may reflect symbolic compliance rather than actual implementation, leading to overestimation of governance commitment.</w:t>
            </w:r>
          </w:p>
        </w:tc>
        <w:tc>
          <w:tcPr>
            <w:tcW w:w="0" w:type="auto"/>
            <w:tcBorders>
              <w:top w:val="nil"/>
              <w:left w:val="nil"/>
              <w:bottom w:val="nil"/>
              <w:right w:val="nil"/>
            </w:tcBorders>
            <w:tcMar>
              <w:top w:w="15" w:type="dxa"/>
              <w:left w:w="15" w:type="dxa"/>
              <w:bottom w:w="15" w:type="dxa"/>
              <w:right w:w="15" w:type="dxa"/>
            </w:tcMar>
            <w:vAlign w:val="center"/>
            <w:hideMark/>
          </w:tcPr>
          <w:p w14:paraId="45F245E6"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Interpreted findings through NIT; integrated micro-level worker data to validate or challenge corporate claims.</w:t>
            </w:r>
          </w:p>
        </w:tc>
      </w:tr>
      <w:tr w:rsidR="00156A23" w:rsidRPr="0053182F" w14:paraId="441B875E"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43AC97AD"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4. Access Challenges in Fieldwork (Micro Phase)</w:t>
            </w:r>
          </w:p>
        </w:tc>
        <w:tc>
          <w:tcPr>
            <w:tcW w:w="0" w:type="auto"/>
            <w:tcBorders>
              <w:top w:val="nil"/>
              <w:left w:val="nil"/>
              <w:bottom w:val="nil"/>
              <w:right w:val="nil"/>
            </w:tcBorders>
            <w:tcMar>
              <w:top w:w="15" w:type="dxa"/>
              <w:left w:w="15" w:type="dxa"/>
              <w:bottom w:w="15" w:type="dxa"/>
              <w:right w:w="15" w:type="dxa"/>
            </w:tcMar>
            <w:vAlign w:val="center"/>
            <w:hideMark/>
          </w:tcPr>
          <w:p w14:paraId="4F439732"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Gaining access to workers—especially vulnerable groups—was constrained by employer surveillance, fear of retaliation, and cultural sensitivities.</w:t>
            </w:r>
          </w:p>
        </w:tc>
        <w:tc>
          <w:tcPr>
            <w:tcW w:w="0" w:type="auto"/>
            <w:tcBorders>
              <w:top w:val="nil"/>
              <w:left w:val="nil"/>
              <w:bottom w:val="nil"/>
              <w:right w:val="nil"/>
            </w:tcBorders>
            <w:tcMar>
              <w:top w:w="15" w:type="dxa"/>
              <w:left w:w="15" w:type="dxa"/>
              <w:bottom w:w="15" w:type="dxa"/>
              <w:right w:w="15" w:type="dxa"/>
            </w:tcMar>
            <w:vAlign w:val="center"/>
            <w:hideMark/>
          </w:tcPr>
          <w:p w14:paraId="6F0C40B6"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Collaborated with NGOs; used snowball sampling; conducted interviews off-site; adopted flexible and trauma-informed interviewing practices.</w:t>
            </w:r>
          </w:p>
        </w:tc>
      </w:tr>
      <w:tr w:rsidR="00156A23" w:rsidRPr="0053182F" w14:paraId="51300D16"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6F2507B9"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5. Non-Recording of Sensitive Interviews</w:t>
            </w:r>
          </w:p>
        </w:tc>
        <w:tc>
          <w:tcPr>
            <w:tcW w:w="0" w:type="auto"/>
            <w:tcBorders>
              <w:top w:val="nil"/>
              <w:left w:val="nil"/>
              <w:bottom w:val="nil"/>
              <w:right w:val="nil"/>
            </w:tcBorders>
            <w:tcMar>
              <w:top w:w="15" w:type="dxa"/>
              <w:left w:w="15" w:type="dxa"/>
              <w:bottom w:w="15" w:type="dxa"/>
              <w:right w:w="15" w:type="dxa"/>
            </w:tcMar>
            <w:vAlign w:val="center"/>
            <w:hideMark/>
          </w:tcPr>
          <w:p w14:paraId="7AA63798"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Some interviews could not be audio-recorded due to the risk to participants, reducing verbatim detail.</w:t>
            </w:r>
          </w:p>
        </w:tc>
        <w:tc>
          <w:tcPr>
            <w:tcW w:w="0" w:type="auto"/>
            <w:tcBorders>
              <w:top w:val="nil"/>
              <w:left w:val="nil"/>
              <w:bottom w:val="nil"/>
              <w:right w:val="nil"/>
            </w:tcBorders>
            <w:tcMar>
              <w:top w:w="15" w:type="dxa"/>
              <w:left w:w="15" w:type="dxa"/>
              <w:bottom w:w="15" w:type="dxa"/>
              <w:right w:w="15" w:type="dxa"/>
            </w:tcMar>
            <w:vAlign w:val="center"/>
            <w:hideMark/>
          </w:tcPr>
          <w:p w14:paraId="55AFB7EE"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Used detailed fieldnotes; immediate post-interview transcription; cross-checking by research team; maintained reflexive memos.</w:t>
            </w:r>
          </w:p>
        </w:tc>
      </w:tr>
      <w:tr w:rsidR="00156A23" w:rsidRPr="0053182F" w14:paraId="43F68375"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3B72E6D9"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6. Questionnaire Non-Response and Literacy Issues</w:t>
            </w:r>
          </w:p>
        </w:tc>
        <w:tc>
          <w:tcPr>
            <w:tcW w:w="0" w:type="auto"/>
            <w:tcBorders>
              <w:top w:val="nil"/>
              <w:left w:val="nil"/>
              <w:bottom w:val="nil"/>
              <w:right w:val="nil"/>
            </w:tcBorders>
            <w:tcMar>
              <w:top w:w="15" w:type="dxa"/>
              <w:left w:w="15" w:type="dxa"/>
              <w:bottom w:w="15" w:type="dxa"/>
              <w:right w:w="15" w:type="dxa"/>
            </w:tcMar>
            <w:vAlign w:val="center"/>
            <w:hideMark/>
          </w:tcPr>
          <w:p w14:paraId="420EF537"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Some participants lacked confidence in reading/writing Sinhala; fear of being identified reduced the full completion of questionnaires.</w:t>
            </w:r>
          </w:p>
        </w:tc>
        <w:tc>
          <w:tcPr>
            <w:tcW w:w="0" w:type="auto"/>
            <w:tcBorders>
              <w:top w:val="nil"/>
              <w:left w:val="nil"/>
              <w:bottom w:val="nil"/>
              <w:right w:val="nil"/>
            </w:tcBorders>
            <w:tcMar>
              <w:top w:w="15" w:type="dxa"/>
              <w:left w:w="15" w:type="dxa"/>
              <w:bottom w:w="15" w:type="dxa"/>
              <w:right w:w="15" w:type="dxa"/>
            </w:tcMar>
            <w:vAlign w:val="center"/>
            <w:hideMark/>
          </w:tcPr>
          <w:p w14:paraId="52E2056A"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Provided verbal-administered versions; simplified questionnaire design; assured anonymity; used researcher assistance when requested.</w:t>
            </w:r>
          </w:p>
        </w:tc>
      </w:tr>
      <w:tr w:rsidR="00156A23" w:rsidRPr="0053182F" w14:paraId="142D76A7"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631DF213"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7. Cross-Country Data Comparability (Macro Level)</w:t>
            </w:r>
          </w:p>
        </w:tc>
        <w:tc>
          <w:tcPr>
            <w:tcW w:w="0" w:type="auto"/>
            <w:tcBorders>
              <w:top w:val="nil"/>
              <w:left w:val="nil"/>
              <w:bottom w:val="nil"/>
              <w:right w:val="nil"/>
            </w:tcBorders>
            <w:tcMar>
              <w:top w:w="15" w:type="dxa"/>
              <w:left w:w="15" w:type="dxa"/>
              <w:bottom w:w="15" w:type="dxa"/>
              <w:right w:w="15" w:type="dxa"/>
            </w:tcMar>
            <w:vAlign w:val="center"/>
            <w:hideMark/>
          </w:tcPr>
          <w:p w14:paraId="0EDCA330"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Institutional indicators (e.g., IEQ, SDGI, IHDI) differ in quality and measurement standards across countries.</w:t>
            </w:r>
          </w:p>
        </w:tc>
        <w:tc>
          <w:tcPr>
            <w:tcW w:w="0" w:type="auto"/>
            <w:tcBorders>
              <w:top w:val="nil"/>
              <w:left w:val="nil"/>
              <w:bottom w:val="nil"/>
              <w:right w:val="nil"/>
            </w:tcBorders>
            <w:tcMar>
              <w:top w:w="15" w:type="dxa"/>
              <w:left w:w="15" w:type="dxa"/>
              <w:bottom w:w="15" w:type="dxa"/>
              <w:right w:w="15" w:type="dxa"/>
            </w:tcMar>
            <w:vAlign w:val="center"/>
            <w:hideMark/>
          </w:tcPr>
          <w:p w14:paraId="416D2B93"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Used internationally validated datasets; normalised indicators where appropriate; conducted sensitivity analyses.</w:t>
            </w:r>
          </w:p>
        </w:tc>
      </w:tr>
      <w:tr w:rsidR="00156A23" w:rsidRPr="0053182F" w14:paraId="0E674416"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2F2DACC0"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8. Integration Complexity in Mixed Methods</w:t>
            </w:r>
          </w:p>
        </w:tc>
        <w:tc>
          <w:tcPr>
            <w:tcW w:w="0" w:type="auto"/>
            <w:tcBorders>
              <w:top w:val="nil"/>
              <w:left w:val="nil"/>
              <w:bottom w:val="nil"/>
              <w:right w:val="nil"/>
            </w:tcBorders>
            <w:tcMar>
              <w:top w:w="15" w:type="dxa"/>
              <w:left w:w="15" w:type="dxa"/>
              <w:bottom w:w="15" w:type="dxa"/>
              <w:right w:w="15" w:type="dxa"/>
            </w:tcMar>
            <w:vAlign w:val="center"/>
            <w:hideMark/>
          </w:tcPr>
          <w:p w14:paraId="0649118D"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Combining quantitative and qualitative datasets introduces analytical challenges, especially where findings diverge.</w:t>
            </w:r>
          </w:p>
        </w:tc>
        <w:tc>
          <w:tcPr>
            <w:tcW w:w="0" w:type="auto"/>
            <w:tcBorders>
              <w:top w:val="nil"/>
              <w:left w:val="nil"/>
              <w:bottom w:val="nil"/>
              <w:right w:val="nil"/>
            </w:tcBorders>
            <w:tcMar>
              <w:top w:w="15" w:type="dxa"/>
              <w:left w:w="15" w:type="dxa"/>
              <w:bottom w:w="15" w:type="dxa"/>
              <w:right w:w="15" w:type="dxa"/>
            </w:tcMar>
            <w:vAlign w:val="center"/>
            <w:hideMark/>
          </w:tcPr>
          <w:p w14:paraId="3C3312DC"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Used joint displays, meta-inferences, and systematic triangulation; aligned integration strategy with explanatory sequential logic.</w:t>
            </w:r>
          </w:p>
        </w:tc>
      </w:tr>
      <w:tr w:rsidR="00156A23" w:rsidRPr="0053182F" w14:paraId="6BF7D54B" w14:textId="77777777" w:rsidTr="00D20468">
        <w:trPr>
          <w:tblCellSpacing w:w="15" w:type="dxa"/>
        </w:trPr>
        <w:tc>
          <w:tcPr>
            <w:tcW w:w="0" w:type="auto"/>
            <w:tcBorders>
              <w:top w:val="nil"/>
              <w:left w:val="nil"/>
              <w:bottom w:val="nil"/>
              <w:right w:val="nil"/>
            </w:tcBorders>
            <w:tcMar>
              <w:top w:w="15" w:type="dxa"/>
              <w:left w:w="15" w:type="dxa"/>
              <w:bottom w:w="15" w:type="dxa"/>
              <w:right w:w="15" w:type="dxa"/>
            </w:tcMar>
            <w:vAlign w:val="center"/>
            <w:hideMark/>
          </w:tcPr>
          <w:p w14:paraId="2AABC261"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9. Limited Generalisability of Qualitative Findings</w:t>
            </w:r>
          </w:p>
        </w:tc>
        <w:tc>
          <w:tcPr>
            <w:tcW w:w="0" w:type="auto"/>
            <w:tcBorders>
              <w:top w:val="nil"/>
              <w:left w:val="nil"/>
              <w:bottom w:val="nil"/>
              <w:right w:val="nil"/>
            </w:tcBorders>
            <w:tcMar>
              <w:top w:w="15" w:type="dxa"/>
              <w:left w:w="15" w:type="dxa"/>
              <w:bottom w:w="15" w:type="dxa"/>
              <w:right w:w="15" w:type="dxa"/>
            </w:tcMar>
            <w:vAlign w:val="center"/>
            <w:hideMark/>
          </w:tcPr>
          <w:p w14:paraId="1A4CDA88"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Micro-level insights from Sri Lanka’s A&amp;TI may not generalise to all countries or supply-chain contexts.</w:t>
            </w:r>
          </w:p>
        </w:tc>
        <w:tc>
          <w:tcPr>
            <w:tcW w:w="0" w:type="auto"/>
            <w:tcBorders>
              <w:top w:val="nil"/>
              <w:left w:val="nil"/>
              <w:bottom w:val="nil"/>
              <w:right w:val="nil"/>
            </w:tcBorders>
            <w:tcMar>
              <w:top w:w="15" w:type="dxa"/>
              <w:left w:w="15" w:type="dxa"/>
              <w:bottom w:w="15" w:type="dxa"/>
              <w:right w:w="15" w:type="dxa"/>
            </w:tcMar>
            <w:vAlign w:val="center"/>
            <w:hideMark/>
          </w:tcPr>
          <w:p w14:paraId="11685E56" w14:textId="77777777" w:rsidR="00156A23" w:rsidRPr="0053182F" w:rsidRDefault="00156A23" w:rsidP="00D20468">
            <w:pPr>
              <w:spacing w:after="0" w:line="240" w:lineRule="auto"/>
              <w:rPr>
                <w:rFonts w:eastAsia="Times New Roman"/>
                <w:color w:val="auto"/>
                <w:kern w:val="0"/>
                <w:lang w:eastAsia="en-GB"/>
                <w14:ligatures w14:val="none"/>
              </w:rPr>
            </w:pPr>
            <w:r w:rsidRPr="0053182F">
              <w:rPr>
                <w:rFonts w:eastAsia="Times New Roman"/>
                <w:color w:val="auto"/>
                <w:kern w:val="0"/>
                <w:lang w:eastAsia="en-GB"/>
                <w14:ligatures w14:val="none"/>
              </w:rPr>
              <w:t>Positioned qualitative results as contextual explanations; used them to interpret—not generalise beyond—the quantitative findings.</w:t>
            </w:r>
          </w:p>
        </w:tc>
      </w:tr>
    </w:tbl>
    <w:p w14:paraId="1DBE8619" w14:textId="77777777" w:rsidR="00156A23" w:rsidRPr="0053182F" w:rsidRDefault="00156A23" w:rsidP="00156A23">
      <w:pPr>
        <w:spacing w:after="0"/>
        <w:jc w:val="both"/>
        <w:rPr>
          <w:color w:val="auto"/>
          <w:kern w:val="0"/>
          <w14:ligatures w14:val="none"/>
        </w:rPr>
      </w:pPr>
      <w:r w:rsidRPr="0053182F">
        <w:rPr>
          <w:b/>
          <w:bCs/>
          <w:color w:val="auto"/>
          <w:kern w:val="0"/>
          <w14:ligatures w14:val="none"/>
        </w:rPr>
        <w:t>Source:</w:t>
      </w:r>
      <w:r w:rsidRPr="0053182F">
        <w:rPr>
          <w:color w:val="auto"/>
          <w:kern w:val="0"/>
          <w14:ligatures w14:val="none"/>
        </w:rPr>
        <w:t xml:space="preserve"> Author's own work</w:t>
      </w:r>
    </w:p>
    <w:p w14:paraId="312B3DA2" w14:textId="77777777" w:rsidR="00156A23" w:rsidRPr="0053182F" w:rsidRDefault="00156A23" w:rsidP="00156A23">
      <w:pPr>
        <w:pStyle w:val="NormalWeb"/>
        <w:rPr>
          <w:rStyle w:val="Strong"/>
          <w:rFonts w:eastAsiaTheme="majorEastAsia"/>
          <w:bCs w:val="0"/>
          <w:color w:val="000000" w:themeColor="text1"/>
          <w:kern w:val="2"/>
          <w:sz w:val="32"/>
          <w:szCs w:val="32"/>
          <w:lang w:eastAsia="en-US"/>
          <w14:ligatures w14:val="standardContextual"/>
        </w:rPr>
      </w:pPr>
      <w:r w:rsidRPr="0053182F">
        <w:rPr>
          <w:rStyle w:val="Strong"/>
          <w:rFonts w:eastAsiaTheme="majorEastAsia"/>
          <w:bCs w:val="0"/>
          <w:color w:val="000000" w:themeColor="text1"/>
          <w:kern w:val="2"/>
          <w:sz w:val="32"/>
          <w:szCs w:val="32"/>
          <w:lang w:eastAsia="en-US"/>
          <w14:ligatures w14:val="standardContextual"/>
        </w:rPr>
        <w:t>7.25 Chapter Summary</w:t>
      </w:r>
    </w:p>
    <w:p w14:paraId="62E82D71" w14:textId="77777777" w:rsidR="00156A23" w:rsidRPr="0053182F" w:rsidRDefault="00156A23" w:rsidP="00156A23">
      <w:pPr>
        <w:pStyle w:val="NormalWeb"/>
        <w:spacing w:line="480" w:lineRule="auto"/>
        <w:jc w:val="both"/>
      </w:pPr>
      <w:r w:rsidRPr="0053182F">
        <w:t>This chapter outlines the complete methodological architecture underpinning the study’s three-phase explanatory-sequential mixed-methods design. The chapter demonstrated how macro- and meso-level quantitative analyses were systematically integrated with meso-extension disclosure analysis and micro-level qualitative inquiry to develop a multi-scalar understanding of CMS governance. The methodological rationale was grounded in critical realism and pragmatism, enabling the combination of numerical patterns with contextual, experiential, and interpretive insights.</w:t>
      </w:r>
    </w:p>
    <w:p w14:paraId="00242DBC" w14:textId="77777777" w:rsidR="00156A23" w:rsidRPr="0053182F" w:rsidRDefault="00156A23" w:rsidP="00156A23">
      <w:pPr>
        <w:pStyle w:val="NormalWeb"/>
        <w:spacing w:line="480" w:lineRule="auto"/>
        <w:ind w:firstLine="720"/>
        <w:jc w:val="both"/>
      </w:pPr>
      <w:r w:rsidRPr="0053182F">
        <w:t>At the quantitative stage, macro-level institutional indicators and meso-level SGIs were modelled across 3,825 firm-year observations. The meso-extension phase deepened the analysis through a structured content analysis of five years of disclosures from Nike, Inditex, and Christian Dior, revealing patterns of symbolic and substantive accountability. The micro-level qualitative phase further contextualised these findings through 72 interviews and 105 worker questionnaires, illuminating the lived realities, governance gaps, and systemic vulnerabilities within Sri Lanka’s A&amp;TI.</w:t>
      </w:r>
    </w:p>
    <w:p w14:paraId="06FB2512" w14:textId="77777777" w:rsidR="00156A23" w:rsidRPr="0053182F" w:rsidRDefault="00156A23" w:rsidP="00156A23">
      <w:pPr>
        <w:pStyle w:val="NormalWeb"/>
        <w:spacing w:line="480" w:lineRule="auto"/>
        <w:ind w:firstLine="720"/>
        <w:jc w:val="both"/>
      </w:pPr>
      <w:r w:rsidRPr="0053182F">
        <w:t>The chapter also detailed sampling strategies, data collection protocols, coding frameworks, analytical techniques, ethical safeguards, and data-integration procedures. Rigour was reinforced through triangulation, reflexive coding, member checking, robustness tests, and a transparent audit trail. Limitations related to data availability, disclosure bias, access constraints, and cross-level integration were acknowledged, along with mitigation strategies implemented to ensure trustworthiness.</w:t>
      </w:r>
    </w:p>
    <w:p w14:paraId="6BC9D79D" w14:textId="77777777" w:rsidR="00156A23" w:rsidRPr="0053182F" w:rsidRDefault="00156A23" w:rsidP="00156A23">
      <w:pPr>
        <w:pStyle w:val="NormalWeb"/>
        <w:spacing w:line="480" w:lineRule="auto"/>
        <w:ind w:firstLine="720"/>
        <w:jc w:val="both"/>
      </w:pPr>
      <w:r w:rsidRPr="0053182F">
        <w:t>Overall, this methodology provides a robust and coherent foundation for answering the study’s research questions and for generating meta-inferences that connect institutional structures, corporate practices, and worker experiences. The next chapter presents the empirical findings derived from the macro- and meso-level quantitative analyses, followed by integrated insights from disclosure analysis and micro-level qualitative evidence.</w:t>
      </w:r>
    </w:p>
    <w:p w14:paraId="39619378" w14:textId="77777777" w:rsidR="00156A23" w:rsidRPr="0053182F" w:rsidRDefault="00156A23" w:rsidP="00156A23">
      <w:pPr>
        <w:spacing w:line="480" w:lineRule="auto"/>
        <w:jc w:val="both"/>
        <w:rPr>
          <w:color w:val="auto"/>
        </w:rPr>
      </w:pPr>
    </w:p>
    <w:p w14:paraId="6F632D72" w14:textId="77777777" w:rsidR="00156A23" w:rsidRPr="0053182F" w:rsidRDefault="00156A23" w:rsidP="00156A23">
      <w:pPr>
        <w:spacing w:line="480" w:lineRule="auto"/>
        <w:jc w:val="both"/>
        <w:rPr>
          <w:color w:val="auto"/>
        </w:rPr>
      </w:pPr>
    </w:p>
    <w:p w14:paraId="4AD359DC" w14:textId="77777777" w:rsidR="00156A23" w:rsidRPr="0053182F" w:rsidRDefault="00156A23" w:rsidP="00156A23">
      <w:pPr>
        <w:spacing w:line="480" w:lineRule="auto"/>
        <w:jc w:val="both"/>
        <w:rPr>
          <w:color w:val="auto"/>
        </w:rPr>
      </w:pPr>
    </w:p>
    <w:p w14:paraId="292B390C" w14:textId="77777777" w:rsidR="00156A23" w:rsidRPr="0053182F" w:rsidRDefault="00156A23" w:rsidP="00156A23">
      <w:pPr>
        <w:spacing w:line="480" w:lineRule="auto"/>
        <w:jc w:val="both"/>
        <w:rPr>
          <w:color w:val="auto"/>
        </w:rPr>
      </w:pPr>
    </w:p>
    <w:p w14:paraId="7A3838F4" w14:textId="77777777" w:rsidR="00156A23" w:rsidRPr="0053182F" w:rsidRDefault="00156A23" w:rsidP="00156A23">
      <w:pPr>
        <w:spacing w:line="480" w:lineRule="auto"/>
        <w:jc w:val="both"/>
        <w:rPr>
          <w:color w:val="auto"/>
        </w:rPr>
      </w:pPr>
    </w:p>
    <w:p w14:paraId="59EDE04D" w14:textId="77777777" w:rsidR="00156A23" w:rsidRPr="0053182F" w:rsidRDefault="00156A23" w:rsidP="00156A23">
      <w:pPr>
        <w:spacing w:line="480" w:lineRule="auto"/>
        <w:jc w:val="both"/>
        <w:rPr>
          <w:color w:val="auto"/>
        </w:rPr>
      </w:pPr>
    </w:p>
    <w:p w14:paraId="15C2C6F6" w14:textId="77777777" w:rsidR="00156A23" w:rsidRPr="0053182F" w:rsidRDefault="00156A23" w:rsidP="00156A23">
      <w:pPr>
        <w:spacing w:line="480" w:lineRule="auto"/>
        <w:jc w:val="both"/>
        <w:rPr>
          <w:color w:val="auto"/>
        </w:rPr>
      </w:pPr>
    </w:p>
    <w:p w14:paraId="6C578ECD" w14:textId="77777777" w:rsidR="00156A23" w:rsidRPr="0053182F" w:rsidRDefault="00156A23" w:rsidP="00156A23">
      <w:pPr>
        <w:pStyle w:val="NormalWeb"/>
        <w:spacing w:before="0" w:beforeAutospacing="0" w:after="0" w:afterAutospacing="0" w:line="480" w:lineRule="auto"/>
        <w:ind w:firstLine="720"/>
        <w:jc w:val="both"/>
        <w:rPr>
          <w:color w:val="auto"/>
        </w:rPr>
      </w:pPr>
    </w:p>
    <w:p w14:paraId="760E3A97" w14:textId="77777777" w:rsidR="00156A23" w:rsidRPr="0053182F" w:rsidRDefault="00156A23" w:rsidP="00156A23"/>
    <w:p w14:paraId="1AEAB742" w14:textId="77777777" w:rsidR="00156A23" w:rsidRPr="0053182F" w:rsidRDefault="00156A23" w:rsidP="00156A23">
      <w:pPr>
        <w:pStyle w:val="ds-markdown-paragraph"/>
        <w:shd w:val="clear" w:color="auto" w:fill="FFFFFF"/>
        <w:spacing w:before="0" w:beforeAutospacing="0" w:after="0" w:afterAutospacing="0" w:line="480" w:lineRule="auto"/>
        <w:ind w:firstLine="720"/>
        <w:jc w:val="both"/>
        <w:rPr>
          <w:color w:val="0F1115"/>
        </w:rPr>
      </w:pPr>
    </w:p>
    <w:p w14:paraId="398510F4" w14:textId="77777777" w:rsidR="00156A23" w:rsidRPr="0053182F" w:rsidRDefault="00156A23" w:rsidP="00156A23">
      <w:pPr>
        <w:pStyle w:val="ds-markdown-paragraph"/>
        <w:shd w:val="clear" w:color="auto" w:fill="FFFFFF"/>
        <w:spacing w:before="0" w:beforeAutospacing="0" w:after="0" w:afterAutospacing="0" w:line="480" w:lineRule="auto"/>
        <w:ind w:firstLine="720"/>
        <w:jc w:val="both"/>
        <w:rPr>
          <w:color w:val="0F1115"/>
        </w:rPr>
      </w:pPr>
    </w:p>
    <w:p w14:paraId="40E84066" w14:textId="77777777" w:rsidR="00156A23" w:rsidRPr="0053182F" w:rsidRDefault="00156A23" w:rsidP="00156A23">
      <w:pPr>
        <w:spacing w:after="0" w:line="480" w:lineRule="auto"/>
        <w:ind w:firstLine="720"/>
        <w:jc w:val="both"/>
        <w:rPr>
          <w:rFonts w:eastAsia="Times New Roman"/>
        </w:rPr>
      </w:pPr>
    </w:p>
    <w:sectPr w:rsidR="00156A23" w:rsidRPr="0053182F" w:rsidSect="00530E44">
      <w:footerReference w:type="even" r:id="rId49"/>
      <w:pgSz w:w="11906" w:h="16838"/>
      <w:pgMar w:top="1440" w:right="1440" w:bottom="1440" w:left="1440" w:header="708" w:footer="708"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2" w:author="Nadeesha Muthuthantrige Alias Polwaththage" w:date="2025-12-09T11:52:00Z" w:initials="NM">
    <w:p w14:paraId="509317AC" w14:textId="77777777" w:rsidR="00144866" w:rsidRDefault="00144866" w:rsidP="00D20468">
      <w:pPr>
        <w:pStyle w:val="CommentText"/>
      </w:pPr>
      <w:r>
        <w:rPr>
          <w:rStyle w:val="CommentReference"/>
        </w:rPr>
        <w:annotationRef/>
      </w:r>
      <w:r>
        <w:t>Add page number</w:t>
      </w:r>
    </w:p>
  </w:comment>
  <w:comment w:id="246" w:author="Nadeesha Muthuthantrige Alias Polwaththage" w:date="2025-12-28T22:58:00Z" w:initials="NM">
    <w:p w14:paraId="26E82939" w14:textId="77777777" w:rsidR="004B74F5" w:rsidRDefault="004B74F5" w:rsidP="004B74F5">
      <w:pPr>
        <w:pStyle w:val="CommentText"/>
      </w:pPr>
      <w:r>
        <w:rPr>
          <w:rStyle w:val="CommentReference"/>
        </w:rPr>
        <w:annotationRef/>
      </w:r>
      <w:r>
        <w:t>MOVE TO THEORITICAL CHAPTER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09317AC" w15:done="0"/>
  <w15:commentEx w15:paraId="26E8293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C275C51" w16cex:dateUtc="2025-12-09T11:52:00Z"/>
  <w16cex:commentExtensible w16cex:durableId="244B57DE" w16cex:dateUtc="2025-12-28T22: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09317AC" w16cid:durableId="7C275C51"/>
  <w16cid:commentId w16cid:paraId="26E82939" w16cid:durableId="244B57D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4B9F8" w14:textId="77777777" w:rsidR="00602225" w:rsidRDefault="00602225" w:rsidP="00144866">
      <w:pPr>
        <w:spacing w:after="0" w:line="240" w:lineRule="auto"/>
      </w:pPr>
      <w:r>
        <w:separator/>
      </w:r>
    </w:p>
  </w:endnote>
  <w:endnote w:type="continuationSeparator" w:id="0">
    <w:p w14:paraId="2626D014" w14:textId="77777777" w:rsidR="00602225" w:rsidRDefault="00602225" w:rsidP="00144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7996758"/>
      <w:docPartObj>
        <w:docPartGallery w:val="Page Numbers (Bottom of Page)"/>
        <w:docPartUnique/>
      </w:docPartObj>
    </w:sdtPr>
    <w:sdtEndPr>
      <w:rPr>
        <w:noProof/>
      </w:rPr>
    </w:sdtEndPr>
    <w:sdtContent>
      <w:p w14:paraId="2BB79906" w14:textId="77777777" w:rsidR="00144866" w:rsidRDefault="001448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764F53" w14:textId="77777777" w:rsidR="00144866" w:rsidRDefault="001448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635410"/>
      <w:docPartObj>
        <w:docPartGallery w:val="Page Numbers (Bottom of Page)"/>
        <w:docPartUnique/>
      </w:docPartObj>
    </w:sdtPr>
    <w:sdtEndPr>
      <w:rPr>
        <w:noProof/>
      </w:rPr>
    </w:sdtEndPr>
    <w:sdtContent>
      <w:p w14:paraId="421D8C0C" w14:textId="4D9FBD96" w:rsidR="00AD3D54" w:rsidRDefault="00AD3D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F79324" w14:textId="77777777" w:rsidR="00B807EE" w:rsidRDefault="00B807E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3343439"/>
      <w:docPartObj>
        <w:docPartGallery w:val="Page Numbers (Bottom of Page)"/>
        <w:docPartUnique/>
      </w:docPartObj>
    </w:sdtPr>
    <w:sdtEndPr>
      <w:rPr>
        <w:noProof/>
      </w:rPr>
    </w:sdtEndPr>
    <w:sdtContent>
      <w:p w14:paraId="59AA8713" w14:textId="77777777" w:rsidR="00144866" w:rsidRDefault="001448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0CD544" w14:textId="77777777" w:rsidR="00144866" w:rsidRDefault="001448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68300F" w14:textId="77777777" w:rsidR="00602225" w:rsidRDefault="00602225" w:rsidP="00144866">
      <w:pPr>
        <w:spacing w:after="0" w:line="240" w:lineRule="auto"/>
      </w:pPr>
      <w:r>
        <w:separator/>
      </w:r>
    </w:p>
  </w:footnote>
  <w:footnote w:type="continuationSeparator" w:id="0">
    <w:p w14:paraId="1EFB566D" w14:textId="77777777" w:rsidR="00602225" w:rsidRDefault="00602225" w:rsidP="00144866">
      <w:pPr>
        <w:spacing w:after="0" w:line="240" w:lineRule="auto"/>
      </w:pPr>
      <w:r>
        <w:continuationSeparator/>
      </w:r>
    </w:p>
  </w:footnote>
  <w:footnote w:id="1">
    <w:p w14:paraId="0F96077B" w14:textId="77777777" w:rsidR="00144866" w:rsidRDefault="00144866" w:rsidP="00144866">
      <w:pPr>
        <w:pStyle w:val="FootnoteText"/>
        <w:jc w:val="both"/>
      </w:pPr>
      <w:r>
        <w:rPr>
          <w:rStyle w:val="FootnoteReference"/>
        </w:rPr>
        <w:footnoteRef/>
      </w:r>
      <w:r>
        <w:t xml:space="preserve"> </w:t>
      </w:r>
      <w:r>
        <w:rPr>
          <w:rStyle w:val="normaltextrun"/>
          <w:shd w:val="clear" w:color="auto" w:fill="FFFFFF"/>
        </w:rPr>
        <w:t>Denial of basic rights refers to the systematic withholding of fundamental labour protections such as freedom of association, non-discrimination, fair remuneration, and safe working conditions—often in violation of internationally recognised standards. Such denials are prevalent in exploitative labour contexts where workers face barriers to unionisation, legal recourse, or effective grievance mechanisms </w:t>
      </w:r>
      <w:r>
        <w:rPr>
          <w:rStyle w:val="contentcontrolboundarysink"/>
          <w:shd w:val="clear" w:color="auto" w:fill="FFFFFF"/>
        </w:rPr>
        <w:t>​</w:t>
      </w:r>
      <w:r>
        <w:rPr>
          <w:rStyle w:val="normaltextrun"/>
          <w:shd w:val="clear" w:color="auto" w:fill="FFFFFF"/>
        </w:rPr>
        <w:t>(ILO, 1999)</w:t>
      </w:r>
      <w:r>
        <w:rPr>
          <w:rStyle w:val="contentcontrolboundarysink"/>
          <w:shd w:val="clear" w:color="auto" w:fill="FFFFFF"/>
        </w:rPr>
        <w:t>​</w:t>
      </w:r>
      <w:r>
        <w:rPr>
          <w:rStyle w:val="normaltextrun"/>
          <w:shd w:val="clear" w:color="auto" w:fill="FFFFFF"/>
        </w:rPr>
        <w:t>. </w:t>
      </w:r>
    </w:p>
  </w:footnote>
  <w:footnote w:id="2">
    <w:p w14:paraId="09A9AE70" w14:textId="77777777" w:rsidR="00144866" w:rsidRDefault="00144866" w:rsidP="00144866">
      <w:pPr>
        <w:pStyle w:val="FootnoteText"/>
        <w:jc w:val="both"/>
      </w:pPr>
      <w:r>
        <w:rPr>
          <w:rStyle w:val="FootnoteReference"/>
        </w:rPr>
        <w:footnoteRef/>
      </w:r>
      <w:r>
        <w:t xml:space="preserve"> </w:t>
      </w:r>
      <w:r>
        <w:rPr>
          <w:rStyle w:val="normaltextrun"/>
          <w:shd w:val="clear" w:color="auto" w:fill="FFFFFF"/>
        </w:rPr>
        <w:t> Opaque subcontracting refers to the practice whereby MNCs outsource production to intermediary firms or tier-1 suppliers, who then delegate work to unregulated or informal subcontractors without adequate transparency, oversight, or disclosure. (LeBaron and Lister, 2021; Barrientos, 2013).</w:t>
      </w:r>
    </w:p>
  </w:footnote>
  <w:footnote w:id="3">
    <w:p w14:paraId="4D95AD5E" w14:textId="4264788A" w:rsidR="00144866" w:rsidRPr="00D21D1E" w:rsidRDefault="00144866" w:rsidP="00144866">
      <w:pPr>
        <w:spacing w:line="276" w:lineRule="auto"/>
        <w:jc w:val="both"/>
        <w:rPr>
          <w:rFonts w:ascii="Palatino Linotype" w:hAnsi="Palatino Linotype"/>
          <w:color w:val="000000" w:themeColor="text1"/>
          <w:sz w:val="16"/>
          <w:szCs w:val="16"/>
        </w:rPr>
      </w:pPr>
      <w:r>
        <w:rPr>
          <w:rStyle w:val="FootnoteReference"/>
        </w:rPr>
        <w:footnoteRef/>
      </w:r>
      <w:r>
        <w:t xml:space="preserve"> </w:t>
      </w:r>
      <w:r w:rsidRPr="00530861">
        <w:rPr>
          <w:rFonts w:ascii="Palatino Linotype" w:hAnsi="Palatino Linotype"/>
          <w:sz w:val="16"/>
          <w:szCs w:val="16"/>
        </w:rPr>
        <w:t>Highest prevalent modern slavery – estimated prevalence per 1,000 population</w:t>
      </w:r>
      <w:r>
        <w:rPr>
          <w:rFonts w:ascii="Palatino Linotype" w:hAnsi="Palatino Linotype"/>
          <w:sz w:val="16"/>
          <w:szCs w:val="16"/>
        </w:rPr>
        <w:t xml:space="preserve">, highest prevalence recorded in </w:t>
      </w:r>
      <w:r w:rsidRPr="00530861">
        <w:rPr>
          <w:rFonts w:ascii="Palatino Linotype" w:hAnsi="Palatino Linotype"/>
          <w:sz w:val="16"/>
          <w:szCs w:val="16"/>
        </w:rPr>
        <w:t>North Korea (104.6),</w:t>
      </w:r>
      <w:r>
        <w:rPr>
          <w:rFonts w:ascii="Palatino Linotype" w:hAnsi="Palatino Linotype"/>
          <w:sz w:val="16"/>
          <w:szCs w:val="16"/>
        </w:rPr>
        <w:t xml:space="preserve"> Eritrea (93.3), Mauritania (32), Saudi Arabia (21.3), </w:t>
      </w:r>
      <w:r w:rsidRPr="005B1B77">
        <w:rPr>
          <w:rFonts w:ascii="Palatino Linotype" w:hAnsi="Palatino Linotype"/>
          <w:sz w:val="16"/>
          <w:szCs w:val="16"/>
        </w:rPr>
        <w:t>Turkiye (15.6), Tajikistan</w:t>
      </w:r>
      <w:r>
        <w:rPr>
          <w:rFonts w:ascii="Palatino Linotype" w:hAnsi="Palatino Linotype"/>
          <w:sz w:val="16"/>
          <w:szCs w:val="16"/>
        </w:rPr>
        <w:t xml:space="preserve"> </w:t>
      </w:r>
      <w:r w:rsidRPr="005B1B77">
        <w:rPr>
          <w:rFonts w:ascii="Palatino Linotype" w:hAnsi="Palatino Linotype"/>
          <w:sz w:val="16"/>
          <w:szCs w:val="16"/>
        </w:rPr>
        <w:t>(14),</w:t>
      </w:r>
      <w:r>
        <w:rPr>
          <w:rFonts w:ascii="Palatino Linotype" w:hAnsi="Palatino Linotype"/>
          <w:sz w:val="16"/>
          <w:szCs w:val="16"/>
        </w:rPr>
        <w:t xml:space="preserve"> </w:t>
      </w:r>
      <w:r w:rsidRPr="005B1B77">
        <w:rPr>
          <w:rFonts w:ascii="Palatino Linotype" w:hAnsi="Palatino Linotype"/>
          <w:sz w:val="16"/>
          <w:szCs w:val="16"/>
        </w:rPr>
        <w:t>United Arb Emirates (13.4), Russia (13), Afghanistan (13), Kuwait (13)</w:t>
      </w:r>
      <w:r>
        <w:rPr>
          <w:rFonts w:ascii="Palatino Linotype" w:hAnsi="Palatino Linotype"/>
          <w:sz w:val="16"/>
          <w:szCs w:val="16"/>
        </w:rPr>
        <w:t xml:space="preserve">. </w:t>
      </w:r>
      <w:sdt>
        <w:sdtPr>
          <w:rPr>
            <w:rFonts w:ascii="Palatino Linotype" w:hAnsi="Palatino Linotype"/>
            <w:sz w:val="16"/>
            <w:szCs w:val="16"/>
          </w:rPr>
          <w:tag w:val="MENDELEY_CITATION_v3_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V19"/>
          <w:id w:val="454292629"/>
          <w:placeholder>
            <w:docPart w:val="4AC7928D3C7C417595243850F1CA2481"/>
          </w:placeholder>
        </w:sdtPr>
        <w:sdtContent>
          <w:r w:rsidR="00CC19F4" w:rsidRPr="00CC19F4">
            <w:rPr>
              <w:rFonts w:ascii="Palatino Linotype" w:hAnsi="Palatino Linotype"/>
              <w:sz w:val="16"/>
              <w:szCs w:val="16"/>
            </w:rPr>
            <w:t>(Walk Free, 2023a, p.25)</w:t>
          </w:r>
        </w:sdtContent>
      </w:sdt>
      <w:r>
        <w:rPr>
          <w:rFonts w:ascii="Palatino Linotype" w:hAnsi="Palatino Linotype"/>
          <w:sz w:val="16"/>
          <w:szCs w:val="16"/>
        </w:rPr>
        <w:t>.</w:t>
      </w:r>
    </w:p>
  </w:footnote>
  <w:footnote w:id="4">
    <w:p w14:paraId="0228CF36" w14:textId="66870F92" w:rsidR="00144866" w:rsidRDefault="00144866" w:rsidP="00144866">
      <w:pPr>
        <w:pStyle w:val="FootnoteText"/>
      </w:pPr>
      <w:r>
        <w:rPr>
          <w:rStyle w:val="FootnoteReference"/>
        </w:rPr>
        <w:footnoteRef/>
      </w:r>
      <w:r>
        <w:t xml:space="preserve"> </w:t>
      </w:r>
      <w:r w:rsidRPr="00CD6D26">
        <w:rPr>
          <w:rFonts w:eastAsia="Times New Roman"/>
        </w:rPr>
        <w:t xml:space="preserve">LGBTQI community members mean The LGBT community (also known as the LGBTQ+ community, LGBTQIA+ community, GLBT community, or queer community) is a loosely defined grouping of lesbian, gay, bisexual, transgender and questioning (or queer) individuals united by a common culture and social movements </w:t>
      </w:r>
      <w:sdt>
        <w:sdtPr>
          <w:rPr>
            <w:rFonts w:eastAsia="Times New Roman"/>
            <w:highlight w:val="yellow"/>
          </w:rPr>
          <w:tag w:val="MENDELEY_CITATION_v3_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
          <w:id w:val="1519199929"/>
          <w:placeholder>
            <w:docPart w:val="E1F17D9B83074145914A0BAB9686C4B9"/>
          </w:placeholder>
        </w:sdtPr>
        <w:sdtContent>
          <w:r w:rsidR="00CC19F4" w:rsidRPr="00CC19F4">
            <w:rPr>
              <w:rFonts w:eastAsia="Times New Roman"/>
            </w:rPr>
            <w:t xml:space="preserve">(Lin and Israel, 2012; Muthuthantrige </w:t>
          </w:r>
          <w:r w:rsidR="00CC19F4" w:rsidRPr="00CC19F4">
            <w:rPr>
              <w:rFonts w:eastAsia="Times New Roman"/>
              <w:i/>
              <w:iCs/>
            </w:rPr>
            <w:t>et al.</w:t>
          </w:r>
          <w:r w:rsidR="00CC19F4" w:rsidRPr="00CC19F4">
            <w:rPr>
              <w:rFonts w:eastAsia="Times New Roman"/>
            </w:rPr>
            <w:t>, 2026)</w:t>
          </w:r>
        </w:sdtContent>
      </w:sdt>
      <w:r w:rsidRPr="002F7464">
        <w:rPr>
          <w:rFonts w:eastAsia="Times New Roman"/>
        </w:rPr>
        <w:t>.</w:t>
      </w:r>
    </w:p>
  </w:footnote>
  <w:footnote w:id="5">
    <w:p w14:paraId="72A1F8D8" w14:textId="14193946" w:rsidR="00144866" w:rsidRDefault="00144866" w:rsidP="00144866">
      <w:pPr>
        <w:pStyle w:val="FootnoteText"/>
      </w:pPr>
      <w:r>
        <w:rPr>
          <w:rStyle w:val="FootnoteReference"/>
        </w:rPr>
        <w:footnoteRef/>
      </w:r>
      <w:r>
        <w:t xml:space="preserve"> V</w:t>
      </w:r>
      <w:r w:rsidRPr="008E04FF">
        <w:rPr>
          <w:rFonts w:ascii="Palatino Linotype" w:eastAsia="Times New Roman" w:hAnsi="Palatino Linotype"/>
          <w:sz w:val="18"/>
          <w:szCs w:val="18"/>
          <w:lang w:eastAsia="en-GB"/>
        </w:rPr>
        <w:t>oice and accountability, political stability and absence of violence, government effectiveness, regulatory quality, the rule of law and control of corruptio</w:t>
      </w:r>
      <w:r>
        <w:rPr>
          <w:rFonts w:ascii="Palatino Linotype" w:eastAsia="Times New Roman" w:hAnsi="Palatino Linotype"/>
          <w:sz w:val="18"/>
          <w:szCs w:val="18"/>
          <w:lang w:eastAsia="en-GB"/>
        </w:rPr>
        <w:t>n are considered as world governance indicators or six dimensions of world governance indicators</w:t>
      </w:r>
      <w:sdt>
        <w:sdtPr>
          <w:rPr>
            <w:rFonts w:ascii="Palatino Linotype" w:eastAsia="Times New Roman" w:hAnsi="Palatino Linotype"/>
            <w:sz w:val="18"/>
            <w:szCs w:val="18"/>
            <w:lang w:eastAsia="en-GB"/>
          </w:rPr>
          <w:tag w:val="MENDELEY_CITATION_v3_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"/>
          <w:id w:val="1010958838"/>
          <w:placeholder>
            <w:docPart w:val="8E59515890FE460A84F4F6731BC940A0"/>
          </w:placeholder>
        </w:sdtPr>
        <w:sdtContent>
          <w:r w:rsidR="00CC19F4" w:rsidRPr="00CC19F4">
            <w:rPr>
              <w:rFonts w:ascii="Palatino Linotype" w:eastAsia="Times New Roman" w:hAnsi="Palatino Linotype"/>
              <w:sz w:val="18"/>
              <w:szCs w:val="18"/>
              <w:lang w:eastAsia="en-GB"/>
            </w:rPr>
            <w:t>(Kaufmann, 2021)</w:t>
          </w:r>
        </w:sdtContent>
      </w:sdt>
      <w:r>
        <w:rPr>
          <w:rFonts w:ascii="Palatino Linotype" w:eastAsia="Times New Roman" w:hAnsi="Palatino Linotype"/>
          <w:sz w:val="18"/>
          <w:szCs w:val="18"/>
          <w:lang w:eastAsia="en-GB"/>
        </w:rPr>
        <w:t>.</w:t>
      </w:r>
    </w:p>
  </w:footnote>
  <w:footnote w:id="6">
    <w:p w14:paraId="4AD47972" w14:textId="5DF6807C" w:rsidR="00144866" w:rsidRPr="005A6C6F" w:rsidRDefault="00144866" w:rsidP="00144866">
      <w:pPr>
        <w:spacing w:line="240" w:lineRule="auto"/>
        <w:jc w:val="both"/>
        <w:rPr>
          <w:rFonts w:eastAsia="Palatino Linotype"/>
          <w:sz w:val="20"/>
          <w:szCs w:val="20"/>
        </w:rPr>
      </w:pPr>
      <w:r>
        <w:rPr>
          <w:rStyle w:val="FootnoteReference"/>
        </w:rPr>
        <w:footnoteRef/>
      </w:r>
      <w:r>
        <w:t xml:space="preserve"> </w:t>
      </w:r>
      <w:r w:rsidRPr="006327F8">
        <w:rPr>
          <w:rStyle w:val="normaltextrun"/>
          <w:rFonts w:ascii="Palatino Linotype" w:hAnsi="Palatino Linotype"/>
          <w:sz w:val="16"/>
          <w:szCs w:val="16"/>
          <w:shd w:val="clear" w:color="auto" w:fill="FFFFFF"/>
        </w:rPr>
        <w:t>The Government Response Index provides a comparative assessment of the legal, policy, and programmatic actions that 181 governments are taking to respond to modern slavery. This is based on data collected on 104 indicators that are relevant to understanding how each government is tracking towards achieving five milestones:1 / Survivors of slavery are identified and supported to exit and remain out of slavery.2 / Criminal  justice  mechanisms  function  effectively  to prevent modern slavery.3 / Coordination occurs at the national and regional level, and governments are held to account for their response.4 / Risk  factors  such  as  attitudes,  social  systems,  and  institutions that enable modern slavery are addressed.5 / Government and business stop sourcing goods and services produced by forced labour</w:t>
      </w:r>
      <w:r>
        <w:rPr>
          <w:rStyle w:val="normaltextrun"/>
          <w:rFonts w:ascii="Palatino Linotype" w:hAnsi="Palatino Linotype"/>
          <w:sz w:val="16"/>
          <w:szCs w:val="16"/>
          <w:shd w:val="clear" w:color="auto" w:fill="FFFFFF"/>
        </w:rPr>
        <w:t xml:space="preserve"> </w:t>
      </w:r>
      <w:sdt>
        <w:sdtPr>
          <w:rPr>
            <w:rStyle w:val="normaltextrun"/>
            <w:rFonts w:ascii="Palatino Linotype" w:hAnsi="Palatino Linotype"/>
            <w:sz w:val="16"/>
            <w:szCs w:val="16"/>
            <w:shd w:val="clear" w:color="auto" w:fill="FFFFFF"/>
          </w:rPr>
          <w:tag w:val="MENDELEY_CITATION_v3_eyJjaXRhdGlvbklEIjoiTUVOREVMRVlfQ0lUQVRJT05fZDUwMmExZmEtZjFmZi00MTEyLTg0YzEtNzE1ZjJhMTY3YWI4IiwicHJvcGVydGllcyI6eyJub3RlSW5kZXgiOjB9LCJpc0VkaXRlZCI6ZmFsc2UsIm1hbnVhbE92ZXJyaWRlIjp7ImlzTWFudWFsbHlPdmVycmlkZGVuIjpmYWxzZSwiY2l0ZXByb2NUZXh0IjoiKFdhbGsgRnJlZSBhbmQgTWluZGVyb28sIDIwMTgpIiwibWFudWFsT3ZlcnJpZGVUZXh0Ijoi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1dfQ=="/>
          <w:id w:val="-2038039256"/>
          <w:placeholder>
            <w:docPart w:val="98E2B094F9784515B6E8F7B43E7137EF"/>
          </w:placeholder>
        </w:sdtPr>
        <w:sdtContent>
          <w:r w:rsidR="00CC19F4" w:rsidRPr="00CC19F4">
            <w:rPr>
              <w:rStyle w:val="normaltextrun"/>
              <w:rFonts w:ascii="Palatino Linotype" w:hAnsi="Palatino Linotype"/>
              <w:sz w:val="16"/>
              <w:szCs w:val="16"/>
              <w:shd w:val="clear" w:color="auto" w:fill="FFFFFF"/>
            </w:rPr>
            <w:t>(Walk Free and Minderoo, 2018)</w:t>
          </w:r>
        </w:sdtContent>
      </w:sdt>
    </w:p>
  </w:footnote>
  <w:footnote w:id="7">
    <w:p w14:paraId="5443E873" w14:textId="77777777" w:rsidR="00144866" w:rsidRDefault="00144866" w:rsidP="00144866">
      <w:pPr>
        <w:pStyle w:val="FootnoteText"/>
      </w:pPr>
      <w:r>
        <w:rPr>
          <w:rStyle w:val="FootnoteReference"/>
        </w:rPr>
        <w:footnoteRef/>
      </w:r>
      <w:r>
        <w:t xml:space="preserve"> </w:t>
      </w:r>
      <w:r w:rsidRPr="00455915">
        <w:t>See 90 government that work together with powerful countries to eliminate modern slavery:</w:t>
      </w:r>
      <w:r w:rsidRPr="009F5501">
        <w:rPr>
          <w:color w:val="FF0000"/>
        </w:rPr>
        <w:t xml:space="preserve">  </w:t>
      </w:r>
      <w:hyperlink r:id="rId1" w:history="1">
        <w:r w:rsidRPr="009F46F1">
          <w:rPr>
            <w:rStyle w:val="Hyperlink"/>
          </w:rPr>
          <w:t>https://delta87.org/call-to-action/</w:t>
        </w:r>
      </w:hyperlink>
      <w:r>
        <w:t xml:space="preserve"> </w:t>
      </w:r>
      <w:r w:rsidRPr="00B977B1">
        <w:t>.</w:t>
      </w:r>
    </w:p>
  </w:footnote>
  <w:footnote w:id="8">
    <w:p w14:paraId="4C395C0B" w14:textId="2AB1A7A7" w:rsidR="00144866" w:rsidRPr="00BB05D7" w:rsidRDefault="00144866" w:rsidP="00144866">
      <w:pPr>
        <w:pStyle w:val="FootnoteText"/>
        <w:jc w:val="both"/>
        <w:rPr>
          <w:rFonts w:eastAsia="Palatino Linotype"/>
          <w:sz w:val="24"/>
          <w:szCs w:val="24"/>
          <w:highlight w:val="yellow"/>
        </w:rPr>
      </w:pPr>
      <w:r>
        <w:rPr>
          <w:rStyle w:val="FootnoteReference"/>
        </w:rPr>
        <w:footnoteRef/>
      </w:r>
      <w:r>
        <w:t xml:space="preserve">  The following countries taking the most action to combat modern slavery are the </w:t>
      </w:r>
      <w:r w:rsidRPr="007D7705">
        <w:t>Netherlands</w:t>
      </w:r>
      <w:r w:rsidRPr="00C0745C">
        <w:t xml:space="preserve">, </w:t>
      </w:r>
      <w:r>
        <w:t xml:space="preserve">the </w:t>
      </w:r>
      <w:r w:rsidRPr="007D7705">
        <w:t>United States of America</w:t>
      </w:r>
      <w:r w:rsidRPr="00C0745C">
        <w:t xml:space="preserve">, </w:t>
      </w:r>
      <w:r w:rsidRPr="007D7705">
        <w:t>Australia</w:t>
      </w:r>
      <w:r>
        <w:t>,</w:t>
      </w:r>
      <w:r w:rsidRPr="00C0745C">
        <w:t xml:space="preserve"> the </w:t>
      </w:r>
      <w:r w:rsidRPr="007D7705">
        <w:t>United Kingdom</w:t>
      </w:r>
      <w:r w:rsidRPr="00C0745C">
        <w:t xml:space="preserve">, </w:t>
      </w:r>
      <w:r w:rsidRPr="007D7705">
        <w:t>Sweden</w:t>
      </w:r>
      <w:r w:rsidRPr="00C0745C">
        <w:t xml:space="preserve">, Spain, </w:t>
      </w:r>
      <w:r w:rsidRPr="007D7705">
        <w:t>Portugal</w:t>
      </w:r>
      <w:r w:rsidRPr="00C0745C">
        <w:t xml:space="preserve">, </w:t>
      </w:r>
      <w:r w:rsidRPr="007D7705">
        <w:t>Norway</w:t>
      </w:r>
      <w:r>
        <w:t>,</w:t>
      </w:r>
      <w:r w:rsidRPr="00C0745C">
        <w:t xml:space="preserve"> </w:t>
      </w:r>
      <w:r w:rsidRPr="007D7705">
        <w:t>Belgium</w:t>
      </w:r>
      <w:r w:rsidRPr="00C0745C">
        <w:t xml:space="preserve"> and</w:t>
      </w:r>
      <w:r w:rsidRPr="00506CA9">
        <w:t xml:space="preserve"> </w:t>
      </w:r>
      <w:r w:rsidRPr="007D7705">
        <w:t>Croatia</w:t>
      </w:r>
      <w:r w:rsidRPr="00C0745C">
        <w:t xml:space="preserve">. Also, least action was taken in </w:t>
      </w:r>
      <w:r w:rsidRPr="007D7705">
        <w:t>North Korea-Iran-Eritrea-Equatorial Guinea-Hong Kong-Central African Republic-Papua New Guinea-Guinea-Democratic Republic of the Congo -South Sudan</w:t>
      </w:r>
      <w:r>
        <w:t xml:space="preserve"> </w:t>
      </w:r>
      <w:sdt>
        <w:sdtPr>
          <w:tag w:val="MENDELEY_CITATION_v3_eyJjaXRhdGlvbklEIjoiTUVOREVMRVlfQ0lUQVRJT05fY2ZkY2E1NDMtNjc5OS00ZDJlLTgwYzYtNzA4MDhiZDgyZTNhIiwicHJvcGVydGllcyI6eyJub3RlSW5kZXgiOjB9LCJpc0VkaXRlZCI6ZmFsc2UsIm1hbnVhbE92ZXJyaWRlIjp7ImlzTWFudWFsbHlPdmVycmlkZGVuIjp0cnVlLCJjaXRlcHJvY1RleHQiOiIoV2FsayBGcmVlLCAyMDE2OyBXYWxrIEZyZWUgRm91bmRhdGlvbiwgMjAxOCkiLCJtYW51YWxPdmVycmlkZVRleHQiOiIoV2FsayBGcmVlLCAyMDE2LCAyMDE4Yik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LHsiaWQiOiI1ZDZkNWU1My1jMTFlLTM3YTktYjNiNS03MjE5MDllNzc2M2YiLCJpdGVtRGF0YSI6eyJ0eXBlIjoicmVwb3J0IiwiaWQiOiI1ZDZkNWU1My1jMTFlLTM3YTktYjNiNS03MjE5MDllNzc2M2YiLCJ0aXRsZSI6IlRoZSBnbG9iYWwgc2xhdmVyeSBpbmRleCIsImF1dGhvciI6W3siZmFtaWx5IjoiV2FsayBGcmVlIEZvdW5kYXRpb24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Y29udGFpbmVyLXRpdGxlLXNob3J0IjoiIn0sImlzVGVtcG9yYXJ5IjpmYWxzZX1dfQ=="/>
          <w:id w:val="-996792702"/>
          <w:placeholder>
            <w:docPart w:val="0491B8AF31AF43048EE2AD26189A8A04"/>
          </w:placeholder>
        </w:sdtPr>
        <w:sdtContent>
          <w:r w:rsidR="00CC19F4" w:rsidRPr="00CC19F4">
            <w:t>(Walk Free, 2016, 2018b)</w:t>
          </w:r>
        </w:sdtContent>
      </w:sdt>
      <w:r w:rsidRPr="00C0745C">
        <w:t xml:space="preserve">. </w:t>
      </w:r>
    </w:p>
  </w:footnote>
  <w:footnote w:id="9">
    <w:p w14:paraId="13E48CE5" w14:textId="77777777" w:rsidR="00181DE2" w:rsidRPr="00503D22" w:rsidRDefault="00181DE2" w:rsidP="00181DE2">
      <w:pPr>
        <w:pStyle w:val="FootnoteText"/>
        <w:rPr>
          <w:rFonts w:ascii="Palatino Linotype" w:hAnsi="Palatino Linotype"/>
          <w:color w:val="000000" w:themeColor="text1"/>
          <w:sz w:val="16"/>
          <w:szCs w:val="16"/>
        </w:rPr>
      </w:pPr>
      <w:r w:rsidRPr="00B15E14">
        <w:rPr>
          <w:rStyle w:val="FootnoteReference"/>
          <w:rFonts w:ascii="Palatino Linotype" w:hAnsi="Palatino Linotype"/>
          <w:sz w:val="16"/>
          <w:szCs w:val="16"/>
        </w:rPr>
        <w:footnoteRef/>
      </w:r>
      <w:r>
        <w:rPr>
          <w:rFonts w:ascii="Palatino Linotype" w:hAnsi="Palatino Linotype"/>
          <w:color w:val="000000" w:themeColor="text1"/>
          <w:sz w:val="16"/>
          <w:szCs w:val="16"/>
        </w:rPr>
        <w:t xml:space="preserve"> The </w:t>
      </w:r>
      <w:r w:rsidRPr="00B15E14">
        <w:rPr>
          <w:rFonts w:ascii="Palatino Linotype" w:hAnsi="Palatino Linotype"/>
          <w:color w:val="000000" w:themeColor="text1"/>
          <w:sz w:val="16"/>
          <w:szCs w:val="16"/>
        </w:rPr>
        <w:t xml:space="preserve">Danish institute </w:t>
      </w:r>
      <w:r>
        <w:rPr>
          <w:rFonts w:ascii="Palatino Linotype" w:hAnsi="Palatino Linotype"/>
          <w:color w:val="000000" w:themeColor="text1"/>
          <w:sz w:val="16"/>
          <w:szCs w:val="16"/>
        </w:rPr>
        <w:t xml:space="preserve">for </w:t>
      </w:r>
      <w:r w:rsidRPr="00B15E14">
        <w:rPr>
          <w:rFonts w:ascii="Palatino Linotype" w:hAnsi="Palatino Linotype"/>
          <w:color w:val="000000" w:themeColor="text1"/>
          <w:sz w:val="16"/>
          <w:szCs w:val="16"/>
        </w:rPr>
        <w:t>HR</w:t>
      </w:r>
      <w:r>
        <w:rPr>
          <w:rFonts w:ascii="Palatino Linotype" w:hAnsi="Palatino Linotype"/>
          <w:color w:val="000000" w:themeColor="text1"/>
          <w:sz w:val="16"/>
          <w:szCs w:val="16"/>
        </w:rPr>
        <w:t xml:space="preserve"> (2022, p. 9)</w:t>
      </w:r>
      <w:r w:rsidRPr="00B15E14">
        <w:rPr>
          <w:rFonts w:ascii="Palatino Linotype" w:hAnsi="Palatino Linotype"/>
          <w:color w:val="000000" w:themeColor="text1"/>
          <w:sz w:val="16"/>
          <w:szCs w:val="16"/>
        </w:rPr>
        <w:t xml:space="preserve"> has identified </w:t>
      </w:r>
      <w:r>
        <w:rPr>
          <w:rFonts w:ascii="Palatino Linotype" w:hAnsi="Palatino Linotype"/>
          <w:color w:val="000000" w:themeColor="text1"/>
          <w:sz w:val="16"/>
          <w:szCs w:val="16"/>
        </w:rPr>
        <w:t>significant development of reporting initiatives, guidance</w:t>
      </w:r>
      <w:r w:rsidRPr="00B15E14">
        <w:rPr>
          <w:rFonts w:ascii="Palatino Linotype" w:hAnsi="Palatino Linotype"/>
          <w:color w:val="000000" w:themeColor="text1"/>
          <w:sz w:val="16"/>
          <w:szCs w:val="16"/>
        </w:rPr>
        <w:t xml:space="preserve"> </w:t>
      </w:r>
      <w:r>
        <w:rPr>
          <w:rFonts w:ascii="Palatino Linotype" w:hAnsi="Palatino Linotype"/>
          <w:color w:val="000000" w:themeColor="text1"/>
          <w:sz w:val="16"/>
          <w:szCs w:val="16"/>
        </w:rPr>
        <w:t xml:space="preserve">and legal and </w:t>
      </w:r>
      <w:r w:rsidRPr="00B15E14">
        <w:rPr>
          <w:rFonts w:ascii="Palatino Linotype" w:hAnsi="Palatino Linotype"/>
          <w:color w:val="000000" w:themeColor="text1"/>
          <w:sz w:val="16"/>
          <w:szCs w:val="16"/>
        </w:rPr>
        <w:t xml:space="preserve">regulatory </w:t>
      </w:r>
      <w:r>
        <w:rPr>
          <w:rFonts w:ascii="Palatino Linotype" w:hAnsi="Palatino Linotype"/>
          <w:color w:val="000000" w:themeColor="text1"/>
          <w:sz w:val="16"/>
          <w:szCs w:val="16"/>
        </w:rPr>
        <w:t xml:space="preserve">measures </w:t>
      </w:r>
      <w:r w:rsidRPr="00B15E14">
        <w:rPr>
          <w:rFonts w:ascii="Palatino Linotype" w:hAnsi="Palatino Linotype"/>
          <w:color w:val="000000" w:themeColor="text1"/>
          <w:sz w:val="16"/>
          <w:szCs w:val="16"/>
        </w:rPr>
        <w:t xml:space="preserve">as </w:t>
      </w:r>
      <w:r>
        <w:rPr>
          <w:rFonts w:ascii="Palatino Linotype" w:hAnsi="Palatino Linotype"/>
          <w:color w:val="000000" w:themeColor="text1"/>
          <w:sz w:val="16"/>
          <w:szCs w:val="16"/>
        </w:rPr>
        <w:t xml:space="preserve">; </w:t>
      </w:r>
      <w:r w:rsidRPr="00B15E14">
        <w:rPr>
          <w:rFonts w:ascii="Palatino Linotype" w:hAnsi="Palatino Linotype"/>
          <w:sz w:val="16"/>
          <w:szCs w:val="16"/>
        </w:rPr>
        <w:t>• 2011 UN Guiding Principles on Business and Human Rights • 2011 OECD Guidelines for Multinational Enterprises • 2014 EU Non-Financial Reporting Directive • 2015 UK Modern Slavery Act • 2015 UN Sustainable Development Goals • 2016 GRI standards • 2017 French Duty of Vigilance Law • 2018 GRI standards• 2018 OECD Due Diligence Guidance for Responsible Business Conduct • 2018 EU General Data Protection Regulation</w:t>
      </w:r>
      <w:r>
        <w:rPr>
          <w:rFonts w:ascii="Palatino Linotype" w:hAnsi="Palatino Linotype"/>
          <w:sz w:val="16"/>
          <w:szCs w:val="16"/>
        </w:rPr>
        <w:t>. (</w:t>
      </w:r>
      <w:hyperlink r:id="rId2" w:history="1">
        <w:r w:rsidRPr="004C53B1">
          <w:rPr>
            <w:rStyle w:val="Hyperlink"/>
            <w:rFonts w:ascii="Palatino Linotype" w:hAnsi="Palatino Linotype"/>
            <w:sz w:val="16"/>
            <w:szCs w:val="16"/>
          </w:rPr>
          <w:t>https://www.humanrights.dk/sites/humanrights.dk/files/media/document/DataAnalysis-CompanyReporting_EN_2022.pdf</w:t>
        </w:r>
      </w:hyperlink>
      <w:r>
        <w:rPr>
          <w:rFonts w:ascii="Palatino Linotype" w:hAnsi="Palatino Linotype"/>
          <w:sz w:val="16"/>
          <w:szCs w:val="16"/>
        </w:rPr>
        <w:t>).</w:t>
      </w:r>
    </w:p>
    <w:p w14:paraId="41FDF606" w14:textId="77777777" w:rsidR="00181DE2" w:rsidRPr="00B15E14" w:rsidRDefault="00181DE2" w:rsidP="00181DE2">
      <w:pPr>
        <w:pStyle w:val="FootnoteText"/>
        <w:rPr>
          <w:rFonts w:ascii="Palatino Linotype" w:hAnsi="Palatino Linotype"/>
          <w:sz w:val="16"/>
          <w:szCs w:val="16"/>
        </w:rPr>
      </w:pPr>
      <w:r>
        <w:rPr>
          <w:rFonts w:ascii="Palatino Linotype" w:hAnsi="Palatino Linotype"/>
          <w:sz w:val="16"/>
          <w:szCs w:val="16"/>
        </w:rPr>
        <w:t xml:space="preserve">  </w:t>
      </w:r>
    </w:p>
  </w:footnote>
  <w:footnote w:id="10">
    <w:p w14:paraId="6235B171" w14:textId="77777777" w:rsidR="003839C5" w:rsidRDefault="003839C5" w:rsidP="003839C5">
      <w:pPr>
        <w:pStyle w:val="FootnoteText"/>
      </w:pPr>
      <w:r>
        <w:rPr>
          <w:rStyle w:val="FootnoteReference"/>
        </w:rPr>
        <w:footnoteRef/>
      </w:r>
      <w:r>
        <w:t xml:space="preserve"> </w:t>
      </w:r>
      <w:r w:rsidRPr="003739FD">
        <w:rPr>
          <w:rStyle w:val="normaltextrun"/>
          <w:rFonts w:ascii="Palatino Linotype" w:hAnsi="Palatino Linotype"/>
          <w:sz w:val="16"/>
          <w:szCs w:val="16"/>
        </w:rPr>
        <w:t>For example, A voluntary initiative in Brazil; the California Transparency in Supply Chains Act; the UK Modern Slavery Act; the French Duty of Vigilance Law; and the Due Diligence on Child Labour Act in The Netherlands.</w:t>
      </w:r>
    </w:p>
  </w:footnote>
  <w:footnote w:id="11">
    <w:p w14:paraId="3762A404" w14:textId="6C95754C" w:rsidR="00144866" w:rsidRDefault="00144866" w:rsidP="00144866">
      <w:pPr>
        <w:pStyle w:val="FootnoteText"/>
        <w:jc w:val="both"/>
      </w:pPr>
      <w:r w:rsidRPr="106A62BC">
        <w:rPr>
          <w:rStyle w:val="FootnoteReference"/>
        </w:rPr>
        <w:footnoteRef/>
      </w:r>
      <w:r w:rsidRPr="106A62BC">
        <w:rPr>
          <w:rStyle w:val="normaltextrun"/>
          <w:rFonts w:ascii="Palatino Linotype" w:hAnsi="Palatino Linotype"/>
          <w:sz w:val="16"/>
          <w:szCs w:val="16"/>
        </w:rPr>
        <w:t> Modern Slavery Statements explain the firms’ actions to identify and manage the modern slavery risk in its operation, including the supply chain. Further, the information on this statement must be made publicly available on the company’s website and be signed off by at least one director </w:t>
      </w:r>
      <w:sdt>
        <w:sdtPr>
          <w:rPr>
            <w:rStyle w:val="normaltextrun"/>
            <w:rFonts w:ascii="Palatino Linotype" w:hAnsi="Palatino Linotype"/>
            <w:sz w:val="16"/>
            <w:szCs w:val="16"/>
          </w:rPr>
          <w:tag w:val="MENDELEY_CITATION_v3_eyJjaXRhdGlvbklEIjoiTUVOREVMRVlfQ0lUQVRJT05fYjdlNjEwNzgtZjA5Zi00YjZiLWFkZTMtNTUxN2Y0OTdhYzA1IiwicHJvcGVydGllcyI6eyJub3RlSW5kZXgiOjB9LCJpc0VkaXRlZCI6ZmFsc2UsIm1hbnVhbE92ZXJyaWRlIjp7ImlzTWFudWFsbHlPdmVycmlkZGVuIjpmYWxzZSwiY2l0ZXByb2NUZXh0IjoiKENocmlzdCA8aT5ldCBhbC48L2k+LCAyMDE5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
          <w:id w:val="-1106970930"/>
          <w:placeholder>
            <w:docPart w:val="DefaultPlaceholder_-1854013440"/>
          </w:placeholder>
        </w:sdtPr>
        <w:sdtEndPr>
          <w:rPr>
            <w:rStyle w:val="normaltextrun"/>
            <w:rFonts w:cs="Segoe UI"/>
          </w:rPr>
        </w:sdtEndPr>
        <w:sdtContent>
          <w:r w:rsidR="00CC19F4" w:rsidRPr="00CC19F4">
            <w:rPr>
              <w:rFonts w:ascii="Palatino Linotype" w:eastAsia="Times New Roman" w:hAnsi="Palatino Linotype"/>
              <w:sz w:val="16"/>
            </w:rPr>
            <w:t xml:space="preserve">(Christ </w:t>
          </w:r>
          <w:r w:rsidR="00CC19F4" w:rsidRPr="00CC19F4">
            <w:rPr>
              <w:rFonts w:ascii="Palatino Linotype" w:eastAsia="Times New Roman" w:hAnsi="Palatino Linotype"/>
              <w:i/>
              <w:iCs/>
              <w:sz w:val="16"/>
            </w:rPr>
            <w:t>et al.</w:t>
          </w:r>
          <w:r w:rsidR="00CC19F4" w:rsidRPr="00CC19F4">
            <w:rPr>
              <w:rFonts w:ascii="Palatino Linotype" w:eastAsia="Times New Roman" w:hAnsi="Palatino Linotype"/>
              <w:sz w:val="16"/>
            </w:rPr>
            <w:t>, 2019)</w:t>
          </w:r>
        </w:sdtContent>
      </w:sdt>
      <w:r w:rsidRPr="106A62BC">
        <w:rPr>
          <w:rStyle w:val="normaltextrun"/>
          <w:rFonts w:ascii="Palatino Linotype" w:hAnsi="Palatino Linotype" w:cs="Segoe UI"/>
          <w:sz w:val="16"/>
          <w:szCs w:val="16"/>
        </w:rPr>
        <w:t>. </w:t>
      </w:r>
      <w:r w:rsidRPr="106A62BC">
        <w:rPr>
          <w:rStyle w:val="contentcontrolboundarysink"/>
          <w:rFonts w:ascii="Palatino Linotype" w:hAnsi="Palatino Linotype" w:cs="Segoe UI"/>
          <w:color w:val="000000" w:themeColor="text1"/>
          <w:sz w:val="16"/>
          <w:szCs w:val="16"/>
        </w:rPr>
        <w:t>​</w:t>
      </w:r>
      <w:r w:rsidRPr="106A62BC">
        <w:rPr>
          <w:rStyle w:val="normaltextrun"/>
          <w:rFonts w:ascii="Palatino Linotype" w:hAnsi="Palatino Linotype"/>
          <w:sz w:val="16"/>
          <w:szCs w:val="16"/>
        </w:rPr>
        <w:t xml:space="preserve">See example: the UK </w:t>
      </w:r>
      <w:r w:rsidR="00BC5A9A">
        <w:rPr>
          <w:rStyle w:val="normaltextrun"/>
          <w:rFonts w:ascii="Palatino Linotype" w:hAnsi="Palatino Linotype"/>
          <w:sz w:val="16"/>
          <w:szCs w:val="16"/>
        </w:rPr>
        <w:t>MSA</w:t>
      </w:r>
      <w:r w:rsidRPr="106A62BC">
        <w:rPr>
          <w:rStyle w:val="normaltextrun"/>
          <w:rFonts w:ascii="Palatino Linotype" w:hAnsi="Palatino Linotype"/>
          <w:sz w:val="16"/>
          <w:szCs w:val="16"/>
        </w:rPr>
        <w:t xml:space="preserve"> 2015 requires publishing an annual modern slavery statement about their activities of modern slavery operations where the firm or group's annual turnover of £36m or more </w:t>
      </w:r>
      <w:r w:rsidRPr="106A62BC">
        <w:rPr>
          <w:rStyle w:val="contentcontrolboundarysink"/>
          <w:rFonts w:ascii="Palatino Linotype" w:hAnsi="Palatino Linotype" w:cs="Segoe UI"/>
          <w:color w:val="000000" w:themeColor="text1"/>
          <w:sz w:val="16"/>
          <w:szCs w:val="16"/>
        </w:rPr>
        <w:t>​</w:t>
      </w:r>
      <w:r w:rsidRPr="106A62BC">
        <w:rPr>
          <w:rStyle w:val="normaltextrun"/>
          <w:rFonts w:ascii="Palatino Linotype" w:hAnsi="Palatino Linotype" w:cs="Segoe UI"/>
          <w:sz w:val="16"/>
          <w:szCs w:val="16"/>
        </w:rPr>
        <w:t>(HR Government, 2015).</w:t>
      </w:r>
      <w:r w:rsidRPr="106A62BC">
        <w:rPr>
          <w:rStyle w:val="contentcontrolboundarysink"/>
          <w:rFonts w:ascii="Palatino Linotype" w:hAnsi="Palatino Linotype" w:cs="Segoe UI"/>
          <w:color w:val="000000" w:themeColor="text1"/>
          <w:sz w:val="16"/>
          <w:szCs w:val="16"/>
        </w:rPr>
        <w:t>​</w:t>
      </w:r>
      <w:r w:rsidRPr="106A62BC">
        <w:rPr>
          <w:rStyle w:val="eop"/>
          <w:rFonts w:ascii="Palatino Linotype" w:hAnsi="Palatino Linotype"/>
          <w:color w:val="000000" w:themeColor="text1"/>
          <w:sz w:val="16"/>
          <w:szCs w:val="16"/>
        </w:rPr>
        <w:t> </w:t>
      </w:r>
    </w:p>
  </w:footnote>
  <w:footnote w:id="12">
    <w:p w14:paraId="3C6F9146" w14:textId="3E24236C" w:rsidR="00247973" w:rsidRPr="0011248F" w:rsidRDefault="00247973" w:rsidP="00247973">
      <w:pPr>
        <w:pStyle w:val="FootnoteText"/>
        <w:jc w:val="both"/>
        <w:rPr>
          <w:spacing w:val="5"/>
          <w:sz w:val="16"/>
          <w:szCs w:val="16"/>
          <w:shd w:val="clear" w:color="auto" w:fill="FFFFFF"/>
        </w:rPr>
      </w:pPr>
      <w:r w:rsidRPr="0011248F">
        <w:rPr>
          <w:rStyle w:val="FootnoteReference"/>
          <w:sz w:val="16"/>
          <w:szCs w:val="16"/>
        </w:rPr>
        <w:footnoteRef/>
      </w:r>
      <w:r w:rsidRPr="0011248F">
        <w:rPr>
          <w:sz w:val="16"/>
          <w:szCs w:val="16"/>
        </w:rPr>
        <w:t xml:space="preserve"> Code of conduct </w:t>
      </w:r>
      <w:r w:rsidRPr="0011248F">
        <w:rPr>
          <w:spacing w:val="5"/>
          <w:sz w:val="16"/>
          <w:szCs w:val="16"/>
          <w:shd w:val="clear" w:color="auto" w:fill="FFFFFF"/>
        </w:rPr>
        <w:t xml:space="preserve">codes outlines expected requirements and standards. International labour standards are used as guidance for setting these codes of conduct. In practice. these code of conduct covers child labour, forced labour, wages and benefits, working hours, disciplinary practices, the right to freedom of association, health and safety, and environmental practices </w:t>
      </w:r>
      <w:sdt>
        <w:sdtPr>
          <w:rPr>
            <w:spacing w:val="5"/>
            <w:sz w:val="16"/>
            <w:szCs w:val="16"/>
            <w:shd w:val="clear" w:color="auto" w:fill="FFFFFF"/>
          </w:rPr>
          <w:tag w:val="MENDELEY_CITATION_v3_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"/>
          <w:id w:val="-1303300106"/>
          <w:placeholder>
            <w:docPart w:val="8719FD655821472DA8D812D0C903C22D"/>
          </w:placeholder>
        </w:sdtPr>
        <w:sdtContent>
          <w:r w:rsidR="00CC19F4" w:rsidRPr="00CC19F4">
            <w:rPr>
              <w:spacing w:val="5"/>
              <w:sz w:val="16"/>
              <w:szCs w:val="16"/>
              <w:shd w:val="clear" w:color="auto" w:fill="FFFFFF"/>
            </w:rPr>
            <w:t>(Mamic, 2007)</w:t>
          </w:r>
        </w:sdtContent>
      </w:sdt>
      <w:r w:rsidRPr="0011248F">
        <w:rPr>
          <w:spacing w:val="5"/>
          <w:sz w:val="16"/>
          <w:szCs w:val="16"/>
          <w:shd w:val="clear" w:color="auto" w:fill="FFFFFF"/>
        </w:rPr>
        <w:t xml:space="preserve">. </w:t>
      </w:r>
    </w:p>
  </w:footnote>
  <w:footnote w:id="13">
    <w:p w14:paraId="745E62D5" w14:textId="510CBB0B" w:rsidR="00FE1A5D" w:rsidRDefault="005C47E2" w:rsidP="00FE1A5D">
      <w:pPr>
        <w:spacing w:after="0" w:line="240" w:lineRule="auto"/>
        <w:jc w:val="both"/>
        <w:rPr>
          <w:rFonts w:eastAsia="Times New Roman"/>
          <w:b/>
          <w:bCs/>
          <w:kern w:val="0"/>
          <w:lang w:eastAsia="en-GB"/>
          <w14:ligatures w14:val="none"/>
        </w:rPr>
      </w:pPr>
      <w:r w:rsidRPr="0011248F">
        <w:rPr>
          <w:rStyle w:val="FootnoteReference"/>
          <w:sz w:val="16"/>
          <w:szCs w:val="16"/>
        </w:rPr>
        <w:footnoteRef/>
      </w:r>
      <w:r w:rsidRPr="0011248F">
        <w:rPr>
          <w:sz w:val="16"/>
          <w:szCs w:val="16"/>
        </w:rPr>
        <w:t xml:space="preserve"> </w:t>
      </w:r>
      <w:r w:rsidRPr="0011248F">
        <w:rPr>
          <w:rStyle w:val="normaltextrun"/>
          <w:sz w:val="16"/>
          <w:szCs w:val="16"/>
        </w:rPr>
        <w:t>The TUV Rhineland social auditing firm, which is large German certification company for Phantom apparel ltd, issued Business Social Compliance Initiatives (BSCI) certificate, confirming that factories are met the requirements of ILO   labour standards. In addition, they noted “some improvements” needed in the factory. However, they mention that there were no issues with child labour, overtime work, freedom of association or rapid deterioration in Phantom apparel ltd. Similarly, the New Wave style factory also obtained BSCI certification. Notwithstanding, After the collapse, they found the children’s dead bodies and revealed the adverse human rights violations in the top branded</w:t>
      </w:r>
      <w:r w:rsidR="00FE1A5D">
        <w:rPr>
          <w:rStyle w:val="normaltextrun"/>
          <w:sz w:val="16"/>
          <w:szCs w:val="16"/>
        </w:rPr>
        <w:t xml:space="preserve"> </w:t>
      </w:r>
      <w:r w:rsidRPr="0011248F">
        <w:rPr>
          <w:rStyle w:val="normaltextrun"/>
          <w:sz w:val="16"/>
          <w:szCs w:val="16"/>
        </w:rPr>
        <w:t xml:space="preserve">apparel supply chain located within the building </w:t>
      </w:r>
      <w:sdt>
        <w:sdtPr>
          <w:rPr>
            <w:rFonts w:eastAsia="Times New Roman"/>
            <w:bCs/>
            <w:kern w:val="0"/>
            <w:sz w:val="16"/>
            <w:lang w:eastAsia="en-GB"/>
            <w14:ligatures w14:val="none"/>
          </w:rPr>
          <w:tag w:val="MENDELEY_CITATION_v3_eyJjaXRhdGlvbklEIjoiTUVOREVMRVlfQ0lUQVRJT05fOGI4MmEyNmEtYzU2Mi00ODIyLWJiOGYtNDhhMzY3ZTY1YmJmIiwicHJvcGVydGllcyI6eyJub3RlSW5kZXgiOjB9LCJpc0VkaXRlZCI6ZmFsc2UsIm1hbnVhbE92ZXJyaWRlIjp7ImlzTWFudWFsbHlPdmVycmlkZGVuIjp0cnVlLCJjaXRlcHJvY1RleHQiOiIoTGVCYXJvbiwgMjAyMGEpIiwibWFudWFsT3ZlcnJpZGVUZXh0IjoiKExlQmFyb24sIDIwMjApIn0sImNpdGF0aW9uSXRlbXMiOlt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C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1dfQ=="/>
          <w:id w:val="-702709646"/>
          <w:placeholder>
            <w:docPart w:val="741A0EB86C2444FFAE5513AA3806CE7E"/>
          </w:placeholder>
        </w:sdtPr>
        <w:sdtContent>
          <w:r w:rsidR="00CC19F4" w:rsidRPr="00CC19F4">
            <w:rPr>
              <w:rStyle w:val="normaltextrun"/>
              <w:sz w:val="16"/>
              <w:szCs w:val="16"/>
            </w:rPr>
            <w:t>(LeBaron, 2020)</w:t>
          </w:r>
        </w:sdtContent>
      </w:sdt>
      <w:r w:rsidR="00FE1A5D" w:rsidRPr="00FE1A5D">
        <w:rPr>
          <w:rFonts w:eastAsia="Times New Roman"/>
          <w:kern w:val="0"/>
          <w:lang w:eastAsia="en-GB"/>
          <w14:ligatures w14:val="none"/>
        </w:rPr>
        <w:t>.</w:t>
      </w:r>
    </w:p>
    <w:p w14:paraId="57318960" w14:textId="64028C79" w:rsidR="005C47E2" w:rsidRPr="0011248F" w:rsidRDefault="005C47E2" w:rsidP="005C47E2">
      <w:pPr>
        <w:spacing w:line="240" w:lineRule="auto"/>
        <w:jc w:val="both"/>
        <w:rPr>
          <w:rStyle w:val="normaltextrun"/>
          <w:sz w:val="16"/>
          <w:szCs w:val="16"/>
        </w:rPr>
      </w:pPr>
    </w:p>
    <w:p w14:paraId="22700CBB" w14:textId="77777777" w:rsidR="005C47E2" w:rsidRDefault="005C47E2" w:rsidP="005C47E2">
      <w:pPr>
        <w:pStyle w:val="FootnoteText"/>
      </w:pPr>
    </w:p>
  </w:footnote>
  <w:footnote w:id="14">
    <w:p w14:paraId="7D58429B" w14:textId="77777777" w:rsidR="00144866" w:rsidRPr="00C07462" w:rsidRDefault="00144866" w:rsidP="00144866">
      <w:pPr>
        <w:spacing w:after="0" w:line="276" w:lineRule="auto"/>
        <w:rPr>
          <w:sz w:val="16"/>
          <w:szCs w:val="16"/>
        </w:rPr>
      </w:pPr>
      <w:r>
        <w:rPr>
          <w:rStyle w:val="FootnoteReference"/>
        </w:rPr>
        <w:footnoteRef/>
      </w:r>
      <w:r w:rsidRPr="00C07462">
        <w:rPr>
          <w:rFonts w:eastAsia="Times New Roman"/>
          <w:sz w:val="16"/>
          <w:szCs w:val="16"/>
        </w:rPr>
        <w:t xml:space="preserve">Free trade Zone (FTZ) is a geographic area where goods may be imported, stored, handled, manufactured, or reconfigured and re-exported under specific customs regulations and generally not subject to customs duty. </w:t>
      </w:r>
      <w:hyperlink r:id="rId3">
        <w:r w:rsidRPr="00C07462">
          <w:rPr>
            <w:rStyle w:val="Hyperlink"/>
            <w:rFonts w:eastAsia="Times New Roman"/>
            <w:color w:val="467886"/>
            <w:sz w:val="16"/>
            <w:szCs w:val="16"/>
          </w:rPr>
          <w:t>https://www.lawnet.gov.lk/free-trade-zones-application-of-labour-law-and-the-effect-of-privatisation/</w:t>
        </w:r>
      </w:hyperlink>
    </w:p>
    <w:p w14:paraId="3E002F1E" w14:textId="77777777" w:rsidR="00144866" w:rsidRDefault="00144866" w:rsidP="00144866">
      <w:pPr>
        <w:pStyle w:val="FootnoteText"/>
      </w:pPr>
      <w:hyperlink r:id="rId4">
        <w:r w:rsidRPr="00C07462">
          <w:rPr>
            <w:rStyle w:val="Hyperlink"/>
            <w:rFonts w:eastAsia="Times New Roman"/>
            <w:color w:val="467886"/>
            <w:sz w:val="16"/>
            <w:szCs w:val="16"/>
          </w:rPr>
          <w:t>https://cimc.lk/images/speaker_presenationss/0915/Operating_Free_Zones_in_Sri_Lanka.pdf</w:t>
        </w:r>
      </w:hyperlink>
    </w:p>
  </w:footnote>
  <w:footnote w:id="15">
    <w:p w14:paraId="281C60A6" w14:textId="06221B89" w:rsidR="00144866" w:rsidRDefault="00144866" w:rsidP="00144866">
      <w:pPr>
        <w:pStyle w:val="FootnoteText"/>
        <w:rPr>
          <w:rFonts w:eastAsia="Times New Roman"/>
          <w:sz w:val="16"/>
          <w:szCs w:val="16"/>
        </w:rPr>
      </w:pPr>
      <w:r>
        <w:rPr>
          <w:rStyle w:val="FootnoteReference"/>
        </w:rPr>
        <w:footnoteRef/>
      </w:r>
      <w:r>
        <w:t xml:space="preserve"> </w:t>
      </w:r>
      <w:r w:rsidRPr="0A33989C">
        <w:rPr>
          <w:rFonts w:eastAsia="Times New Roman"/>
          <w:sz w:val="16"/>
          <w:szCs w:val="16"/>
        </w:rPr>
        <w:t xml:space="preserve">Shop and Office Employees Act: The Shop and Office Employees Act </w:t>
      </w:r>
      <w:r w:rsidR="004A17DF" w:rsidRPr="0A33989C">
        <w:rPr>
          <w:rFonts w:eastAsia="Times New Roman"/>
          <w:sz w:val="16"/>
          <w:szCs w:val="16"/>
        </w:rPr>
        <w:t>apply</w:t>
      </w:r>
      <w:r w:rsidRPr="0A33989C">
        <w:rPr>
          <w:rFonts w:eastAsia="Times New Roman"/>
          <w:sz w:val="16"/>
          <w:szCs w:val="16"/>
        </w:rPr>
        <w:t xml:space="preserve"> to all individuals employed in shops and offices regardless of nationality, emphasising equal treatment for both local and foreign employees. However, this act does not cover those working for charitable purposes or in informal sectors like bazaars. Ensuring equal rights and benefits for all employees promotes inclusivity and fairness in the workplace. This act provides comprehensive regulations on working hours, holidays, maternity benefits, and remuneration for employees in shops and offices. It ensures that employees receive fair treatment and adequate rest, which are critical for their overall well-being and productivity. The act mandates specific provisions such as paid holidays, maternity leave, and limits on working hours to prevent exploitation and overwork </w:t>
      </w:r>
      <w:sdt>
        <w:sdtPr>
          <w:rPr>
            <w:rFonts w:eastAsia="Times New Roman"/>
            <w:sz w:val="16"/>
            <w:szCs w:val="16"/>
          </w:rPr>
          <w:tag w:val="MENDELEY_CITATION_v3_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"/>
          <w:id w:val="-970987336"/>
          <w:placeholder>
            <w:docPart w:val="B184D07382604B3A9D9862780F80A967"/>
          </w:placeholder>
        </w:sdtPr>
        <w:sdtContent>
          <w:r w:rsidR="00CC19F4" w:rsidRPr="00CC19F4">
            <w:rPr>
              <w:rFonts w:eastAsia="Times New Roman"/>
              <w:sz w:val="16"/>
              <w:szCs w:val="16"/>
            </w:rPr>
            <w:t>(Parliament of the Democratic Socialist Republic of Sri Lanka, 1954)</w:t>
          </w:r>
        </w:sdtContent>
      </w:sdt>
      <w:r>
        <w:rPr>
          <w:rFonts w:eastAsia="Times New Roman"/>
          <w:sz w:val="16"/>
          <w:szCs w:val="16"/>
        </w:rPr>
        <w:t xml:space="preserve">. See more details </w:t>
      </w:r>
      <w:hyperlink r:id="rId5" w:history="1">
        <w:r w:rsidRPr="00C16ACB">
          <w:rPr>
            <w:rStyle w:val="Hyperlink"/>
            <w:rFonts w:eastAsia="Times New Roman"/>
            <w:sz w:val="16"/>
            <w:szCs w:val="16"/>
          </w:rPr>
          <w:t>https://www.parliament.lk/uploads/acts/gbills/english/3071.pdf</w:t>
        </w:r>
      </w:hyperlink>
    </w:p>
    <w:p w14:paraId="63B49678" w14:textId="77777777" w:rsidR="00144866" w:rsidRDefault="00144866" w:rsidP="00144866">
      <w:pPr>
        <w:pStyle w:val="FootnoteText"/>
      </w:pPr>
    </w:p>
  </w:footnote>
  <w:footnote w:id="16">
    <w:p w14:paraId="21FD7574" w14:textId="77777777" w:rsidR="00144866" w:rsidRDefault="00144866" w:rsidP="00144866">
      <w:pPr>
        <w:pStyle w:val="FootnoteText"/>
        <w:rPr>
          <w:rFonts w:eastAsia="Times New Roman"/>
          <w:sz w:val="16"/>
          <w:szCs w:val="16"/>
        </w:rPr>
      </w:pPr>
      <w:r>
        <w:rPr>
          <w:rStyle w:val="FootnoteReference"/>
        </w:rPr>
        <w:footnoteRef/>
      </w:r>
      <w:r>
        <w:t xml:space="preserve"> </w:t>
      </w:r>
      <w:r w:rsidRPr="0A33989C">
        <w:rPr>
          <w:rFonts w:eastAsia="Times New Roman"/>
          <w:sz w:val="16"/>
          <w:szCs w:val="16"/>
        </w:rPr>
        <w:t>Wages Board Ordinance: This ordinance establishes minimum wage levels and terms of employment for various industries. It is designed to protect workers from exploitation by ensuring they receive fair compensation for their labour. The ordinance sets up wage boards for different trades, which include representatives from employers, employees, and the government. These boards determine wages and other employment conditions, reflecting a tripartite approach to labour regulation.</w:t>
      </w:r>
      <w:r>
        <w:rPr>
          <w:rFonts w:eastAsia="Times New Roman"/>
          <w:sz w:val="16"/>
          <w:szCs w:val="16"/>
        </w:rPr>
        <w:t xml:space="preserve"> See more details; </w:t>
      </w:r>
      <w:hyperlink r:id="rId6" w:history="1">
        <w:r w:rsidRPr="00C16ACB">
          <w:rPr>
            <w:rStyle w:val="Hyperlink"/>
            <w:rFonts w:eastAsia="Times New Roman"/>
            <w:sz w:val="16"/>
            <w:szCs w:val="16"/>
          </w:rPr>
          <w:t>https://employers.lk/wp-content/uploads/2021/03/12_Wages-Boards-Amendment-Act-No.14-of-2019.pdf</w:t>
        </w:r>
      </w:hyperlink>
    </w:p>
    <w:p w14:paraId="138FA049" w14:textId="77777777" w:rsidR="00144866" w:rsidRDefault="00144866" w:rsidP="00144866">
      <w:pPr>
        <w:pStyle w:val="FootnoteText"/>
      </w:pPr>
    </w:p>
  </w:footnote>
  <w:footnote w:id="17">
    <w:p w14:paraId="0804CC64" w14:textId="77777777" w:rsidR="00144866" w:rsidRDefault="00144866" w:rsidP="00144866">
      <w:pPr>
        <w:spacing w:after="0" w:line="240" w:lineRule="auto"/>
        <w:jc w:val="both"/>
        <w:rPr>
          <w:rFonts w:eastAsia="Times New Roman"/>
          <w:sz w:val="16"/>
          <w:szCs w:val="16"/>
        </w:rPr>
      </w:pPr>
      <w:r>
        <w:rPr>
          <w:rStyle w:val="FootnoteReference"/>
        </w:rPr>
        <w:footnoteRef/>
      </w:r>
      <w:r>
        <w:t xml:space="preserve"> </w:t>
      </w:r>
      <w:r w:rsidRPr="0A33989C">
        <w:rPr>
          <w:rFonts w:eastAsia="Times New Roman"/>
          <w:sz w:val="16"/>
          <w:szCs w:val="16"/>
        </w:rPr>
        <w:t>Factories Ordinance: The Factories Ordinance mandates that all factories, irrespective of their size or nature of business, provide a safe working environment. This includes ensuring proper ventilation, adequate lighting, and the use of safety equipment to protect workers from occupational hazards. The ordinance is vital for maintaining high safety standards in industrial settings. Focused on the health, safety, and welfare of workers in factories, this ordinance includes provisions for safe working environments, proper ventilation, adequate lighting, and the use of safety equipment. It is essential for preventing workplace accidents and illnesses, thus safeguarding the health of industrial workers. The ordinance requires regular inspections and adherence to safety standards to ensure compliance.</w:t>
      </w:r>
      <w:r>
        <w:rPr>
          <w:rFonts w:eastAsia="Times New Roman"/>
          <w:sz w:val="16"/>
          <w:szCs w:val="16"/>
        </w:rPr>
        <w:t xml:space="preserve"> See more details </w:t>
      </w:r>
      <w:hyperlink r:id="rId7" w:history="1">
        <w:r w:rsidRPr="00C16ACB">
          <w:rPr>
            <w:rStyle w:val="Hyperlink"/>
            <w:rFonts w:eastAsia="Times New Roman"/>
            <w:sz w:val="16"/>
            <w:szCs w:val="16"/>
          </w:rPr>
          <w:t>https://employers.lk/wp-content/uploads/2021/03/2_Factories-Ordinance-Regulations-1960.pdf</w:t>
        </w:r>
      </w:hyperlink>
    </w:p>
    <w:p w14:paraId="3B21D0D3" w14:textId="77777777" w:rsidR="00144866" w:rsidRDefault="00144866" w:rsidP="00144866">
      <w:pPr>
        <w:spacing w:after="0" w:line="240" w:lineRule="auto"/>
        <w:jc w:val="both"/>
      </w:pPr>
    </w:p>
    <w:p w14:paraId="1B5506D8" w14:textId="77777777" w:rsidR="00144866" w:rsidRDefault="00144866" w:rsidP="00144866">
      <w:pPr>
        <w:spacing w:after="0" w:line="240" w:lineRule="auto"/>
        <w:jc w:val="both"/>
      </w:pPr>
    </w:p>
    <w:p w14:paraId="27F45E4B" w14:textId="77777777" w:rsidR="00144866" w:rsidRDefault="00144866" w:rsidP="00144866">
      <w:pPr>
        <w:spacing w:after="0" w:line="240" w:lineRule="auto"/>
        <w:jc w:val="both"/>
      </w:pPr>
    </w:p>
    <w:p w14:paraId="64D22435" w14:textId="77777777" w:rsidR="00144866" w:rsidRDefault="00144866" w:rsidP="00144866">
      <w:pPr>
        <w:spacing w:after="0" w:line="240" w:lineRule="auto"/>
        <w:jc w:val="both"/>
      </w:pPr>
    </w:p>
    <w:p w14:paraId="6CC3F199" w14:textId="77777777" w:rsidR="00144866" w:rsidRDefault="00144866" w:rsidP="00144866">
      <w:pPr>
        <w:spacing w:after="0" w:line="240" w:lineRule="auto"/>
        <w:jc w:val="both"/>
      </w:pPr>
    </w:p>
  </w:footnote>
  <w:footnote w:id="18">
    <w:p w14:paraId="648D27E6" w14:textId="69B28DB7" w:rsidR="00C40453" w:rsidRDefault="00C40453">
      <w:pPr>
        <w:pStyle w:val="FootnoteText"/>
      </w:pPr>
      <w:r>
        <w:rPr>
          <w:rStyle w:val="FootnoteReference"/>
        </w:rPr>
        <w:footnoteRef/>
      </w:r>
      <w:r>
        <w:t xml:space="preserve"> </w:t>
      </w:r>
      <w:r w:rsidR="00FA2BA1" w:rsidRPr="00AD3484">
        <w:rPr>
          <w:sz w:val="16"/>
          <w:szCs w:val="16"/>
        </w:rPr>
        <w:t xml:space="preserve">Many other names are used to refer to CSR committees, including sustainability committees ‘environmental,’ ‘corporate social responsibility,’ ‘corporate ethics,’ ‘environmental health and safety,’ or ‘sustainable development’ committee </w:t>
      </w:r>
      <w:r w:rsidR="00FA2BA1" w:rsidRPr="00AD3484">
        <w:rPr>
          <w:color w:val="000000" w:themeColor="text1"/>
          <w:sz w:val="16"/>
          <w:szCs w:val="16"/>
        </w:rPr>
        <w:t xml:space="preserve">(Helfaya </w:t>
      </w:r>
      <w:r w:rsidR="00FA2BA1" w:rsidRPr="00AD3484">
        <w:rPr>
          <w:i/>
          <w:iCs/>
          <w:color w:val="000000" w:themeColor="text1"/>
          <w:sz w:val="16"/>
          <w:szCs w:val="16"/>
        </w:rPr>
        <w:t>et al.</w:t>
      </w:r>
      <w:r w:rsidR="00FA2BA1" w:rsidRPr="00AD3484">
        <w:rPr>
          <w:color w:val="000000" w:themeColor="text1"/>
          <w:sz w:val="16"/>
          <w:szCs w:val="16"/>
        </w:rPr>
        <w:t xml:space="preserve">, 2024; Moussa </w:t>
      </w:r>
      <w:r w:rsidR="00FA2BA1" w:rsidRPr="00AD3484">
        <w:rPr>
          <w:i/>
          <w:iCs/>
          <w:color w:val="000000" w:themeColor="text1"/>
          <w:sz w:val="16"/>
          <w:szCs w:val="16"/>
        </w:rPr>
        <w:t>et al.</w:t>
      </w:r>
      <w:r w:rsidR="00FA2BA1" w:rsidRPr="00AD3484">
        <w:rPr>
          <w:color w:val="000000" w:themeColor="text1"/>
          <w:sz w:val="16"/>
          <w:szCs w:val="16"/>
        </w:rPr>
        <w:t>, 2021).</w:t>
      </w:r>
    </w:p>
  </w:footnote>
  <w:footnote w:id="19">
    <w:p w14:paraId="6E458C8E" w14:textId="77777777" w:rsidR="00651526" w:rsidRDefault="00651526" w:rsidP="00651526">
      <w:pPr>
        <w:pStyle w:val="FootnoteText"/>
        <w:jc w:val="both"/>
      </w:pPr>
      <w:r>
        <w:rPr>
          <w:rStyle w:val="FootnoteReference"/>
        </w:rPr>
        <w:footnoteRef/>
      </w:r>
      <w:r>
        <w:t xml:space="preserve"> </w:t>
      </w:r>
      <w:r>
        <w:rPr>
          <w:color w:val="4D4D4D"/>
          <w:sz w:val="18"/>
          <w:szCs w:val="18"/>
          <w:shd w:val="clear" w:color="auto" w:fill="FFFFFF"/>
        </w:rPr>
        <w:t xml:space="preserve">Global Industry Classification Standard (GICS) is a common global classification standard used by many market participants. GICS is a four-tiered, hierarchical industry classification system. It consists of 11 sectors, 25 industry groups, 74 industries, and 163 sub-industries. (see more information:  </w:t>
      </w:r>
      <w:hyperlink r:id="rId8" w:history="1">
        <w:r>
          <w:rPr>
            <w:rStyle w:val="Hyperlink"/>
            <w:sz w:val="18"/>
            <w:szCs w:val="18"/>
            <w:shd w:val="clear" w:color="auto" w:fill="FFFFFF"/>
          </w:rPr>
          <w:t>https://www.lseg.com/en/data-analytics/financial-data/reference-data/classifications/business-and-industry-classifications/global-industry-classification-standard-system</w:t>
        </w:r>
      </w:hyperlink>
      <w:r>
        <w:rPr>
          <w:color w:val="4D4D4D"/>
          <w:sz w:val="18"/>
          <w:szCs w:val="18"/>
          <w:shd w:val="clear" w:color="auto" w:fill="FFFFFF"/>
        </w:rPr>
        <w:t xml:space="preserve">). </w:t>
      </w:r>
    </w:p>
  </w:footnote>
  <w:footnote w:id="20">
    <w:p w14:paraId="7D2E176C" w14:textId="77777777" w:rsidR="00651526" w:rsidRDefault="00651526" w:rsidP="00651526">
      <w:pPr>
        <w:pStyle w:val="FootnoteText"/>
        <w:jc w:val="both"/>
        <w:rPr>
          <w:sz w:val="18"/>
          <w:szCs w:val="18"/>
        </w:rPr>
      </w:pPr>
      <w:r>
        <w:rPr>
          <w:rStyle w:val="FootnoteReference"/>
        </w:rPr>
        <w:footnoteRef/>
      </w:r>
      <w:r>
        <w:t xml:space="preserve"> </w:t>
      </w:r>
      <w:r>
        <w:rPr>
          <w:sz w:val="18"/>
          <w:szCs w:val="18"/>
        </w:rPr>
        <w:t xml:space="preserve">The Refinitiv Business Classification (TRBC) is an industry classification of global companies developed by the Thomson Reuters. TRBC is designed to categorize companies and their financial instruments into sectors and industries, providing a standardized framework for investment analysis, portfolio management, and benchmarking. The TRBC system is hierarchical, with four levels ranging from broad economic sectors to more specific industries and subindustries. (See more information </w:t>
      </w:r>
      <w:hyperlink r:id="rId9" w:history="1">
        <w:r>
          <w:rPr>
            <w:rStyle w:val="Hyperlink"/>
            <w:sz w:val="18"/>
            <w:szCs w:val="18"/>
          </w:rPr>
          <w:t>https://www.lseg.com/en/data-analytics/financial-data/indices/trbc-business-classification</w:t>
        </w:r>
      </w:hyperlink>
      <w:r>
        <w:rPr>
          <w:sz w:val="18"/>
          <w:szCs w:val="18"/>
        </w:rP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55C8D"/>
    <w:multiLevelType w:val="hybridMultilevel"/>
    <w:tmpl w:val="1E3C57E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3C43804"/>
    <w:multiLevelType w:val="multilevel"/>
    <w:tmpl w:val="55C25E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320E95"/>
    <w:multiLevelType w:val="hybridMultilevel"/>
    <w:tmpl w:val="B4407F42"/>
    <w:lvl w:ilvl="0" w:tplc="01906AD8">
      <w:start w:val="1"/>
      <w:numFmt w:val="bullet"/>
      <w:lvlText w:val="o"/>
      <w:lvlJc w:val="left"/>
      <w:pPr>
        <w:ind w:left="720" w:hanging="360"/>
      </w:pPr>
      <w:rPr>
        <w:rFonts w:ascii="Courier New" w:hAnsi="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49570F0"/>
    <w:multiLevelType w:val="hybridMultilevel"/>
    <w:tmpl w:val="62DC23B4"/>
    <w:lvl w:ilvl="0" w:tplc="22080D4C">
      <w:start w:val="1"/>
      <w:numFmt w:val="bullet"/>
      <w:lvlText w:val=""/>
      <w:lvlJc w:val="left"/>
      <w:pPr>
        <w:ind w:left="928" w:hanging="360"/>
      </w:pPr>
      <w:rPr>
        <w:rFonts w:ascii="Symbol" w:hAnsi="Symbol" w:hint="default"/>
      </w:rPr>
    </w:lvl>
    <w:lvl w:ilvl="1" w:tplc="9FE827C6">
      <w:start w:val="1"/>
      <w:numFmt w:val="bullet"/>
      <w:lvlText w:val="o"/>
      <w:lvlJc w:val="left"/>
      <w:pPr>
        <w:ind w:left="1648" w:hanging="360"/>
      </w:pPr>
      <w:rPr>
        <w:rFonts w:ascii="Courier New" w:hAnsi="Courier New" w:hint="default"/>
      </w:rPr>
    </w:lvl>
    <w:lvl w:ilvl="2" w:tplc="22E282B0">
      <w:start w:val="1"/>
      <w:numFmt w:val="bullet"/>
      <w:lvlText w:val=""/>
      <w:lvlJc w:val="left"/>
      <w:pPr>
        <w:ind w:left="2368" w:hanging="360"/>
      </w:pPr>
      <w:rPr>
        <w:rFonts w:ascii="Wingdings" w:hAnsi="Wingdings" w:hint="default"/>
      </w:rPr>
    </w:lvl>
    <w:lvl w:ilvl="3" w:tplc="16787A02">
      <w:start w:val="1"/>
      <w:numFmt w:val="bullet"/>
      <w:lvlText w:val=""/>
      <w:lvlJc w:val="left"/>
      <w:pPr>
        <w:ind w:left="3088" w:hanging="360"/>
      </w:pPr>
      <w:rPr>
        <w:rFonts w:ascii="Symbol" w:hAnsi="Symbol" w:hint="default"/>
      </w:rPr>
    </w:lvl>
    <w:lvl w:ilvl="4" w:tplc="324ACAD2">
      <w:start w:val="1"/>
      <w:numFmt w:val="bullet"/>
      <w:lvlText w:val="o"/>
      <w:lvlJc w:val="left"/>
      <w:pPr>
        <w:ind w:left="3808" w:hanging="360"/>
      </w:pPr>
      <w:rPr>
        <w:rFonts w:ascii="Courier New" w:hAnsi="Courier New" w:hint="default"/>
      </w:rPr>
    </w:lvl>
    <w:lvl w:ilvl="5" w:tplc="84FC5400">
      <w:start w:val="1"/>
      <w:numFmt w:val="bullet"/>
      <w:lvlText w:val=""/>
      <w:lvlJc w:val="left"/>
      <w:pPr>
        <w:ind w:left="4528" w:hanging="360"/>
      </w:pPr>
      <w:rPr>
        <w:rFonts w:ascii="Wingdings" w:hAnsi="Wingdings" w:hint="default"/>
      </w:rPr>
    </w:lvl>
    <w:lvl w:ilvl="6" w:tplc="14B85E3C">
      <w:start w:val="1"/>
      <w:numFmt w:val="bullet"/>
      <w:lvlText w:val=""/>
      <w:lvlJc w:val="left"/>
      <w:pPr>
        <w:ind w:left="5248" w:hanging="360"/>
      </w:pPr>
      <w:rPr>
        <w:rFonts w:ascii="Symbol" w:hAnsi="Symbol" w:hint="default"/>
      </w:rPr>
    </w:lvl>
    <w:lvl w:ilvl="7" w:tplc="C0A86208">
      <w:start w:val="1"/>
      <w:numFmt w:val="bullet"/>
      <w:lvlText w:val="o"/>
      <w:lvlJc w:val="left"/>
      <w:pPr>
        <w:ind w:left="5968" w:hanging="360"/>
      </w:pPr>
      <w:rPr>
        <w:rFonts w:ascii="Courier New" w:hAnsi="Courier New" w:hint="default"/>
      </w:rPr>
    </w:lvl>
    <w:lvl w:ilvl="8" w:tplc="673CCE72">
      <w:start w:val="1"/>
      <w:numFmt w:val="bullet"/>
      <w:lvlText w:val=""/>
      <w:lvlJc w:val="left"/>
      <w:pPr>
        <w:ind w:left="6688" w:hanging="360"/>
      </w:pPr>
      <w:rPr>
        <w:rFonts w:ascii="Wingdings" w:hAnsi="Wingdings" w:hint="default"/>
      </w:rPr>
    </w:lvl>
  </w:abstractNum>
  <w:abstractNum w:abstractNumId="4" w15:restartNumberingAfterBreak="0">
    <w:nsid w:val="0A1328DE"/>
    <w:multiLevelType w:val="multilevel"/>
    <w:tmpl w:val="08A28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E6D11F"/>
    <w:multiLevelType w:val="hybridMultilevel"/>
    <w:tmpl w:val="CB3660F8"/>
    <w:lvl w:ilvl="0" w:tplc="7716F634">
      <w:start w:val="1"/>
      <w:numFmt w:val="bullet"/>
      <w:lvlText w:val=""/>
      <w:lvlJc w:val="left"/>
      <w:pPr>
        <w:ind w:left="720" w:hanging="360"/>
      </w:pPr>
      <w:rPr>
        <w:rFonts w:ascii="Symbol" w:hAnsi="Symbol" w:hint="default"/>
      </w:rPr>
    </w:lvl>
    <w:lvl w:ilvl="1" w:tplc="DA80E7D0">
      <w:start w:val="1"/>
      <w:numFmt w:val="bullet"/>
      <w:lvlText w:val="o"/>
      <w:lvlJc w:val="left"/>
      <w:pPr>
        <w:ind w:left="1440" w:hanging="360"/>
      </w:pPr>
      <w:rPr>
        <w:rFonts w:ascii="Courier New" w:hAnsi="Courier New" w:hint="default"/>
      </w:rPr>
    </w:lvl>
    <w:lvl w:ilvl="2" w:tplc="B822978C">
      <w:start w:val="1"/>
      <w:numFmt w:val="bullet"/>
      <w:lvlText w:val=""/>
      <w:lvlJc w:val="left"/>
      <w:pPr>
        <w:ind w:left="2160" w:hanging="360"/>
      </w:pPr>
      <w:rPr>
        <w:rFonts w:ascii="Wingdings" w:hAnsi="Wingdings" w:hint="default"/>
      </w:rPr>
    </w:lvl>
    <w:lvl w:ilvl="3" w:tplc="479A4F94">
      <w:start w:val="1"/>
      <w:numFmt w:val="bullet"/>
      <w:lvlText w:val=""/>
      <w:lvlJc w:val="left"/>
      <w:pPr>
        <w:ind w:left="2880" w:hanging="360"/>
      </w:pPr>
      <w:rPr>
        <w:rFonts w:ascii="Symbol" w:hAnsi="Symbol" w:hint="default"/>
      </w:rPr>
    </w:lvl>
    <w:lvl w:ilvl="4" w:tplc="4A7CFD4A">
      <w:start w:val="1"/>
      <w:numFmt w:val="bullet"/>
      <w:lvlText w:val="o"/>
      <w:lvlJc w:val="left"/>
      <w:pPr>
        <w:ind w:left="3600" w:hanging="360"/>
      </w:pPr>
      <w:rPr>
        <w:rFonts w:ascii="Courier New" w:hAnsi="Courier New" w:hint="default"/>
      </w:rPr>
    </w:lvl>
    <w:lvl w:ilvl="5" w:tplc="ABA8DEA0">
      <w:start w:val="1"/>
      <w:numFmt w:val="bullet"/>
      <w:lvlText w:val=""/>
      <w:lvlJc w:val="left"/>
      <w:pPr>
        <w:ind w:left="4320" w:hanging="360"/>
      </w:pPr>
      <w:rPr>
        <w:rFonts w:ascii="Wingdings" w:hAnsi="Wingdings" w:hint="default"/>
      </w:rPr>
    </w:lvl>
    <w:lvl w:ilvl="6" w:tplc="59E4E360">
      <w:start w:val="1"/>
      <w:numFmt w:val="bullet"/>
      <w:lvlText w:val=""/>
      <w:lvlJc w:val="left"/>
      <w:pPr>
        <w:ind w:left="5040" w:hanging="360"/>
      </w:pPr>
      <w:rPr>
        <w:rFonts w:ascii="Symbol" w:hAnsi="Symbol" w:hint="default"/>
      </w:rPr>
    </w:lvl>
    <w:lvl w:ilvl="7" w:tplc="5DFE6EBC">
      <w:start w:val="1"/>
      <w:numFmt w:val="bullet"/>
      <w:lvlText w:val="o"/>
      <w:lvlJc w:val="left"/>
      <w:pPr>
        <w:ind w:left="5760" w:hanging="360"/>
      </w:pPr>
      <w:rPr>
        <w:rFonts w:ascii="Courier New" w:hAnsi="Courier New" w:hint="default"/>
      </w:rPr>
    </w:lvl>
    <w:lvl w:ilvl="8" w:tplc="9614EB18">
      <w:start w:val="1"/>
      <w:numFmt w:val="bullet"/>
      <w:lvlText w:val=""/>
      <w:lvlJc w:val="left"/>
      <w:pPr>
        <w:ind w:left="6480" w:hanging="360"/>
      </w:pPr>
      <w:rPr>
        <w:rFonts w:ascii="Wingdings" w:hAnsi="Wingdings" w:hint="default"/>
      </w:rPr>
    </w:lvl>
  </w:abstractNum>
  <w:abstractNum w:abstractNumId="6" w15:restartNumberingAfterBreak="0">
    <w:nsid w:val="100F344B"/>
    <w:multiLevelType w:val="multilevel"/>
    <w:tmpl w:val="C0200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C34665"/>
    <w:multiLevelType w:val="multilevel"/>
    <w:tmpl w:val="9B2EB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305607"/>
    <w:multiLevelType w:val="hybridMultilevel"/>
    <w:tmpl w:val="320A1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0E6299"/>
    <w:multiLevelType w:val="multilevel"/>
    <w:tmpl w:val="AA52BE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928"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4E750B"/>
    <w:multiLevelType w:val="multilevel"/>
    <w:tmpl w:val="DEE6C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4907F0"/>
    <w:multiLevelType w:val="multilevel"/>
    <w:tmpl w:val="4678E6C4"/>
    <w:lvl w:ilvl="0">
      <w:start w:val="5"/>
      <w:numFmt w:val="decimal"/>
      <w:lvlText w:val="%1"/>
      <w:lvlJc w:val="left"/>
      <w:pPr>
        <w:ind w:left="570" w:hanging="570"/>
      </w:pPr>
      <w:rPr>
        <w:rFonts w:hint="default"/>
      </w:rPr>
    </w:lvl>
    <w:lvl w:ilvl="1">
      <w:start w:val="1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23AE7B53"/>
    <w:multiLevelType w:val="multilevel"/>
    <w:tmpl w:val="F7900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5641A71"/>
    <w:multiLevelType w:val="multilevel"/>
    <w:tmpl w:val="276A940A"/>
    <w:lvl w:ilvl="0">
      <w:start w:val="5"/>
      <w:numFmt w:val="decimal"/>
      <w:lvlText w:val="%1"/>
      <w:lvlJc w:val="left"/>
      <w:pPr>
        <w:ind w:left="405" w:hanging="405"/>
      </w:pPr>
      <w:rPr>
        <w:rFonts w:hint="default"/>
      </w:rPr>
    </w:lvl>
    <w:lvl w:ilvl="1">
      <w:start w:val="9"/>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2AB81F15"/>
    <w:multiLevelType w:val="hybridMultilevel"/>
    <w:tmpl w:val="39B09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0A07E4"/>
    <w:multiLevelType w:val="multilevel"/>
    <w:tmpl w:val="EFB6CE0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310A0E4A"/>
    <w:multiLevelType w:val="multilevel"/>
    <w:tmpl w:val="C500295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31F94D80"/>
    <w:multiLevelType w:val="multilevel"/>
    <w:tmpl w:val="B70010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25D5CFA"/>
    <w:multiLevelType w:val="multilevel"/>
    <w:tmpl w:val="A9A80F96"/>
    <w:lvl w:ilvl="0">
      <w:start w:val="1"/>
      <w:numFmt w:val="decimal"/>
      <w:lvlText w:val="%1."/>
      <w:lvlJc w:val="left"/>
      <w:pPr>
        <w:tabs>
          <w:tab w:val="num" w:pos="720"/>
        </w:tabs>
        <w:ind w:left="720" w:hanging="360"/>
      </w:pPr>
    </w:lvl>
    <w:lvl w:ilvl="1">
      <w:start w:val="10"/>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33CB1EAE"/>
    <w:multiLevelType w:val="multilevel"/>
    <w:tmpl w:val="83AAB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494415F"/>
    <w:multiLevelType w:val="hybridMultilevel"/>
    <w:tmpl w:val="76448EEE"/>
    <w:lvl w:ilvl="0" w:tplc="FDBEE4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372A150D"/>
    <w:multiLevelType w:val="multilevel"/>
    <w:tmpl w:val="EE98EBAC"/>
    <w:lvl w:ilvl="0">
      <w:start w:val="1"/>
      <w:numFmt w:val="decimal"/>
      <w:lvlText w:val="%1."/>
      <w:lvlJc w:val="left"/>
      <w:pPr>
        <w:ind w:left="360" w:hanging="360"/>
      </w:pPr>
      <w:rPr>
        <w:rFonts w:hint="default"/>
      </w:rPr>
    </w:lvl>
    <w:lvl w:ilvl="1">
      <w:start w:val="9"/>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22" w15:restartNumberingAfterBreak="0">
    <w:nsid w:val="37ED3B71"/>
    <w:multiLevelType w:val="hybridMultilevel"/>
    <w:tmpl w:val="7C7043FA"/>
    <w:lvl w:ilvl="0" w:tplc="F926CFB8">
      <w:start w:val="4"/>
      <w:numFmt w:val="lowerLetter"/>
      <w:lvlText w:val="%1)"/>
      <w:lvlJc w:val="left"/>
      <w:pPr>
        <w:ind w:left="720" w:hanging="360"/>
      </w:pPr>
      <w:rPr>
        <w:rFonts w:asciiTheme="minorHAnsi" w:eastAsia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9BAF4D8"/>
    <w:multiLevelType w:val="hybridMultilevel"/>
    <w:tmpl w:val="EC16876E"/>
    <w:lvl w:ilvl="0" w:tplc="13D8A734">
      <w:start w:val="1"/>
      <w:numFmt w:val="bullet"/>
      <w:lvlText w:val=""/>
      <w:lvlJc w:val="left"/>
      <w:pPr>
        <w:ind w:left="720" w:hanging="360"/>
      </w:pPr>
      <w:rPr>
        <w:rFonts w:ascii="Symbol" w:hAnsi="Symbol" w:hint="default"/>
      </w:rPr>
    </w:lvl>
    <w:lvl w:ilvl="1" w:tplc="01906AD8">
      <w:start w:val="1"/>
      <w:numFmt w:val="bullet"/>
      <w:lvlText w:val="o"/>
      <w:lvlJc w:val="left"/>
      <w:pPr>
        <w:ind w:left="1440" w:hanging="360"/>
      </w:pPr>
      <w:rPr>
        <w:rFonts w:ascii="Courier New" w:hAnsi="Courier New" w:hint="default"/>
      </w:rPr>
    </w:lvl>
    <w:lvl w:ilvl="2" w:tplc="77F0B39C">
      <w:start w:val="1"/>
      <w:numFmt w:val="bullet"/>
      <w:lvlText w:val=""/>
      <w:lvlJc w:val="left"/>
      <w:pPr>
        <w:ind w:left="2160" w:hanging="360"/>
      </w:pPr>
      <w:rPr>
        <w:rFonts w:ascii="Wingdings" w:hAnsi="Wingdings" w:hint="default"/>
      </w:rPr>
    </w:lvl>
    <w:lvl w:ilvl="3" w:tplc="1B18D544">
      <w:start w:val="1"/>
      <w:numFmt w:val="bullet"/>
      <w:lvlText w:val=""/>
      <w:lvlJc w:val="left"/>
      <w:pPr>
        <w:ind w:left="2880" w:hanging="360"/>
      </w:pPr>
      <w:rPr>
        <w:rFonts w:ascii="Symbol" w:hAnsi="Symbol" w:hint="default"/>
      </w:rPr>
    </w:lvl>
    <w:lvl w:ilvl="4" w:tplc="3EB04636">
      <w:start w:val="1"/>
      <w:numFmt w:val="bullet"/>
      <w:lvlText w:val="o"/>
      <w:lvlJc w:val="left"/>
      <w:pPr>
        <w:ind w:left="3600" w:hanging="360"/>
      </w:pPr>
      <w:rPr>
        <w:rFonts w:ascii="Courier New" w:hAnsi="Courier New" w:hint="default"/>
      </w:rPr>
    </w:lvl>
    <w:lvl w:ilvl="5" w:tplc="FA808572">
      <w:start w:val="1"/>
      <w:numFmt w:val="bullet"/>
      <w:lvlText w:val=""/>
      <w:lvlJc w:val="left"/>
      <w:pPr>
        <w:ind w:left="4320" w:hanging="360"/>
      </w:pPr>
      <w:rPr>
        <w:rFonts w:ascii="Wingdings" w:hAnsi="Wingdings" w:hint="default"/>
      </w:rPr>
    </w:lvl>
    <w:lvl w:ilvl="6" w:tplc="F21CC0F6">
      <w:start w:val="1"/>
      <w:numFmt w:val="bullet"/>
      <w:lvlText w:val=""/>
      <w:lvlJc w:val="left"/>
      <w:pPr>
        <w:ind w:left="5040" w:hanging="360"/>
      </w:pPr>
      <w:rPr>
        <w:rFonts w:ascii="Symbol" w:hAnsi="Symbol" w:hint="default"/>
      </w:rPr>
    </w:lvl>
    <w:lvl w:ilvl="7" w:tplc="2940D194">
      <w:start w:val="1"/>
      <w:numFmt w:val="bullet"/>
      <w:lvlText w:val="o"/>
      <w:lvlJc w:val="left"/>
      <w:pPr>
        <w:ind w:left="5760" w:hanging="360"/>
      </w:pPr>
      <w:rPr>
        <w:rFonts w:ascii="Courier New" w:hAnsi="Courier New" w:hint="default"/>
      </w:rPr>
    </w:lvl>
    <w:lvl w:ilvl="8" w:tplc="9C2E25F6">
      <w:start w:val="1"/>
      <w:numFmt w:val="bullet"/>
      <w:lvlText w:val=""/>
      <w:lvlJc w:val="left"/>
      <w:pPr>
        <w:ind w:left="6480" w:hanging="360"/>
      </w:pPr>
      <w:rPr>
        <w:rFonts w:ascii="Wingdings" w:hAnsi="Wingdings" w:hint="default"/>
      </w:rPr>
    </w:lvl>
  </w:abstractNum>
  <w:abstractNum w:abstractNumId="24" w15:restartNumberingAfterBreak="0">
    <w:nsid w:val="3C7C16B3"/>
    <w:multiLevelType w:val="hybridMultilevel"/>
    <w:tmpl w:val="02780912"/>
    <w:lvl w:ilvl="0" w:tplc="13D8A734">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5" w15:restartNumberingAfterBreak="0">
    <w:nsid w:val="3E21E27F"/>
    <w:multiLevelType w:val="hybridMultilevel"/>
    <w:tmpl w:val="35C2A0B8"/>
    <w:lvl w:ilvl="0" w:tplc="21566884">
      <w:start w:val="1"/>
      <w:numFmt w:val="bullet"/>
      <w:lvlText w:val=""/>
      <w:lvlJc w:val="left"/>
      <w:pPr>
        <w:ind w:left="720" w:hanging="360"/>
      </w:pPr>
      <w:rPr>
        <w:rFonts w:ascii="Symbol" w:hAnsi="Symbol" w:hint="default"/>
      </w:rPr>
    </w:lvl>
    <w:lvl w:ilvl="1" w:tplc="01E860CC">
      <w:start w:val="1"/>
      <w:numFmt w:val="bullet"/>
      <w:lvlText w:val="o"/>
      <w:lvlJc w:val="left"/>
      <w:pPr>
        <w:ind w:left="1440" w:hanging="360"/>
      </w:pPr>
      <w:rPr>
        <w:rFonts w:ascii="Courier New" w:hAnsi="Courier New" w:hint="default"/>
      </w:rPr>
    </w:lvl>
    <w:lvl w:ilvl="2" w:tplc="D278EBEA">
      <w:start w:val="1"/>
      <w:numFmt w:val="bullet"/>
      <w:lvlText w:val=""/>
      <w:lvlJc w:val="left"/>
      <w:pPr>
        <w:ind w:left="2160" w:hanging="360"/>
      </w:pPr>
      <w:rPr>
        <w:rFonts w:ascii="Wingdings" w:hAnsi="Wingdings" w:hint="default"/>
      </w:rPr>
    </w:lvl>
    <w:lvl w:ilvl="3" w:tplc="F0E06488">
      <w:start w:val="1"/>
      <w:numFmt w:val="bullet"/>
      <w:lvlText w:val=""/>
      <w:lvlJc w:val="left"/>
      <w:pPr>
        <w:ind w:left="2880" w:hanging="360"/>
      </w:pPr>
      <w:rPr>
        <w:rFonts w:ascii="Symbol" w:hAnsi="Symbol" w:hint="default"/>
      </w:rPr>
    </w:lvl>
    <w:lvl w:ilvl="4" w:tplc="12A23240">
      <w:start w:val="1"/>
      <w:numFmt w:val="bullet"/>
      <w:lvlText w:val="o"/>
      <w:lvlJc w:val="left"/>
      <w:pPr>
        <w:ind w:left="3600" w:hanging="360"/>
      </w:pPr>
      <w:rPr>
        <w:rFonts w:ascii="Courier New" w:hAnsi="Courier New" w:hint="default"/>
      </w:rPr>
    </w:lvl>
    <w:lvl w:ilvl="5" w:tplc="1288542A">
      <w:start w:val="1"/>
      <w:numFmt w:val="bullet"/>
      <w:lvlText w:val=""/>
      <w:lvlJc w:val="left"/>
      <w:pPr>
        <w:ind w:left="4320" w:hanging="360"/>
      </w:pPr>
      <w:rPr>
        <w:rFonts w:ascii="Wingdings" w:hAnsi="Wingdings" w:hint="default"/>
      </w:rPr>
    </w:lvl>
    <w:lvl w:ilvl="6" w:tplc="50F89170">
      <w:start w:val="1"/>
      <w:numFmt w:val="bullet"/>
      <w:lvlText w:val=""/>
      <w:lvlJc w:val="left"/>
      <w:pPr>
        <w:ind w:left="5040" w:hanging="360"/>
      </w:pPr>
      <w:rPr>
        <w:rFonts w:ascii="Symbol" w:hAnsi="Symbol" w:hint="default"/>
      </w:rPr>
    </w:lvl>
    <w:lvl w:ilvl="7" w:tplc="E022F758">
      <w:start w:val="1"/>
      <w:numFmt w:val="bullet"/>
      <w:lvlText w:val="o"/>
      <w:lvlJc w:val="left"/>
      <w:pPr>
        <w:ind w:left="5760" w:hanging="360"/>
      </w:pPr>
      <w:rPr>
        <w:rFonts w:ascii="Courier New" w:hAnsi="Courier New" w:hint="default"/>
      </w:rPr>
    </w:lvl>
    <w:lvl w:ilvl="8" w:tplc="9852F2E0">
      <w:start w:val="1"/>
      <w:numFmt w:val="bullet"/>
      <w:lvlText w:val=""/>
      <w:lvlJc w:val="left"/>
      <w:pPr>
        <w:ind w:left="6480" w:hanging="360"/>
      </w:pPr>
      <w:rPr>
        <w:rFonts w:ascii="Wingdings" w:hAnsi="Wingdings" w:hint="default"/>
      </w:rPr>
    </w:lvl>
  </w:abstractNum>
  <w:abstractNum w:abstractNumId="26" w15:restartNumberingAfterBreak="0">
    <w:nsid w:val="4B570B29"/>
    <w:multiLevelType w:val="hybridMultilevel"/>
    <w:tmpl w:val="45868B8A"/>
    <w:lvl w:ilvl="0" w:tplc="13D8A734">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27" w15:restartNumberingAfterBreak="0">
    <w:nsid w:val="502B4FF7"/>
    <w:multiLevelType w:val="multilevel"/>
    <w:tmpl w:val="17D81686"/>
    <w:lvl w:ilvl="0">
      <w:start w:val="1"/>
      <w:numFmt w:val="upperRoman"/>
      <w:lvlText w:val="%1."/>
      <w:lvlJc w:val="right"/>
      <w:pPr>
        <w:ind w:left="786" w:hanging="360"/>
      </w:pPr>
      <w:rPr>
        <w:rFonts w:hint="default"/>
      </w:rPr>
    </w:lvl>
    <w:lvl w:ilvl="1">
      <w:start w:val="4"/>
      <w:numFmt w:val="decimal"/>
      <w:isLgl/>
      <w:lvlText w:val="%1.%2"/>
      <w:lvlJc w:val="left"/>
      <w:pPr>
        <w:ind w:left="786" w:hanging="360"/>
      </w:pPr>
      <w:rPr>
        <w:rFonts w:hint="default"/>
      </w:rPr>
    </w:lvl>
    <w:lvl w:ilvl="2">
      <w:start w:val="1"/>
      <w:numFmt w:val="decimal"/>
      <w:isLgl/>
      <w:lvlText w:val="%1.%2.%3"/>
      <w:lvlJc w:val="left"/>
      <w:pPr>
        <w:ind w:left="1146" w:hanging="720"/>
      </w:pPr>
      <w:rPr>
        <w:rFonts w:hint="default"/>
      </w:rPr>
    </w:lvl>
    <w:lvl w:ilvl="3">
      <w:start w:val="1"/>
      <w:numFmt w:val="decimal"/>
      <w:isLgl/>
      <w:lvlText w:val="%1.%2.%3.%4"/>
      <w:lvlJc w:val="left"/>
      <w:pPr>
        <w:ind w:left="1146" w:hanging="720"/>
      </w:pPr>
      <w:rPr>
        <w:rFonts w:hint="default"/>
      </w:rPr>
    </w:lvl>
    <w:lvl w:ilvl="4">
      <w:start w:val="1"/>
      <w:numFmt w:val="decimal"/>
      <w:isLgl/>
      <w:lvlText w:val="%1.%2.%3.%4.%5"/>
      <w:lvlJc w:val="left"/>
      <w:pPr>
        <w:ind w:left="1506" w:hanging="1080"/>
      </w:pPr>
      <w:rPr>
        <w:rFonts w:hint="default"/>
      </w:rPr>
    </w:lvl>
    <w:lvl w:ilvl="5">
      <w:start w:val="1"/>
      <w:numFmt w:val="decimal"/>
      <w:isLgl/>
      <w:lvlText w:val="%1.%2.%3.%4.%5.%6"/>
      <w:lvlJc w:val="left"/>
      <w:pPr>
        <w:ind w:left="1506" w:hanging="1080"/>
      </w:pPr>
      <w:rPr>
        <w:rFonts w:hint="default"/>
      </w:rPr>
    </w:lvl>
    <w:lvl w:ilvl="6">
      <w:start w:val="1"/>
      <w:numFmt w:val="decimal"/>
      <w:isLgl/>
      <w:lvlText w:val="%1.%2.%3.%4.%5.%6.%7"/>
      <w:lvlJc w:val="left"/>
      <w:pPr>
        <w:ind w:left="1866" w:hanging="1440"/>
      </w:pPr>
      <w:rPr>
        <w:rFonts w:hint="default"/>
      </w:rPr>
    </w:lvl>
    <w:lvl w:ilvl="7">
      <w:start w:val="1"/>
      <w:numFmt w:val="decimal"/>
      <w:isLgl/>
      <w:lvlText w:val="%1.%2.%3.%4.%5.%6.%7.%8"/>
      <w:lvlJc w:val="left"/>
      <w:pPr>
        <w:ind w:left="1866" w:hanging="1440"/>
      </w:pPr>
      <w:rPr>
        <w:rFonts w:hint="default"/>
      </w:rPr>
    </w:lvl>
    <w:lvl w:ilvl="8">
      <w:start w:val="1"/>
      <w:numFmt w:val="decimal"/>
      <w:isLgl/>
      <w:lvlText w:val="%1.%2.%3.%4.%5.%6.%7.%8.%9"/>
      <w:lvlJc w:val="left"/>
      <w:pPr>
        <w:ind w:left="2226" w:hanging="1800"/>
      </w:pPr>
      <w:rPr>
        <w:rFonts w:hint="default"/>
      </w:rPr>
    </w:lvl>
  </w:abstractNum>
  <w:abstractNum w:abstractNumId="28" w15:restartNumberingAfterBreak="0">
    <w:nsid w:val="51434D6C"/>
    <w:multiLevelType w:val="multilevel"/>
    <w:tmpl w:val="CCCC34FC"/>
    <w:lvl w:ilvl="0">
      <w:start w:val="1"/>
      <w:numFmt w:val="upperRoman"/>
      <w:lvlText w:val="%1."/>
      <w:lvlJc w:val="right"/>
      <w:pPr>
        <w:ind w:left="720" w:hanging="360"/>
      </w:pPr>
      <w:rPr>
        <w:rFonts w:hint="default"/>
      </w:rPr>
    </w:lvl>
    <w:lvl w:ilvl="1">
      <w:start w:val="1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9" w15:restartNumberingAfterBreak="0">
    <w:nsid w:val="53E25439"/>
    <w:multiLevelType w:val="multilevel"/>
    <w:tmpl w:val="902A2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67FD160"/>
    <w:multiLevelType w:val="hybridMultilevel"/>
    <w:tmpl w:val="B53AE2F2"/>
    <w:lvl w:ilvl="0" w:tplc="FEFE15F8">
      <w:start w:val="1"/>
      <w:numFmt w:val="decimal"/>
      <w:lvlText w:val="%1."/>
      <w:lvlJc w:val="left"/>
      <w:pPr>
        <w:ind w:left="720" w:hanging="360"/>
      </w:pPr>
    </w:lvl>
    <w:lvl w:ilvl="1" w:tplc="1B2E271C">
      <w:start w:val="1"/>
      <w:numFmt w:val="lowerLetter"/>
      <w:lvlText w:val="%2."/>
      <w:lvlJc w:val="left"/>
      <w:pPr>
        <w:ind w:left="1440" w:hanging="360"/>
      </w:pPr>
    </w:lvl>
    <w:lvl w:ilvl="2" w:tplc="E59E98EC">
      <w:start w:val="1"/>
      <w:numFmt w:val="lowerRoman"/>
      <w:lvlText w:val="%3."/>
      <w:lvlJc w:val="right"/>
      <w:pPr>
        <w:ind w:left="2160" w:hanging="180"/>
      </w:pPr>
    </w:lvl>
    <w:lvl w:ilvl="3" w:tplc="105E353A">
      <w:start w:val="1"/>
      <w:numFmt w:val="decimal"/>
      <w:lvlText w:val="%4."/>
      <w:lvlJc w:val="left"/>
      <w:pPr>
        <w:ind w:left="2880" w:hanging="360"/>
      </w:pPr>
    </w:lvl>
    <w:lvl w:ilvl="4" w:tplc="57BC5674">
      <w:start w:val="1"/>
      <w:numFmt w:val="lowerLetter"/>
      <w:lvlText w:val="%5."/>
      <w:lvlJc w:val="left"/>
      <w:pPr>
        <w:ind w:left="3600" w:hanging="360"/>
      </w:pPr>
    </w:lvl>
    <w:lvl w:ilvl="5" w:tplc="FC98FCBA">
      <w:start w:val="1"/>
      <w:numFmt w:val="lowerRoman"/>
      <w:lvlText w:val="%6."/>
      <w:lvlJc w:val="right"/>
      <w:pPr>
        <w:ind w:left="4320" w:hanging="180"/>
      </w:pPr>
    </w:lvl>
    <w:lvl w:ilvl="6" w:tplc="1CDA389C">
      <w:start w:val="1"/>
      <w:numFmt w:val="decimal"/>
      <w:lvlText w:val="%7."/>
      <w:lvlJc w:val="left"/>
      <w:pPr>
        <w:ind w:left="5040" w:hanging="360"/>
      </w:pPr>
    </w:lvl>
    <w:lvl w:ilvl="7" w:tplc="3190CC86">
      <w:start w:val="1"/>
      <w:numFmt w:val="lowerLetter"/>
      <w:lvlText w:val="%8."/>
      <w:lvlJc w:val="left"/>
      <w:pPr>
        <w:ind w:left="5760" w:hanging="360"/>
      </w:pPr>
    </w:lvl>
    <w:lvl w:ilvl="8" w:tplc="B4325608">
      <w:start w:val="1"/>
      <w:numFmt w:val="lowerRoman"/>
      <w:lvlText w:val="%9."/>
      <w:lvlJc w:val="right"/>
      <w:pPr>
        <w:ind w:left="6480" w:hanging="180"/>
      </w:pPr>
    </w:lvl>
  </w:abstractNum>
  <w:abstractNum w:abstractNumId="31" w15:restartNumberingAfterBreak="0">
    <w:nsid w:val="58C65BCE"/>
    <w:multiLevelType w:val="hybridMultilevel"/>
    <w:tmpl w:val="5476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9B676FB"/>
    <w:multiLevelType w:val="multilevel"/>
    <w:tmpl w:val="7908B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FF43EC"/>
    <w:multiLevelType w:val="hybridMultilevel"/>
    <w:tmpl w:val="0FE88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3B0DAF"/>
    <w:multiLevelType w:val="hybridMultilevel"/>
    <w:tmpl w:val="11AAEC72"/>
    <w:lvl w:ilvl="0" w:tplc="6ECAA592">
      <w:start w:val="2"/>
      <w:numFmt w:val="low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32D7D22"/>
    <w:multiLevelType w:val="hybridMultilevel"/>
    <w:tmpl w:val="8C26F4F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7C52E5F"/>
    <w:multiLevelType w:val="hybridMultilevel"/>
    <w:tmpl w:val="C85854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23031E"/>
    <w:multiLevelType w:val="multilevel"/>
    <w:tmpl w:val="7BCCE89E"/>
    <w:lvl w:ilvl="0">
      <w:start w:val="5"/>
      <w:numFmt w:val="decimal"/>
      <w:lvlText w:val="%1"/>
      <w:lvlJc w:val="left"/>
      <w:pPr>
        <w:ind w:left="540" w:hanging="540"/>
      </w:pPr>
      <w:rPr>
        <w:rFonts w:hint="default"/>
      </w:rPr>
    </w:lvl>
    <w:lvl w:ilvl="1">
      <w:start w:val="1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8" w15:restartNumberingAfterBreak="0">
    <w:nsid w:val="6A2975C9"/>
    <w:multiLevelType w:val="hybridMultilevel"/>
    <w:tmpl w:val="B1A20D06"/>
    <w:lvl w:ilvl="0" w:tplc="0B144FD2">
      <w:start w:val="3"/>
      <w:numFmt w:val="upperLetter"/>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B2B2BF4"/>
    <w:multiLevelType w:val="hybridMultilevel"/>
    <w:tmpl w:val="DF787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D19197D"/>
    <w:multiLevelType w:val="hybridMultilevel"/>
    <w:tmpl w:val="29F03E3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5A26DC"/>
    <w:multiLevelType w:val="hybridMultilevel"/>
    <w:tmpl w:val="EA649F04"/>
    <w:lvl w:ilvl="0" w:tplc="01906A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76373C0"/>
    <w:multiLevelType w:val="hybridMultilevel"/>
    <w:tmpl w:val="A948D204"/>
    <w:lvl w:ilvl="0" w:tplc="01906AD8">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8D0FDFD"/>
    <w:multiLevelType w:val="hybridMultilevel"/>
    <w:tmpl w:val="585403B2"/>
    <w:lvl w:ilvl="0" w:tplc="3872F180">
      <w:start w:val="1"/>
      <w:numFmt w:val="bullet"/>
      <w:lvlText w:val=""/>
      <w:lvlJc w:val="left"/>
      <w:pPr>
        <w:ind w:left="720" w:hanging="360"/>
      </w:pPr>
      <w:rPr>
        <w:rFonts w:ascii="Symbol" w:hAnsi="Symbol" w:hint="default"/>
      </w:rPr>
    </w:lvl>
    <w:lvl w:ilvl="1" w:tplc="571AF2B2">
      <w:start w:val="1"/>
      <w:numFmt w:val="bullet"/>
      <w:lvlText w:val="o"/>
      <w:lvlJc w:val="left"/>
      <w:pPr>
        <w:ind w:left="1440" w:hanging="360"/>
      </w:pPr>
      <w:rPr>
        <w:rFonts w:ascii="Courier New" w:hAnsi="Courier New" w:hint="default"/>
      </w:rPr>
    </w:lvl>
    <w:lvl w:ilvl="2" w:tplc="49BAB694">
      <w:start w:val="1"/>
      <w:numFmt w:val="bullet"/>
      <w:lvlText w:val=""/>
      <w:lvlJc w:val="left"/>
      <w:pPr>
        <w:ind w:left="2160" w:hanging="360"/>
      </w:pPr>
      <w:rPr>
        <w:rFonts w:ascii="Wingdings" w:hAnsi="Wingdings" w:hint="default"/>
      </w:rPr>
    </w:lvl>
    <w:lvl w:ilvl="3" w:tplc="E6C8368A">
      <w:start w:val="1"/>
      <w:numFmt w:val="bullet"/>
      <w:lvlText w:val=""/>
      <w:lvlJc w:val="left"/>
      <w:pPr>
        <w:ind w:left="2880" w:hanging="360"/>
      </w:pPr>
      <w:rPr>
        <w:rFonts w:ascii="Symbol" w:hAnsi="Symbol" w:hint="default"/>
      </w:rPr>
    </w:lvl>
    <w:lvl w:ilvl="4" w:tplc="9A88FCB0">
      <w:start w:val="1"/>
      <w:numFmt w:val="bullet"/>
      <w:lvlText w:val="o"/>
      <w:lvlJc w:val="left"/>
      <w:pPr>
        <w:ind w:left="3600" w:hanging="360"/>
      </w:pPr>
      <w:rPr>
        <w:rFonts w:ascii="Courier New" w:hAnsi="Courier New" w:hint="default"/>
      </w:rPr>
    </w:lvl>
    <w:lvl w:ilvl="5" w:tplc="B5D08784">
      <w:start w:val="1"/>
      <w:numFmt w:val="bullet"/>
      <w:lvlText w:val=""/>
      <w:lvlJc w:val="left"/>
      <w:pPr>
        <w:ind w:left="4320" w:hanging="360"/>
      </w:pPr>
      <w:rPr>
        <w:rFonts w:ascii="Wingdings" w:hAnsi="Wingdings" w:hint="default"/>
      </w:rPr>
    </w:lvl>
    <w:lvl w:ilvl="6" w:tplc="3A622802">
      <w:start w:val="1"/>
      <w:numFmt w:val="bullet"/>
      <w:lvlText w:val=""/>
      <w:lvlJc w:val="left"/>
      <w:pPr>
        <w:ind w:left="5040" w:hanging="360"/>
      </w:pPr>
      <w:rPr>
        <w:rFonts w:ascii="Symbol" w:hAnsi="Symbol" w:hint="default"/>
      </w:rPr>
    </w:lvl>
    <w:lvl w:ilvl="7" w:tplc="1B76C036">
      <w:start w:val="1"/>
      <w:numFmt w:val="bullet"/>
      <w:lvlText w:val="o"/>
      <w:lvlJc w:val="left"/>
      <w:pPr>
        <w:ind w:left="5760" w:hanging="360"/>
      </w:pPr>
      <w:rPr>
        <w:rFonts w:ascii="Courier New" w:hAnsi="Courier New" w:hint="default"/>
      </w:rPr>
    </w:lvl>
    <w:lvl w:ilvl="8" w:tplc="5FAEFCFA">
      <w:start w:val="1"/>
      <w:numFmt w:val="bullet"/>
      <w:lvlText w:val=""/>
      <w:lvlJc w:val="left"/>
      <w:pPr>
        <w:ind w:left="6480" w:hanging="360"/>
      </w:pPr>
      <w:rPr>
        <w:rFonts w:ascii="Wingdings" w:hAnsi="Wingdings" w:hint="default"/>
      </w:rPr>
    </w:lvl>
  </w:abstractNum>
  <w:abstractNum w:abstractNumId="44" w15:restartNumberingAfterBreak="0">
    <w:nsid w:val="79E35A75"/>
    <w:multiLevelType w:val="hybridMultilevel"/>
    <w:tmpl w:val="DCD42E68"/>
    <w:lvl w:ilvl="0" w:tplc="FFFFFFFF">
      <w:start w:val="1"/>
      <w:numFmt w:val="lowerLetter"/>
      <w:lvlText w:val="%1)"/>
      <w:lvlJc w:val="left"/>
      <w:pPr>
        <w:ind w:left="720" w:hanging="360"/>
      </w:pPr>
      <w:rPr>
        <w:rFonts w:hint="default"/>
        <w:b/>
        <w: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FE019A4"/>
    <w:multiLevelType w:val="multilevel"/>
    <w:tmpl w:val="E2CC4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5888282">
    <w:abstractNumId w:val="32"/>
  </w:num>
  <w:num w:numId="2" w16cid:durableId="118767673">
    <w:abstractNumId w:val="12"/>
  </w:num>
  <w:num w:numId="3" w16cid:durableId="1521312501">
    <w:abstractNumId w:val="4"/>
  </w:num>
  <w:num w:numId="4" w16cid:durableId="1891381661">
    <w:abstractNumId w:val="7"/>
  </w:num>
  <w:num w:numId="5" w16cid:durableId="354042170">
    <w:abstractNumId w:val="16"/>
  </w:num>
  <w:num w:numId="6" w16cid:durableId="1729301467">
    <w:abstractNumId w:val="15"/>
  </w:num>
  <w:num w:numId="7" w16cid:durableId="1057706276">
    <w:abstractNumId w:val="6"/>
  </w:num>
  <w:num w:numId="8" w16cid:durableId="1479491533">
    <w:abstractNumId w:val="23"/>
  </w:num>
  <w:num w:numId="9" w16cid:durableId="950866985">
    <w:abstractNumId w:val="25"/>
  </w:num>
  <w:num w:numId="10" w16cid:durableId="1796369498">
    <w:abstractNumId w:val="3"/>
  </w:num>
  <w:num w:numId="11" w16cid:durableId="1411779672">
    <w:abstractNumId w:val="43"/>
  </w:num>
  <w:num w:numId="12" w16cid:durableId="1243182939">
    <w:abstractNumId w:val="5"/>
  </w:num>
  <w:num w:numId="13" w16cid:durableId="725954040">
    <w:abstractNumId w:val="30"/>
  </w:num>
  <w:num w:numId="14" w16cid:durableId="1093354373">
    <w:abstractNumId w:val="18"/>
  </w:num>
  <w:num w:numId="15" w16cid:durableId="481772333">
    <w:abstractNumId w:val="33"/>
  </w:num>
  <w:num w:numId="16" w16cid:durableId="489711343">
    <w:abstractNumId w:val="45"/>
  </w:num>
  <w:num w:numId="17" w16cid:durableId="1756631447">
    <w:abstractNumId w:val="9"/>
  </w:num>
  <w:num w:numId="18" w16cid:durableId="1101681551">
    <w:abstractNumId w:val="10"/>
  </w:num>
  <w:num w:numId="19" w16cid:durableId="297302762">
    <w:abstractNumId w:val="44"/>
  </w:num>
  <w:num w:numId="20" w16cid:durableId="1766803926">
    <w:abstractNumId w:val="27"/>
  </w:num>
  <w:num w:numId="21" w16cid:durableId="367417095">
    <w:abstractNumId w:val="40"/>
  </w:num>
  <w:num w:numId="22" w16cid:durableId="1953201675">
    <w:abstractNumId w:val="28"/>
  </w:num>
  <w:num w:numId="23" w16cid:durableId="947156398">
    <w:abstractNumId w:val="21"/>
  </w:num>
  <w:num w:numId="24" w16cid:durableId="1182938667">
    <w:abstractNumId w:val="31"/>
  </w:num>
  <w:num w:numId="25" w16cid:durableId="719482026">
    <w:abstractNumId w:val="17"/>
  </w:num>
  <w:num w:numId="26" w16cid:durableId="1729571465">
    <w:abstractNumId w:val="20"/>
  </w:num>
  <w:num w:numId="27" w16cid:durableId="757407684">
    <w:abstractNumId w:val="2"/>
  </w:num>
  <w:num w:numId="28" w16cid:durableId="1798521773">
    <w:abstractNumId w:val="41"/>
  </w:num>
  <w:num w:numId="29" w16cid:durableId="202013857">
    <w:abstractNumId w:val="42"/>
  </w:num>
  <w:num w:numId="30" w16cid:durableId="926425781">
    <w:abstractNumId w:val="14"/>
  </w:num>
  <w:num w:numId="31" w16cid:durableId="523786595">
    <w:abstractNumId w:val="36"/>
  </w:num>
  <w:num w:numId="32" w16cid:durableId="21176337">
    <w:abstractNumId w:val="34"/>
  </w:num>
  <w:num w:numId="33" w16cid:durableId="1824271063">
    <w:abstractNumId w:val="38"/>
  </w:num>
  <w:num w:numId="34" w16cid:durableId="586155751">
    <w:abstractNumId w:val="22"/>
  </w:num>
  <w:num w:numId="35" w16cid:durableId="841621893">
    <w:abstractNumId w:val="19"/>
  </w:num>
  <w:num w:numId="36" w16cid:durableId="363294012">
    <w:abstractNumId w:val="39"/>
  </w:num>
  <w:num w:numId="37" w16cid:durableId="1642464549">
    <w:abstractNumId w:val="0"/>
  </w:num>
  <w:num w:numId="38" w16cid:durableId="1931110980">
    <w:abstractNumId w:val="29"/>
  </w:num>
  <w:num w:numId="39" w16cid:durableId="144284588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0" w16cid:durableId="151345164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2120298119">
    <w:abstractNumId w:val="1"/>
  </w:num>
  <w:num w:numId="42" w16cid:durableId="1496609581">
    <w:abstractNumId w:val="13"/>
  </w:num>
  <w:num w:numId="43" w16cid:durableId="959413805">
    <w:abstractNumId w:val="26"/>
  </w:num>
  <w:num w:numId="44" w16cid:durableId="1715735673">
    <w:abstractNumId w:val="24"/>
  </w:num>
  <w:num w:numId="45" w16cid:durableId="1871600736">
    <w:abstractNumId w:val="8"/>
  </w:num>
  <w:num w:numId="46" w16cid:durableId="626542638">
    <w:abstractNumId w:val="35"/>
  </w:num>
  <w:num w:numId="47" w16cid:durableId="1418479643">
    <w:abstractNumId w:val="37"/>
  </w:num>
  <w:num w:numId="48" w16cid:durableId="1011227583">
    <w:abstractNumId w:val="1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Nadeesha Muthuthantrige Alias Polwaththage">
    <w15:presenceInfo w15:providerId="AD" w15:userId="S::n.muthuthantrige@keele.ac.uk::834dcbbf-c0e4-4403-8876-889d14f5a76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LQ0NzYyMDEyNzcyMjZT0lEKTi0uzszPAymwrAUAgD+pWiwAAAA="/>
  </w:docVars>
  <w:rsids>
    <w:rsidRoot w:val="00144866"/>
    <w:rsid w:val="00001ADE"/>
    <w:rsid w:val="00003777"/>
    <w:rsid w:val="00003882"/>
    <w:rsid w:val="00003B6D"/>
    <w:rsid w:val="00004B40"/>
    <w:rsid w:val="00012A42"/>
    <w:rsid w:val="00014274"/>
    <w:rsid w:val="00015099"/>
    <w:rsid w:val="000213A2"/>
    <w:rsid w:val="00021B50"/>
    <w:rsid w:val="00022F7F"/>
    <w:rsid w:val="00027833"/>
    <w:rsid w:val="0003236C"/>
    <w:rsid w:val="000330C3"/>
    <w:rsid w:val="00033979"/>
    <w:rsid w:val="0003509A"/>
    <w:rsid w:val="00037B22"/>
    <w:rsid w:val="00047B4C"/>
    <w:rsid w:val="00053696"/>
    <w:rsid w:val="00056A8D"/>
    <w:rsid w:val="00056C0C"/>
    <w:rsid w:val="0006013B"/>
    <w:rsid w:val="00062978"/>
    <w:rsid w:val="00064E72"/>
    <w:rsid w:val="00067068"/>
    <w:rsid w:val="000704EA"/>
    <w:rsid w:val="00072A9F"/>
    <w:rsid w:val="000741C4"/>
    <w:rsid w:val="00081BDD"/>
    <w:rsid w:val="00083BD9"/>
    <w:rsid w:val="000842C2"/>
    <w:rsid w:val="00084BDB"/>
    <w:rsid w:val="00085581"/>
    <w:rsid w:val="000855E1"/>
    <w:rsid w:val="000860D0"/>
    <w:rsid w:val="00087664"/>
    <w:rsid w:val="00090F7B"/>
    <w:rsid w:val="00092A0A"/>
    <w:rsid w:val="00094D90"/>
    <w:rsid w:val="000952F7"/>
    <w:rsid w:val="00097DA3"/>
    <w:rsid w:val="000A05D0"/>
    <w:rsid w:val="000A32FF"/>
    <w:rsid w:val="000A603D"/>
    <w:rsid w:val="000B006F"/>
    <w:rsid w:val="000C1094"/>
    <w:rsid w:val="000C212B"/>
    <w:rsid w:val="000C6C3D"/>
    <w:rsid w:val="000D36A8"/>
    <w:rsid w:val="000D5D18"/>
    <w:rsid w:val="000E77A9"/>
    <w:rsid w:val="000E7BF2"/>
    <w:rsid w:val="000F084F"/>
    <w:rsid w:val="000F08DB"/>
    <w:rsid w:val="000F0AFC"/>
    <w:rsid w:val="000F1E93"/>
    <w:rsid w:val="000F4AA2"/>
    <w:rsid w:val="000F5C58"/>
    <w:rsid w:val="000F704A"/>
    <w:rsid w:val="00101A22"/>
    <w:rsid w:val="001052EC"/>
    <w:rsid w:val="001061A2"/>
    <w:rsid w:val="0010723F"/>
    <w:rsid w:val="00110573"/>
    <w:rsid w:val="00113EDF"/>
    <w:rsid w:val="00117253"/>
    <w:rsid w:val="0012016A"/>
    <w:rsid w:val="00120FEA"/>
    <w:rsid w:val="00130F0D"/>
    <w:rsid w:val="00136B0E"/>
    <w:rsid w:val="001405E9"/>
    <w:rsid w:val="00140A67"/>
    <w:rsid w:val="00141BE1"/>
    <w:rsid w:val="001439F9"/>
    <w:rsid w:val="00144866"/>
    <w:rsid w:val="001538B7"/>
    <w:rsid w:val="00156A23"/>
    <w:rsid w:val="00157E25"/>
    <w:rsid w:val="00161E74"/>
    <w:rsid w:val="001655EB"/>
    <w:rsid w:val="00172471"/>
    <w:rsid w:val="0017364D"/>
    <w:rsid w:val="00176CCB"/>
    <w:rsid w:val="0018066C"/>
    <w:rsid w:val="0018198F"/>
    <w:rsid w:val="00181DE2"/>
    <w:rsid w:val="001878ED"/>
    <w:rsid w:val="00191C32"/>
    <w:rsid w:val="00192776"/>
    <w:rsid w:val="00196CB8"/>
    <w:rsid w:val="00196CF7"/>
    <w:rsid w:val="001975B0"/>
    <w:rsid w:val="00197BCE"/>
    <w:rsid w:val="001A56AC"/>
    <w:rsid w:val="001A57C5"/>
    <w:rsid w:val="001A738C"/>
    <w:rsid w:val="001B0E88"/>
    <w:rsid w:val="001B728F"/>
    <w:rsid w:val="001B7F3B"/>
    <w:rsid w:val="001C3695"/>
    <w:rsid w:val="001C4F87"/>
    <w:rsid w:val="001D2514"/>
    <w:rsid w:val="001E0F36"/>
    <w:rsid w:val="001E5B13"/>
    <w:rsid w:val="001E5FEB"/>
    <w:rsid w:val="001E68D1"/>
    <w:rsid w:val="001E7DC2"/>
    <w:rsid w:val="001F4F71"/>
    <w:rsid w:val="00201885"/>
    <w:rsid w:val="002045E0"/>
    <w:rsid w:val="002102D1"/>
    <w:rsid w:val="002110C2"/>
    <w:rsid w:val="00212978"/>
    <w:rsid w:val="00214312"/>
    <w:rsid w:val="00215D89"/>
    <w:rsid w:val="00215F4D"/>
    <w:rsid w:val="002164E6"/>
    <w:rsid w:val="002177E4"/>
    <w:rsid w:val="00230C31"/>
    <w:rsid w:val="00233299"/>
    <w:rsid w:val="002401A6"/>
    <w:rsid w:val="00240225"/>
    <w:rsid w:val="00240F9D"/>
    <w:rsid w:val="00242F4C"/>
    <w:rsid w:val="00243718"/>
    <w:rsid w:val="002438AD"/>
    <w:rsid w:val="00247973"/>
    <w:rsid w:val="002528C8"/>
    <w:rsid w:val="00257228"/>
    <w:rsid w:val="002675AE"/>
    <w:rsid w:val="00270904"/>
    <w:rsid w:val="002733B0"/>
    <w:rsid w:val="00276483"/>
    <w:rsid w:val="00280214"/>
    <w:rsid w:val="0028402B"/>
    <w:rsid w:val="00292847"/>
    <w:rsid w:val="002959A5"/>
    <w:rsid w:val="002A1808"/>
    <w:rsid w:val="002A5104"/>
    <w:rsid w:val="002A6064"/>
    <w:rsid w:val="002A7056"/>
    <w:rsid w:val="002A72D9"/>
    <w:rsid w:val="002A7E02"/>
    <w:rsid w:val="002B023C"/>
    <w:rsid w:val="002B1512"/>
    <w:rsid w:val="002B1EE4"/>
    <w:rsid w:val="002C7EC5"/>
    <w:rsid w:val="002E039E"/>
    <w:rsid w:val="002E082F"/>
    <w:rsid w:val="002E41E1"/>
    <w:rsid w:val="002E500C"/>
    <w:rsid w:val="002E71A3"/>
    <w:rsid w:val="002F152A"/>
    <w:rsid w:val="00301484"/>
    <w:rsid w:val="00304E2E"/>
    <w:rsid w:val="00306FE1"/>
    <w:rsid w:val="0030704C"/>
    <w:rsid w:val="00311F54"/>
    <w:rsid w:val="0031263C"/>
    <w:rsid w:val="00316497"/>
    <w:rsid w:val="00317259"/>
    <w:rsid w:val="003335D0"/>
    <w:rsid w:val="00334FED"/>
    <w:rsid w:val="003357F9"/>
    <w:rsid w:val="00337339"/>
    <w:rsid w:val="00342DDF"/>
    <w:rsid w:val="00345234"/>
    <w:rsid w:val="00350B65"/>
    <w:rsid w:val="003522C5"/>
    <w:rsid w:val="003531DC"/>
    <w:rsid w:val="00365D4D"/>
    <w:rsid w:val="00365FBC"/>
    <w:rsid w:val="003667BB"/>
    <w:rsid w:val="00366B87"/>
    <w:rsid w:val="003672E0"/>
    <w:rsid w:val="00372201"/>
    <w:rsid w:val="00373AA4"/>
    <w:rsid w:val="00374F1E"/>
    <w:rsid w:val="00382315"/>
    <w:rsid w:val="003839C5"/>
    <w:rsid w:val="00387D4B"/>
    <w:rsid w:val="003946E4"/>
    <w:rsid w:val="003A0748"/>
    <w:rsid w:val="003A1AB8"/>
    <w:rsid w:val="003A3365"/>
    <w:rsid w:val="003A396C"/>
    <w:rsid w:val="003A4FE9"/>
    <w:rsid w:val="003A5498"/>
    <w:rsid w:val="003A6166"/>
    <w:rsid w:val="003A67DF"/>
    <w:rsid w:val="003B1F0C"/>
    <w:rsid w:val="003B2095"/>
    <w:rsid w:val="003B2B3F"/>
    <w:rsid w:val="003B41C6"/>
    <w:rsid w:val="003B5A4D"/>
    <w:rsid w:val="003C4EC6"/>
    <w:rsid w:val="003C760B"/>
    <w:rsid w:val="003C7917"/>
    <w:rsid w:val="003C7CF2"/>
    <w:rsid w:val="003D612B"/>
    <w:rsid w:val="003D72AF"/>
    <w:rsid w:val="003D76AC"/>
    <w:rsid w:val="003D7F29"/>
    <w:rsid w:val="003E2289"/>
    <w:rsid w:val="003F2201"/>
    <w:rsid w:val="003F637B"/>
    <w:rsid w:val="003F7D25"/>
    <w:rsid w:val="0040291B"/>
    <w:rsid w:val="00402D77"/>
    <w:rsid w:val="00410524"/>
    <w:rsid w:val="00417238"/>
    <w:rsid w:val="0041750B"/>
    <w:rsid w:val="00417BE1"/>
    <w:rsid w:val="004204DD"/>
    <w:rsid w:val="0042139B"/>
    <w:rsid w:val="004246C5"/>
    <w:rsid w:val="0042646F"/>
    <w:rsid w:val="00430A42"/>
    <w:rsid w:val="00431C27"/>
    <w:rsid w:val="00432E30"/>
    <w:rsid w:val="00433BFB"/>
    <w:rsid w:val="004340ED"/>
    <w:rsid w:val="00440E4E"/>
    <w:rsid w:val="00441C10"/>
    <w:rsid w:val="00445C8E"/>
    <w:rsid w:val="00446412"/>
    <w:rsid w:val="00446CF8"/>
    <w:rsid w:val="00455FA6"/>
    <w:rsid w:val="004571CD"/>
    <w:rsid w:val="004609BC"/>
    <w:rsid w:val="00462985"/>
    <w:rsid w:val="00467F7A"/>
    <w:rsid w:val="00470D61"/>
    <w:rsid w:val="004727DE"/>
    <w:rsid w:val="00473D35"/>
    <w:rsid w:val="00486582"/>
    <w:rsid w:val="0048677F"/>
    <w:rsid w:val="004934EF"/>
    <w:rsid w:val="00497CA9"/>
    <w:rsid w:val="004A17DF"/>
    <w:rsid w:val="004A261B"/>
    <w:rsid w:val="004A7EED"/>
    <w:rsid w:val="004B195A"/>
    <w:rsid w:val="004B1969"/>
    <w:rsid w:val="004B319B"/>
    <w:rsid w:val="004B4200"/>
    <w:rsid w:val="004B6582"/>
    <w:rsid w:val="004B74F5"/>
    <w:rsid w:val="004C3F5F"/>
    <w:rsid w:val="004D5785"/>
    <w:rsid w:val="004E6019"/>
    <w:rsid w:val="004E71D4"/>
    <w:rsid w:val="004F29E6"/>
    <w:rsid w:val="004F6DEF"/>
    <w:rsid w:val="004F7CE3"/>
    <w:rsid w:val="005007D9"/>
    <w:rsid w:val="005009CA"/>
    <w:rsid w:val="005012B9"/>
    <w:rsid w:val="00503046"/>
    <w:rsid w:val="00504E7B"/>
    <w:rsid w:val="00507F8A"/>
    <w:rsid w:val="00511A31"/>
    <w:rsid w:val="00511BFA"/>
    <w:rsid w:val="005164E9"/>
    <w:rsid w:val="00516B06"/>
    <w:rsid w:val="00523DE7"/>
    <w:rsid w:val="00524CB2"/>
    <w:rsid w:val="0052569B"/>
    <w:rsid w:val="00530E44"/>
    <w:rsid w:val="0053182F"/>
    <w:rsid w:val="00531F9B"/>
    <w:rsid w:val="005355C0"/>
    <w:rsid w:val="00535C62"/>
    <w:rsid w:val="005413A6"/>
    <w:rsid w:val="00541DC7"/>
    <w:rsid w:val="005463D2"/>
    <w:rsid w:val="00551647"/>
    <w:rsid w:val="0055541A"/>
    <w:rsid w:val="00557991"/>
    <w:rsid w:val="00557A8A"/>
    <w:rsid w:val="00560EA2"/>
    <w:rsid w:val="0056146C"/>
    <w:rsid w:val="0056373F"/>
    <w:rsid w:val="0056595A"/>
    <w:rsid w:val="00565A79"/>
    <w:rsid w:val="00570DD8"/>
    <w:rsid w:val="00582DA4"/>
    <w:rsid w:val="00595334"/>
    <w:rsid w:val="005A332B"/>
    <w:rsid w:val="005A5453"/>
    <w:rsid w:val="005A5F5B"/>
    <w:rsid w:val="005B3416"/>
    <w:rsid w:val="005B5E7C"/>
    <w:rsid w:val="005C16F0"/>
    <w:rsid w:val="005C47E2"/>
    <w:rsid w:val="005C5E7C"/>
    <w:rsid w:val="005C78B2"/>
    <w:rsid w:val="005D0148"/>
    <w:rsid w:val="005D2229"/>
    <w:rsid w:val="005D24B9"/>
    <w:rsid w:val="005D28C9"/>
    <w:rsid w:val="005D41B8"/>
    <w:rsid w:val="005E702A"/>
    <w:rsid w:val="005F4626"/>
    <w:rsid w:val="005F505B"/>
    <w:rsid w:val="00602225"/>
    <w:rsid w:val="006037E6"/>
    <w:rsid w:val="00604911"/>
    <w:rsid w:val="00606537"/>
    <w:rsid w:val="00616786"/>
    <w:rsid w:val="00620AD0"/>
    <w:rsid w:val="00624906"/>
    <w:rsid w:val="00630A6E"/>
    <w:rsid w:val="00630D73"/>
    <w:rsid w:val="00630EF5"/>
    <w:rsid w:val="006311A5"/>
    <w:rsid w:val="0063292D"/>
    <w:rsid w:val="006421D1"/>
    <w:rsid w:val="0064435D"/>
    <w:rsid w:val="00646C31"/>
    <w:rsid w:val="00647A70"/>
    <w:rsid w:val="00650BDA"/>
    <w:rsid w:val="00651526"/>
    <w:rsid w:val="006516A8"/>
    <w:rsid w:val="0065172E"/>
    <w:rsid w:val="00655408"/>
    <w:rsid w:val="00657423"/>
    <w:rsid w:val="0066103F"/>
    <w:rsid w:val="00666700"/>
    <w:rsid w:val="00667050"/>
    <w:rsid w:val="0067368D"/>
    <w:rsid w:val="0067541E"/>
    <w:rsid w:val="00682742"/>
    <w:rsid w:val="0068465A"/>
    <w:rsid w:val="00686617"/>
    <w:rsid w:val="006907F7"/>
    <w:rsid w:val="00693B78"/>
    <w:rsid w:val="006949BE"/>
    <w:rsid w:val="006963C8"/>
    <w:rsid w:val="00696AB6"/>
    <w:rsid w:val="006A0C65"/>
    <w:rsid w:val="006A3C02"/>
    <w:rsid w:val="006B08E0"/>
    <w:rsid w:val="006B43A3"/>
    <w:rsid w:val="006B44B6"/>
    <w:rsid w:val="006B4A93"/>
    <w:rsid w:val="006B56F8"/>
    <w:rsid w:val="006B57D3"/>
    <w:rsid w:val="006B6EAD"/>
    <w:rsid w:val="006B7058"/>
    <w:rsid w:val="006C5112"/>
    <w:rsid w:val="006D285E"/>
    <w:rsid w:val="006D4CC3"/>
    <w:rsid w:val="006D61DF"/>
    <w:rsid w:val="006E0900"/>
    <w:rsid w:val="006E4BAE"/>
    <w:rsid w:val="006F06FF"/>
    <w:rsid w:val="00700E0A"/>
    <w:rsid w:val="00702C6B"/>
    <w:rsid w:val="00704419"/>
    <w:rsid w:val="00705ADF"/>
    <w:rsid w:val="00705E49"/>
    <w:rsid w:val="00706F31"/>
    <w:rsid w:val="00713159"/>
    <w:rsid w:val="0071325B"/>
    <w:rsid w:val="00715374"/>
    <w:rsid w:val="00717A16"/>
    <w:rsid w:val="0072081D"/>
    <w:rsid w:val="00726D3A"/>
    <w:rsid w:val="00732299"/>
    <w:rsid w:val="00734845"/>
    <w:rsid w:val="00734C40"/>
    <w:rsid w:val="00734F53"/>
    <w:rsid w:val="00737F79"/>
    <w:rsid w:val="00743767"/>
    <w:rsid w:val="00746DC4"/>
    <w:rsid w:val="00752EA0"/>
    <w:rsid w:val="00753690"/>
    <w:rsid w:val="007547A6"/>
    <w:rsid w:val="00754C7B"/>
    <w:rsid w:val="007604F4"/>
    <w:rsid w:val="00764D24"/>
    <w:rsid w:val="007671AD"/>
    <w:rsid w:val="00780EC5"/>
    <w:rsid w:val="0078163C"/>
    <w:rsid w:val="007861F1"/>
    <w:rsid w:val="007862E8"/>
    <w:rsid w:val="00790C7F"/>
    <w:rsid w:val="007918EE"/>
    <w:rsid w:val="00793248"/>
    <w:rsid w:val="007A0AF5"/>
    <w:rsid w:val="007A1BE7"/>
    <w:rsid w:val="007A5B60"/>
    <w:rsid w:val="007B0F8C"/>
    <w:rsid w:val="007B2907"/>
    <w:rsid w:val="007B3409"/>
    <w:rsid w:val="007B6B53"/>
    <w:rsid w:val="007C1A1B"/>
    <w:rsid w:val="007C7914"/>
    <w:rsid w:val="007D2699"/>
    <w:rsid w:val="007D3BAE"/>
    <w:rsid w:val="007E0705"/>
    <w:rsid w:val="007E6025"/>
    <w:rsid w:val="007E782F"/>
    <w:rsid w:val="007F0CE2"/>
    <w:rsid w:val="007F1AEE"/>
    <w:rsid w:val="007F2418"/>
    <w:rsid w:val="007F3EC2"/>
    <w:rsid w:val="007F4F9B"/>
    <w:rsid w:val="007F5409"/>
    <w:rsid w:val="007F6E3D"/>
    <w:rsid w:val="008019D1"/>
    <w:rsid w:val="008024CE"/>
    <w:rsid w:val="00803A92"/>
    <w:rsid w:val="0081122B"/>
    <w:rsid w:val="00812A8D"/>
    <w:rsid w:val="00812BCB"/>
    <w:rsid w:val="00813BB5"/>
    <w:rsid w:val="00816ECC"/>
    <w:rsid w:val="00817E2C"/>
    <w:rsid w:val="00820227"/>
    <w:rsid w:val="00820DDB"/>
    <w:rsid w:val="008229FF"/>
    <w:rsid w:val="0082599A"/>
    <w:rsid w:val="00831332"/>
    <w:rsid w:val="00832EC2"/>
    <w:rsid w:val="00840776"/>
    <w:rsid w:val="00840924"/>
    <w:rsid w:val="00841160"/>
    <w:rsid w:val="00842308"/>
    <w:rsid w:val="008436C7"/>
    <w:rsid w:val="00844417"/>
    <w:rsid w:val="008457B4"/>
    <w:rsid w:val="0084712F"/>
    <w:rsid w:val="00847E98"/>
    <w:rsid w:val="008503E0"/>
    <w:rsid w:val="0085079F"/>
    <w:rsid w:val="00853E5A"/>
    <w:rsid w:val="00856286"/>
    <w:rsid w:val="00863DE7"/>
    <w:rsid w:val="0086522E"/>
    <w:rsid w:val="00865CDE"/>
    <w:rsid w:val="0087518B"/>
    <w:rsid w:val="00875792"/>
    <w:rsid w:val="008773C3"/>
    <w:rsid w:val="00885724"/>
    <w:rsid w:val="00887640"/>
    <w:rsid w:val="0088773E"/>
    <w:rsid w:val="008A200F"/>
    <w:rsid w:val="008A495F"/>
    <w:rsid w:val="008A7A02"/>
    <w:rsid w:val="008B00BC"/>
    <w:rsid w:val="008B495F"/>
    <w:rsid w:val="008D187B"/>
    <w:rsid w:val="008D3DDD"/>
    <w:rsid w:val="008D45E2"/>
    <w:rsid w:val="008D6526"/>
    <w:rsid w:val="008E4971"/>
    <w:rsid w:val="008E621E"/>
    <w:rsid w:val="008E74DE"/>
    <w:rsid w:val="008E7555"/>
    <w:rsid w:val="008F261D"/>
    <w:rsid w:val="008F44B5"/>
    <w:rsid w:val="00900D97"/>
    <w:rsid w:val="00902F28"/>
    <w:rsid w:val="0090495E"/>
    <w:rsid w:val="00905686"/>
    <w:rsid w:val="00916A2D"/>
    <w:rsid w:val="00920E0D"/>
    <w:rsid w:val="009213DE"/>
    <w:rsid w:val="00921F6E"/>
    <w:rsid w:val="00922B66"/>
    <w:rsid w:val="00931B42"/>
    <w:rsid w:val="009320D5"/>
    <w:rsid w:val="0093439A"/>
    <w:rsid w:val="00935CA7"/>
    <w:rsid w:val="00940666"/>
    <w:rsid w:val="00943087"/>
    <w:rsid w:val="00950678"/>
    <w:rsid w:val="009552F2"/>
    <w:rsid w:val="00964AF3"/>
    <w:rsid w:val="00964C29"/>
    <w:rsid w:val="0096659E"/>
    <w:rsid w:val="0096722B"/>
    <w:rsid w:val="0097396A"/>
    <w:rsid w:val="00975D82"/>
    <w:rsid w:val="00976D35"/>
    <w:rsid w:val="0097783B"/>
    <w:rsid w:val="00981FDA"/>
    <w:rsid w:val="0098325F"/>
    <w:rsid w:val="00984D07"/>
    <w:rsid w:val="0099190C"/>
    <w:rsid w:val="009968AD"/>
    <w:rsid w:val="00996F37"/>
    <w:rsid w:val="009A7655"/>
    <w:rsid w:val="009B2A6A"/>
    <w:rsid w:val="009C11E1"/>
    <w:rsid w:val="009C3E2C"/>
    <w:rsid w:val="009D10BA"/>
    <w:rsid w:val="009E2110"/>
    <w:rsid w:val="009E30A7"/>
    <w:rsid w:val="009E46A0"/>
    <w:rsid w:val="009E5DEB"/>
    <w:rsid w:val="009E77ED"/>
    <w:rsid w:val="009F471C"/>
    <w:rsid w:val="009F4759"/>
    <w:rsid w:val="00A001D2"/>
    <w:rsid w:val="00A02ABC"/>
    <w:rsid w:val="00A055DB"/>
    <w:rsid w:val="00A05F1B"/>
    <w:rsid w:val="00A11A45"/>
    <w:rsid w:val="00A14C11"/>
    <w:rsid w:val="00A15014"/>
    <w:rsid w:val="00A16392"/>
    <w:rsid w:val="00A17AF6"/>
    <w:rsid w:val="00A2067B"/>
    <w:rsid w:val="00A2148C"/>
    <w:rsid w:val="00A22B0C"/>
    <w:rsid w:val="00A22D64"/>
    <w:rsid w:val="00A255DF"/>
    <w:rsid w:val="00A27800"/>
    <w:rsid w:val="00A30EE2"/>
    <w:rsid w:val="00A32E2C"/>
    <w:rsid w:val="00A33499"/>
    <w:rsid w:val="00A35BDB"/>
    <w:rsid w:val="00A35DAC"/>
    <w:rsid w:val="00A36DAB"/>
    <w:rsid w:val="00A435F8"/>
    <w:rsid w:val="00A47AD0"/>
    <w:rsid w:val="00A60679"/>
    <w:rsid w:val="00A71252"/>
    <w:rsid w:val="00A721BA"/>
    <w:rsid w:val="00A731C4"/>
    <w:rsid w:val="00A738C5"/>
    <w:rsid w:val="00A80DAD"/>
    <w:rsid w:val="00A81644"/>
    <w:rsid w:val="00A84D51"/>
    <w:rsid w:val="00A92F5C"/>
    <w:rsid w:val="00A93A74"/>
    <w:rsid w:val="00A94753"/>
    <w:rsid w:val="00A955F8"/>
    <w:rsid w:val="00A95CAC"/>
    <w:rsid w:val="00AA369C"/>
    <w:rsid w:val="00AA473B"/>
    <w:rsid w:val="00AA5BB3"/>
    <w:rsid w:val="00AA5BCB"/>
    <w:rsid w:val="00AB21DE"/>
    <w:rsid w:val="00AB3ACB"/>
    <w:rsid w:val="00AB6F42"/>
    <w:rsid w:val="00AB73B7"/>
    <w:rsid w:val="00AC0229"/>
    <w:rsid w:val="00AC3676"/>
    <w:rsid w:val="00AC58DC"/>
    <w:rsid w:val="00AD3D54"/>
    <w:rsid w:val="00AE5C4D"/>
    <w:rsid w:val="00AF3252"/>
    <w:rsid w:val="00AF3A97"/>
    <w:rsid w:val="00AF686C"/>
    <w:rsid w:val="00AF6FD0"/>
    <w:rsid w:val="00AF79D9"/>
    <w:rsid w:val="00B03306"/>
    <w:rsid w:val="00B05255"/>
    <w:rsid w:val="00B1071D"/>
    <w:rsid w:val="00B14FA5"/>
    <w:rsid w:val="00B16FA0"/>
    <w:rsid w:val="00B207A2"/>
    <w:rsid w:val="00B22E2B"/>
    <w:rsid w:val="00B239C8"/>
    <w:rsid w:val="00B25802"/>
    <w:rsid w:val="00B35308"/>
    <w:rsid w:val="00B40487"/>
    <w:rsid w:val="00B41FA9"/>
    <w:rsid w:val="00B432C1"/>
    <w:rsid w:val="00B44698"/>
    <w:rsid w:val="00B44956"/>
    <w:rsid w:val="00B46319"/>
    <w:rsid w:val="00B4639C"/>
    <w:rsid w:val="00B61A66"/>
    <w:rsid w:val="00B63BA6"/>
    <w:rsid w:val="00B719F9"/>
    <w:rsid w:val="00B72F8C"/>
    <w:rsid w:val="00B73787"/>
    <w:rsid w:val="00B807EE"/>
    <w:rsid w:val="00B84854"/>
    <w:rsid w:val="00B85634"/>
    <w:rsid w:val="00B85BA5"/>
    <w:rsid w:val="00B85F5A"/>
    <w:rsid w:val="00B87106"/>
    <w:rsid w:val="00B92C48"/>
    <w:rsid w:val="00B933CE"/>
    <w:rsid w:val="00BA3EFD"/>
    <w:rsid w:val="00BA48A3"/>
    <w:rsid w:val="00BB0AEE"/>
    <w:rsid w:val="00BB1282"/>
    <w:rsid w:val="00BB5AF2"/>
    <w:rsid w:val="00BC5A9A"/>
    <w:rsid w:val="00BC6507"/>
    <w:rsid w:val="00BC7964"/>
    <w:rsid w:val="00BD02A9"/>
    <w:rsid w:val="00BE28E0"/>
    <w:rsid w:val="00BE34F1"/>
    <w:rsid w:val="00BE4742"/>
    <w:rsid w:val="00BF0DFB"/>
    <w:rsid w:val="00BF59DE"/>
    <w:rsid w:val="00C00B21"/>
    <w:rsid w:val="00C0603E"/>
    <w:rsid w:val="00C06875"/>
    <w:rsid w:val="00C06F5B"/>
    <w:rsid w:val="00C07CE7"/>
    <w:rsid w:val="00C11B5D"/>
    <w:rsid w:val="00C1360B"/>
    <w:rsid w:val="00C14A1B"/>
    <w:rsid w:val="00C14C8A"/>
    <w:rsid w:val="00C221A7"/>
    <w:rsid w:val="00C24672"/>
    <w:rsid w:val="00C32CAF"/>
    <w:rsid w:val="00C4019E"/>
    <w:rsid w:val="00C40441"/>
    <w:rsid w:val="00C40453"/>
    <w:rsid w:val="00C47023"/>
    <w:rsid w:val="00C52FA6"/>
    <w:rsid w:val="00C55BEC"/>
    <w:rsid w:val="00C55C09"/>
    <w:rsid w:val="00C60827"/>
    <w:rsid w:val="00C61830"/>
    <w:rsid w:val="00C61B8A"/>
    <w:rsid w:val="00C63591"/>
    <w:rsid w:val="00C66EF5"/>
    <w:rsid w:val="00C7331A"/>
    <w:rsid w:val="00C7625F"/>
    <w:rsid w:val="00C81AF2"/>
    <w:rsid w:val="00C8333C"/>
    <w:rsid w:val="00C91D85"/>
    <w:rsid w:val="00C93747"/>
    <w:rsid w:val="00C93C3F"/>
    <w:rsid w:val="00C954B0"/>
    <w:rsid w:val="00C9605B"/>
    <w:rsid w:val="00C96457"/>
    <w:rsid w:val="00CA08F0"/>
    <w:rsid w:val="00CA18D2"/>
    <w:rsid w:val="00CA46FF"/>
    <w:rsid w:val="00CA4DCD"/>
    <w:rsid w:val="00CA78B0"/>
    <w:rsid w:val="00CB0218"/>
    <w:rsid w:val="00CB39B7"/>
    <w:rsid w:val="00CB3D20"/>
    <w:rsid w:val="00CB4B34"/>
    <w:rsid w:val="00CB4E70"/>
    <w:rsid w:val="00CB72BE"/>
    <w:rsid w:val="00CB7E81"/>
    <w:rsid w:val="00CC1788"/>
    <w:rsid w:val="00CC19F4"/>
    <w:rsid w:val="00CC2D32"/>
    <w:rsid w:val="00CC39F7"/>
    <w:rsid w:val="00CC3CA8"/>
    <w:rsid w:val="00CC611F"/>
    <w:rsid w:val="00CC704E"/>
    <w:rsid w:val="00CD28DB"/>
    <w:rsid w:val="00CD2A46"/>
    <w:rsid w:val="00CD56E8"/>
    <w:rsid w:val="00CD59E8"/>
    <w:rsid w:val="00CE276F"/>
    <w:rsid w:val="00CE2B10"/>
    <w:rsid w:val="00CE3C09"/>
    <w:rsid w:val="00CE495D"/>
    <w:rsid w:val="00CF28E0"/>
    <w:rsid w:val="00CF31FF"/>
    <w:rsid w:val="00D05E25"/>
    <w:rsid w:val="00D10160"/>
    <w:rsid w:val="00D117D3"/>
    <w:rsid w:val="00D15AA8"/>
    <w:rsid w:val="00D165B2"/>
    <w:rsid w:val="00D20468"/>
    <w:rsid w:val="00D221EA"/>
    <w:rsid w:val="00D235EB"/>
    <w:rsid w:val="00D25B5A"/>
    <w:rsid w:val="00D26523"/>
    <w:rsid w:val="00D26DCD"/>
    <w:rsid w:val="00D3321F"/>
    <w:rsid w:val="00D42D5A"/>
    <w:rsid w:val="00D43AE6"/>
    <w:rsid w:val="00D445AE"/>
    <w:rsid w:val="00D47111"/>
    <w:rsid w:val="00D578FA"/>
    <w:rsid w:val="00D62735"/>
    <w:rsid w:val="00D6297D"/>
    <w:rsid w:val="00D71639"/>
    <w:rsid w:val="00D73D63"/>
    <w:rsid w:val="00D74311"/>
    <w:rsid w:val="00D779AD"/>
    <w:rsid w:val="00D81C3B"/>
    <w:rsid w:val="00D82615"/>
    <w:rsid w:val="00D867C2"/>
    <w:rsid w:val="00D90463"/>
    <w:rsid w:val="00D90BB6"/>
    <w:rsid w:val="00D92F11"/>
    <w:rsid w:val="00D9756A"/>
    <w:rsid w:val="00DA32BF"/>
    <w:rsid w:val="00DA699C"/>
    <w:rsid w:val="00DB070A"/>
    <w:rsid w:val="00DB2005"/>
    <w:rsid w:val="00DB36B4"/>
    <w:rsid w:val="00DB3CBA"/>
    <w:rsid w:val="00DB48BA"/>
    <w:rsid w:val="00DB76CD"/>
    <w:rsid w:val="00DB7F5C"/>
    <w:rsid w:val="00DC02BF"/>
    <w:rsid w:val="00DC0381"/>
    <w:rsid w:val="00DC1658"/>
    <w:rsid w:val="00DC39DF"/>
    <w:rsid w:val="00DC45EA"/>
    <w:rsid w:val="00DC7444"/>
    <w:rsid w:val="00DC7BC5"/>
    <w:rsid w:val="00DD185A"/>
    <w:rsid w:val="00DD243D"/>
    <w:rsid w:val="00DF2588"/>
    <w:rsid w:val="00DF258E"/>
    <w:rsid w:val="00DF28DA"/>
    <w:rsid w:val="00DF493E"/>
    <w:rsid w:val="00DF6DFB"/>
    <w:rsid w:val="00E03636"/>
    <w:rsid w:val="00E046CC"/>
    <w:rsid w:val="00E04A08"/>
    <w:rsid w:val="00E05DD5"/>
    <w:rsid w:val="00E072F1"/>
    <w:rsid w:val="00E12C84"/>
    <w:rsid w:val="00E2753F"/>
    <w:rsid w:val="00E31E17"/>
    <w:rsid w:val="00E375AC"/>
    <w:rsid w:val="00E41624"/>
    <w:rsid w:val="00E41AE2"/>
    <w:rsid w:val="00E4324C"/>
    <w:rsid w:val="00E44F3E"/>
    <w:rsid w:val="00E467A1"/>
    <w:rsid w:val="00E47590"/>
    <w:rsid w:val="00E476DC"/>
    <w:rsid w:val="00E51EEC"/>
    <w:rsid w:val="00E55D8A"/>
    <w:rsid w:val="00E5692E"/>
    <w:rsid w:val="00E56966"/>
    <w:rsid w:val="00E601A0"/>
    <w:rsid w:val="00E6180B"/>
    <w:rsid w:val="00E63622"/>
    <w:rsid w:val="00E64A0F"/>
    <w:rsid w:val="00E6682B"/>
    <w:rsid w:val="00E678E3"/>
    <w:rsid w:val="00E67A4D"/>
    <w:rsid w:val="00E72B18"/>
    <w:rsid w:val="00E7438D"/>
    <w:rsid w:val="00E826FD"/>
    <w:rsid w:val="00E8274E"/>
    <w:rsid w:val="00E850DF"/>
    <w:rsid w:val="00E87D11"/>
    <w:rsid w:val="00E907EF"/>
    <w:rsid w:val="00E91339"/>
    <w:rsid w:val="00E91C57"/>
    <w:rsid w:val="00EA1805"/>
    <w:rsid w:val="00EA1FD4"/>
    <w:rsid w:val="00EA39DE"/>
    <w:rsid w:val="00EA6D1A"/>
    <w:rsid w:val="00EB1AD6"/>
    <w:rsid w:val="00EB1E3E"/>
    <w:rsid w:val="00EB2843"/>
    <w:rsid w:val="00EB3A99"/>
    <w:rsid w:val="00EB62B1"/>
    <w:rsid w:val="00EC0347"/>
    <w:rsid w:val="00EC13F2"/>
    <w:rsid w:val="00EC4C83"/>
    <w:rsid w:val="00EC6DAB"/>
    <w:rsid w:val="00ED37BE"/>
    <w:rsid w:val="00EE2C90"/>
    <w:rsid w:val="00EE464B"/>
    <w:rsid w:val="00EF26F5"/>
    <w:rsid w:val="00EF2D8A"/>
    <w:rsid w:val="00EF46CB"/>
    <w:rsid w:val="00F03248"/>
    <w:rsid w:val="00F10F72"/>
    <w:rsid w:val="00F1197D"/>
    <w:rsid w:val="00F12209"/>
    <w:rsid w:val="00F1396D"/>
    <w:rsid w:val="00F16215"/>
    <w:rsid w:val="00F208B2"/>
    <w:rsid w:val="00F2770F"/>
    <w:rsid w:val="00F2773F"/>
    <w:rsid w:val="00F30B15"/>
    <w:rsid w:val="00F371B9"/>
    <w:rsid w:val="00F43230"/>
    <w:rsid w:val="00F4419D"/>
    <w:rsid w:val="00F44A0F"/>
    <w:rsid w:val="00F52337"/>
    <w:rsid w:val="00F53768"/>
    <w:rsid w:val="00F55311"/>
    <w:rsid w:val="00F5724A"/>
    <w:rsid w:val="00F66D3E"/>
    <w:rsid w:val="00F77E54"/>
    <w:rsid w:val="00F80CC8"/>
    <w:rsid w:val="00F90A1E"/>
    <w:rsid w:val="00F91525"/>
    <w:rsid w:val="00FA2BA1"/>
    <w:rsid w:val="00FA380F"/>
    <w:rsid w:val="00FA6D77"/>
    <w:rsid w:val="00FA70C1"/>
    <w:rsid w:val="00FB07D2"/>
    <w:rsid w:val="00FB2C5B"/>
    <w:rsid w:val="00FB3FCE"/>
    <w:rsid w:val="00FB7F68"/>
    <w:rsid w:val="00FC1DCA"/>
    <w:rsid w:val="00FD70D8"/>
    <w:rsid w:val="00FE0C7D"/>
    <w:rsid w:val="00FE1A5D"/>
    <w:rsid w:val="00FE44A6"/>
    <w:rsid w:val="00FE6789"/>
    <w:rsid w:val="00FE7F93"/>
    <w:rsid w:val="00FF06FE"/>
    <w:rsid w:val="00FF4478"/>
    <w:rsid w:val="00FF47E0"/>
    <w:rsid w:val="00FF6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68EAA"/>
  <w15:chartTrackingRefBased/>
  <w15:docId w15:val="{52304932-D908-4091-9F40-AAAD73827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866"/>
    <w:rPr>
      <w:rFonts w:ascii="Times New Roman" w:hAnsi="Times New Roman" w:cs="Times New Roman"/>
      <w:color w:val="000000"/>
    </w:rPr>
  </w:style>
  <w:style w:type="paragraph" w:styleId="Heading1">
    <w:name w:val="heading 1"/>
    <w:basedOn w:val="Normal"/>
    <w:next w:val="Normal"/>
    <w:link w:val="Heading1Char"/>
    <w:autoRedefine/>
    <w:uiPriority w:val="9"/>
    <w:qFormat/>
    <w:rsid w:val="00062978"/>
    <w:pPr>
      <w:keepNext/>
      <w:keepLines/>
      <w:spacing w:before="360" w:after="80"/>
      <w:jc w:val="center"/>
      <w:outlineLvl w:val="0"/>
    </w:pPr>
    <w:rPr>
      <w:rFonts w:eastAsiaTheme="majorEastAsia" w:cstheme="majorBidi"/>
      <w:b/>
      <w:color w:val="auto"/>
      <w:sz w:val="36"/>
      <w:szCs w:val="40"/>
    </w:rPr>
  </w:style>
  <w:style w:type="paragraph" w:styleId="Heading2">
    <w:name w:val="heading 2"/>
    <w:basedOn w:val="Normal"/>
    <w:next w:val="Normal"/>
    <w:link w:val="Heading2Char"/>
    <w:autoRedefine/>
    <w:uiPriority w:val="9"/>
    <w:unhideWhenUsed/>
    <w:qFormat/>
    <w:rsid w:val="00467F7A"/>
    <w:pPr>
      <w:keepNext/>
      <w:keepLines/>
      <w:spacing w:after="0" w:line="480" w:lineRule="auto"/>
      <w:outlineLvl w:val="1"/>
    </w:pPr>
    <w:rPr>
      <w:rFonts w:eastAsiaTheme="majorEastAsia"/>
      <w:b/>
      <w:bCs/>
      <w:iCs/>
      <w:color w:val="000000" w:themeColor="text1"/>
      <w:sz w:val="28"/>
    </w:rPr>
  </w:style>
  <w:style w:type="paragraph" w:styleId="Heading3">
    <w:name w:val="heading 3"/>
    <w:basedOn w:val="Normal"/>
    <w:next w:val="Normal"/>
    <w:link w:val="Heading3Char"/>
    <w:autoRedefine/>
    <w:uiPriority w:val="9"/>
    <w:unhideWhenUsed/>
    <w:qFormat/>
    <w:rsid w:val="0081122B"/>
    <w:pPr>
      <w:keepNext/>
      <w:keepLines/>
      <w:spacing w:before="160" w:after="80" w:line="480" w:lineRule="auto"/>
      <w:outlineLvl w:val="2"/>
    </w:pPr>
    <w:rPr>
      <w:rFonts w:eastAsiaTheme="majorEastAsia"/>
      <w:b/>
      <w:color w:val="000000" w:themeColor="text1"/>
      <w:sz w:val="26"/>
      <w:szCs w:val="30"/>
    </w:rPr>
  </w:style>
  <w:style w:type="paragraph" w:styleId="Heading4">
    <w:name w:val="heading 4"/>
    <w:basedOn w:val="Normal"/>
    <w:next w:val="Normal"/>
    <w:link w:val="Heading4Char"/>
    <w:autoRedefine/>
    <w:uiPriority w:val="9"/>
    <w:unhideWhenUsed/>
    <w:qFormat/>
    <w:rsid w:val="00144866"/>
    <w:pPr>
      <w:keepNext/>
      <w:keepLines/>
      <w:spacing w:before="80" w:after="40"/>
      <w:outlineLvl w:val="3"/>
    </w:pPr>
    <w:rPr>
      <w:rFonts w:eastAsiaTheme="majorEastAsia" w:cstheme="majorBidi"/>
      <w:b/>
      <w:i/>
      <w:iCs/>
      <w:color w:val="000000" w:themeColor="text1"/>
    </w:rPr>
  </w:style>
  <w:style w:type="paragraph" w:styleId="Heading5">
    <w:name w:val="heading 5"/>
    <w:basedOn w:val="Normal"/>
    <w:next w:val="Normal"/>
    <w:link w:val="Heading5Char"/>
    <w:uiPriority w:val="9"/>
    <w:unhideWhenUsed/>
    <w:qFormat/>
    <w:rsid w:val="00144866"/>
    <w:pPr>
      <w:keepNext/>
      <w:keepLines/>
      <w:spacing w:before="80" w:after="40"/>
      <w:outlineLvl w:val="4"/>
    </w:pPr>
    <w:rPr>
      <w:rFonts w:eastAsiaTheme="majorEastAsia" w:cstheme="majorBidi"/>
      <w:b/>
      <w:color w:val="000000" w:themeColor="text1"/>
    </w:rPr>
  </w:style>
  <w:style w:type="paragraph" w:styleId="Heading6">
    <w:name w:val="heading 6"/>
    <w:basedOn w:val="Normal"/>
    <w:next w:val="Normal"/>
    <w:link w:val="Heading6Char"/>
    <w:uiPriority w:val="9"/>
    <w:unhideWhenUsed/>
    <w:qFormat/>
    <w:rsid w:val="001448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1448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001448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rsid w:val="001448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978"/>
    <w:rPr>
      <w:rFonts w:ascii="Times New Roman" w:eastAsiaTheme="majorEastAsia" w:hAnsi="Times New Roman" w:cstheme="majorBidi"/>
      <w:b/>
      <w:sz w:val="36"/>
      <w:szCs w:val="40"/>
    </w:rPr>
  </w:style>
  <w:style w:type="character" w:customStyle="1" w:styleId="Heading2Char">
    <w:name w:val="Heading 2 Char"/>
    <w:basedOn w:val="DefaultParagraphFont"/>
    <w:link w:val="Heading2"/>
    <w:uiPriority w:val="9"/>
    <w:rsid w:val="00467F7A"/>
    <w:rPr>
      <w:rFonts w:ascii="Times New Roman" w:eastAsiaTheme="majorEastAsia" w:hAnsi="Times New Roman" w:cs="Times New Roman"/>
      <w:b/>
      <w:bCs/>
      <w:iCs/>
      <w:color w:val="000000" w:themeColor="text1"/>
      <w:sz w:val="28"/>
    </w:rPr>
  </w:style>
  <w:style w:type="character" w:customStyle="1" w:styleId="Heading3Char">
    <w:name w:val="Heading 3 Char"/>
    <w:basedOn w:val="DefaultParagraphFont"/>
    <w:link w:val="Heading3"/>
    <w:uiPriority w:val="9"/>
    <w:rsid w:val="0081122B"/>
    <w:rPr>
      <w:rFonts w:ascii="Times New Roman" w:eastAsiaTheme="majorEastAsia" w:hAnsi="Times New Roman" w:cs="Times New Roman"/>
      <w:b/>
      <w:color w:val="000000" w:themeColor="text1"/>
      <w:sz w:val="26"/>
      <w:szCs w:val="30"/>
    </w:rPr>
  </w:style>
  <w:style w:type="character" w:customStyle="1" w:styleId="Heading4Char">
    <w:name w:val="Heading 4 Char"/>
    <w:basedOn w:val="DefaultParagraphFont"/>
    <w:link w:val="Heading4"/>
    <w:uiPriority w:val="9"/>
    <w:rsid w:val="00144866"/>
    <w:rPr>
      <w:rFonts w:ascii="Times New Roman" w:eastAsiaTheme="majorEastAsia" w:hAnsi="Times New Roman" w:cstheme="majorBidi"/>
      <w:b/>
      <w:i/>
      <w:iCs/>
      <w:color w:val="000000" w:themeColor="text1"/>
    </w:rPr>
  </w:style>
  <w:style w:type="character" w:customStyle="1" w:styleId="Heading5Char">
    <w:name w:val="Heading 5 Char"/>
    <w:basedOn w:val="DefaultParagraphFont"/>
    <w:link w:val="Heading5"/>
    <w:uiPriority w:val="9"/>
    <w:rsid w:val="00144866"/>
    <w:rPr>
      <w:rFonts w:ascii="Times New Roman" w:eastAsiaTheme="majorEastAsia" w:hAnsi="Times New Roman" w:cstheme="majorBidi"/>
      <w:b/>
      <w:color w:val="000000" w:themeColor="text1"/>
    </w:rPr>
  </w:style>
  <w:style w:type="character" w:customStyle="1" w:styleId="Heading6Char">
    <w:name w:val="Heading 6 Char"/>
    <w:basedOn w:val="DefaultParagraphFont"/>
    <w:link w:val="Heading6"/>
    <w:uiPriority w:val="9"/>
    <w:rsid w:val="001448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144866"/>
    <w:rPr>
      <w:rFonts w:eastAsiaTheme="majorEastAsia" w:cstheme="majorBidi"/>
      <w:color w:val="595959" w:themeColor="text1" w:themeTint="A6"/>
    </w:rPr>
  </w:style>
  <w:style w:type="character" w:customStyle="1" w:styleId="Heading8Char">
    <w:name w:val="Heading 8 Char"/>
    <w:basedOn w:val="DefaultParagraphFont"/>
    <w:link w:val="Heading8"/>
    <w:uiPriority w:val="9"/>
    <w:rsid w:val="001448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sid w:val="00144866"/>
    <w:rPr>
      <w:rFonts w:eastAsiaTheme="majorEastAsia" w:cstheme="majorBidi"/>
      <w:color w:val="272727" w:themeColor="text1" w:themeTint="D8"/>
    </w:rPr>
  </w:style>
  <w:style w:type="paragraph" w:styleId="Title">
    <w:name w:val="Title"/>
    <w:basedOn w:val="Normal"/>
    <w:next w:val="Normal"/>
    <w:link w:val="TitleChar"/>
    <w:uiPriority w:val="10"/>
    <w:qFormat/>
    <w:rsid w:val="00144866"/>
    <w:pPr>
      <w:spacing w:after="80" w:line="360" w:lineRule="auto"/>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144866"/>
    <w:rPr>
      <w:rFonts w:ascii="Times New Roman" w:eastAsiaTheme="majorEastAsia" w:hAnsi="Times New Roman" w:cstheme="majorBidi"/>
      <w:b/>
      <w:color w:val="000000"/>
      <w:spacing w:val="-10"/>
      <w:kern w:val="28"/>
      <w:sz w:val="48"/>
      <w:szCs w:val="56"/>
    </w:rPr>
  </w:style>
  <w:style w:type="paragraph" w:styleId="Subtitle">
    <w:name w:val="Subtitle"/>
    <w:basedOn w:val="Normal"/>
    <w:next w:val="Normal"/>
    <w:link w:val="SubtitleChar"/>
    <w:uiPriority w:val="11"/>
    <w:qFormat/>
    <w:rsid w:val="001448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8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866"/>
    <w:pPr>
      <w:spacing w:before="160"/>
      <w:jc w:val="center"/>
    </w:pPr>
    <w:rPr>
      <w:i/>
      <w:iCs/>
      <w:color w:val="404040" w:themeColor="text1" w:themeTint="BF"/>
    </w:rPr>
  </w:style>
  <w:style w:type="character" w:customStyle="1" w:styleId="QuoteChar">
    <w:name w:val="Quote Char"/>
    <w:basedOn w:val="DefaultParagraphFont"/>
    <w:link w:val="Quote"/>
    <w:uiPriority w:val="29"/>
    <w:rsid w:val="00144866"/>
    <w:rPr>
      <w:i/>
      <w:iCs/>
      <w:color w:val="404040" w:themeColor="text1" w:themeTint="BF"/>
    </w:rPr>
  </w:style>
  <w:style w:type="paragraph" w:styleId="ListParagraph">
    <w:name w:val="List Paragraph"/>
    <w:basedOn w:val="Normal"/>
    <w:uiPriority w:val="34"/>
    <w:qFormat/>
    <w:rsid w:val="00144866"/>
    <w:pPr>
      <w:ind w:left="720"/>
      <w:contextualSpacing/>
    </w:pPr>
  </w:style>
  <w:style w:type="character" w:styleId="IntenseEmphasis">
    <w:name w:val="Intense Emphasis"/>
    <w:basedOn w:val="DefaultParagraphFont"/>
    <w:uiPriority w:val="21"/>
    <w:qFormat/>
    <w:rsid w:val="00144866"/>
    <w:rPr>
      <w:i/>
      <w:iCs/>
      <w:color w:val="0F4761" w:themeColor="accent1" w:themeShade="BF"/>
    </w:rPr>
  </w:style>
  <w:style w:type="paragraph" w:styleId="IntenseQuote">
    <w:name w:val="Intense Quote"/>
    <w:basedOn w:val="Normal"/>
    <w:next w:val="Normal"/>
    <w:link w:val="IntenseQuoteChar"/>
    <w:uiPriority w:val="30"/>
    <w:qFormat/>
    <w:rsid w:val="001448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866"/>
    <w:rPr>
      <w:i/>
      <w:iCs/>
      <w:color w:val="0F4761" w:themeColor="accent1" w:themeShade="BF"/>
    </w:rPr>
  </w:style>
  <w:style w:type="character" w:styleId="IntenseReference">
    <w:name w:val="Intense Reference"/>
    <w:basedOn w:val="DefaultParagraphFont"/>
    <w:uiPriority w:val="32"/>
    <w:qFormat/>
    <w:rsid w:val="00144866"/>
    <w:rPr>
      <w:b/>
      <w:bCs/>
      <w:smallCaps/>
      <w:color w:val="0F4761" w:themeColor="accent1" w:themeShade="BF"/>
      <w:spacing w:val="5"/>
    </w:rPr>
  </w:style>
  <w:style w:type="character" w:styleId="Strong">
    <w:name w:val="Strong"/>
    <w:basedOn w:val="DefaultParagraphFont"/>
    <w:uiPriority w:val="22"/>
    <w:qFormat/>
    <w:rsid w:val="00144866"/>
    <w:rPr>
      <w:b/>
      <w:bCs/>
    </w:rPr>
  </w:style>
  <w:style w:type="paragraph" w:styleId="NormalWeb">
    <w:name w:val="Normal (Web)"/>
    <w:basedOn w:val="Normal"/>
    <w:uiPriority w:val="99"/>
    <w:unhideWhenUsed/>
    <w:rsid w:val="00144866"/>
    <w:pPr>
      <w:spacing w:before="100" w:beforeAutospacing="1" w:after="100" w:afterAutospacing="1" w:line="240" w:lineRule="auto"/>
    </w:pPr>
    <w:rPr>
      <w:rFonts w:eastAsia="Times New Roman"/>
      <w:kern w:val="0"/>
      <w:lang w:eastAsia="en-GB"/>
      <w14:ligatures w14:val="none"/>
    </w:rPr>
  </w:style>
  <w:style w:type="character" w:styleId="Emphasis">
    <w:name w:val="Emphasis"/>
    <w:basedOn w:val="DefaultParagraphFont"/>
    <w:uiPriority w:val="20"/>
    <w:qFormat/>
    <w:rsid w:val="00144866"/>
    <w:rPr>
      <w:i/>
      <w:iCs/>
    </w:rPr>
  </w:style>
  <w:style w:type="paragraph" w:styleId="Header">
    <w:name w:val="header"/>
    <w:basedOn w:val="Normal"/>
    <w:link w:val="HeaderChar"/>
    <w:uiPriority w:val="99"/>
    <w:unhideWhenUsed/>
    <w:rsid w:val="00144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4866"/>
    <w:rPr>
      <w:rFonts w:ascii="Times New Roman" w:hAnsi="Times New Roman" w:cs="Times New Roman"/>
      <w:color w:val="000000"/>
    </w:rPr>
  </w:style>
  <w:style w:type="paragraph" w:styleId="Footer">
    <w:name w:val="footer"/>
    <w:basedOn w:val="Normal"/>
    <w:link w:val="FooterChar"/>
    <w:uiPriority w:val="99"/>
    <w:unhideWhenUsed/>
    <w:rsid w:val="00144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4866"/>
    <w:rPr>
      <w:rFonts w:ascii="Times New Roman" w:hAnsi="Times New Roman" w:cs="Times New Roman"/>
      <w:color w:val="000000"/>
    </w:rPr>
  </w:style>
  <w:style w:type="character" w:styleId="PlaceholderText">
    <w:name w:val="Placeholder Text"/>
    <w:basedOn w:val="DefaultParagraphFont"/>
    <w:uiPriority w:val="99"/>
    <w:semiHidden/>
    <w:rsid w:val="00144866"/>
    <w:rPr>
      <w:color w:val="666666"/>
    </w:rPr>
  </w:style>
  <w:style w:type="character" w:customStyle="1" w:styleId="normaltextrun">
    <w:name w:val="normaltextrun"/>
    <w:basedOn w:val="DefaultParagraphFont"/>
    <w:rsid w:val="00144866"/>
  </w:style>
  <w:style w:type="character" w:customStyle="1" w:styleId="superscript">
    <w:name w:val="superscript"/>
    <w:basedOn w:val="DefaultParagraphFont"/>
    <w:rsid w:val="00144866"/>
  </w:style>
  <w:style w:type="paragraph" w:styleId="FootnoteText">
    <w:name w:val="footnote text"/>
    <w:basedOn w:val="Normal"/>
    <w:link w:val="FootnoteTextChar"/>
    <w:uiPriority w:val="99"/>
    <w:unhideWhenUsed/>
    <w:rsid w:val="00144866"/>
    <w:pPr>
      <w:spacing w:after="0" w:line="240" w:lineRule="auto"/>
    </w:pPr>
    <w:rPr>
      <w:sz w:val="20"/>
      <w:szCs w:val="20"/>
    </w:rPr>
  </w:style>
  <w:style w:type="character" w:customStyle="1" w:styleId="FootnoteTextChar">
    <w:name w:val="Footnote Text Char"/>
    <w:basedOn w:val="DefaultParagraphFont"/>
    <w:link w:val="FootnoteText"/>
    <w:uiPriority w:val="99"/>
    <w:rsid w:val="00144866"/>
    <w:rPr>
      <w:rFonts w:ascii="Times New Roman" w:hAnsi="Times New Roman" w:cs="Times New Roman"/>
      <w:color w:val="000000"/>
      <w:sz w:val="20"/>
      <w:szCs w:val="20"/>
    </w:rPr>
  </w:style>
  <w:style w:type="character" w:styleId="FootnoteReference">
    <w:name w:val="footnote reference"/>
    <w:basedOn w:val="DefaultParagraphFont"/>
    <w:uiPriority w:val="99"/>
    <w:semiHidden/>
    <w:unhideWhenUsed/>
    <w:rsid w:val="00144866"/>
    <w:rPr>
      <w:vertAlign w:val="superscript"/>
    </w:rPr>
  </w:style>
  <w:style w:type="character" w:customStyle="1" w:styleId="contentcontrolboundarysink">
    <w:name w:val="contentcontrolboundarysink"/>
    <w:basedOn w:val="DefaultParagraphFont"/>
    <w:rsid w:val="00144866"/>
  </w:style>
  <w:style w:type="character" w:styleId="CommentReference">
    <w:name w:val="annotation reference"/>
    <w:basedOn w:val="DefaultParagraphFont"/>
    <w:uiPriority w:val="99"/>
    <w:semiHidden/>
    <w:unhideWhenUsed/>
    <w:rsid w:val="00144866"/>
    <w:rPr>
      <w:sz w:val="16"/>
      <w:szCs w:val="16"/>
    </w:rPr>
  </w:style>
  <w:style w:type="paragraph" w:styleId="CommentText">
    <w:name w:val="annotation text"/>
    <w:basedOn w:val="Normal"/>
    <w:link w:val="CommentTextChar"/>
    <w:uiPriority w:val="99"/>
    <w:unhideWhenUsed/>
    <w:rsid w:val="00144866"/>
    <w:pPr>
      <w:spacing w:line="240" w:lineRule="auto"/>
    </w:pPr>
    <w:rPr>
      <w:sz w:val="20"/>
      <w:szCs w:val="20"/>
    </w:rPr>
  </w:style>
  <w:style w:type="character" w:customStyle="1" w:styleId="CommentTextChar">
    <w:name w:val="Comment Text Char"/>
    <w:basedOn w:val="DefaultParagraphFont"/>
    <w:link w:val="CommentText"/>
    <w:uiPriority w:val="99"/>
    <w:rsid w:val="00144866"/>
    <w:rPr>
      <w:rFonts w:ascii="Times New Roman" w:hAnsi="Times New Roman" w:cs="Times New Roman"/>
      <w:color w:val="000000"/>
      <w:sz w:val="20"/>
      <w:szCs w:val="20"/>
    </w:rPr>
  </w:style>
  <w:style w:type="paragraph" w:styleId="CommentSubject">
    <w:name w:val="annotation subject"/>
    <w:basedOn w:val="CommentText"/>
    <w:next w:val="CommentText"/>
    <w:link w:val="CommentSubjectChar"/>
    <w:uiPriority w:val="99"/>
    <w:semiHidden/>
    <w:unhideWhenUsed/>
    <w:rsid w:val="00144866"/>
    <w:rPr>
      <w:b/>
      <w:bCs/>
    </w:rPr>
  </w:style>
  <w:style w:type="character" w:customStyle="1" w:styleId="CommentSubjectChar">
    <w:name w:val="Comment Subject Char"/>
    <w:basedOn w:val="CommentTextChar"/>
    <w:link w:val="CommentSubject"/>
    <w:uiPriority w:val="99"/>
    <w:semiHidden/>
    <w:rsid w:val="00144866"/>
    <w:rPr>
      <w:rFonts w:ascii="Times New Roman" w:hAnsi="Times New Roman" w:cs="Times New Roman"/>
      <w:b/>
      <w:bCs/>
      <w:color w:val="000000"/>
      <w:sz w:val="20"/>
      <w:szCs w:val="20"/>
    </w:rPr>
  </w:style>
  <w:style w:type="paragraph" w:styleId="TableofFigures">
    <w:name w:val="table of figures"/>
    <w:basedOn w:val="Normal"/>
    <w:next w:val="Normal"/>
    <w:uiPriority w:val="99"/>
    <w:unhideWhenUsed/>
    <w:rsid w:val="00144866"/>
    <w:pPr>
      <w:spacing w:after="0"/>
    </w:pPr>
  </w:style>
  <w:style w:type="paragraph" w:styleId="Caption">
    <w:name w:val="caption"/>
    <w:basedOn w:val="Normal"/>
    <w:next w:val="Normal"/>
    <w:autoRedefine/>
    <w:uiPriority w:val="35"/>
    <w:unhideWhenUsed/>
    <w:qFormat/>
    <w:rsid w:val="00144866"/>
    <w:pPr>
      <w:spacing w:after="200" w:line="240" w:lineRule="auto"/>
      <w:jc w:val="center"/>
    </w:pPr>
    <w:rPr>
      <w:iCs/>
      <w:color w:val="000000" w:themeColor="text1"/>
      <w:szCs w:val="18"/>
    </w:rPr>
  </w:style>
  <w:style w:type="character" w:styleId="Hyperlink">
    <w:name w:val="Hyperlink"/>
    <w:basedOn w:val="DefaultParagraphFont"/>
    <w:uiPriority w:val="99"/>
    <w:unhideWhenUsed/>
    <w:rsid w:val="00144866"/>
    <w:rPr>
      <w:color w:val="467886" w:themeColor="hyperlink"/>
      <w:u w:val="single"/>
    </w:rPr>
  </w:style>
  <w:style w:type="paragraph" w:customStyle="1" w:styleId="paragraph">
    <w:name w:val="paragraph"/>
    <w:basedOn w:val="Normal"/>
    <w:rsid w:val="00144866"/>
    <w:pPr>
      <w:spacing w:before="100" w:beforeAutospacing="1" w:after="100" w:afterAutospacing="1" w:line="240" w:lineRule="auto"/>
    </w:pPr>
    <w:rPr>
      <w:rFonts w:eastAsia="Times New Roman"/>
      <w:color w:val="auto"/>
      <w:kern w:val="0"/>
      <w:lang w:eastAsia="en-GB"/>
      <w14:ligatures w14:val="none"/>
    </w:rPr>
  </w:style>
  <w:style w:type="character" w:customStyle="1" w:styleId="eop">
    <w:name w:val="eop"/>
    <w:basedOn w:val="DefaultParagraphFont"/>
    <w:rsid w:val="00144866"/>
  </w:style>
  <w:style w:type="paragraph" w:styleId="TOCHeading">
    <w:name w:val="TOC Heading"/>
    <w:basedOn w:val="Heading1"/>
    <w:next w:val="Normal"/>
    <w:uiPriority w:val="39"/>
    <w:unhideWhenUsed/>
    <w:qFormat/>
    <w:rsid w:val="00144866"/>
    <w:pPr>
      <w:spacing w:before="240" w:after="0" w:line="259" w:lineRule="auto"/>
      <w:outlineLvl w:val="9"/>
    </w:pPr>
    <w:rPr>
      <w:rFonts w:cs="Times New Roman"/>
      <w:sz w:val="32"/>
      <w:szCs w:val="32"/>
      <w:lang w:val="en-US" w:eastAsia="en-GB"/>
    </w:rPr>
  </w:style>
  <w:style w:type="paragraph" w:styleId="TOC3">
    <w:name w:val="toc 3"/>
    <w:basedOn w:val="Normal"/>
    <w:next w:val="Normal"/>
    <w:autoRedefine/>
    <w:uiPriority w:val="39"/>
    <w:unhideWhenUsed/>
    <w:rsid w:val="00144866"/>
    <w:pPr>
      <w:spacing w:after="100" w:line="279" w:lineRule="auto"/>
      <w:ind w:left="480"/>
    </w:pPr>
    <w:rPr>
      <w:rFonts w:eastAsiaTheme="minorEastAsia"/>
      <w:color w:val="000000" w:themeColor="text1"/>
      <w:kern w:val="0"/>
      <w:lang w:eastAsia="ja-JP"/>
      <w14:ligatures w14:val="none"/>
    </w:rPr>
  </w:style>
  <w:style w:type="paragraph" w:styleId="TOC2">
    <w:name w:val="toc 2"/>
    <w:basedOn w:val="Normal"/>
    <w:next w:val="Normal"/>
    <w:autoRedefine/>
    <w:uiPriority w:val="39"/>
    <w:unhideWhenUsed/>
    <w:rsid w:val="00144866"/>
    <w:pPr>
      <w:spacing w:after="100" w:line="259" w:lineRule="auto"/>
      <w:ind w:left="220"/>
    </w:pPr>
    <w:rPr>
      <w:rFonts w:asciiTheme="minorHAnsi" w:eastAsiaTheme="minorEastAsia" w:hAnsiTheme="minorHAnsi"/>
      <w:color w:val="auto"/>
      <w:kern w:val="0"/>
      <w:sz w:val="22"/>
      <w:szCs w:val="22"/>
      <w:lang w:val="en-US"/>
      <w14:ligatures w14:val="none"/>
    </w:rPr>
  </w:style>
  <w:style w:type="paragraph" w:styleId="TOC1">
    <w:name w:val="toc 1"/>
    <w:basedOn w:val="Normal"/>
    <w:next w:val="Normal"/>
    <w:autoRedefine/>
    <w:uiPriority w:val="39"/>
    <w:unhideWhenUsed/>
    <w:rsid w:val="00144866"/>
    <w:pPr>
      <w:spacing w:after="100" w:line="259" w:lineRule="auto"/>
    </w:pPr>
    <w:rPr>
      <w:rFonts w:asciiTheme="minorHAnsi" w:eastAsiaTheme="minorEastAsia" w:hAnsiTheme="minorHAnsi"/>
      <w:color w:val="auto"/>
      <w:kern w:val="0"/>
      <w:sz w:val="22"/>
      <w:szCs w:val="22"/>
      <w:lang w:val="en-US"/>
      <w14:ligatures w14:val="none"/>
    </w:rPr>
  </w:style>
  <w:style w:type="paragraph" w:customStyle="1" w:styleId="ds-markdown-paragraph">
    <w:name w:val="ds-markdown-paragraph"/>
    <w:basedOn w:val="Normal"/>
    <w:rsid w:val="00144866"/>
    <w:pPr>
      <w:spacing w:before="100" w:beforeAutospacing="1" w:after="100" w:afterAutospacing="1" w:line="240" w:lineRule="auto"/>
    </w:pPr>
    <w:rPr>
      <w:rFonts w:eastAsia="Times New Roman"/>
      <w:color w:val="auto"/>
      <w:kern w:val="0"/>
      <w:lang w:eastAsia="en-GB"/>
      <w14:ligatures w14:val="none"/>
    </w:rPr>
  </w:style>
  <w:style w:type="paragraph" w:styleId="NoSpacing">
    <w:name w:val="No Spacing"/>
    <w:link w:val="NoSpacingChar"/>
    <w:uiPriority w:val="1"/>
    <w:qFormat/>
    <w:rsid w:val="0014486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44866"/>
    <w:rPr>
      <w:rFonts w:eastAsiaTheme="minorEastAsia"/>
      <w:kern w:val="0"/>
      <w:sz w:val="22"/>
      <w:szCs w:val="22"/>
      <w:lang w:val="en-US"/>
      <w14:ligatures w14:val="none"/>
    </w:rPr>
  </w:style>
  <w:style w:type="character" w:customStyle="1" w:styleId="wacimagecontainer">
    <w:name w:val="wacimagecontainer"/>
    <w:basedOn w:val="DefaultParagraphFont"/>
    <w:rsid w:val="00144866"/>
  </w:style>
  <w:style w:type="character" w:customStyle="1" w:styleId="mord">
    <w:name w:val="mord"/>
    <w:basedOn w:val="DefaultParagraphFont"/>
    <w:rsid w:val="00144866"/>
    <w:rPr>
      <w:rFonts w:ascii="Times New Roman" w:eastAsiaTheme="minorEastAsia" w:hAnsi="Times New Roman" w:cs="Times New Roman"/>
      <w:color w:val="000000" w:themeColor="text1"/>
      <w:sz w:val="24"/>
      <w:szCs w:val="24"/>
    </w:rPr>
  </w:style>
  <w:style w:type="character" w:customStyle="1" w:styleId="vlist-s">
    <w:name w:val="vlist-s"/>
    <w:basedOn w:val="DefaultParagraphFont"/>
    <w:rsid w:val="00144866"/>
    <w:rPr>
      <w:rFonts w:ascii="Times New Roman" w:eastAsiaTheme="minorEastAsia" w:hAnsi="Times New Roman" w:cs="Times New Roman"/>
      <w:color w:val="000000" w:themeColor="text1"/>
      <w:sz w:val="24"/>
      <w:szCs w:val="24"/>
    </w:rPr>
  </w:style>
  <w:style w:type="character" w:customStyle="1" w:styleId="mrel">
    <w:name w:val="mrel"/>
    <w:basedOn w:val="DefaultParagraphFont"/>
    <w:rsid w:val="00144866"/>
    <w:rPr>
      <w:rFonts w:ascii="Times New Roman" w:eastAsiaTheme="minorEastAsia" w:hAnsi="Times New Roman" w:cs="Times New Roman"/>
      <w:color w:val="000000" w:themeColor="text1"/>
      <w:sz w:val="24"/>
      <w:szCs w:val="24"/>
    </w:rPr>
  </w:style>
  <w:style w:type="character" w:customStyle="1" w:styleId="mbin">
    <w:name w:val="mbin"/>
    <w:basedOn w:val="DefaultParagraphFont"/>
    <w:rsid w:val="00144866"/>
    <w:rPr>
      <w:rFonts w:ascii="Times New Roman" w:eastAsiaTheme="minorEastAsia" w:hAnsi="Times New Roman" w:cs="Times New Roman"/>
      <w:color w:val="000000" w:themeColor="text1"/>
      <w:sz w:val="24"/>
      <w:szCs w:val="24"/>
    </w:rPr>
  </w:style>
  <w:style w:type="character" w:customStyle="1" w:styleId="mop">
    <w:name w:val="mop"/>
    <w:basedOn w:val="DefaultParagraphFont"/>
    <w:rsid w:val="00144866"/>
    <w:rPr>
      <w:rFonts w:ascii="Times New Roman" w:eastAsiaTheme="minorEastAsia" w:hAnsi="Times New Roman" w:cs="Times New Roman"/>
      <w:color w:val="000000" w:themeColor="text1"/>
      <w:sz w:val="24"/>
      <w:szCs w:val="24"/>
    </w:rPr>
  </w:style>
  <w:style w:type="table" w:styleId="TableGrid">
    <w:name w:val="Table Grid"/>
    <w:basedOn w:val="TableNormal"/>
    <w:uiPriority w:val="59"/>
    <w:rsid w:val="00144866"/>
    <w:pPr>
      <w:spacing w:after="0" w:line="240" w:lineRule="auto"/>
    </w:pPr>
    <w:rPr>
      <w:rFonts w:ascii="Times New Roman" w:hAnsi="Times New Roman" w:cs="Times New Roman"/>
      <w:color w:val="000000"/>
    </w:rPr>
    <w:tblPr/>
  </w:style>
  <w:style w:type="paragraph" w:customStyle="1" w:styleId="MDPI13authornames">
    <w:name w:val="MDPI_1.3_authornames"/>
    <w:next w:val="Normal"/>
    <w:qFormat/>
    <w:rsid w:val="00144866"/>
    <w:pPr>
      <w:adjustRightInd w:val="0"/>
      <w:snapToGrid w:val="0"/>
      <w:spacing w:after="360" w:line="260" w:lineRule="atLeast"/>
    </w:pPr>
    <w:rPr>
      <w:rFonts w:ascii="Palatino Linotype" w:eastAsia="Times New Roman" w:hAnsi="Palatino Linotype" w:cs="Times New Roman"/>
      <w:b/>
      <w:color w:val="000000"/>
      <w:kern w:val="0"/>
      <w:sz w:val="20"/>
      <w:szCs w:val="22"/>
      <w:lang w:val="en-US" w:eastAsia="de-DE" w:bidi="en-US"/>
      <w14:ligatures w14:val="none"/>
    </w:rPr>
  </w:style>
  <w:style w:type="character" w:customStyle="1" w:styleId="bcx0">
    <w:name w:val="bcx0"/>
    <w:basedOn w:val="DefaultParagraphFont"/>
    <w:rsid w:val="00144866"/>
  </w:style>
  <w:style w:type="character" w:customStyle="1" w:styleId="tabchar">
    <w:name w:val="tabchar"/>
    <w:basedOn w:val="DefaultParagraphFont"/>
    <w:rsid w:val="00144866"/>
  </w:style>
  <w:style w:type="character" w:customStyle="1" w:styleId="css-220">
    <w:name w:val="css-220"/>
    <w:basedOn w:val="DefaultParagraphFont"/>
    <w:rsid w:val="00144866"/>
  </w:style>
  <w:style w:type="character" w:customStyle="1" w:styleId="css-221">
    <w:name w:val="css-221"/>
    <w:basedOn w:val="DefaultParagraphFont"/>
    <w:rsid w:val="00144866"/>
  </w:style>
  <w:style w:type="character" w:customStyle="1" w:styleId="css-222">
    <w:name w:val="css-222"/>
    <w:basedOn w:val="DefaultParagraphFont"/>
    <w:rsid w:val="00144866"/>
  </w:style>
  <w:style w:type="character" w:customStyle="1" w:styleId="ms-button-label">
    <w:name w:val="ms-button-label"/>
    <w:basedOn w:val="DefaultParagraphFont"/>
    <w:rsid w:val="00144866"/>
  </w:style>
  <w:style w:type="character" w:customStyle="1" w:styleId="css-248">
    <w:name w:val="css-248"/>
    <w:basedOn w:val="DefaultParagraphFont"/>
    <w:rsid w:val="00144866"/>
  </w:style>
  <w:style w:type="table" w:styleId="PlainTable5">
    <w:name w:val="Plain Table 5"/>
    <w:basedOn w:val="TableNormal"/>
    <w:uiPriority w:val="45"/>
    <w:rsid w:val="00144866"/>
    <w:pPr>
      <w:spacing w:after="0" w:line="240" w:lineRule="auto"/>
    </w:pPr>
    <w:rPr>
      <w:kern w:val="0"/>
      <w:sz w:val="22"/>
      <w:szCs w:val="22"/>
      <w14:ligatures w14:val="none"/>
    </w:rPr>
    <w:tblPr>
      <w:tblStyleRowBandSize w:val="1"/>
      <w:tblStyleColBandSize w:val="1"/>
    </w:tblPr>
    <w:tcPr>
      <w:tcBorders>
        <w:top w:val="single" w:sz="4" w:space="0" w:color="7F7F7F" w:themeColor="text1" w:themeTint="80"/>
        <w:bottom w:val="single" w:sz="4" w:space="0" w:color="7F7F7F" w:themeColor="text1" w:themeTint="80"/>
        <w:right w:val="single" w:sz="4" w:space="0" w:color="7F7F7F" w:themeColor="text1" w:themeTint="80"/>
      </w:tcBorders>
      <w:shd w:val="clear" w:color="auto" w:fill="FFFFFF" w:themeFill="background1"/>
    </w:tcPr>
    <w:tblStylePr w:type="firstRow">
      <w:rPr>
        <w:rFonts w:asciiTheme="majorHAnsi" w:eastAsiaTheme="majorEastAsia" w:hAnsiTheme="majorHAnsi" w:cstheme="majorBidi"/>
        <w:i/>
        <w:iCs/>
        <w:sz w:val="26"/>
      </w:rPr>
    </w:tblStylePr>
    <w:tblStylePr w:type="lastRow">
      <w:rPr>
        <w:rFonts w:asciiTheme="majorHAnsi" w:eastAsiaTheme="majorEastAsia" w:hAnsiTheme="majorHAnsi" w:cstheme="majorBidi"/>
        <w:i/>
        <w:iCs/>
        <w:sz w:val="26"/>
      </w:rPr>
    </w:tblStylePr>
    <w:tblStylePr w:type="firstCol">
      <w:pPr>
        <w:jc w:val="right"/>
      </w:pPr>
      <w:rPr>
        <w:rFonts w:asciiTheme="majorHAnsi" w:eastAsiaTheme="majorEastAsia" w:hAnsiTheme="majorHAnsi" w:cstheme="majorBidi"/>
        <w:i/>
        <w:iCs/>
        <w:sz w:val="26"/>
      </w:rPr>
    </w:tblStylePr>
    <w:tblStylePr w:type="lastCol">
      <w:rPr>
        <w:rFonts w:asciiTheme="majorHAnsi" w:eastAsiaTheme="majorEastAsia" w:hAnsiTheme="majorHAnsi" w:cstheme="majorBidi"/>
        <w:i/>
        <w:iCs/>
        <w:sz w:val="26"/>
      </w:r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scxp2270459">
    <w:name w:val="scxp2270459"/>
    <w:basedOn w:val="DefaultParagraphFont"/>
    <w:rsid w:val="00144866"/>
  </w:style>
  <w:style w:type="table" w:styleId="PlainTable2">
    <w:name w:val="Plain Table 2"/>
    <w:basedOn w:val="TableNormal"/>
    <w:uiPriority w:val="42"/>
    <w:rsid w:val="00144866"/>
    <w:pPr>
      <w:spacing w:after="0" w:line="240" w:lineRule="auto"/>
    </w:pPr>
    <w:rPr>
      <w:kern w:val="0"/>
      <w:sz w:val="22"/>
      <w:szCs w:val="22"/>
      <w14:ligatures w14:val="none"/>
    </w:rPr>
    <w:tblPr>
      <w:tblStyleRowBandSize w:val="1"/>
      <w:tblStyleColBandSize w:val="1"/>
    </w:tblPr>
    <w:tcPr>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tcBorders>
    </w:tc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style>
  <w:style w:type="character" w:customStyle="1" w:styleId="katex-mathml">
    <w:name w:val="katex-mathml"/>
    <w:basedOn w:val="DefaultParagraphFont"/>
    <w:rsid w:val="00144866"/>
  </w:style>
  <w:style w:type="character" w:customStyle="1" w:styleId="mpunct">
    <w:name w:val="mpunct"/>
    <w:basedOn w:val="DefaultParagraphFont"/>
    <w:rsid w:val="00144866"/>
  </w:style>
  <w:style w:type="character" w:customStyle="1" w:styleId="overflow-hidden">
    <w:name w:val="overflow-hidden"/>
    <w:basedOn w:val="DefaultParagraphFont"/>
    <w:rsid w:val="00144866"/>
  </w:style>
  <w:style w:type="paragraph" w:styleId="z-TopofForm">
    <w:name w:val="HTML Top of Form"/>
    <w:basedOn w:val="Normal"/>
    <w:next w:val="Normal"/>
    <w:link w:val="z-TopofFormChar"/>
    <w:hidden/>
    <w:uiPriority w:val="99"/>
    <w:semiHidden/>
    <w:unhideWhenUsed/>
    <w:rsid w:val="00144866"/>
    <w:pPr>
      <w:pBdr>
        <w:bottom w:val="single" w:sz="6" w:space="1" w:color="auto"/>
      </w:pBdr>
      <w:spacing w:after="0" w:line="240" w:lineRule="auto"/>
      <w:jc w:val="center"/>
    </w:pPr>
    <w:rPr>
      <w:rFonts w:ascii="Arial" w:eastAsia="Times New Roman" w:hAnsi="Arial" w:cs="Arial"/>
      <w:vanish/>
      <w:color w:val="auto"/>
      <w:kern w:val="0"/>
      <w:sz w:val="16"/>
      <w:szCs w:val="16"/>
      <w:lang w:eastAsia="en-GB"/>
      <w14:ligatures w14:val="none"/>
    </w:rPr>
  </w:style>
  <w:style w:type="character" w:customStyle="1" w:styleId="z-TopofFormChar">
    <w:name w:val="z-Top of Form Char"/>
    <w:basedOn w:val="DefaultParagraphFont"/>
    <w:link w:val="z-TopofForm"/>
    <w:uiPriority w:val="99"/>
    <w:semiHidden/>
    <w:rsid w:val="00144866"/>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144866"/>
    <w:pPr>
      <w:spacing w:before="100" w:beforeAutospacing="1" w:after="100" w:afterAutospacing="1" w:line="240" w:lineRule="auto"/>
    </w:pPr>
    <w:rPr>
      <w:rFonts w:eastAsia="Times New Roman"/>
      <w:color w:val="auto"/>
      <w:kern w:val="0"/>
      <w:lang w:eastAsia="en-GB"/>
      <w14:ligatures w14:val="none"/>
    </w:rPr>
  </w:style>
  <w:style w:type="paragraph" w:styleId="z-BottomofForm">
    <w:name w:val="HTML Bottom of Form"/>
    <w:basedOn w:val="Normal"/>
    <w:next w:val="Normal"/>
    <w:link w:val="z-BottomofFormChar"/>
    <w:hidden/>
    <w:uiPriority w:val="99"/>
    <w:semiHidden/>
    <w:unhideWhenUsed/>
    <w:rsid w:val="00144866"/>
    <w:pPr>
      <w:pBdr>
        <w:top w:val="single" w:sz="6" w:space="1" w:color="auto"/>
      </w:pBdr>
      <w:spacing w:after="0" w:line="240" w:lineRule="auto"/>
      <w:jc w:val="center"/>
    </w:pPr>
    <w:rPr>
      <w:rFonts w:ascii="Arial" w:eastAsia="Times New Roman" w:hAnsi="Arial" w:cs="Arial"/>
      <w:vanish/>
      <w:color w:val="auto"/>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144866"/>
    <w:rPr>
      <w:rFonts w:ascii="Arial" w:eastAsia="Times New Roman" w:hAnsi="Arial" w:cs="Arial"/>
      <w:vanish/>
      <w:kern w:val="0"/>
      <w:sz w:val="16"/>
      <w:szCs w:val="16"/>
      <w:lang w:eastAsia="en-GB"/>
      <w14:ligatures w14:val="none"/>
    </w:rPr>
  </w:style>
  <w:style w:type="character" w:styleId="HTMLCode">
    <w:name w:val="HTML Code"/>
    <w:basedOn w:val="DefaultParagraphFont"/>
    <w:uiPriority w:val="99"/>
    <w:semiHidden/>
    <w:unhideWhenUsed/>
    <w:rsid w:val="00144866"/>
    <w:rPr>
      <w:rFonts w:ascii="Courier New" w:eastAsia="Times New Roman" w:hAnsi="Courier New" w:cs="Courier New"/>
      <w:sz w:val="20"/>
      <w:szCs w:val="20"/>
    </w:rPr>
  </w:style>
  <w:style w:type="character" w:customStyle="1" w:styleId="markdown-text-wrapline">
    <w:name w:val="markdown-text-wrap__line"/>
    <w:basedOn w:val="DefaultParagraphFont"/>
    <w:rsid w:val="00144866"/>
  </w:style>
  <w:style w:type="character" w:customStyle="1" w:styleId="dod-span">
    <w:name w:val="dod-span"/>
    <w:basedOn w:val="DefaultParagraphFont"/>
    <w:rsid w:val="00144866"/>
  </w:style>
  <w:style w:type="character" w:styleId="UnresolvedMention">
    <w:name w:val="Unresolved Mention"/>
    <w:basedOn w:val="DefaultParagraphFont"/>
    <w:uiPriority w:val="99"/>
    <w:semiHidden/>
    <w:unhideWhenUsed/>
    <w:rsid w:val="00144866"/>
    <w:rPr>
      <w:color w:val="605E5C"/>
      <w:shd w:val="clear" w:color="auto" w:fill="E1DFDD"/>
    </w:rPr>
  </w:style>
  <w:style w:type="paragraph" w:styleId="Revision">
    <w:name w:val="Revision"/>
    <w:hidden/>
    <w:uiPriority w:val="99"/>
    <w:semiHidden/>
    <w:rsid w:val="00144866"/>
    <w:pPr>
      <w:spacing w:after="0" w:line="240" w:lineRule="auto"/>
    </w:pPr>
    <w:rPr>
      <w:rFonts w:ascii="Times New Roman" w:hAnsi="Times New Roman" w:cs="Times New Roman"/>
      <w:color w:val="000000"/>
    </w:rPr>
  </w:style>
  <w:style w:type="character" w:styleId="FollowedHyperlink">
    <w:name w:val="FollowedHyperlink"/>
    <w:basedOn w:val="DefaultParagraphFont"/>
    <w:uiPriority w:val="99"/>
    <w:semiHidden/>
    <w:unhideWhenUsed/>
    <w:rsid w:val="00144866"/>
    <w:rPr>
      <w:color w:val="96607D" w:themeColor="followedHyperlink"/>
      <w:u w:val="single"/>
    </w:rPr>
  </w:style>
  <w:style w:type="character" w:customStyle="1" w:styleId="truncate">
    <w:name w:val="truncate"/>
    <w:basedOn w:val="DefaultParagraphFont"/>
    <w:rsid w:val="00144866"/>
  </w:style>
  <w:style w:type="character" w:customStyle="1" w:styleId="font01">
    <w:name w:val="font01"/>
    <w:basedOn w:val="DefaultParagraphFont"/>
    <w:rsid w:val="00144866"/>
    <w:rPr>
      <w:rFonts w:ascii="Aptos Narrow" w:hAnsi="Aptos Narrow" w:hint="default"/>
      <w:b w:val="0"/>
      <w:bCs w:val="0"/>
      <w:i w:val="0"/>
      <w:iCs w:val="0"/>
      <w:strike w:val="0"/>
      <w:dstrike w:val="0"/>
      <w:color w:val="000000"/>
      <w:sz w:val="22"/>
      <w:szCs w:val="22"/>
      <w:u w:val="none"/>
      <w:effect w:val="none"/>
    </w:rPr>
  </w:style>
  <w:style w:type="table" w:styleId="TableGridLight">
    <w:name w:val="Grid Table Light"/>
    <w:basedOn w:val="TableNormal"/>
    <w:uiPriority w:val="40"/>
    <w:rsid w:val="00144866"/>
    <w:pPr>
      <w:spacing w:after="0" w:line="240" w:lineRule="auto"/>
    </w:pPr>
    <w:rPr>
      <w:rFonts w:ascii="Times New Roman" w:hAnsi="Times New Roman" w:cs="Times New Roman"/>
      <w:color w:val="000000"/>
      <w:kern w:val="0"/>
      <w14:ligatures w14:val="none"/>
    </w:rPr>
    <w:tblPr/>
  </w:style>
  <w:style w:type="character" w:customStyle="1" w:styleId="font611">
    <w:name w:val="font611"/>
    <w:basedOn w:val="DefaultParagraphFont"/>
    <w:rsid w:val="00144866"/>
    <w:rPr>
      <w:rFonts w:ascii="Times New Roman" w:hAnsi="Times New Roman" w:cs="Times New Roman" w:hint="default"/>
      <w:b w:val="0"/>
      <w:bCs w:val="0"/>
      <w:i w:val="0"/>
      <w:iCs w:val="0"/>
      <w:strike w:val="0"/>
      <w:dstrike w:val="0"/>
      <w:color w:val="000000"/>
      <w:sz w:val="24"/>
      <w:szCs w:val="24"/>
      <w:u w:val="none"/>
      <w:effect w:val="none"/>
    </w:rPr>
  </w:style>
  <w:style w:type="character" w:customStyle="1" w:styleId="font641">
    <w:name w:val="font641"/>
    <w:basedOn w:val="DefaultParagraphFont"/>
    <w:rsid w:val="00144866"/>
    <w:rPr>
      <w:rFonts w:ascii="Times New Roman" w:hAnsi="Times New Roman" w:cs="Times New Roman" w:hint="default"/>
      <w:b w:val="0"/>
      <w:bCs w:val="0"/>
      <w:i w:val="0"/>
      <w:iCs w:val="0"/>
      <w:strike w:val="0"/>
      <w:dstrike w:val="0"/>
      <w:color w:val="000000"/>
      <w:sz w:val="16"/>
      <w:szCs w:val="16"/>
      <w:u w:val="none"/>
      <w:effect w:val="none"/>
    </w:rPr>
  </w:style>
  <w:style w:type="character" w:customStyle="1" w:styleId="font451">
    <w:name w:val="font451"/>
    <w:basedOn w:val="DefaultParagraphFont"/>
    <w:rsid w:val="00144866"/>
    <w:rPr>
      <w:rFonts w:ascii="Times New Roman" w:hAnsi="Times New Roman" w:cs="Times New Roman" w:hint="default"/>
      <w:b w:val="0"/>
      <w:bCs w:val="0"/>
      <w:i w:val="0"/>
      <w:iCs w:val="0"/>
      <w:strike w:val="0"/>
      <w:dstrike w:val="0"/>
      <w:color w:val="000000"/>
      <w:sz w:val="20"/>
      <w:szCs w:val="20"/>
      <w:u w:val="none"/>
      <w:effect w:val="none"/>
    </w:rPr>
  </w:style>
  <w:style w:type="character" w:customStyle="1" w:styleId="font461">
    <w:name w:val="font461"/>
    <w:basedOn w:val="DefaultParagraphFont"/>
    <w:rsid w:val="00144866"/>
    <w:rPr>
      <w:rFonts w:ascii="Times New Roman" w:hAnsi="Times New Roman" w:cs="Times New Roman" w:hint="default"/>
      <w:b w:val="0"/>
      <w:bCs w:val="0"/>
      <w:i w:val="0"/>
      <w:iCs w:val="0"/>
      <w:strike w:val="0"/>
      <w:dstrike w:val="0"/>
      <w:color w:val="000000"/>
      <w:sz w:val="20"/>
      <w:szCs w:val="20"/>
      <w:u w:val="none"/>
      <w:effect w:val="none"/>
    </w:rPr>
  </w:style>
  <w:style w:type="table" w:styleId="GridTable1Light">
    <w:name w:val="Grid Table 1 Light"/>
    <w:basedOn w:val="TableNormal"/>
    <w:uiPriority w:val="46"/>
    <w:rsid w:val="00144866"/>
    <w:pPr>
      <w:spacing w:after="0" w:line="240" w:lineRule="auto"/>
    </w:pPr>
    <w:rPr>
      <w:rFonts w:ascii="Times New Roman" w:hAnsi="Times New Roman" w:cs="Times New Roman"/>
      <w:color w:val="000000"/>
      <w:kern w:val="0"/>
      <w14:ligatures w14:val="none"/>
    </w:rPr>
    <w:tblPr>
      <w:tblStyleColBandSize w:val="1"/>
    </w:tblPr>
    <w:tblStylePr w:type="firstRow">
      <w:rPr>
        <w:b/>
        <w:bCs/>
      </w:rPr>
    </w:tblStylePr>
    <w:tblStylePr w:type="lastRow">
      <w:rPr>
        <w:b/>
        <w:bCs/>
      </w:rPr>
    </w:tblStylePr>
    <w:tblStylePr w:type="firstCol">
      <w:rPr>
        <w:b/>
        <w:bCs/>
      </w:rPr>
    </w:tblStylePr>
    <w:tblStylePr w:type="lastCol">
      <w:rPr>
        <w:b/>
        <w:bCs/>
      </w:rPr>
    </w:tblStylePr>
  </w:style>
  <w:style w:type="paragraph" w:customStyle="1" w:styleId="msonormal0">
    <w:name w:val="msonormal"/>
    <w:basedOn w:val="Normal"/>
    <w:rsid w:val="00144866"/>
    <w:pPr>
      <w:spacing w:before="100" w:beforeAutospacing="1" w:after="100" w:afterAutospacing="1" w:line="240" w:lineRule="auto"/>
    </w:pPr>
    <w:rPr>
      <w:rFonts w:eastAsiaTheme="minorEastAsia"/>
      <w:color w:val="auto"/>
      <w:kern w:val="0"/>
      <w:lang w:eastAsia="en-GB"/>
      <w14:ligatures w14:val="none"/>
    </w:rPr>
  </w:style>
  <w:style w:type="character" w:customStyle="1" w:styleId="fadeinm1hgl8">
    <w:name w:val="_fadein_m1hgl_8"/>
    <w:basedOn w:val="DefaultParagraphFont"/>
    <w:rsid w:val="00144866"/>
  </w:style>
  <w:style w:type="character" w:customStyle="1" w:styleId="findhit">
    <w:name w:val="findhit"/>
    <w:basedOn w:val="DefaultParagraphFont"/>
    <w:rsid w:val="00144866"/>
  </w:style>
  <w:style w:type="character" w:customStyle="1" w:styleId="highlight">
    <w:name w:val="highlight"/>
    <w:basedOn w:val="DefaultParagraphFont"/>
    <w:rsid w:val="00144866"/>
  </w:style>
  <w:style w:type="paragraph" w:customStyle="1" w:styleId="xl65">
    <w:name w:val="xl65"/>
    <w:basedOn w:val="Normal"/>
    <w:uiPriority w:val="1"/>
    <w:rsid w:val="00144866"/>
    <w:pPr>
      <w:spacing w:beforeAutospacing="1" w:afterAutospacing="1" w:line="259" w:lineRule="auto"/>
    </w:pPr>
    <w:rPr>
      <w:rFonts w:eastAsia="Times New Roman"/>
      <w:color w:val="auto"/>
      <w:kern w:val="0"/>
      <w:lang w:eastAsia="en-GB"/>
      <w14:ligatures w14:val="none"/>
    </w:rPr>
  </w:style>
  <w:style w:type="paragraph" w:customStyle="1" w:styleId="xl66">
    <w:name w:val="xl66"/>
    <w:basedOn w:val="Normal"/>
    <w:uiPriority w:val="1"/>
    <w:rsid w:val="00144866"/>
    <w:pPr>
      <w:spacing w:beforeAutospacing="1" w:afterAutospacing="1" w:line="259" w:lineRule="auto"/>
      <w:ind w:firstLine="100"/>
    </w:pPr>
    <w:rPr>
      <w:rFonts w:eastAsia="Times New Roman"/>
      <w:color w:val="auto"/>
      <w:kern w:val="0"/>
      <w:lang w:eastAsia="en-GB"/>
      <w14:ligatures w14:val="none"/>
    </w:rPr>
  </w:style>
  <w:style w:type="table" w:styleId="PlainTable4">
    <w:name w:val="Plain Table 4"/>
    <w:basedOn w:val="TableNormal"/>
    <w:uiPriority w:val="44"/>
    <w:rsid w:val="00144866"/>
    <w:pPr>
      <w:spacing w:after="0" w:line="240" w:lineRule="auto"/>
    </w:pPr>
    <w:rPr>
      <w:kern w:val="0"/>
      <w:sz w:val="22"/>
      <w:szCs w:val="22"/>
      <w14:ligatures w14:val="none"/>
    </w:rPr>
    <w:tblPr/>
    <w:tblStylePr w:type="firstRow">
      <w:rPr>
        <w:b/>
        <w:bCs/>
      </w:rPr>
    </w:tblStylePr>
    <w:tblStylePr w:type="lastRow">
      <w:rPr>
        <w:b/>
        <w:bCs/>
      </w:rPr>
    </w:tblStylePr>
    <w:tblStylePr w:type="firstCol">
      <w:rPr>
        <w:b/>
        <w:bCs/>
      </w:rPr>
    </w:tblStylePr>
    <w:tblStylePr w:type="lastCol">
      <w:rPr>
        <w:b/>
        <w:bCs/>
      </w:rPr>
    </w:tblStylePr>
  </w:style>
  <w:style w:type="paragraph" w:styleId="TOC4">
    <w:name w:val="toc 4"/>
    <w:basedOn w:val="Normal"/>
    <w:next w:val="Normal"/>
    <w:uiPriority w:val="39"/>
    <w:unhideWhenUsed/>
    <w:rsid w:val="00144866"/>
    <w:pPr>
      <w:spacing w:after="100" w:line="259" w:lineRule="auto"/>
      <w:ind w:left="660"/>
    </w:pPr>
    <w:rPr>
      <w:rFonts w:asciiTheme="minorHAnsi" w:hAnsiTheme="minorHAnsi" w:cstheme="minorBidi"/>
      <w:color w:val="auto"/>
      <w:kern w:val="0"/>
      <w:sz w:val="22"/>
      <w:szCs w:val="22"/>
      <w14:ligatures w14:val="none"/>
    </w:rPr>
  </w:style>
  <w:style w:type="paragraph" w:styleId="TOC5">
    <w:name w:val="toc 5"/>
    <w:basedOn w:val="Normal"/>
    <w:next w:val="Normal"/>
    <w:uiPriority w:val="39"/>
    <w:unhideWhenUsed/>
    <w:rsid w:val="00144866"/>
    <w:pPr>
      <w:spacing w:after="100" w:line="259" w:lineRule="auto"/>
      <w:ind w:left="880"/>
    </w:pPr>
    <w:rPr>
      <w:rFonts w:asciiTheme="minorHAnsi" w:hAnsiTheme="minorHAnsi" w:cstheme="minorBidi"/>
      <w:color w:val="auto"/>
      <w:kern w:val="0"/>
      <w:sz w:val="22"/>
      <w:szCs w:val="22"/>
      <w14:ligatures w14:val="none"/>
    </w:rPr>
  </w:style>
  <w:style w:type="paragraph" w:styleId="TOC6">
    <w:name w:val="toc 6"/>
    <w:basedOn w:val="Normal"/>
    <w:next w:val="Normal"/>
    <w:uiPriority w:val="39"/>
    <w:unhideWhenUsed/>
    <w:rsid w:val="00144866"/>
    <w:pPr>
      <w:spacing w:after="100" w:line="259" w:lineRule="auto"/>
      <w:ind w:left="1100"/>
    </w:pPr>
    <w:rPr>
      <w:rFonts w:asciiTheme="minorHAnsi" w:hAnsiTheme="minorHAnsi" w:cstheme="minorBidi"/>
      <w:color w:val="auto"/>
      <w:kern w:val="0"/>
      <w:sz w:val="22"/>
      <w:szCs w:val="22"/>
      <w14:ligatures w14:val="none"/>
    </w:rPr>
  </w:style>
  <w:style w:type="paragraph" w:styleId="TOC7">
    <w:name w:val="toc 7"/>
    <w:basedOn w:val="Normal"/>
    <w:next w:val="Normal"/>
    <w:uiPriority w:val="39"/>
    <w:unhideWhenUsed/>
    <w:rsid w:val="00144866"/>
    <w:pPr>
      <w:spacing w:after="100" w:line="259" w:lineRule="auto"/>
      <w:ind w:left="1320"/>
    </w:pPr>
    <w:rPr>
      <w:rFonts w:asciiTheme="minorHAnsi" w:hAnsiTheme="minorHAnsi" w:cstheme="minorBidi"/>
      <w:color w:val="auto"/>
      <w:kern w:val="0"/>
      <w:sz w:val="22"/>
      <w:szCs w:val="22"/>
      <w14:ligatures w14:val="none"/>
    </w:rPr>
  </w:style>
  <w:style w:type="paragraph" w:styleId="TOC8">
    <w:name w:val="toc 8"/>
    <w:basedOn w:val="Normal"/>
    <w:next w:val="Normal"/>
    <w:uiPriority w:val="39"/>
    <w:unhideWhenUsed/>
    <w:rsid w:val="00144866"/>
    <w:pPr>
      <w:spacing w:after="100" w:line="259" w:lineRule="auto"/>
      <w:ind w:left="1540"/>
    </w:pPr>
    <w:rPr>
      <w:rFonts w:asciiTheme="minorHAnsi" w:hAnsiTheme="minorHAnsi" w:cstheme="minorBidi"/>
      <w:color w:val="auto"/>
      <w:kern w:val="0"/>
      <w:sz w:val="22"/>
      <w:szCs w:val="22"/>
      <w14:ligatures w14:val="none"/>
    </w:rPr>
  </w:style>
  <w:style w:type="paragraph" w:styleId="TOC9">
    <w:name w:val="toc 9"/>
    <w:basedOn w:val="Normal"/>
    <w:next w:val="Normal"/>
    <w:uiPriority w:val="39"/>
    <w:unhideWhenUsed/>
    <w:rsid w:val="00144866"/>
    <w:pPr>
      <w:spacing w:after="100" w:line="259" w:lineRule="auto"/>
      <w:ind w:left="1760"/>
    </w:pPr>
    <w:rPr>
      <w:rFonts w:asciiTheme="minorHAnsi" w:hAnsiTheme="minorHAnsi" w:cstheme="minorBidi"/>
      <w:color w:val="auto"/>
      <w:kern w:val="0"/>
      <w:sz w:val="22"/>
      <w:szCs w:val="22"/>
      <w14:ligatures w14:val="none"/>
    </w:rPr>
  </w:style>
  <w:style w:type="paragraph" w:styleId="EndnoteText">
    <w:name w:val="endnote text"/>
    <w:basedOn w:val="Normal"/>
    <w:link w:val="EndnoteTextChar"/>
    <w:uiPriority w:val="99"/>
    <w:semiHidden/>
    <w:unhideWhenUsed/>
    <w:rsid w:val="00144866"/>
    <w:pPr>
      <w:spacing w:after="0" w:line="259" w:lineRule="auto"/>
    </w:pPr>
    <w:rPr>
      <w:rFonts w:asciiTheme="minorHAnsi" w:hAnsiTheme="minorHAnsi" w:cstheme="minorBidi"/>
      <w:color w:val="auto"/>
      <w:kern w:val="0"/>
      <w:sz w:val="20"/>
      <w:szCs w:val="20"/>
      <w14:ligatures w14:val="none"/>
    </w:rPr>
  </w:style>
  <w:style w:type="character" w:customStyle="1" w:styleId="EndnoteTextChar">
    <w:name w:val="Endnote Text Char"/>
    <w:basedOn w:val="DefaultParagraphFont"/>
    <w:link w:val="EndnoteText"/>
    <w:uiPriority w:val="99"/>
    <w:semiHidden/>
    <w:rsid w:val="00144866"/>
    <w:rPr>
      <w:kern w:val="0"/>
      <w:sz w:val="20"/>
      <w:szCs w:val="20"/>
      <w14:ligatures w14:val="none"/>
    </w:rPr>
  </w:style>
  <w:style w:type="character" w:styleId="EndnoteReference">
    <w:name w:val="endnote reference"/>
    <w:basedOn w:val="DefaultParagraphFont"/>
    <w:uiPriority w:val="99"/>
    <w:semiHidden/>
    <w:unhideWhenUsed/>
    <w:rsid w:val="00144866"/>
    <w:rPr>
      <w:vertAlign w:val="superscript"/>
    </w:rPr>
  </w:style>
  <w:style w:type="character" w:customStyle="1" w:styleId="ykmvie">
    <w:name w:val="ykmvie"/>
    <w:basedOn w:val="DefaultParagraphFont"/>
    <w:rsid w:val="00144866"/>
  </w:style>
  <w:style w:type="character" w:customStyle="1" w:styleId="scxw121233429">
    <w:name w:val="scxw121233429"/>
    <w:basedOn w:val="DefaultParagraphFont"/>
    <w:rsid w:val="00144866"/>
  </w:style>
  <w:style w:type="character" w:customStyle="1" w:styleId="anchor-text">
    <w:name w:val="anchor-text"/>
    <w:basedOn w:val="DefaultParagraphFont"/>
    <w:rsid w:val="00144866"/>
  </w:style>
  <w:style w:type="character" w:customStyle="1" w:styleId="scxw178436205">
    <w:name w:val="scxw178436205"/>
    <w:basedOn w:val="DefaultParagraphFont"/>
    <w:rsid w:val="00144866"/>
  </w:style>
  <w:style w:type="paragraph" w:customStyle="1" w:styleId="Style1">
    <w:name w:val="Style1"/>
    <w:basedOn w:val="Heading1"/>
    <w:qFormat/>
    <w:rsid w:val="00144866"/>
    <w:pPr>
      <w:spacing w:before="240" w:after="0" w:line="360" w:lineRule="auto"/>
      <w:ind w:left="785" w:hanging="360"/>
    </w:pPr>
    <w:rPr>
      <w:rFonts w:ascii="Palatino Linotype" w:hAnsi="Palatino Linotype" w:cs="Times New Roman"/>
      <w:sz w:val="28"/>
      <w:szCs w:val="32"/>
      <w:lang w:eastAsia="en-GB"/>
    </w:rPr>
  </w:style>
  <w:style w:type="paragraph" w:customStyle="1" w:styleId="Style4">
    <w:name w:val="Style4"/>
    <w:basedOn w:val="Heading2"/>
    <w:qFormat/>
    <w:rsid w:val="00144866"/>
    <w:pPr>
      <w:spacing w:before="40" w:line="360" w:lineRule="auto"/>
      <w:ind w:left="810" w:hanging="450"/>
    </w:pPr>
    <w:rPr>
      <w:rFonts w:ascii="Palatino Linotype" w:eastAsia="Times New Roman" w:hAnsi="Palatino Linotype"/>
      <w:color w:val="auto"/>
      <w:sz w:val="24"/>
      <w:szCs w:val="20"/>
      <w:lang w:eastAsia="en-GB"/>
    </w:rPr>
  </w:style>
  <w:style w:type="character" w:customStyle="1" w:styleId="ref-lnk">
    <w:name w:val="ref-lnk"/>
    <w:basedOn w:val="DefaultParagraphFont"/>
    <w:rsid w:val="00144866"/>
  </w:style>
  <w:style w:type="character" w:customStyle="1" w:styleId="off-screen">
    <w:name w:val="off-screen"/>
    <w:basedOn w:val="DefaultParagraphFont"/>
    <w:rsid w:val="00144866"/>
  </w:style>
  <w:style w:type="character" w:customStyle="1" w:styleId="spellingerror">
    <w:name w:val="spellingerror"/>
    <w:basedOn w:val="DefaultParagraphFont"/>
    <w:rsid w:val="00144866"/>
  </w:style>
  <w:style w:type="character" w:customStyle="1" w:styleId="ldquo">
    <w:name w:val="ldquo"/>
    <w:basedOn w:val="DefaultParagraphFont"/>
    <w:rsid w:val="00144866"/>
  </w:style>
  <w:style w:type="character" w:styleId="HTMLCite">
    <w:name w:val="HTML Cite"/>
    <w:basedOn w:val="DefaultParagraphFont"/>
    <w:uiPriority w:val="99"/>
    <w:semiHidden/>
    <w:unhideWhenUsed/>
    <w:rsid w:val="00144866"/>
    <w:rPr>
      <w:i/>
      <w:iCs/>
    </w:rPr>
  </w:style>
  <w:style w:type="paragraph" w:customStyle="1" w:styleId="ssrcss-1q0x1qg-paragraph">
    <w:name w:val="ssrcss-1q0x1qg-paragraph"/>
    <w:basedOn w:val="Normal"/>
    <w:rsid w:val="00144866"/>
    <w:pPr>
      <w:spacing w:before="100" w:beforeAutospacing="1" w:after="100" w:afterAutospacing="1" w:line="240" w:lineRule="auto"/>
    </w:pPr>
    <w:rPr>
      <w:rFonts w:eastAsia="Times New Roman"/>
      <w:color w:val="auto"/>
      <w:kern w:val="0"/>
      <w:lang w:eastAsia="en-GB"/>
      <w14:ligatures w14:val="none"/>
    </w:rPr>
  </w:style>
  <w:style w:type="character" w:customStyle="1" w:styleId="cf01">
    <w:name w:val="cf01"/>
    <w:basedOn w:val="DefaultParagraphFont"/>
    <w:rsid w:val="00C93C3F"/>
    <w:rPr>
      <w:rFonts w:ascii="Segoe UI" w:hAnsi="Segoe UI" w:cs="Segoe UI" w:hint="default"/>
      <w:sz w:val="18"/>
      <w:szCs w:val="18"/>
    </w:rPr>
  </w:style>
  <w:style w:type="character" w:customStyle="1" w:styleId="cf11">
    <w:name w:val="cf11"/>
    <w:basedOn w:val="DefaultParagraphFont"/>
    <w:rsid w:val="00C93C3F"/>
    <w:rPr>
      <w:rFonts w:ascii="Segoe UI" w:hAnsi="Segoe UI" w:cs="Segoe UI" w:hint="default"/>
      <w:sz w:val="18"/>
      <w:szCs w:val="18"/>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1042">
      <w:marLeft w:val="480"/>
      <w:marRight w:val="0"/>
      <w:marTop w:val="0"/>
      <w:marBottom w:val="0"/>
      <w:divBdr>
        <w:top w:val="none" w:sz="0" w:space="0" w:color="auto"/>
        <w:left w:val="none" w:sz="0" w:space="0" w:color="auto"/>
        <w:bottom w:val="none" w:sz="0" w:space="0" w:color="auto"/>
        <w:right w:val="none" w:sz="0" w:space="0" w:color="auto"/>
      </w:divBdr>
    </w:div>
    <w:div w:id="7145346">
      <w:marLeft w:val="480"/>
      <w:marRight w:val="0"/>
      <w:marTop w:val="0"/>
      <w:marBottom w:val="0"/>
      <w:divBdr>
        <w:top w:val="none" w:sz="0" w:space="0" w:color="auto"/>
        <w:left w:val="none" w:sz="0" w:space="0" w:color="auto"/>
        <w:bottom w:val="none" w:sz="0" w:space="0" w:color="auto"/>
        <w:right w:val="none" w:sz="0" w:space="0" w:color="auto"/>
      </w:divBdr>
    </w:div>
    <w:div w:id="12004684">
      <w:marLeft w:val="480"/>
      <w:marRight w:val="0"/>
      <w:marTop w:val="0"/>
      <w:marBottom w:val="0"/>
      <w:divBdr>
        <w:top w:val="none" w:sz="0" w:space="0" w:color="auto"/>
        <w:left w:val="none" w:sz="0" w:space="0" w:color="auto"/>
        <w:bottom w:val="none" w:sz="0" w:space="0" w:color="auto"/>
        <w:right w:val="none" w:sz="0" w:space="0" w:color="auto"/>
      </w:divBdr>
    </w:div>
    <w:div w:id="25106605">
      <w:marLeft w:val="480"/>
      <w:marRight w:val="0"/>
      <w:marTop w:val="0"/>
      <w:marBottom w:val="0"/>
      <w:divBdr>
        <w:top w:val="none" w:sz="0" w:space="0" w:color="auto"/>
        <w:left w:val="none" w:sz="0" w:space="0" w:color="auto"/>
        <w:bottom w:val="none" w:sz="0" w:space="0" w:color="auto"/>
        <w:right w:val="none" w:sz="0" w:space="0" w:color="auto"/>
      </w:divBdr>
    </w:div>
    <w:div w:id="27147157">
      <w:marLeft w:val="480"/>
      <w:marRight w:val="0"/>
      <w:marTop w:val="0"/>
      <w:marBottom w:val="0"/>
      <w:divBdr>
        <w:top w:val="none" w:sz="0" w:space="0" w:color="auto"/>
        <w:left w:val="none" w:sz="0" w:space="0" w:color="auto"/>
        <w:bottom w:val="none" w:sz="0" w:space="0" w:color="auto"/>
        <w:right w:val="none" w:sz="0" w:space="0" w:color="auto"/>
      </w:divBdr>
    </w:div>
    <w:div w:id="30110178">
      <w:marLeft w:val="480"/>
      <w:marRight w:val="0"/>
      <w:marTop w:val="0"/>
      <w:marBottom w:val="0"/>
      <w:divBdr>
        <w:top w:val="none" w:sz="0" w:space="0" w:color="auto"/>
        <w:left w:val="none" w:sz="0" w:space="0" w:color="auto"/>
        <w:bottom w:val="none" w:sz="0" w:space="0" w:color="auto"/>
        <w:right w:val="none" w:sz="0" w:space="0" w:color="auto"/>
      </w:divBdr>
    </w:div>
    <w:div w:id="30883612">
      <w:marLeft w:val="480"/>
      <w:marRight w:val="0"/>
      <w:marTop w:val="0"/>
      <w:marBottom w:val="0"/>
      <w:divBdr>
        <w:top w:val="none" w:sz="0" w:space="0" w:color="auto"/>
        <w:left w:val="none" w:sz="0" w:space="0" w:color="auto"/>
        <w:bottom w:val="none" w:sz="0" w:space="0" w:color="auto"/>
        <w:right w:val="none" w:sz="0" w:space="0" w:color="auto"/>
      </w:divBdr>
    </w:div>
    <w:div w:id="38670340">
      <w:marLeft w:val="480"/>
      <w:marRight w:val="0"/>
      <w:marTop w:val="0"/>
      <w:marBottom w:val="0"/>
      <w:divBdr>
        <w:top w:val="none" w:sz="0" w:space="0" w:color="auto"/>
        <w:left w:val="none" w:sz="0" w:space="0" w:color="auto"/>
        <w:bottom w:val="none" w:sz="0" w:space="0" w:color="auto"/>
        <w:right w:val="none" w:sz="0" w:space="0" w:color="auto"/>
      </w:divBdr>
    </w:div>
    <w:div w:id="65147952">
      <w:marLeft w:val="480"/>
      <w:marRight w:val="0"/>
      <w:marTop w:val="0"/>
      <w:marBottom w:val="0"/>
      <w:divBdr>
        <w:top w:val="none" w:sz="0" w:space="0" w:color="auto"/>
        <w:left w:val="none" w:sz="0" w:space="0" w:color="auto"/>
        <w:bottom w:val="none" w:sz="0" w:space="0" w:color="auto"/>
        <w:right w:val="none" w:sz="0" w:space="0" w:color="auto"/>
      </w:divBdr>
    </w:div>
    <w:div w:id="66191908">
      <w:marLeft w:val="480"/>
      <w:marRight w:val="0"/>
      <w:marTop w:val="0"/>
      <w:marBottom w:val="0"/>
      <w:divBdr>
        <w:top w:val="none" w:sz="0" w:space="0" w:color="auto"/>
        <w:left w:val="none" w:sz="0" w:space="0" w:color="auto"/>
        <w:bottom w:val="none" w:sz="0" w:space="0" w:color="auto"/>
        <w:right w:val="none" w:sz="0" w:space="0" w:color="auto"/>
      </w:divBdr>
    </w:div>
    <w:div w:id="69274481">
      <w:marLeft w:val="480"/>
      <w:marRight w:val="0"/>
      <w:marTop w:val="0"/>
      <w:marBottom w:val="0"/>
      <w:divBdr>
        <w:top w:val="none" w:sz="0" w:space="0" w:color="auto"/>
        <w:left w:val="none" w:sz="0" w:space="0" w:color="auto"/>
        <w:bottom w:val="none" w:sz="0" w:space="0" w:color="auto"/>
        <w:right w:val="none" w:sz="0" w:space="0" w:color="auto"/>
      </w:divBdr>
    </w:div>
    <w:div w:id="78720072">
      <w:marLeft w:val="480"/>
      <w:marRight w:val="0"/>
      <w:marTop w:val="0"/>
      <w:marBottom w:val="0"/>
      <w:divBdr>
        <w:top w:val="none" w:sz="0" w:space="0" w:color="auto"/>
        <w:left w:val="none" w:sz="0" w:space="0" w:color="auto"/>
        <w:bottom w:val="none" w:sz="0" w:space="0" w:color="auto"/>
        <w:right w:val="none" w:sz="0" w:space="0" w:color="auto"/>
      </w:divBdr>
    </w:div>
    <w:div w:id="90325332">
      <w:marLeft w:val="480"/>
      <w:marRight w:val="0"/>
      <w:marTop w:val="0"/>
      <w:marBottom w:val="0"/>
      <w:divBdr>
        <w:top w:val="none" w:sz="0" w:space="0" w:color="auto"/>
        <w:left w:val="none" w:sz="0" w:space="0" w:color="auto"/>
        <w:bottom w:val="none" w:sz="0" w:space="0" w:color="auto"/>
        <w:right w:val="none" w:sz="0" w:space="0" w:color="auto"/>
      </w:divBdr>
    </w:div>
    <w:div w:id="100489919">
      <w:marLeft w:val="480"/>
      <w:marRight w:val="0"/>
      <w:marTop w:val="0"/>
      <w:marBottom w:val="0"/>
      <w:divBdr>
        <w:top w:val="none" w:sz="0" w:space="0" w:color="auto"/>
        <w:left w:val="none" w:sz="0" w:space="0" w:color="auto"/>
        <w:bottom w:val="none" w:sz="0" w:space="0" w:color="auto"/>
        <w:right w:val="none" w:sz="0" w:space="0" w:color="auto"/>
      </w:divBdr>
    </w:div>
    <w:div w:id="101537241">
      <w:marLeft w:val="480"/>
      <w:marRight w:val="0"/>
      <w:marTop w:val="0"/>
      <w:marBottom w:val="0"/>
      <w:divBdr>
        <w:top w:val="none" w:sz="0" w:space="0" w:color="auto"/>
        <w:left w:val="none" w:sz="0" w:space="0" w:color="auto"/>
        <w:bottom w:val="none" w:sz="0" w:space="0" w:color="auto"/>
        <w:right w:val="none" w:sz="0" w:space="0" w:color="auto"/>
      </w:divBdr>
    </w:div>
    <w:div w:id="102455423">
      <w:marLeft w:val="480"/>
      <w:marRight w:val="0"/>
      <w:marTop w:val="0"/>
      <w:marBottom w:val="0"/>
      <w:divBdr>
        <w:top w:val="none" w:sz="0" w:space="0" w:color="auto"/>
        <w:left w:val="none" w:sz="0" w:space="0" w:color="auto"/>
        <w:bottom w:val="none" w:sz="0" w:space="0" w:color="auto"/>
        <w:right w:val="none" w:sz="0" w:space="0" w:color="auto"/>
      </w:divBdr>
    </w:div>
    <w:div w:id="104538767">
      <w:marLeft w:val="480"/>
      <w:marRight w:val="0"/>
      <w:marTop w:val="0"/>
      <w:marBottom w:val="0"/>
      <w:divBdr>
        <w:top w:val="none" w:sz="0" w:space="0" w:color="auto"/>
        <w:left w:val="none" w:sz="0" w:space="0" w:color="auto"/>
        <w:bottom w:val="none" w:sz="0" w:space="0" w:color="auto"/>
        <w:right w:val="none" w:sz="0" w:space="0" w:color="auto"/>
      </w:divBdr>
    </w:div>
    <w:div w:id="105201865">
      <w:marLeft w:val="480"/>
      <w:marRight w:val="0"/>
      <w:marTop w:val="0"/>
      <w:marBottom w:val="0"/>
      <w:divBdr>
        <w:top w:val="none" w:sz="0" w:space="0" w:color="auto"/>
        <w:left w:val="none" w:sz="0" w:space="0" w:color="auto"/>
        <w:bottom w:val="none" w:sz="0" w:space="0" w:color="auto"/>
        <w:right w:val="none" w:sz="0" w:space="0" w:color="auto"/>
      </w:divBdr>
    </w:div>
    <w:div w:id="107436517">
      <w:marLeft w:val="480"/>
      <w:marRight w:val="0"/>
      <w:marTop w:val="0"/>
      <w:marBottom w:val="0"/>
      <w:divBdr>
        <w:top w:val="none" w:sz="0" w:space="0" w:color="auto"/>
        <w:left w:val="none" w:sz="0" w:space="0" w:color="auto"/>
        <w:bottom w:val="none" w:sz="0" w:space="0" w:color="auto"/>
        <w:right w:val="none" w:sz="0" w:space="0" w:color="auto"/>
      </w:divBdr>
    </w:div>
    <w:div w:id="108205297">
      <w:marLeft w:val="480"/>
      <w:marRight w:val="0"/>
      <w:marTop w:val="0"/>
      <w:marBottom w:val="0"/>
      <w:divBdr>
        <w:top w:val="none" w:sz="0" w:space="0" w:color="auto"/>
        <w:left w:val="none" w:sz="0" w:space="0" w:color="auto"/>
        <w:bottom w:val="none" w:sz="0" w:space="0" w:color="auto"/>
        <w:right w:val="none" w:sz="0" w:space="0" w:color="auto"/>
      </w:divBdr>
    </w:div>
    <w:div w:id="113404616">
      <w:marLeft w:val="480"/>
      <w:marRight w:val="0"/>
      <w:marTop w:val="0"/>
      <w:marBottom w:val="0"/>
      <w:divBdr>
        <w:top w:val="none" w:sz="0" w:space="0" w:color="auto"/>
        <w:left w:val="none" w:sz="0" w:space="0" w:color="auto"/>
        <w:bottom w:val="none" w:sz="0" w:space="0" w:color="auto"/>
        <w:right w:val="none" w:sz="0" w:space="0" w:color="auto"/>
      </w:divBdr>
    </w:div>
    <w:div w:id="117604101">
      <w:marLeft w:val="480"/>
      <w:marRight w:val="0"/>
      <w:marTop w:val="0"/>
      <w:marBottom w:val="0"/>
      <w:divBdr>
        <w:top w:val="none" w:sz="0" w:space="0" w:color="auto"/>
        <w:left w:val="none" w:sz="0" w:space="0" w:color="auto"/>
        <w:bottom w:val="none" w:sz="0" w:space="0" w:color="auto"/>
        <w:right w:val="none" w:sz="0" w:space="0" w:color="auto"/>
      </w:divBdr>
    </w:div>
    <w:div w:id="133376468">
      <w:marLeft w:val="480"/>
      <w:marRight w:val="0"/>
      <w:marTop w:val="0"/>
      <w:marBottom w:val="0"/>
      <w:divBdr>
        <w:top w:val="none" w:sz="0" w:space="0" w:color="auto"/>
        <w:left w:val="none" w:sz="0" w:space="0" w:color="auto"/>
        <w:bottom w:val="none" w:sz="0" w:space="0" w:color="auto"/>
        <w:right w:val="none" w:sz="0" w:space="0" w:color="auto"/>
      </w:divBdr>
    </w:div>
    <w:div w:id="134103016">
      <w:marLeft w:val="480"/>
      <w:marRight w:val="0"/>
      <w:marTop w:val="0"/>
      <w:marBottom w:val="0"/>
      <w:divBdr>
        <w:top w:val="none" w:sz="0" w:space="0" w:color="auto"/>
        <w:left w:val="none" w:sz="0" w:space="0" w:color="auto"/>
        <w:bottom w:val="none" w:sz="0" w:space="0" w:color="auto"/>
        <w:right w:val="none" w:sz="0" w:space="0" w:color="auto"/>
      </w:divBdr>
    </w:div>
    <w:div w:id="134686710">
      <w:marLeft w:val="480"/>
      <w:marRight w:val="0"/>
      <w:marTop w:val="0"/>
      <w:marBottom w:val="0"/>
      <w:divBdr>
        <w:top w:val="none" w:sz="0" w:space="0" w:color="auto"/>
        <w:left w:val="none" w:sz="0" w:space="0" w:color="auto"/>
        <w:bottom w:val="none" w:sz="0" w:space="0" w:color="auto"/>
        <w:right w:val="none" w:sz="0" w:space="0" w:color="auto"/>
      </w:divBdr>
    </w:div>
    <w:div w:id="136800074">
      <w:marLeft w:val="480"/>
      <w:marRight w:val="0"/>
      <w:marTop w:val="0"/>
      <w:marBottom w:val="0"/>
      <w:divBdr>
        <w:top w:val="none" w:sz="0" w:space="0" w:color="auto"/>
        <w:left w:val="none" w:sz="0" w:space="0" w:color="auto"/>
        <w:bottom w:val="none" w:sz="0" w:space="0" w:color="auto"/>
        <w:right w:val="none" w:sz="0" w:space="0" w:color="auto"/>
      </w:divBdr>
    </w:div>
    <w:div w:id="144321603">
      <w:marLeft w:val="480"/>
      <w:marRight w:val="0"/>
      <w:marTop w:val="0"/>
      <w:marBottom w:val="0"/>
      <w:divBdr>
        <w:top w:val="none" w:sz="0" w:space="0" w:color="auto"/>
        <w:left w:val="none" w:sz="0" w:space="0" w:color="auto"/>
        <w:bottom w:val="none" w:sz="0" w:space="0" w:color="auto"/>
        <w:right w:val="none" w:sz="0" w:space="0" w:color="auto"/>
      </w:divBdr>
    </w:div>
    <w:div w:id="148182258">
      <w:marLeft w:val="480"/>
      <w:marRight w:val="0"/>
      <w:marTop w:val="0"/>
      <w:marBottom w:val="0"/>
      <w:divBdr>
        <w:top w:val="none" w:sz="0" w:space="0" w:color="auto"/>
        <w:left w:val="none" w:sz="0" w:space="0" w:color="auto"/>
        <w:bottom w:val="none" w:sz="0" w:space="0" w:color="auto"/>
        <w:right w:val="none" w:sz="0" w:space="0" w:color="auto"/>
      </w:divBdr>
    </w:div>
    <w:div w:id="156458461">
      <w:marLeft w:val="480"/>
      <w:marRight w:val="0"/>
      <w:marTop w:val="0"/>
      <w:marBottom w:val="0"/>
      <w:divBdr>
        <w:top w:val="none" w:sz="0" w:space="0" w:color="auto"/>
        <w:left w:val="none" w:sz="0" w:space="0" w:color="auto"/>
        <w:bottom w:val="none" w:sz="0" w:space="0" w:color="auto"/>
        <w:right w:val="none" w:sz="0" w:space="0" w:color="auto"/>
      </w:divBdr>
    </w:div>
    <w:div w:id="161436652">
      <w:marLeft w:val="480"/>
      <w:marRight w:val="0"/>
      <w:marTop w:val="0"/>
      <w:marBottom w:val="0"/>
      <w:divBdr>
        <w:top w:val="none" w:sz="0" w:space="0" w:color="auto"/>
        <w:left w:val="none" w:sz="0" w:space="0" w:color="auto"/>
        <w:bottom w:val="none" w:sz="0" w:space="0" w:color="auto"/>
        <w:right w:val="none" w:sz="0" w:space="0" w:color="auto"/>
      </w:divBdr>
    </w:div>
    <w:div w:id="169567305">
      <w:marLeft w:val="480"/>
      <w:marRight w:val="0"/>
      <w:marTop w:val="0"/>
      <w:marBottom w:val="0"/>
      <w:divBdr>
        <w:top w:val="none" w:sz="0" w:space="0" w:color="auto"/>
        <w:left w:val="none" w:sz="0" w:space="0" w:color="auto"/>
        <w:bottom w:val="none" w:sz="0" w:space="0" w:color="auto"/>
        <w:right w:val="none" w:sz="0" w:space="0" w:color="auto"/>
      </w:divBdr>
    </w:div>
    <w:div w:id="170997701">
      <w:marLeft w:val="480"/>
      <w:marRight w:val="0"/>
      <w:marTop w:val="0"/>
      <w:marBottom w:val="0"/>
      <w:divBdr>
        <w:top w:val="none" w:sz="0" w:space="0" w:color="auto"/>
        <w:left w:val="none" w:sz="0" w:space="0" w:color="auto"/>
        <w:bottom w:val="none" w:sz="0" w:space="0" w:color="auto"/>
        <w:right w:val="none" w:sz="0" w:space="0" w:color="auto"/>
      </w:divBdr>
    </w:div>
    <w:div w:id="181210398">
      <w:marLeft w:val="480"/>
      <w:marRight w:val="0"/>
      <w:marTop w:val="0"/>
      <w:marBottom w:val="0"/>
      <w:divBdr>
        <w:top w:val="none" w:sz="0" w:space="0" w:color="auto"/>
        <w:left w:val="none" w:sz="0" w:space="0" w:color="auto"/>
        <w:bottom w:val="none" w:sz="0" w:space="0" w:color="auto"/>
        <w:right w:val="none" w:sz="0" w:space="0" w:color="auto"/>
      </w:divBdr>
    </w:div>
    <w:div w:id="183129546">
      <w:marLeft w:val="480"/>
      <w:marRight w:val="0"/>
      <w:marTop w:val="0"/>
      <w:marBottom w:val="0"/>
      <w:divBdr>
        <w:top w:val="none" w:sz="0" w:space="0" w:color="auto"/>
        <w:left w:val="none" w:sz="0" w:space="0" w:color="auto"/>
        <w:bottom w:val="none" w:sz="0" w:space="0" w:color="auto"/>
        <w:right w:val="none" w:sz="0" w:space="0" w:color="auto"/>
      </w:divBdr>
    </w:div>
    <w:div w:id="184560840">
      <w:marLeft w:val="480"/>
      <w:marRight w:val="0"/>
      <w:marTop w:val="0"/>
      <w:marBottom w:val="0"/>
      <w:divBdr>
        <w:top w:val="none" w:sz="0" w:space="0" w:color="auto"/>
        <w:left w:val="none" w:sz="0" w:space="0" w:color="auto"/>
        <w:bottom w:val="none" w:sz="0" w:space="0" w:color="auto"/>
        <w:right w:val="none" w:sz="0" w:space="0" w:color="auto"/>
      </w:divBdr>
    </w:div>
    <w:div w:id="193426582">
      <w:marLeft w:val="480"/>
      <w:marRight w:val="0"/>
      <w:marTop w:val="0"/>
      <w:marBottom w:val="0"/>
      <w:divBdr>
        <w:top w:val="none" w:sz="0" w:space="0" w:color="auto"/>
        <w:left w:val="none" w:sz="0" w:space="0" w:color="auto"/>
        <w:bottom w:val="none" w:sz="0" w:space="0" w:color="auto"/>
        <w:right w:val="none" w:sz="0" w:space="0" w:color="auto"/>
      </w:divBdr>
    </w:div>
    <w:div w:id="198395653">
      <w:marLeft w:val="480"/>
      <w:marRight w:val="0"/>
      <w:marTop w:val="0"/>
      <w:marBottom w:val="0"/>
      <w:divBdr>
        <w:top w:val="none" w:sz="0" w:space="0" w:color="auto"/>
        <w:left w:val="none" w:sz="0" w:space="0" w:color="auto"/>
        <w:bottom w:val="none" w:sz="0" w:space="0" w:color="auto"/>
        <w:right w:val="none" w:sz="0" w:space="0" w:color="auto"/>
      </w:divBdr>
    </w:div>
    <w:div w:id="201021557">
      <w:marLeft w:val="480"/>
      <w:marRight w:val="0"/>
      <w:marTop w:val="0"/>
      <w:marBottom w:val="0"/>
      <w:divBdr>
        <w:top w:val="none" w:sz="0" w:space="0" w:color="auto"/>
        <w:left w:val="none" w:sz="0" w:space="0" w:color="auto"/>
        <w:bottom w:val="none" w:sz="0" w:space="0" w:color="auto"/>
        <w:right w:val="none" w:sz="0" w:space="0" w:color="auto"/>
      </w:divBdr>
    </w:div>
    <w:div w:id="204490319">
      <w:marLeft w:val="480"/>
      <w:marRight w:val="0"/>
      <w:marTop w:val="0"/>
      <w:marBottom w:val="0"/>
      <w:divBdr>
        <w:top w:val="none" w:sz="0" w:space="0" w:color="auto"/>
        <w:left w:val="none" w:sz="0" w:space="0" w:color="auto"/>
        <w:bottom w:val="none" w:sz="0" w:space="0" w:color="auto"/>
        <w:right w:val="none" w:sz="0" w:space="0" w:color="auto"/>
      </w:divBdr>
    </w:div>
    <w:div w:id="215631892">
      <w:marLeft w:val="480"/>
      <w:marRight w:val="0"/>
      <w:marTop w:val="0"/>
      <w:marBottom w:val="0"/>
      <w:divBdr>
        <w:top w:val="none" w:sz="0" w:space="0" w:color="auto"/>
        <w:left w:val="none" w:sz="0" w:space="0" w:color="auto"/>
        <w:bottom w:val="none" w:sz="0" w:space="0" w:color="auto"/>
        <w:right w:val="none" w:sz="0" w:space="0" w:color="auto"/>
      </w:divBdr>
    </w:div>
    <w:div w:id="219825933">
      <w:marLeft w:val="480"/>
      <w:marRight w:val="0"/>
      <w:marTop w:val="0"/>
      <w:marBottom w:val="0"/>
      <w:divBdr>
        <w:top w:val="none" w:sz="0" w:space="0" w:color="auto"/>
        <w:left w:val="none" w:sz="0" w:space="0" w:color="auto"/>
        <w:bottom w:val="none" w:sz="0" w:space="0" w:color="auto"/>
        <w:right w:val="none" w:sz="0" w:space="0" w:color="auto"/>
      </w:divBdr>
    </w:div>
    <w:div w:id="222521755">
      <w:marLeft w:val="480"/>
      <w:marRight w:val="0"/>
      <w:marTop w:val="0"/>
      <w:marBottom w:val="0"/>
      <w:divBdr>
        <w:top w:val="none" w:sz="0" w:space="0" w:color="auto"/>
        <w:left w:val="none" w:sz="0" w:space="0" w:color="auto"/>
        <w:bottom w:val="none" w:sz="0" w:space="0" w:color="auto"/>
        <w:right w:val="none" w:sz="0" w:space="0" w:color="auto"/>
      </w:divBdr>
    </w:div>
    <w:div w:id="226041699">
      <w:marLeft w:val="480"/>
      <w:marRight w:val="0"/>
      <w:marTop w:val="0"/>
      <w:marBottom w:val="0"/>
      <w:divBdr>
        <w:top w:val="none" w:sz="0" w:space="0" w:color="auto"/>
        <w:left w:val="none" w:sz="0" w:space="0" w:color="auto"/>
        <w:bottom w:val="none" w:sz="0" w:space="0" w:color="auto"/>
        <w:right w:val="none" w:sz="0" w:space="0" w:color="auto"/>
      </w:divBdr>
    </w:div>
    <w:div w:id="234240867">
      <w:marLeft w:val="480"/>
      <w:marRight w:val="0"/>
      <w:marTop w:val="0"/>
      <w:marBottom w:val="0"/>
      <w:divBdr>
        <w:top w:val="none" w:sz="0" w:space="0" w:color="auto"/>
        <w:left w:val="none" w:sz="0" w:space="0" w:color="auto"/>
        <w:bottom w:val="none" w:sz="0" w:space="0" w:color="auto"/>
        <w:right w:val="none" w:sz="0" w:space="0" w:color="auto"/>
      </w:divBdr>
    </w:div>
    <w:div w:id="243078732">
      <w:marLeft w:val="480"/>
      <w:marRight w:val="0"/>
      <w:marTop w:val="0"/>
      <w:marBottom w:val="0"/>
      <w:divBdr>
        <w:top w:val="none" w:sz="0" w:space="0" w:color="auto"/>
        <w:left w:val="none" w:sz="0" w:space="0" w:color="auto"/>
        <w:bottom w:val="none" w:sz="0" w:space="0" w:color="auto"/>
        <w:right w:val="none" w:sz="0" w:space="0" w:color="auto"/>
      </w:divBdr>
    </w:div>
    <w:div w:id="243683632">
      <w:marLeft w:val="480"/>
      <w:marRight w:val="0"/>
      <w:marTop w:val="0"/>
      <w:marBottom w:val="0"/>
      <w:divBdr>
        <w:top w:val="none" w:sz="0" w:space="0" w:color="auto"/>
        <w:left w:val="none" w:sz="0" w:space="0" w:color="auto"/>
        <w:bottom w:val="none" w:sz="0" w:space="0" w:color="auto"/>
        <w:right w:val="none" w:sz="0" w:space="0" w:color="auto"/>
      </w:divBdr>
    </w:div>
    <w:div w:id="245309829">
      <w:marLeft w:val="480"/>
      <w:marRight w:val="0"/>
      <w:marTop w:val="0"/>
      <w:marBottom w:val="0"/>
      <w:divBdr>
        <w:top w:val="none" w:sz="0" w:space="0" w:color="auto"/>
        <w:left w:val="none" w:sz="0" w:space="0" w:color="auto"/>
        <w:bottom w:val="none" w:sz="0" w:space="0" w:color="auto"/>
        <w:right w:val="none" w:sz="0" w:space="0" w:color="auto"/>
      </w:divBdr>
    </w:div>
    <w:div w:id="253558890">
      <w:marLeft w:val="480"/>
      <w:marRight w:val="0"/>
      <w:marTop w:val="0"/>
      <w:marBottom w:val="0"/>
      <w:divBdr>
        <w:top w:val="none" w:sz="0" w:space="0" w:color="auto"/>
        <w:left w:val="none" w:sz="0" w:space="0" w:color="auto"/>
        <w:bottom w:val="none" w:sz="0" w:space="0" w:color="auto"/>
        <w:right w:val="none" w:sz="0" w:space="0" w:color="auto"/>
      </w:divBdr>
    </w:div>
    <w:div w:id="260991252">
      <w:marLeft w:val="480"/>
      <w:marRight w:val="0"/>
      <w:marTop w:val="0"/>
      <w:marBottom w:val="0"/>
      <w:divBdr>
        <w:top w:val="none" w:sz="0" w:space="0" w:color="auto"/>
        <w:left w:val="none" w:sz="0" w:space="0" w:color="auto"/>
        <w:bottom w:val="none" w:sz="0" w:space="0" w:color="auto"/>
        <w:right w:val="none" w:sz="0" w:space="0" w:color="auto"/>
      </w:divBdr>
    </w:div>
    <w:div w:id="261570793">
      <w:marLeft w:val="480"/>
      <w:marRight w:val="0"/>
      <w:marTop w:val="0"/>
      <w:marBottom w:val="0"/>
      <w:divBdr>
        <w:top w:val="none" w:sz="0" w:space="0" w:color="auto"/>
        <w:left w:val="none" w:sz="0" w:space="0" w:color="auto"/>
        <w:bottom w:val="none" w:sz="0" w:space="0" w:color="auto"/>
        <w:right w:val="none" w:sz="0" w:space="0" w:color="auto"/>
      </w:divBdr>
    </w:div>
    <w:div w:id="264193369">
      <w:marLeft w:val="480"/>
      <w:marRight w:val="0"/>
      <w:marTop w:val="0"/>
      <w:marBottom w:val="0"/>
      <w:divBdr>
        <w:top w:val="none" w:sz="0" w:space="0" w:color="auto"/>
        <w:left w:val="none" w:sz="0" w:space="0" w:color="auto"/>
        <w:bottom w:val="none" w:sz="0" w:space="0" w:color="auto"/>
        <w:right w:val="none" w:sz="0" w:space="0" w:color="auto"/>
      </w:divBdr>
    </w:div>
    <w:div w:id="266933490">
      <w:marLeft w:val="480"/>
      <w:marRight w:val="0"/>
      <w:marTop w:val="0"/>
      <w:marBottom w:val="0"/>
      <w:divBdr>
        <w:top w:val="none" w:sz="0" w:space="0" w:color="auto"/>
        <w:left w:val="none" w:sz="0" w:space="0" w:color="auto"/>
        <w:bottom w:val="none" w:sz="0" w:space="0" w:color="auto"/>
        <w:right w:val="none" w:sz="0" w:space="0" w:color="auto"/>
      </w:divBdr>
    </w:div>
    <w:div w:id="269242553">
      <w:marLeft w:val="480"/>
      <w:marRight w:val="0"/>
      <w:marTop w:val="0"/>
      <w:marBottom w:val="0"/>
      <w:divBdr>
        <w:top w:val="none" w:sz="0" w:space="0" w:color="auto"/>
        <w:left w:val="none" w:sz="0" w:space="0" w:color="auto"/>
        <w:bottom w:val="none" w:sz="0" w:space="0" w:color="auto"/>
        <w:right w:val="none" w:sz="0" w:space="0" w:color="auto"/>
      </w:divBdr>
    </w:div>
    <w:div w:id="277611689">
      <w:marLeft w:val="480"/>
      <w:marRight w:val="0"/>
      <w:marTop w:val="0"/>
      <w:marBottom w:val="0"/>
      <w:divBdr>
        <w:top w:val="none" w:sz="0" w:space="0" w:color="auto"/>
        <w:left w:val="none" w:sz="0" w:space="0" w:color="auto"/>
        <w:bottom w:val="none" w:sz="0" w:space="0" w:color="auto"/>
        <w:right w:val="none" w:sz="0" w:space="0" w:color="auto"/>
      </w:divBdr>
    </w:div>
    <w:div w:id="284310218">
      <w:marLeft w:val="480"/>
      <w:marRight w:val="0"/>
      <w:marTop w:val="0"/>
      <w:marBottom w:val="0"/>
      <w:divBdr>
        <w:top w:val="none" w:sz="0" w:space="0" w:color="auto"/>
        <w:left w:val="none" w:sz="0" w:space="0" w:color="auto"/>
        <w:bottom w:val="none" w:sz="0" w:space="0" w:color="auto"/>
        <w:right w:val="none" w:sz="0" w:space="0" w:color="auto"/>
      </w:divBdr>
    </w:div>
    <w:div w:id="284502310">
      <w:marLeft w:val="480"/>
      <w:marRight w:val="0"/>
      <w:marTop w:val="0"/>
      <w:marBottom w:val="0"/>
      <w:divBdr>
        <w:top w:val="none" w:sz="0" w:space="0" w:color="auto"/>
        <w:left w:val="none" w:sz="0" w:space="0" w:color="auto"/>
        <w:bottom w:val="none" w:sz="0" w:space="0" w:color="auto"/>
        <w:right w:val="none" w:sz="0" w:space="0" w:color="auto"/>
      </w:divBdr>
    </w:div>
    <w:div w:id="288126191">
      <w:marLeft w:val="480"/>
      <w:marRight w:val="0"/>
      <w:marTop w:val="0"/>
      <w:marBottom w:val="0"/>
      <w:divBdr>
        <w:top w:val="none" w:sz="0" w:space="0" w:color="auto"/>
        <w:left w:val="none" w:sz="0" w:space="0" w:color="auto"/>
        <w:bottom w:val="none" w:sz="0" w:space="0" w:color="auto"/>
        <w:right w:val="none" w:sz="0" w:space="0" w:color="auto"/>
      </w:divBdr>
    </w:div>
    <w:div w:id="297806708">
      <w:marLeft w:val="480"/>
      <w:marRight w:val="0"/>
      <w:marTop w:val="0"/>
      <w:marBottom w:val="0"/>
      <w:divBdr>
        <w:top w:val="none" w:sz="0" w:space="0" w:color="auto"/>
        <w:left w:val="none" w:sz="0" w:space="0" w:color="auto"/>
        <w:bottom w:val="none" w:sz="0" w:space="0" w:color="auto"/>
        <w:right w:val="none" w:sz="0" w:space="0" w:color="auto"/>
      </w:divBdr>
    </w:div>
    <w:div w:id="301271189">
      <w:marLeft w:val="480"/>
      <w:marRight w:val="0"/>
      <w:marTop w:val="0"/>
      <w:marBottom w:val="0"/>
      <w:divBdr>
        <w:top w:val="none" w:sz="0" w:space="0" w:color="auto"/>
        <w:left w:val="none" w:sz="0" w:space="0" w:color="auto"/>
        <w:bottom w:val="none" w:sz="0" w:space="0" w:color="auto"/>
        <w:right w:val="none" w:sz="0" w:space="0" w:color="auto"/>
      </w:divBdr>
    </w:div>
    <w:div w:id="307513429">
      <w:marLeft w:val="480"/>
      <w:marRight w:val="0"/>
      <w:marTop w:val="0"/>
      <w:marBottom w:val="0"/>
      <w:divBdr>
        <w:top w:val="none" w:sz="0" w:space="0" w:color="auto"/>
        <w:left w:val="none" w:sz="0" w:space="0" w:color="auto"/>
        <w:bottom w:val="none" w:sz="0" w:space="0" w:color="auto"/>
        <w:right w:val="none" w:sz="0" w:space="0" w:color="auto"/>
      </w:divBdr>
    </w:div>
    <w:div w:id="308479699">
      <w:marLeft w:val="480"/>
      <w:marRight w:val="0"/>
      <w:marTop w:val="0"/>
      <w:marBottom w:val="0"/>
      <w:divBdr>
        <w:top w:val="none" w:sz="0" w:space="0" w:color="auto"/>
        <w:left w:val="none" w:sz="0" w:space="0" w:color="auto"/>
        <w:bottom w:val="none" w:sz="0" w:space="0" w:color="auto"/>
        <w:right w:val="none" w:sz="0" w:space="0" w:color="auto"/>
      </w:divBdr>
    </w:div>
    <w:div w:id="308557879">
      <w:marLeft w:val="480"/>
      <w:marRight w:val="0"/>
      <w:marTop w:val="0"/>
      <w:marBottom w:val="0"/>
      <w:divBdr>
        <w:top w:val="none" w:sz="0" w:space="0" w:color="auto"/>
        <w:left w:val="none" w:sz="0" w:space="0" w:color="auto"/>
        <w:bottom w:val="none" w:sz="0" w:space="0" w:color="auto"/>
        <w:right w:val="none" w:sz="0" w:space="0" w:color="auto"/>
      </w:divBdr>
    </w:div>
    <w:div w:id="310063862">
      <w:marLeft w:val="480"/>
      <w:marRight w:val="0"/>
      <w:marTop w:val="0"/>
      <w:marBottom w:val="0"/>
      <w:divBdr>
        <w:top w:val="none" w:sz="0" w:space="0" w:color="auto"/>
        <w:left w:val="none" w:sz="0" w:space="0" w:color="auto"/>
        <w:bottom w:val="none" w:sz="0" w:space="0" w:color="auto"/>
        <w:right w:val="none" w:sz="0" w:space="0" w:color="auto"/>
      </w:divBdr>
    </w:div>
    <w:div w:id="311834716">
      <w:marLeft w:val="480"/>
      <w:marRight w:val="0"/>
      <w:marTop w:val="0"/>
      <w:marBottom w:val="0"/>
      <w:divBdr>
        <w:top w:val="none" w:sz="0" w:space="0" w:color="auto"/>
        <w:left w:val="none" w:sz="0" w:space="0" w:color="auto"/>
        <w:bottom w:val="none" w:sz="0" w:space="0" w:color="auto"/>
        <w:right w:val="none" w:sz="0" w:space="0" w:color="auto"/>
      </w:divBdr>
    </w:div>
    <w:div w:id="313729239">
      <w:marLeft w:val="480"/>
      <w:marRight w:val="0"/>
      <w:marTop w:val="0"/>
      <w:marBottom w:val="0"/>
      <w:divBdr>
        <w:top w:val="none" w:sz="0" w:space="0" w:color="auto"/>
        <w:left w:val="none" w:sz="0" w:space="0" w:color="auto"/>
        <w:bottom w:val="none" w:sz="0" w:space="0" w:color="auto"/>
        <w:right w:val="none" w:sz="0" w:space="0" w:color="auto"/>
      </w:divBdr>
    </w:div>
    <w:div w:id="321280205">
      <w:marLeft w:val="480"/>
      <w:marRight w:val="0"/>
      <w:marTop w:val="0"/>
      <w:marBottom w:val="0"/>
      <w:divBdr>
        <w:top w:val="none" w:sz="0" w:space="0" w:color="auto"/>
        <w:left w:val="none" w:sz="0" w:space="0" w:color="auto"/>
        <w:bottom w:val="none" w:sz="0" w:space="0" w:color="auto"/>
        <w:right w:val="none" w:sz="0" w:space="0" w:color="auto"/>
      </w:divBdr>
    </w:div>
    <w:div w:id="326255014">
      <w:marLeft w:val="480"/>
      <w:marRight w:val="0"/>
      <w:marTop w:val="0"/>
      <w:marBottom w:val="0"/>
      <w:divBdr>
        <w:top w:val="none" w:sz="0" w:space="0" w:color="auto"/>
        <w:left w:val="none" w:sz="0" w:space="0" w:color="auto"/>
        <w:bottom w:val="none" w:sz="0" w:space="0" w:color="auto"/>
        <w:right w:val="none" w:sz="0" w:space="0" w:color="auto"/>
      </w:divBdr>
    </w:div>
    <w:div w:id="354041129">
      <w:marLeft w:val="480"/>
      <w:marRight w:val="0"/>
      <w:marTop w:val="0"/>
      <w:marBottom w:val="0"/>
      <w:divBdr>
        <w:top w:val="none" w:sz="0" w:space="0" w:color="auto"/>
        <w:left w:val="none" w:sz="0" w:space="0" w:color="auto"/>
        <w:bottom w:val="none" w:sz="0" w:space="0" w:color="auto"/>
        <w:right w:val="none" w:sz="0" w:space="0" w:color="auto"/>
      </w:divBdr>
    </w:div>
    <w:div w:id="355817370">
      <w:marLeft w:val="480"/>
      <w:marRight w:val="0"/>
      <w:marTop w:val="0"/>
      <w:marBottom w:val="0"/>
      <w:divBdr>
        <w:top w:val="none" w:sz="0" w:space="0" w:color="auto"/>
        <w:left w:val="none" w:sz="0" w:space="0" w:color="auto"/>
        <w:bottom w:val="none" w:sz="0" w:space="0" w:color="auto"/>
        <w:right w:val="none" w:sz="0" w:space="0" w:color="auto"/>
      </w:divBdr>
    </w:div>
    <w:div w:id="358898489">
      <w:marLeft w:val="480"/>
      <w:marRight w:val="0"/>
      <w:marTop w:val="0"/>
      <w:marBottom w:val="0"/>
      <w:divBdr>
        <w:top w:val="none" w:sz="0" w:space="0" w:color="auto"/>
        <w:left w:val="none" w:sz="0" w:space="0" w:color="auto"/>
        <w:bottom w:val="none" w:sz="0" w:space="0" w:color="auto"/>
        <w:right w:val="none" w:sz="0" w:space="0" w:color="auto"/>
      </w:divBdr>
    </w:div>
    <w:div w:id="365915615">
      <w:marLeft w:val="480"/>
      <w:marRight w:val="0"/>
      <w:marTop w:val="0"/>
      <w:marBottom w:val="0"/>
      <w:divBdr>
        <w:top w:val="none" w:sz="0" w:space="0" w:color="auto"/>
        <w:left w:val="none" w:sz="0" w:space="0" w:color="auto"/>
        <w:bottom w:val="none" w:sz="0" w:space="0" w:color="auto"/>
        <w:right w:val="none" w:sz="0" w:space="0" w:color="auto"/>
      </w:divBdr>
    </w:div>
    <w:div w:id="375279672">
      <w:marLeft w:val="480"/>
      <w:marRight w:val="0"/>
      <w:marTop w:val="0"/>
      <w:marBottom w:val="0"/>
      <w:divBdr>
        <w:top w:val="none" w:sz="0" w:space="0" w:color="auto"/>
        <w:left w:val="none" w:sz="0" w:space="0" w:color="auto"/>
        <w:bottom w:val="none" w:sz="0" w:space="0" w:color="auto"/>
        <w:right w:val="none" w:sz="0" w:space="0" w:color="auto"/>
      </w:divBdr>
    </w:div>
    <w:div w:id="380712797">
      <w:marLeft w:val="480"/>
      <w:marRight w:val="0"/>
      <w:marTop w:val="0"/>
      <w:marBottom w:val="0"/>
      <w:divBdr>
        <w:top w:val="none" w:sz="0" w:space="0" w:color="auto"/>
        <w:left w:val="none" w:sz="0" w:space="0" w:color="auto"/>
        <w:bottom w:val="none" w:sz="0" w:space="0" w:color="auto"/>
        <w:right w:val="none" w:sz="0" w:space="0" w:color="auto"/>
      </w:divBdr>
    </w:div>
    <w:div w:id="384253750">
      <w:marLeft w:val="480"/>
      <w:marRight w:val="0"/>
      <w:marTop w:val="0"/>
      <w:marBottom w:val="0"/>
      <w:divBdr>
        <w:top w:val="none" w:sz="0" w:space="0" w:color="auto"/>
        <w:left w:val="none" w:sz="0" w:space="0" w:color="auto"/>
        <w:bottom w:val="none" w:sz="0" w:space="0" w:color="auto"/>
        <w:right w:val="none" w:sz="0" w:space="0" w:color="auto"/>
      </w:divBdr>
    </w:div>
    <w:div w:id="397676815">
      <w:marLeft w:val="480"/>
      <w:marRight w:val="0"/>
      <w:marTop w:val="0"/>
      <w:marBottom w:val="0"/>
      <w:divBdr>
        <w:top w:val="none" w:sz="0" w:space="0" w:color="auto"/>
        <w:left w:val="none" w:sz="0" w:space="0" w:color="auto"/>
        <w:bottom w:val="none" w:sz="0" w:space="0" w:color="auto"/>
        <w:right w:val="none" w:sz="0" w:space="0" w:color="auto"/>
      </w:divBdr>
    </w:div>
    <w:div w:id="398796984">
      <w:marLeft w:val="480"/>
      <w:marRight w:val="0"/>
      <w:marTop w:val="0"/>
      <w:marBottom w:val="0"/>
      <w:divBdr>
        <w:top w:val="none" w:sz="0" w:space="0" w:color="auto"/>
        <w:left w:val="none" w:sz="0" w:space="0" w:color="auto"/>
        <w:bottom w:val="none" w:sz="0" w:space="0" w:color="auto"/>
        <w:right w:val="none" w:sz="0" w:space="0" w:color="auto"/>
      </w:divBdr>
    </w:div>
    <w:div w:id="409010554">
      <w:marLeft w:val="480"/>
      <w:marRight w:val="0"/>
      <w:marTop w:val="0"/>
      <w:marBottom w:val="0"/>
      <w:divBdr>
        <w:top w:val="none" w:sz="0" w:space="0" w:color="auto"/>
        <w:left w:val="none" w:sz="0" w:space="0" w:color="auto"/>
        <w:bottom w:val="none" w:sz="0" w:space="0" w:color="auto"/>
        <w:right w:val="none" w:sz="0" w:space="0" w:color="auto"/>
      </w:divBdr>
    </w:div>
    <w:div w:id="411850170">
      <w:marLeft w:val="480"/>
      <w:marRight w:val="0"/>
      <w:marTop w:val="0"/>
      <w:marBottom w:val="0"/>
      <w:divBdr>
        <w:top w:val="none" w:sz="0" w:space="0" w:color="auto"/>
        <w:left w:val="none" w:sz="0" w:space="0" w:color="auto"/>
        <w:bottom w:val="none" w:sz="0" w:space="0" w:color="auto"/>
        <w:right w:val="none" w:sz="0" w:space="0" w:color="auto"/>
      </w:divBdr>
    </w:div>
    <w:div w:id="414011692">
      <w:marLeft w:val="480"/>
      <w:marRight w:val="0"/>
      <w:marTop w:val="0"/>
      <w:marBottom w:val="0"/>
      <w:divBdr>
        <w:top w:val="none" w:sz="0" w:space="0" w:color="auto"/>
        <w:left w:val="none" w:sz="0" w:space="0" w:color="auto"/>
        <w:bottom w:val="none" w:sz="0" w:space="0" w:color="auto"/>
        <w:right w:val="none" w:sz="0" w:space="0" w:color="auto"/>
      </w:divBdr>
    </w:div>
    <w:div w:id="417798939">
      <w:marLeft w:val="480"/>
      <w:marRight w:val="0"/>
      <w:marTop w:val="0"/>
      <w:marBottom w:val="0"/>
      <w:divBdr>
        <w:top w:val="none" w:sz="0" w:space="0" w:color="auto"/>
        <w:left w:val="none" w:sz="0" w:space="0" w:color="auto"/>
        <w:bottom w:val="none" w:sz="0" w:space="0" w:color="auto"/>
        <w:right w:val="none" w:sz="0" w:space="0" w:color="auto"/>
      </w:divBdr>
    </w:div>
    <w:div w:id="426003221">
      <w:marLeft w:val="480"/>
      <w:marRight w:val="0"/>
      <w:marTop w:val="0"/>
      <w:marBottom w:val="0"/>
      <w:divBdr>
        <w:top w:val="none" w:sz="0" w:space="0" w:color="auto"/>
        <w:left w:val="none" w:sz="0" w:space="0" w:color="auto"/>
        <w:bottom w:val="none" w:sz="0" w:space="0" w:color="auto"/>
        <w:right w:val="none" w:sz="0" w:space="0" w:color="auto"/>
      </w:divBdr>
    </w:div>
    <w:div w:id="432483475">
      <w:marLeft w:val="480"/>
      <w:marRight w:val="0"/>
      <w:marTop w:val="0"/>
      <w:marBottom w:val="0"/>
      <w:divBdr>
        <w:top w:val="none" w:sz="0" w:space="0" w:color="auto"/>
        <w:left w:val="none" w:sz="0" w:space="0" w:color="auto"/>
        <w:bottom w:val="none" w:sz="0" w:space="0" w:color="auto"/>
        <w:right w:val="none" w:sz="0" w:space="0" w:color="auto"/>
      </w:divBdr>
    </w:div>
    <w:div w:id="435901812">
      <w:marLeft w:val="480"/>
      <w:marRight w:val="0"/>
      <w:marTop w:val="0"/>
      <w:marBottom w:val="0"/>
      <w:divBdr>
        <w:top w:val="none" w:sz="0" w:space="0" w:color="auto"/>
        <w:left w:val="none" w:sz="0" w:space="0" w:color="auto"/>
        <w:bottom w:val="none" w:sz="0" w:space="0" w:color="auto"/>
        <w:right w:val="none" w:sz="0" w:space="0" w:color="auto"/>
      </w:divBdr>
    </w:div>
    <w:div w:id="441193516">
      <w:marLeft w:val="480"/>
      <w:marRight w:val="0"/>
      <w:marTop w:val="0"/>
      <w:marBottom w:val="0"/>
      <w:divBdr>
        <w:top w:val="none" w:sz="0" w:space="0" w:color="auto"/>
        <w:left w:val="none" w:sz="0" w:space="0" w:color="auto"/>
        <w:bottom w:val="none" w:sz="0" w:space="0" w:color="auto"/>
        <w:right w:val="none" w:sz="0" w:space="0" w:color="auto"/>
      </w:divBdr>
    </w:div>
    <w:div w:id="442654233">
      <w:marLeft w:val="0"/>
      <w:marRight w:val="0"/>
      <w:marTop w:val="0"/>
      <w:marBottom w:val="0"/>
      <w:divBdr>
        <w:top w:val="none" w:sz="0" w:space="0" w:color="auto"/>
        <w:left w:val="none" w:sz="0" w:space="0" w:color="auto"/>
        <w:bottom w:val="none" w:sz="0" w:space="0" w:color="auto"/>
        <w:right w:val="none" w:sz="0" w:space="0" w:color="auto"/>
      </w:divBdr>
    </w:div>
    <w:div w:id="452098152">
      <w:marLeft w:val="480"/>
      <w:marRight w:val="0"/>
      <w:marTop w:val="0"/>
      <w:marBottom w:val="0"/>
      <w:divBdr>
        <w:top w:val="none" w:sz="0" w:space="0" w:color="auto"/>
        <w:left w:val="none" w:sz="0" w:space="0" w:color="auto"/>
        <w:bottom w:val="none" w:sz="0" w:space="0" w:color="auto"/>
        <w:right w:val="none" w:sz="0" w:space="0" w:color="auto"/>
      </w:divBdr>
    </w:div>
    <w:div w:id="457454442">
      <w:marLeft w:val="480"/>
      <w:marRight w:val="0"/>
      <w:marTop w:val="0"/>
      <w:marBottom w:val="0"/>
      <w:divBdr>
        <w:top w:val="none" w:sz="0" w:space="0" w:color="auto"/>
        <w:left w:val="none" w:sz="0" w:space="0" w:color="auto"/>
        <w:bottom w:val="none" w:sz="0" w:space="0" w:color="auto"/>
        <w:right w:val="none" w:sz="0" w:space="0" w:color="auto"/>
      </w:divBdr>
    </w:div>
    <w:div w:id="461197610">
      <w:marLeft w:val="480"/>
      <w:marRight w:val="0"/>
      <w:marTop w:val="0"/>
      <w:marBottom w:val="0"/>
      <w:divBdr>
        <w:top w:val="none" w:sz="0" w:space="0" w:color="auto"/>
        <w:left w:val="none" w:sz="0" w:space="0" w:color="auto"/>
        <w:bottom w:val="none" w:sz="0" w:space="0" w:color="auto"/>
        <w:right w:val="none" w:sz="0" w:space="0" w:color="auto"/>
      </w:divBdr>
    </w:div>
    <w:div w:id="461651733">
      <w:marLeft w:val="480"/>
      <w:marRight w:val="0"/>
      <w:marTop w:val="0"/>
      <w:marBottom w:val="0"/>
      <w:divBdr>
        <w:top w:val="none" w:sz="0" w:space="0" w:color="auto"/>
        <w:left w:val="none" w:sz="0" w:space="0" w:color="auto"/>
        <w:bottom w:val="none" w:sz="0" w:space="0" w:color="auto"/>
        <w:right w:val="none" w:sz="0" w:space="0" w:color="auto"/>
      </w:divBdr>
    </w:div>
    <w:div w:id="471482826">
      <w:marLeft w:val="480"/>
      <w:marRight w:val="0"/>
      <w:marTop w:val="0"/>
      <w:marBottom w:val="0"/>
      <w:divBdr>
        <w:top w:val="none" w:sz="0" w:space="0" w:color="auto"/>
        <w:left w:val="none" w:sz="0" w:space="0" w:color="auto"/>
        <w:bottom w:val="none" w:sz="0" w:space="0" w:color="auto"/>
        <w:right w:val="none" w:sz="0" w:space="0" w:color="auto"/>
      </w:divBdr>
    </w:div>
    <w:div w:id="476149739">
      <w:marLeft w:val="480"/>
      <w:marRight w:val="0"/>
      <w:marTop w:val="0"/>
      <w:marBottom w:val="0"/>
      <w:divBdr>
        <w:top w:val="none" w:sz="0" w:space="0" w:color="auto"/>
        <w:left w:val="none" w:sz="0" w:space="0" w:color="auto"/>
        <w:bottom w:val="none" w:sz="0" w:space="0" w:color="auto"/>
        <w:right w:val="none" w:sz="0" w:space="0" w:color="auto"/>
      </w:divBdr>
    </w:div>
    <w:div w:id="483200546">
      <w:marLeft w:val="480"/>
      <w:marRight w:val="0"/>
      <w:marTop w:val="0"/>
      <w:marBottom w:val="0"/>
      <w:divBdr>
        <w:top w:val="none" w:sz="0" w:space="0" w:color="auto"/>
        <w:left w:val="none" w:sz="0" w:space="0" w:color="auto"/>
        <w:bottom w:val="none" w:sz="0" w:space="0" w:color="auto"/>
        <w:right w:val="none" w:sz="0" w:space="0" w:color="auto"/>
      </w:divBdr>
    </w:div>
    <w:div w:id="490870437">
      <w:marLeft w:val="480"/>
      <w:marRight w:val="0"/>
      <w:marTop w:val="0"/>
      <w:marBottom w:val="0"/>
      <w:divBdr>
        <w:top w:val="none" w:sz="0" w:space="0" w:color="auto"/>
        <w:left w:val="none" w:sz="0" w:space="0" w:color="auto"/>
        <w:bottom w:val="none" w:sz="0" w:space="0" w:color="auto"/>
        <w:right w:val="none" w:sz="0" w:space="0" w:color="auto"/>
      </w:divBdr>
    </w:div>
    <w:div w:id="496381160">
      <w:marLeft w:val="480"/>
      <w:marRight w:val="0"/>
      <w:marTop w:val="0"/>
      <w:marBottom w:val="0"/>
      <w:divBdr>
        <w:top w:val="none" w:sz="0" w:space="0" w:color="auto"/>
        <w:left w:val="none" w:sz="0" w:space="0" w:color="auto"/>
        <w:bottom w:val="none" w:sz="0" w:space="0" w:color="auto"/>
        <w:right w:val="none" w:sz="0" w:space="0" w:color="auto"/>
      </w:divBdr>
    </w:div>
    <w:div w:id="498621801">
      <w:marLeft w:val="480"/>
      <w:marRight w:val="0"/>
      <w:marTop w:val="0"/>
      <w:marBottom w:val="0"/>
      <w:divBdr>
        <w:top w:val="none" w:sz="0" w:space="0" w:color="auto"/>
        <w:left w:val="none" w:sz="0" w:space="0" w:color="auto"/>
        <w:bottom w:val="none" w:sz="0" w:space="0" w:color="auto"/>
        <w:right w:val="none" w:sz="0" w:space="0" w:color="auto"/>
      </w:divBdr>
    </w:div>
    <w:div w:id="503209549">
      <w:marLeft w:val="480"/>
      <w:marRight w:val="0"/>
      <w:marTop w:val="0"/>
      <w:marBottom w:val="0"/>
      <w:divBdr>
        <w:top w:val="none" w:sz="0" w:space="0" w:color="auto"/>
        <w:left w:val="none" w:sz="0" w:space="0" w:color="auto"/>
        <w:bottom w:val="none" w:sz="0" w:space="0" w:color="auto"/>
        <w:right w:val="none" w:sz="0" w:space="0" w:color="auto"/>
      </w:divBdr>
    </w:div>
    <w:div w:id="507988251">
      <w:marLeft w:val="480"/>
      <w:marRight w:val="0"/>
      <w:marTop w:val="0"/>
      <w:marBottom w:val="0"/>
      <w:divBdr>
        <w:top w:val="none" w:sz="0" w:space="0" w:color="auto"/>
        <w:left w:val="none" w:sz="0" w:space="0" w:color="auto"/>
        <w:bottom w:val="none" w:sz="0" w:space="0" w:color="auto"/>
        <w:right w:val="none" w:sz="0" w:space="0" w:color="auto"/>
      </w:divBdr>
    </w:div>
    <w:div w:id="509149885">
      <w:marLeft w:val="480"/>
      <w:marRight w:val="0"/>
      <w:marTop w:val="0"/>
      <w:marBottom w:val="0"/>
      <w:divBdr>
        <w:top w:val="none" w:sz="0" w:space="0" w:color="auto"/>
        <w:left w:val="none" w:sz="0" w:space="0" w:color="auto"/>
        <w:bottom w:val="none" w:sz="0" w:space="0" w:color="auto"/>
        <w:right w:val="none" w:sz="0" w:space="0" w:color="auto"/>
      </w:divBdr>
    </w:div>
    <w:div w:id="509953221">
      <w:marLeft w:val="480"/>
      <w:marRight w:val="0"/>
      <w:marTop w:val="0"/>
      <w:marBottom w:val="0"/>
      <w:divBdr>
        <w:top w:val="none" w:sz="0" w:space="0" w:color="auto"/>
        <w:left w:val="none" w:sz="0" w:space="0" w:color="auto"/>
        <w:bottom w:val="none" w:sz="0" w:space="0" w:color="auto"/>
        <w:right w:val="none" w:sz="0" w:space="0" w:color="auto"/>
      </w:divBdr>
    </w:div>
    <w:div w:id="510027434">
      <w:marLeft w:val="480"/>
      <w:marRight w:val="0"/>
      <w:marTop w:val="0"/>
      <w:marBottom w:val="0"/>
      <w:divBdr>
        <w:top w:val="none" w:sz="0" w:space="0" w:color="auto"/>
        <w:left w:val="none" w:sz="0" w:space="0" w:color="auto"/>
        <w:bottom w:val="none" w:sz="0" w:space="0" w:color="auto"/>
        <w:right w:val="none" w:sz="0" w:space="0" w:color="auto"/>
      </w:divBdr>
    </w:div>
    <w:div w:id="510069219">
      <w:marLeft w:val="480"/>
      <w:marRight w:val="0"/>
      <w:marTop w:val="0"/>
      <w:marBottom w:val="0"/>
      <w:divBdr>
        <w:top w:val="none" w:sz="0" w:space="0" w:color="auto"/>
        <w:left w:val="none" w:sz="0" w:space="0" w:color="auto"/>
        <w:bottom w:val="none" w:sz="0" w:space="0" w:color="auto"/>
        <w:right w:val="none" w:sz="0" w:space="0" w:color="auto"/>
      </w:divBdr>
    </w:div>
    <w:div w:id="511146481">
      <w:marLeft w:val="480"/>
      <w:marRight w:val="0"/>
      <w:marTop w:val="0"/>
      <w:marBottom w:val="0"/>
      <w:divBdr>
        <w:top w:val="none" w:sz="0" w:space="0" w:color="auto"/>
        <w:left w:val="none" w:sz="0" w:space="0" w:color="auto"/>
        <w:bottom w:val="none" w:sz="0" w:space="0" w:color="auto"/>
        <w:right w:val="none" w:sz="0" w:space="0" w:color="auto"/>
      </w:divBdr>
    </w:div>
    <w:div w:id="517551088">
      <w:marLeft w:val="480"/>
      <w:marRight w:val="0"/>
      <w:marTop w:val="0"/>
      <w:marBottom w:val="0"/>
      <w:divBdr>
        <w:top w:val="none" w:sz="0" w:space="0" w:color="auto"/>
        <w:left w:val="none" w:sz="0" w:space="0" w:color="auto"/>
        <w:bottom w:val="none" w:sz="0" w:space="0" w:color="auto"/>
        <w:right w:val="none" w:sz="0" w:space="0" w:color="auto"/>
      </w:divBdr>
    </w:div>
    <w:div w:id="522131691">
      <w:marLeft w:val="480"/>
      <w:marRight w:val="0"/>
      <w:marTop w:val="0"/>
      <w:marBottom w:val="0"/>
      <w:divBdr>
        <w:top w:val="none" w:sz="0" w:space="0" w:color="auto"/>
        <w:left w:val="none" w:sz="0" w:space="0" w:color="auto"/>
        <w:bottom w:val="none" w:sz="0" w:space="0" w:color="auto"/>
        <w:right w:val="none" w:sz="0" w:space="0" w:color="auto"/>
      </w:divBdr>
    </w:div>
    <w:div w:id="527177652">
      <w:marLeft w:val="480"/>
      <w:marRight w:val="0"/>
      <w:marTop w:val="0"/>
      <w:marBottom w:val="0"/>
      <w:divBdr>
        <w:top w:val="none" w:sz="0" w:space="0" w:color="auto"/>
        <w:left w:val="none" w:sz="0" w:space="0" w:color="auto"/>
        <w:bottom w:val="none" w:sz="0" w:space="0" w:color="auto"/>
        <w:right w:val="none" w:sz="0" w:space="0" w:color="auto"/>
      </w:divBdr>
    </w:div>
    <w:div w:id="529148936">
      <w:marLeft w:val="480"/>
      <w:marRight w:val="0"/>
      <w:marTop w:val="0"/>
      <w:marBottom w:val="0"/>
      <w:divBdr>
        <w:top w:val="none" w:sz="0" w:space="0" w:color="auto"/>
        <w:left w:val="none" w:sz="0" w:space="0" w:color="auto"/>
        <w:bottom w:val="none" w:sz="0" w:space="0" w:color="auto"/>
        <w:right w:val="none" w:sz="0" w:space="0" w:color="auto"/>
      </w:divBdr>
    </w:div>
    <w:div w:id="530386154">
      <w:marLeft w:val="480"/>
      <w:marRight w:val="0"/>
      <w:marTop w:val="0"/>
      <w:marBottom w:val="0"/>
      <w:divBdr>
        <w:top w:val="none" w:sz="0" w:space="0" w:color="auto"/>
        <w:left w:val="none" w:sz="0" w:space="0" w:color="auto"/>
        <w:bottom w:val="none" w:sz="0" w:space="0" w:color="auto"/>
        <w:right w:val="none" w:sz="0" w:space="0" w:color="auto"/>
      </w:divBdr>
    </w:div>
    <w:div w:id="553539647">
      <w:marLeft w:val="480"/>
      <w:marRight w:val="0"/>
      <w:marTop w:val="0"/>
      <w:marBottom w:val="0"/>
      <w:divBdr>
        <w:top w:val="none" w:sz="0" w:space="0" w:color="auto"/>
        <w:left w:val="none" w:sz="0" w:space="0" w:color="auto"/>
        <w:bottom w:val="none" w:sz="0" w:space="0" w:color="auto"/>
        <w:right w:val="none" w:sz="0" w:space="0" w:color="auto"/>
      </w:divBdr>
    </w:div>
    <w:div w:id="557329131">
      <w:marLeft w:val="480"/>
      <w:marRight w:val="0"/>
      <w:marTop w:val="0"/>
      <w:marBottom w:val="0"/>
      <w:divBdr>
        <w:top w:val="none" w:sz="0" w:space="0" w:color="auto"/>
        <w:left w:val="none" w:sz="0" w:space="0" w:color="auto"/>
        <w:bottom w:val="none" w:sz="0" w:space="0" w:color="auto"/>
        <w:right w:val="none" w:sz="0" w:space="0" w:color="auto"/>
      </w:divBdr>
    </w:div>
    <w:div w:id="561210382">
      <w:marLeft w:val="480"/>
      <w:marRight w:val="0"/>
      <w:marTop w:val="0"/>
      <w:marBottom w:val="0"/>
      <w:divBdr>
        <w:top w:val="none" w:sz="0" w:space="0" w:color="auto"/>
        <w:left w:val="none" w:sz="0" w:space="0" w:color="auto"/>
        <w:bottom w:val="none" w:sz="0" w:space="0" w:color="auto"/>
        <w:right w:val="none" w:sz="0" w:space="0" w:color="auto"/>
      </w:divBdr>
    </w:div>
    <w:div w:id="561327259">
      <w:marLeft w:val="480"/>
      <w:marRight w:val="0"/>
      <w:marTop w:val="0"/>
      <w:marBottom w:val="0"/>
      <w:divBdr>
        <w:top w:val="none" w:sz="0" w:space="0" w:color="auto"/>
        <w:left w:val="none" w:sz="0" w:space="0" w:color="auto"/>
        <w:bottom w:val="none" w:sz="0" w:space="0" w:color="auto"/>
        <w:right w:val="none" w:sz="0" w:space="0" w:color="auto"/>
      </w:divBdr>
    </w:div>
    <w:div w:id="562914242">
      <w:marLeft w:val="480"/>
      <w:marRight w:val="0"/>
      <w:marTop w:val="0"/>
      <w:marBottom w:val="0"/>
      <w:divBdr>
        <w:top w:val="none" w:sz="0" w:space="0" w:color="auto"/>
        <w:left w:val="none" w:sz="0" w:space="0" w:color="auto"/>
        <w:bottom w:val="none" w:sz="0" w:space="0" w:color="auto"/>
        <w:right w:val="none" w:sz="0" w:space="0" w:color="auto"/>
      </w:divBdr>
    </w:div>
    <w:div w:id="562955847">
      <w:marLeft w:val="480"/>
      <w:marRight w:val="0"/>
      <w:marTop w:val="0"/>
      <w:marBottom w:val="0"/>
      <w:divBdr>
        <w:top w:val="none" w:sz="0" w:space="0" w:color="auto"/>
        <w:left w:val="none" w:sz="0" w:space="0" w:color="auto"/>
        <w:bottom w:val="none" w:sz="0" w:space="0" w:color="auto"/>
        <w:right w:val="none" w:sz="0" w:space="0" w:color="auto"/>
      </w:divBdr>
    </w:div>
    <w:div w:id="582446718">
      <w:marLeft w:val="480"/>
      <w:marRight w:val="0"/>
      <w:marTop w:val="0"/>
      <w:marBottom w:val="0"/>
      <w:divBdr>
        <w:top w:val="none" w:sz="0" w:space="0" w:color="auto"/>
        <w:left w:val="none" w:sz="0" w:space="0" w:color="auto"/>
        <w:bottom w:val="none" w:sz="0" w:space="0" w:color="auto"/>
        <w:right w:val="none" w:sz="0" w:space="0" w:color="auto"/>
      </w:divBdr>
    </w:div>
    <w:div w:id="583033499">
      <w:marLeft w:val="480"/>
      <w:marRight w:val="0"/>
      <w:marTop w:val="0"/>
      <w:marBottom w:val="0"/>
      <w:divBdr>
        <w:top w:val="none" w:sz="0" w:space="0" w:color="auto"/>
        <w:left w:val="none" w:sz="0" w:space="0" w:color="auto"/>
        <w:bottom w:val="none" w:sz="0" w:space="0" w:color="auto"/>
        <w:right w:val="none" w:sz="0" w:space="0" w:color="auto"/>
      </w:divBdr>
    </w:div>
    <w:div w:id="589432083">
      <w:marLeft w:val="480"/>
      <w:marRight w:val="0"/>
      <w:marTop w:val="0"/>
      <w:marBottom w:val="0"/>
      <w:divBdr>
        <w:top w:val="none" w:sz="0" w:space="0" w:color="auto"/>
        <w:left w:val="none" w:sz="0" w:space="0" w:color="auto"/>
        <w:bottom w:val="none" w:sz="0" w:space="0" w:color="auto"/>
        <w:right w:val="none" w:sz="0" w:space="0" w:color="auto"/>
      </w:divBdr>
    </w:div>
    <w:div w:id="596716729">
      <w:marLeft w:val="480"/>
      <w:marRight w:val="0"/>
      <w:marTop w:val="0"/>
      <w:marBottom w:val="0"/>
      <w:divBdr>
        <w:top w:val="none" w:sz="0" w:space="0" w:color="auto"/>
        <w:left w:val="none" w:sz="0" w:space="0" w:color="auto"/>
        <w:bottom w:val="none" w:sz="0" w:space="0" w:color="auto"/>
        <w:right w:val="none" w:sz="0" w:space="0" w:color="auto"/>
      </w:divBdr>
    </w:div>
    <w:div w:id="604003180">
      <w:marLeft w:val="480"/>
      <w:marRight w:val="0"/>
      <w:marTop w:val="0"/>
      <w:marBottom w:val="0"/>
      <w:divBdr>
        <w:top w:val="none" w:sz="0" w:space="0" w:color="auto"/>
        <w:left w:val="none" w:sz="0" w:space="0" w:color="auto"/>
        <w:bottom w:val="none" w:sz="0" w:space="0" w:color="auto"/>
        <w:right w:val="none" w:sz="0" w:space="0" w:color="auto"/>
      </w:divBdr>
    </w:div>
    <w:div w:id="609316232">
      <w:marLeft w:val="480"/>
      <w:marRight w:val="0"/>
      <w:marTop w:val="0"/>
      <w:marBottom w:val="0"/>
      <w:divBdr>
        <w:top w:val="none" w:sz="0" w:space="0" w:color="auto"/>
        <w:left w:val="none" w:sz="0" w:space="0" w:color="auto"/>
        <w:bottom w:val="none" w:sz="0" w:space="0" w:color="auto"/>
        <w:right w:val="none" w:sz="0" w:space="0" w:color="auto"/>
      </w:divBdr>
    </w:div>
    <w:div w:id="610015607">
      <w:marLeft w:val="480"/>
      <w:marRight w:val="0"/>
      <w:marTop w:val="0"/>
      <w:marBottom w:val="0"/>
      <w:divBdr>
        <w:top w:val="none" w:sz="0" w:space="0" w:color="auto"/>
        <w:left w:val="none" w:sz="0" w:space="0" w:color="auto"/>
        <w:bottom w:val="none" w:sz="0" w:space="0" w:color="auto"/>
        <w:right w:val="none" w:sz="0" w:space="0" w:color="auto"/>
      </w:divBdr>
    </w:div>
    <w:div w:id="610018519">
      <w:marLeft w:val="480"/>
      <w:marRight w:val="0"/>
      <w:marTop w:val="0"/>
      <w:marBottom w:val="0"/>
      <w:divBdr>
        <w:top w:val="none" w:sz="0" w:space="0" w:color="auto"/>
        <w:left w:val="none" w:sz="0" w:space="0" w:color="auto"/>
        <w:bottom w:val="none" w:sz="0" w:space="0" w:color="auto"/>
        <w:right w:val="none" w:sz="0" w:space="0" w:color="auto"/>
      </w:divBdr>
    </w:div>
    <w:div w:id="621427487">
      <w:marLeft w:val="480"/>
      <w:marRight w:val="0"/>
      <w:marTop w:val="0"/>
      <w:marBottom w:val="0"/>
      <w:divBdr>
        <w:top w:val="none" w:sz="0" w:space="0" w:color="auto"/>
        <w:left w:val="none" w:sz="0" w:space="0" w:color="auto"/>
        <w:bottom w:val="none" w:sz="0" w:space="0" w:color="auto"/>
        <w:right w:val="none" w:sz="0" w:space="0" w:color="auto"/>
      </w:divBdr>
    </w:div>
    <w:div w:id="623196497">
      <w:marLeft w:val="480"/>
      <w:marRight w:val="0"/>
      <w:marTop w:val="0"/>
      <w:marBottom w:val="0"/>
      <w:divBdr>
        <w:top w:val="none" w:sz="0" w:space="0" w:color="auto"/>
        <w:left w:val="none" w:sz="0" w:space="0" w:color="auto"/>
        <w:bottom w:val="none" w:sz="0" w:space="0" w:color="auto"/>
        <w:right w:val="none" w:sz="0" w:space="0" w:color="auto"/>
      </w:divBdr>
    </w:div>
    <w:div w:id="625738920">
      <w:marLeft w:val="480"/>
      <w:marRight w:val="0"/>
      <w:marTop w:val="0"/>
      <w:marBottom w:val="0"/>
      <w:divBdr>
        <w:top w:val="none" w:sz="0" w:space="0" w:color="auto"/>
        <w:left w:val="none" w:sz="0" w:space="0" w:color="auto"/>
        <w:bottom w:val="none" w:sz="0" w:space="0" w:color="auto"/>
        <w:right w:val="none" w:sz="0" w:space="0" w:color="auto"/>
      </w:divBdr>
    </w:div>
    <w:div w:id="625965965">
      <w:marLeft w:val="480"/>
      <w:marRight w:val="0"/>
      <w:marTop w:val="0"/>
      <w:marBottom w:val="0"/>
      <w:divBdr>
        <w:top w:val="none" w:sz="0" w:space="0" w:color="auto"/>
        <w:left w:val="none" w:sz="0" w:space="0" w:color="auto"/>
        <w:bottom w:val="none" w:sz="0" w:space="0" w:color="auto"/>
        <w:right w:val="none" w:sz="0" w:space="0" w:color="auto"/>
      </w:divBdr>
    </w:div>
    <w:div w:id="633683010">
      <w:marLeft w:val="480"/>
      <w:marRight w:val="0"/>
      <w:marTop w:val="0"/>
      <w:marBottom w:val="0"/>
      <w:divBdr>
        <w:top w:val="none" w:sz="0" w:space="0" w:color="auto"/>
        <w:left w:val="none" w:sz="0" w:space="0" w:color="auto"/>
        <w:bottom w:val="none" w:sz="0" w:space="0" w:color="auto"/>
        <w:right w:val="none" w:sz="0" w:space="0" w:color="auto"/>
      </w:divBdr>
    </w:div>
    <w:div w:id="645205168">
      <w:marLeft w:val="480"/>
      <w:marRight w:val="0"/>
      <w:marTop w:val="0"/>
      <w:marBottom w:val="0"/>
      <w:divBdr>
        <w:top w:val="none" w:sz="0" w:space="0" w:color="auto"/>
        <w:left w:val="none" w:sz="0" w:space="0" w:color="auto"/>
        <w:bottom w:val="none" w:sz="0" w:space="0" w:color="auto"/>
        <w:right w:val="none" w:sz="0" w:space="0" w:color="auto"/>
      </w:divBdr>
    </w:div>
    <w:div w:id="651984456">
      <w:marLeft w:val="480"/>
      <w:marRight w:val="0"/>
      <w:marTop w:val="0"/>
      <w:marBottom w:val="0"/>
      <w:divBdr>
        <w:top w:val="none" w:sz="0" w:space="0" w:color="auto"/>
        <w:left w:val="none" w:sz="0" w:space="0" w:color="auto"/>
        <w:bottom w:val="none" w:sz="0" w:space="0" w:color="auto"/>
        <w:right w:val="none" w:sz="0" w:space="0" w:color="auto"/>
      </w:divBdr>
    </w:div>
    <w:div w:id="654799572">
      <w:marLeft w:val="480"/>
      <w:marRight w:val="0"/>
      <w:marTop w:val="0"/>
      <w:marBottom w:val="0"/>
      <w:divBdr>
        <w:top w:val="none" w:sz="0" w:space="0" w:color="auto"/>
        <w:left w:val="none" w:sz="0" w:space="0" w:color="auto"/>
        <w:bottom w:val="none" w:sz="0" w:space="0" w:color="auto"/>
        <w:right w:val="none" w:sz="0" w:space="0" w:color="auto"/>
      </w:divBdr>
    </w:div>
    <w:div w:id="655452371">
      <w:marLeft w:val="480"/>
      <w:marRight w:val="0"/>
      <w:marTop w:val="0"/>
      <w:marBottom w:val="0"/>
      <w:divBdr>
        <w:top w:val="none" w:sz="0" w:space="0" w:color="auto"/>
        <w:left w:val="none" w:sz="0" w:space="0" w:color="auto"/>
        <w:bottom w:val="none" w:sz="0" w:space="0" w:color="auto"/>
        <w:right w:val="none" w:sz="0" w:space="0" w:color="auto"/>
      </w:divBdr>
    </w:div>
    <w:div w:id="657880377">
      <w:marLeft w:val="480"/>
      <w:marRight w:val="0"/>
      <w:marTop w:val="0"/>
      <w:marBottom w:val="0"/>
      <w:divBdr>
        <w:top w:val="none" w:sz="0" w:space="0" w:color="auto"/>
        <w:left w:val="none" w:sz="0" w:space="0" w:color="auto"/>
        <w:bottom w:val="none" w:sz="0" w:space="0" w:color="auto"/>
        <w:right w:val="none" w:sz="0" w:space="0" w:color="auto"/>
      </w:divBdr>
    </w:div>
    <w:div w:id="667172483">
      <w:marLeft w:val="480"/>
      <w:marRight w:val="0"/>
      <w:marTop w:val="0"/>
      <w:marBottom w:val="0"/>
      <w:divBdr>
        <w:top w:val="none" w:sz="0" w:space="0" w:color="auto"/>
        <w:left w:val="none" w:sz="0" w:space="0" w:color="auto"/>
        <w:bottom w:val="none" w:sz="0" w:space="0" w:color="auto"/>
        <w:right w:val="none" w:sz="0" w:space="0" w:color="auto"/>
      </w:divBdr>
    </w:div>
    <w:div w:id="667249683">
      <w:marLeft w:val="480"/>
      <w:marRight w:val="0"/>
      <w:marTop w:val="0"/>
      <w:marBottom w:val="0"/>
      <w:divBdr>
        <w:top w:val="none" w:sz="0" w:space="0" w:color="auto"/>
        <w:left w:val="none" w:sz="0" w:space="0" w:color="auto"/>
        <w:bottom w:val="none" w:sz="0" w:space="0" w:color="auto"/>
        <w:right w:val="none" w:sz="0" w:space="0" w:color="auto"/>
      </w:divBdr>
    </w:div>
    <w:div w:id="683749831">
      <w:marLeft w:val="480"/>
      <w:marRight w:val="0"/>
      <w:marTop w:val="0"/>
      <w:marBottom w:val="0"/>
      <w:divBdr>
        <w:top w:val="none" w:sz="0" w:space="0" w:color="auto"/>
        <w:left w:val="none" w:sz="0" w:space="0" w:color="auto"/>
        <w:bottom w:val="none" w:sz="0" w:space="0" w:color="auto"/>
        <w:right w:val="none" w:sz="0" w:space="0" w:color="auto"/>
      </w:divBdr>
    </w:div>
    <w:div w:id="691490664">
      <w:marLeft w:val="480"/>
      <w:marRight w:val="0"/>
      <w:marTop w:val="0"/>
      <w:marBottom w:val="0"/>
      <w:divBdr>
        <w:top w:val="none" w:sz="0" w:space="0" w:color="auto"/>
        <w:left w:val="none" w:sz="0" w:space="0" w:color="auto"/>
        <w:bottom w:val="none" w:sz="0" w:space="0" w:color="auto"/>
        <w:right w:val="none" w:sz="0" w:space="0" w:color="auto"/>
      </w:divBdr>
    </w:div>
    <w:div w:id="693503442">
      <w:marLeft w:val="480"/>
      <w:marRight w:val="0"/>
      <w:marTop w:val="0"/>
      <w:marBottom w:val="0"/>
      <w:divBdr>
        <w:top w:val="none" w:sz="0" w:space="0" w:color="auto"/>
        <w:left w:val="none" w:sz="0" w:space="0" w:color="auto"/>
        <w:bottom w:val="none" w:sz="0" w:space="0" w:color="auto"/>
        <w:right w:val="none" w:sz="0" w:space="0" w:color="auto"/>
      </w:divBdr>
    </w:div>
    <w:div w:id="694038218">
      <w:marLeft w:val="480"/>
      <w:marRight w:val="0"/>
      <w:marTop w:val="0"/>
      <w:marBottom w:val="0"/>
      <w:divBdr>
        <w:top w:val="none" w:sz="0" w:space="0" w:color="auto"/>
        <w:left w:val="none" w:sz="0" w:space="0" w:color="auto"/>
        <w:bottom w:val="none" w:sz="0" w:space="0" w:color="auto"/>
        <w:right w:val="none" w:sz="0" w:space="0" w:color="auto"/>
      </w:divBdr>
    </w:div>
    <w:div w:id="697240314">
      <w:marLeft w:val="480"/>
      <w:marRight w:val="0"/>
      <w:marTop w:val="0"/>
      <w:marBottom w:val="0"/>
      <w:divBdr>
        <w:top w:val="none" w:sz="0" w:space="0" w:color="auto"/>
        <w:left w:val="none" w:sz="0" w:space="0" w:color="auto"/>
        <w:bottom w:val="none" w:sz="0" w:space="0" w:color="auto"/>
        <w:right w:val="none" w:sz="0" w:space="0" w:color="auto"/>
      </w:divBdr>
    </w:div>
    <w:div w:id="697853374">
      <w:marLeft w:val="480"/>
      <w:marRight w:val="0"/>
      <w:marTop w:val="0"/>
      <w:marBottom w:val="0"/>
      <w:divBdr>
        <w:top w:val="none" w:sz="0" w:space="0" w:color="auto"/>
        <w:left w:val="none" w:sz="0" w:space="0" w:color="auto"/>
        <w:bottom w:val="none" w:sz="0" w:space="0" w:color="auto"/>
        <w:right w:val="none" w:sz="0" w:space="0" w:color="auto"/>
      </w:divBdr>
    </w:div>
    <w:div w:id="697893199">
      <w:marLeft w:val="480"/>
      <w:marRight w:val="0"/>
      <w:marTop w:val="0"/>
      <w:marBottom w:val="0"/>
      <w:divBdr>
        <w:top w:val="none" w:sz="0" w:space="0" w:color="auto"/>
        <w:left w:val="none" w:sz="0" w:space="0" w:color="auto"/>
        <w:bottom w:val="none" w:sz="0" w:space="0" w:color="auto"/>
        <w:right w:val="none" w:sz="0" w:space="0" w:color="auto"/>
      </w:divBdr>
    </w:div>
    <w:div w:id="708719865">
      <w:marLeft w:val="480"/>
      <w:marRight w:val="0"/>
      <w:marTop w:val="0"/>
      <w:marBottom w:val="0"/>
      <w:divBdr>
        <w:top w:val="none" w:sz="0" w:space="0" w:color="auto"/>
        <w:left w:val="none" w:sz="0" w:space="0" w:color="auto"/>
        <w:bottom w:val="none" w:sz="0" w:space="0" w:color="auto"/>
        <w:right w:val="none" w:sz="0" w:space="0" w:color="auto"/>
      </w:divBdr>
    </w:div>
    <w:div w:id="721556819">
      <w:marLeft w:val="480"/>
      <w:marRight w:val="0"/>
      <w:marTop w:val="0"/>
      <w:marBottom w:val="0"/>
      <w:divBdr>
        <w:top w:val="none" w:sz="0" w:space="0" w:color="auto"/>
        <w:left w:val="none" w:sz="0" w:space="0" w:color="auto"/>
        <w:bottom w:val="none" w:sz="0" w:space="0" w:color="auto"/>
        <w:right w:val="none" w:sz="0" w:space="0" w:color="auto"/>
      </w:divBdr>
    </w:div>
    <w:div w:id="725225192">
      <w:marLeft w:val="480"/>
      <w:marRight w:val="0"/>
      <w:marTop w:val="0"/>
      <w:marBottom w:val="0"/>
      <w:divBdr>
        <w:top w:val="none" w:sz="0" w:space="0" w:color="auto"/>
        <w:left w:val="none" w:sz="0" w:space="0" w:color="auto"/>
        <w:bottom w:val="none" w:sz="0" w:space="0" w:color="auto"/>
        <w:right w:val="none" w:sz="0" w:space="0" w:color="auto"/>
      </w:divBdr>
    </w:div>
    <w:div w:id="739056917">
      <w:marLeft w:val="480"/>
      <w:marRight w:val="0"/>
      <w:marTop w:val="0"/>
      <w:marBottom w:val="0"/>
      <w:divBdr>
        <w:top w:val="none" w:sz="0" w:space="0" w:color="auto"/>
        <w:left w:val="none" w:sz="0" w:space="0" w:color="auto"/>
        <w:bottom w:val="none" w:sz="0" w:space="0" w:color="auto"/>
        <w:right w:val="none" w:sz="0" w:space="0" w:color="auto"/>
      </w:divBdr>
    </w:div>
    <w:div w:id="743330996">
      <w:marLeft w:val="480"/>
      <w:marRight w:val="0"/>
      <w:marTop w:val="0"/>
      <w:marBottom w:val="0"/>
      <w:divBdr>
        <w:top w:val="none" w:sz="0" w:space="0" w:color="auto"/>
        <w:left w:val="none" w:sz="0" w:space="0" w:color="auto"/>
        <w:bottom w:val="none" w:sz="0" w:space="0" w:color="auto"/>
        <w:right w:val="none" w:sz="0" w:space="0" w:color="auto"/>
      </w:divBdr>
    </w:div>
    <w:div w:id="743338626">
      <w:marLeft w:val="480"/>
      <w:marRight w:val="0"/>
      <w:marTop w:val="0"/>
      <w:marBottom w:val="0"/>
      <w:divBdr>
        <w:top w:val="none" w:sz="0" w:space="0" w:color="auto"/>
        <w:left w:val="none" w:sz="0" w:space="0" w:color="auto"/>
        <w:bottom w:val="none" w:sz="0" w:space="0" w:color="auto"/>
        <w:right w:val="none" w:sz="0" w:space="0" w:color="auto"/>
      </w:divBdr>
    </w:div>
    <w:div w:id="743530372">
      <w:marLeft w:val="480"/>
      <w:marRight w:val="0"/>
      <w:marTop w:val="0"/>
      <w:marBottom w:val="0"/>
      <w:divBdr>
        <w:top w:val="none" w:sz="0" w:space="0" w:color="auto"/>
        <w:left w:val="none" w:sz="0" w:space="0" w:color="auto"/>
        <w:bottom w:val="none" w:sz="0" w:space="0" w:color="auto"/>
        <w:right w:val="none" w:sz="0" w:space="0" w:color="auto"/>
      </w:divBdr>
    </w:div>
    <w:div w:id="749424497">
      <w:marLeft w:val="480"/>
      <w:marRight w:val="0"/>
      <w:marTop w:val="0"/>
      <w:marBottom w:val="0"/>
      <w:divBdr>
        <w:top w:val="none" w:sz="0" w:space="0" w:color="auto"/>
        <w:left w:val="none" w:sz="0" w:space="0" w:color="auto"/>
        <w:bottom w:val="none" w:sz="0" w:space="0" w:color="auto"/>
        <w:right w:val="none" w:sz="0" w:space="0" w:color="auto"/>
      </w:divBdr>
    </w:div>
    <w:div w:id="751856732">
      <w:marLeft w:val="480"/>
      <w:marRight w:val="0"/>
      <w:marTop w:val="0"/>
      <w:marBottom w:val="0"/>
      <w:divBdr>
        <w:top w:val="none" w:sz="0" w:space="0" w:color="auto"/>
        <w:left w:val="none" w:sz="0" w:space="0" w:color="auto"/>
        <w:bottom w:val="none" w:sz="0" w:space="0" w:color="auto"/>
        <w:right w:val="none" w:sz="0" w:space="0" w:color="auto"/>
      </w:divBdr>
    </w:div>
    <w:div w:id="754278734">
      <w:marLeft w:val="480"/>
      <w:marRight w:val="0"/>
      <w:marTop w:val="0"/>
      <w:marBottom w:val="0"/>
      <w:divBdr>
        <w:top w:val="none" w:sz="0" w:space="0" w:color="auto"/>
        <w:left w:val="none" w:sz="0" w:space="0" w:color="auto"/>
        <w:bottom w:val="none" w:sz="0" w:space="0" w:color="auto"/>
        <w:right w:val="none" w:sz="0" w:space="0" w:color="auto"/>
      </w:divBdr>
    </w:div>
    <w:div w:id="762145642">
      <w:marLeft w:val="480"/>
      <w:marRight w:val="0"/>
      <w:marTop w:val="0"/>
      <w:marBottom w:val="0"/>
      <w:divBdr>
        <w:top w:val="none" w:sz="0" w:space="0" w:color="auto"/>
        <w:left w:val="none" w:sz="0" w:space="0" w:color="auto"/>
        <w:bottom w:val="none" w:sz="0" w:space="0" w:color="auto"/>
        <w:right w:val="none" w:sz="0" w:space="0" w:color="auto"/>
      </w:divBdr>
    </w:div>
    <w:div w:id="764614594">
      <w:marLeft w:val="480"/>
      <w:marRight w:val="0"/>
      <w:marTop w:val="0"/>
      <w:marBottom w:val="0"/>
      <w:divBdr>
        <w:top w:val="none" w:sz="0" w:space="0" w:color="auto"/>
        <w:left w:val="none" w:sz="0" w:space="0" w:color="auto"/>
        <w:bottom w:val="none" w:sz="0" w:space="0" w:color="auto"/>
        <w:right w:val="none" w:sz="0" w:space="0" w:color="auto"/>
      </w:divBdr>
    </w:div>
    <w:div w:id="769007740">
      <w:marLeft w:val="480"/>
      <w:marRight w:val="0"/>
      <w:marTop w:val="0"/>
      <w:marBottom w:val="0"/>
      <w:divBdr>
        <w:top w:val="none" w:sz="0" w:space="0" w:color="auto"/>
        <w:left w:val="none" w:sz="0" w:space="0" w:color="auto"/>
        <w:bottom w:val="none" w:sz="0" w:space="0" w:color="auto"/>
        <w:right w:val="none" w:sz="0" w:space="0" w:color="auto"/>
      </w:divBdr>
    </w:div>
    <w:div w:id="777405681">
      <w:marLeft w:val="480"/>
      <w:marRight w:val="0"/>
      <w:marTop w:val="0"/>
      <w:marBottom w:val="0"/>
      <w:divBdr>
        <w:top w:val="none" w:sz="0" w:space="0" w:color="auto"/>
        <w:left w:val="none" w:sz="0" w:space="0" w:color="auto"/>
        <w:bottom w:val="none" w:sz="0" w:space="0" w:color="auto"/>
        <w:right w:val="none" w:sz="0" w:space="0" w:color="auto"/>
      </w:divBdr>
    </w:div>
    <w:div w:id="781651894">
      <w:marLeft w:val="480"/>
      <w:marRight w:val="0"/>
      <w:marTop w:val="0"/>
      <w:marBottom w:val="0"/>
      <w:divBdr>
        <w:top w:val="none" w:sz="0" w:space="0" w:color="auto"/>
        <w:left w:val="none" w:sz="0" w:space="0" w:color="auto"/>
        <w:bottom w:val="none" w:sz="0" w:space="0" w:color="auto"/>
        <w:right w:val="none" w:sz="0" w:space="0" w:color="auto"/>
      </w:divBdr>
    </w:div>
    <w:div w:id="784888239">
      <w:marLeft w:val="480"/>
      <w:marRight w:val="0"/>
      <w:marTop w:val="0"/>
      <w:marBottom w:val="0"/>
      <w:divBdr>
        <w:top w:val="none" w:sz="0" w:space="0" w:color="auto"/>
        <w:left w:val="none" w:sz="0" w:space="0" w:color="auto"/>
        <w:bottom w:val="none" w:sz="0" w:space="0" w:color="auto"/>
        <w:right w:val="none" w:sz="0" w:space="0" w:color="auto"/>
      </w:divBdr>
    </w:div>
    <w:div w:id="785083103">
      <w:marLeft w:val="480"/>
      <w:marRight w:val="0"/>
      <w:marTop w:val="0"/>
      <w:marBottom w:val="0"/>
      <w:divBdr>
        <w:top w:val="none" w:sz="0" w:space="0" w:color="auto"/>
        <w:left w:val="none" w:sz="0" w:space="0" w:color="auto"/>
        <w:bottom w:val="none" w:sz="0" w:space="0" w:color="auto"/>
        <w:right w:val="none" w:sz="0" w:space="0" w:color="auto"/>
      </w:divBdr>
    </w:div>
    <w:div w:id="790636296">
      <w:marLeft w:val="480"/>
      <w:marRight w:val="0"/>
      <w:marTop w:val="0"/>
      <w:marBottom w:val="0"/>
      <w:divBdr>
        <w:top w:val="none" w:sz="0" w:space="0" w:color="auto"/>
        <w:left w:val="none" w:sz="0" w:space="0" w:color="auto"/>
        <w:bottom w:val="none" w:sz="0" w:space="0" w:color="auto"/>
        <w:right w:val="none" w:sz="0" w:space="0" w:color="auto"/>
      </w:divBdr>
    </w:div>
    <w:div w:id="791485032">
      <w:marLeft w:val="480"/>
      <w:marRight w:val="0"/>
      <w:marTop w:val="0"/>
      <w:marBottom w:val="0"/>
      <w:divBdr>
        <w:top w:val="none" w:sz="0" w:space="0" w:color="auto"/>
        <w:left w:val="none" w:sz="0" w:space="0" w:color="auto"/>
        <w:bottom w:val="none" w:sz="0" w:space="0" w:color="auto"/>
        <w:right w:val="none" w:sz="0" w:space="0" w:color="auto"/>
      </w:divBdr>
    </w:div>
    <w:div w:id="800533340">
      <w:marLeft w:val="480"/>
      <w:marRight w:val="0"/>
      <w:marTop w:val="0"/>
      <w:marBottom w:val="0"/>
      <w:divBdr>
        <w:top w:val="none" w:sz="0" w:space="0" w:color="auto"/>
        <w:left w:val="none" w:sz="0" w:space="0" w:color="auto"/>
        <w:bottom w:val="none" w:sz="0" w:space="0" w:color="auto"/>
        <w:right w:val="none" w:sz="0" w:space="0" w:color="auto"/>
      </w:divBdr>
    </w:div>
    <w:div w:id="807629854">
      <w:marLeft w:val="480"/>
      <w:marRight w:val="0"/>
      <w:marTop w:val="0"/>
      <w:marBottom w:val="0"/>
      <w:divBdr>
        <w:top w:val="none" w:sz="0" w:space="0" w:color="auto"/>
        <w:left w:val="none" w:sz="0" w:space="0" w:color="auto"/>
        <w:bottom w:val="none" w:sz="0" w:space="0" w:color="auto"/>
        <w:right w:val="none" w:sz="0" w:space="0" w:color="auto"/>
      </w:divBdr>
    </w:div>
    <w:div w:id="808942531">
      <w:marLeft w:val="480"/>
      <w:marRight w:val="0"/>
      <w:marTop w:val="0"/>
      <w:marBottom w:val="0"/>
      <w:divBdr>
        <w:top w:val="none" w:sz="0" w:space="0" w:color="auto"/>
        <w:left w:val="none" w:sz="0" w:space="0" w:color="auto"/>
        <w:bottom w:val="none" w:sz="0" w:space="0" w:color="auto"/>
        <w:right w:val="none" w:sz="0" w:space="0" w:color="auto"/>
      </w:divBdr>
    </w:div>
    <w:div w:id="817769859">
      <w:marLeft w:val="480"/>
      <w:marRight w:val="0"/>
      <w:marTop w:val="0"/>
      <w:marBottom w:val="0"/>
      <w:divBdr>
        <w:top w:val="none" w:sz="0" w:space="0" w:color="auto"/>
        <w:left w:val="none" w:sz="0" w:space="0" w:color="auto"/>
        <w:bottom w:val="none" w:sz="0" w:space="0" w:color="auto"/>
        <w:right w:val="none" w:sz="0" w:space="0" w:color="auto"/>
      </w:divBdr>
    </w:div>
    <w:div w:id="819537483">
      <w:marLeft w:val="480"/>
      <w:marRight w:val="0"/>
      <w:marTop w:val="0"/>
      <w:marBottom w:val="0"/>
      <w:divBdr>
        <w:top w:val="none" w:sz="0" w:space="0" w:color="auto"/>
        <w:left w:val="none" w:sz="0" w:space="0" w:color="auto"/>
        <w:bottom w:val="none" w:sz="0" w:space="0" w:color="auto"/>
        <w:right w:val="none" w:sz="0" w:space="0" w:color="auto"/>
      </w:divBdr>
    </w:div>
    <w:div w:id="823008080">
      <w:marLeft w:val="480"/>
      <w:marRight w:val="0"/>
      <w:marTop w:val="0"/>
      <w:marBottom w:val="0"/>
      <w:divBdr>
        <w:top w:val="none" w:sz="0" w:space="0" w:color="auto"/>
        <w:left w:val="none" w:sz="0" w:space="0" w:color="auto"/>
        <w:bottom w:val="none" w:sz="0" w:space="0" w:color="auto"/>
        <w:right w:val="none" w:sz="0" w:space="0" w:color="auto"/>
      </w:divBdr>
    </w:div>
    <w:div w:id="827405089">
      <w:marLeft w:val="480"/>
      <w:marRight w:val="0"/>
      <w:marTop w:val="0"/>
      <w:marBottom w:val="0"/>
      <w:divBdr>
        <w:top w:val="none" w:sz="0" w:space="0" w:color="auto"/>
        <w:left w:val="none" w:sz="0" w:space="0" w:color="auto"/>
        <w:bottom w:val="none" w:sz="0" w:space="0" w:color="auto"/>
        <w:right w:val="none" w:sz="0" w:space="0" w:color="auto"/>
      </w:divBdr>
    </w:div>
    <w:div w:id="830176110">
      <w:marLeft w:val="480"/>
      <w:marRight w:val="0"/>
      <w:marTop w:val="0"/>
      <w:marBottom w:val="0"/>
      <w:divBdr>
        <w:top w:val="none" w:sz="0" w:space="0" w:color="auto"/>
        <w:left w:val="none" w:sz="0" w:space="0" w:color="auto"/>
        <w:bottom w:val="none" w:sz="0" w:space="0" w:color="auto"/>
        <w:right w:val="none" w:sz="0" w:space="0" w:color="auto"/>
      </w:divBdr>
    </w:div>
    <w:div w:id="831261550">
      <w:marLeft w:val="480"/>
      <w:marRight w:val="0"/>
      <w:marTop w:val="0"/>
      <w:marBottom w:val="0"/>
      <w:divBdr>
        <w:top w:val="none" w:sz="0" w:space="0" w:color="auto"/>
        <w:left w:val="none" w:sz="0" w:space="0" w:color="auto"/>
        <w:bottom w:val="none" w:sz="0" w:space="0" w:color="auto"/>
        <w:right w:val="none" w:sz="0" w:space="0" w:color="auto"/>
      </w:divBdr>
    </w:div>
    <w:div w:id="849181520">
      <w:marLeft w:val="480"/>
      <w:marRight w:val="0"/>
      <w:marTop w:val="0"/>
      <w:marBottom w:val="0"/>
      <w:divBdr>
        <w:top w:val="none" w:sz="0" w:space="0" w:color="auto"/>
        <w:left w:val="none" w:sz="0" w:space="0" w:color="auto"/>
        <w:bottom w:val="none" w:sz="0" w:space="0" w:color="auto"/>
        <w:right w:val="none" w:sz="0" w:space="0" w:color="auto"/>
      </w:divBdr>
    </w:div>
    <w:div w:id="858130582">
      <w:marLeft w:val="480"/>
      <w:marRight w:val="0"/>
      <w:marTop w:val="0"/>
      <w:marBottom w:val="0"/>
      <w:divBdr>
        <w:top w:val="none" w:sz="0" w:space="0" w:color="auto"/>
        <w:left w:val="none" w:sz="0" w:space="0" w:color="auto"/>
        <w:bottom w:val="none" w:sz="0" w:space="0" w:color="auto"/>
        <w:right w:val="none" w:sz="0" w:space="0" w:color="auto"/>
      </w:divBdr>
    </w:div>
    <w:div w:id="859509309">
      <w:marLeft w:val="480"/>
      <w:marRight w:val="0"/>
      <w:marTop w:val="0"/>
      <w:marBottom w:val="0"/>
      <w:divBdr>
        <w:top w:val="none" w:sz="0" w:space="0" w:color="auto"/>
        <w:left w:val="none" w:sz="0" w:space="0" w:color="auto"/>
        <w:bottom w:val="none" w:sz="0" w:space="0" w:color="auto"/>
        <w:right w:val="none" w:sz="0" w:space="0" w:color="auto"/>
      </w:divBdr>
    </w:div>
    <w:div w:id="860899560">
      <w:marLeft w:val="480"/>
      <w:marRight w:val="0"/>
      <w:marTop w:val="0"/>
      <w:marBottom w:val="0"/>
      <w:divBdr>
        <w:top w:val="none" w:sz="0" w:space="0" w:color="auto"/>
        <w:left w:val="none" w:sz="0" w:space="0" w:color="auto"/>
        <w:bottom w:val="none" w:sz="0" w:space="0" w:color="auto"/>
        <w:right w:val="none" w:sz="0" w:space="0" w:color="auto"/>
      </w:divBdr>
    </w:div>
    <w:div w:id="862861984">
      <w:marLeft w:val="480"/>
      <w:marRight w:val="0"/>
      <w:marTop w:val="0"/>
      <w:marBottom w:val="0"/>
      <w:divBdr>
        <w:top w:val="none" w:sz="0" w:space="0" w:color="auto"/>
        <w:left w:val="none" w:sz="0" w:space="0" w:color="auto"/>
        <w:bottom w:val="none" w:sz="0" w:space="0" w:color="auto"/>
        <w:right w:val="none" w:sz="0" w:space="0" w:color="auto"/>
      </w:divBdr>
    </w:div>
    <w:div w:id="864101254">
      <w:marLeft w:val="480"/>
      <w:marRight w:val="0"/>
      <w:marTop w:val="0"/>
      <w:marBottom w:val="0"/>
      <w:divBdr>
        <w:top w:val="none" w:sz="0" w:space="0" w:color="auto"/>
        <w:left w:val="none" w:sz="0" w:space="0" w:color="auto"/>
        <w:bottom w:val="none" w:sz="0" w:space="0" w:color="auto"/>
        <w:right w:val="none" w:sz="0" w:space="0" w:color="auto"/>
      </w:divBdr>
    </w:div>
    <w:div w:id="864369538">
      <w:marLeft w:val="480"/>
      <w:marRight w:val="0"/>
      <w:marTop w:val="0"/>
      <w:marBottom w:val="0"/>
      <w:divBdr>
        <w:top w:val="none" w:sz="0" w:space="0" w:color="auto"/>
        <w:left w:val="none" w:sz="0" w:space="0" w:color="auto"/>
        <w:bottom w:val="none" w:sz="0" w:space="0" w:color="auto"/>
        <w:right w:val="none" w:sz="0" w:space="0" w:color="auto"/>
      </w:divBdr>
    </w:div>
    <w:div w:id="873931868">
      <w:marLeft w:val="480"/>
      <w:marRight w:val="0"/>
      <w:marTop w:val="0"/>
      <w:marBottom w:val="0"/>
      <w:divBdr>
        <w:top w:val="none" w:sz="0" w:space="0" w:color="auto"/>
        <w:left w:val="none" w:sz="0" w:space="0" w:color="auto"/>
        <w:bottom w:val="none" w:sz="0" w:space="0" w:color="auto"/>
        <w:right w:val="none" w:sz="0" w:space="0" w:color="auto"/>
      </w:divBdr>
    </w:div>
    <w:div w:id="882056849">
      <w:marLeft w:val="480"/>
      <w:marRight w:val="0"/>
      <w:marTop w:val="0"/>
      <w:marBottom w:val="0"/>
      <w:divBdr>
        <w:top w:val="none" w:sz="0" w:space="0" w:color="auto"/>
        <w:left w:val="none" w:sz="0" w:space="0" w:color="auto"/>
        <w:bottom w:val="none" w:sz="0" w:space="0" w:color="auto"/>
        <w:right w:val="none" w:sz="0" w:space="0" w:color="auto"/>
      </w:divBdr>
    </w:div>
    <w:div w:id="884488423">
      <w:marLeft w:val="480"/>
      <w:marRight w:val="0"/>
      <w:marTop w:val="0"/>
      <w:marBottom w:val="0"/>
      <w:divBdr>
        <w:top w:val="none" w:sz="0" w:space="0" w:color="auto"/>
        <w:left w:val="none" w:sz="0" w:space="0" w:color="auto"/>
        <w:bottom w:val="none" w:sz="0" w:space="0" w:color="auto"/>
        <w:right w:val="none" w:sz="0" w:space="0" w:color="auto"/>
      </w:divBdr>
    </w:div>
    <w:div w:id="894777976">
      <w:marLeft w:val="480"/>
      <w:marRight w:val="0"/>
      <w:marTop w:val="0"/>
      <w:marBottom w:val="0"/>
      <w:divBdr>
        <w:top w:val="none" w:sz="0" w:space="0" w:color="auto"/>
        <w:left w:val="none" w:sz="0" w:space="0" w:color="auto"/>
        <w:bottom w:val="none" w:sz="0" w:space="0" w:color="auto"/>
        <w:right w:val="none" w:sz="0" w:space="0" w:color="auto"/>
      </w:divBdr>
    </w:div>
    <w:div w:id="906113233">
      <w:marLeft w:val="480"/>
      <w:marRight w:val="0"/>
      <w:marTop w:val="0"/>
      <w:marBottom w:val="0"/>
      <w:divBdr>
        <w:top w:val="none" w:sz="0" w:space="0" w:color="auto"/>
        <w:left w:val="none" w:sz="0" w:space="0" w:color="auto"/>
        <w:bottom w:val="none" w:sz="0" w:space="0" w:color="auto"/>
        <w:right w:val="none" w:sz="0" w:space="0" w:color="auto"/>
      </w:divBdr>
    </w:div>
    <w:div w:id="908342547">
      <w:marLeft w:val="480"/>
      <w:marRight w:val="0"/>
      <w:marTop w:val="0"/>
      <w:marBottom w:val="0"/>
      <w:divBdr>
        <w:top w:val="none" w:sz="0" w:space="0" w:color="auto"/>
        <w:left w:val="none" w:sz="0" w:space="0" w:color="auto"/>
        <w:bottom w:val="none" w:sz="0" w:space="0" w:color="auto"/>
        <w:right w:val="none" w:sz="0" w:space="0" w:color="auto"/>
      </w:divBdr>
    </w:div>
    <w:div w:id="911160313">
      <w:marLeft w:val="480"/>
      <w:marRight w:val="0"/>
      <w:marTop w:val="0"/>
      <w:marBottom w:val="0"/>
      <w:divBdr>
        <w:top w:val="none" w:sz="0" w:space="0" w:color="auto"/>
        <w:left w:val="none" w:sz="0" w:space="0" w:color="auto"/>
        <w:bottom w:val="none" w:sz="0" w:space="0" w:color="auto"/>
        <w:right w:val="none" w:sz="0" w:space="0" w:color="auto"/>
      </w:divBdr>
    </w:div>
    <w:div w:id="914050786">
      <w:marLeft w:val="480"/>
      <w:marRight w:val="0"/>
      <w:marTop w:val="0"/>
      <w:marBottom w:val="0"/>
      <w:divBdr>
        <w:top w:val="none" w:sz="0" w:space="0" w:color="auto"/>
        <w:left w:val="none" w:sz="0" w:space="0" w:color="auto"/>
        <w:bottom w:val="none" w:sz="0" w:space="0" w:color="auto"/>
        <w:right w:val="none" w:sz="0" w:space="0" w:color="auto"/>
      </w:divBdr>
    </w:div>
    <w:div w:id="922303484">
      <w:marLeft w:val="480"/>
      <w:marRight w:val="0"/>
      <w:marTop w:val="0"/>
      <w:marBottom w:val="0"/>
      <w:divBdr>
        <w:top w:val="none" w:sz="0" w:space="0" w:color="auto"/>
        <w:left w:val="none" w:sz="0" w:space="0" w:color="auto"/>
        <w:bottom w:val="none" w:sz="0" w:space="0" w:color="auto"/>
        <w:right w:val="none" w:sz="0" w:space="0" w:color="auto"/>
      </w:divBdr>
    </w:div>
    <w:div w:id="925966730">
      <w:marLeft w:val="480"/>
      <w:marRight w:val="0"/>
      <w:marTop w:val="0"/>
      <w:marBottom w:val="0"/>
      <w:divBdr>
        <w:top w:val="none" w:sz="0" w:space="0" w:color="auto"/>
        <w:left w:val="none" w:sz="0" w:space="0" w:color="auto"/>
        <w:bottom w:val="none" w:sz="0" w:space="0" w:color="auto"/>
        <w:right w:val="none" w:sz="0" w:space="0" w:color="auto"/>
      </w:divBdr>
    </w:div>
    <w:div w:id="932007838">
      <w:marLeft w:val="480"/>
      <w:marRight w:val="0"/>
      <w:marTop w:val="0"/>
      <w:marBottom w:val="0"/>
      <w:divBdr>
        <w:top w:val="none" w:sz="0" w:space="0" w:color="auto"/>
        <w:left w:val="none" w:sz="0" w:space="0" w:color="auto"/>
        <w:bottom w:val="none" w:sz="0" w:space="0" w:color="auto"/>
        <w:right w:val="none" w:sz="0" w:space="0" w:color="auto"/>
      </w:divBdr>
    </w:div>
    <w:div w:id="932128082">
      <w:marLeft w:val="480"/>
      <w:marRight w:val="0"/>
      <w:marTop w:val="0"/>
      <w:marBottom w:val="0"/>
      <w:divBdr>
        <w:top w:val="none" w:sz="0" w:space="0" w:color="auto"/>
        <w:left w:val="none" w:sz="0" w:space="0" w:color="auto"/>
        <w:bottom w:val="none" w:sz="0" w:space="0" w:color="auto"/>
        <w:right w:val="none" w:sz="0" w:space="0" w:color="auto"/>
      </w:divBdr>
    </w:div>
    <w:div w:id="945699831">
      <w:marLeft w:val="480"/>
      <w:marRight w:val="0"/>
      <w:marTop w:val="0"/>
      <w:marBottom w:val="0"/>
      <w:divBdr>
        <w:top w:val="none" w:sz="0" w:space="0" w:color="auto"/>
        <w:left w:val="none" w:sz="0" w:space="0" w:color="auto"/>
        <w:bottom w:val="none" w:sz="0" w:space="0" w:color="auto"/>
        <w:right w:val="none" w:sz="0" w:space="0" w:color="auto"/>
      </w:divBdr>
    </w:div>
    <w:div w:id="945818292">
      <w:marLeft w:val="480"/>
      <w:marRight w:val="0"/>
      <w:marTop w:val="0"/>
      <w:marBottom w:val="0"/>
      <w:divBdr>
        <w:top w:val="none" w:sz="0" w:space="0" w:color="auto"/>
        <w:left w:val="none" w:sz="0" w:space="0" w:color="auto"/>
        <w:bottom w:val="none" w:sz="0" w:space="0" w:color="auto"/>
        <w:right w:val="none" w:sz="0" w:space="0" w:color="auto"/>
      </w:divBdr>
    </w:div>
    <w:div w:id="947199045">
      <w:marLeft w:val="480"/>
      <w:marRight w:val="0"/>
      <w:marTop w:val="0"/>
      <w:marBottom w:val="0"/>
      <w:divBdr>
        <w:top w:val="none" w:sz="0" w:space="0" w:color="auto"/>
        <w:left w:val="none" w:sz="0" w:space="0" w:color="auto"/>
        <w:bottom w:val="none" w:sz="0" w:space="0" w:color="auto"/>
        <w:right w:val="none" w:sz="0" w:space="0" w:color="auto"/>
      </w:divBdr>
    </w:div>
    <w:div w:id="948973097">
      <w:marLeft w:val="480"/>
      <w:marRight w:val="0"/>
      <w:marTop w:val="0"/>
      <w:marBottom w:val="0"/>
      <w:divBdr>
        <w:top w:val="none" w:sz="0" w:space="0" w:color="auto"/>
        <w:left w:val="none" w:sz="0" w:space="0" w:color="auto"/>
        <w:bottom w:val="none" w:sz="0" w:space="0" w:color="auto"/>
        <w:right w:val="none" w:sz="0" w:space="0" w:color="auto"/>
      </w:divBdr>
    </w:div>
    <w:div w:id="956986562">
      <w:marLeft w:val="480"/>
      <w:marRight w:val="0"/>
      <w:marTop w:val="0"/>
      <w:marBottom w:val="0"/>
      <w:divBdr>
        <w:top w:val="none" w:sz="0" w:space="0" w:color="auto"/>
        <w:left w:val="none" w:sz="0" w:space="0" w:color="auto"/>
        <w:bottom w:val="none" w:sz="0" w:space="0" w:color="auto"/>
        <w:right w:val="none" w:sz="0" w:space="0" w:color="auto"/>
      </w:divBdr>
    </w:div>
    <w:div w:id="959412392">
      <w:marLeft w:val="480"/>
      <w:marRight w:val="0"/>
      <w:marTop w:val="0"/>
      <w:marBottom w:val="0"/>
      <w:divBdr>
        <w:top w:val="none" w:sz="0" w:space="0" w:color="auto"/>
        <w:left w:val="none" w:sz="0" w:space="0" w:color="auto"/>
        <w:bottom w:val="none" w:sz="0" w:space="0" w:color="auto"/>
        <w:right w:val="none" w:sz="0" w:space="0" w:color="auto"/>
      </w:divBdr>
    </w:div>
    <w:div w:id="996492952">
      <w:marLeft w:val="480"/>
      <w:marRight w:val="0"/>
      <w:marTop w:val="0"/>
      <w:marBottom w:val="0"/>
      <w:divBdr>
        <w:top w:val="none" w:sz="0" w:space="0" w:color="auto"/>
        <w:left w:val="none" w:sz="0" w:space="0" w:color="auto"/>
        <w:bottom w:val="none" w:sz="0" w:space="0" w:color="auto"/>
        <w:right w:val="none" w:sz="0" w:space="0" w:color="auto"/>
      </w:divBdr>
    </w:div>
    <w:div w:id="1001470112">
      <w:marLeft w:val="480"/>
      <w:marRight w:val="0"/>
      <w:marTop w:val="0"/>
      <w:marBottom w:val="0"/>
      <w:divBdr>
        <w:top w:val="none" w:sz="0" w:space="0" w:color="auto"/>
        <w:left w:val="none" w:sz="0" w:space="0" w:color="auto"/>
        <w:bottom w:val="none" w:sz="0" w:space="0" w:color="auto"/>
        <w:right w:val="none" w:sz="0" w:space="0" w:color="auto"/>
      </w:divBdr>
    </w:div>
    <w:div w:id="1005589548">
      <w:marLeft w:val="480"/>
      <w:marRight w:val="0"/>
      <w:marTop w:val="0"/>
      <w:marBottom w:val="0"/>
      <w:divBdr>
        <w:top w:val="none" w:sz="0" w:space="0" w:color="auto"/>
        <w:left w:val="none" w:sz="0" w:space="0" w:color="auto"/>
        <w:bottom w:val="none" w:sz="0" w:space="0" w:color="auto"/>
        <w:right w:val="none" w:sz="0" w:space="0" w:color="auto"/>
      </w:divBdr>
    </w:div>
    <w:div w:id="1008488670">
      <w:marLeft w:val="480"/>
      <w:marRight w:val="0"/>
      <w:marTop w:val="0"/>
      <w:marBottom w:val="0"/>
      <w:divBdr>
        <w:top w:val="none" w:sz="0" w:space="0" w:color="auto"/>
        <w:left w:val="none" w:sz="0" w:space="0" w:color="auto"/>
        <w:bottom w:val="none" w:sz="0" w:space="0" w:color="auto"/>
        <w:right w:val="none" w:sz="0" w:space="0" w:color="auto"/>
      </w:divBdr>
    </w:div>
    <w:div w:id="1021861040">
      <w:marLeft w:val="480"/>
      <w:marRight w:val="0"/>
      <w:marTop w:val="0"/>
      <w:marBottom w:val="0"/>
      <w:divBdr>
        <w:top w:val="none" w:sz="0" w:space="0" w:color="auto"/>
        <w:left w:val="none" w:sz="0" w:space="0" w:color="auto"/>
        <w:bottom w:val="none" w:sz="0" w:space="0" w:color="auto"/>
        <w:right w:val="none" w:sz="0" w:space="0" w:color="auto"/>
      </w:divBdr>
    </w:div>
    <w:div w:id="1034233159">
      <w:marLeft w:val="480"/>
      <w:marRight w:val="0"/>
      <w:marTop w:val="0"/>
      <w:marBottom w:val="0"/>
      <w:divBdr>
        <w:top w:val="none" w:sz="0" w:space="0" w:color="auto"/>
        <w:left w:val="none" w:sz="0" w:space="0" w:color="auto"/>
        <w:bottom w:val="none" w:sz="0" w:space="0" w:color="auto"/>
        <w:right w:val="none" w:sz="0" w:space="0" w:color="auto"/>
      </w:divBdr>
    </w:div>
    <w:div w:id="1035496006">
      <w:marLeft w:val="480"/>
      <w:marRight w:val="0"/>
      <w:marTop w:val="0"/>
      <w:marBottom w:val="0"/>
      <w:divBdr>
        <w:top w:val="none" w:sz="0" w:space="0" w:color="auto"/>
        <w:left w:val="none" w:sz="0" w:space="0" w:color="auto"/>
        <w:bottom w:val="none" w:sz="0" w:space="0" w:color="auto"/>
        <w:right w:val="none" w:sz="0" w:space="0" w:color="auto"/>
      </w:divBdr>
    </w:div>
    <w:div w:id="1047529521">
      <w:marLeft w:val="480"/>
      <w:marRight w:val="0"/>
      <w:marTop w:val="0"/>
      <w:marBottom w:val="0"/>
      <w:divBdr>
        <w:top w:val="none" w:sz="0" w:space="0" w:color="auto"/>
        <w:left w:val="none" w:sz="0" w:space="0" w:color="auto"/>
        <w:bottom w:val="none" w:sz="0" w:space="0" w:color="auto"/>
        <w:right w:val="none" w:sz="0" w:space="0" w:color="auto"/>
      </w:divBdr>
    </w:div>
    <w:div w:id="1048802293">
      <w:marLeft w:val="480"/>
      <w:marRight w:val="0"/>
      <w:marTop w:val="0"/>
      <w:marBottom w:val="0"/>
      <w:divBdr>
        <w:top w:val="none" w:sz="0" w:space="0" w:color="auto"/>
        <w:left w:val="none" w:sz="0" w:space="0" w:color="auto"/>
        <w:bottom w:val="none" w:sz="0" w:space="0" w:color="auto"/>
        <w:right w:val="none" w:sz="0" w:space="0" w:color="auto"/>
      </w:divBdr>
    </w:div>
    <w:div w:id="1048991369">
      <w:marLeft w:val="480"/>
      <w:marRight w:val="0"/>
      <w:marTop w:val="0"/>
      <w:marBottom w:val="0"/>
      <w:divBdr>
        <w:top w:val="none" w:sz="0" w:space="0" w:color="auto"/>
        <w:left w:val="none" w:sz="0" w:space="0" w:color="auto"/>
        <w:bottom w:val="none" w:sz="0" w:space="0" w:color="auto"/>
        <w:right w:val="none" w:sz="0" w:space="0" w:color="auto"/>
      </w:divBdr>
    </w:div>
    <w:div w:id="1052269640">
      <w:marLeft w:val="480"/>
      <w:marRight w:val="0"/>
      <w:marTop w:val="0"/>
      <w:marBottom w:val="0"/>
      <w:divBdr>
        <w:top w:val="none" w:sz="0" w:space="0" w:color="auto"/>
        <w:left w:val="none" w:sz="0" w:space="0" w:color="auto"/>
        <w:bottom w:val="none" w:sz="0" w:space="0" w:color="auto"/>
        <w:right w:val="none" w:sz="0" w:space="0" w:color="auto"/>
      </w:divBdr>
    </w:div>
    <w:div w:id="1054233711">
      <w:marLeft w:val="480"/>
      <w:marRight w:val="0"/>
      <w:marTop w:val="0"/>
      <w:marBottom w:val="0"/>
      <w:divBdr>
        <w:top w:val="none" w:sz="0" w:space="0" w:color="auto"/>
        <w:left w:val="none" w:sz="0" w:space="0" w:color="auto"/>
        <w:bottom w:val="none" w:sz="0" w:space="0" w:color="auto"/>
        <w:right w:val="none" w:sz="0" w:space="0" w:color="auto"/>
      </w:divBdr>
    </w:div>
    <w:div w:id="1054307271">
      <w:marLeft w:val="480"/>
      <w:marRight w:val="0"/>
      <w:marTop w:val="0"/>
      <w:marBottom w:val="0"/>
      <w:divBdr>
        <w:top w:val="none" w:sz="0" w:space="0" w:color="auto"/>
        <w:left w:val="none" w:sz="0" w:space="0" w:color="auto"/>
        <w:bottom w:val="none" w:sz="0" w:space="0" w:color="auto"/>
        <w:right w:val="none" w:sz="0" w:space="0" w:color="auto"/>
      </w:divBdr>
    </w:div>
    <w:div w:id="1054431238">
      <w:marLeft w:val="480"/>
      <w:marRight w:val="0"/>
      <w:marTop w:val="0"/>
      <w:marBottom w:val="0"/>
      <w:divBdr>
        <w:top w:val="none" w:sz="0" w:space="0" w:color="auto"/>
        <w:left w:val="none" w:sz="0" w:space="0" w:color="auto"/>
        <w:bottom w:val="none" w:sz="0" w:space="0" w:color="auto"/>
        <w:right w:val="none" w:sz="0" w:space="0" w:color="auto"/>
      </w:divBdr>
    </w:div>
    <w:div w:id="1061293163">
      <w:marLeft w:val="480"/>
      <w:marRight w:val="0"/>
      <w:marTop w:val="0"/>
      <w:marBottom w:val="0"/>
      <w:divBdr>
        <w:top w:val="none" w:sz="0" w:space="0" w:color="auto"/>
        <w:left w:val="none" w:sz="0" w:space="0" w:color="auto"/>
        <w:bottom w:val="none" w:sz="0" w:space="0" w:color="auto"/>
        <w:right w:val="none" w:sz="0" w:space="0" w:color="auto"/>
      </w:divBdr>
    </w:div>
    <w:div w:id="1061517141">
      <w:marLeft w:val="480"/>
      <w:marRight w:val="0"/>
      <w:marTop w:val="0"/>
      <w:marBottom w:val="0"/>
      <w:divBdr>
        <w:top w:val="none" w:sz="0" w:space="0" w:color="auto"/>
        <w:left w:val="none" w:sz="0" w:space="0" w:color="auto"/>
        <w:bottom w:val="none" w:sz="0" w:space="0" w:color="auto"/>
        <w:right w:val="none" w:sz="0" w:space="0" w:color="auto"/>
      </w:divBdr>
    </w:div>
    <w:div w:id="1063216196">
      <w:marLeft w:val="480"/>
      <w:marRight w:val="0"/>
      <w:marTop w:val="0"/>
      <w:marBottom w:val="0"/>
      <w:divBdr>
        <w:top w:val="none" w:sz="0" w:space="0" w:color="auto"/>
        <w:left w:val="none" w:sz="0" w:space="0" w:color="auto"/>
        <w:bottom w:val="none" w:sz="0" w:space="0" w:color="auto"/>
        <w:right w:val="none" w:sz="0" w:space="0" w:color="auto"/>
      </w:divBdr>
    </w:div>
    <w:div w:id="1071003920">
      <w:marLeft w:val="480"/>
      <w:marRight w:val="0"/>
      <w:marTop w:val="0"/>
      <w:marBottom w:val="0"/>
      <w:divBdr>
        <w:top w:val="none" w:sz="0" w:space="0" w:color="auto"/>
        <w:left w:val="none" w:sz="0" w:space="0" w:color="auto"/>
        <w:bottom w:val="none" w:sz="0" w:space="0" w:color="auto"/>
        <w:right w:val="none" w:sz="0" w:space="0" w:color="auto"/>
      </w:divBdr>
    </w:div>
    <w:div w:id="1103375382">
      <w:marLeft w:val="480"/>
      <w:marRight w:val="0"/>
      <w:marTop w:val="0"/>
      <w:marBottom w:val="0"/>
      <w:divBdr>
        <w:top w:val="none" w:sz="0" w:space="0" w:color="auto"/>
        <w:left w:val="none" w:sz="0" w:space="0" w:color="auto"/>
        <w:bottom w:val="none" w:sz="0" w:space="0" w:color="auto"/>
        <w:right w:val="none" w:sz="0" w:space="0" w:color="auto"/>
      </w:divBdr>
    </w:div>
    <w:div w:id="1110275008">
      <w:marLeft w:val="480"/>
      <w:marRight w:val="0"/>
      <w:marTop w:val="0"/>
      <w:marBottom w:val="0"/>
      <w:divBdr>
        <w:top w:val="none" w:sz="0" w:space="0" w:color="auto"/>
        <w:left w:val="none" w:sz="0" w:space="0" w:color="auto"/>
        <w:bottom w:val="none" w:sz="0" w:space="0" w:color="auto"/>
        <w:right w:val="none" w:sz="0" w:space="0" w:color="auto"/>
      </w:divBdr>
    </w:div>
    <w:div w:id="1113133814">
      <w:marLeft w:val="480"/>
      <w:marRight w:val="0"/>
      <w:marTop w:val="0"/>
      <w:marBottom w:val="0"/>
      <w:divBdr>
        <w:top w:val="none" w:sz="0" w:space="0" w:color="auto"/>
        <w:left w:val="none" w:sz="0" w:space="0" w:color="auto"/>
        <w:bottom w:val="none" w:sz="0" w:space="0" w:color="auto"/>
        <w:right w:val="none" w:sz="0" w:space="0" w:color="auto"/>
      </w:divBdr>
    </w:div>
    <w:div w:id="1113792023">
      <w:marLeft w:val="480"/>
      <w:marRight w:val="0"/>
      <w:marTop w:val="0"/>
      <w:marBottom w:val="0"/>
      <w:divBdr>
        <w:top w:val="none" w:sz="0" w:space="0" w:color="auto"/>
        <w:left w:val="none" w:sz="0" w:space="0" w:color="auto"/>
        <w:bottom w:val="none" w:sz="0" w:space="0" w:color="auto"/>
        <w:right w:val="none" w:sz="0" w:space="0" w:color="auto"/>
      </w:divBdr>
    </w:div>
    <w:div w:id="1116951882">
      <w:marLeft w:val="480"/>
      <w:marRight w:val="0"/>
      <w:marTop w:val="0"/>
      <w:marBottom w:val="0"/>
      <w:divBdr>
        <w:top w:val="none" w:sz="0" w:space="0" w:color="auto"/>
        <w:left w:val="none" w:sz="0" w:space="0" w:color="auto"/>
        <w:bottom w:val="none" w:sz="0" w:space="0" w:color="auto"/>
        <w:right w:val="none" w:sz="0" w:space="0" w:color="auto"/>
      </w:divBdr>
    </w:div>
    <w:div w:id="1136874007">
      <w:marLeft w:val="480"/>
      <w:marRight w:val="0"/>
      <w:marTop w:val="0"/>
      <w:marBottom w:val="0"/>
      <w:divBdr>
        <w:top w:val="none" w:sz="0" w:space="0" w:color="auto"/>
        <w:left w:val="none" w:sz="0" w:space="0" w:color="auto"/>
        <w:bottom w:val="none" w:sz="0" w:space="0" w:color="auto"/>
        <w:right w:val="none" w:sz="0" w:space="0" w:color="auto"/>
      </w:divBdr>
    </w:div>
    <w:div w:id="1152792358">
      <w:marLeft w:val="480"/>
      <w:marRight w:val="0"/>
      <w:marTop w:val="0"/>
      <w:marBottom w:val="0"/>
      <w:divBdr>
        <w:top w:val="none" w:sz="0" w:space="0" w:color="auto"/>
        <w:left w:val="none" w:sz="0" w:space="0" w:color="auto"/>
        <w:bottom w:val="none" w:sz="0" w:space="0" w:color="auto"/>
        <w:right w:val="none" w:sz="0" w:space="0" w:color="auto"/>
      </w:divBdr>
    </w:div>
    <w:div w:id="1154029370">
      <w:marLeft w:val="480"/>
      <w:marRight w:val="0"/>
      <w:marTop w:val="0"/>
      <w:marBottom w:val="0"/>
      <w:divBdr>
        <w:top w:val="none" w:sz="0" w:space="0" w:color="auto"/>
        <w:left w:val="none" w:sz="0" w:space="0" w:color="auto"/>
        <w:bottom w:val="none" w:sz="0" w:space="0" w:color="auto"/>
        <w:right w:val="none" w:sz="0" w:space="0" w:color="auto"/>
      </w:divBdr>
    </w:div>
    <w:div w:id="1156144534">
      <w:marLeft w:val="480"/>
      <w:marRight w:val="0"/>
      <w:marTop w:val="0"/>
      <w:marBottom w:val="0"/>
      <w:divBdr>
        <w:top w:val="none" w:sz="0" w:space="0" w:color="auto"/>
        <w:left w:val="none" w:sz="0" w:space="0" w:color="auto"/>
        <w:bottom w:val="none" w:sz="0" w:space="0" w:color="auto"/>
        <w:right w:val="none" w:sz="0" w:space="0" w:color="auto"/>
      </w:divBdr>
    </w:div>
    <w:div w:id="1157066726">
      <w:marLeft w:val="480"/>
      <w:marRight w:val="0"/>
      <w:marTop w:val="0"/>
      <w:marBottom w:val="0"/>
      <w:divBdr>
        <w:top w:val="none" w:sz="0" w:space="0" w:color="auto"/>
        <w:left w:val="none" w:sz="0" w:space="0" w:color="auto"/>
        <w:bottom w:val="none" w:sz="0" w:space="0" w:color="auto"/>
        <w:right w:val="none" w:sz="0" w:space="0" w:color="auto"/>
      </w:divBdr>
    </w:div>
    <w:div w:id="1157382937">
      <w:marLeft w:val="480"/>
      <w:marRight w:val="0"/>
      <w:marTop w:val="0"/>
      <w:marBottom w:val="0"/>
      <w:divBdr>
        <w:top w:val="none" w:sz="0" w:space="0" w:color="auto"/>
        <w:left w:val="none" w:sz="0" w:space="0" w:color="auto"/>
        <w:bottom w:val="none" w:sz="0" w:space="0" w:color="auto"/>
        <w:right w:val="none" w:sz="0" w:space="0" w:color="auto"/>
      </w:divBdr>
    </w:div>
    <w:div w:id="1158038929">
      <w:marLeft w:val="480"/>
      <w:marRight w:val="0"/>
      <w:marTop w:val="0"/>
      <w:marBottom w:val="0"/>
      <w:divBdr>
        <w:top w:val="none" w:sz="0" w:space="0" w:color="auto"/>
        <w:left w:val="none" w:sz="0" w:space="0" w:color="auto"/>
        <w:bottom w:val="none" w:sz="0" w:space="0" w:color="auto"/>
        <w:right w:val="none" w:sz="0" w:space="0" w:color="auto"/>
      </w:divBdr>
    </w:div>
    <w:div w:id="1161198820">
      <w:marLeft w:val="480"/>
      <w:marRight w:val="0"/>
      <w:marTop w:val="0"/>
      <w:marBottom w:val="0"/>
      <w:divBdr>
        <w:top w:val="none" w:sz="0" w:space="0" w:color="auto"/>
        <w:left w:val="none" w:sz="0" w:space="0" w:color="auto"/>
        <w:bottom w:val="none" w:sz="0" w:space="0" w:color="auto"/>
        <w:right w:val="none" w:sz="0" w:space="0" w:color="auto"/>
      </w:divBdr>
    </w:div>
    <w:div w:id="1164592174">
      <w:marLeft w:val="480"/>
      <w:marRight w:val="0"/>
      <w:marTop w:val="0"/>
      <w:marBottom w:val="0"/>
      <w:divBdr>
        <w:top w:val="none" w:sz="0" w:space="0" w:color="auto"/>
        <w:left w:val="none" w:sz="0" w:space="0" w:color="auto"/>
        <w:bottom w:val="none" w:sz="0" w:space="0" w:color="auto"/>
        <w:right w:val="none" w:sz="0" w:space="0" w:color="auto"/>
      </w:divBdr>
    </w:div>
    <w:div w:id="1167287234">
      <w:marLeft w:val="480"/>
      <w:marRight w:val="0"/>
      <w:marTop w:val="0"/>
      <w:marBottom w:val="0"/>
      <w:divBdr>
        <w:top w:val="none" w:sz="0" w:space="0" w:color="auto"/>
        <w:left w:val="none" w:sz="0" w:space="0" w:color="auto"/>
        <w:bottom w:val="none" w:sz="0" w:space="0" w:color="auto"/>
        <w:right w:val="none" w:sz="0" w:space="0" w:color="auto"/>
      </w:divBdr>
    </w:div>
    <w:div w:id="1168861430">
      <w:marLeft w:val="480"/>
      <w:marRight w:val="0"/>
      <w:marTop w:val="0"/>
      <w:marBottom w:val="0"/>
      <w:divBdr>
        <w:top w:val="none" w:sz="0" w:space="0" w:color="auto"/>
        <w:left w:val="none" w:sz="0" w:space="0" w:color="auto"/>
        <w:bottom w:val="none" w:sz="0" w:space="0" w:color="auto"/>
        <w:right w:val="none" w:sz="0" w:space="0" w:color="auto"/>
      </w:divBdr>
    </w:div>
    <w:div w:id="1168867140">
      <w:marLeft w:val="480"/>
      <w:marRight w:val="0"/>
      <w:marTop w:val="0"/>
      <w:marBottom w:val="0"/>
      <w:divBdr>
        <w:top w:val="none" w:sz="0" w:space="0" w:color="auto"/>
        <w:left w:val="none" w:sz="0" w:space="0" w:color="auto"/>
        <w:bottom w:val="none" w:sz="0" w:space="0" w:color="auto"/>
        <w:right w:val="none" w:sz="0" w:space="0" w:color="auto"/>
      </w:divBdr>
    </w:div>
    <w:div w:id="1172918045">
      <w:marLeft w:val="480"/>
      <w:marRight w:val="0"/>
      <w:marTop w:val="0"/>
      <w:marBottom w:val="0"/>
      <w:divBdr>
        <w:top w:val="none" w:sz="0" w:space="0" w:color="auto"/>
        <w:left w:val="none" w:sz="0" w:space="0" w:color="auto"/>
        <w:bottom w:val="none" w:sz="0" w:space="0" w:color="auto"/>
        <w:right w:val="none" w:sz="0" w:space="0" w:color="auto"/>
      </w:divBdr>
    </w:div>
    <w:div w:id="1190606556">
      <w:marLeft w:val="480"/>
      <w:marRight w:val="0"/>
      <w:marTop w:val="0"/>
      <w:marBottom w:val="0"/>
      <w:divBdr>
        <w:top w:val="none" w:sz="0" w:space="0" w:color="auto"/>
        <w:left w:val="none" w:sz="0" w:space="0" w:color="auto"/>
        <w:bottom w:val="none" w:sz="0" w:space="0" w:color="auto"/>
        <w:right w:val="none" w:sz="0" w:space="0" w:color="auto"/>
      </w:divBdr>
    </w:div>
    <w:div w:id="1204558182">
      <w:marLeft w:val="480"/>
      <w:marRight w:val="0"/>
      <w:marTop w:val="0"/>
      <w:marBottom w:val="0"/>
      <w:divBdr>
        <w:top w:val="none" w:sz="0" w:space="0" w:color="auto"/>
        <w:left w:val="none" w:sz="0" w:space="0" w:color="auto"/>
        <w:bottom w:val="none" w:sz="0" w:space="0" w:color="auto"/>
        <w:right w:val="none" w:sz="0" w:space="0" w:color="auto"/>
      </w:divBdr>
    </w:div>
    <w:div w:id="1209417648">
      <w:marLeft w:val="480"/>
      <w:marRight w:val="0"/>
      <w:marTop w:val="0"/>
      <w:marBottom w:val="0"/>
      <w:divBdr>
        <w:top w:val="none" w:sz="0" w:space="0" w:color="auto"/>
        <w:left w:val="none" w:sz="0" w:space="0" w:color="auto"/>
        <w:bottom w:val="none" w:sz="0" w:space="0" w:color="auto"/>
        <w:right w:val="none" w:sz="0" w:space="0" w:color="auto"/>
      </w:divBdr>
    </w:div>
    <w:div w:id="1216429641">
      <w:marLeft w:val="480"/>
      <w:marRight w:val="0"/>
      <w:marTop w:val="0"/>
      <w:marBottom w:val="0"/>
      <w:divBdr>
        <w:top w:val="none" w:sz="0" w:space="0" w:color="auto"/>
        <w:left w:val="none" w:sz="0" w:space="0" w:color="auto"/>
        <w:bottom w:val="none" w:sz="0" w:space="0" w:color="auto"/>
        <w:right w:val="none" w:sz="0" w:space="0" w:color="auto"/>
      </w:divBdr>
    </w:div>
    <w:div w:id="1216894516">
      <w:marLeft w:val="480"/>
      <w:marRight w:val="0"/>
      <w:marTop w:val="0"/>
      <w:marBottom w:val="0"/>
      <w:divBdr>
        <w:top w:val="none" w:sz="0" w:space="0" w:color="auto"/>
        <w:left w:val="none" w:sz="0" w:space="0" w:color="auto"/>
        <w:bottom w:val="none" w:sz="0" w:space="0" w:color="auto"/>
        <w:right w:val="none" w:sz="0" w:space="0" w:color="auto"/>
      </w:divBdr>
    </w:div>
    <w:div w:id="1224634455">
      <w:marLeft w:val="480"/>
      <w:marRight w:val="0"/>
      <w:marTop w:val="0"/>
      <w:marBottom w:val="0"/>
      <w:divBdr>
        <w:top w:val="none" w:sz="0" w:space="0" w:color="auto"/>
        <w:left w:val="none" w:sz="0" w:space="0" w:color="auto"/>
        <w:bottom w:val="none" w:sz="0" w:space="0" w:color="auto"/>
        <w:right w:val="none" w:sz="0" w:space="0" w:color="auto"/>
      </w:divBdr>
    </w:div>
    <w:div w:id="1224953396">
      <w:marLeft w:val="480"/>
      <w:marRight w:val="0"/>
      <w:marTop w:val="0"/>
      <w:marBottom w:val="0"/>
      <w:divBdr>
        <w:top w:val="none" w:sz="0" w:space="0" w:color="auto"/>
        <w:left w:val="none" w:sz="0" w:space="0" w:color="auto"/>
        <w:bottom w:val="none" w:sz="0" w:space="0" w:color="auto"/>
        <w:right w:val="none" w:sz="0" w:space="0" w:color="auto"/>
      </w:divBdr>
    </w:div>
    <w:div w:id="1229726783">
      <w:marLeft w:val="480"/>
      <w:marRight w:val="0"/>
      <w:marTop w:val="0"/>
      <w:marBottom w:val="0"/>
      <w:divBdr>
        <w:top w:val="none" w:sz="0" w:space="0" w:color="auto"/>
        <w:left w:val="none" w:sz="0" w:space="0" w:color="auto"/>
        <w:bottom w:val="none" w:sz="0" w:space="0" w:color="auto"/>
        <w:right w:val="none" w:sz="0" w:space="0" w:color="auto"/>
      </w:divBdr>
    </w:div>
    <w:div w:id="1233269583">
      <w:marLeft w:val="480"/>
      <w:marRight w:val="0"/>
      <w:marTop w:val="0"/>
      <w:marBottom w:val="0"/>
      <w:divBdr>
        <w:top w:val="none" w:sz="0" w:space="0" w:color="auto"/>
        <w:left w:val="none" w:sz="0" w:space="0" w:color="auto"/>
        <w:bottom w:val="none" w:sz="0" w:space="0" w:color="auto"/>
        <w:right w:val="none" w:sz="0" w:space="0" w:color="auto"/>
      </w:divBdr>
    </w:div>
    <w:div w:id="1235436437">
      <w:marLeft w:val="480"/>
      <w:marRight w:val="0"/>
      <w:marTop w:val="0"/>
      <w:marBottom w:val="0"/>
      <w:divBdr>
        <w:top w:val="none" w:sz="0" w:space="0" w:color="auto"/>
        <w:left w:val="none" w:sz="0" w:space="0" w:color="auto"/>
        <w:bottom w:val="none" w:sz="0" w:space="0" w:color="auto"/>
        <w:right w:val="none" w:sz="0" w:space="0" w:color="auto"/>
      </w:divBdr>
    </w:div>
    <w:div w:id="1237975754">
      <w:marLeft w:val="480"/>
      <w:marRight w:val="0"/>
      <w:marTop w:val="0"/>
      <w:marBottom w:val="0"/>
      <w:divBdr>
        <w:top w:val="none" w:sz="0" w:space="0" w:color="auto"/>
        <w:left w:val="none" w:sz="0" w:space="0" w:color="auto"/>
        <w:bottom w:val="none" w:sz="0" w:space="0" w:color="auto"/>
        <w:right w:val="none" w:sz="0" w:space="0" w:color="auto"/>
      </w:divBdr>
    </w:div>
    <w:div w:id="1242376016">
      <w:marLeft w:val="0"/>
      <w:marRight w:val="0"/>
      <w:marTop w:val="0"/>
      <w:marBottom w:val="0"/>
      <w:divBdr>
        <w:top w:val="none" w:sz="0" w:space="0" w:color="auto"/>
        <w:left w:val="none" w:sz="0" w:space="0" w:color="auto"/>
        <w:bottom w:val="none" w:sz="0" w:space="0" w:color="auto"/>
        <w:right w:val="none" w:sz="0" w:space="0" w:color="auto"/>
      </w:divBdr>
    </w:div>
    <w:div w:id="1254431836">
      <w:marLeft w:val="480"/>
      <w:marRight w:val="0"/>
      <w:marTop w:val="0"/>
      <w:marBottom w:val="0"/>
      <w:divBdr>
        <w:top w:val="none" w:sz="0" w:space="0" w:color="auto"/>
        <w:left w:val="none" w:sz="0" w:space="0" w:color="auto"/>
        <w:bottom w:val="none" w:sz="0" w:space="0" w:color="auto"/>
        <w:right w:val="none" w:sz="0" w:space="0" w:color="auto"/>
      </w:divBdr>
    </w:div>
    <w:div w:id="1260717743">
      <w:marLeft w:val="480"/>
      <w:marRight w:val="0"/>
      <w:marTop w:val="0"/>
      <w:marBottom w:val="0"/>
      <w:divBdr>
        <w:top w:val="none" w:sz="0" w:space="0" w:color="auto"/>
        <w:left w:val="none" w:sz="0" w:space="0" w:color="auto"/>
        <w:bottom w:val="none" w:sz="0" w:space="0" w:color="auto"/>
        <w:right w:val="none" w:sz="0" w:space="0" w:color="auto"/>
      </w:divBdr>
    </w:div>
    <w:div w:id="1264529945">
      <w:marLeft w:val="480"/>
      <w:marRight w:val="0"/>
      <w:marTop w:val="0"/>
      <w:marBottom w:val="0"/>
      <w:divBdr>
        <w:top w:val="none" w:sz="0" w:space="0" w:color="auto"/>
        <w:left w:val="none" w:sz="0" w:space="0" w:color="auto"/>
        <w:bottom w:val="none" w:sz="0" w:space="0" w:color="auto"/>
        <w:right w:val="none" w:sz="0" w:space="0" w:color="auto"/>
      </w:divBdr>
    </w:div>
    <w:div w:id="1264848946">
      <w:marLeft w:val="480"/>
      <w:marRight w:val="0"/>
      <w:marTop w:val="0"/>
      <w:marBottom w:val="0"/>
      <w:divBdr>
        <w:top w:val="none" w:sz="0" w:space="0" w:color="auto"/>
        <w:left w:val="none" w:sz="0" w:space="0" w:color="auto"/>
        <w:bottom w:val="none" w:sz="0" w:space="0" w:color="auto"/>
        <w:right w:val="none" w:sz="0" w:space="0" w:color="auto"/>
      </w:divBdr>
    </w:div>
    <w:div w:id="1271081724">
      <w:marLeft w:val="480"/>
      <w:marRight w:val="0"/>
      <w:marTop w:val="0"/>
      <w:marBottom w:val="0"/>
      <w:divBdr>
        <w:top w:val="none" w:sz="0" w:space="0" w:color="auto"/>
        <w:left w:val="none" w:sz="0" w:space="0" w:color="auto"/>
        <w:bottom w:val="none" w:sz="0" w:space="0" w:color="auto"/>
        <w:right w:val="none" w:sz="0" w:space="0" w:color="auto"/>
      </w:divBdr>
    </w:div>
    <w:div w:id="1280643501">
      <w:marLeft w:val="480"/>
      <w:marRight w:val="0"/>
      <w:marTop w:val="0"/>
      <w:marBottom w:val="0"/>
      <w:divBdr>
        <w:top w:val="none" w:sz="0" w:space="0" w:color="auto"/>
        <w:left w:val="none" w:sz="0" w:space="0" w:color="auto"/>
        <w:bottom w:val="none" w:sz="0" w:space="0" w:color="auto"/>
        <w:right w:val="none" w:sz="0" w:space="0" w:color="auto"/>
      </w:divBdr>
    </w:div>
    <w:div w:id="1291399576">
      <w:marLeft w:val="480"/>
      <w:marRight w:val="0"/>
      <w:marTop w:val="0"/>
      <w:marBottom w:val="0"/>
      <w:divBdr>
        <w:top w:val="none" w:sz="0" w:space="0" w:color="auto"/>
        <w:left w:val="none" w:sz="0" w:space="0" w:color="auto"/>
        <w:bottom w:val="none" w:sz="0" w:space="0" w:color="auto"/>
        <w:right w:val="none" w:sz="0" w:space="0" w:color="auto"/>
      </w:divBdr>
    </w:div>
    <w:div w:id="1292981930">
      <w:marLeft w:val="480"/>
      <w:marRight w:val="0"/>
      <w:marTop w:val="0"/>
      <w:marBottom w:val="0"/>
      <w:divBdr>
        <w:top w:val="none" w:sz="0" w:space="0" w:color="auto"/>
        <w:left w:val="none" w:sz="0" w:space="0" w:color="auto"/>
        <w:bottom w:val="none" w:sz="0" w:space="0" w:color="auto"/>
        <w:right w:val="none" w:sz="0" w:space="0" w:color="auto"/>
      </w:divBdr>
    </w:div>
    <w:div w:id="1320769749">
      <w:marLeft w:val="480"/>
      <w:marRight w:val="0"/>
      <w:marTop w:val="0"/>
      <w:marBottom w:val="0"/>
      <w:divBdr>
        <w:top w:val="none" w:sz="0" w:space="0" w:color="auto"/>
        <w:left w:val="none" w:sz="0" w:space="0" w:color="auto"/>
        <w:bottom w:val="none" w:sz="0" w:space="0" w:color="auto"/>
        <w:right w:val="none" w:sz="0" w:space="0" w:color="auto"/>
      </w:divBdr>
    </w:div>
    <w:div w:id="1332947667">
      <w:marLeft w:val="480"/>
      <w:marRight w:val="0"/>
      <w:marTop w:val="0"/>
      <w:marBottom w:val="0"/>
      <w:divBdr>
        <w:top w:val="none" w:sz="0" w:space="0" w:color="auto"/>
        <w:left w:val="none" w:sz="0" w:space="0" w:color="auto"/>
        <w:bottom w:val="none" w:sz="0" w:space="0" w:color="auto"/>
        <w:right w:val="none" w:sz="0" w:space="0" w:color="auto"/>
      </w:divBdr>
    </w:div>
    <w:div w:id="1335837073">
      <w:marLeft w:val="480"/>
      <w:marRight w:val="0"/>
      <w:marTop w:val="0"/>
      <w:marBottom w:val="0"/>
      <w:divBdr>
        <w:top w:val="none" w:sz="0" w:space="0" w:color="auto"/>
        <w:left w:val="none" w:sz="0" w:space="0" w:color="auto"/>
        <w:bottom w:val="none" w:sz="0" w:space="0" w:color="auto"/>
        <w:right w:val="none" w:sz="0" w:space="0" w:color="auto"/>
      </w:divBdr>
    </w:div>
    <w:div w:id="1345135125">
      <w:marLeft w:val="480"/>
      <w:marRight w:val="0"/>
      <w:marTop w:val="0"/>
      <w:marBottom w:val="0"/>
      <w:divBdr>
        <w:top w:val="none" w:sz="0" w:space="0" w:color="auto"/>
        <w:left w:val="none" w:sz="0" w:space="0" w:color="auto"/>
        <w:bottom w:val="none" w:sz="0" w:space="0" w:color="auto"/>
        <w:right w:val="none" w:sz="0" w:space="0" w:color="auto"/>
      </w:divBdr>
    </w:div>
    <w:div w:id="1350522004">
      <w:marLeft w:val="480"/>
      <w:marRight w:val="0"/>
      <w:marTop w:val="0"/>
      <w:marBottom w:val="0"/>
      <w:divBdr>
        <w:top w:val="none" w:sz="0" w:space="0" w:color="auto"/>
        <w:left w:val="none" w:sz="0" w:space="0" w:color="auto"/>
        <w:bottom w:val="none" w:sz="0" w:space="0" w:color="auto"/>
        <w:right w:val="none" w:sz="0" w:space="0" w:color="auto"/>
      </w:divBdr>
    </w:div>
    <w:div w:id="1353218002">
      <w:marLeft w:val="480"/>
      <w:marRight w:val="0"/>
      <w:marTop w:val="0"/>
      <w:marBottom w:val="0"/>
      <w:divBdr>
        <w:top w:val="none" w:sz="0" w:space="0" w:color="auto"/>
        <w:left w:val="none" w:sz="0" w:space="0" w:color="auto"/>
        <w:bottom w:val="none" w:sz="0" w:space="0" w:color="auto"/>
        <w:right w:val="none" w:sz="0" w:space="0" w:color="auto"/>
      </w:divBdr>
    </w:div>
    <w:div w:id="1356271597">
      <w:marLeft w:val="480"/>
      <w:marRight w:val="0"/>
      <w:marTop w:val="0"/>
      <w:marBottom w:val="0"/>
      <w:divBdr>
        <w:top w:val="none" w:sz="0" w:space="0" w:color="auto"/>
        <w:left w:val="none" w:sz="0" w:space="0" w:color="auto"/>
        <w:bottom w:val="none" w:sz="0" w:space="0" w:color="auto"/>
        <w:right w:val="none" w:sz="0" w:space="0" w:color="auto"/>
      </w:divBdr>
    </w:div>
    <w:div w:id="1358896507">
      <w:marLeft w:val="480"/>
      <w:marRight w:val="0"/>
      <w:marTop w:val="0"/>
      <w:marBottom w:val="0"/>
      <w:divBdr>
        <w:top w:val="none" w:sz="0" w:space="0" w:color="auto"/>
        <w:left w:val="none" w:sz="0" w:space="0" w:color="auto"/>
        <w:bottom w:val="none" w:sz="0" w:space="0" w:color="auto"/>
        <w:right w:val="none" w:sz="0" w:space="0" w:color="auto"/>
      </w:divBdr>
    </w:div>
    <w:div w:id="1365786445">
      <w:marLeft w:val="480"/>
      <w:marRight w:val="0"/>
      <w:marTop w:val="0"/>
      <w:marBottom w:val="0"/>
      <w:divBdr>
        <w:top w:val="none" w:sz="0" w:space="0" w:color="auto"/>
        <w:left w:val="none" w:sz="0" w:space="0" w:color="auto"/>
        <w:bottom w:val="none" w:sz="0" w:space="0" w:color="auto"/>
        <w:right w:val="none" w:sz="0" w:space="0" w:color="auto"/>
      </w:divBdr>
    </w:div>
    <w:div w:id="1368607382">
      <w:marLeft w:val="480"/>
      <w:marRight w:val="0"/>
      <w:marTop w:val="0"/>
      <w:marBottom w:val="0"/>
      <w:divBdr>
        <w:top w:val="none" w:sz="0" w:space="0" w:color="auto"/>
        <w:left w:val="none" w:sz="0" w:space="0" w:color="auto"/>
        <w:bottom w:val="none" w:sz="0" w:space="0" w:color="auto"/>
        <w:right w:val="none" w:sz="0" w:space="0" w:color="auto"/>
      </w:divBdr>
    </w:div>
    <w:div w:id="1369140092">
      <w:marLeft w:val="480"/>
      <w:marRight w:val="0"/>
      <w:marTop w:val="0"/>
      <w:marBottom w:val="0"/>
      <w:divBdr>
        <w:top w:val="none" w:sz="0" w:space="0" w:color="auto"/>
        <w:left w:val="none" w:sz="0" w:space="0" w:color="auto"/>
        <w:bottom w:val="none" w:sz="0" w:space="0" w:color="auto"/>
        <w:right w:val="none" w:sz="0" w:space="0" w:color="auto"/>
      </w:divBdr>
    </w:div>
    <w:div w:id="1382362949">
      <w:marLeft w:val="480"/>
      <w:marRight w:val="0"/>
      <w:marTop w:val="0"/>
      <w:marBottom w:val="0"/>
      <w:divBdr>
        <w:top w:val="none" w:sz="0" w:space="0" w:color="auto"/>
        <w:left w:val="none" w:sz="0" w:space="0" w:color="auto"/>
        <w:bottom w:val="none" w:sz="0" w:space="0" w:color="auto"/>
        <w:right w:val="none" w:sz="0" w:space="0" w:color="auto"/>
      </w:divBdr>
    </w:div>
    <w:div w:id="1388265666">
      <w:marLeft w:val="480"/>
      <w:marRight w:val="0"/>
      <w:marTop w:val="0"/>
      <w:marBottom w:val="0"/>
      <w:divBdr>
        <w:top w:val="none" w:sz="0" w:space="0" w:color="auto"/>
        <w:left w:val="none" w:sz="0" w:space="0" w:color="auto"/>
        <w:bottom w:val="none" w:sz="0" w:space="0" w:color="auto"/>
        <w:right w:val="none" w:sz="0" w:space="0" w:color="auto"/>
      </w:divBdr>
    </w:div>
    <w:div w:id="1397779733">
      <w:marLeft w:val="480"/>
      <w:marRight w:val="0"/>
      <w:marTop w:val="0"/>
      <w:marBottom w:val="0"/>
      <w:divBdr>
        <w:top w:val="none" w:sz="0" w:space="0" w:color="auto"/>
        <w:left w:val="none" w:sz="0" w:space="0" w:color="auto"/>
        <w:bottom w:val="none" w:sz="0" w:space="0" w:color="auto"/>
        <w:right w:val="none" w:sz="0" w:space="0" w:color="auto"/>
      </w:divBdr>
    </w:div>
    <w:div w:id="1406025963">
      <w:marLeft w:val="480"/>
      <w:marRight w:val="0"/>
      <w:marTop w:val="0"/>
      <w:marBottom w:val="0"/>
      <w:divBdr>
        <w:top w:val="none" w:sz="0" w:space="0" w:color="auto"/>
        <w:left w:val="none" w:sz="0" w:space="0" w:color="auto"/>
        <w:bottom w:val="none" w:sz="0" w:space="0" w:color="auto"/>
        <w:right w:val="none" w:sz="0" w:space="0" w:color="auto"/>
      </w:divBdr>
    </w:div>
    <w:div w:id="1407607100">
      <w:marLeft w:val="480"/>
      <w:marRight w:val="0"/>
      <w:marTop w:val="0"/>
      <w:marBottom w:val="0"/>
      <w:divBdr>
        <w:top w:val="none" w:sz="0" w:space="0" w:color="auto"/>
        <w:left w:val="none" w:sz="0" w:space="0" w:color="auto"/>
        <w:bottom w:val="none" w:sz="0" w:space="0" w:color="auto"/>
        <w:right w:val="none" w:sz="0" w:space="0" w:color="auto"/>
      </w:divBdr>
    </w:div>
    <w:div w:id="1412699855">
      <w:marLeft w:val="480"/>
      <w:marRight w:val="0"/>
      <w:marTop w:val="0"/>
      <w:marBottom w:val="0"/>
      <w:divBdr>
        <w:top w:val="none" w:sz="0" w:space="0" w:color="auto"/>
        <w:left w:val="none" w:sz="0" w:space="0" w:color="auto"/>
        <w:bottom w:val="none" w:sz="0" w:space="0" w:color="auto"/>
        <w:right w:val="none" w:sz="0" w:space="0" w:color="auto"/>
      </w:divBdr>
    </w:div>
    <w:div w:id="1413041451">
      <w:marLeft w:val="480"/>
      <w:marRight w:val="0"/>
      <w:marTop w:val="0"/>
      <w:marBottom w:val="0"/>
      <w:divBdr>
        <w:top w:val="none" w:sz="0" w:space="0" w:color="auto"/>
        <w:left w:val="none" w:sz="0" w:space="0" w:color="auto"/>
        <w:bottom w:val="none" w:sz="0" w:space="0" w:color="auto"/>
        <w:right w:val="none" w:sz="0" w:space="0" w:color="auto"/>
      </w:divBdr>
    </w:div>
    <w:div w:id="1414474543">
      <w:marLeft w:val="480"/>
      <w:marRight w:val="0"/>
      <w:marTop w:val="0"/>
      <w:marBottom w:val="0"/>
      <w:divBdr>
        <w:top w:val="none" w:sz="0" w:space="0" w:color="auto"/>
        <w:left w:val="none" w:sz="0" w:space="0" w:color="auto"/>
        <w:bottom w:val="none" w:sz="0" w:space="0" w:color="auto"/>
        <w:right w:val="none" w:sz="0" w:space="0" w:color="auto"/>
      </w:divBdr>
    </w:div>
    <w:div w:id="1424839764">
      <w:marLeft w:val="480"/>
      <w:marRight w:val="0"/>
      <w:marTop w:val="0"/>
      <w:marBottom w:val="0"/>
      <w:divBdr>
        <w:top w:val="none" w:sz="0" w:space="0" w:color="auto"/>
        <w:left w:val="none" w:sz="0" w:space="0" w:color="auto"/>
        <w:bottom w:val="none" w:sz="0" w:space="0" w:color="auto"/>
        <w:right w:val="none" w:sz="0" w:space="0" w:color="auto"/>
      </w:divBdr>
    </w:div>
    <w:div w:id="1426076046">
      <w:marLeft w:val="480"/>
      <w:marRight w:val="0"/>
      <w:marTop w:val="0"/>
      <w:marBottom w:val="0"/>
      <w:divBdr>
        <w:top w:val="none" w:sz="0" w:space="0" w:color="auto"/>
        <w:left w:val="none" w:sz="0" w:space="0" w:color="auto"/>
        <w:bottom w:val="none" w:sz="0" w:space="0" w:color="auto"/>
        <w:right w:val="none" w:sz="0" w:space="0" w:color="auto"/>
      </w:divBdr>
    </w:div>
    <w:div w:id="1426153167">
      <w:marLeft w:val="480"/>
      <w:marRight w:val="0"/>
      <w:marTop w:val="0"/>
      <w:marBottom w:val="0"/>
      <w:divBdr>
        <w:top w:val="none" w:sz="0" w:space="0" w:color="auto"/>
        <w:left w:val="none" w:sz="0" w:space="0" w:color="auto"/>
        <w:bottom w:val="none" w:sz="0" w:space="0" w:color="auto"/>
        <w:right w:val="none" w:sz="0" w:space="0" w:color="auto"/>
      </w:divBdr>
    </w:div>
    <w:div w:id="1428042222">
      <w:marLeft w:val="480"/>
      <w:marRight w:val="0"/>
      <w:marTop w:val="0"/>
      <w:marBottom w:val="0"/>
      <w:divBdr>
        <w:top w:val="none" w:sz="0" w:space="0" w:color="auto"/>
        <w:left w:val="none" w:sz="0" w:space="0" w:color="auto"/>
        <w:bottom w:val="none" w:sz="0" w:space="0" w:color="auto"/>
        <w:right w:val="none" w:sz="0" w:space="0" w:color="auto"/>
      </w:divBdr>
    </w:div>
    <w:div w:id="1432161031">
      <w:marLeft w:val="480"/>
      <w:marRight w:val="0"/>
      <w:marTop w:val="0"/>
      <w:marBottom w:val="0"/>
      <w:divBdr>
        <w:top w:val="none" w:sz="0" w:space="0" w:color="auto"/>
        <w:left w:val="none" w:sz="0" w:space="0" w:color="auto"/>
        <w:bottom w:val="none" w:sz="0" w:space="0" w:color="auto"/>
        <w:right w:val="none" w:sz="0" w:space="0" w:color="auto"/>
      </w:divBdr>
    </w:div>
    <w:div w:id="1433671743">
      <w:marLeft w:val="480"/>
      <w:marRight w:val="0"/>
      <w:marTop w:val="0"/>
      <w:marBottom w:val="0"/>
      <w:divBdr>
        <w:top w:val="none" w:sz="0" w:space="0" w:color="auto"/>
        <w:left w:val="none" w:sz="0" w:space="0" w:color="auto"/>
        <w:bottom w:val="none" w:sz="0" w:space="0" w:color="auto"/>
        <w:right w:val="none" w:sz="0" w:space="0" w:color="auto"/>
      </w:divBdr>
    </w:div>
    <w:div w:id="1441795502">
      <w:marLeft w:val="480"/>
      <w:marRight w:val="0"/>
      <w:marTop w:val="0"/>
      <w:marBottom w:val="0"/>
      <w:divBdr>
        <w:top w:val="none" w:sz="0" w:space="0" w:color="auto"/>
        <w:left w:val="none" w:sz="0" w:space="0" w:color="auto"/>
        <w:bottom w:val="none" w:sz="0" w:space="0" w:color="auto"/>
        <w:right w:val="none" w:sz="0" w:space="0" w:color="auto"/>
      </w:divBdr>
    </w:div>
    <w:div w:id="1445540990">
      <w:marLeft w:val="480"/>
      <w:marRight w:val="0"/>
      <w:marTop w:val="0"/>
      <w:marBottom w:val="0"/>
      <w:divBdr>
        <w:top w:val="none" w:sz="0" w:space="0" w:color="auto"/>
        <w:left w:val="none" w:sz="0" w:space="0" w:color="auto"/>
        <w:bottom w:val="none" w:sz="0" w:space="0" w:color="auto"/>
        <w:right w:val="none" w:sz="0" w:space="0" w:color="auto"/>
      </w:divBdr>
    </w:div>
    <w:div w:id="1447509117">
      <w:marLeft w:val="480"/>
      <w:marRight w:val="0"/>
      <w:marTop w:val="0"/>
      <w:marBottom w:val="0"/>
      <w:divBdr>
        <w:top w:val="none" w:sz="0" w:space="0" w:color="auto"/>
        <w:left w:val="none" w:sz="0" w:space="0" w:color="auto"/>
        <w:bottom w:val="none" w:sz="0" w:space="0" w:color="auto"/>
        <w:right w:val="none" w:sz="0" w:space="0" w:color="auto"/>
      </w:divBdr>
    </w:div>
    <w:div w:id="1453787722">
      <w:marLeft w:val="480"/>
      <w:marRight w:val="0"/>
      <w:marTop w:val="0"/>
      <w:marBottom w:val="0"/>
      <w:divBdr>
        <w:top w:val="none" w:sz="0" w:space="0" w:color="auto"/>
        <w:left w:val="none" w:sz="0" w:space="0" w:color="auto"/>
        <w:bottom w:val="none" w:sz="0" w:space="0" w:color="auto"/>
        <w:right w:val="none" w:sz="0" w:space="0" w:color="auto"/>
      </w:divBdr>
    </w:div>
    <w:div w:id="1456828024">
      <w:marLeft w:val="480"/>
      <w:marRight w:val="0"/>
      <w:marTop w:val="0"/>
      <w:marBottom w:val="0"/>
      <w:divBdr>
        <w:top w:val="none" w:sz="0" w:space="0" w:color="auto"/>
        <w:left w:val="none" w:sz="0" w:space="0" w:color="auto"/>
        <w:bottom w:val="none" w:sz="0" w:space="0" w:color="auto"/>
        <w:right w:val="none" w:sz="0" w:space="0" w:color="auto"/>
      </w:divBdr>
    </w:div>
    <w:div w:id="1459912670">
      <w:marLeft w:val="480"/>
      <w:marRight w:val="0"/>
      <w:marTop w:val="0"/>
      <w:marBottom w:val="0"/>
      <w:divBdr>
        <w:top w:val="none" w:sz="0" w:space="0" w:color="auto"/>
        <w:left w:val="none" w:sz="0" w:space="0" w:color="auto"/>
        <w:bottom w:val="none" w:sz="0" w:space="0" w:color="auto"/>
        <w:right w:val="none" w:sz="0" w:space="0" w:color="auto"/>
      </w:divBdr>
    </w:div>
    <w:div w:id="1465851133">
      <w:marLeft w:val="480"/>
      <w:marRight w:val="0"/>
      <w:marTop w:val="0"/>
      <w:marBottom w:val="0"/>
      <w:divBdr>
        <w:top w:val="none" w:sz="0" w:space="0" w:color="auto"/>
        <w:left w:val="none" w:sz="0" w:space="0" w:color="auto"/>
        <w:bottom w:val="none" w:sz="0" w:space="0" w:color="auto"/>
        <w:right w:val="none" w:sz="0" w:space="0" w:color="auto"/>
      </w:divBdr>
    </w:div>
    <w:div w:id="1473599961">
      <w:marLeft w:val="480"/>
      <w:marRight w:val="0"/>
      <w:marTop w:val="0"/>
      <w:marBottom w:val="0"/>
      <w:divBdr>
        <w:top w:val="none" w:sz="0" w:space="0" w:color="auto"/>
        <w:left w:val="none" w:sz="0" w:space="0" w:color="auto"/>
        <w:bottom w:val="none" w:sz="0" w:space="0" w:color="auto"/>
        <w:right w:val="none" w:sz="0" w:space="0" w:color="auto"/>
      </w:divBdr>
    </w:div>
    <w:div w:id="1473786608">
      <w:marLeft w:val="480"/>
      <w:marRight w:val="0"/>
      <w:marTop w:val="0"/>
      <w:marBottom w:val="0"/>
      <w:divBdr>
        <w:top w:val="none" w:sz="0" w:space="0" w:color="auto"/>
        <w:left w:val="none" w:sz="0" w:space="0" w:color="auto"/>
        <w:bottom w:val="none" w:sz="0" w:space="0" w:color="auto"/>
        <w:right w:val="none" w:sz="0" w:space="0" w:color="auto"/>
      </w:divBdr>
    </w:div>
    <w:div w:id="1477068988">
      <w:marLeft w:val="480"/>
      <w:marRight w:val="0"/>
      <w:marTop w:val="0"/>
      <w:marBottom w:val="0"/>
      <w:divBdr>
        <w:top w:val="none" w:sz="0" w:space="0" w:color="auto"/>
        <w:left w:val="none" w:sz="0" w:space="0" w:color="auto"/>
        <w:bottom w:val="none" w:sz="0" w:space="0" w:color="auto"/>
        <w:right w:val="none" w:sz="0" w:space="0" w:color="auto"/>
      </w:divBdr>
    </w:div>
    <w:div w:id="1482574213">
      <w:marLeft w:val="480"/>
      <w:marRight w:val="0"/>
      <w:marTop w:val="0"/>
      <w:marBottom w:val="0"/>
      <w:divBdr>
        <w:top w:val="none" w:sz="0" w:space="0" w:color="auto"/>
        <w:left w:val="none" w:sz="0" w:space="0" w:color="auto"/>
        <w:bottom w:val="none" w:sz="0" w:space="0" w:color="auto"/>
        <w:right w:val="none" w:sz="0" w:space="0" w:color="auto"/>
      </w:divBdr>
    </w:div>
    <w:div w:id="1482648838">
      <w:marLeft w:val="480"/>
      <w:marRight w:val="0"/>
      <w:marTop w:val="0"/>
      <w:marBottom w:val="0"/>
      <w:divBdr>
        <w:top w:val="none" w:sz="0" w:space="0" w:color="auto"/>
        <w:left w:val="none" w:sz="0" w:space="0" w:color="auto"/>
        <w:bottom w:val="none" w:sz="0" w:space="0" w:color="auto"/>
        <w:right w:val="none" w:sz="0" w:space="0" w:color="auto"/>
      </w:divBdr>
    </w:div>
    <w:div w:id="1484199732">
      <w:marLeft w:val="480"/>
      <w:marRight w:val="0"/>
      <w:marTop w:val="0"/>
      <w:marBottom w:val="0"/>
      <w:divBdr>
        <w:top w:val="none" w:sz="0" w:space="0" w:color="auto"/>
        <w:left w:val="none" w:sz="0" w:space="0" w:color="auto"/>
        <w:bottom w:val="none" w:sz="0" w:space="0" w:color="auto"/>
        <w:right w:val="none" w:sz="0" w:space="0" w:color="auto"/>
      </w:divBdr>
    </w:div>
    <w:div w:id="1491605006">
      <w:marLeft w:val="480"/>
      <w:marRight w:val="0"/>
      <w:marTop w:val="0"/>
      <w:marBottom w:val="0"/>
      <w:divBdr>
        <w:top w:val="none" w:sz="0" w:space="0" w:color="auto"/>
        <w:left w:val="none" w:sz="0" w:space="0" w:color="auto"/>
        <w:bottom w:val="none" w:sz="0" w:space="0" w:color="auto"/>
        <w:right w:val="none" w:sz="0" w:space="0" w:color="auto"/>
      </w:divBdr>
    </w:div>
    <w:div w:id="1492792861">
      <w:marLeft w:val="480"/>
      <w:marRight w:val="0"/>
      <w:marTop w:val="0"/>
      <w:marBottom w:val="0"/>
      <w:divBdr>
        <w:top w:val="none" w:sz="0" w:space="0" w:color="auto"/>
        <w:left w:val="none" w:sz="0" w:space="0" w:color="auto"/>
        <w:bottom w:val="none" w:sz="0" w:space="0" w:color="auto"/>
        <w:right w:val="none" w:sz="0" w:space="0" w:color="auto"/>
      </w:divBdr>
    </w:div>
    <w:div w:id="1500846505">
      <w:marLeft w:val="480"/>
      <w:marRight w:val="0"/>
      <w:marTop w:val="0"/>
      <w:marBottom w:val="0"/>
      <w:divBdr>
        <w:top w:val="none" w:sz="0" w:space="0" w:color="auto"/>
        <w:left w:val="none" w:sz="0" w:space="0" w:color="auto"/>
        <w:bottom w:val="none" w:sz="0" w:space="0" w:color="auto"/>
        <w:right w:val="none" w:sz="0" w:space="0" w:color="auto"/>
      </w:divBdr>
    </w:div>
    <w:div w:id="1502700676">
      <w:marLeft w:val="480"/>
      <w:marRight w:val="0"/>
      <w:marTop w:val="0"/>
      <w:marBottom w:val="0"/>
      <w:divBdr>
        <w:top w:val="none" w:sz="0" w:space="0" w:color="auto"/>
        <w:left w:val="none" w:sz="0" w:space="0" w:color="auto"/>
        <w:bottom w:val="none" w:sz="0" w:space="0" w:color="auto"/>
        <w:right w:val="none" w:sz="0" w:space="0" w:color="auto"/>
      </w:divBdr>
    </w:div>
    <w:div w:id="1503666177">
      <w:marLeft w:val="480"/>
      <w:marRight w:val="0"/>
      <w:marTop w:val="0"/>
      <w:marBottom w:val="0"/>
      <w:divBdr>
        <w:top w:val="none" w:sz="0" w:space="0" w:color="auto"/>
        <w:left w:val="none" w:sz="0" w:space="0" w:color="auto"/>
        <w:bottom w:val="none" w:sz="0" w:space="0" w:color="auto"/>
        <w:right w:val="none" w:sz="0" w:space="0" w:color="auto"/>
      </w:divBdr>
    </w:div>
    <w:div w:id="1508980377">
      <w:marLeft w:val="480"/>
      <w:marRight w:val="0"/>
      <w:marTop w:val="0"/>
      <w:marBottom w:val="0"/>
      <w:divBdr>
        <w:top w:val="none" w:sz="0" w:space="0" w:color="auto"/>
        <w:left w:val="none" w:sz="0" w:space="0" w:color="auto"/>
        <w:bottom w:val="none" w:sz="0" w:space="0" w:color="auto"/>
        <w:right w:val="none" w:sz="0" w:space="0" w:color="auto"/>
      </w:divBdr>
    </w:div>
    <w:div w:id="1509521742">
      <w:marLeft w:val="480"/>
      <w:marRight w:val="0"/>
      <w:marTop w:val="0"/>
      <w:marBottom w:val="0"/>
      <w:divBdr>
        <w:top w:val="none" w:sz="0" w:space="0" w:color="auto"/>
        <w:left w:val="none" w:sz="0" w:space="0" w:color="auto"/>
        <w:bottom w:val="none" w:sz="0" w:space="0" w:color="auto"/>
        <w:right w:val="none" w:sz="0" w:space="0" w:color="auto"/>
      </w:divBdr>
    </w:div>
    <w:div w:id="1509949519">
      <w:marLeft w:val="480"/>
      <w:marRight w:val="0"/>
      <w:marTop w:val="0"/>
      <w:marBottom w:val="0"/>
      <w:divBdr>
        <w:top w:val="none" w:sz="0" w:space="0" w:color="auto"/>
        <w:left w:val="none" w:sz="0" w:space="0" w:color="auto"/>
        <w:bottom w:val="none" w:sz="0" w:space="0" w:color="auto"/>
        <w:right w:val="none" w:sz="0" w:space="0" w:color="auto"/>
      </w:divBdr>
    </w:div>
    <w:div w:id="1513572749">
      <w:marLeft w:val="480"/>
      <w:marRight w:val="0"/>
      <w:marTop w:val="0"/>
      <w:marBottom w:val="0"/>
      <w:divBdr>
        <w:top w:val="none" w:sz="0" w:space="0" w:color="auto"/>
        <w:left w:val="none" w:sz="0" w:space="0" w:color="auto"/>
        <w:bottom w:val="none" w:sz="0" w:space="0" w:color="auto"/>
        <w:right w:val="none" w:sz="0" w:space="0" w:color="auto"/>
      </w:divBdr>
    </w:div>
    <w:div w:id="1514025796">
      <w:marLeft w:val="480"/>
      <w:marRight w:val="0"/>
      <w:marTop w:val="0"/>
      <w:marBottom w:val="0"/>
      <w:divBdr>
        <w:top w:val="none" w:sz="0" w:space="0" w:color="auto"/>
        <w:left w:val="none" w:sz="0" w:space="0" w:color="auto"/>
        <w:bottom w:val="none" w:sz="0" w:space="0" w:color="auto"/>
        <w:right w:val="none" w:sz="0" w:space="0" w:color="auto"/>
      </w:divBdr>
    </w:div>
    <w:div w:id="1516771933">
      <w:marLeft w:val="480"/>
      <w:marRight w:val="0"/>
      <w:marTop w:val="0"/>
      <w:marBottom w:val="0"/>
      <w:divBdr>
        <w:top w:val="none" w:sz="0" w:space="0" w:color="auto"/>
        <w:left w:val="none" w:sz="0" w:space="0" w:color="auto"/>
        <w:bottom w:val="none" w:sz="0" w:space="0" w:color="auto"/>
        <w:right w:val="none" w:sz="0" w:space="0" w:color="auto"/>
      </w:divBdr>
    </w:div>
    <w:div w:id="1519536689">
      <w:marLeft w:val="480"/>
      <w:marRight w:val="0"/>
      <w:marTop w:val="0"/>
      <w:marBottom w:val="0"/>
      <w:divBdr>
        <w:top w:val="none" w:sz="0" w:space="0" w:color="auto"/>
        <w:left w:val="none" w:sz="0" w:space="0" w:color="auto"/>
        <w:bottom w:val="none" w:sz="0" w:space="0" w:color="auto"/>
        <w:right w:val="none" w:sz="0" w:space="0" w:color="auto"/>
      </w:divBdr>
    </w:div>
    <w:div w:id="1520048411">
      <w:marLeft w:val="480"/>
      <w:marRight w:val="0"/>
      <w:marTop w:val="0"/>
      <w:marBottom w:val="0"/>
      <w:divBdr>
        <w:top w:val="none" w:sz="0" w:space="0" w:color="auto"/>
        <w:left w:val="none" w:sz="0" w:space="0" w:color="auto"/>
        <w:bottom w:val="none" w:sz="0" w:space="0" w:color="auto"/>
        <w:right w:val="none" w:sz="0" w:space="0" w:color="auto"/>
      </w:divBdr>
    </w:div>
    <w:div w:id="1526021144">
      <w:marLeft w:val="480"/>
      <w:marRight w:val="0"/>
      <w:marTop w:val="0"/>
      <w:marBottom w:val="0"/>
      <w:divBdr>
        <w:top w:val="none" w:sz="0" w:space="0" w:color="auto"/>
        <w:left w:val="none" w:sz="0" w:space="0" w:color="auto"/>
        <w:bottom w:val="none" w:sz="0" w:space="0" w:color="auto"/>
        <w:right w:val="none" w:sz="0" w:space="0" w:color="auto"/>
      </w:divBdr>
    </w:div>
    <w:div w:id="1526750254">
      <w:marLeft w:val="480"/>
      <w:marRight w:val="0"/>
      <w:marTop w:val="0"/>
      <w:marBottom w:val="0"/>
      <w:divBdr>
        <w:top w:val="none" w:sz="0" w:space="0" w:color="auto"/>
        <w:left w:val="none" w:sz="0" w:space="0" w:color="auto"/>
        <w:bottom w:val="none" w:sz="0" w:space="0" w:color="auto"/>
        <w:right w:val="none" w:sz="0" w:space="0" w:color="auto"/>
      </w:divBdr>
    </w:div>
    <w:div w:id="1528831305">
      <w:marLeft w:val="480"/>
      <w:marRight w:val="0"/>
      <w:marTop w:val="0"/>
      <w:marBottom w:val="0"/>
      <w:divBdr>
        <w:top w:val="none" w:sz="0" w:space="0" w:color="auto"/>
        <w:left w:val="none" w:sz="0" w:space="0" w:color="auto"/>
        <w:bottom w:val="none" w:sz="0" w:space="0" w:color="auto"/>
        <w:right w:val="none" w:sz="0" w:space="0" w:color="auto"/>
      </w:divBdr>
    </w:div>
    <w:div w:id="1531333877">
      <w:marLeft w:val="480"/>
      <w:marRight w:val="0"/>
      <w:marTop w:val="0"/>
      <w:marBottom w:val="0"/>
      <w:divBdr>
        <w:top w:val="none" w:sz="0" w:space="0" w:color="auto"/>
        <w:left w:val="none" w:sz="0" w:space="0" w:color="auto"/>
        <w:bottom w:val="none" w:sz="0" w:space="0" w:color="auto"/>
        <w:right w:val="none" w:sz="0" w:space="0" w:color="auto"/>
      </w:divBdr>
    </w:div>
    <w:div w:id="1532572943">
      <w:marLeft w:val="480"/>
      <w:marRight w:val="0"/>
      <w:marTop w:val="0"/>
      <w:marBottom w:val="0"/>
      <w:divBdr>
        <w:top w:val="none" w:sz="0" w:space="0" w:color="auto"/>
        <w:left w:val="none" w:sz="0" w:space="0" w:color="auto"/>
        <w:bottom w:val="none" w:sz="0" w:space="0" w:color="auto"/>
        <w:right w:val="none" w:sz="0" w:space="0" w:color="auto"/>
      </w:divBdr>
    </w:div>
    <w:div w:id="1539858306">
      <w:marLeft w:val="480"/>
      <w:marRight w:val="0"/>
      <w:marTop w:val="0"/>
      <w:marBottom w:val="0"/>
      <w:divBdr>
        <w:top w:val="none" w:sz="0" w:space="0" w:color="auto"/>
        <w:left w:val="none" w:sz="0" w:space="0" w:color="auto"/>
        <w:bottom w:val="none" w:sz="0" w:space="0" w:color="auto"/>
        <w:right w:val="none" w:sz="0" w:space="0" w:color="auto"/>
      </w:divBdr>
    </w:div>
    <w:div w:id="1540512487">
      <w:marLeft w:val="480"/>
      <w:marRight w:val="0"/>
      <w:marTop w:val="0"/>
      <w:marBottom w:val="0"/>
      <w:divBdr>
        <w:top w:val="none" w:sz="0" w:space="0" w:color="auto"/>
        <w:left w:val="none" w:sz="0" w:space="0" w:color="auto"/>
        <w:bottom w:val="none" w:sz="0" w:space="0" w:color="auto"/>
        <w:right w:val="none" w:sz="0" w:space="0" w:color="auto"/>
      </w:divBdr>
    </w:div>
    <w:div w:id="1543787799">
      <w:marLeft w:val="480"/>
      <w:marRight w:val="0"/>
      <w:marTop w:val="0"/>
      <w:marBottom w:val="0"/>
      <w:divBdr>
        <w:top w:val="none" w:sz="0" w:space="0" w:color="auto"/>
        <w:left w:val="none" w:sz="0" w:space="0" w:color="auto"/>
        <w:bottom w:val="none" w:sz="0" w:space="0" w:color="auto"/>
        <w:right w:val="none" w:sz="0" w:space="0" w:color="auto"/>
      </w:divBdr>
    </w:div>
    <w:div w:id="1549489068">
      <w:marLeft w:val="480"/>
      <w:marRight w:val="0"/>
      <w:marTop w:val="0"/>
      <w:marBottom w:val="0"/>
      <w:divBdr>
        <w:top w:val="none" w:sz="0" w:space="0" w:color="auto"/>
        <w:left w:val="none" w:sz="0" w:space="0" w:color="auto"/>
        <w:bottom w:val="none" w:sz="0" w:space="0" w:color="auto"/>
        <w:right w:val="none" w:sz="0" w:space="0" w:color="auto"/>
      </w:divBdr>
    </w:div>
    <w:div w:id="1555968455">
      <w:marLeft w:val="480"/>
      <w:marRight w:val="0"/>
      <w:marTop w:val="0"/>
      <w:marBottom w:val="0"/>
      <w:divBdr>
        <w:top w:val="none" w:sz="0" w:space="0" w:color="auto"/>
        <w:left w:val="none" w:sz="0" w:space="0" w:color="auto"/>
        <w:bottom w:val="none" w:sz="0" w:space="0" w:color="auto"/>
        <w:right w:val="none" w:sz="0" w:space="0" w:color="auto"/>
      </w:divBdr>
    </w:div>
    <w:div w:id="1559246378">
      <w:marLeft w:val="480"/>
      <w:marRight w:val="0"/>
      <w:marTop w:val="0"/>
      <w:marBottom w:val="0"/>
      <w:divBdr>
        <w:top w:val="none" w:sz="0" w:space="0" w:color="auto"/>
        <w:left w:val="none" w:sz="0" w:space="0" w:color="auto"/>
        <w:bottom w:val="none" w:sz="0" w:space="0" w:color="auto"/>
        <w:right w:val="none" w:sz="0" w:space="0" w:color="auto"/>
      </w:divBdr>
    </w:div>
    <w:div w:id="1562061459">
      <w:marLeft w:val="480"/>
      <w:marRight w:val="0"/>
      <w:marTop w:val="0"/>
      <w:marBottom w:val="0"/>
      <w:divBdr>
        <w:top w:val="none" w:sz="0" w:space="0" w:color="auto"/>
        <w:left w:val="none" w:sz="0" w:space="0" w:color="auto"/>
        <w:bottom w:val="none" w:sz="0" w:space="0" w:color="auto"/>
        <w:right w:val="none" w:sz="0" w:space="0" w:color="auto"/>
      </w:divBdr>
    </w:div>
    <w:div w:id="1566378214">
      <w:marLeft w:val="480"/>
      <w:marRight w:val="0"/>
      <w:marTop w:val="0"/>
      <w:marBottom w:val="0"/>
      <w:divBdr>
        <w:top w:val="none" w:sz="0" w:space="0" w:color="auto"/>
        <w:left w:val="none" w:sz="0" w:space="0" w:color="auto"/>
        <w:bottom w:val="none" w:sz="0" w:space="0" w:color="auto"/>
        <w:right w:val="none" w:sz="0" w:space="0" w:color="auto"/>
      </w:divBdr>
    </w:div>
    <w:div w:id="1584296761">
      <w:marLeft w:val="480"/>
      <w:marRight w:val="0"/>
      <w:marTop w:val="0"/>
      <w:marBottom w:val="0"/>
      <w:divBdr>
        <w:top w:val="none" w:sz="0" w:space="0" w:color="auto"/>
        <w:left w:val="none" w:sz="0" w:space="0" w:color="auto"/>
        <w:bottom w:val="none" w:sz="0" w:space="0" w:color="auto"/>
        <w:right w:val="none" w:sz="0" w:space="0" w:color="auto"/>
      </w:divBdr>
    </w:div>
    <w:div w:id="1592279923">
      <w:marLeft w:val="480"/>
      <w:marRight w:val="0"/>
      <w:marTop w:val="0"/>
      <w:marBottom w:val="0"/>
      <w:divBdr>
        <w:top w:val="none" w:sz="0" w:space="0" w:color="auto"/>
        <w:left w:val="none" w:sz="0" w:space="0" w:color="auto"/>
        <w:bottom w:val="none" w:sz="0" w:space="0" w:color="auto"/>
        <w:right w:val="none" w:sz="0" w:space="0" w:color="auto"/>
      </w:divBdr>
    </w:div>
    <w:div w:id="1594509395">
      <w:marLeft w:val="480"/>
      <w:marRight w:val="0"/>
      <w:marTop w:val="0"/>
      <w:marBottom w:val="0"/>
      <w:divBdr>
        <w:top w:val="none" w:sz="0" w:space="0" w:color="auto"/>
        <w:left w:val="none" w:sz="0" w:space="0" w:color="auto"/>
        <w:bottom w:val="none" w:sz="0" w:space="0" w:color="auto"/>
        <w:right w:val="none" w:sz="0" w:space="0" w:color="auto"/>
      </w:divBdr>
    </w:div>
    <w:div w:id="1609123552">
      <w:marLeft w:val="480"/>
      <w:marRight w:val="0"/>
      <w:marTop w:val="0"/>
      <w:marBottom w:val="0"/>
      <w:divBdr>
        <w:top w:val="none" w:sz="0" w:space="0" w:color="auto"/>
        <w:left w:val="none" w:sz="0" w:space="0" w:color="auto"/>
        <w:bottom w:val="none" w:sz="0" w:space="0" w:color="auto"/>
        <w:right w:val="none" w:sz="0" w:space="0" w:color="auto"/>
      </w:divBdr>
    </w:div>
    <w:div w:id="1614050477">
      <w:marLeft w:val="480"/>
      <w:marRight w:val="0"/>
      <w:marTop w:val="0"/>
      <w:marBottom w:val="0"/>
      <w:divBdr>
        <w:top w:val="none" w:sz="0" w:space="0" w:color="auto"/>
        <w:left w:val="none" w:sz="0" w:space="0" w:color="auto"/>
        <w:bottom w:val="none" w:sz="0" w:space="0" w:color="auto"/>
        <w:right w:val="none" w:sz="0" w:space="0" w:color="auto"/>
      </w:divBdr>
    </w:div>
    <w:div w:id="1615821802">
      <w:marLeft w:val="480"/>
      <w:marRight w:val="0"/>
      <w:marTop w:val="0"/>
      <w:marBottom w:val="0"/>
      <w:divBdr>
        <w:top w:val="none" w:sz="0" w:space="0" w:color="auto"/>
        <w:left w:val="none" w:sz="0" w:space="0" w:color="auto"/>
        <w:bottom w:val="none" w:sz="0" w:space="0" w:color="auto"/>
        <w:right w:val="none" w:sz="0" w:space="0" w:color="auto"/>
      </w:divBdr>
    </w:div>
    <w:div w:id="1628773405">
      <w:marLeft w:val="480"/>
      <w:marRight w:val="0"/>
      <w:marTop w:val="0"/>
      <w:marBottom w:val="0"/>
      <w:divBdr>
        <w:top w:val="none" w:sz="0" w:space="0" w:color="auto"/>
        <w:left w:val="none" w:sz="0" w:space="0" w:color="auto"/>
        <w:bottom w:val="none" w:sz="0" w:space="0" w:color="auto"/>
        <w:right w:val="none" w:sz="0" w:space="0" w:color="auto"/>
      </w:divBdr>
    </w:div>
    <w:div w:id="1631398669">
      <w:marLeft w:val="480"/>
      <w:marRight w:val="0"/>
      <w:marTop w:val="0"/>
      <w:marBottom w:val="0"/>
      <w:divBdr>
        <w:top w:val="none" w:sz="0" w:space="0" w:color="auto"/>
        <w:left w:val="none" w:sz="0" w:space="0" w:color="auto"/>
        <w:bottom w:val="none" w:sz="0" w:space="0" w:color="auto"/>
        <w:right w:val="none" w:sz="0" w:space="0" w:color="auto"/>
      </w:divBdr>
    </w:div>
    <w:div w:id="1651401168">
      <w:marLeft w:val="480"/>
      <w:marRight w:val="0"/>
      <w:marTop w:val="0"/>
      <w:marBottom w:val="0"/>
      <w:divBdr>
        <w:top w:val="none" w:sz="0" w:space="0" w:color="auto"/>
        <w:left w:val="none" w:sz="0" w:space="0" w:color="auto"/>
        <w:bottom w:val="none" w:sz="0" w:space="0" w:color="auto"/>
        <w:right w:val="none" w:sz="0" w:space="0" w:color="auto"/>
      </w:divBdr>
    </w:div>
    <w:div w:id="1653751528">
      <w:marLeft w:val="480"/>
      <w:marRight w:val="0"/>
      <w:marTop w:val="0"/>
      <w:marBottom w:val="0"/>
      <w:divBdr>
        <w:top w:val="none" w:sz="0" w:space="0" w:color="auto"/>
        <w:left w:val="none" w:sz="0" w:space="0" w:color="auto"/>
        <w:bottom w:val="none" w:sz="0" w:space="0" w:color="auto"/>
        <w:right w:val="none" w:sz="0" w:space="0" w:color="auto"/>
      </w:divBdr>
    </w:div>
    <w:div w:id="1659385054">
      <w:marLeft w:val="480"/>
      <w:marRight w:val="0"/>
      <w:marTop w:val="0"/>
      <w:marBottom w:val="0"/>
      <w:divBdr>
        <w:top w:val="none" w:sz="0" w:space="0" w:color="auto"/>
        <w:left w:val="none" w:sz="0" w:space="0" w:color="auto"/>
        <w:bottom w:val="none" w:sz="0" w:space="0" w:color="auto"/>
        <w:right w:val="none" w:sz="0" w:space="0" w:color="auto"/>
      </w:divBdr>
    </w:div>
    <w:div w:id="1661536835">
      <w:marLeft w:val="480"/>
      <w:marRight w:val="0"/>
      <w:marTop w:val="0"/>
      <w:marBottom w:val="0"/>
      <w:divBdr>
        <w:top w:val="none" w:sz="0" w:space="0" w:color="auto"/>
        <w:left w:val="none" w:sz="0" w:space="0" w:color="auto"/>
        <w:bottom w:val="none" w:sz="0" w:space="0" w:color="auto"/>
        <w:right w:val="none" w:sz="0" w:space="0" w:color="auto"/>
      </w:divBdr>
    </w:div>
    <w:div w:id="1664898032">
      <w:marLeft w:val="480"/>
      <w:marRight w:val="0"/>
      <w:marTop w:val="0"/>
      <w:marBottom w:val="0"/>
      <w:divBdr>
        <w:top w:val="none" w:sz="0" w:space="0" w:color="auto"/>
        <w:left w:val="none" w:sz="0" w:space="0" w:color="auto"/>
        <w:bottom w:val="none" w:sz="0" w:space="0" w:color="auto"/>
        <w:right w:val="none" w:sz="0" w:space="0" w:color="auto"/>
      </w:divBdr>
    </w:div>
    <w:div w:id="1667247738">
      <w:marLeft w:val="480"/>
      <w:marRight w:val="0"/>
      <w:marTop w:val="0"/>
      <w:marBottom w:val="0"/>
      <w:divBdr>
        <w:top w:val="none" w:sz="0" w:space="0" w:color="auto"/>
        <w:left w:val="none" w:sz="0" w:space="0" w:color="auto"/>
        <w:bottom w:val="none" w:sz="0" w:space="0" w:color="auto"/>
        <w:right w:val="none" w:sz="0" w:space="0" w:color="auto"/>
      </w:divBdr>
    </w:div>
    <w:div w:id="1670018602">
      <w:marLeft w:val="480"/>
      <w:marRight w:val="0"/>
      <w:marTop w:val="0"/>
      <w:marBottom w:val="0"/>
      <w:divBdr>
        <w:top w:val="none" w:sz="0" w:space="0" w:color="auto"/>
        <w:left w:val="none" w:sz="0" w:space="0" w:color="auto"/>
        <w:bottom w:val="none" w:sz="0" w:space="0" w:color="auto"/>
        <w:right w:val="none" w:sz="0" w:space="0" w:color="auto"/>
      </w:divBdr>
    </w:div>
    <w:div w:id="1684434265">
      <w:marLeft w:val="480"/>
      <w:marRight w:val="0"/>
      <w:marTop w:val="0"/>
      <w:marBottom w:val="0"/>
      <w:divBdr>
        <w:top w:val="none" w:sz="0" w:space="0" w:color="auto"/>
        <w:left w:val="none" w:sz="0" w:space="0" w:color="auto"/>
        <w:bottom w:val="none" w:sz="0" w:space="0" w:color="auto"/>
        <w:right w:val="none" w:sz="0" w:space="0" w:color="auto"/>
      </w:divBdr>
    </w:div>
    <w:div w:id="1684817955">
      <w:marLeft w:val="480"/>
      <w:marRight w:val="0"/>
      <w:marTop w:val="0"/>
      <w:marBottom w:val="0"/>
      <w:divBdr>
        <w:top w:val="none" w:sz="0" w:space="0" w:color="auto"/>
        <w:left w:val="none" w:sz="0" w:space="0" w:color="auto"/>
        <w:bottom w:val="none" w:sz="0" w:space="0" w:color="auto"/>
        <w:right w:val="none" w:sz="0" w:space="0" w:color="auto"/>
      </w:divBdr>
    </w:div>
    <w:div w:id="1692143703">
      <w:marLeft w:val="480"/>
      <w:marRight w:val="0"/>
      <w:marTop w:val="0"/>
      <w:marBottom w:val="0"/>
      <w:divBdr>
        <w:top w:val="none" w:sz="0" w:space="0" w:color="auto"/>
        <w:left w:val="none" w:sz="0" w:space="0" w:color="auto"/>
        <w:bottom w:val="none" w:sz="0" w:space="0" w:color="auto"/>
        <w:right w:val="none" w:sz="0" w:space="0" w:color="auto"/>
      </w:divBdr>
    </w:div>
    <w:div w:id="1701860333">
      <w:marLeft w:val="480"/>
      <w:marRight w:val="0"/>
      <w:marTop w:val="0"/>
      <w:marBottom w:val="0"/>
      <w:divBdr>
        <w:top w:val="none" w:sz="0" w:space="0" w:color="auto"/>
        <w:left w:val="none" w:sz="0" w:space="0" w:color="auto"/>
        <w:bottom w:val="none" w:sz="0" w:space="0" w:color="auto"/>
        <w:right w:val="none" w:sz="0" w:space="0" w:color="auto"/>
      </w:divBdr>
    </w:div>
    <w:div w:id="1703163050">
      <w:marLeft w:val="480"/>
      <w:marRight w:val="0"/>
      <w:marTop w:val="0"/>
      <w:marBottom w:val="0"/>
      <w:divBdr>
        <w:top w:val="none" w:sz="0" w:space="0" w:color="auto"/>
        <w:left w:val="none" w:sz="0" w:space="0" w:color="auto"/>
        <w:bottom w:val="none" w:sz="0" w:space="0" w:color="auto"/>
        <w:right w:val="none" w:sz="0" w:space="0" w:color="auto"/>
      </w:divBdr>
    </w:div>
    <w:div w:id="1703627421">
      <w:marLeft w:val="480"/>
      <w:marRight w:val="0"/>
      <w:marTop w:val="0"/>
      <w:marBottom w:val="0"/>
      <w:divBdr>
        <w:top w:val="none" w:sz="0" w:space="0" w:color="auto"/>
        <w:left w:val="none" w:sz="0" w:space="0" w:color="auto"/>
        <w:bottom w:val="none" w:sz="0" w:space="0" w:color="auto"/>
        <w:right w:val="none" w:sz="0" w:space="0" w:color="auto"/>
      </w:divBdr>
    </w:div>
    <w:div w:id="1715691734">
      <w:marLeft w:val="480"/>
      <w:marRight w:val="0"/>
      <w:marTop w:val="0"/>
      <w:marBottom w:val="0"/>
      <w:divBdr>
        <w:top w:val="none" w:sz="0" w:space="0" w:color="auto"/>
        <w:left w:val="none" w:sz="0" w:space="0" w:color="auto"/>
        <w:bottom w:val="none" w:sz="0" w:space="0" w:color="auto"/>
        <w:right w:val="none" w:sz="0" w:space="0" w:color="auto"/>
      </w:divBdr>
    </w:div>
    <w:div w:id="1716468334">
      <w:marLeft w:val="480"/>
      <w:marRight w:val="0"/>
      <w:marTop w:val="0"/>
      <w:marBottom w:val="0"/>
      <w:divBdr>
        <w:top w:val="none" w:sz="0" w:space="0" w:color="auto"/>
        <w:left w:val="none" w:sz="0" w:space="0" w:color="auto"/>
        <w:bottom w:val="none" w:sz="0" w:space="0" w:color="auto"/>
        <w:right w:val="none" w:sz="0" w:space="0" w:color="auto"/>
      </w:divBdr>
    </w:div>
    <w:div w:id="1728801617">
      <w:marLeft w:val="0"/>
      <w:marRight w:val="0"/>
      <w:marTop w:val="0"/>
      <w:marBottom w:val="0"/>
      <w:divBdr>
        <w:top w:val="none" w:sz="0" w:space="0" w:color="auto"/>
        <w:left w:val="none" w:sz="0" w:space="0" w:color="auto"/>
        <w:bottom w:val="none" w:sz="0" w:space="0" w:color="auto"/>
        <w:right w:val="none" w:sz="0" w:space="0" w:color="auto"/>
      </w:divBdr>
    </w:div>
    <w:div w:id="1729188295">
      <w:marLeft w:val="480"/>
      <w:marRight w:val="0"/>
      <w:marTop w:val="0"/>
      <w:marBottom w:val="0"/>
      <w:divBdr>
        <w:top w:val="none" w:sz="0" w:space="0" w:color="auto"/>
        <w:left w:val="none" w:sz="0" w:space="0" w:color="auto"/>
        <w:bottom w:val="none" w:sz="0" w:space="0" w:color="auto"/>
        <w:right w:val="none" w:sz="0" w:space="0" w:color="auto"/>
      </w:divBdr>
    </w:div>
    <w:div w:id="1741826694">
      <w:marLeft w:val="480"/>
      <w:marRight w:val="0"/>
      <w:marTop w:val="0"/>
      <w:marBottom w:val="0"/>
      <w:divBdr>
        <w:top w:val="none" w:sz="0" w:space="0" w:color="auto"/>
        <w:left w:val="none" w:sz="0" w:space="0" w:color="auto"/>
        <w:bottom w:val="none" w:sz="0" w:space="0" w:color="auto"/>
        <w:right w:val="none" w:sz="0" w:space="0" w:color="auto"/>
      </w:divBdr>
    </w:div>
    <w:div w:id="1743720197">
      <w:marLeft w:val="480"/>
      <w:marRight w:val="0"/>
      <w:marTop w:val="0"/>
      <w:marBottom w:val="0"/>
      <w:divBdr>
        <w:top w:val="none" w:sz="0" w:space="0" w:color="auto"/>
        <w:left w:val="none" w:sz="0" w:space="0" w:color="auto"/>
        <w:bottom w:val="none" w:sz="0" w:space="0" w:color="auto"/>
        <w:right w:val="none" w:sz="0" w:space="0" w:color="auto"/>
      </w:divBdr>
    </w:div>
    <w:div w:id="1744374032">
      <w:marLeft w:val="480"/>
      <w:marRight w:val="0"/>
      <w:marTop w:val="0"/>
      <w:marBottom w:val="0"/>
      <w:divBdr>
        <w:top w:val="none" w:sz="0" w:space="0" w:color="auto"/>
        <w:left w:val="none" w:sz="0" w:space="0" w:color="auto"/>
        <w:bottom w:val="none" w:sz="0" w:space="0" w:color="auto"/>
        <w:right w:val="none" w:sz="0" w:space="0" w:color="auto"/>
      </w:divBdr>
    </w:div>
    <w:div w:id="1744795987">
      <w:marLeft w:val="480"/>
      <w:marRight w:val="0"/>
      <w:marTop w:val="0"/>
      <w:marBottom w:val="0"/>
      <w:divBdr>
        <w:top w:val="none" w:sz="0" w:space="0" w:color="auto"/>
        <w:left w:val="none" w:sz="0" w:space="0" w:color="auto"/>
        <w:bottom w:val="none" w:sz="0" w:space="0" w:color="auto"/>
        <w:right w:val="none" w:sz="0" w:space="0" w:color="auto"/>
      </w:divBdr>
    </w:div>
    <w:div w:id="1755083573">
      <w:marLeft w:val="480"/>
      <w:marRight w:val="0"/>
      <w:marTop w:val="0"/>
      <w:marBottom w:val="0"/>
      <w:divBdr>
        <w:top w:val="none" w:sz="0" w:space="0" w:color="auto"/>
        <w:left w:val="none" w:sz="0" w:space="0" w:color="auto"/>
        <w:bottom w:val="none" w:sz="0" w:space="0" w:color="auto"/>
        <w:right w:val="none" w:sz="0" w:space="0" w:color="auto"/>
      </w:divBdr>
    </w:div>
    <w:div w:id="1766341050">
      <w:marLeft w:val="480"/>
      <w:marRight w:val="0"/>
      <w:marTop w:val="0"/>
      <w:marBottom w:val="0"/>
      <w:divBdr>
        <w:top w:val="none" w:sz="0" w:space="0" w:color="auto"/>
        <w:left w:val="none" w:sz="0" w:space="0" w:color="auto"/>
        <w:bottom w:val="none" w:sz="0" w:space="0" w:color="auto"/>
        <w:right w:val="none" w:sz="0" w:space="0" w:color="auto"/>
      </w:divBdr>
    </w:div>
    <w:div w:id="1767076261">
      <w:marLeft w:val="480"/>
      <w:marRight w:val="0"/>
      <w:marTop w:val="0"/>
      <w:marBottom w:val="0"/>
      <w:divBdr>
        <w:top w:val="none" w:sz="0" w:space="0" w:color="auto"/>
        <w:left w:val="none" w:sz="0" w:space="0" w:color="auto"/>
        <w:bottom w:val="none" w:sz="0" w:space="0" w:color="auto"/>
        <w:right w:val="none" w:sz="0" w:space="0" w:color="auto"/>
      </w:divBdr>
    </w:div>
    <w:div w:id="1773670217">
      <w:marLeft w:val="480"/>
      <w:marRight w:val="0"/>
      <w:marTop w:val="0"/>
      <w:marBottom w:val="0"/>
      <w:divBdr>
        <w:top w:val="none" w:sz="0" w:space="0" w:color="auto"/>
        <w:left w:val="none" w:sz="0" w:space="0" w:color="auto"/>
        <w:bottom w:val="none" w:sz="0" w:space="0" w:color="auto"/>
        <w:right w:val="none" w:sz="0" w:space="0" w:color="auto"/>
      </w:divBdr>
    </w:div>
    <w:div w:id="1778869517">
      <w:marLeft w:val="480"/>
      <w:marRight w:val="0"/>
      <w:marTop w:val="0"/>
      <w:marBottom w:val="0"/>
      <w:divBdr>
        <w:top w:val="none" w:sz="0" w:space="0" w:color="auto"/>
        <w:left w:val="none" w:sz="0" w:space="0" w:color="auto"/>
        <w:bottom w:val="none" w:sz="0" w:space="0" w:color="auto"/>
        <w:right w:val="none" w:sz="0" w:space="0" w:color="auto"/>
      </w:divBdr>
    </w:div>
    <w:div w:id="1783377076">
      <w:marLeft w:val="480"/>
      <w:marRight w:val="0"/>
      <w:marTop w:val="0"/>
      <w:marBottom w:val="0"/>
      <w:divBdr>
        <w:top w:val="none" w:sz="0" w:space="0" w:color="auto"/>
        <w:left w:val="none" w:sz="0" w:space="0" w:color="auto"/>
        <w:bottom w:val="none" w:sz="0" w:space="0" w:color="auto"/>
        <w:right w:val="none" w:sz="0" w:space="0" w:color="auto"/>
      </w:divBdr>
    </w:div>
    <w:div w:id="1784691524">
      <w:marLeft w:val="480"/>
      <w:marRight w:val="0"/>
      <w:marTop w:val="0"/>
      <w:marBottom w:val="0"/>
      <w:divBdr>
        <w:top w:val="none" w:sz="0" w:space="0" w:color="auto"/>
        <w:left w:val="none" w:sz="0" w:space="0" w:color="auto"/>
        <w:bottom w:val="none" w:sz="0" w:space="0" w:color="auto"/>
        <w:right w:val="none" w:sz="0" w:space="0" w:color="auto"/>
      </w:divBdr>
    </w:div>
    <w:div w:id="1789084453">
      <w:marLeft w:val="480"/>
      <w:marRight w:val="0"/>
      <w:marTop w:val="0"/>
      <w:marBottom w:val="0"/>
      <w:divBdr>
        <w:top w:val="none" w:sz="0" w:space="0" w:color="auto"/>
        <w:left w:val="none" w:sz="0" w:space="0" w:color="auto"/>
        <w:bottom w:val="none" w:sz="0" w:space="0" w:color="auto"/>
        <w:right w:val="none" w:sz="0" w:space="0" w:color="auto"/>
      </w:divBdr>
    </w:div>
    <w:div w:id="1791589112">
      <w:marLeft w:val="480"/>
      <w:marRight w:val="0"/>
      <w:marTop w:val="0"/>
      <w:marBottom w:val="0"/>
      <w:divBdr>
        <w:top w:val="none" w:sz="0" w:space="0" w:color="auto"/>
        <w:left w:val="none" w:sz="0" w:space="0" w:color="auto"/>
        <w:bottom w:val="none" w:sz="0" w:space="0" w:color="auto"/>
        <w:right w:val="none" w:sz="0" w:space="0" w:color="auto"/>
      </w:divBdr>
    </w:div>
    <w:div w:id="1792746296">
      <w:marLeft w:val="480"/>
      <w:marRight w:val="0"/>
      <w:marTop w:val="0"/>
      <w:marBottom w:val="0"/>
      <w:divBdr>
        <w:top w:val="none" w:sz="0" w:space="0" w:color="auto"/>
        <w:left w:val="none" w:sz="0" w:space="0" w:color="auto"/>
        <w:bottom w:val="none" w:sz="0" w:space="0" w:color="auto"/>
        <w:right w:val="none" w:sz="0" w:space="0" w:color="auto"/>
      </w:divBdr>
    </w:div>
    <w:div w:id="1800224791">
      <w:marLeft w:val="480"/>
      <w:marRight w:val="0"/>
      <w:marTop w:val="0"/>
      <w:marBottom w:val="0"/>
      <w:divBdr>
        <w:top w:val="none" w:sz="0" w:space="0" w:color="auto"/>
        <w:left w:val="none" w:sz="0" w:space="0" w:color="auto"/>
        <w:bottom w:val="none" w:sz="0" w:space="0" w:color="auto"/>
        <w:right w:val="none" w:sz="0" w:space="0" w:color="auto"/>
      </w:divBdr>
    </w:div>
    <w:div w:id="1803113037">
      <w:marLeft w:val="480"/>
      <w:marRight w:val="0"/>
      <w:marTop w:val="0"/>
      <w:marBottom w:val="0"/>
      <w:divBdr>
        <w:top w:val="none" w:sz="0" w:space="0" w:color="auto"/>
        <w:left w:val="none" w:sz="0" w:space="0" w:color="auto"/>
        <w:bottom w:val="none" w:sz="0" w:space="0" w:color="auto"/>
        <w:right w:val="none" w:sz="0" w:space="0" w:color="auto"/>
      </w:divBdr>
    </w:div>
    <w:div w:id="1805082192">
      <w:marLeft w:val="480"/>
      <w:marRight w:val="0"/>
      <w:marTop w:val="0"/>
      <w:marBottom w:val="0"/>
      <w:divBdr>
        <w:top w:val="none" w:sz="0" w:space="0" w:color="auto"/>
        <w:left w:val="none" w:sz="0" w:space="0" w:color="auto"/>
        <w:bottom w:val="none" w:sz="0" w:space="0" w:color="auto"/>
        <w:right w:val="none" w:sz="0" w:space="0" w:color="auto"/>
      </w:divBdr>
    </w:div>
    <w:div w:id="1811825066">
      <w:marLeft w:val="480"/>
      <w:marRight w:val="0"/>
      <w:marTop w:val="0"/>
      <w:marBottom w:val="0"/>
      <w:divBdr>
        <w:top w:val="none" w:sz="0" w:space="0" w:color="auto"/>
        <w:left w:val="none" w:sz="0" w:space="0" w:color="auto"/>
        <w:bottom w:val="none" w:sz="0" w:space="0" w:color="auto"/>
        <w:right w:val="none" w:sz="0" w:space="0" w:color="auto"/>
      </w:divBdr>
    </w:div>
    <w:div w:id="1826314209">
      <w:marLeft w:val="480"/>
      <w:marRight w:val="0"/>
      <w:marTop w:val="0"/>
      <w:marBottom w:val="0"/>
      <w:divBdr>
        <w:top w:val="none" w:sz="0" w:space="0" w:color="auto"/>
        <w:left w:val="none" w:sz="0" w:space="0" w:color="auto"/>
        <w:bottom w:val="none" w:sz="0" w:space="0" w:color="auto"/>
        <w:right w:val="none" w:sz="0" w:space="0" w:color="auto"/>
      </w:divBdr>
    </w:div>
    <w:div w:id="1838302546">
      <w:marLeft w:val="480"/>
      <w:marRight w:val="0"/>
      <w:marTop w:val="0"/>
      <w:marBottom w:val="0"/>
      <w:divBdr>
        <w:top w:val="none" w:sz="0" w:space="0" w:color="auto"/>
        <w:left w:val="none" w:sz="0" w:space="0" w:color="auto"/>
        <w:bottom w:val="none" w:sz="0" w:space="0" w:color="auto"/>
        <w:right w:val="none" w:sz="0" w:space="0" w:color="auto"/>
      </w:divBdr>
    </w:div>
    <w:div w:id="1842967448">
      <w:marLeft w:val="480"/>
      <w:marRight w:val="0"/>
      <w:marTop w:val="0"/>
      <w:marBottom w:val="0"/>
      <w:divBdr>
        <w:top w:val="none" w:sz="0" w:space="0" w:color="auto"/>
        <w:left w:val="none" w:sz="0" w:space="0" w:color="auto"/>
        <w:bottom w:val="none" w:sz="0" w:space="0" w:color="auto"/>
        <w:right w:val="none" w:sz="0" w:space="0" w:color="auto"/>
      </w:divBdr>
    </w:div>
    <w:div w:id="1848322951">
      <w:marLeft w:val="480"/>
      <w:marRight w:val="0"/>
      <w:marTop w:val="0"/>
      <w:marBottom w:val="0"/>
      <w:divBdr>
        <w:top w:val="none" w:sz="0" w:space="0" w:color="auto"/>
        <w:left w:val="none" w:sz="0" w:space="0" w:color="auto"/>
        <w:bottom w:val="none" w:sz="0" w:space="0" w:color="auto"/>
        <w:right w:val="none" w:sz="0" w:space="0" w:color="auto"/>
      </w:divBdr>
    </w:div>
    <w:div w:id="1849253830">
      <w:marLeft w:val="480"/>
      <w:marRight w:val="0"/>
      <w:marTop w:val="0"/>
      <w:marBottom w:val="0"/>
      <w:divBdr>
        <w:top w:val="none" w:sz="0" w:space="0" w:color="auto"/>
        <w:left w:val="none" w:sz="0" w:space="0" w:color="auto"/>
        <w:bottom w:val="none" w:sz="0" w:space="0" w:color="auto"/>
        <w:right w:val="none" w:sz="0" w:space="0" w:color="auto"/>
      </w:divBdr>
    </w:div>
    <w:div w:id="1856462227">
      <w:marLeft w:val="480"/>
      <w:marRight w:val="0"/>
      <w:marTop w:val="0"/>
      <w:marBottom w:val="0"/>
      <w:divBdr>
        <w:top w:val="none" w:sz="0" w:space="0" w:color="auto"/>
        <w:left w:val="none" w:sz="0" w:space="0" w:color="auto"/>
        <w:bottom w:val="none" w:sz="0" w:space="0" w:color="auto"/>
        <w:right w:val="none" w:sz="0" w:space="0" w:color="auto"/>
      </w:divBdr>
    </w:div>
    <w:div w:id="1857882225">
      <w:marLeft w:val="480"/>
      <w:marRight w:val="0"/>
      <w:marTop w:val="0"/>
      <w:marBottom w:val="0"/>
      <w:divBdr>
        <w:top w:val="none" w:sz="0" w:space="0" w:color="auto"/>
        <w:left w:val="none" w:sz="0" w:space="0" w:color="auto"/>
        <w:bottom w:val="none" w:sz="0" w:space="0" w:color="auto"/>
        <w:right w:val="none" w:sz="0" w:space="0" w:color="auto"/>
      </w:divBdr>
    </w:div>
    <w:div w:id="1859274810">
      <w:marLeft w:val="480"/>
      <w:marRight w:val="0"/>
      <w:marTop w:val="0"/>
      <w:marBottom w:val="0"/>
      <w:divBdr>
        <w:top w:val="none" w:sz="0" w:space="0" w:color="auto"/>
        <w:left w:val="none" w:sz="0" w:space="0" w:color="auto"/>
        <w:bottom w:val="none" w:sz="0" w:space="0" w:color="auto"/>
        <w:right w:val="none" w:sz="0" w:space="0" w:color="auto"/>
      </w:divBdr>
    </w:div>
    <w:div w:id="1865482639">
      <w:marLeft w:val="480"/>
      <w:marRight w:val="0"/>
      <w:marTop w:val="0"/>
      <w:marBottom w:val="0"/>
      <w:divBdr>
        <w:top w:val="none" w:sz="0" w:space="0" w:color="auto"/>
        <w:left w:val="none" w:sz="0" w:space="0" w:color="auto"/>
        <w:bottom w:val="none" w:sz="0" w:space="0" w:color="auto"/>
        <w:right w:val="none" w:sz="0" w:space="0" w:color="auto"/>
      </w:divBdr>
    </w:div>
    <w:div w:id="1876888442">
      <w:marLeft w:val="480"/>
      <w:marRight w:val="0"/>
      <w:marTop w:val="0"/>
      <w:marBottom w:val="0"/>
      <w:divBdr>
        <w:top w:val="none" w:sz="0" w:space="0" w:color="auto"/>
        <w:left w:val="none" w:sz="0" w:space="0" w:color="auto"/>
        <w:bottom w:val="none" w:sz="0" w:space="0" w:color="auto"/>
        <w:right w:val="none" w:sz="0" w:space="0" w:color="auto"/>
      </w:divBdr>
    </w:div>
    <w:div w:id="1892837422">
      <w:marLeft w:val="480"/>
      <w:marRight w:val="0"/>
      <w:marTop w:val="0"/>
      <w:marBottom w:val="0"/>
      <w:divBdr>
        <w:top w:val="none" w:sz="0" w:space="0" w:color="auto"/>
        <w:left w:val="none" w:sz="0" w:space="0" w:color="auto"/>
        <w:bottom w:val="none" w:sz="0" w:space="0" w:color="auto"/>
        <w:right w:val="none" w:sz="0" w:space="0" w:color="auto"/>
      </w:divBdr>
    </w:div>
    <w:div w:id="1895000619">
      <w:marLeft w:val="480"/>
      <w:marRight w:val="0"/>
      <w:marTop w:val="0"/>
      <w:marBottom w:val="0"/>
      <w:divBdr>
        <w:top w:val="none" w:sz="0" w:space="0" w:color="auto"/>
        <w:left w:val="none" w:sz="0" w:space="0" w:color="auto"/>
        <w:bottom w:val="none" w:sz="0" w:space="0" w:color="auto"/>
        <w:right w:val="none" w:sz="0" w:space="0" w:color="auto"/>
      </w:divBdr>
    </w:div>
    <w:div w:id="1906601662">
      <w:marLeft w:val="480"/>
      <w:marRight w:val="0"/>
      <w:marTop w:val="0"/>
      <w:marBottom w:val="0"/>
      <w:divBdr>
        <w:top w:val="none" w:sz="0" w:space="0" w:color="auto"/>
        <w:left w:val="none" w:sz="0" w:space="0" w:color="auto"/>
        <w:bottom w:val="none" w:sz="0" w:space="0" w:color="auto"/>
        <w:right w:val="none" w:sz="0" w:space="0" w:color="auto"/>
      </w:divBdr>
    </w:div>
    <w:div w:id="1910185472">
      <w:marLeft w:val="480"/>
      <w:marRight w:val="0"/>
      <w:marTop w:val="0"/>
      <w:marBottom w:val="0"/>
      <w:divBdr>
        <w:top w:val="none" w:sz="0" w:space="0" w:color="auto"/>
        <w:left w:val="none" w:sz="0" w:space="0" w:color="auto"/>
        <w:bottom w:val="none" w:sz="0" w:space="0" w:color="auto"/>
        <w:right w:val="none" w:sz="0" w:space="0" w:color="auto"/>
      </w:divBdr>
    </w:div>
    <w:div w:id="1910650936">
      <w:marLeft w:val="480"/>
      <w:marRight w:val="0"/>
      <w:marTop w:val="0"/>
      <w:marBottom w:val="0"/>
      <w:divBdr>
        <w:top w:val="none" w:sz="0" w:space="0" w:color="auto"/>
        <w:left w:val="none" w:sz="0" w:space="0" w:color="auto"/>
        <w:bottom w:val="none" w:sz="0" w:space="0" w:color="auto"/>
        <w:right w:val="none" w:sz="0" w:space="0" w:color="auto"/>
      </w:divBdr>
    </w:div>
    <w:div w:id="1913080363">
      <w:marLeft w:val="480"/>
      <w:marRight w:val="0"/>
      <w:marTop w:val="0"/>
      <w:marBottom w:val="0"/>
      <w:divBdr>
        <w:top w:val="none" w:sz="0" w:space="0" w:color="auto"/>
        <w:left w:val="none" w:sz="0" w:space="0" w:color="auto"/>
        <w:bottom w:val="none" w:sz="0" w:space="0" w:color="auto"/>
        <w:right w:val="none" w:sz="0" w:space="0" w:color="auto"/>
      </w:divBdr>
    </w:div>
    <w:div w:id="1914705473">
      <w:marLeft w:val="480"/>
      <w:marRight w:val="0"/>
      <w:marTop w:val="0"/>
      <w:marBottom w:val="0"/>
      <w:divBdr>
        <w:top w:val="none" w:sz="0" w:space="0" w:color="auto"/>
        <w:left w:val="none" w:sz="0" w:space="0" w:color="auto"/>
        <w:bottom w:val="none" w:sz="0" w:space="0" w:color="auto"/>
        <w:right w:val="none" w:sz="0" w:space="0" w:color="auto"/>
      </w:divBdr>
    </w:div>
    <w:div w:id="1922789812">
      <w:marLeft w:val="480"/>
      <w:marRight w:val="0"/>
      <w:marTop w:val="0"/>
      <w:marBottom w:val="0"/>
      <w:divBdr>
        <w:top w:val="none" w:sz="0" w:space="0" w:color="auto"/>
        <w:left w:val="none" w:sz="0" w:space="0" w:color="auto"/>
        <w:bottom w:val="none" w:sz="0" w:space="0" w:color="auto"/>
        <w:right w:val="none" w:sz="0" w:space="0" w:color="auto"/>
      </w:divBdr>
    </w:div>
    <w:div w:id="1927300546">
      <w:marLeft w:val="480"/>
      <w:marRight w:val="0"/>
      <w:marTop w:val="0"/>
      <w:marBottom w:val="0"/>
      <w:divBdr>
        <w:top w:val="none" w:sz="0" w:space="0" w:color="auto"/>
        <w:left w:val="none" w:sz="0" w:space="0" w:color="auto"/>
        <w:bottom w:val="none" w:sz="0" w:space="0" w:color="auto"/>
        <w:right w:val="none" w:sz="0" w:space="0" w:color="auto"/>
      </w:divBdr>
    </w:div>
    <w:div w:id="1929994146">
      <w:marLeft w:val="480"/>
      <w:marRight w:val="0"/>
      <w:marTop w:val="0"/>
      <w:marBottom w:val="0"/>
      <w:divBdr>
        <w:top w:val="none" w:sz="0" w:space="0" w:color="auto"/>
        <w:left w:val="none" w:sz="0" w:space="0" w:color="auto"/>
        <w:bottom w:val="none" w:sz="0" w:space="0" w:color="auto"/>
        <w:right w:val="none" w:sz="0" w:space="0" w:color="auto"/>
      </w:divBdr>
    </w:div>
    <w:div w:id="1931423063">
      <w:marLeft w:val="480"/>
      <w:marRight w:val="0"/>
      <w:marTop w:val="0"/>
      <w:marBottom w:val="0"/>
      <w:divBdr>
        <w:top w:val="none" w:sz="0" w:space="0" w:color="auto"/>
        <w:left w:val="none" w:sz="0" w:space="0" w:color="auto"/>
        <w:bottom w:val="none" w:sz="0" w:space="0" w:color="auto"/>
        <w:right w:val="none" w:sz="0" w:space="0" w:color="auto"/>
      </w:divBdr>
    </w:div>
    <w:div w:id="1939173731">
      <w:marLeft w:val="480"/>
      <w:marRight w:val="0"/>
      <w:marTop w:val="0"/>
      <w:marBottom w:val="0"/>
      <w:divBdr>
        <w:top w:val="none" w:sz="0" w:space="0" w:color="auto"/>
        <w:left w:val="none" w:sz="0" w:space="0" w:color="auto"/>
        <w:bottom w:val="none" w:sz="0" w:space="0" w:color="auto"/>
        <w:right w:val="none" w:sz="0" w:space="0" w:color="auto"/>
      </w:divBdr>
    </w:div>
    <w:div w:id="1941061791">
      <w:marLeft w:val="480"/>
      <w:marRight w:val="0"/>
      <w:marTop w:val="0"/>
      <w:marBottom w:val="0"/>
      <w:divBdr>
        <w:top w:val="none" w:sz="0" w:space="0" w:color="auto"/>
        <w:left w:val="none" w:sz="0" w:space="0" w:color="auto"/>
        <w:bottom w:val="none" w:sz="0" w:space="0" w:color="auto"/>
        <w:right w:val="none" w:sz="0" w:space="0" w:color="auto"/>
      </w:divBdr>
    </w:div>
    <w:div w:id="1946647823">
      <w:marLeft w:val="480"/>
      <w:marRight w:val="0"/>
      <w:marTop w:val="0"/>
      <w:marBottom w:val="0"/>
      <w:divBdr>
        <w:top w:val="none" w:sz="0" w:space="0" w:color="auto"/>
        <w:left w:val="none" w:sz="0" w:space="0" w:color="auto"/>
        <w:bottom w:val="none" w:sz="0" w:space="0" w:color="auto"/>
        <w:right w:val="none" w:sz="0" w:space="0" w:color="auto"/>
      </w:divBdr>
    </w:div>
    <w:div w:id="1962178209">
      <w:marLeft w:val="480"/>
      <w:marRight w:val="0"/>
      <w:marTop w:val="0"/>
      <w:marBottom w:val="0"/>
      <w:divBdr>
        <w:top w:val="none" w:sz="0" w:space="0" w:color="auto"/>
        <w:left w:val="none" w:sz="0" w:space="0" w:color="auto"/>
        <w:bottom w:val="none" w:sz="0" w:space="0" w:color="auto"/>
        <w:right w:val="none" w:sz="0" w:space="0" w:color="auto"/>
      </w:divBdr>
    </w:div>
    <w:div w:id="1964726313">
      <w:marLeft w:val="480"/>
      <w:marRight w:val="0"/>
      <w:marTop w:val="0"/>
      <w:marBottom w:val="0"/>
      <w:divBdr>
        <w:top w:val="none" w:sz="0" w:space="0" w:color="auto"/>
        <w:left w:val="none" w:sz="0" w:space="0" w:color="auto"/>
        <w:bottom w:val="none" w:sz="0" w:space="0" w:color="auto"/>
        <w:right w:val="none" w:sz="0" w:space="0" w:color="auto"/>
      </w:divBdr>
    </w:div>
    <w:div w:id="1967350738">
      <w:marLeft w:val="480"/>
      <w:marRight w:val="0"/>
      <w:marTop w:val="0"/>
      <w:marBottom w:val="0"/>
      <w:divBdr>
        <w:top w:val="none" w:sz="0" w:space="0" w:color="auto"/>
        <w:left w:val="none" w:sz="0" w:space="0" w:color="auto"/>
        <w:bottom w:val="none" w:sz="0" w:space="0" w:color="auto"/>
        <w:right w:val="none" w:sz="0" w:space="0" w:color="auto"/>
      </w:divBdr>
    </w:div>
    <w:div w:id="1970554117">
      <w:marLeft w:val="480"/>
      <w:marRight w:val="0"/>
      <w:marTop w:val="0"/>
      <w:marBottom w:val="0"/>
      <w:divBdr>
        <w:top w:val="none" w:sz="0" w:space="0" w:color="auto"/>
        <w:left w:val="none" w:sz="0" w:space="0" w:color="auto"/>
        <w:bottom w:val="none" w:sz="0" w:space="0" w:color="auto"/>
        <w:right w:val="none" w:sz="0" w:space="0" w:color="auto"/>
      </w:divBdr>
    </w:div>
    <w:div w:id="1973289576">
      <w:marLeft w:val="480"/>
      <w:marRight w:val="0"/>
      <w:marTop w:val="0"/>
      <w:marBottom w:val="0"/>
      <w:divBdr>
        <w:top w:val="none" w:sz="0" w:space="0" w:color="auto"/>
        <w:left w:val="none" w:sz="0" w:space="0" w:color="auto"/>
        <w:bottom w:val="none" w:sz="0" w:space="0" w:color="auto"/>
        <w:right w:val="none" w:sz="0" w:space="0" w:color="auto"/>
      </w:divBdr>
    </w:div>
    <w:div w:id="1976449540">
      <w:marLeft w:val="480"/>
      <w:marRight w:val="0"/>
      <w:marTop w:val="0"/>
      <w:marBottom w:val="0"/>
      <w:divBdr>
        <w:top w:val="none" w:sz="0" w:space="0" w:color="auto"/>
        <w:left w:val="none" w:sz="0" w:space="0" w:color="auto"/>
        <w:bottom w:val="none" w:sz="0" w:space="0" w:color="auto"/>
        <w:right w:val="none" w:sz="0" w:space="0" w:color="auto"/>
      </w:divBdr>
    </w:div>
    <w:div w:id="1976714748">
      <w:marLeft w:val="480"/>
      <w:marRight w:val="0"/>
      <w:marTop w:val="0"/>
      <w:marBottom w:val="0"/>
      <w:divBdr>
        <w:top w:val="none" w:sz="0" w:space="0" w:color="auto"/>
        <w:left w:val="none" w:sz="0" w:space="0" w:color="auto"/>
        <w:bottom w:val="none" w:sz="0" w:space="0" w:color="auto"/>
        <w:right w:val="none" w:sz="0" w:space="0" w:color="auto"/>
      </w:divBdr>
    </w:div>
    <w:div w:id="1983340924">
      <w:marLeft w:val="480"/>
      <w:marRight w:val="0"/>
      <w:marTop w:val="0"/>
      <w:marBottom w:val="0"/>
      <w:divBdr>
        <w:top w:val="none" w:sz="0" w:space="0" w:color="auto"/>
        <w:left w:val="none" w:sz="0" w:space="0" w:color="auto"/>
        <w:bottom w:val="none" w:sz="0" w:space="0" w:color="auto"/>
        <w:right w:val="none" w:sz="0" w:space="0" w:color="auto"/>
      </w:divBdr>
    </w:div>
    <w:div w:id="1991246592">
      <w:marLeft w:val="480"/>
      <w:marRight w:val="0"/>
      <w:marTop w:val="0"/>
      <w:marBottom w:val="0"/>
      <w:divBdr>
        <w:top w:val="none" w:sz="0" w:space="0" w:color="auto"/>
        <w:left w:val="none" w:sz="0" w:space="0" w:color="auto"/>
        <w:bottom w:val="none" w:sz="0" w:space="0" w:color="auto"/>
        <w:right w:val="none" w:sz="0" w:space="0" w:color="auto"/>
      </w:divBdr>
    </w:div>
    <w:div w:id="1992517997">
      <w:marLeft w:val="480"/>
      <w:marRight w:val="0"/>
      <w:marTop w:val="0"/>
      <w:marBottom w:val="0"/>
      <w:divBdr>
        <w:top w:val="none" w:sz="0" w:space="0" w:color="auto"/>
        <w:left w:val="none" w:sz="0" w:space="0" w:color="auto"/>
        <w:bottom w:val="none" w:sz="0" w:space="0" w:color="auto"/>
        <w:right w:val="none" w:sz="0" w:space="0" w:color="auto"/>
      </w:divBdr>
    </w:div>
    <w:div w:id="1993681086">
      <w:marLeft w:val="480"/>
      <w:marRight w:val="0"/>
      <w:marTop w:val="0"/>
      <w:marBottom w:val="0"/>
      <w:divBdr>
        <w:top w:val="none" w:sz="0" w:space="0" w:color="auto"/>
        <w:left w:val="none" w:sz="0" w:space="0" w:color="auto"/>
        <w:bottom w:val="none" w:sz="0" w:space="0" w:color="auto"/>
        <w:right w:val="none" w:sz="0" w:space="0" w:color="auto"/>
      </w:divBdr>
    </w:div>
    <w:div w:id="1995641385">
      <w:marLeft w:val="480"/>
      <w:marRight w:val="0"/>
      <w:marTop w:val="0"/>
      <w:marBottom w:val="0"/>
      <w:divBdr>
        <w:top w:val="none" w:sz="0" w:space="0" w:color="auto"/>
        <w:left w:val="none" w:sz="0" w:space="0" w:color="auto"/>
        <w:bottom w:val="none" w:sz="0" w:space="0" w:color="auto"/>
        <w:right w:val="none" w:sz="0" w:space="0" w:color="auto"/>
      </w:divBdr>
    </w:div>
    <w:div w:id="1996715274">
      <w:marLeft w:val="480"/>
      <w:marRight w:val="0"/>
      <w:marTop w:val="0"/>
      <w:marBottom w:val="0"/>
      <w:divBdr>
        <w:top w:val="none" w:sz="0" w:space="0" w:color="auto"/>
        <w:left w:val="none" w:sz="0" w:space="0" w:color="auto"/>
        <w:bottom w:val="none" w:sz="0" w:space="0" w:color="auto"/>
        <w:right w:val="none" w:sz="0" w:space="0" w:color="auto"/>
      </w:divBdr>
    </w:div>
    <w:div w:id="1996757711">
      <w:marLeft w:val="480"/>
      <w:marRight w:val="0"/>
      <w:marTop w:val="0"/>
      <w:marBottom w:val="0"/>
      <w:divBdr>
        <w:top w:val="none" w:sz="0" w:space="0" w:color="auto"/>
        <w:left w:val="none" w:sz="0" w:space="0" w:color="auto"/>
        <w:bottom w:val="none" w:sz="0" w:space="0" w:color="auto"/>
        <w:right w:val="none" w:sz="0" w:space="0" w:color="auto"/>
      </w:divBdr>
    </w:div>
    <w:div w:id="2002267878">
      <w:marLeft w:val="480"/>
      <w:marRight w:val="0"/>
      <w:marTop w:val="0"/>
      <w:marBottom w:val="0"/>
      <w:divBdr>
        <w:top w:val="none" w:sz="0" w:space="0" w:color="auto"/>
        <w:left w:val="none" w:sz="0" w:space="0" w:color="auto"/>
        <w:bottom w:val="none" w:sz="0" w:space="0" w:color="auto"/>
        <w:right w:val="none" w:sz="0" w:space="0" w:color="auto"/>
      </w:divBdr>
    </w:div>
    <w:div w:id="2005820943">
      <w:marLeft w:val="480"/>
      <w:marRight w:val="0"/>
      <w:marTop w:val="0"/>
      <w:marBottom w:val="0"/>
      <w:divBdr>
        <w:top w:val="none" w:sz="0" w:space="0" w:color="auto"/>
        <w:left w:val="none" w:sz="0" w:space="0" w:color="auto"/>
        <w:bottom w:val="none" w:sz="0" w:space="0" w:color="auto"/>
        <w:right w:val="none" w:sz="0" w:space="0" w:color="auto"/>
      </w:divBdr>
    </w:div>
    <w:div w:id="2007048894">
      <w:marLeft w:val="480"/>
      <w:marRight w:val="0"/>
      <w:marTop w:val="0"/>
      <w:marBottom w:val="0"/>
      <w:divBdr>
        <w:top w:val="none" w:sz="0" w:space="0" w:color="auto"/>
        <w:left w:val="none" w:sz="0" w:space="0" w:color="auto"/>
        <w:bottom w:val="none" w:sz="0" w:space="0" w:color="auto"/>
        <w:right w:val="none" w:sz="0" w:space="0" w:color="auto"/>
      </w:divBdr>
    </w:div>
    <w:div w:id="2007318046">
      <w:marLeft w:val="480"/>
      <w:marRight w:val="0"/>
      <w:marTop w:val="0"/>
      <w:marBottom w:val="0"/>
      <w:divBdr>
        <w:top w:val="none" w:sz="0" w:space="0" w:color="auto"/>
        <w:left w:val="none" w:sz="0" w:space="0" w:color="auto"/>
        <w:bottom w:val="none" w:sz="0" w:space="0" w:color="auto"/>
        <w:right w:val="none" w:sz="0" w:space="0" w:color="auto"/>
      </w:divBdr>
    </w:div>
    <w:div w:id="2011829095">
      <w:marLeft w:val="480"/>
      <w:marRight w:val="0"/>
      <w:marTop w:val="0"/>
      <w:marBottom w:val="0"/>
      <w:divBdr>
        <w:top w:val="none" w:sz="0" w:space="0" w:color="auto"/>
        <w:left w:val="none" w:sz="0" w:space="0" w:color="auto"/>
        <w:bottom w:val="none" w:sz="0" w:space="0" w:color="auto"/>
        <w:right w:val="none" w:sz="0" w:space="0" w:color="auto"/>
      </w:divBdr>
    </w:div>
    <w:div w:id="2016489513">
      <w:marLeft w:val="0"/>
      <w:marRight w:val="0"/>
      <w:marTop w:val="0"/>
      <w:marBottom w:val="0"/>
      <w:divBdr>
        <w:top w:val="none" w:sz="0" w:space="0" w:color="auto"/>
        <w:left w:val="none" w:sz="0" w:space="0" w:color="auto"/>
        <w:bottom w:val="none" w:sz="0" w:space="0" w:color="auto"/>
        <w:right w:val="none" w:sz="0" w:space="0" w:color="auto"/>
      </w:divBdr>
    </w:div>
    <w:div w:id="2028097178">
      <w:marLeft w:val="480"/>
      <w:marRight w:val="0"/>
      <w:marTop w:val="0"/>
      <w:marBottom w:val="0"/>
      <w:divBdr>
        <w:top w:val="none" w:sz="0" w:space="0" w:color="auto"/>
        <w:left w:val="none" w:sz="0" w:space="0" w:color="auto"/>
        <w:bottom w:val="none" w:sz="0" w:space="0" w:color="auto"/>
        <w:right w:val="none" w:sz="0" w:space="0" w:color="auto"/>
      </w:divBdr>
    </w:div>
    <w:div w:id="2029672870">
      <w:marLeft w:val="480"/>
      <w:marRight w:val="0"/>
      <w:marTop w:val="0"/>
      <w:marBottom w:val="0"/>
      <w:divBdr>
        <w:top w:val="none" w:sz="0" w:space="0" w:color="auto"/>
        <w:left w:val="none" w:sz="0" w:space="0" w:color="auto"/>
        <w:bottom w:val="none" w:sz="0" w:space="0" w:color="auto"/>
        <w:right w:val="none" w:sz="0" w:space="0" w:color="auto"/>
      </w:divBdr>
    </w:div>
    <w:div w:id="2031643957">
      <w:marLeft w:val="480"/>
      <w:marRight w:val="0"/>
      <w:marTop w:val="0"/>
      <w:marBottom w:val="0"/>
      <w:divBdr>
        <w:top w:val="none" w:sz="0" w:space="0" w:color="auto"/>
        <w:left w:val="none" w:sz="0" w:space="0" w:color="auto"/>
        <w:bottom w:val="none" w:sz="0" w:space="0" w:color="auto"/>
        <w:right w:val="none" w:sz="0" w:space="0" w:color="auto"/>
      </w:divBdr>
    </w:div>
    <w:div w:id="2035229126">
      <w:marLeft w:val="480"/>
      <w:marRight w:val="0"/>
      <w:marTop w:val="0"/>
      <w:marBottom w:val="0"/>
      <w:divBdr>
        <w:top w:val="none" w:sz="0" w:space="0" w:color="auto"/>
        <w:left w:val="none" w:sz="0" w:space="0" w:color="auto"/>
        <w:bottom w:val="none" w:sz="0" w:space="0" w:color="auto"/>
        <w:right w:val="none" w:sz="0" w:space="0" w:color="auto"/>
      </w:divBdr>
    </w:div>
    <w:div w:id="2036613759">
      <w:marLeft w:val="480"/>
      <w:marRight w:val="0"/>
      <w:marTop w:val="0"/>
      <w:marBottom w:val="0"/>
      <w:divBdr>
        <w:top w:val="none" w:sz="0" w:space="0" w:color="auto"/>
        <w:left w:val="none" w:sz="0" w:space="0" w:color="auto"/>
        <w:bottom w:val="none" w:sz="0" w:space="0" w:color="auto"/>
        <w:right w:val="none" w:sz="0" w:space="0" w:color="auto"/>
      </w:divBdr>
    </w:div>
    <w:div w:id="2039893675">
      <w:marLeft w:val="480"/>
      <w:marRight w:val="0"/>
      <w:marTop w:val="0"/>
      <w:marBottom w:val="0"/>
      <w:divBdr>
        <w:top w:val="none" w:sz="0" w:space="0" w:color="auto"/>
        <w:left w:val="none" w:sz="0" w:space="0" w:color="auto"/>
        <w:bottom w:val="none" w:sz="0" w:space="0" w:color="auto"/>
        <w:right w:val="none" w:sz="0" w:space="0" w:color="auto"/>
      </w:divBdr>
    </w:div>
    <w:div w:id="2041736892">
      <w:marLeft w:val="480"/>
      <w:marRight w:val="0"/>
      <w:marTop w:val="0"/>
      <w:marBottom w:val="0"/>
      <w:divBdr>
        <w:top w:val="none" w:sz="0" w:space="0" w:color="auto"/>
        <w:left w:val="none" w:sz="0" w:space="0" w:color="auto"/>
        <w:bottom w:val="none" w:sz="0" w:space="0" w:color="auto"/>
        <w:right w:val="none" w:sz="0" w:space="0" w:color="auto"/>
      </w:divBdr>
    </w:div>
    <w:div w:id="2052026054">
      <w:marLeft w:val="480"/>
      <w:marRight w:val="0"/>
      <w:marTop w:val="0"/>
      <w:marBottom w:val="0"/>
      <w:divBdr>
        <w:top w:val="none" w:sz="0" w:space="0" w:color="auto"/>
        <w:left w:val="none" w:sz="0" w:space="0" w:color="auto"/>
        <w:bottom w:val="none" w:sz="0" w:space="0" w:color="auto"/>
        <w:right w:val="none" w:sz="0" w:space="0" w:color="auto"/>
      </w:divBdr>
    </w:div>
    <w:div w:id="2079668403">
      <w:marLeft w:val="480"/>
      <w:marRight w:val="0"/>
      <w:marTop w:val="0"/>
      <w:marBottom w:val="0"/>
      <w:divBdr>
        <w:top w:val="none" w:sz="0" w:space="0" w:color="auto"/>
        <w:left w:val="none" w:sz="0" w:space="0" w:color="auto"/>
        <w:bottom w:val="none" w:sz="0" w:space="0" w:color="auto"/>
        <w:right w:val="none" w:sz="0" w:space="0" w:color="auto"/>
      </w:divBdr>
    </w:div>
    <w:div w:id="2081126488">
      <w:marLeft w:val="480"/>
      <w:marRight w:val="0"/>
      <w:marTop w:val="0"/>
      <w:marBottom w:val="0"/>
      <w:divBdr>
        <w:top w:val="none" w:sz="0" w:space="0" w:color="auto"/>
        <w:left w:val="none" w:sz="0" w:space="0" w:color="auto"/>
        <w:bottom w:val="none" w:sz="0" w:space="0" w:color="auto"/>
        <w:right w:val="none" w:sz="0" w:space="0" w:color="auto"/>
      </w:divBdr>
    </w:div>
    <w:div w:id="2086147912">
      <w:marLeft w:val="480"/>
      <w:marRight w:val="0"/>
      <w:marTop w:val="0"/>
      <w:marBottom w:val="0"/>
      <w:divBdr>
        <w:top w:val="none" w:sz="0" w:space="0" w:color="auto"/>
        <w:left w:val="none" w:sz="0" w:space="0" w:color="auto"/>
        <w:bottom w:val="none" w:sz="0" w:space="0" w:color="auto"/>
        <w:right w:val="none" w:sz="0" w:space="0" w:color="auto"/>
      </w:divBdr>
    </w:div>
    <w:div w:id="2086225593">
      <w:marLeft w:val="480"/>
      <w:marRight w:val="0"/>
      <w:marTop w:val="0"/>
      <w:marBottom w:val="0"/>
      <w:divBdr>
        <w:top w:val="none" w:sz="0" w:space="0" w:color="auto"/>
        <w:left w:val="none" w:sz="0" w:space="0" w:color="auto"/>
        <w:bottom w:val="none" w:sz="0" w:space="0" w:color="auto"/>
        <w:right w:val="none" w:sz="0" w:space="0" w:color="auto"/>
      </w:divBdr>
    </w:div>
    <w:div w:id="2104492684">
      <w:marLeft w:val="480"/>
      <w:marRight w:val="0"/>
      <w:marTop w:val="0"/>
      <w:marBottom w:val="0"/>
      <w:divBdr>
        <w:top w:val="none" w:sz="0" w:space="0" w:color="auto"/>
        <w:left w:val="none" w:sz="0" w:space="0" w:color="auto"/>
        <w:bottom w:val="none" w:sz="0" w:space="0" w:color="auto"/>
        <w:right w:val="none" w:sz="0" w:space="0" w:color="auto"/>
      </w:divBdr>
    </w:div>
    <w:div w:id="2105150615">
      <w:marLeft w:val="480"/>
      <w:marRight w:val="0"/>
      <w:marTop w:val="0"/>
      <w:marBottom w:val="0"/>
      <w:divBdr>
        <w:top w:val="none" w:sz="0" w:space="0" w:color="auto"/>
        <w:left w:val="none" w:sz="0" w:space="0" w:color="auto"/>
        <w:bottom w:val="none" w:sz="0" w:space="0" w:color="auto"/>
        <w:right w:val="none" w:sz="0" w:space="0" w:color="auto"/>
      </w:divBdr>
    </w:div>
    <w:div w:id="2106917326">
      <w:marLeft w:val="480"/>
      <w:marRight w:val="0"/>
      <w:marTop w:val="0"/>
      <w:marBottom w:val="0"/>
      <w:divBdr>
        <w:top w:val="none" w:sz="0" w:space="0" w:color="auto"/>
        <w:left w:val="none" w:sz="0" w:space="0" w:color="auto"/>
        <w:bottom w:val="none" w:sz="0" w:space="0" w:color="auto"/>
        <w:right w:val="none" w:sz="0" w:space="0" w:color="auto"/>
      </w:divBdr>
    </w:div>
    <w:div w:id="2121951926">
      <w:marLeft w:val="480"/>
      <w:marRight w:val="0"/>
      <w:marTop w:val="0"/>
      <w:marBottom w:val="0"/>
      <w:divBdr>
        <w:top w:val="none" w:sz="0" w:space="0" w:color="auto"/>
        <w:left w:val="none" w:sz="0" w:space="0" w:color="auto"/>
        <w:bottom w:val="none" w:sz="0" w:space="0" w:color="auto"/>
        <w:right w:val="none" w:sz="0" w:space="0" w:color="auto"/>
      </w:divBdr>
    </w:div>
    <w:div w:id="2122407797">
      <w:marLeft w:val="480"/>
      <w:marRight w:val="0"/>
      <w:marTop w:val="0"/>
      <w:marBottom w:val="0"/>
      <w:divBdr>
        <w:top w:val="none" w:sz="0" w:space="0" w:color="auto"/>
        <w:left w:val="none" w:sz="0" w:space="0" w:color="auto"/>
        <w:bottom w:val="none" w:sz="0" w:space="0" w:color="auto"/>
        <w:right w:val="none" w:sz="0" w:space="0" w:color="auto"/>
      </w:divBdr>
    </w:div>
    <w:div w:id="2134903597">
      <w:marLeft w:val="480"/>
      <w:marRight w:val="0"/>
      <w:marTop w:val="0"/>
      <w:marBottom w:val="0"/>
      <w:divBdr>
        <w:top w:val="none" w:sz="0" w:space="0" w:color="auto"/>
        <w:left w:val="none" w:sz="0" w:space="0" w:color="auto"/>
        <w:bottom w:val="none" w:sz="0" w:space="0" w:color="auto"/>
        <w:right w:val="none" w:sz="0" w:space="0" w:color="auto"/>
      </w:divBdr>
    </w:div>
    <w:div w:id="2136945665">
      <w:marLeft w:val="480"/>
      <w:marRight w:val="0"/>
      <w:marTop w:val="0"/>
      <w:marBottom w:val="0"/>
      <w:divBdr>
        <w:top w:val="none" w:sz="0" w:space="0" w:color="auto"/>
        <w:left w:val="none" w:sz="0" w:space="0" w:color="auto"/>
        <w:bottom w:val="none" w:sz="0" w:space="0" w:color="auto"/>
        <w:right w:val="none" w:sz="0" w:space="0" w:color="auto"/>
      </w:divBdr>
    </w:div>
    <w:div w:id="2141529432">
      <w:marLeft w:val="480"/>
      <w:marRight w:val="0"/>
      <w:marTop w:val="0"/>
      <w:marBottom w:val="0"/>
      <w:divBdr>
        <w:top w:val="none" w:sz="0" w:space="0" w:color="auto"/>
        <w:left w:val="none" w:sz="0" w:space="0" w:color="auto"/>
        <w:bottom w:val="none" w:sz="0" w:space="0" w:color="auto"/>
        <w:right w:val="none" w:sz="0" w:space="0" w:color="auto"/>
      </w:divBdr>
    </w:div>
    <w:div w:id="2144618884">
      <w:marLeft w:val="48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image" Target="media/image4.png"/><Relationship Id="rId26" Type="http://schemas.openxmlformats.org/officeDocument/2006/relationships/hyperlink" Target="https://respect.international/french-corporate-duty-of-vigilance-law-english-translation/" TargetMode="External"/><Relationship Id="rId39" Type="http://schemas.openxmlformats.org/officeDocument/2006/relationships/diagramQuickStyle" Target="diagrams/quickStyle1.xml"/><Relationship Id="rId21" Type="http://schemas.openxmlformats.org/officeDocument/2006/relationships/footer" Target="footer1.xml"/><Relationship Id="rId34" Type="http://schemas.openxmlformats.org/officeDocument/2006/relationships/image" Target="media/image8.png"/><Relationship Id="rId42" Type="http://schemas.openxmlformats.org/officeDocument/2006/relationships/image" Target="media/image11.png"/><Relationship Id="rId47" Type="http://schemas.openxmlformats.org/officeDocument/2006/relationships/image" Target="media/image15.emf"/><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https://www.csr-in-deutschland.de/EN/Business-Human-Rights/Supply-Chain-Act/supply-chain-act.html" TargetMode="External"/><Relationship Id="rId11" Type="http://schemas.openxmlformats.org/officeDocument/2006/relationships/comments" Target="comments.xml"/><Relationship Id="rId24" Type="http://schemas.openxmlformats.org/officeDocument/2006/relationships/hyperlink" Target="https://normlex.ilo.org/dyn/normlex/en/f?p=NORMLEXPUB:12100:0::NO::P12100_ILO_CODE:P029" TargetMode="External"/><Relationship Id="rId32" Type="http://schemas.openxmlformats.org/officeDocument/2006/relationships/hyperlink" Target="https://www.reedsmith.com/en/perspectives/2024/05/the-eu-corporate-sustainability-due-diligence-directive-passes-final-hurdle" TargetMode="External"/><Relationship Id="rId37" Type="http://schemas.openxmlformats.org/officeDocument/2006/relationships/diagramData" Target="diagrams/data1.xml"/><Relationship Id="rId40" Type="http://schemas.openxmlformats.org/officeDocument/2006/relationships/diagramColors" Target="diagrams/colors1.xml"/><Relationship Id="rId45" Type="http://schemas.openxmlformats.org/officeDocument/2006/relationships/image" Target="media/image13.emf"/><Relationship Id="rId53"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hyperlink" Target="https://commission.europa.eu/business-economy-euro/doing-business-eu/sustainability-due-diligence-responsible-business/corporate-sustainability-due-diligence_en" TargetMode="External"/><Relationship Id="rId44" Type="http://schemas.openxmlformats.org/officeDocument/2006/relationships/image" Target="media/image12.emf"/><Relationship Id="rId52"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8/08/relationships/commentsExtensible" Target="commentsExtensible.xml"/><Relationship Id="rId22" Type="http://schemas.openxmlformats.org/officeDocument/2006/relationships/footer" Target="footer2.xml"/><Relationship Id="rId27" Type="http://schemas.openxmlformats.org/officeDocument/2006/relationships/hyperlink" Target="https://www.ag.gov.au/crime/publications/report-statutory-review-modern-slavery-act-2018-cth" TargetMode="External"/><Relationship Id="rId30" Type="http://schemas.openxmlformats.org/officeDocument/2006/relationships/hyperlink" Target="https://laws.justice.gc.ca/eng/acts/F-10.6/" TargetMode="External"/><Relationship Id="rId35" Type="http://schemas.openxmlformats.org/officeDocument/2006/relationships/image" Target="media/image9.png"/><Relationship Id="rId43" Type="http://schemas.openxmlformats.org/officeDocument/2006/relationships/hyperlink" Target="https://www.walkfree.org/global-slavery-index/map/" TargetMode="External"/><Relationship Id="rId48" Type="http://schemas.openxmlformats.org/officeDocument/2006/relationships/image" Target="media/image16.emf"/><Relationship Id="rId8" Type="http://schemas.openxmlformats.org/officeDocument/2006/relationships/webSettings" Target="webSettings.xml"/><Relationship Id="rId51" Type="http://schemas.microsoft.com/office/2011/relationships/people" Target="people.xml"/><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image" Target="media/image3.png"/><Relationship Id="rId25" Type="http://schemas.openxmlformats.org/officeDocument/2006/relationships/hyperlink" Target="https://www.legislation.gov.uk/ukpga/2015/30/contents" TargetMode="External"/><Relationship Id="rId33" Type="http://schemas.openxmlformats.org/officeDocument/2006/relationships/image" Target="media/image7.png"/><Relationship Id="rId38" Type="http://schemas.openxmlformats.org/officeDocument/2006/relationships/diagramLayout" Target="diagrams/layout1.xml"/><Relationship Id="rId46" Type="http://schemas.openxmlformats.org/officeDocument/2006/relationships/image" Target="media/image14.emf"/><Relationship Id="rId20" Type="http://schemas.openxmlformats.org/officeDocument/2006/relationships/image" Target="media/image6.png"/><Relationship Id="rId41"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1.png"/><Relationship Id="rId23" Type="http://schemas.openxmlformats.org/officeDocument/2006/relationships/hyperlink" Target="https://oag.ca.gov/SB657" TargetMode="External"/><Relationship Id="rId28" Type="http://schemas.openxmlformats.org/officeDocument/2006/relationships/hyperlink" Target="https://www.cbp.gov/trade/forced-labor/UFLPA" TargetMode="External"/><Relationship Id="rId36" Type="http://schemas.openxmlformats.org/officeDocument/2006/relationships/image" Target="media/image10.png"/><Relationship Id="rId49" Type="http://schemas.openxmlformats.org/officeDocument/2006/relationships/footer" Target="footer3.xml"/></Relationships>
</file>

<file path=word/_rels/footnotes.xml.rels><?xml version="1.0" encoding="UTF-8" standalone="yes"?>
<Relationships xmlns="http://schemas.openxmlformats.org/package/2006/relationships"><Relationship Id="rId8" Type="http://schemas.openxmlformats.org/officeDocument/2006/relationships/hyperlink" Target="https://www.lseg.com/en/data-analytics/financial-data/reference-data/classifications/business-and-industry-classifications/global-industry-classification-standard-system" TargetMode="External"/><Relationship Id="rId3" Type="http://schemas.openxmlformats.org/officeDocument/2006/relationships/hyperlink" Target="https://www.lawnet.gov.lk/free-trade-zones-application-of-labour-law-and-the-effect-of-privatisation/" TargetMode="External"/><Relationship Id="rId7" Type="http://schemas.openxmlformats.org/officeDocument/2006/relationships/hyperlink" Target="https://employers.lk/wp-content/uploads/2021/03/2_Factories-Ordinance-Regulations-1960.pdf" TargetMode="External"/><Relationship Id="rId2" Type="http://schemas.openxmlformats.org/officeDocument/2006/relationships/hyperlink" Target="https://www.humanrights.dk/sites/humanrights.dk/files/media/document/DataAnalysis-CompanyReporting_EN_2022.pdf" TargetMode="External"/><Relationship Id="rId1" Type="http://schemas.openxmlformats.org/officeDocument/2006/relationships/hyperlink" Target="https://delta87.org/call-to-action/" TargetMode="External"/><Relationship Id="rId6" Type="http://schemas.openxmlformats.org/officeDocument/2006/relationships/hyperlink" Target="https://employers.lk/wp-content/uploads/2021/03/12_Wages-Boards-Amendment-Act-No.14-of-2019.pdf" TargetMode="External"/><Relationship Id="rId5" Type="http://schemas.openxmlformats.org/officeDocument/2006/relationships/hyperlink" Target="https://www.parliament.lk/uploads/acts/gbills/english/3071.pdf" TargetMode="External"/><Relationship Id="rId4" Type="http://schemas.openxmlformats.org/officeDocument/2006/relationships/hyperlink" Target="https://cimc.lk/images/speaker_presenationss/0915/Operating_Free_Zones_in_Sri_Lanka.pdf" TargetMode="External"/><Relationship Id="rId9" Type="http://schemas.openxmlformats.org/officeDocument/2006/relationships/hyperlink" Target="https://www.lseg.com/en/data-analytics/financial-data/indices/trbc-business-classification"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F3AB78-9886-46EB-9E2E-F4E3E3A69FDD}" type="doc">
      <dgm:prSet loTypeId="urn:microsoft.com/office/officeart/2005/8/layout/hierarchy6" loCatId="hierarchy" qsTypeId="urn:microsoft.com/office/officeart/2005/8/quickstyle/3d1" qsCatId="3D" csTypeId="urn:microsoft.com/office/officeart/2005/8/colors/accent1_2" csCatId="accent1" phldr="1"/>
      <dgm:spPr/>
      <dgm:t>
        <a:bodyPr/>
        <a:lstStyle/>
        <a:p>
          <a:endParaRPr lang="en-GB"/>
        </a:p>
      </dgm:t>
    </dgm:pt>
    <dgm:pt modelId="{92F017B3-7D28-4724-AEA7-7EA6BD98DEF1}">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Qualitative Appoach</a:t>
          </a:r>
        </a:p>
      </dgm:t>
    </dgm:pt>
    <dgm:pt modelId="{226B47F6-C48A-4490-9403-356E86D63A62}" type="parTrans" cxnId="{DF7378EC-A4F2-4214-9119-24FC5F24DDB9}">
      <dgm:prSet/>
      <dgm:spPr/>
      <dgm:t>
        <a:bodyPr/>
        <a:lstStyle/>
        <a:p>
          <a:pPr algn="ctr"/>
          <a:endParaRPr lang="en-GB"/>
        </a:p>
      </dgm:t>
    </dgm:pt>
    <dgm:pt modelId="{84735F4B-15FC-45E8-BF69-7724C5ACE9B4}" type="sibTrans" cxnId="{DF7378EC-A4F2-4214-9119-24FC5F24DDB9}">
      <dgm:prSet/>
      <dgm:spPr/>
      <dgm:t>
        <a:bodyPr/>
        <a:lstStyle/>
        <a:p>
          <a:pPr algn="ctr"/>
          <a:endParaRPr lang="en-GB"/>
        </a:p>
      </dgm:t>
    </dgm:pt>
    <dgm:pt modelId="{35B2D661-6BA3-4344-A835-5F9F9192C17E}">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Interview</a:t>
          </a:r>
        </a:p>
      </dgm:t>
    </dgm:pt>
    <dgm:pt modelId="{3B367419-9BE2-4BAE-98DE-FFD7E9D879A1}" type="parTrans" cxnId="{2A7CEEB9-EB01-498B-9925-53B246F876E5}">
      <dgm:prSet>
        <dgm:style>
          <a:lnRef idx="2">
            <a:schemeClr val="dk1"/>
          </a:lnRef>
          <a:fillRef idx="1">
            <a:schemeClr val="lt1"/>
          </a:fillRef>
          <a:effectRef idx="0">
            <a:schemeClr val="dk1"/>
          </a:effectRef>
          <a:fontRef idx="minor">
            <a:schemeClr val="dk1"/>
          </a:fontRef>
        </dgm:style>
      </dgm:prSet>
      <dgm:spPr/>
      <dgm:t>
        <a:bodyPr/>
        <a:lstStyle/>
        <a:p>
          <a:pPr algn="l"/>
          <a:endParaRPr lang="en-GB"/>
        </a:p>
      </dgm:t>
    </dgm:pt>
    <dgm:pt modelId="{4F4BBAD8-F325-4BD8-A554-46E0AE3D800D}" type="sibTrans" cxnId="{2A7CEEB9-EB01-498B-9925-53B246F876E5}">
      <dgm:prSet/>
      <dgm:spPr/>
      <dgm:t>
        <a:bodyPr/>
        <a:lstStyle/>
        <a:p>
          <a:pPr algn="ctr"/>
          <a:endParaRPr lang="en-GB"/>
        </a:p>
      </dgm:t>
    </dgm:pt>
    <dgm:pt modelId="{6825D34A-D60D-4D02-9745-15E96229ECB5}">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Workers/  Ex-workers</a:t>
          </a:r>
        </a:p>
      </dgm:t>
    </dgm:pt>
    <dgm:pt modelId="{83ADBABB-8209-4F11-A91C-18F765FDABDD}" type="parTrans" cxnId="{D15F183F-AED7-4AE5-B6C0-FF2F952AB390}">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51F8BB87-D623-496D-B24D-1FB1CFE96561}" type="sibTrans" cxnId="{D15F183F-AED7-4AE5-B6C0-FF2F952AB390}">
      <dgm:prSet/>
      <dgm:spPr/>
      <dgm:t>
        <a:bodyPr/>
        <a:lstStyle/>
        <a:p>
          <a:pPr algn="ctr"/>
          <a:endParaRPr lang="en-GB"/>
        </a:p>
      </dgm:t>
    </dgm:pt>
    <dgm:pt modelId="{6AF8983B-897B-48BB-ACE4-95F958CBA776}">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Supervisors</a:t>
          </a:r>
        </a:p>
      </dgm:t>
    </dgm:pt>
    <dgm:pt modelId="{D2900479-F5DB-489B-9E82-641851E8704B}" type="parTrans" cxnId="{2380D83C-6EAF-4B37-980F-0FAB0DE658F2}">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09A3A09E-3D8F-4CFB-ABEE-596965DE1690}" type="sibTrans" cxnId="{2380D83C-6EAF-4B37-980F-0FAB0DE658F2}">
      <dgm:prSet/>
      <dgm:spPr/>
      <dgm:t>
        <a:bodyPr/>
        <a:lstStyle/>
        <a:p>
          <a:pPr algn="ctr"/>
          <a:endParaRPr lang="en-GB"/>
        </a:p>
      </dgm:t>
    </dgm:pt>
    <dgm:pt modelId="{76A2D248-367D-4C6D-A9B7-C8C37683D092}">
      <dgm:prSet phldrT="[Text]" custT="1">
        <dgm:style>
          <a:lnRef idx="2">
            <a:schemeClr val="dk1"/>
          </a:lnRef>
          <a:fillRef idx="1">
            <a:schemeClr val="lt1"/>
          </a:fillRef>
          <a:effectRef idx="0">
            <a:schemeClr val="dk1"/>
          </a:effectRef>
          <a:fontRef idx="minor">
            <a:schemeClr val="dk1"/>
          </a:fontRef>
        </dgm:style>
      </dgm:prSet>
      <dgm:spPr/>
      <dgm:t>
        <a:bodyPr/>
        <a:lstStyle/>
        <a:p>
          <a:pPr algn="just"/>
          <a:r>
            <a:rPr lang="en-GB" sz="1000">
              <a:latin typeface="Times New Roman" panose="02020603050405020304" pitchFamily="18" charset="0"/>
              <a:cs typeface="Times New Roman" panose="02020603050405020304" pitchFamily="18" charset="0"/>
            </a:rPr>
            <a:t>Questionnire</a:t>
          </a:r>
        </a:p>
      </dgm:t>
    </dgm:pt>
    <dgm:pt modelId="{6828A2CD-CD24-47B4-9A76-021F92B9CF08}" type="parTrans" cxnId="{85216469-8DC2-40A4-B50C-92794A870F44}">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E4DE2B84-9DAF-491A-81CF-E4AAE649C32A}" type="sibTrans" cxnId="{85216469-8DC2-40A4-B50C-92794A870F44}">
      <dgm:prSet/>
      <dgm:spPr/>
      <dgm:t>
        <a:bodyPr/>
        <a:lstStyle/>
        <a:p>
          <a:pPr algn="ctr"/>
          <a:endParaRPr lang="en-GB"/>
        </a:p>
      </dgm:t>
    </dgm:pt>
    <dgm:pt modelId="{EB0F92C9-CFA2-49A0-9930-31591065FBEE}">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Workers</a:t>
          </a:r>
        </a:p>
      </dgm:t>
    </dgm:pt>
    <dgm:pt modelId="{8ABE0308-FD42-44C0-922B-E29AA36F6B33}" type="parTrans" cxnId="{C814D5F2-FDC7-4555-AA45-A538EFA10669}">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82A2DE73-C266-4357-8F67-4440A9A97CE2}" type="sibTrans" cxnId="{C814D5F2-FDC7-4555-AA45-A538EFA10669}">
      <dgm:prSet/>
      <dgm:spPr/>
      <dgm:t>
        <a:bodyPr/>
        <a:lstStyle/>
        <a:p>
          <a:pPr algn="ctr"/>
          <a:endParaRPr lang="en-GB"/>
        </a:p>
      </dgm:t>
    </dgm:pt>
    <dgm:pt modelId="{0AA79554-12B5-45E8-806E-257F3800B1F4}">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Managers</a:t>
          </a:r>
        </a:p>
      </dgm:t>
    </dgm:pt>
    <dgm:pt modelId="{939A75A0-8D37-4997-B424-9EE1D0A43117}" type="parTrans" cxnId="{B6065118-28BB-4B7D-A2E9-D818BB5BC36B}">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9A919075-EF42-4948-878B-E8626593E921}" type="sibTrans" cxnId="{B6065118-28BB-4B7D-A2E9-D818BB5BC36B}">
      <dgm:prSet/>
      <dgm:spPr/>
      <dgm:t>
        <a:bodyPr/>
        <a:lstStyle/>
        <a:p>
          <a:pPr algn="ctr"/>
          <a:endParaRPr lang="en-GB"/>
        </a:p>
      </dgm:t>
    </dgm:pt>
    <dgm:pt modelId="{8EA6EBAC-3D5B-4872-8DB7-1EF3BBEF4F27}">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NGO</a:t>
          </a:r>
        </a:p>
      </dgm:t>
    </dgm:pt>
    <dgm:pt modelId="{1461A0E9-03E6-47B2-9AD6-B4A292090A35}" type="parTrans" cxnId="{D8E7757F-76F3-4081-8CA4-C4F4FF4BCD40}">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4EDC3BFB-09C1-4644-82A5-D3B492B0A253}" type="sibTrans" cxnId="{D8E7757F-76F3-4081-8CA4-C4F4FF4BCD40}">
      <dgm:prSet/>
      <dgm:spPr/>
      <dgm:t>
        <a:bodyPr/>
        <a:lstStyle/>
        <a:p>
          <a:pPr algn="ctr"/>
          <a:endParaRPr lang="en-GB"/>
        </a:p>
      </dgm:t>
    </dgm:pt>
    <dgm:pt modelId="{25FEADF7-DB09-4D95-8E0F-8387390EAFCB}">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Acadamia</a:t>
          </a:r>
        </a:p>
      </dgm:t>
    </dgm:pt>
    <dgm:pt modelId="{5FF7187B-46C4-4BD5-9DBA-DC31527DDF13}" type="parTrans" cxnId="{4ACBAFEC-10EF-4A00-9D68-8B3A13B6AAC3}">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E12EBAB3-437F-47B5-88CD-52AE70332099}" type="sibTrans" cxnId="{4ACBAFEC-10EF-4A00-9D68-8B3A13B6AAC3}">
      <dgm:prSet/>
      <dgm:spPr/>
      <dgm:t>
        <a:bodyPr/>
        <a:lstStyle/>
        <a:p>
          <a:pPr algn="ctr"/>
          <a:endParaRPr lang="en-GB"/>
        </a:p>
      </dgm:t>
    </dgm:pt>
    <dgm:pt modelId="{A4BD6BED-2B14-494F-A70E-AA295CF5B319}">
      <dgm:prSet phldrT="[Text]" custT="1">
        <dgm:style>
          <a:lnRef idx="2">
            <a:schemeClr val="dk1"/>
          </a:lnRef>
          <a:fillRef idx="1">
            <a:schemeClr val="lt1"/>
          </a:fillRef>
          <a:effectRef idx="0">
            <a:schemeClr val="dk1"/>
          </a:effectRef>
          <a:fontRef idx="minor">
            <a:schemeClr val="dk1"/>
          </a:fontRef>
        </dgm:style>
      </dgm:prSet>
      <dgm:spPr/>
      <dgm:t>
        <a:bodyPr/>
        <a:lstStyle/>
        <a:p>
          <a:pPr algn="ctr"/>
          <a:r>
            <a:rPr lang="en-GB" sz="1000">
              <a:latin typeface="Times New Roman" panose="02020603050405020304" pitchFamily="18" charset="0"/>
              <a:cs typeface="Times New Roman" panose="02020603050405020304" pitchFamily="18" charset="0"/>
            </a:rPr>
            <a:t>Trade Union</a:t>
          </a:r>
        </a:p>
      </dgm:t>
    </dgm:pt>
    <dgm:pt modelId="{39F8ABF9-12DA-41A5-B49A-89539062DD86}" type="parTrans" cxnId="{0584644E-E71E-41F9-A578-F21C4D4B8236}">
      <dgm:prSet>
        <dgm:style>
          <a:lnRef idx="2">
            <a:schemeClr val="dk1"/>
          </a:lnRef>
          <a:fillRef idx="1">
            <a:schemeClr val="lt1"/>
          </a:fillRef>
          <a:effectRef idx="0">
            <a:schemeClr val="dk1"/>
          </a:effectRef>
          <a:fontRef idx="minor">
            <a:schemeClr val="dk1"/>
          </a:fontRef>
        </dgm:style>
      </dgm:prSet>
      <dgm:spPr/>
      <dgm:t>
        <a:bodyPr/>
        <a:lstStyle/>
        <a:p>
          <a:pPr algn="ctr"/>
          <a:endParaRPr lang="en-GB"/>
        </a:p>
      </dgm:t>
    </dgm:pt>
    <dgm:pt modelId="{F92F7ADF-4ABB-4AF1-9CB9-24AB0D273CF7}" type="sibTrans" cxnId="{0584644E-E71E-41F9-A578-F21C4D4B8236}">
      <dgm:prSet/>
      <dgm:spPr/>
      <dgm:t>
        <a:bodyPr/>
        <a:lstStyle/>
        <a:p>
          <a:pPr algn="ctr"/>
          <a:endParaRPr lang="en-GB"/>
        </a:p>
      </dgm:t>
    </dgm:pt>
    <dgm:pt modelId="{2FC94C71-8B6D-45FB-BC1A-64217548434A}" type="pres">
      <dgm:prSet presAssocID="{14F3AB78-9886-46EB-9E2E-F4E3E3A69FDD}" presName="mainComposite" presStyleCnt="0">
        <dgm:presLayoutVars>
          <dgm:chPref val="1"/>
          <dgm:dir/>
          <dgm:animOne val="branch"/>
          <dgm:animLvl val="lvl"/>
          <dgm:resizeHandles val="exact"/>
        </dgm:presLayoutVars>
      </dgm:prSet>
      <dgm:spPr/>
    </dgm:pt>
    <dgm:pt modelId="{A99A09B6-395B-4E67-9216-0203A2D873A6}" type="pres">
      <dgm:prSet presAssocID="{14F3AB78-9886-46EB-9E2E-F4E3E3A69FDD}" presName="hierFlow" presStyleCnt="0"/>
      <dgm:spPr/>
    </dgm:pt>
    <dgm:pt modelId="{5027BE97-9AE1-48F3-B80B-7BD3DCF07D21}" type="pres">
      <dgm:prSet presAssocID="{14F3AB78-9886-46EB-9E2E-F4E3E3A69FDD}" presName="hierChild1" presStyleCnt="0">
        <dgm:presLayoutVars>
          <dgm:chPref val="1"/>
          <dgm:animOne val="branch"/>
          <dgm:animLvl val="lvl"/>
        </dgm:presLayoutVars>
      </dgm:prSet>
      <dgm:spPr/>
    </dgm:pt>
    <dgm:pt modelId="{2EE1EB55-49D6-4120-841F-80E586E9870F}" type="pres">
      <dgm:prSet presAssocID="{92F017B3-7D28-4724-AEA7-7EA6BD98DEF1}" presName="Name14" presStyleCnt="0"/>
      <dgm:spPr/>
    </dgm:pt>
    <dgm:pt modelId="{3D2DE32B-FA28-4D36-BB28-A74490FA3FB0}" type="pres">
      <dgm:prSet presAssocID="{92F017B3-7D28-4724-AEA7-7EA6BD98DEF1}" presName="level1Shape" presStyleLbl="node0" presStyleIdx="0" presStyleCnt="1" custScaleX="187555">
        <dgm:presLayoutVars>
          <dgm:chPref val="3"/>
        </dgm:presLayoutVars>
      </dgm:prSet>
      <dgm:spPr/>
    </dgm:pt>
    <dgm:pt modelId="{E8A8775E-CB2C-49CB-BE00-1AAB112789F1}" type="pres">
      <dgm:prSet presAssocID="{92F017B3-7D28-4724-AEA7-7EA6BD98DEF1}" presName="hierChild2" presStyleCnt="0"/>
      <dgm:spPr/>
    </dgm:pt>
    <dgm:pt modelId="{3F4D8A20-EB33-454B-A65B-DD8CA8DBA4A6}" type="pres">
      <dgm:prSet presAssocID="{3B367419-9BE2-4BAE-98DE-FFD7E9D879A1}" presName="Name19" presStyleLbl="parChTrans1D2" presStyleIdx="0" presStyleCnt="2"/>
      <dgm:spPr/>
    </dgm:pt>
    <dgm:pt modelId="{1BCA2E98-D088-458C-A928-983A5CF71D15}" type="pres">
      <dgm:prSet presAssocID="{35B2D661-6BA3-4344-A835-5F9F9192C17E}" presName="Name21" presStyleCnt="0"/>
      <dgm:spPr/>
    </dgm:pt>
    <dgm:pt modelId="{A6BF64BC-B43E-40B4-898A-5F9EBA75412B}" type="pres">
      <dgm:prSet presAssocID="{35B2D661-6BA3-4344-A835-5F9F9192C17E}" presName="level2Shape" presStyleLbl="node2" presStyleIdx="0" presStyleCnt="2" custScaleX="163187"/>
      <dgm:spPr/>
    </dgm:pt>
    <dgm:pt modelId="{23D2636F-3B8E-4B09-8A94-56A7E8362514}" type="pres">
      <dgm:prSet presAssocID="{35B2D661-6BA3-4344-A835-5F9F9192C17E}" presName="hierChild3" presStyleCnt="0"/>
      <dgm:spPr/>
    </dgm:pt>
    <dgm:pt modelId="{C3FF9DDB-7FA0-47BF-A8D8-EB551D0F2048}" type="pres">
      <dgm:prSet presAssocID="{83ADBABB-8209-4F11-A91C-18F765FDABDD}" presName="Name19" presStyleLbl="parChTrans1D3" presStyleIdx="0" presStyleCnt="7"/>
      <dgm:spPr/>
    </dgm:pt>
    <dgm:pt modelId="{C4D766E9-2674-4034-9C8E-64F366DFEBA9}" type="pres">
      <dgm:prSet presAssocID="{6825D34A-D60D-4D02-9745-15E96229ECB5}" presName="Name21" presStyleCnt="0"/>
      <dgm:spPr/>
    </dgm:pt>
    <dgm:pt modelId="{55ABF0BE-ECF0-4682-BC0D-98C566678905}" type="pres">
      <dgm:prSet presAssocID="{6825D34A-D60D-4D02-9745-15E96229ECB5}" presName="level2Shape" presStyleLbl="node3" presStyleIdx="0" presStyleCnt="7" custScaleX="126219"/>
      <dgm:spPr/>
    </dgm:pt>
    <dgm:pt modelId="{95DB1FD2-4BCE-407D-9CE7-4AE288078711}" type="pres">
      <dgm:prSet presAssocID="{6825D34A-D60D-4D02-9745-15E96229ECB5}" presName="hierChild3" presStyleCnt="0"/>
      <dgm:spPr/>
    </dgm:pt>
    <dgm:pt modelId="{F8B8B6E6-7C6F-4A6E-807D-ABB3DB65A60A}" type="pres">
      <dgm:prSet presAssocID="{939A75A0-8D37-4997-B424-9EE1D0A43117}" presName="Name19" presStyleLbl="parChTrans1D3" presStyleIdx="1" presStyleCnt="7"/>
      <dgm:spPr/>
    </dgm:pt>
    <dgm:pt modelId="{09210867-FA08-44BF-A008-960874254995}" type="pres">
      <dgm:prSet presAssocID="{0AA79554-12B5-45E8-806E-257F3800B1F4}" presName="Name21" presStyleCnt="0"/>
      <dgm:spPr/>
    </dgm:pt>
    <dgm:pt modelId="{499FDE3C-1F65-4F7E-B439-6D656087B229}" type="pres">
      <dgm:prSet presAssocID="{0AA79554-12B5-45E8-806E-257F3800B1F4}" presName="level2Shape" presStyleLbl="node3" presStyleIdx="1" presStyleCnt="7" custScaleX="117233"/>
      <dgm:spPr/>
    </dgm:pt>
    <dgm:pt modelId="{44670E05-879B-4011-9C2E-144482C51480}" type="pres">
      <dgm:prSet presAssocID="{0AA79554-12B5-45E8-806E-257F3800B1F4}" presName="hierChild3" presStyleCnt="0"/>
      <dgm:spPr/>
    </dgm:pt>
    <dgm:pt modelId="{E8CBF0F8-DFF9-48C3-88F7-7FF373305255}" type="pres">
      <dgm:prSet presAssocID="{1461A0E9-03E6-47B2-9AD6-B4A292090A35}" presName="Name19" presStyleLbl="parChTrans1D3" presStyleIdx="2" presStyleCnt="7"/>
      <dgm:spPr/>
    </dgm:pt>
    <dgm:pt modelId="{DAD69307-9205-44FA-838A-08F280243B3D}" type="pres">
      <dgm:prSet presAssocID="{8EA6EBAC-3D5B-4872-8DB7-1EF3BBEF4F27}" presName="Name21" presStyleCnt="0"/>
      <dgm:spPr/>
    </dgm:pt>
    <dgm:pt modelId="{86DDED65-07E5-4B24-B9F7-58BB7C23B139}" type="pres">
      <dgm:prSet presAssocID="{8EA6EBAC-3D5B-4872-8DB7-1EF3BBEF4F27}" presName="level2Shape" presStyleLbl="node3" presStyleIdx="2" presStyleCnt="7"/>
      <dgm:spPr/>
    </dgm:pt>
    <dgm:pt modelId="{5C5D6B3A-7926-4C5D-98D4-AF60D4392D04}" type="pres">
      <dgm:prSet presAssocID="{8EA6EBAC-3D5B-4872-8DB7-1EF3BBEF4F27}" presName="hierChild3" presStyleCnt="0"/>
      <dgm:spPr/>
    </dgm:pt>
    <dgm:pt modelId="{F197D123-B362-4023-8E51-8A6104048028}" type="pres">
      <dgm:prSet presAssocID="{5FF7187B-46C4-4BD5-9DBA-DC31527DDF13}" presName="Name19" presStyleLbl="parChTrans1D3" presStyleIdx="3" presStyleCnt="7"/>
      <dgm:spPr/>
    </dgm:pt>
    <dgm:pt modelId="{A8FBB2A2-60A1-45D1-86F1-AC81DCD2D2E5}" type="pres">
      <dgm:prSet presAssocID="{25FEADF7-DB09-4D95-8E0F-8387390EAFCB}" presName="Name21" presStyleCnt="0"/>
      <dgm:spPr/>
    </dgm:pt>
    <dgm:pt modelId="{85E5C84C-DBCA-403C-808F-EECD64AB5703}" type="pres">
      <dgm:prSet presAssocID="{25FEADF7-DB09-4D95-8E0F-8387390EAFCB}" presName="level2Shape" presStyleLbl="node3" presStyleIdx="3" presStyleCnt="7" custScaleX="118886"/>
      <dgm:spPr/>
    </dgm:pt>
    <dgm:pt modelId="{F8422EC4-AF82-4DCA-B83C-B83804C3C6D9}" type="pres">
      <dgm:prSet presAssocID="{25FEADF7-DB09-4D95-8E0F-8387390EAFCB}" presName="hierChild3" presStyleCnt="0"/>
      <dgm:spPr/>
    </dgm:pt>
    <dgm:pt modelId="{D79A8642-E898-4E55-B27E-EBE5B6D71E1A}" type="pres">
      <dgm:prSet presAssocID="{39F8ABF9-12DA-41A5-B49A-89539062DD86}" presName="Name19" presStyleLbl="parChTrans1D3" presStyleIdx="4" presStyleCnt="7"/>
      <dgm:spPr/>
    </dgm:pt>
    <dgm:pt modelId="{FBEE0F61-2AFD-4E4C-9610-E214582FEC17}" type="pres">
      <dgm:prSet presAssocID="{A4BD6BED-2B14-494F-A70E-AA295CF5B319}" presName="Name21" presStyleCnt="0"/>
      <dgm:spPr/>
    </dgm:pt>
    <dgm:pt modelId="{D26B40CE-E03F-4000-88C3-1BABFB116F4C}" type="pres">
      <dgm:prSet presAssocID="{A4BD6BED-2B14-494F-A70E-AA295CF5B319}" presName="level2Shape" presStyleLbl="node3" presStyleIdx="4" presStyleCnt="7"/>
      <dgm:spPr/>
    </dgm:pt>
    <dgm:pt modelId="{6AE76549-D77F-4C70-A8C1-1D39040EE9A5}" type="pres">
      <dgm:prSet presAssocID="{A4BD6BED-2B14-494F-A70E-AA295CF5B319}" presName="hierChild3" presStyleCnt="0"/>
      <dgm:spPr/>
    </dgm:pt>
    <dgm:pt modelId="{969D1AAD-84C1-4BA1-AA43-0F7486B880E5}" type="pres">
      <dgm:prSet presAssocID="{D2900479-F5DB-489B-9E82-641851E8704B}" presName="Name19" presStyleLbl="parChTrans1D3" presStyleIdx="5" presStyleCnt="7"/>
      <dgm:spPr/>
    </dgm:pt>
    <dgm:pt modelId="{63E42D30-E704-4AF4-B869-48A8080DD2B2}" type="pres">
      <dgm:prSet presAssocID="{6AF8983B-897B-48BB-ACE4-95F958CBA776}" presName="Name21" presStyleCnt="0"/>
      <dgm:spPr/>
    </dgm:pt>
    <dgm:pt modelId="{0C7C8274-9734-4B2A-85A8-944335596891}" type="pres">
      <dgm:prSet presAssocID="{6AF8983B-897B-48BB-ACE4-95F958CBA776}" presName="level2Shape" presStyleLbl="node3" presStyleIdx="5" presStyleCnt="7" custScaleX="126862"/>
      <dgm:spPr/>
    </dgm:pt>
    <dgm:pt modelId="{9839F39A-C61B-4FB5-AEEA-C8F9BB9EEAFA}" type="pres">
      <dgm:prSet presAssocID="{6AF8983B-897B-48BB-ACE4-95F958CBA776}" presName="hierChild3" presStyleCnt="0"/>
      <dgm:spPr/>
    </dgm:pt>
    <dgm:pt modelId="{9E1CDB06-0C24-4CA4-BDCC-B5C3AE9EEB44}" type="pres">
      <dgm:prSet presAssocID="{6828A2CD-CD24-47B4-9A76-021F92B9CF08}" presName="Name19" presStyleLbl="parChTrans1D2" presStyleIdx="1" presStyleCnt="2"/>
      <dgm:spPr/>
    </dgm:pt>
    <dgm:pt modelId="{57130DE7-5C8B-4951-89AB-2FE5F9086743}" type="pres">
      <dgm:prSet presAssocID="{76A2D248-367D-4C6D-A9B7-C8C37683D092}" presName="Name21" presStyleCnt="0"/>
      <dgm:spPr/>
    </dgm:pt>
    <dgm:pt modelId="{75D796A7-CDE7-4CA8-B771-20C82F31F753}" type="pres">
      <dgm:prSet presAssocID="{76A2D248-367D-4C6D-A9B7-C8C37683D092}" presName="level2Shape" presStyleLbl="node2" presStyleIdx="1" presStyleCnt="2" custScaleX="155762"/>
      <dgm:spPr/>
    </dgm:pt>
    <dgm:pt modelId="{B0EB65ED-593A-45B8-988C-8C2FC261CD9E}" type="pres">
      <dgm:prSet presAssocID="{76A2D248-367D-4C6D-A9B7-C8C37683D092}" presName="hierChild3" presStyleCnt="0"/>
      <dgm:spPr/>
    </dgm:pt>
    <dgm:pt modelId="{63D35E8B-F01A-42CE-B8A6-849E2490253A}" type="pres">
      <dgm:prSet presAssocID="{8ABE0308-FD42-44C0-922B-E29AA36F6B33}" presName="Name19" presStyleLbl="parChTrans1D3" presStyleIdx="6" presStyleCnt="7"/>
      <dgm:spPr/>
    </dgm:pt>
    <dgm:pt modelId="{9EAC0A4C-4C26-4FD2-A531-EC53568DE1AE}" type="pres">
      <dgm:prSet presAssocID="{EB0F92C9-CFA2-49A0-9930-31591065FBEE}" presName="Name21" presStyleCnt="0"/>
      <dgm:spPr/>
    </dgm:pt>
    <dgm:pt modelId="{894EC6FA-BB91-4980-95EB-E87482DC704F}" type="pres">
      <dgm:prSet presAssocID="{EB0F92C9-CFA2-49A0-9930-31591065FBEE}" presName="level2Shape" presStyleLbl="node3" presStyleIdx="6" presStyleCnt="7"/>
      <dgm:spPr/>
    </dgm:pt>
    <dgm:pt modelId="{6FBB4857-932B-4598-8FFA-1F77D6D256E8}" type="pres">
      <dgm:prSet presAssocID="{EB0F92C9-CFA2-49A0-9930-31591065FBEE}" presName="hierChild3" presStyleCnt="0"/>
      <dgm:spPr/>
    </dgm:pt>
    <dgm:pt modelId="{F854766D-3A2F-404B-A916-8D65BEC7B551}" type="pres">
      <dgm:prSet presAssocID="{14F3AB78-9886-46EB-9E2E-F4E3E3A69FDD}" presName="bgShapesFlow" presStyleCnt="0"/>
      <dgm:spPr/>
    </dgm:pt>
  </dgm:ptLst>
  <dgm:cxnLst>
    <dgm:cxn modelId="{210BBC15-F78F-40E6-828C-4FA4C1505E7B}" type="presOf" srcId="{76A2D248-367D-4C6D-A9B7-C8C37683D092}" destId="{75D796A7-CDE7-4CA8-B771-20C82F31F753}" srcOrd="0" destOrd="0" presId="urn:microsoft.com/office/officeart/2005/8/layout/hierarchy6"/>
    <dgm:cxn modelId="{B6065118-28BB-4B7D-A2E9-D818BB5BC36B}" srcId="{35B2D661-6BA3-4344-A835-5F9F9192C17E}" destId="{0AA79554-12B5-45E8-806E-257F3800B1F4}" srcOrd="1" destOrd="0" parTransId="{939A75A0-8D37-4997-B424-9EE1D0A43117}" sibTransId="{9A919075-EF42-4948-878B-E8626593E921}"/>
    <dgm:cxn modelId="{14552D19-DC4F-454D-AD4A-32581A8AB58F}" type="presOf" srcId="{8ABE0308-FD42-44C0-922B-E29AA36F6B33}" destId="{63D35E8B-F01A-42CE-B8A6-849E2490253A}" srcOrd="0" destOrd="0" presId="urn:microsoft.com/office/officeart/2005/8/layout/hierarchy6"/>
    <dgm:cxn modelId="{60CD481A-C23B-447E-A7CA-3170D6FCC6AD}" type="presOf" srcId="{8EA6EBAC-3D5B-4872-8DB7-1EF3BBEF4F27}" destId="{86DDED65-07E5-4B24-B9F7-58BB7C23B139}" srcOrd="0" destOrd="0" presId="urn:microsoft.com/office/officeart/2005/8/layout/hierarchy6"/>
    <dgm:cxn modelId="{203D6B30-DD4E-4C66-8929-A8D9D215BAC5}" type="presOf" srcId="{6828A2CD-CD24-47B4-9A76-021F92B9CF08}" destId="{9E1CDB06-0C24-4CA4-BDCC-B5C3AE9EEB44}" srcOrd="0" destOrd="0" presId="urn:microsoft.com/office/officeart/2005/8/layout/hierarchy6"/>
    <dgm:cxn modelId="{2380D83C-6EAF-4B37-980F-0FAB0DE658F2}" srcId="{35B2D661-6BA3-4344-A835-5F9F9192C17E}" destId="{6AF8983B-897B-48BB-ACE4-95F958CBA776}" srcOrd="5" destOrd="0" parTransId="{D2900479-F5DB-489B-9E82-641851E8704B}" sibTransId="{09A3A09E-3D8F-4CFB-ABEE-596965DE1690}"/>
    <dgm:cxn modelId="{D15F183F-AED7-4AE5-B6C0-FF2F952AB390}" srcId="{35B2D661-6BA3-4344-A835-5F9F9192C17E}" destId="{6825D34A-D60D-4D02-9745-15E96229ECB5}" srcOrd="0" destOrd="0" parTransId="{83ADBABB-8209-4F11-A91C-18F765FDABDD}" sibTransId="{51F8BB87-D623-496D-B24D-1FB1CFE96561}"/>
    <dgm:cxn modelId="{AB4BF861-1EEF-4A70-83E5-77E549B21144}" type="presOf" srcId="{25FEADF7-DB09-4D95-8E0F-8387390EAFCB}" destId="{85E5C84C-DBCA-403C-808F-EECD64AB5703}" srcOrd="0" destOrd="0" presId="urn:microsoft.com/office/officeart/2005/8/layout/hierarchy6"/>
    <dgm:cxn modelId="{E7B1D846-870C-40A3-9F60-95F71DA95E3A}" type="presOf" srcId="{92F017B3-7D28-4724-AEA7-7EA6BD98DEF1}" destId="{3D2DE32B-FA28-4D36-BB28-A74490FA3FB0}" srcOrd="0" destOrd="0" presId="urn:microsoft.com/office/officeart/2005/8/layout/hierarchy6"/>
    <dgm:cxn modelId="{85216469-8DC2-40A4-B50C-92794A870F44}" srcId="{92F017B3-7D28-4724-AEA7-7EA6BD98DEF1}" destId="{76A2D248-367D-4C6D-A9B7-C8C37683D092}" srcOrd="1" destOrd="0" parTransId="{6828A2CD-CD24-47B4-9A76-021F92B9CF08}" sibTransId="{E4DE2B84-9DAF-491A-81CF-E4AAE649C32A}"/>
    <dgm:cxn modelId="{45AF0B6D-65B1-4B46-9BB4-FA57E4138C92}" type="presOf" srcId="{D2900479-F5DB-489B-9E82-641851E8704B}" destId="{969D1AAD-84C1-4BA1-AA43-0F7486B880E5}" srcOrd="0" destOrd="0" presId="urn:microsoft.com/office/officeart/2005/8/layout/hierarchy6"/>
    <dgm:cxn modelId="{0584644E-E71E-41F9-A578-F21C4D4B8236}" srcId="{35B2D661-6BA3-4344-A835-5F9F9192C17E}" destId="{A4BD6BED-2B14-494F-A70E-AA295CF5B319}" srcOrd="4" destOrd="0" parTransId="{39F8ABF9-12DA-41A5-B49A-89539062DD86}" sibTransId="{F92F7ADF-4ABB-4AF1-9CB9-24AB0D273CF7}"/>
    <dgm:cxn modelId="{590B516E-0072-4EF4-BDD8-62EEF4B69F56}" type="presOf" srcId="{5FF7187B-46C4-4BD5-9DBA-DC31527DDF13}" destId="{F197D123-B362-4023-8E51-8A6104048028}" srcOrd="0" destOrd="0" presId="urn:microsoft.com/office/officeart/2005/8/layout/hierarchy6"/>
    <dgm:cxn modelId="{FB3A7054-D12B-478E-A758-A90C21BDB4BC}" type="presOf" srcId="{39F8ABF9-12DA-41A5-B49A-89539062DD86}" destId="{D79A8642-E898-4E55-B27E-EBE5B6D71E1A}" srcOrd="0" destOrd="0" presId="urn:microsoft.com/office/officeart/2005/8/layout/hierarchy6"/>
    <dgm:cxn modelId="{F08D9C78-AE10-4EB4-A365-2DBB203CF726}" type="presOf" srcId="{6825D34A-D60D-4D02-9745-15E96229ECB5}" destId="{55ABF0BE-ECF0-4682-BC0D-98C566678905}" srcOrd="0" destOrd="0" presId="urn:microsoft.com/office/officeart/2005/8/layout/hierarchy6"/>
    <dgm:cxn modelId="{D8E7757F-76F3-4081-8CA4-C4F4FF4BCD40}" srcId="{35B2D661-6BA3-4344-A835-5F9F9192C17E}" destId="{8EA6EBAC-3D5B-4872-8DB7-1EF3BBEF4F27}" srcOrd="2" destOrd="0" parTransId="{1461A0E9-03E6-47B2-9AD6-B4A292090A35}" sibTransId="{4EDC3BFB-09C1-4644-82A5-D3B492B0A253}"/>
    <dgm:cxn modelId="{1C387081-26E8-4EA8-B2E8-A86F4E567572}" type="presOf" srcId="{1461A0E9-03E6-47B2-9AD6-B4A292090A35}" destId="{E8CBF0F8-DFF9-48C3-88F7-7FF373305255}" srcOrd="0" destOrd="0" presId="urn:microsoft.com/office/officeart/2005/8/layout/hierarchy6"/>
    <dgm:cxn modelId="{7514AAAE-5B5A-484E-B11D-ED875F534525}" type="presOf" srcId="{6AF8983B-897B-48BB-ACE4-95F958CBA776}" destId="{0C7C8274-9734-4B2A-85A8-944335596891}" srcOrd="0" destOrd="0" presId="urn:microsoft.com/office/officeart/2005/8/layout/hierarchy6"/>
    <dgm:cxn modelId="{2A7CEEB9-EB01-498B-9925-53B246F876E5}" srcId="{92F017B3-7D28-4724-AEA7-7EA6BD98DEF1}" destId="{35B2D661-6BA3-4344-A835-5F9F9192C17E}" srcOrd="0" destOrd="0" parTransId="{3B367419-9BE2-4BAE-98DE-FFD7E9D879A1}" sibTransId="{4F4BBAD8-F325-4BD8-A554-46E0AE3D800D}"/>
    <dgm:cxn modelId="{2E93CCBA-F6AB-4764-B2F4-BE77CF78813D}" type="presOf" srcId="{3B367419-9BE2-4BAE-98DE-FFD7E9D879A1}" destId="{3F4D8A20-EB33-454B-A65B-DD8CA8DBA4A6}" srcOrd="0" destOrd="0" presId="urn:microsoft.com/office/officeart/2005/8/layout/hierarchy6"/>
    <dgm:cxn modelId="{7D7676C3-BC5B-4BD3-BAF2-1319218BA425}" type="presOf" srcId="{83ADBABB-8209-4F11-A91C-18F765FDABDD}" destId="{C3FF9DDB-7FA0-47BF-A8D8-EB551D0F2048}" srcOrd="0" destOrd="0" presId="urn:microsoft.com/office/officeart/2005/8/layout/hierarchy6"/>
    <dgm:cxn modelId="{C5DC20C8-8ECD-4B30-8AB4-CC7C986DABDA}" type="presOf" srcId="{A4BD6BED-2B14-494F-A70E-AA295CF5B319}" destId="{D26B40CE-E03F-4000-88C3-1BABFB116F4C}" srcOrd="0" destOrd="0" presId="urn:microsoft.com/office/officeart/2005/8/layout/hierarchy6"/>
    <dgm:cxn modelId="{A32157CE-1FC1-4DBF-B8A8-828BAEBAA30C}" type="presOf" srcId="{35B2D661-6BA3-4344-A835-5F9F9192C17E}" destId="{A6BF64BC-B43E-40B4-898A-5F9EBA75412B}" srcOrd="0" destOrd="0" presId="urn:microsoft.com/office/officeart/2005/8/layout/hierarchy6"/>
    <dgm:cxn modelId="{DD7064DC-057C-47EA-ABB1-AACC3021AA4C}" type="presOf" srcId="{0AA79554-12B5-45E8-806E-257F3800B1F4}" destId="{499FDE3C-1F65-4F7E-B439-6D656087B229}" srcOrd="0" destOrd="0" presId="urn:microsoft.com/office/officeart/2005/8/layout/hierarchy6"/>
    <dgm:cxn modelId="{2B4B81E2-DA36-47A4-998D-4A70FEF8E485}" type="presOf" srcId="{939A75A0-8D37-4997-B424-9EE1D0A43117}" destId="{F8B8B6E6-7C6F-4A6E-807D-ABB3DB65A60A}" srcOrd="0" destOrd="0" presId="urn:microsoft.com/office/officeart/2005/8/layout/hierarchy6"/>
    <dgm:cxn modelId="{889C93E9-34FA-4430-8A54-38801DC6FB8F}" type="presOf" srcId="{14F3AB78-9886-46EB-9E2E-F4E3E3A69FDD}" destId="{2FC94C71-8B6D-45FB-BC1A-64217548434A}" srcOrd="0" destOrd="0" presId="urn:microsoft.com/office/officeart/2005/8/layout/hierarchy6"/>
    <dgm:cxn modelId="{DF7378EC-A4F2-4214-9119-24FC5F24DDB9}" srcId="{14F3AB78-9886-46EB-9E2E-F4E3E3A69FDD}" destId="{92F017B3-7D28-4724-AEA7-7EA6BD98DEF1}" srcOrd="0" destOrd="0" parTransId="{226B47F6-C48A-4490-9403-356E86D63A62}" sibTransId="{84735F4B-15FC-45E8-BF69-7724C5ACE9B4}"/>
    <dgm:cxn modelId="{4ACBAFEC-10EF-4A00-9D68-8B3A13B6AAC3}" srcId="{35B2D661-6BA3-4344-A835-5F9F9192C17E}" destId="{25FEADF7-DB09-4D95-8E0F-8387390EAFCB}" srcOrd="3" destOrd="0" parTransId="{5FF7187B-46C4-4BD5-9DBA-DC31527DDF13}" sibTransId="{E12EBAB3-437F-47B5-88CD-52AE70332099}"/>
    <dgm:cxn modelId="{C814D5F2-FDC7-4555-AA45-A538EFA10669}" srcId="{76A2D248-367D-4C6D-A9B7-C8C37683D092}" destId="{EB0F92C9-CFA2-49A0-9930-31591065FBEE}" srcOrd="0" destOrd="0" parTransId="{8ABE0308-FD42-44C0-922B-E29AA36F6B33}" sibTransId="{82A2DE73-C266-4357-8F67-4440A9A97CE2}"/>
    <dgm:cxn modelId="{D22E1EF9-E5CC-4148-A6C2-DF87B94FCBE3}" type="presOf" srcId="{EB0F92C9-CFA2-49A0-9930-31591065FBEE}" destId="{894EC6FA-BB91-4980-95EB-E87482DC704F}" srcOrd="0" destOrd="0" presId="urn:microsoft.com/office/officeart/2005/8/layout/hierarchy6"/>
    <dgm:cxn modelId="{5F5E9C4A-DFF2-4265-89D2-DABB301E1A0E}" type="presParOf" srcId="{2FC94C71-8B6D-45FB-BC1A-64217548434A}" destId="{A99A09B6-395B-4E67-9216-0203A2D873A6}" srcOrd="0" destOrd="0" presId="urn:microsoft.com/office/officeart/2005/8/layout/hierarchy6"/>
    <dgm:cxn modelId="{E19BAA66-85C1-4749-9B90-513FF4EE0736}" type="presParOf" srcId="{A99A09B6-395B-4E67-9216-0203A2D873A6}" destId="{5027BE97-9AE1-48F3-B80B-7BD3DCF07D21}" srcOrd="0" destOrd="0" presId="urn:microsoft.com/office/officeart/2005/8/layout/hierarchy6"/>
    <dgm:cxn modelId="{293EB03A-3730-4A84-AC33-060922C61F1B}" type="presParOf" srcId="{5027BE97-9AE1-48F3-B80B-7BD3DCF07D21}" destId="{2EE1EB55-49D6-4120-841F-80E586E9870F}" srcOrd="0" destOrd="0" presId="urn:microsoft.com/office/officeart/2005/8/layout/hierarchy6"/>
    <dgm:cxn modelId="{EA77E230-4673-48DC-83AE-397C161993FD}" type="presParOf" srcId="{2EE1EB55-49D6-4120-841F-80E586E9870F}" destId="{3D2DE32B-FA28-4D36-BB28-A74490FA3FB0}" srcOrd="0" destOrd="0" presId="urn:microsoft.com/office/officeart/2005/8/layout/hierarchy6"/>
    <dgm:cxn modelId="{27EB8B77-0248-4E4F-96FA-89EC696E86E2}" type="presParOf" srcId="{2EE1EB55-49D6-4120-841F-80E586E9870F}" destId="{E8A8775E-CB2C-49CB-BE00-1AAB112789F1}" srcOrd="1" destOrd="0" presId="urn:microsoft.com/office/officeart/2005/8/layout/hierarchy6"/>
    <dgm:cxn modelId="{C5BA40BA-FCEF-4C7A-8986-C9453D775421}" type="presParOf" srcId="{E8A8775E-CB2C-49CB-BE00-1AAB112789F1}" destId="{3F4D8A20-EB33-454B-A65B-DD8CA8DBA4A6}" srcOrd="0" destOrd="0" presId="urn:microsoft.com/office/officeart/2005/8/layout/hierarchy6"/>
    <dgm:cxn modelId="{913CEE3B-2512-43A1-90AF-73546F00C062}" type="presParOf" srcId="{E8A8775E-CB2C-49CB-BE00-1AAB112789F1}" destId="{1BCA2E98-D088-458C-A928-983A5CF71D15}" srcOrd="1" destOrd="0" presId="urn:microsoft.com/office/officeart/2005/8/layout/hierarchy6"/>
    <dgm:cxn modelId="{D4C4DC59-6848-49F1-B15D-8DD0CA2B0249}" type="presParOf" srcId="{1BCA2E98-D088-458C-A928-983A5CF71D15}" destId="{A6BF64BC-B43E-40B4-898A-5F9EBA75412B}" srcOrd="0" destOrd="0" presId="urn:microsoft.com/office/officeart/2005/8/layout/hierarchy6"/>
    <dgm:cxn modelId="{6E707006-16FA-447D-A977-5D998D5E28BD}" type="presParOf" srcId="{1BCA2E98-D088-458C-A928-983A5CF71D15}" destId="{23D2636F-3B8E-4B09-8A94-56A7E8362514}" srcOrd="1" destOrd="0" presId="urn:microsoft.com/office/officeart/2005/8/layout/hierarchy6"/>
    <dgm:cxn modelId="{23561917-E676-440C-B590-4295201ED6CC}" type="presParOf" srcId="{23D2636F-3B8E-4B09-8A94-56A7E8362514}" destId="{C3FF9DDB-7FA0-47BF-A8D8-EB551D0F2048}" srcOrd="0" destOrd="0" presId="urn:microsoft.com/office/officeart/2005/8/layout/hierarchy6"/>
    <dgm:cxn modelId="{F010F165-D746-4CE6-8415-ED168FA0DE9C}" type="presParOf" srcId="{23D2636F-3B8E-4B09-8A94-56A7E8362514}" destId="{C4D766E9-2674-4034-9C8E-64F366DFEBA9}" srcOrd="1" destOrd="0" presId="urn:microsoft.com/office/officeart/2005/8/layout/hierarchy6"/>
    <dgm:cxn modelId="{4141055A-DBFD-4661-AD15-6FAA9970F131}" type="presParOf" srcId="{C4D766E9-2674-4034-9C8E-64F366DFEBA9}" destId="{55ABF0BE-ECF0-4682-BC0D-98C566678905}" srcOrd="0" destOrd="0" presId="urn:microsoft.com/office/officeart/2005/8/layout/hierarchy6"/>
    <dgm:cxn modelId="{A3AEA7D7-85F9-425F-B8E9-F4C69D86A43F}" type="presParOf" srcId="{C4D766E9-2674-4034-9C8E-64F366DFEBA9}" destId="{95DB1FD2-4BCE-407D-9CE7-4AE288078711}" srcOrd="1" destOrd="0" presId="urn:microsoft.com/office/officeart/2005/8/layout/hierarchy6"/>
    <dgm:cxn modelId="{89559D6A-C74E-4BF7-97B1-CBDEB4F857B0}" type="presParOf" srcId="{23D2636F-3B8E-4B09-8A94-56A7E8362514}" destId="{F8B8B6E6-7C6F-4A6E-807D-ABB3DB65A60A}" srcOrd="2" destOrd="0" presId="urn:microsoft.com/office/officeart/2005/8/layout/hierarchy6"/>
    <dgm:cxn modelId="{F255A68D-6B4E-4536-AD50-EA906E470058}" type="presParOf" srcId="{23D2636F-3B8E-4B09-8A94-56A7E8362514}" destId="{09210867-FA08-44BF-A008-960874254995}" srcOrd="3" destOrd="0" presId="urn:microsoft.com/office/officeart/2005/8/layout/hierarchy6"/>
    <dgm:cxn modelId="{230F012E-F98B-47E0-9D87-2D69751CA84C}" type="presParOf" srcId="{09210867-FA08-44BF-A008-960874254995}" destId="{499FDE3C-1F65-4F7E-B439-6D656087B229}" srcOrd="0" destOrd="0" presId="urn:microsoft.com/office/officeart/2005/8/layout/hierarchy6"/>
    <dgm:cxn modelId="{35CE5BBB-1EEF-42AD-B646-1D6F00B57065}" type="presParOf" srcId="{09210867-FA08-44BF-A008-960874254995}" destId="{44670E05-879B-4011-9C2E-144482C51480}" srcOrd="1" destOrd="0" presId="urn:microsoft.com/office/officeart/2005/8/layout/hierarchy6"/>
    <dgm:cxn modelId="{4DBB8090-B67C-4E8F-A3AE-9F783BB9A5B6}" type="presParOf" srcId="{23D2636F-3B8E-4B09-8A94-56A7E8362514}" destId="{E8CBF0F8-DFF9-48C3-88F7-7FF373305255}" srcOrd="4" destOrd="0" presId="urn:microsoft.com/office/officeart/2005/8/layout/hierarchy6"/>
    <dgm:cxn modelId="{03472532-B1F5-4624-A2E8-A0350B7815CE}" type="presParOf" srcId="{23D2636F-3B8E-4B09-8A94-56A7E8362514}" destId="{DAD69307-9205-44FA-838A-08F280243B3D}" srcOrd="5" destOrd="0" presId="urn:microsoft.com/office/officeart/2005/8/layout/hierarchy6"/>
    <dgm:cxn modelId="{3FC746F2-7517-4C16-870A-C4A2B84C7FC3}" type="presParOf" srcId="{DAD69307-9205-44FA-838A-08F280243B3D}" destId="{86DDED65-07E5-4B24-B9F7-58BB7C23B139}" srcOrd="0" destOrd="0" presId="urn:microsoft.com/office/officeart/2005/8/layout/hierarchy6"/>
    <dgm:cxn modelId="{203E8D60-CFA3-4F24-814D-674E265C6931}" type="presParOf" srcId="{DAD69307-9205-44FA-838A-08F280243B3D}" destId="{5C5D6B3A-7926-4C5D-98D4-AF60D4392D04}" srcOrd="1" destOrd="0" presId="urn:microsoft.com/office/officeart/2005/8/layout/hierarchy6"/>
    <dgm:cxn modelId="{76E4A03C-F5B5-47A7-8747-007CA350F968}" type="presParOf" srcId="{23D2636F-3B8E-4B09-8A94-56A7E8362514}" destId="{F197D123-B362-4023-8E51-8A6104048028}" srcOrd="6" destOrd="0" presId="urn:microsoft.com/office/officeart/2005/8/layout/hierarchy6"/>
    <dgm:cxn modelId="{53F01A7E-8062-4BCC-AA6B-3B373D8D7E40}" type="presParOf" srcId="{23D2636F-3B8E-4B09-8A94-56A7E8362514}" destId="{A8FBB2A2-60A1-45D1-86F1-AC81DCD2D2E5}" srcOrd="7" destOrd="0" presId="urn:microsoft.com/office/officeart/2005/8/layout/hierarchy6"/>
    <dgm:cxn modelId="{404C7E14-6411-4ED3-8CB8-0F27FB867EB9}" type="presParOf" srcId="{A8FBB2A2-60A1-45D1-86F1-AC81DCD2D2E5}" destId="{85E5C84C-DBCA-403C-808F-EECD64AB5703}" srcOrd="0" destOrd="0" presId="urn:microsoft.com/office/officeart/2005/8/layout/hierarchy6"/>
    <dgm:cxn modelId="{719550E6-444C-44C3-BBB5-20CC844BBFA5}" type="presParOf" srcId="{A8FBB2A2-60A1-45D1-86F1-AC81DCD2D2E5}" destId="{F8422EC4-AF82-4DCA-B83C-B83804C3C6D9}" srcOrd="1" destOrd="0" presId="urn:microsoft.com/office/officeart/2005/8/layout/hierarchy6"/>
    <dgm:cxn modelId="{901F11DC-0751-4970-89D3-C0444A6F32C5}" type="presParOf" srcId="{23D2636F-3B8E-4B09-8A94-56A7E8362514}" destId="{D79A8642-E898-4E55-B27E-EBE5B6D71E1A}" srcOrd="8" destOrd="0" presId="urn:microsoft.com/office/officeart/2005/8/layout/hierarchy6"/>
    <dgm:cxn modelId="{A842B757-930B-40F4-B61E-31F88A5DDA5C}" type="presParOf" srcId="{23D2636F-3B8E-4B09-8A94-56A7E8362514}" destId="{FBEE0F61-2AFD-4E4C-9610-E214582FEC17}" srcOrd="9" destOrd="0" presId="urn:microsoft.com/office/officeart/2005/8/layout/hierarchy6"/>
    <dgm:cxn modelId="{07C65281-7CBE-45F7-A6E1-7FECA3E7C3A6}" type="presParOf" srcId="{FBEE0F61-2AFD-4E4C-9610-E214582FEC17}" destId="{D26B40CE-E03F-4000-88C3-1BABFB116F4C}" srcOrd="0" destOrd="0" presId="urn:microsoft.com/office/officeart/2005/8/layout/hierarchy6"/>
    <dgm:cxn modelId="{729E75FD-8637-4FFF-96E2-51BFF6C0A06B}" type="presParOf" srcId="{FBEE0F61-2AFD-4E4C-9610-E214582FEC17}" destId="{6AE76549-D77F-4C70-A8C1-1D39040EE9A5}" srcOrd="1" destOrd="0" presId="urn:microsoft.com/office/officeart/2005/8/layout/hierarchy6"/>
    <dgm:cxn modelId="{3FCEF7DA-FA3A-4A34-AE2F-3DB07BB92844}" type="presParOf" srcId="{23D2636F-3B8E-4B09-8A94-56A7E8362514}" destId="{969D1AAD-84C1-4BA1-AA43-0F7486B880E5}" srcOrd="10" destOrd="0" presId="urn:microsoft.com/office/officeart/2005/8/layout/hierarchy6"/>
    <dgm:cxn modelId="{B6779DEC-1B96-403A-9458-1A3BD8680859}" type="presParOf" srcId="{23D2636F-3B8E-4B09-8A94-56A7E8362514}" destId="{63E42D30-E704-4AF4-B869-48A8080DD2B2}" srcOrd="11" destOrd="0" presId="urn:microsoft.com/office/officeart/2005/8/layout/hierarchy6"/>
    <dgm:cxn modelId="{884BD93E-7A7F-4FB2-BC2D-8D303E4B0EF7}" type="presParOf" srcId="{63E42D30-E704-4AF4-B869-48A8080DD2B2}" destId="{0C7C8274-9734-4B2A-85A8-944335596891}" srcOrd="0" destOrd="0" presId="urn:microsoft.com/office/officeart/2005/8/layout/hierarchy6"/>
    <dgm:cxn modelId="{5B976BC8-3815-4C60-A13B-221975C8756E}" type="presParOf" srcId="{63E42D30-E704-4AF4-B869-48A8080DD2B2}" destId="{9839F39A-C61B-4FB5-AEEA-C8F9BB9EEAFA}" srcOrd="1" destOrd="0" presId="urn:microsoft.com/office/officeart/2005/8/layout/hierarchy6"/>
    <dgm:cxn modelId="{B70E365B-4074-4EE2-9F67-C54170B57FB2}" type="presParOf" srcId="{E8A8775E-CB2C-49CB-BE00-1AAB112789F1}" destId="{9E1CDB06-0C24-4CA4-BDCC-B5C3AE9EEB44}" srcOrd="2" destOrd="0" presId="urn:microsoft.com/office/officeart/2005/8/layout/hierarchy6"/>
    <dgm:cxn modelId="{A51D16CC-6A5D-4538-9660-DF6E5539D96C}" type="presParOf" srcId="{E8A8775E-CB2C-49CB-BE00-1AAB112789F1}" destId="{57130DE7-5C8B-4951-89AB-2FE5F9086743}" srcOrd="3" destOrd="0" presId="urn:microsoft.com/office/officeart/2005/8/layout/hierarchy6"/>
    <dgm:cxn modelId="{03FB06EC-2D9D-45F2-B972-16539ED3D3F2}" type="presParOf" srcId="{57130DE7-5C8B-4951-89AB-2FE5F9086743}" destId="{75D796A7-CDE7-4CA8-B771-20C82F31F753}" srcOrd="0" destOrd="0" presId="urn:microsoft.com/office/officeart/2005/8/layout/hierarchy6"/>
    <dgm:cxn modelId="{F8C871A1-6514-42B3-9AB2-5EAE9358E653}" type="presParOf" srcId="{57130DE7-5C8B-4951-89AB-2FE5F9086743}" destId="{B0EB65ED-593A-45B8-988C-8C2FC261CD9E}" srcOrd="1" destOrd="0" presId="urn:microsoft.com/office/officeart/2005/8/layout/hierarchy6"/>
    <dgm:cxn modelId="{20822904-167F-44CC-A696-B264D9A5A5AE}" type="presParOf" srcId="{B0EB65ED-593A-45B8-988C-8C2FC261CD9E}" destId="{63D35E8B-F01A-42CE-B8A6-849E2490253A}" srcOrd="0" destOrd="0" presId="urn:microsoft.com/office/officeart/2005/8/layout/hierarchy6"/>
    <dgm:cxn modelId="{8929BC2F-B9B6-4E13-8840-4C36A9ECBD58}" type="presParOf" srcId="{B0EB65ED-593A-45B8-988C-8C2FC261CD9E}" destId="{9EAC0A4C-4C26-4FD2-A531-EC53568DE1AE}" srcOrd="1" destOrd="0" presId="urn:microsoft.com/office/officeart/2005/8/layout/hierarchy6"/>
    <dgm:cxn modelId="{B8C93687-40E0-453F-98AD-C5F9DF12B5C8}" type="presParOf" srcId="{9EAC0A4C-4C26-4FD2-A531-EC53568DE1AE}" destId="{894EC6FA-BB91-4980-95EB-E87482DC704F}" srcOrd="0" destOrd="0" presId="urn:microsoft.com/office/officeart/2005/8/layout/hierarchy6"/>
    <dgm:cxn modelId="{40CD6901-3C7F-4690-B52D-23A73467B5E6}" type="presParOf" srcId="{9EAC0A4C-4C26-4FD2-A531-EC53568DE1AE}" destId="{6FBB4857-932B-4598-8FFA-1F77D6D256E8}" srcOrd="1" destOrd="0" presId="urn:microsoft.com/office/officeart/2005/8/layout/hierarchy6"/>
    <dgm:cxn modelId="{B0959277-9AEB-426A-9895-0A384697BC81}" type="presParOf" srcId="{2FC94C71-8B6D-45FB-BC1A-64217548434A}" destId="{F854766D-3A2F-404B-A916-8D65BEC7B551}" srcOrd="1" destOrd="0" presId="urn:microsoft.com/office/officeart/2005/8/layout/hierarchy6"/>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2DE32B-FA28-4D36-BB28-A74490FA3FB0}">
      <dsp:nvSpPr>
        <dsp:cNvPr id="0" name=""/>
        <dsp:cNvSpPr/>
      </dsp:nvSpPr>
      <dsp:spPr>
        <a:xfrm>
          <a:off x="3403452" y="174402"/>
          <a:ext cx="1111830"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Qualitative Appoach</a:t>
          </a:r>
        </a:p>
      </dsp:txBody>
      <dsp:txXfrm>
        <a:off x="3415027" y="185977"/>
        <a:ext cx="1088680" cy="372051"/>
      </dsp:txXfrm>
    </dsp:sp>
    <dsp:sp modelId="{3F4D8A20-EB33-454B-A65B-DD8CA8DBA4A6}">
      <dsp:nvSpPr>
        <dsp:cNvPr id="0" name=""/>
        <dsp:cNvSpPr/>
      </dsp:nvSpPr>
      <dsp:spPr>
        <a:xfrm>
          <a:off x="2489551" y="569604"/>
          <a:ext cx="1469815" cy="158080"/>
        </a:xfrm>
        <a:custGeom>
          <a:avLst/>
          <a:gdLst/>
          <a:ahLst/>
          <a:cxnLst/>
          <a:rect l="0" t="0" r="0" b="0"/>
          <a:pathLst>
            <a:path>
              <a:moveTo>
                <a:pt x="1469815" y="0"/>
              </a:moveTo>
              <a:lnTo>
                <a:pt x="1469815" y="79040"/>
              </a:lnTo>
              <a:lnTo>
                <a:pt x="0" y="79040"/>
              </a:lnTo>
              <a:lnTo>
                <a:pt x="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A6BF64BC-B43E-40B4-898A-5F9EBA75412B}">
      <dsp:nvSpPr>
        <dsp:cNvPr id="0" name=""/>
        <dsp:cNvSpPr/>
      </dsp:nvSpPr>
      <dsp:spPr>
        <a:xfrm>
          <a:off x="2005863" y="727684"/>
          <a:ext cx="967376"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Interview</a:t>
          </a:r>
        </a:p>
      </dsp:txBody>
      <dsp:txXfrm>
        <a:off x="2017438" y="739259"/>
        <a:ext cx="944226" cy="372051"/>
      </dsp:txXfrm>
    </dsp:sp>
    <dsp:sp modelId="{C3FF9DDB-7FA0-47BF-A8D8-EB551D0F2048}">
      <dsp:nvSpPr>
        <dsp:cNvPr id="0" name=""/>
        <dsp:cNvSpPr/>
      </dsp:nvSpPr>
      <dsp:spPr>
        <a:xfrm>
          <a:off x="376268" y="1122886"/>
          <a:ext cx="2113283" cy="158080"/>
        </a:xfrm>
        <a:custGeom>
          <a:avLst/>
          <a:gdLst/>
          <a:ahLst/>
          <a:cxnLst/>
          <a:rect l="0" t="0" r="0" b="0"/>
          <a:pathLst>
            <a:path>
              <a:moveTo>
                <a:pt x="2113283" y="0"/>
              </a:moveTo>
              <a:lnTo>
                <a:pt x="2113283" y="79040"/>
              </a:lnTo>
              <a:lnTo>
                <a:pt x="0" y="79040"/>
              </a:lnTo>
              <a:lnTo>
                <a:pt x="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55ABF0BE-ECF0-4682-BC0D-98C566678905}">
      <dsp:nvSpPr>
        <dsp:cNvPr id="0" name=""/>
        <dsp:cNvSpPr/>
      </dsp:nvSpPr>
      <dsp:spPr>
        <a:xfrm>
          <a:off x="2153" y="1280966"/>
          <a:ext cx="748228"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Workers/  Ex-workers</a:t>
          </a:r>
        </a:p>
      </dsp:txBody>
      <dsp:txXfrm>
        <a:off x="13728" y="1292541"/>
        <a:ext cx="725078" cy="372051"/>
      </dsp:txXfrm>
    </dsp:sp>
    <dsp:sp modelId="{F8B8B6E6-7C6F-4A6E-807D-ABB3DB65A60A}">
      <dsp:nvSpPr>
        <dsp:cNvPr id="0" name=""/>
        <dsp:cNvSpPr/>
      </dsp:nvSpPr>
      <dsp:spPr>
        <a:xfrm>
          <a:off x="1275703" y="1122886"/>
          <a:ext cx="1213848" cy="158080"/>
        </a:xfrm>
        <a:custGeom>
          <a:avLst/>
          <a:gdLst/>
          <a:ahLst/>
          <a:cxnLst/>
          <a:rect l="0" t="0" r="0" b="0"/>
          <a:pathLst>
            <a:path>
              <a:moveTo>
                <a:pt x="1213848" y="0"/>
              </a:moveTo>
              <a:lnTo>
                <a:pt x="1213848" y="79040"/>
              </a:lnTo>
              <a:lnTo>
                <a:pt x="0" y="79040"/>
              </a:lnTo>
              <a:lnTo>
                <a:pt x="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499FDE3C-1F65-4F7E-B439-6D656087B229}">
      <dsp:nvSpPr>
        <dsp:cNvPr id="0" name=""/>
        <dsp:cNvSpPr/>
      </dsp:nvSpPr>
      <dsp:spPr>
        <a:xfrm>
          <a:off x="928223" y="1280966"/>
          <a:ext cx="694959"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Managers</a:t>
          </a:r>
        </a:p>
      </dsp:txBody>
      <dsp:txXfrm>
        <a:off x="939798" y="1292541"/>
        <a:ext cx="671809" cy="372051"/>
      </dsp:txXfrm>
    </dsp:sp>
    <dsp:sp modelId="{E8CBF0F8-DFF9-48C3-88F7-7FF373305255}">
      <dsp:nvSpPr>
        <dsp:cNvPr id="0" name=""/>
        <dsp:cNvSpPr/>
      </dsp:nvSpPr>
      <dsp:spPr>
        <a:xfrm>
          <a:off x="2097424" y="1122886"/>
          <a:ext cx="392126" cy="158080"/>
        </a:xfrm>
        <a:custGeom>
          <a:avLst/>
          <a:gdLst/>
          <a:ahLst/>
          <a:cxnLst/>
          <a:rect l="0" t="0" r="0" b="0"/>
          <a:pathLst>
            <a:path>
              <a:moveTo>
                <a:pt x="392126" y="0"/>
              </a:moveTo>
              <a:lnTo>
                <a:pt x="392126" y="79040"/>
              </a:lnTo>
              <a:lnTo>
                <a:pt x="0" y="79040"/>
              </a:lnTo>
              <a:lnTo>
                <a:pt x="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86DDED65-07E5-4B24-B9F7-58BB7C23B139}">
      <dsp:nvSpPr>
        <dsp:cNvPr id="0" name=""/>
        <dsp:cNvSpPr/>
      </dsp:nvSpPr>
      <dsp:spPr>
        <a:xfrm>
          <a:off x="1801023" y="1280966"/>
          <a:ext cx="592802"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NGO</a:t>
          </a:r>
        </a:p>
      </dsp:txBody>
      <dsp:txXfrm>
        <a:off x="1812598" y="1292541"/>
        <a:ext cx="569652" cy="372051"/>
      </dsp:txXfrm>
    </dsp:sp>
    <dsp:sp modelId="{F197D123-B362-4023-8E51-8A6104048028}">
      <dsp:nvSpPr>
        <dsp:cNvPr id="0" name=""/>
        <dsp:cNvSpPr/>
      </dsp:nvSpPr>
      <dsp:spPr>
        <a:xfrm>
          <a:off x="2489551" y="1122886"/>
          <a:ext cx="434494" cy="158080"/>
        </a:xfrm>
        <a:custGeom>
          <a:avLst/>
          <a:gdLst/>
          <a:ahLst/>
          <a:cxnLst/>
          <a:rect l="0" t="0" r="0" b="0"/>
          <a:pathLst>
            <a:path>
              <a:moveTo>
                <a:pt x="0" y="0"/>
              </a:moveTo>
              <a:lnTo>
                <a:pt x="0" y="79040"/>
              </a:lnTo>
              <a:lnTo>
                <a:pt x="434494" y="79040"/>
              </a:lnTo>
              <a:lnTo>
                <a:pt x="434494"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85E5C84C-DBCA-403C-808F-EECD64AB5703}">
      <dsp:nvSpPr>
        <dsp:cNvPr id="0" name=""/>
        <dsp:cNvSpPr/>
      </dsp:nvSpPr>
      <dsp:spPr>
        <a:xfrm>
          <a:off x="2571666" y="1280966"/>
          <a:ext cx="704758"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Acadamia</a:t>
          </a:r>
        </a:p>
      </dsp:txBody>
      <dsp:txXfrm>
        <a:off x="2583241" y="1292541"/>
        <a:ext cx="681608" cy="372051"/>
      </dsp:txXfrm>
    </dsp:sp>
    <dsp:sp modelId="{D79A8642-E898-4E55-B27E-EBE5B6D71E1A}">
      <dsp:nvSpPr>
        <dsp:cNvPr id="0" name=""/>
        <dsp:cNvSpPr/>
      </dsp:nvSpPr>
      <dsp:spPr>
        <a:xfrm>
          <a:off x="2489551" y="1122886"/>
          <a:ext cx="1261115" cy="158080"/>
        </a:xfrm>
        <a:custGeom>
          <a:avLst/>
          <a:gdLst/>
          <a:ahLst/>
          <a:cxnLst/>
          <a:rect l="0" t="0" r="0" b="0"/>
          <a:pathLst>
            <a:path>
              <a:moveTo>
                <a:pt x="0" y="0"/>
              </a:moveTo>
              <a:lnTo>
                <a:pt x="0" y="79040"/>
              </a:lnTo>
              <a:lnTo>
                <a:pt x="1261115" y="79040"/>
              </a:lnTo>
              <a:lnTo>
                <a:pt x="1261115"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D26B40CE-E03F-4000-88C3-1BABFB116F4C}">
      <dsp:nvSpPr>
        <dsp:cNvPr id="0" name=""/>
        <dsp:cNvSpPr/>
      </dsp:nvSpPr>
      <dsp:spPr>
        <a:xfrm>
          <a:off x="3454265" y="1280966"/>
          <a:ext cx="592802"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Trade Union</a:t>
          </a:r>
        </a:p>
      </dsp:txBody>
      <dsp:txXfrm>
        <a:off x="3465840" y="1292541"/>
        <a:ext cx="569652" cy="372051"/>
      </dsp:txXfrm>
    </dsp:sp>
    <dsp:sp modelId="{969D1AAD-84C1-4BA1-AA43-0F7486B880E5}">
      <dsp:nvSpPr>
        <dsp:cNvPr id="0" name=""/>
        <dsp:cNvSpPr/>
      </dsp:nvSpPr>
      <dsp:spPr>
        <a:xfrm>
          <a:off x="2489551" y="1122886"/>
          <a:ext cx="2111377" cy="158080"/>
        </a:xfrm>
        <a:custGeom>
          <a:avLst/>
          <a:gdLst/>
          <a:ahLst/>
          <a:cxnLst/>
          <a:rect l="0" t="0" r="0" b="0"/>
          <a:pathLst>
            <a:path>
              <a:moveTo>
                <a:pt x="0" y="0"/>
              </a:moveTo>
              <a:lnTo>
                <a:pt x="0" y="79040"/>
              </a:lnTo>
              <a:lnTo>
                <a:pt x="2111377" y="79040"/>
              </a:lnTo>
              <a:lnTo>
                <a:pt x="2111377"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0C7C8274-9734-4B2A-85A8-944335596891}">
      <dsp:nvSpPr>
        <dsp:cNvPr id="0" name=""/>
        <dsp:cNvSpPr/>
      </dsp:nvSpPr>
      <dsp:spPr>
        <a:xfrm>
          <a:off x="4224908" y="1280966"/>
          <a:ext cx="752040"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Supervisors</a:t>
          </a:r>
        </a:p>
      </dsp:txBody>
      <dsp:txXfrm>
        <a:off x="4236483" y="1292541"/>
        <a:ext cx="728890" cy="372051"/>
      </dsp:txXfrm>
    </dsp:sp>
    <dsp:sp modelId="{9E1CDB06-0C24-4CA4-BDCC-B5C3AE9EEB44}">
      <dsp:nvSpPr>
        <dsp:cNvPr id="0" name=""/>
        <dsp:cNvSpPr/>
      </dsp:nvSpPr>
      <dsp:spPr>
        <a:xfrm>
          <a:off x="3959367" y="569604"/>
          <a:ext cx="1491823" cy="158080"/>
        </a:xfrm>
        <a:custGeom>
          <a:avLst/>
          <a:gdLst/>
          <a:ahLst/>
          <a:cxnLst/>
          <a:rect l="0" t="0" r="0" b="0"/>
          <a:pathLst>
            <a:path>
              <a:moveTo>
                <a:pt x="0" y="0"/>
              </a:moveTo>
              <a:lnTo>
                <a:pt x="0" y="79040"/>
              </a:lnTo>
              <a:lnTo>
                <a:pt x="1491823" y="79040"/>
              </a:lnTo>
              <a:lnTo>
                <a:pt x="1491823"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75D796A7-CDE7-4CA8-B771-20C82F31F753}">
      <dsp:nvSpPr>
        <dsp:cNvPr id="0" name=""/>
        <dsp:cNvSpPr/>
      </dsp:nvSpPr>
      <dsp:spPr>
        <a:xfrm>
          <a:off x="4989510" y="727684"/>
          <a:ext cx="923360"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just"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Questionnire</a:t>
          </a:r>
        </a:p>
      </dsp:txBody>
      <dsp:txXfrm>
        <a:off x="5001085" y="739259"/>
        <a:ext cx="900210" cy="372051"/>
      </dsp:txXfrm>
    </dsp:sp>
    <dsp:sp modelId="{63D35E8B-F01A-42CE-B8A6-849E2490253A}">
      <dsp:nvSpPr>
        <dsp:cNvPr id="0" name=""/>
        <dsp:cNvSpPr/>
      </dsp:nvSpPr>
      <dsp:spPr>
        <a:xfrm>
          <a:off x="5405471" y="1122886"/>
          <a:ext cx="91440" cy="158080"/>
        </a:xfrm>
        <a:custGeom>
          <a:avLst/>
          <a:gdLst/>
          <a:ahLst/>
          <a:cxnLst/>
          <a:rect l="0" t="0" r="0" b="0"/>
          <a:pathLst>
            <a:path>
              <a:moveTo>
                <a:pt x="45720" y="0"/>
              </a:moveTo>
              <a:lnTo>
                <a:pt x="45720" y="158080"/>
              </a:lnTo>
            </a:path>
          </a:pathLst>
        </a:custGeom>
        <a:no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sp>
    <dsp:sp modelId="{894EC6FA-BB91-4980-95EB-E87482DC704F}">
      <dsp:nvSpPr>
        <dsp:cNvPr id="0" name=""/>
        <dsp:cNvSpPr/>
      </dsp:nvSpPr>
      <dsp:spPr>
        <a:xfrm>
          <a:off x="5154790" y="1280966"/>
          <a:ext cx="592802" cy="395201"/>
        </a:xfrm>
        <a:prstGeom prst="roundRect">
          <a:avLst>
            <a:gd name="adj" fmla="val 10000"/>
          </a:avLst>
        </a:prstGeom>
        <a:solidFill>
          <a:schemeClr val="lt1"/>
        </a:solidFill>
        <a:ln w="19050" cap="flat" cmpd="sng" algn="ctr">
          <a:solidFill>
            <a:schemeClr val="dk1"/>
          </a:solidFill>
          <a:prstDash val="solid"/>
          <a:miter lim="800000"/>
        </a:ln>
        <a:effectLst/>
        <a:scene3d>
          <a:camera prst="orthographicFront"/>
          <a:lightRig rig="flat" dir="t"/>
        </a:scene3d>
      </dsp:spPr>
      <dsp:style>
        <a:lnRef idx="2">
          <a:schemeClr val="dk1"/>
        </a:lnRef>
        <a:fillRef idx="1">
          <a:schemeClr val="lt1"/>
        </a:fillRef>
        <a:effectRef idx="0">
          <a:schemeClr val="dk1"/>
        </a:effectRef>
        <a:fontRef idx="minor">
          <a:schemeClr val="dk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Workers</a:t>
          </a:r>
        </a:p>
      </dsp:txBody>
      <dsp:txXfrm>
        <a:off x="5166365" y="1292541"/>
        <a:ext cx="569652" cy="372051"/>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17212FE2D704549862DED682A3B8976"/>
        <w:category>
          <w:name w:val="General"/>
          <w:gallery w:val="placeholder"/>
        </w:category>
        <w:types>
          <w:type w:val="bbPlcHdr"/>
        </w:types>
        <w:behaviors>
          <w:behavior w:val="content"/>
        </w:behaviors>
        <w:guid w:val="{5E73A100-DF04-4017-8206-8DAEC41317E3}"/>
      </w:docPartPr>
      <w:docPartBody>
        <w:p w:rsidR="00912F70" w:rsidRDefault="002E1BF6" w:rsidP="002E1BF6">
          <w:pPr>
            <w:pStyle w:val="C17212FE2D704549862DED682A3B8976"/>
          </w:pPr>
          <w:r w:rsidRPr="00DD419A">
            <w:rPr>
              <w:rStyle w:val="PlaceholderText"/>
            </w:rPr>
            <w:t>Click or tap here to enter text.</w:t>
          </w:r>
        </w:p>
      </w:docPartBody>
    </w:docPart>
    <w:docPart>
      <w:docPartPr>
        <w:name w:val="CFB53A86FDD84D6684879E9B77C253F3"/>
        <w:category>
          <w:name w:val="General"/>
          <w:gallery w:val="placeholder"/>
        </w:category>
        <w:types>
          <w:type w:val="bbPlcHdr"/>
        </w:types>
        <w:behaviors>
          <w:behavior w:val="content"/>
        </w:behaviors>
        <w:guid w:val="{1DB6FFB5-115E-4D72-8229-BC9490B12A2F}"/>
      </w:docPartPr>
      <w:docPartBody>
        <w:p w:rsidR="00912F70" w:rsidRDefault="002E1BF6" w:rsidP="002E1BF6">
          <w:pPr>
            <w:pStyle w:val="CFB53A86FDD84D6684879E9B77C253F3"/>
          </w:pPr>
          <w:r w:rsidRPr="008515C0">
            <w:rPr>
              <w:rStyle w:val="PlaceholderText"/>
            </w:rPr>
            <w:t>Click or tap here to enter text.</w:t>
          </w:r>
        </w:p>
      </w:docPartBody>
    </w:docPart>
    <w:docPart>
      <w:docPartPr>
        <w:name w:val="6FB67AD46D624190BA8D2C2A55B4F67B"/>
        <w:category>
          <w:name w:val="General"/>
          <w:gallery w:val="placeholder"/>
        </w:category>
        <w:types>
          <w:type w:val="bbPlcHdr"/>
        </w:types>
        <w:behaviors>
          <w:behavior w:val="content"/>
        </w:behaviors>
        <w:guid w:val="{69FBE2FE-C848-44E6-BA12-3C9F116CC25A}"/>
      </w:docPartPr>
      <w:docPartBody>
        <w:p w:rsidR="00912F70" w:rsidRDefault="002E1BF6" w:rsidP="002E1BF6">
          <w:pPr>
            <w:pStyle w:val="6FB67AD46D624190BA8D2C2A55B4F67B"/>
          </w:pPr>
          <w:r w:rsidRPr="008515C0">
            <w:rPr>
              <w:rStyle w:val="PlaceholderText"/>
            </w:rPr>
            <w:t>Click or tap here to enter text.</w:t>
          </w:r>
        </w:p>
      </w:docPartBody>
    </w:docPart>
    <w:docPart>
      <w:docPartPr>
        <w:name w:val="4AC7928D3C7C417595243850F1CA2481"/>
        <w:category>
          <w:name w:val="General"/>
          <w:gallery w:val="placeholder"/>
        </w:category>
        <w:types>
          <w:type w:val="bbPlcHdr"/>
        </w:types>
        <w:behaviors>
          <w:behavior w:val="content"/>
        </w:behaviors>
        <w:guid w:val="{2B9EF8F2-5120-42DA-BC62-32F06FBBD1FE}"/>
      </w:docPartPr>
      <w:docPartBody>
        <w:p w:rsidR="00912F70" w:rsidRDefault="002E1BF6" w:rsidP="002E1BF6">
          <w:pPr>
            <w:pStyle w:val="4AC7928D3C7C417595243850F1CA2481"/>
          </w:pPr>
          <w:r w:rsidRPr="00AA106C">
            <w:rPr>
              <w:rStyle w:val="PlaceholderText"/>
            </w:rPr>
            <w:t>Click or tap here to enter text.</w:t>
          </w:r>
        </w:p>
      </w:docPartBody>
    </w:docPart>
    <w:docPart>
      <w:docPartPr>
        <w:name w:val="96C4A5525F6F4EC386D02B71EB68108C"/>
        <w:category>
          <w:name w:val="General"/>
          <w:gallery w:val="placeholder"/>
        </w:category>
        <w:types>
          <w:type w:val="bbPlcHdr"/>
        </w:types>
        <w:behaviors>
          <w:behavior w:val="content"/>
        </w:behaviors>
        <w:guid w:val="{48A7BD48-B72C-4AEE-B9AA-5492AD88F05B}"/>
      </w:docPartPr>
      <w:docPartBody>
        <w:p w:rsidR="00912F70" w:rsidRDefault="002E1BF6" w:rsidP="002E1BF6">
          <w:pPr>
            <w:pStyle w:val="96C4A5525F6F4EC386D02B71EB68108C"/>
          </w:pPr>
          <w:r w:rsidRPr="008515C0">
            <w:rPr>
              <w:rStyle w:val="PlaceholderText"/>
            </w:rPr>
            <w:t>Click or tap here to enter text.</w:t>
          </w:r>
        </w:p>
      </w:docPartBody>
    </w:docPart>
    <w:docPart>
      <w:docPartPr>
        <w:name w:val="59F30DC0B1EB40B8963ED88082A9ADBE"/>
        <w:category>
          <w:name w:val="General"/>
          <w:gallery w:val="placeholder"/>
        </w:category>
        <w:types>
          <w:type w:val="bbPlcHdr"/>
        </w:types>
        <w:behaviors>
          <w:behavior w:val="content"/>
        </w:behaviors>
        <w:guid w:val="{C6F12148-5743-4D03-A1B7-9C8E5E41B0BC}"/>
      </w:docPartPr>
      <w:docPartBody>
        <w:p w:rsidR="00912F70" w:rsidRDefault="002E1BF6" w:rsidP="002E1BF6">
          <w:pPr>
            <w:pStyle w:val="59F30DC0B1EB40B8963ED88082A9ADBE"/>
          </w:pPr>
          <w:r w:rsidRPr="002C4443">
            <w:rPr>
              <w:rStyle w:val="PlaceholderText"/>
            </w:rPr>
            <w:t>Click or tap here to enter text.</w:t>
          </w:r>
        </w:p>
      </w:docPartBody>
    </w:docPart>
    <w:docPart>
      <w:docPartPr>
        <w:name w:val="87A4726B6D0B48D7B2615C5E5512415D"/>
        <w:category>
          <w:name w:val="General"/>
          <w:gallery w:val="placeholder"/>
        </w:category>
        <w:types>
          <w:type w:val="bbPlcHdr"/>
        </w:types>
        <w:behaviors>
          <w:behavior w:val="content"/>
        </w:behaviors>
        <w:guid w:val="{C1C6CB16-EDF1-4BDC-AA98-D7643C760069}"/>
      </w:docPartPr>
      <w:docPartBody>
        <w:p w:rsidR="00912F70" w:rsidRDefault="002E1BF6" w:rsidP="002E1BF6">
          <w:pPr>
            <w:pStyle w:val="87A4726B6D0B48D7B2615C5E5512415D"/>
          </w:pPr>
          <w:r w:rsidRPr="002C4443">
            <w:rPr>
              <w:rStyle w:val="PlaceholderText"/>
            </w:rPr>
            <w:t>Click or tap here to enter text.</w:t>
          </w:r>
        </w:p>
      </w:docPartBody>
    </w:docPart>
    <w:docPart>
      <w:docPartPr>
        <w:name w:val="4942EA4ED2364B028BA9B32C983F184B"/>
        <w:category>
          <w:name w:val="General"/>
          <w:gallery w:val="placeholder"/>
        </w:category>
        <w:types>
          <w:type w:val="bbPlcHdr"/>
        </w:types>
        <w:behaviors>
          <w:behavior w:val="content"/>
        </w:behaviors>
        <w:guid w:val="{15FE016E-C4EB-4817-98B8-3DCAFB088F72}"/>
      </w:docPartPr>
      <w:docPartBody>
        <w:p w:rsidR="00912F70" w:rsidRDefault="002E1BF6" w:rsidP="002E1BF6">
          <w:pPr>
            <w:pStyle w:val="4942EA4ED2364B028BA9B32C983F184B"/>
          </w:pPr>
          <w:r w:rsidRPr="006E1C2F">
            <w:rPr>
              <w:rStyle w:val="PlaceholderText"/>
            </w:rPr>
            <w:t>Click or tap here to enter text.</w:t>
          </w:r>
        </w:p>
      </w:docPartBody>
    </w:docPart>
    <w:docPart>
      <w:docPartPr>
        <w:name w:val="64E3467B9ADE49F5A9BB10F5DEC9F697"/>
        <w:category>
          <w:name w:val="General"/>
          <w:gallery w:val="placeholder"/>
        </w:category>
        <w:types>
          <w:type w:val="bbPlcHdr"/>
        </w:types>
        <w:behaviors>
          <w:behavior w:val="content"/>
        </w:behaviors>
        <w:guid w:val="{40DCE5D2-B545-4A3A-9034-850D58F2DDBB}"/>
      </w:docPartPr>
      <w:docPartBody>
        <w:p w:rsidR="00912F70" w:rsidRDefault="002E1BF6" w:rsidP="002E1BF6">
          <w:pPr>
            <w:pStyle w:val="64E3467B9ADE49F5A9BB10F5DEC9F697"/>
          </w:pPr>
          <w:r w:rsidRPr="00DD419A">
            <w:rPr>
              <w:rStyle w:val="PlaceholderText"/>
            </w:rPr>
            <w:t>Click or tap here to enter text.</w:t>
          </w:r>
        </w:p>
      </w:docPartBody>
    </w:docPart>
    <w:docPart>
      <w:docPartPr>
        <w:name w:val="FD2A143BD4654C90BF6C0414C2467E07"/>
        <w:category>
          <w:name w:val="General"/>
          <w:gallery w:val="placeholder"/>
        </w:category>
        <w:types>
          <w:type w:val="bbPlcHdr"/>
        </w:types>
        <w:behaviors>
          <w:behavior w:val="content"/>
        </w:behaviors>
        <w:guid w:val="{3A5FADA3-2122-4A61-9DC2-CE5A7B3DF039}"/>
      </w:docPartPr>
      <w:docPartBody>
        <w:p w:rsidR="00912F70" w:rsidRDefault="002E1BF6" w:rsidP="002E1BF6">
          <w:pPr>
            <w:pStyle w:val="FD2A143BD4654C90BF6C0414C2467E07"/>
          </w:pPr>
          <w:r w:rsidRPr="006E1C2F">
            <w:rPr>
              <w:rStyle w:val="PlaceholderText"/>
            </w:rPr>
            <w:t>Click or tap here to enter text.</w:t>
          </w:r>
        </w:p>
      </w:docPartBody>
    </w:docPart>
    <w:docPart>
      <w:docPartPr>
        <w:name w:val="5190CE25D5884686934170E3892FFBB9"/>
        <w:category>
          <w:name w:val="General"/>
          <w:gallery w:val="placeholder"/>
        </w:category>
        <w:types>
          <w:type w:val="bbPlcHdr"/>
        </w:types>
        <w:behaviors>
          <w:behavior w:val="content"/>
        </w:behaviors>
        <w:guid w:val="{3C3FE993-D402-47AD-AA32-7F7532EABA35}"/>
      </w:docPartPr>
      <w:docPartBody>
        <w:p w:rsidR="00912F70" w:rsidRDefault="002E1BF6" w:rsidP="002E1BF6">
          <w:pPr>
            <w:pStyle w:val="5190CE25D5884686934170E3892FFBB9"/>
          </w:pPr>
          <w:r w:rsidRPr="006E1C2F">
            <w:rPr>
              <w:rStyle w:val="PlaceholderText"/>
            </w:rPr>
            <w:t>Click or tap here to enter text.</w:t>
          </w:r>
        </w:p>
      </w:docPartBody>
    </w:docPart>
    <w:docPart>
      <w:docPartPr>
        <w:name w:val="4CCBAF81947A4571AE17D04C1737B639"/>
        <w:category>
          <w:name w:val="General"/>
          <w:gallery w:val="placeholder"/>
        </w:category>
        <w:types>
          <w:type w:val="bbPlcHdr"/>
        </w:types>
        <w:behaviors>
          <w:behavior w:val="content"/>
        </w:behaviors>
        <w:guid w:val="{70C14092-45F8-4D71-B7C1-635D2669E7CE}"/>
      </w:docPartPr>
      <w:docPartBody>
        <w:p w:rsidR="00912F70" w:rsidRDefault="002E1BF6" w:rsidP="002E1BF6">
          <w:pPr>
            <w:pStyle w:val="4CCBAF81947A4571AE17D04C1737B639"/>
          </w:pPr>
          <w:r w:rsidRPr="00F16BFE">
            <w:rPr>
              <w:rStyle w:val="PlaceholderText"/>
            </w:rPr>
            <w:t>Click or tap here to enter text.</w:t>
          </w:r>
        </w:p>
      </w:docPartBody>
    </w:docPart>
    <w:docPart>
      <w:docPartPr>
        <w:name w:val="BB3C8D79E3A84069A2E6BDBE1815CCEE"/>
        <w:category>
          <w:name w:val="General"/>
          <w:gallery w:val="placeholder"/>
        </w:category>
        <w:types>
          <w:type w:val="bbPlcHdr"/>
        </w:types>
        <w:behaviors>
          <w:behavior w:val="content"/>
        </w:behaviors>
        <w:guid w:val="{6EBFF7DE-F608-4DF3-B854-858A72F00B30}"/>
      </w:docPartPr>
      <w:docPartBody>
        <w:p w:rsidR="00912F70" w:rsidRDefault="002E1BF6" w:rsidP="002E1BF6">
          <w:pPr>
            <w:pStyle w:val="BB3C8D79E3A84069A2E6BDBE1815CCEE"/>
          </w:pPr>
          <w:r w:rsidRPr="006E1C2F">
            <w:rPr>
              <w:rStyle w:val="PlaceholderText"/>
            </w:rPr>
            <w:t>Click or tap here to enter text.</w:t>
          </w:r>
        </w:p>
      </w:docPartBody>
    </w:docPart>
    <w:docPart>
      <w:docPartPr>
        <w:name w:val="4F03148F45D84E0690FD0FF76513E03E"/>
        <w:category>
          <w:name w:val="General"/>
          <w:gallery w:val="placeholder"/>
        </w:category>
        <w:types>
          <w:type w:val="bbPlcHdr"/>
        </w:types>
        <w:behaviors>
          <w:behavior w:val="content"/>
        </w:behaviors>
        <w:guid w:val="{A138A342-E45E-41BB-95DD-A9AF516AC021}"/>
      </w:docPartPr>
      <w:docPartBody>
        <w:p w:rsidR="00912F70" w:rsidRDefault="002E1BF6" w:rsidP="002E1BF6">
          <w:pPr>
            <w:pStyle w:val="4F03148F45D84E0690FD0FF76513E03E"/>
          </w:pPr>
          <w:r w:rsidRPr="00DD419A">
            <w:rPr>
              <w:rStyle w:val="PlaceholderText"/>
            </w:rPr>
            <w:t>Click or tap here to enter text.</w:t>
          </w:r>
        </w:p>
      </w:docPartBody>
    </w:docPart>
    <w:docPart>
      <w:docPartPr>
        <w:name w:val="2A1A8F5097094DA28CC615FC04C5C964"/>
        <w:category>
          <w:name w:val="General"/>
          <w:gallery w:val="placeholder"/>
        </w:category>
        <w:types>
          <w:type w:val="bbPlcHdr"/>
        </w:types>
        <w:behaviors>
          <w:behavior w:val="content"/>
        </w:behaviors>
        <w:guid w:val="{3FBF028B-AF02-4F95-84BF-427FFFD45C27}"/>
      </w:docPartPr>
      <w:docPartBody>
        <w:p w:rsidR="00912F70" w:rsidRDefault="002E1BF6" w:rsidP="002E1BF6">
          <w:pPr>
            <w:pStyle w:val="2A1A8F5097094DA28CC615FC04C5C964"/>
          </w:pPr>
          <w:r w:rsidRPr="00CF1D2D">
            <w:rPr>
              <w:rStyle w:val="PlaceholderText"/>
            </w:rPr>
            <w:t>Click or tap here to enter text.</w:t>
          </w:r>
        </w:p>
      </w:docPartBody>
    </w:docPart>
    <w:docPart>
      <w:docPartPr>
        <w:name w:val="78777C1579AC407F892449CDFA86BD83"/>
        <w:category>
          <w:name w:val="General"/>
          <w:gallery w:val="placeholder"/>
        </w:category>
        <w:types>
          <w:type w:val="bbPlcHdr"/>
        </w:types>
        <w:behaviors>
          <w:behavior w:val="content"/>
        </w:behaviors>
        <w:guid w:val="{59611680-DA83-446C-8994-273B61B0315F}"/>
      </w:docPartPr>
      <w:docPartBody>
        <w:p w:rsidR="00912F70" w:rsidRDefault="002E1BF6" w:rsidP="002E1BF6">
          <w:pPr>
            <w:pStyle w:val="78777C1579AC407F892449CDFA86BD83"/>
          </w:pPr>
          <w:r w:rsidRPr="00CF1D2D">
            <w:rPr>
              <w:rStyle w:val="PlaceholderText"/>
            </w:rPr>
            <w:t>Click or tap here to enter text.</w:t>
          </w:r>
        </w:p>
      </w:docPartBody>
    </w:docPart>
    <w:docPart>
      <w:docPartPr>
        <w:name w:val="1BCFE4CE2BF643D1B3FB8E1D3CC88FC8"/>
        <w:category>
          <w:name w:val="General"/>
          <w:gallery w:val="placeholder"/>
        </w:category>
        <w:types>
          <w:type w:val="bbPlcHdr"/>
        </w:types>
        <w:behaviors>
          <w:behavior w:val="content"/>
        </w:behaviors>
        <w:guid w:val="{726AFF8C-E99A-42E2-9B26-C85897DE6E89}"/>
      </w:docPartPr>
      <w:docPartBody>
        <w:p w:rsidR="00912F70" w:rsidRDefault="002E1BF6" w:rsidP="002E1BF6">
          <w:pPr>
            <w:pStyle w:val="1BCFE4CE2BF643D1B3FB8E1D3CC88FC8"/>
          </w:pPr>
          <w:r w:rsidRPr="00CF1D2D">
            <w:rPr>
              <w:rStyle w:val="PlaceholderText"/>
            </w:rPr>
            <w:t>Click or tap here to enter text.</w:t>
          </w:r>
        </w:p>
      </w:docPartBody>
    </w:docPart>
    <w:docPart>
      <w:docPartPr>
        <w:name w:val="384FFFF6CBDD494D8C2607332BB8954A"/>
        <w:category>
          <w:name w:val="General"/>
          <w:gallery w:val="placeholder"/>
        </w:category>
        <w:types>
          <w:type w:val="bbPlcHdr"/>
        </w:types>
        <w:behaviors>
          <w:behavior w:val="content"/>
        </w:behaviors>
        <w:guid w:val="{6B1DD999-F037-4EFB-B7EC-D01C1E253493}"/>
      </w:docPartPr>
      <w:docPartBody>
        <w:p w:rsidR="00912F70" w:rsidRDefault="002E1BF6" w:rsidP="002E1BF6">
          <w:pPr>
            <w:pStyle w:val="384FFFF6CBDD494D8C2607332BB8954A"/>
          </w:pPr>
          <w:r w:rsidRPr="00DD419A">
            <w:rPr>
              <w:rStyle w:val="PlaceholderText"/>
            </w:rPr>
            <w:t>Click or tap here to enter text.</w:t>
          </w:r>
        </w:p>
      </w:docPartBody>
    </w:docPart>
    <w:docPart>
      <w:docPartPr>
        <w:name w:val="294F0D379D7E43148C6A7863882D5056"/>
        <w:category>
          <w:name w:val="General"/>
          <w:gallery w:val="placeholder"/>
        </w:category>
        <w:types>
          <w:type w:val="bbPlcHdr"/>
        </w:types>
        <w:behaviors>
          <w:behavior w:val="content"/>
        </w:behaviors>
        <w:guid w:val="{8148FDA2-4953-40DC-B618-15695283B418}"/>
      </w:docPartPr>
      <w:docPartBody>
        <w:p w:rsidR="00912F70" w:rsidRDefault="002E1BF6" w:rsidP="002E1BF6">
          <w:pPr>
            <w:pStyle w:val="294F0D379D7E43148C6A7863882D5056"/>
          </w:pPr>
          <w:r w:rsidRPr="003F6C22">
            <w:rPr>
              <w:rStyle w:val="PlaceholderText"/>
            </w:rPr>
            <w:t>Click or tap here to enter text.</w:t>
          </w:r>
        </w:p>
      </w:docPartBody>
    </w:docPart>
    <w:docPart>
      <w:docPartPr>
        <w:name w:val="59491142DA66445C89352EE8EAA7A095"/>
        <w:category>
          <w:name w:val="General"/>
          <w:gallery w:val="placeholder"/>
        </w:category>
        <w:types>
          <w:type w:val="bbPlcHdr"/>
        </w:types>
        <w:behaviors>
          <w:behavior w:val="content"/>
        </w:behaviors>
        <w:guid w:val="{938A3A33-7A26-4977-B816-0C876CF2C38B}"/>
      </w:docPartPr>
      <w:docPartBody>
        <w:p w:rsidR="00912F70" w:rsidRDefault="002E1BF6" w:rsidP="002E1BF6">
          <w:pPr>
            <w:pStyle w:val="59491142DA66445C89352EE8EAA7A095"/>
          </w:pPr>
          <w:r w:rsidRPr="001E7C3C">
            <w:rPr>
              <w:rStyle w:val="PlaceholderText"/>
            </w:rPr>
            <w:t>Click or tap here to enter text.</w:t>
          </w:r>
        </w:p>
      </w:docPartBody>
    </w:docPart>
    <w:docPart>
      <w:docPartPr>
        <w:name w:val="497E8AFDB7104CBDBFD578148073ED33"/>
        <w:category>
          <w:name w:val="General"/>
          <w:gallery w:val="placeholder"/>
        </w:category>
        <w:types>
          <w:type w:val="bbPlcHdr"/>
        </w:types>
        <w:behaviors>
          <w:behavior w:val="content"/>
        </w:behaviors>
        <w:guid w:val="{E9C5DCB3-0837-468C-B449-D9C3C8DDA632}"/>
      </w:docPartPr>
      <w:docPartBody>
        <w:p w:rsidR="00912F70" w:rsidRDefault="002E1BF6" w:rsidP="002E1BF6">
          <w:pPr>
            <w:pStyle w:val="497E8AFDB7104CBDBFD578148073ED33"/>
          </w:pPr>
          <w:r w:rsidRPr="00CF1D2D">
            <w:rPr>
              <w:rStyle w:val="PlaceholderText"/>
            </w:rPr>
            <w:t>Click or tap here to enter text.</w:t>
          </w:r>
        </w:p>
      </w:docPartBody>
    </w:docPart>
    <w:docPart>
      <w:docPartPr>
        <w:name w:val="DCB1B75A49C34014AE77FF06415650F0"/>
        <w:category>
          <w:name w:val="General"/>
          <w:gallery w:val="placeholder"/>
        </w:category>
        <w:types>
          <w:type w:val="bbPlcHdr"/>
        </w:types>
        <w:behaviors>
          <w:behavior w:val="content"/>
        </w:behaviors>
        <w:guid w:val="{8CC2E846-E956-4BFE-8A10-00BA1747E914}"/>
      </w:docPartPr>
      <w:docPartBody>
        <w:p w:rsidR="00912F70" w:rsidRDefault="002E1BF6" w:rsidP="002E1BF6">
          <w:pPr>
            <w:pStyle w:val="DCB1B75A49C34014AE77FF06415650F0"/>
          </w:pPr>
          <w:r w:rsidRPr="00177278">
            <w:rPr>
              <w:rStyle w:val="PlaceholderText"/>
            </w:rPr>
            <w:t>Click or tap here to enter text.</w:t>
          </w:r>
        </w:p>
      </w:docPartBody>
    </w:docPart>
    <w:docPart>
      <w:docPartPr>
        <w:name w:val="5552AE24AA8848669841184952F645A1"/>
        <w:category>
          <w:name w:val="General"/>
          <w:gallery w:val="placeholder"/>
        </w:category>
        <w:types>
          <w:type w:val="bbPlcHdr"/>
        </w:types>
        <w:behaviors>
          <w:behavior w:val="content"/>
        </w:behaviors>
        <w:guid w:val="{72D9F46E-5C18-47C2-B06D-84F33E995E09}"/>
      </w:docPartPr>
      <w:docPartBody>
        <w:p w:rsidR="00912F70" w:rsidRDefault="002E1BF6" w:rsidP="002E1BF6">
          <w:pPr>
            <w:pStyle w:val="5552AE24AA8848669841184952F645A1"/>
          </w:pPr>
          <w:r w:rsidRPr="00177278">
            <w:rPr>
              <w:rStyle w:val="PlaceholderText"/>
            </w:rPr>
            <w:t>Click or tap here to enter text.</w:t>
          </w:r>
        </w:p>
      </w:docPartBody>
    </w:docPart>
    <w:docPart>
      <w:docPartPr>
        <w:name w:val="4A3A54499A5A41308B355C5B825A3CD8"/>
        <w:category>
          <w:name w:val="General"/>
          <w:gallery w:val="placeholder"/>
        </w:category>
        <w:types>
          <w:type w:val="bbPlcHdr"/>
        </w:types>
        <w:behaviors>
          <w:behavior w:val="content"/>
        </w:behaviors>
        <w:guid w:val="{38BA42FE-E1AA-4F31-A5EB-B6551238FBCF}"/>
      </w:docPartPr>
      <w:docPartBody>
        <w:p w:rsidR="00912F70" w:rsidRDefault="002E1BF6" w:rsidP="002E1BF6">
          <w:pPr>
            <w:pStyle w:val="4A3A54499A5A41308B355C5B825A3CD8"/>
          </w:pPr>
          <w:r w:rsidRPr="00DD419A">
            <w:rPr>
              <w:rStyle w:val="PlaceholderText"/>
            </w:rPr>
            <w:t>Click or tap here to enter text.</w:t>
          </w:r>
        </w:p>
      </w:docPartBody>
    </w:docPart>
    <w:docPart>
      <w:docPartPr>
        <w:name w:val="8150EC60607C455FBA305A9CB4F392AE"/>
        <w:category>
          <w:name w:val="General"/>
          <w:gallery w:val="placeholder"/>
        </w:category>
        <w:types>
          <w:type w:val="bbPlcHdr"/>
        </w:types>
        <w:behaviors>
          <w:behavior w:val="content"/>
        </w:behaviors>
        <w:guid w:val="{8136641D-FF34-47FC-B954-3BA036F25325}"/>
      </w:docPartPr>
      <w:docPartBody>
        <w:p w:rsidR="00912F70" w:rsidRDefault="002E1BF6" w:rsidP="002E1BF6">
          <w:pPr>
            <w:pStyle w:val="8150EC60607C455FBA305A9CB4F392AE"/>
          </w:pPr>
          <w:r w:rsidRPr="00177278">
            <w:rPr>
              <w:rStyle w:val="PlaceholderText"/>
            </w:rPr>
            <w:t>Click or tap here to enter text.</w:t>
          </w:r>
        </w:p>
      </w:docPartBody>
    </w:docPart>
    <w:docPart>
      <w:docPartPr>
        <w:name w:val="A2B3444A52FC47C08F85F030B9B8D551"/>
        <w:category>
          <w:name w:val="General"/>
          <w:gallery w:val="placeholder"/>
        </w:category>
        <w:types>
          <w:type w:val="bbPlcHdr"/>
        </w:types>
        <w:behaviors>
          <w:behavior w:val="content"/>
        </w:behaviors>
        <w:guid w:val="{F96FEE25-366E-4215-B03A-ABBA7B7AAF8F}"/>
      </w:docPartPr>
      <w:docPartBody>
        <w:p w:rsidR="00912F70" w:rsidRDefault="002E1BF6" w:rsidP="002E1BF6">
          <w:pPr>
            <w:pStyle w:val="A2B3444A52FC47C08F85F030B9B8D551"/>
          </w:pPr>
          <w:r w:rsidRPr="00177278">
            <w:rPr>
              <w:rStyle w:val="PlaceholderText"/>
            </w:rPr>
            <w:t>Click or tap here to enter text.</w:t>
          </w:r>
        </w:p>
      </w:docPartBody>
    </w:docPart>
    <w:docPart>
      <w:docPartPr>
        <w:name w:val="466DD4D7958C4ACF94ECE5C563EDD46C"/>
        <w:category>
          <w:name w:val="General"/>
          <w:gallery w:val="placeholder"/>
        </w:category>
        <w:types>
          <w:type w:val="bbPlcHdr"/>
        </w:types>
        <w:behaviors>
          <w:behavior w:val="content"/>
        </w:behaviors>
        <w:guid w:val="{4C5EED10-0ADE-4B9B-9B3A-04EBAE247D42}"/>
      </w:docPartPr>
      <w:docPartBody>
        <w:p w:rsidR="00912F70" w:rsidRDefault="002E1BF6" w:rsidP="002E1BF6">
          <w:pPr>
            <w:pStyle w:val="466DD4D7958C4ACF94ECE5C563EDD46C"/>
          </w:pPr>
          <w:r w:rsidRPr="00177278">
            <w:rPr>
              <w:rStyle w:val="PlaceholderText"/>
            </w:rPr>
            <w:t>Click or tap here to enter text.</w:t>
          </w:r>
        </w:p>
      </w:docPartBody>
    </w:docPart>
    <w:docPart>
      <w:docPartPr>
        <w:name w:val="06DBD2B1D30D4462B7FE096C6247223A"/>
        <w:category>
          <w:name w:val="General"/>
          <w:gallery w:val="placeholder"/>
        </w:category>
        <w:types>
          <w:type w:val="bbPlcHdr"/>
        </w:types>
        <w:behaviors>
          <w:behavior w:val="content"/>
        </w:behaviors>
        <w:guid w:val="{EC977DBF-5646-484E-9555-987476EED0F3}"/>
      </w:docPartPr>
      <w:docPartBody>
        <w:p w:rsidR="00912F70" w:rsidRDefault="002E1BF6" w:rsidP="002E1BF6">
          <w:pPr>
            <w:pStyle w:val="06DBD2B1D30D4462B7FE096C6247223A"/>
          </w:pPr>
          <w:r w:rsidRPr="00CF1D2D">
            <w:rPr>
              <w:rStyle w:val="PlaceholderText"/>
            </w:rPr>
            <w:t>Click or tap here to enter text.</w:t>
          </w:r>
        </w:p>
      </w:docPartBody>
    </w:docPart>
    <w:docPart>
      <w:docPartPr>
        <w:name w:val="982752636819439CA645B22766432DE7"/>
        <w:category>
          <w:name w:val="General"/>
          <w:gallery w:val="placeholder"/>
        </w:category>
        <w:types>
          <w:type w:val="bbPlcHdr"/>
        </w:types>
        <w:behaviors>
          <w:behavior w:val="content"/>
        </w:behaviors>
        <w:guid w:val="{5C7B1B11-5F70-4EF6-BD05-A03BCAC284ED}"/>
      </w:docPartPr>
      <w:docPartBody>
        <w:p w:rsidR="00912F70" w:rsidRDefault="002E1BF6" w:rsidP="002E1BF6">
          <w:pPr>
            <w:pStyle w:val="982752636819439CA645B22766432DE7"/>
          </w:pPr>
          <w:r w:rsidRPr="00CF1D2D">
            <w:rPr>
              <w:rStyle w:val="PlaceholderText"/>
            </w:rPr>
            <w:t>Click or tap here to enter text.</w:t>
          </w:r>
        </w:p>
      </w:docPartBody>
    </w:docPart>
    <w:docPart>
      <w:docPartPr>
        <w:name w:val="E9F2D48351AF49A7A8D6F932B2DF728A"/>
        <w:category>
          <w:name w:val="General"/>
          <w:gallery w:val="placeholder"/>
        </w:category>
        <w:types>
          <w:type w:val="bbPlcHdr"/>
        </w:types>
        <w:behaviors>
          <w:behavior w:val="content"/>
        </w:behaviors>
        <w:guid w:val="{D9B7C91C-E02A-4394-A06C-82D57CD4D619}"/>
      </w:docPartPr>
      <w:docPartBody>
        <w:p w:rsidR="00912F70" w:rsidRDefault="002E1BF6" w:rsidP="002E1BF6">
          <w:pPr>
            <w:pStyle w:val="E9F2D48351AF49A7A8D6F932B2DF728A"/>
          </w:pPr>
          <w:r w:rsidRPr="00CF1D2D">
            <w:rPr>
              <w:rStyle w:val="PlaceholderText"/>
            </w:rPr>
            <w:t>Click or tap here to enter text.</w:t>
          </w:r>
        </w:p>
      </w:docPartBody>
    </w:docPart>
    <w:docPart>
      <w:docPartPr>
        <w:name w:val="498C35F13E0C465984F9B1DC29875697"/>
        <w:category>
          <w:name w:val="General"/>
          <w:gallery w:val="placeholder"/>
        </w:category>
        <w:types>
          <w:type w:val="bbPlcHdr"/>
        </w:types>
        <w:behaviors>
          <w:behavior w:val="content"/>
        </w:behaviors>
        <w:guid w:val="{527CC370-D9AB-4C1C-905D-13D7D357961F}"/>
      </w:docPartPr>
      <w:docPartBody>
        <w:p w:rsidR="00912F70" w:rsidRDefault="002E1BF6" w:rsidP="002E1BF6">
          <w:pPr>
            <w:pStyle w:val="498C35F13E0C465984F9B1DC29875697"/>
          </w:pPr>
          <w:r w:rsidRPr="00C15050">
            <w:rPr>
              <w:rStyle w:val="PlaceholderText"/>
            </w:rPr>
            <w:t>Click or tap here to enter text.</w:t>
          </w:r>
        </w:p>
      </w:docPartBody>
    </w:docPart>
    <w:docPart>
      <w:docPartPr>
        <w:name w:val="00CC5BAE043E4CA996F594AF3D728D93"/>
        <w:category>
          <w:name w:val="General"/>
          <w:gallery w:val="placeholder"/>
        </w:category>
        <w:types>
          <w:type w:val="bbPlcHdr"/>
        </w:types>
        <w:behaviors>
          <w:behavior w:val="content"/>
        </w:behaviors>
        <w:guid w:val="{1F8256BA-F503-4C06-8EB4-C352D4E67C51}"/>
      </w:docPartPr>
      <w:docPartBody>
        <w:p w:rsidR="00912F70" w:rsidRDefault="002E1BF6" w:rsidP="002E1BF6">
          <w:pPr>
            <w:pStyle w:val="00CC5BAE043E4CA996F594AF3D728D93"/>
          </w:pPr>
          <w:r w:rsidRPr="00CF1D2D">
            <w:rPr>
              <w:rStyle w:val="PlaceholderText"/>
            </w:rPr>
            <w:t>Click or tap here to enter text.</w:t>
          </w:r>
        </w:p>
      </w:docPartBody>
    </w:docPart>
    <w:docPart>
      <w:docPartPr>
        <w:name w:val="4E4FF162DAD2429497566187CEE012C8"/>
        <w:category>
          <w:name w:val="General"/>
          <w:gallery w:val="placeholder"/>
        </w:category>
        <w:types>
          <w:type w:val="bbPlcHdr"/>
        </w:types>
        <w:behaviors>
          <w:behavior w:val="content"/>
        </w:behaviors>
        <w:guid w:val="{49534EF3-4D05-4472-AB3C-16409EF5BB38}"/>
      </w:docPartPr>
      <w:docPartBody>
        <w:p w:rsidR="00912F70" w:rsidRDefault="002E1BF6" w:rsidP="002E1BF6">
          <w:pPr>
            <w:pStyle w:val="4E4FF162DAD2429497566187CEE012C8"/>
          </w:pPr>
          <w:r w:rsidRPr="00CF1D2D">
            <w:rPr>
              <w:rStyle w:val="PlaceholderText"/>
            </w:rPr>
            <w:t>Click or tap here to enter text.</w:t>
          </w:r>
        </w:p>
      </w:docPartBody>
    </w:docPart>
    <w:docPart>
      <w:docPartPr>
        <w:name w:val="39E0404AD41D40159B0E6B89531D4E92"/>
        <w:category>
          <w:name w:val="General"/>
          <w:gallery w:val="placeholder"/>
        </w:category>
        <w:types>
          <w:type w:val="bbPlcHdr"/>
        </w:types>
        <w:behaviors>
          <w:behavior w:val="content"/>
        </w:behaviors>
        <w:guid w:val="{C08083A8-F388-414A-BC2B-0419F80CC61B}"/>
      </w:docPartPr>
      <w:docPartBody>
        <w:p w:rsidR="00912F70" w:rsidRDefault="002E1BF6" w:rsidP="002E1BF6">
          <w:pPr>
            <w:pStyle w:val="39E0404AD41D40159B0E6B89531D4E92"/>
          </w:pPr>
          <w:r w:rsidRPr="00177278">
            <w:rPr>
              <w:rStyle w:val="PlaceholderText"/>
            </w:rPr>
            <w:t>Click or tap here to enter text.</w:t>
          </w:r>
        </w:p>
      </w:docPartBody>
    </w:docPart>
    <w:docPart>
      <w:docPartPr>
        <w:name w:val="DAF5EC04A4314545886E67979C7C85AD"/>
        <w:category>
          <w:name w:val="General"/>
          <w:gallery w:val="placeholder"/>
        </w:category>
        <w:types>
          <w:type w:val="bbPlcHdr"/>
        </w:types>
        <w:behaviors>
          <w:behavior w:val="content"/>
        </w:behaviors>
        <w:guid w:val="{3C8C7BA1-62A1-497F-BBFE-FB2DDD4F1B9F}"/>
      </w:docPartPr>
      <w:docPartBody>
        <w:p w:rsidR="00912F70" w:rsidRDefault="002E1BF6" w:rsidP="002E1BF6">
          <w:pPr>
            <w:pStyle w:val="DAF5EC04A4314545886E67979C7C85AD"/>
          </w:pPr>
          <w:r w:rsidRPr="001E7C3C">
            <w:rPr>
              <w:rStyle w:val="PlaceholderText"/>
            </w:rPr>
            <w:t>Click or tap here to enter text.</w:t>
          </w:r>
        </w:p>
      </w:docPartBody>
    </w:docPart>
    <w:docPart>
      <w:docPartPr>
        <w:name w:val="218B4D6EDCCD4F5D9F6FC832253D6BC9"/>
        <w:category>
          <w:name w:val="General"/>
          <w:gallery w:val="placeholder"/>
        </w:category>
        <w:types>
          <w:type w:val="bbPlcHdr"/>
        </w:types>
        <w:behaviors>
          <w:behavior w:val="content"/>
        </w:behaviors>
        <w:guid w:val="{8B67C5C5-83BB-41CA-9CB9-8C23CA5AF4B8}"/>
      </w:docPartPr>
      <w:docPartBody>
        <w:p w:rsidR="00912F70" w:rsidRDefault="002E1BF6" w:rsidP="002E1BF6">
          <w:pPr>
            <w:pStyle w:val="218B4D6EDCCD4F5D9F6FC832253D6BC9"/>
          </w:pPr>
          <w:r w:rsidRPr="00CF1D2D">
            <w:rPr>
              <w:rStyle w:val="PlaceholderText"/>
            </w:rPr>
            <w:t>Click or tap here to enter text.</w:t>
          </w:r>
        </w:p>
      </w:docPartBody>
    </w:docPart>
    <w:docPart>
      <w:docPartPr>
        <w:name w:val="DC6709537B6F4C01BCD447BC726236FD"/>
        <w:category>
          <w:name w:val="General"/>
          <w:gallery w:val="placeholder"/>
        </w:category>
        <w:types>
          <w:type w:val="bbPlcHdr"/>
        </w:types>
        <w:behaviors>
          <w:behavior w:val="content"/>
        </w:behaviors>
        <w:guid w:val="{3E0116C2-AE09-48E5-8AA2-B739B56B4D00}"/>
      </w:docPartPr>
      <w:docPartBody>
        <w:p w:rsidR="00912F70" w:rsidRDefault="002E1BF6" w:rsidP="002E1BF6">
          <w:pPr>
            <w:pStyle w:val="DC6709537B6F4C01BCD447BC726236FD"/>
          </w:pPr>
          <w:r w:rsidRPr="00177278">
            <w:rPr>
              <w:rStyle w:val="PlaceholderText"/>
            </w:rPr>
            <w:t>Click or tap here to enter text.</w:t>
          </w:r>
        </w:p>
      </w:docPartBody>
    </w:docPart>
    <w:docPart>
      <w:docPartPr>
        <w:name w:val="5F30DE82B72A4CBFB7A15C8AD09A88BD"/>
        <w:category>
          <w:name w:val="General"/>
          <w:gallery w:val="placeholder"/>
        </w:category>
        <w:types>
          <w:type w:val="bbPlcHdr"/>
        </w:types>
        <w:behaviors>
          <w:behavior w:val="content"/>
        </w:behaviors>
        <w:guid w:val="{695BE7CC-25F0-4A0E-B660-2CC7FFCCBDFA}"/>
      </w:docPartPr>
      <w:docPartBody>
        <w:p w:rsidR="00912F70" w:rsidRDefault="002E1BF6" w:rsidP="002E1BF6">
          <w:pPr>
            <w:pStyle w:val="5F30DE82B72A4CBFB7A15C8AD09A88BD"/>
          </w:pPr>
          <w:r w:rsidRPr="001E7C3C">
            <w:rPr>
              <w:rStyle w:val="PlaceholderText"/>
            </w:rPr>
            <w:t>Click or tap here to enter text.</w:t>
          </w:r>
        </w:p>
      </w:docPartBody>
    </w:docPart>
    <w:docPart>
      <w:docPartPr>
        <w:name w:val="952C88DCA45F41548D41046D6D7A06FA"/>
        <w:category>
          <w:name w:val="General"/>
          <w:gallery w:val="placeholder"/>
        </w:category>
        <w:types>
          <w:type w:val="bbPlcHdr"/>
        </w:types>
        <w:behaviors>
          <w:behavior w:val="content"/>
        </w:behaviors>
        <w:guid w:val="{F6E5D2D5-AE79-465F-A1EE-CB3616C2D102}"/>
      </w:docPartPr>
      <w:docPartBody>
        <w:p w:rsidR="00912F70" w:rsidRDefault="002E1BF6" w:rsidP="002E1BF6">
          <w:pPr>
            <w:pStyle w:val="952C88DCA45F41548D41046D6D7A06FA"/>
          </w:pPr>
          <w:r w:rsidRPr="00177278">
            <w:rPr>
              <w:rStyle w:val="PlaceholderText"/>
            </w:rPr>
            <w:t>Click or tap here to enter text.</w:t>
          </w:r>
        </w:p>
      </w:docPartBody>
    </w:docPart>
    <w:docPart>
      <w:docPartPr>
        <w:name w:val="5CF3FBF73DB34EB9BF2FD7E5A15EF1C5"/>
        <w:category>
          <w:name w:val="General"/>
          <w:gallery w:val="placeholder"/>
        </w:category>
        <w:types>
          <w:type w:val="bbPlcHdr"/>
        </w:types>
        <w:behaviors>
          <w:behavior w:val="content"/>
        </w:behaviors>
        <w:guid w:val="{A64CB811-6B4B-494E-9DD1-105D93FD5923}"/>
      </w:docPartPr>
      <w:docPartBody>
        <w:p w:rsidR="00912F70" w:rsidRDefault="002E1BF6" w:rsidP="002E1BF6">
          <w:pPr>
            <w:pStyle w:val="5CF3FBF73DB34EB9BF2FD7E5A15EF1C5"/>
          </w:pPr>
          <w:r w:rsidRPr="00177278">
            <w:rPr>
              <w:rStyle w:val="PlaceholderText"/>
            </w:rPr>
            <w:t>Click or tap here to enter text.</w:t>
          </w:r>
        </w:p>
      </w:docPartBody>
    </w:docPart>
    <w:docPart>
      <w:docPartPr>
        <w:name w:val="104BB586FB4E4E6EAFA0CD1F0922B8FA"/>
        <w:category>
          <w:name w:val="General"/>
          <w:gallery w:val="placeholder"/>
        </w:category>
        <w:types>
          <w:type w:val="bbPlcHdr"/>
        </w:types>
        <w:behaviors>
          <w:behavior w:val="content"/>
        </w:behaviors>
        <w:guid w:val="{95E3EA43-A1F7-40E5-A581-726875957418}"/>
      </w:docPartPr>
      <w:docPartBody>
        <w:p w:rsidR="00912F70" w:rsidRDefault="002E1BF6" w:rsidP="002E1BF6">
          <w:pPr>
            <w:pStyle w:val="104BB586FB4E4E6EAFA0CD1F0922B8FA"/>
          </w:pPr>
          <w:r w:rsidRPr="00AA106C">
            <w:rPr>
              <w:rStyle w:val="PlaceholderText"/>
            </w:rPr>
            <w:t>Click or tap here to enter text.</w:t>
          </w:r>
        </w:p>
      </w:docPartBody>
    </w:docPart>
    <w:docPart>
      <w:docPartPr>
        <w:name w:val="259473FBF3DC44C0B6564DFFC14C8ABE"/>
        <w:category>
          <w:name w:val="General"/>
          <w:gallery w:val="placeholder"/>
        </w:category>
        <w:types>
          <w:type w:val="bbPlcHdr"/>
        </w:types>
        <w:behaviors>
          <w:behavior w:val="content"/>
        </w:behaviors>
        <w:guid w:val="{EB6B7394-E16C-4F4F-B319-238B492DE10E}"/>
      </w:docPartPr>
      <w:docPartBody>
        <w:p w:rsidR="00912F70" w:rsidRDefault="002E1BF6" w:rsidP="002E1BF6">
          <w:pPr>
            <w:pStyle w:val="259473FBF3DC44C0B6564DFFC14C8ABE"/>
          </w:pPr>
          <w:r w:rsidRPr="00DD419A">
            <w:rPr>
              <w:rStyle w:val="PlaceholderText"/>
            </w:rPr>
            <w:t>Click or tap here to enter text.</w:t>
          </w:r>
        </w:p>
      </w:docPartBody>
    </w:docPart>
    <w:docPart>
      <w:docPartPr>
        <w:name w:val="45DBCBB34D314FFABBFE6464DA733699"/>
        <w:category>
          <w:name w:val="General"/>
          <w:gallery w:val="placeholder"/>
        </w:category>
        <w:types>
          <w:type w:val="bbPlcHdr"/>
        </w:types>
        <w:behaviors>
          <w:behavior w:val="content"/>
        </w:behaviors>
        <w:guid w:val="{33D23183-0B58-46A0-9230-C2EABE6077EE}"/>
      </w:docPartPr>
      <w:docPartBody>
        <w:p w:rsidR="00912F70" w:rsidRDefault="002E1BF6" w:rsidP="002E1BF6">
          <w:pPr>
            <w:pStyle w:val="45DBCBB34D314FFABBFE6464DA733699"/>
          </w:pPr>
          <w:r w:rsidRPr="00C15050">
            <w:rPr>
              <w:rStyle w:val="PlaceholderText"/>
            </w:rPr>
            <w:t>Click or tap here to enter text.</w:t>
          </w:r>
        </w:p>
      </w:docPartBody>
    </w:docPart>
    <w:docPart>
      <w:docPartPr>
        <w:name w:val="D50053AD9F2E4A9698DFF03D96ED4B08"/>
        <w:category>
          <w:name w:val="General"/>
          <w:gallery w:val="placeholder"/>
        </w:category>
        <w:types>
          <w:type w:val="bbPlcHdr"/>
        </w:types>
        <w:behaviors>
          <w:behavior w:val="content"/>
        </w:behaviors>
        <w:guid w:val="{08375400-6208-4686-94BA-2DE8C18C9ABF}"/>
      </w:docPartPr>
      <w:docPartBody>
        <w:p w:rsidR="00912F70" w:rsidRDefault="002E1BF6" w:rsidP="002E1BF6">
          <w:pPr>
            <w:pStyle w:val="D50053AD9F2E4A9698DFF03D96ED4B08"/>
          </w:pPr>
          <w:r w:rsidRPr="00177278">
            <w:rPr>
              <w:rStyle w:val="PlaceholderText"/>
            </w:rPr>
            <w:t>Click or tap here to enter text.</w:t>
          </w:r>
        </w:p>
      </w:docPartBody>
    </w:docPart>
    <w:docPart>
      <w:docPartPr>
        <w:name w:val="D8F56685A0EC4D85AC24EEFA4FB02A7C"/>
        <w:category>
          <w:name w:val="General"/>
          <w:gallery w:val="placeholder"/>
        </w:category>
        <w:types>
          <w:type w:val="bbPlcHdr"/>
        </w:types>
        <w:behaviors>
          <w:behavior w:val="content"/>
        </w:behaviors>
        <w:guid w:val="{FCF199E2-D6F8-49C1-90ED-A8E25D724127}"/>
      </w:docPartPr>
      <w:docPartBody>
        <w:p w:rsidR="00912F70" w:rsidRDefault="002E1BF6" w:rsidP="002E1BF6">
          <w:pPr>
            <w:pStyle w:val="D8F56685A0EC4D85AC24EEFA4FB02A7C"/>
          </w:pPr>
          <w:r w:rsidRPr="00177278">
            <w:rPr>
              <w:rStyle w:val="PlaceholderText"/>
            </w:rPr>
            <w:t>Click or tap here to enter text.</w:t>
          </w:r>
        </w:p>
      </w:docPartBody>
    </w:docPart>
    <w:docPart>
      <w:docPartPr>
        <w:name w:val="E09833667EDC472AB3703942B466F330"/>
        <w:category>
          <w:name w:val="General"/>
          <w:gallery w:val="placeholder"/>
        </w:category>
        <w:types>
          <w:type w:val="bbPlcHdr"/>
        </w:types>
        <w:behaviors>
          <w:behavior w:val="content"/>
        </w:behaviors>
        <w:guid w:val="{D88E0C1A-DE1A-4F22-A0D5-7FC6FA23FD20}"/>
      </w:docPartPr>
      <w:docPartBody>
        <w:p w:rsidR="00912F70" w:rsidRDefault="002E1BF6" w:rsidP="002E1BF6">
          <w:pPr>
            <w:pStyle w:val="E09833667EDC472AB3703942B466F330"/>
          </w:pPr>
          <w:r w:rsidRPr="00CF1D2D">
            <w:rPr>
              <w:rStyle w:val="PlaceholderText"/>
            </w:rPr>
            <w:t>Click or tap here to enter text.</w:t>
          </w:r>
        </w:p>
      </w:docPartBody>
    </w:docPart>
    <w:docPart>
      <w:docPartPr>
        <w:name w:val="9B33C656CD3A4A369657202EFD0EA818"/>
        <w:category>
          <w:name w:val="General"/>
          <w:gallery w:val="placeholder"/>
        </w:category>
        <w:types>
          <w:type w:val="bbPlcHdr"/>
        </w:types>
        <w:behaviors>
          <w:behavior w:val="content"/>
        </w:behaviors>
        <w:guid w:val="{914D082D-F5F3-4939-B3DC-A042F192BD5C}"/>
      </w:docPartPr>
      <w:docPartBody>
        <w:p w:rsidR="00912F70" w:rsidRDefault="002E1BF6" w:rsidP="002E1BF6">
          <w:pPr>
            <w:pStyle w:val="9B33C656CD3A4A369657202EFD0EA818"/>
          </w:pPr>
          <w:r w:rsidRPr="001E7C3C">
            <w:rPr>
              <w:rStyle w:val="PlaceholderText"/>
            </w:rPr>
            <w:t>Click or tap here to enter text.</w:t>
          </w:r>
        </w:p>
      </w:docPartBody>
    </w:docPart>
    <w:docPart>
      <w:docPartPr>
        <w:name w:val="BDBA70645EA6407A869E97E1CE9D00AD"/>
        <w:category>
          <w:name w:val="General"/>
          <w:gallery w:val="placeholder"/>
        </w:category>
        <w:types>
          <w:type w:val="bbPlcHdr"/>
        </w:types>
        <w:behaviors>
          <w:behavior w:val="content"/>
        </w:behaviors>
        <w:guid w:val="{DDF59D8E-CDDE-4703-826F-23DEF284D53F}"/>
      </w:docPartPr>
      <w:docPartBody>
        <w:p w:rsidR="00912F70" w:rsidRDefault="002E1BF6" w:rsidP="002E1BF6">
          <w:pPr>
            <w:pStyle w:val="BDBA70645EA6407A869E97E1CE9D00AD"/>
          </w:pPr>
          <w:r w:rsidRPr="00CF1D2D">
            <w:rPr>
              <w:rStyle w:val="PlaceholderText"/>
            </w:rPr>
            <w:t>Click or tap here to enter text.</w:t>
          </w:r>
        </w:p>
      </w:docPartBody>
    </w:docPart>
    <w:docPart>
      <w:docPartPr>
        <w:name w:val="E094649FF36B4B6A9D4E9EF6E7D87EC6"/>
        <w:category>
          <w:name w:val="General"/>
          <w:gallery w:val="placeholder"/>
        </w:category>
        <w:types>
          <w:type w:val="bbPlcHdr"/>
        </w:types>
        <w:behaviors>
          <w:behavior w:val="content"/>
        </w:behaviors>
        <w:guid w:val="{786A75AE-8917-401E-940A-F175ED3D2536}"/>
      </w:docPartPr>
      <w:docPartBody>
        <w:p w:rsidR="00912F70" w:rsidRDefault="002E1BF6" w:rsidP="002E1BF6">
          <w:pPr>
            <w:pStyle w:val="E094649FF36B4B6A9D4E9EF6E7D87EC6"/>
          </w:pPr>
          <w:r w:rsidRPr="004771BE">
            <w:rPr>
              <w:rStyle w:val="PlaceholderText"/>
            </w:rPr>
            <w:t>Click or tap here to enter text.</w:t>
          </w:r>
        </w:p>
      </w:docPartBody>
    </w:docPart>
    <w:docPart>
      <w:docPartPr>
        <w:name w:val="67BA57A423184202B1C2259BA10BBDA7"/>
        <w:category>
          <w:name w:val="General"/>
          <w:gallery w:val="placeholder"/>
        </w:category>
        <w:types>
          <w:type w:val="bbPlcHdr"/>
        </w:types>
        <w:behaviors>
          <w:behavior w:val="content"/>
        </w:behaviors>
        <w:guid w:val="{1C39A1D1-7347-41D9-80FE-CC73DC3F8D4D}"/>
      </w:docPartPr>
      <w:docPartBody>
        <w:p w:rsidR="00912F70" w:rsidRDefault="002E1BF6" w:rsidP="002E1BF6">
          <w:pPr>
            <w:pStyle w:val="67BA57A423184202B1C2259BA10BBDA7"/>
          </w:pPr>
          <w:r w:rsidRPr="00CF1D2D">
            <w:rPr>
              <w:rStyle w:val="PlaceholderText"/>
            </w:rPr>
            <w:t>Click or tap here to enter text.</w:t>
          </w:r>
        </w:p>
      </w:docPartBody>
    </w:docPart>
    <w:docPart>
      <w:docPartPr>
        <w:name w:val="8EBCB08F057F4E8282B145CB4793AE8B"/>
        <w:category>
          <w:name w:val="General"/>
          <w:gallery w:val="placeholder"/>
        </w:category>
        <w:types>
          <w:type w:val="bbPlcHdr"/>
        </w:types>
        <w:behaviors>
          <w:behavior w:val="content"/>
        </w:behaviors>
        <w:guid w:val="{98BDF8C2-8BA6-40C2-A757-0CB9A422D813}"/>
      </w:docPartPr>
      <w:docPartBody>
        <w:p w:rsidR="00912F70" w:rsidRDefault="002E1BF6" w:rsidP="002E1BF6">
          <w:pPr>
            <w:pStyle w:val="8EBCB08F057F4E8282B145CB4793AE8B"/>
          </w:pPr>
          <w:r w:rsidRPr="001E7C3C">
            <w:rPr>
              <w:rStyle w:val="PlaceholderText"/>
            </w:rPr>
            <w:t>Click or tap here to enter text.</w:t>
          </w:r>
        </w:p>
      </w:docPartBody>
    </w:docPart>
    <w:docPart>
      <w:docPartPr>
        <w:name w:val="B138C10B00444EEDB68FDBC47A5891CF"/>
        <w:category>
          <w:name w:val="General"/>
          <w:gallery w:val="placeholder"/>
        </w:category>
        <w:types>
          <w:type w:val="bbPlcHdr"/>
        </w:types>
        <w:behaviors>
          <w:behavior w:val="content"/>
        </w:behaviors>
        <w:guid w:val="{8AF23286-ACA1-4B97-A378-BA99EDCA0E71}"/>
      </w:docPartPr>
      <w:docPartBody>
        <w:p w:rsidR="00912F70" w:rsidRDefault="002E1BF6" w:rsidP="002E1BF6">
          <w:pPr>
            <w:pStyle w:val="B138C10B00444EEDB68FDBC47A5891CF"/>
          </w:pPr>
          <w:r w:rsidRPr="001E7C3C">
            <w:rPr>
              <w:rStyle w:val="PlaceholderText"/>
            </w:rPr>
            <w:t>Click or tap here to enter text.</w:t>
          </w:r>
        </w:p>
      </w:docPartBody>
    </w:docPart>
    <w:docPart>
      <w:docPartPr>
        <w:name w:val="C551FB1AA96F4A26862C8F4306B064B2"/>
        <w:category>
          <w:name w:val="General"/>
          <w:gallery w:val="placeholder"/>
        </w:category>
        <w:types>
          <w:type w:val="bbPlcHdr"/>
        </w:types>
        <w:behaviors>
          <w:behavior w:val="content"/>
        </w:behaviors>
        <w:guid w:val="{C442CE6E-3BBD-4127-BA4F-8FC3B39ED149}"/>
      </w:docPartPr>
      <w:docPartBody>
        <w:p w:rsidR="00912F70" w:rsidRDefault="002E1BF6" w:rsidP="002E1BF6">
          <w:pPr>
            <w:pStyle w:val="C551FB1AA96F4A26862C8F4306B064B2"/>
          </w:pPr>
          <w:r w:rsidRPr="001E7C3C">
            <w:rPr>
              <w:rStyle w:val="PlaceholderText"/>
            </w:rPr>
            <w:t>Click or tap here to enter text.</w:t>
          </w:r>
        </w:p>
      </w:docPartBody>
    </w:docPart>
    <w:docPart>
      <w:docPartPr>
        <w:name w:val="3A5CA3002A5E4FFA8BD7B91E29E6085D"/>
        <w:category>
          <w:name w:val="General"/>
          <w:gallery w:val="placeholder"/>
        </w:category>
        <w:types>
          <w:type w:val="bbPlcHdr"/>
        </w:types>
        <w:behaviors>
          <w:behavior w:val="content"/>
        </w:behaviors>
        <w:guid w:val="{EDD1745F-9A4A-432B-911B-A064F1FE150A}"/>
      </w:docPartPr>
      <w:docPartBody>
        <w:p w:rsidR="00912F70" w:rsidRDefault="002E1BF6" w:rsidP="002E1BF6">
          <w:pPr>
            <w:pStyle w:val="3A5CA3002A5E4FFA8BD7B91E29E6085D"/>
          </w:pPr>
          <w:r w:rsidRPr="001E7C3C">
            <w:rPr>
              <w:rStyle w:val="PlaceholderText"/>
            </w:rPr>
            <w:t>Click or tap here to enter text.</w:t>
          </w:r>
        </w:p>
      </w:docPartBody>
    </w:docPart>
    <w:docPart>
      <w:docPartPr>
        <w:name w:val="D5C2CF89FB4749DF8264EE546D2BEF24"/>
        <w:category>
          <w:name w:val="General"/>
          <w:gallery w:val="placeholder"/>
        </w:category>
        <w:types>
          <w:type w:val="bbPlcHdr"/>
        </w:types>
        <w:behaviors>
          <w:behavior w:val="content"/>
        </w:behaviors>
        <w:guid w:val="{2B51CAD6-A204-4165-BA60-5A81F847B56A}"/>
      </w:docPartPr>
      <w:docPartBody>
        <w:p w:rsidR="00912F70" w:rsidRDefault="002E1BF6" w:rsidP="002E1BF6">
          <w:pPr>
            <w:pStyle w:val="D5C2CF89FB4749DF8264EE546D2BEF24"/>
          </w:pPr>
          <w:r w:rsidRPr="00C15050">
            <w:rPr>
              <w:rStyle w:val="PlaceholderText"/>
            </w:rPr>
            <w:t>Click or tap here to enter text.</w:t>
          </w:r>
        </w:p>
      </w:docPartBody>
    </w:docPart>
    <w:docPart>
      <w:docPartPr>
        <w:name w:val="BF82F80C0CF24854BECE6361C3DA2AF9"/>
        <w:category>
          <w:name w:val="General"/>
          <w:gallery w:val="placeholder"/>
        </w:category>
        <w:types>
          <w:type w:val="bbPlcHdr"/>
        </w:types>
        <w:behaviors>
          <w:behavior w:val="content"/>
        </w:behaviors>
        <w:guid w:val="{DDFC3CCD-1196-49A1-8244-344C0918B52C}"/>
      </w:docPartPr>
      <w:docPartBody>
        <w:p w:rsidR="00912F70" w:rsidRDefault="002E1BF6" w:rsidP="002E1BF6">
          <w:pPr>
            <w:pStyle w:val="BF82F80C0CF24854BECE6361C3DA2AF9"/>
          </w:pPr>
          <w:r w:rsidRPr="001E7C3C">
            <w:rPr>
              <w:rStyle w:val="PlaceholderText"/>
            </w:rPr>
            <w:t>Click or tap here to enter text.</w:t>
          </w:r>
        </w:p>
      </w:docPartBody>
    </w:docPart>
    <w:docPart>
      <w:docPartPr>
        <w:name w:val="E0308F90406041769BEA27A5A6AEFA2D"/>
        <w:category>
          <w:name w:val="General"/>
          <w:gallery w:val="placeholder"/>
        </w:category>
        <w:types>
          <w:type w:val="bbPlcHdr"/>
        </w:types>
        <w:behaviors>
          <w:behavior w:val="content"/>
        </w:behaviors>
        <w:guid w:val="{5784C347-C5A5-4900-BD51-4C73B30B6A8E}"/>
      </w:docPartPr>
      <w:docPartBody>
        <w:p w:rsidR="00912F70" w:rsidRDefault="002E1BF6" w:rsidP="002E1BF6">
          <w:pPr>
            <w:pStyle w:val="E0308F90406041769BEA27A5A6AEFA2D"/>
          </w:pPr>
          <w:r w:rsidRPr="001E7C3C">
            <w:rPr>
              <w:rStyle w:val="PlaceholderText"/>
            </w:rPr>
            <w:t>Click or tap here to enter text.</w:t>
          </w:r>
        </w:p>
      </w:docPartBody>
    </w:docPart>
    <w:docPart>
      <w:docPartPr>
        <w:name w:val="4AE3D0B80D9F4FBD8C00E7BE7FB4C700"/>
        <w:category>
          <w:name w:val="General"/>
          <w:gallery w:val="placeholder"/>
        </w:category>
        <w:types>
          <w:type w:val="bbPlcHdr"/>
        </w:types>
        <w:behaviors>
          <w:behavior w:val="content"/>
        </w:behaviors>
        <w:guid w:val="{DCEE7CEF-1E49-4BD0-AEFC-78E224E5C2D9}"/>
      </w:docPartPr>
      <w:docPartBody>
        <w:p w:rsidR="00912F70" w:rsidRDefault="002E1BF6" w:rsidP="002E1BF6">
          <w:pPr>
            <w:pStyle w:val="4AE3D0B80D9F4FBD8C00E7BE7FB4C700"/>
          </w:pPr>
          <w:r w:rsidRPr="001E7C3C">
            <w:rPr>
              <w:rStyle w:val="PlaceholderText"/>
            </w:rPr>
            <w:t>Click or tap here to enter text.</w:t>
          </w:r>
        </w:p>
      </w:docPartBody>
    </w:docPart>
    <w:docPart>
      <w:docPartPr>
        <w:name w:val="E27D3C0761D645B699057FED0241F8F0"/>
        <w:category>
          <w:name w:val="General"/>
          <w:gallery w:val="placeholder"/>
        </w:category>
        <w:types>
          <w:type w:val="bbPlcHdr"/>
        </w:types>
        <w:behaviors>
          <w:behavior w:val="content"/>
        </w:behaviors>
        <w:guid w:val="{ADBA9308-4A46-4DD9-A4C2-0CB3CD3E4E49}"/>
      </w:docPartPr>
      <w:docPartBody>
        <w:p w:rsidR="00912F70" w:rsidRDefault="002E1BF6" w:rsidP="002E1BF6">
          <w:pPr>
            <w:pStyle w:val="E27D3C0761D645B699057FED0241F8F0"/>
          </w:pPr>
          <w:r w:rsidRPr="00CF1D2D">
            <w:rPr>
              <w:rStyle w:val="PlaceholderText"/>
            </w:rPr>
            <w:t>Click or tap here to enter text.</w:t>
          </w:r>
        </w:p>
      </w:docPartBody>
    </w:docPart>
    <w:docPart>
      <w:docPartPr>
        <w:name w:val="BE51215021274051906BCCF84CC9F705"/>
        <w:category>
          <w:name w:val="General"/>
          <w:gallery w:val="placeholder"/>
        </w:category>
        <w:types>
          <w:type w:val="bbPlcHdr"/>
        </w:types>
        <w:behaviors>
          <w:behavior w:val="content"/>
        </w:behaviors>
        <w:guid w:val="{32DB3D17-A068-41A0-9DE8-DD84A5BFDCD2}"/>
      </w:docPartPr>
      <w:docPartBody>
        <w:p w:rsidR="00912F70" w:rsidRDefault="002E1BF6" w:rsidP="002E1BF6">
          <w:pPr>
            <w:pStyle w:val="BE51215021274051906BCCF84CC9F705"/>
          </w:pPr>
          <w:r w:rsidRPr="00F16BFE">
            <w:rPr>
              <w:rStyle w:val="PlaceholderText"/>
            </w:rPr>
            <w:t>Click or tap here to enter text.</w:t>
          </w:r>
        </w:p>
      </w:docPartBody>
    </w:docPart>
    <w:docPart>
      <w:docPartPr>
        <w:name w:val="E97E965DF0C949749726A5743B674162"/>
        <w:category>
          <w:name w:val="General"/>
          <w:gallery w:val="placeholder"/>
        </w:category>
        <w:types>
          <w:type w:val="bbPlcHdr"/>
        </w:types>
        <w:behaviors>
          <w:behavior w:val="content"/>
        </w:behaviors>
        <w:guid w:val="{5AB26E60-E097-47E9-B685-11BFCC0FCA38}"/>
      </w:docPartPr>
      <w:docPartBody>
        <w:p w:rsidR="00912F70" w:rsidRDefault="002E1BF6" w:rsidP="002E1BF6">
          <w:pPr>
            <w:pStyle w:val="E97E965DF0C949749726A5743B674162"/>
          </w:pPr>
          <w:r w:rsidRPr="001E7C3C">
            <w:rPr>
              <w:rStyle w:val="PlaceholderText"/>
            </w:rPr>
            <w:t>Click or tap here to enter text.</w:t>
          </w:r>
        </w:p>
      </w:docPartBody>
    </w:docPart>
    <w:docPart>
      <w:docPartPr>
        <w:name w:val="C5FDA3C71B0C4044B40CDEB9622D077D"/>
        <w:category>
          <w:name w:val="General"/>
          <w:gallery w:val="placeholder"/>
        </w:category>
        <w:types>
          <w:type w:val="bbPlcHdr"/>
        </w:types>
        <w:behaviors>
          <w:behavior w:val="content"/>
        </w:behaviors>
        <w:guid w:val="{DCB2480D-7893-406B-878A-CDF5E7840B22}"/>
      </w:docPartPr>
      <w:docPartBody>
        <w:p w:rsidR="00912F70" w:rsidRDefault="002E1BF6" w:rsidP="002E1BF6">
          <w:pPr>
            <w:pStyle w:val="C5FDA3C71B0C4044B40CDEB9622D077D"/>
          </w:pPr>
          <w:r w:rsidRPr="00F16BFE">
            <w:rPr>
              <w:rStyle w:val="PlaceholderText"/>
            </w:rPr>
            <w:t>Click or tap here to enter text.</w:t>
          </w:r>
        </w:p>
      </w:docPartBody>
    </w:docPart>
    <w:docPart>
      <w:docPartPr>
        <w:name w:val="28E9EA896E184EEEA0A0E6E5C4C5184E"/>
        <w:category>
          <w:name w:val="General"/>
          <w:gallery w:val="placeholder"/>
        </w:category>
        <w:types>
          <w:type w:val="bbPlcHdr"/>
        </w:types>
        <w:behaviors>
          <w:behavior w:val="content"/>
        </w:behaviors>
        <w:guid w:val="{3B4308BB-8E28-43B6-91C3-6F5F5F07C27F}"/>
      </w:docPartPr>
      <w:docPartBody>
        <w:p w:rsidR="00912F70" w:rsidRDefault="002E1BF6" w:rsidP="002E1BF6">
          <w:pPr>
            <w:pStyle w:val="28E9EA896E184EEEA0A0E6E5C4C5184E"/>
          </w:pPr>
          <w:r w:rsidRPr="00CF1D2D">
            <w:rPr>
              <w:rStyle w:val="PlaceholderText"/>
            </w:rPr>
            <w:t>Click or tap here to enter text.</w:t>
          </w:r>
        </w:p>
      </w:docPartBody>
    </w:docPart>
    <w:docPart>
      <w:docPartPr>
        <w:name w:val="A853A578CA854601AB99E87B7E27F98C"/>
        <w:category>
          <w:name w:val="General"/>
          <w:gallery w:val="placeholder"/>
        </w:category>
        <w:types>
          <w:type w:val="bbPlcHdr"/>
        </w:types>
        <w:behaviors>
          <w:behavior w:val="content"/>
        </w:behaviors>
        <w:guid w:val="{86AABE90-A16A-4010-9B22-3C9F90682983}"/>
      </w:docPartPr>
      <w:docPartBody>
        <w:p w:rsidR="00912F70" w:rsidRDefault="002E1BF6" w:rsidP="002E1BF6">
          <w:pPr>
            <w:pStyle w:val="A853A578CA854601AB99E87B7E27F98C"/>
          </w:pPr>
          <w:r w:rsidRPr="00CF1D2D">
            <w:rPr>
              <w:rStyle w:val="PlaceholderText"/>
            </w:rPr>
            <w:t>Click or tap here to enter text.</w:t>
          </w:r>
        </w:p>
      </w:docPartBody>
    </w:docPart>
    <w:docPart>
      <w:docPartPr>
        <w:name w:val="1D237E2FF5AB4478A34CD9299832E777"/>
        <w:category>
          <w:name w:val="General"/>
          <w:gallery w:val="placeholder"/>
        </w:category>
        <w:types>
          <w:type w:val="bbPlcHdr"/>
        </w:types>
        <w:behaviors>
          <w:behavior w:val="content"/>
        </w:behaviors>
        <w:guid w:val="{BBC8D2D3-AB80-43EB-B379-25725DD641CC}"/>
      </w:docPartPr>
      <w:docPartBody>
        <w:p w:rsidR="00912F70" w:rsidRDefault="002E1BF6" w:rsidP="002E1BF6">
          <w:pPr>
            <w:pStyle w:val="1D237E2FF5AB4478A34CD9299832E777"/>
          </w:pPr>
          <w:r w:rsidRPr="00CF1D2D">
            <w:rPr>
              <w:rStyle w:val="PlaceholderText"/>
            </w:rPr>
            <w:t>Click or tap here to enter text.</w:t>
          </w:r>
        </w:p>
      </w:docPartBody>
    </w:docPart>
    <w:docPart>
      <w:docPartPr>
        <w:name w:val="9843450DA364492CB7EA5D5AD2E3B227"/>
        <w:category>
          <w:name w:val="General"/>
          <w:gallery w:val="placeholder"/>
        </w:category>
        <w:types>
          <w:type w:val="bbPlcHdr"/>
        </w:types>
        <w:behaviors>
          <w:behavior w:val="content"/>
        </w:behaviors>
        <w:guid w:val="{99F5F25D-5D80-4F61-9B89-D8BE8B03D89C}"/>
      </w:docPartPr>
      <w:docPartBody>
        <w:p w:rsidR="00912F70" w:rsidRDefault="002E1BF6" w:rsidP="002E1BF6">
          <w:pPr>
            <w:pStyle w:val="9843450DA364492CB7EA5D5AD2E3B227"/>
          </w:pPr>
          <w:r w:rsidRPr="00F16BFE">
            <w:rPr>
              <w:rStyle w:val="PlaceholderText"/>
            </w:rPr>
            <w:t>Click or tap here to enter text.</w:t>
          </w:r>
        </w:p>
      </w:docPartBody>
    </w:docPart>
    <w:docPart>
      <w:docPartPr>
        <w:name w:val="B9BC9754C9274673B961302FDF40A1B7"/>
        <w:category>
          <w:name w:val="General"/>
          <w:gallery w:val="placeholder"/>
        </w:category>
        <w:types>
          <w:type w:val="bbPlcHdr"/>
        </w:types>
        <w:behaviors>
          <w:behavior w:val="content"/>
        </w:behaviors>
        <w:guid w:val="{E9B61C2D-3DC7-4A1A-A95B-84C13916EC03}"/>
      </w:docPartPr>
      <w:docPartBody>
        <w:p w:rsidR="00912F70" w:rsidRDefault="002E1BF6" w:rsidP="002E1BF6">
          <w:pPr>
            <w:pStyle w:val="B9BC9754C9274673B961302FDF40A1B7"/>
          </w:pPr>
          <w:r w:rsidRPr="00CF1D2D">
            <w:rPr>
              <w:rStyle w:val="PlaceholderText"/>
            </w:rPr>
            <w:t>Click or tap here to enter text.</w:t>
          </w:r>
        </w:p>
      </w:docPartBody>
    </w:docPart>
    <w:docPart>
      <w:docPartPr>
        <w:name w:val="0A56B8A9FB5E4EF984C722F41E169565"/>
        <w:category>
          <w:name w:val="General"/>
          <w:gallery w:val="placeholder"/>
        </w:category>
        <w:types>
          <w:type w:val="bbPlcHdr"/>
        </w:types>
        <w:behaviors>
          <w:behavior w:val="content"/>
        </w:behaviors>
        <w:guid w:val="{35BA250F-5C39-45E8-A38C-29BCACBB3DD7}"/>
      </w:docPartPr>
      <w:docPartBody>
        <w:p w:rsidR="00912F70" w:rsidRDefault="002E1BF6" w:rsidP="002E1BF6">
          <w:pPr>
            <w:pStyle w:val="0A56B8A9FB5E4EF984C722F41E169565"/>
          </w:pPr>
          <w:r w:rsidRPr="00F16BFE">
            <w:rPr>
              <w:rStyle w:val="PlaceholderText"/>
            </w:rPr>
            <w:t>Click or tap here to enter text.</w:t>
          </w:r>
        </w:p>
      </w:docPartBody>
    </w:docPart>
    <w:docPart>
      <w:docPartPr>
        <w:name w:val="12B7A98D839247EFAEA159A050D63BB1"/>
        <w:category>
          <w:name w:val="General"/>
          <w:gallery w:val="placeholder"/>
        </w:category>
        <w:types>
          <w:type w:val="bbPlcHdr"/>
        </w:types>
        <w:behaviors>
          <w:behavior w:val="content"/>
        </w:behaviors>
        <w:guid w:val="{1B172231-812F-4363-813D-4BCD1DD7CA84}"/>
      </w:docPartPr>
      <w:docPartBody>
        <w:p w:rsidR="00912F70" w:rsidRDefault="002E1BF6" w:rsidP="002E1BF6">
          <w:pPr>
            <w:pStyle w:val="12B7A98D839247EFAEA159A050D63BB1"/>
          </w:pPr>
          <w:r w:rsidRPr="001E7C3C">
            <w:rPr>
              <w:rStyle w:val="PlaceholderText"/>
            </w:rPr>
            <w:t>Click or tap here to enter text.</w:t>
          </w:r>
        </w:p>
      </w:docPartBody>
    </w:docPart>
    <w:docPart>
      <w:docPartPr>
        <w:name w:val="30F962117DFA4E3B8BC17E58F858D368"/>
        <w:category>
          <w:name w:val="General"/>
          <w:gallery w:val="placeholder"/>
        </w:category>
        <w:types>
          <w:type w:val="bbPlcHdr"/>
        </w:types>
        <w:behaviors>
          <w:behavior w:val="content"/>
        </w:behaviors>
        <w:guid w:val="{54C25043-28AF-440A-B42B-F05DF2E45324}"/>
      </w:docPartPr>
      <w:docPartBody>
        <w:p w:rsidR="00912F70" w:rsidRDefault="002E1BF6" w:rsidP="002E1BF6">
          <w:pPr>
            <w:pStyle w:val="30F962117DFA4E3B8BC17E58F858D368"/>
          </w:pPr>
          <w:r w:rsidRPr="001E7C3C">
            <w:rPr>
              <w:rStyle w:val="PlaceholderText"/>
            </w:rPr>
            <w:t>Click or tap here to enter text.</w:t>
          </w:r>
        </w:p>
      </w:docPartBody>
    </w:docPart>
    <w:docPart>
      <w:docPartPr>
        <w:name w:val="5E5E13F5136549F89092BF00AEA3E1D2"/>
        <w:category>
          <w:name w:val="General"/>
          <w:gallery w:val="placeholder"/>
        </w:category>
        <w:types>
          <w:type w:val="bbPlcHdr"/>
        </w:types>
        <w:behaviors>
          <w:behavior w:val="content"/>
        </w:behaviors>
        <w:guid w:val="{BFBA3489-0943-4C06-806E-3EE4078F7115}"/>
      </w:docPartPr>
      <w:docPartBody>
        <w:p w:rsidR="00912F70" w:rsidRDefault="002E1BF6" w:rsidP="002E1BF6">
          <w:pPr>
            <w:pStyle w:val="5E5E13F5136549F89092BF00AEA3E1D2"/>
          </w:pPr>
          <w:r w:rsidRPr="001E7C3C">
            <w:rPr>
              <w:rStyle w:val="PlaceholderText"/>
            </w:rPr>
            <w:t>Click or tap here to enter text.</w:t>
          </w:r>
        </w:p>
      </w:docPartBody>
    </w:docPart>
    <w:docPart>
      <w:docPartPr>
        <w:name w:val="F0E53DB520704AEF80984206902D5A6F"/>
        <w:category>
          <w:name w:val="General"/>
          <w:gallery w:val="placeholder"/>
        </w:category>
        <w:types>
          <w:type w:val="bbPlcHdr"/>
        </w:types>
        <w:behaviors>
          <w:behavior w:val="content"/>
        </w:behaviors>
        <w:guid w:val="{49DB9BF5-9723-4975-88FF-9A1839BF19C1}"/>
      </w:docPartPr>
      <w:docPartBody>
        <w:p w:rsidR="00912F70" w:rsidRDefault="002E1BF6" w:rsidP="002E1BF6">
          <w:pPr>
            <w:pStyle w:val="F0E53DB520704AEF80984206902D5A6F"/>
          </w:pPr>
          <w:r w:rsidRPr="001E7C3C">
            <w:rPr>
              <w:rStyle w:val="PlaceholderText"/>
            </w:rPr>
            <w:t>Click or tap here to enter text.</w:t>
          </w:r>
        </w:p>
      </w:docPartBody>
    </w:docPart>
    <w:docPart>
      <w:docPartPr>
        <w:name w:val="5FABC00F1EC847B3A5C978E028B7850E"/>
        <w:category>
          <w:name w:val="General"/>
          <w:gallery w:val="placeholder"/>
        </w:category>
        <w:types>
          <w:type w:val="bbPlcHdr"/>
        </w:types>
        <w:behaviors>
          <w:behavior w:val="content"/>
        </w:behaviors>
        <w:guid w:val="{C8725DF6-EE0E-4945-AF77-2E146249C314}"/>
      </w:docPartPr>
      <w:docPartBody>
        <w:p w:rsidR="00912F70" w:rsidRDefault="002E1BF6" w:rsidP="002E1BF6">
          <w:pPr>
            <w:pStyle w:val="5FABC00F1EC847B3A5C978E028B7850E"/>
          </w:pPr>
          <w:r w:rsidRPr="001E7C3C">
            <w:rPr>
              <w:rStyle w:val="PlaceholderText"/>
            </w:rPr>
            <w:t>Click or tap here to enter text.</w:t>
          </w:r>
        </w:p>
      </w:docPartBody>
    </w:docPart>
    <w:docPart>
      <w:docPartPr>
        <w:name w:val="7D5244FA4075422FB3592CCBBA9196AA"/>
        <w:category>
          <w:name w:val="General"/>
          <w:gallery w:val="placeholder"/>
        </w:category>
        <w:types>
          <w:type w:val="bbPlcHdr"/>
        </w:types>
        <w:behaviors>
          <w:behavior w:val="content"/>
        </w:behaviors>
        <w:guid w:val="{598748F3-2A14-4325-BA40-57D95B16F1EF}"/>
      </w:docPartPr>
      <w:docPartBody>
        <w:p w:rsidR="00912F70" w:rsidRDefault="002E1BF6" w:rsidP="002E1BF6">
          <w:pPr>
            <w:pStyle w:val="7D5244FA4075422FB3592CCBBA9196AA"/>
          </w:pPr>
          <w:r w:rsidRPr="001E7C3C">
            <w:rPr>
              <w:rStyle w:val="PlaceholderText"/>
            </w:rPr>
            <w:t>Click or tap here to enter text.</w:t>
          </w:r>
        </w:p>
      </w:docPartBody>
    </w:docPart>
    <w:docPart>
      <w:docPartPr>
        <w:name w:val="593CDFB4F4154A7F94EB7C4B3D1B0402"/>
        <w:category>
          <w:name w:val="General"/>
          <w:gallery w:val="placeholder"/>
        </w:category>
        <w:types>
          <w:type w:val="bbPlcHdr"/>
        </w:types>
        <w:behaviors>
          <w:behavior w:val="content"/>
        </w:behaviors>
        <w:guid w:val="{5ED04248-2D32-4D61-9520-79FF8DEE632B}"/>
      </w:docPartPr>
      <w:docPartBody>
        <w:p w:rsidR="00912F70" w:rsidRDefault="002E1BF6" w:rsidP="002E1BF6">
          <w:pPr>
            <w:pStyle w:val="593CDFB4F4154A7F94EB7C4B3D1B0402"/>
          </w:pPr>
          <w:r w:rsidRPr="001E7C3C">
            <w:rPr>
              <w:rStyle w:val="PlaceholderText"/>
            </w:rPr>
            <w:t>Click or tap here to enter text.</w:t>
          </w:r>
        </w:p>
      </w:docPartBody>
    </w:docPart>
    <w:docPart>
      <w:docPartPr>
        <w:name w:val="948548FA51B3484C8476CC3FC4CD3390"/>
        <w:category>
          <w:name w:val="General"/>
          <w:gallery w:val="placeholder"/>
        </w:category>
        <w:types>
          <w:type w:val="bbPlcHdr"/>
        </w:types>
        <w:behaviors>
          <w:behavior w:val="content"/>
        </w:behaviors>
        <w:guid w:val="{657E5AFB-9C2B-4345-BCD1-FE00C5D65E74}"/>
      </w:docPartPr>
      <w:docPartBody>
        <w:p w:rsidR="00912F70" w:rsidRDefault="002E1BF6" w:rsidP="002E1BF6">
          <w:pPr>
            <w:pStyle w:val="948548FA51B3484C8476CC3FC4CD3390"/>
          </w:pPr>
          <w:r w:rsidRPr="001E7C3C">
            <w:rPr>
              <w:rStyle w:val="PlaceholderText"/>
            </w:rPr>
            <w:t>Click or tap here to enter text.</w:t>
          </w:r>
        </w:p>
      </w:docPartBody>
    </w:docPart>
    <w:docPart>
      <w:docPartPr>
        <w:name w:val="62367905CBD6460089C77491804E0227"/>
        <w:category>
          <w:name w:val="General"/>
          <w:gallery w:val="placeholder"/>
        </w:category>
        <w:types>
          <w:type w:val="bbPlcHdr"/>
        </w:types>
        <w:behaviors>
          <w:behavior w:val="content"/>
        </w:behaviors>
        <w:guid w:val="{2F6A3929-8CAB-4948-9E3D-2AA16AEB0B2A}"/>
      </w:docPartPr>
      <w:docPartBody>
        <w:p w:rsidR="00912F70" w:rsidRDefault="002E1BF6" w:rsidP="002E1BF6">
          <w:pPr>
            <w:pStyle w:val="62367905CBD6460089C77491804E0227"/>
          </w:pPr>
          <w:r w:rsidRPr="00DD419A">
            <w:rPr>
              <w:rStyle w:val="PlaceholderText"/>
            </w:rPr>
            <w:t>Click or tap here to enter text.</w:t>
          </w:r>
        </w:p>
      </w:docPartBody>
    </w:docPart>
    <w:docPart>
      <w:docPartPr>
        <w:name w:val="DE350F828C334C3788A26F619DCA3989"/>
        <w:category>
          <w:name w:val="General"/>
          <w:gallery w:val="placeholder"/>
        </w:category>
        <w:types>
          <w:type w:val="bbPlcHdr"/>
        </w:types>
        <w:behaviors>
          <w:behavior w:val="content"/>
        </w:behaviors>
        <w:guid w:val="{3A66AFF4-7A73-4812-BB2E-6D5E0A06F861}"/>
      </w:docPartPr>
      <w:docPartBody>
        <w:p w:rsidR="00912F70" w:rsidRDefault="002E1BF6" w:rsidP="002E1BF6">
          <w:pPr>
            <w:pStyle w:val="DE350F828C334C3788A26F619DCA3989"/>
          </w:pPr>
          <w:r w:rsidRPr="00DD419A">
            <w:rPr>
              <w:rStyle w:val="PlaceholderText"/>
            </w:rPr>
            <w:t>Click or tap here to enter text.</w:t>
          </w:r>
        </w:p>
      </w:docPartBody>
    </w:docPart>
    <w:docPart>
      <w:docPartPr>
        <w:name w:val="0C043E41633344018A8043B9CBBCBF20"/>
        <w:category>
          <w:name w:val="General"/>
          <w:gallery w:val="placeholder"/>
        </w:category>
        <w:types>
          <w:type w:val="bbPlcHdr"/>
        </w:types>
        <w:behaviors>
          <w:behavior w:val="content"/>
        </w:behaviors>
        <w:guid w:val="{D4ACD493-14F7-498C-93FC-74997730468D}"/>
      </w:docPartPr>
      <w:docPartBody>
        <w:p w:rsidR="00912F70" w:rsidRDefault="002E1BF6" w:rsidP="002E1BF6">
          <w:pPr>
            <w:pStyle w:val="0C043E41633344018A8043B9CBBCBF20"/>
          </w:pPr>
          <w:r w:rsidRPr="00DD419A">
            <w:rPr>
              <w:rStyle w:val="PlaceholderText"/>
            </w:rPr>
            <w:t>Click or tap here to enter text.</w:t>
          </w:r>
        </w:p>
      </w:docPartBody>
    </w:docPart>
    <w:docPart>
      <w:docPartPr>
        <w:name w:val="5A787571DB4E42858D616637840B5F06"/>
        <w:category>
          <w:name w:val="General"/>
          <w:gallery w:val="placeholder"/>
        </w:category>
        <w:types>
          <w:type w:val="bbPlcHdr"/>
        </w:types>
        <w:behaviors>
          <w:behavior w:val="content"/>
        </w:behaviors>
        <w:guid w:val="{94DFF4E1-8E25-4E96-A1C4-57135A20172F}"/>
      </w:docPartPr>
      <w:docPartBody>
        <w:p w:rsidR="00912F70" w:rsidRDefault="002E1BF6" w:rsidP="002E1BF6">
          <w:pPr>
            <w:pStyle w:val="5A787571DB4E42858D616637840B5F06"/>
          </w:pPr>
          <w:r w:rsidRPr="00DD419A">
            <w:rPr>
              <w:rStyle w:val="PlaceholderText"/>
            </w:rPr>
            <w:t>Click or tap here to enter text.</w:t>
          </w:r>
        </w:p>
      </w:docPartBody>
    </w:docPart>
    <w:docPart>
      <w:docPartPr>
        <w:name w:val="12344855235E4292B075B769CAA03393"/>
        <w:category>
          <w:name w:val="General"/>
          <w:gallery w:val="placeholder"/>
        </w:category>
        <w:types>
          <w:type w:val="bbPlcHdr"/>
        </w:types>
        <w:behaviors>
          <w:behavior w:val="content"/>
        </w:behaviors>
        <w:guid w:val="{1E4A3864-F3B5-4458-8758-8CA229CA514D}"/>
      </w:docPartPr>
      <w:docPartBody>
        <w:p w:rsidR="00912F70" w:rsidRDefault="002E1BF6" w:rsidP="002E1BF6">
          <w:pPr>
            <w:pStyle w:val="12344855235E4292B075B769CAA03393"/>
          </w:pPr>
          <w:r w:rsidRPr="00DD419A">
            <w:rPr>
              <w:rStyle w:val="PlaceholderText"/>
            </w:rPr>
            <w:t>Click or tap here to enter text.</w:t>
          </w:r>
        </w:p>
      </w:docPartBody>
    </w:docPart>
    <w:docPart>
      <w:docPartPr>
        <w:name w:val="8718E5FB15164247A5887309319B2569"/>
        <w:category>
          <w:name w:val="General"/>
          <w:gallery w:val="placeholder"/>
        </w:category>
        <w:types>
          <w:type w:val="bbPlcHdr"/>
        </w:types>
        <w:behaviors>
          <w:behavior w:val="content"/>
        </w:behaviors>
        <w:guid w:val="{C4E4D1D5-5498-4372-836C-1B8F684FC1B8}"/>
      </w:docPartPr>
      <w:docPartBody>
        <w:p w:rsidR="00912F70" w:rsidRDefault="002E1BF6" w:rsidP="002E1BF6">
          <w:pPr>
            <w:pStyle w:val="8718E5FB15164247A5887309319B2569"/>
          </w:pPr>
          <w:r w:rsidRPr="00177278">
            <w:rPr>
              <w:rStyle w:val="PlaceholderText"/>
            </w:rPr>
            <w:t>Click or tap here to enter text.</w:t>
          </w:r>
        </w:p>
      </w:docPartBody>
    </w:docPart>
    <w:docPart>
      <w:docPartPr>
        <w:name w:val="0BCAA41CF62A4BC48C02322959644058"/>
        <w:category>
          <w:name w:val="General"/>
          <w:gallery w:val="placeholder"/>
        </w:category>
        <w:types>
          <w:type w:val="bbPlcHdr"/>
        </w:types>
        <w:behaviors>
          <w:behavior w:val="content"/>
        </w:behaviors>
        <w:guid w:val="{932415AB-E58B-430D-A80A-580C4C0CA465}"/>
      </w:docPartPr>
      <w:docPartBody>
        <w:p w:rsidR="00912F70" w:rsidRDefault="002E1BF6" w:rsidP="002E1BF6">
          <w:pPr>
            <w:pStyle w:val="0BCAA41CF62A4BC48C02322959644058"/>
          </w:pPr>
          <w:r w:rsidRPr="00CF1D2D">
            <w:rPr>
              <w:rStyle w:val="PlaceholderText"/>
            </w:rPr>
            <w:t>Click or tap here to enter text.</w:t>
          </w:r>
        </w:p>
      </w:docPartBody>
    </w:docPart>
    <w:docPart>
      <w:docPartPr>
        <w:name w:val="81CBF39B0F45416C8F9D859766A48277"/>
        <w:category>
          <w:name w:val="General"/>
          <w:gallery w:val="placeholder"/>
        </w:category>
        <w:types>
          <w:type w:val="bbPlcHdr"/>
        </w:types>
        <w:behaviors>
          <w:behavior w:val="content"/>
        </w:behaviors>
        <w:guid w:val="{2EBE3E4E-6E22-410E-A1C5-5412E7DA6C8B}"/>
      </w:docPartPr>
      <w:docPartBody>
        <w:p w:rsidR="00912F70" w:rsidRDefault="002E1BF6" w:rsidP="002E1BF6">
          <w:pPr>
            <w:pStyle w:val="81CBF39B0F45416C8F9D859766A48277"/>
          </w:pPr>
          <w:r w:rsidRPr="00177278">
            <w:rPr>
              <w:rStyle w:val="PlaceholderText"/>
            </w:rPr>
            <w:t>Click or tap here to enter text.</w:t>
          </w:r>
        </w:p>
      </w:docPartBody>
    </w:docPart>
    <w:docPart>
      <w:docPartPr>
        <w:name w:val="CEFC275C17314A90ADC351AA2AE8268E"/>
        <w:category>
          <w:name w:val="General"/>
          <w:gallery w:val="placeholder"/>
        </w:category>
        <w:types>
          <w:type w:val="bbPlcHdr"/>
        </w:types>
        <w:behaviors>
          <w:behavior w:val="content"/>
        </w:behaviors>
        <w:guid w:val="{0292CC8F-6CC4-4BD6-934D-532BF028B73D}"/>
      </w:docPartPr>
      <w:docPartBody>
        <w:p w:rsidR="00912F70" w:rsidRDefault="002E1BF6" w:rsidP="002E1BF6">
          <w:pPr>
            <w:pStyle w:val="CEFC275C17314A90ADC351AA2AE8268E"/>
          </w:pPr>
          <w:r w:rsidRPr="00177278">
            <w:rPr>
              <w:rStyle w:val="PlaceholderText"/>
            </w:rPr>
            <w:t>Click or tap here to enter text.</w:t>
          </w:r>
        </w:p>
      </w:docPartBody>
    </w:docPart>
    <w:docPart>
      <w:docPartPr>
        <w:name w:val="0C4DD26A0A7F42468185921BDC009093"/>
        <w:category>
          <w:name w:val="General"/>
          <w:gallery w:val="placeholder"/>
        </w:category>
        <w:types>
          <w:type w:val="bbPlcHdr"/>
        </w:types>
        <w:behaviors>
          <w:behavior w:val="content"/>
        </w:behaviors>
        <w:guid w:val="{4FC869FF-6F04-4AEF-A5B1-3F438813B866}"/>
      </w:docPartPr>
      <w:docPartBody>
        <w:p w:rsidR="00912F70" w:rsidRDefault="002E1BF6" w:rsidP="002E1BF6">
          <w:pPr>
            <w:pStyle w:val="0C4DD26A0A7F42468185921BDC009093"/>
          </w:pPr>
          <w:r w:rsidRPr="00177278">
            <w:rPr>
              <w:rStyle w:val="PlaceholderText"/>
            </w:rPr>
            <w:t>Click or tap here to enter text.</w:t>
          </w:r>
        </w:p>
      </w:docPartBody>
    </w:docPart>
    <w:docPart>
      <w:docPartPr>
        <w:name w:val="654692A50B8D4989AB50D53457F40582"/>
        <w:category>
          <w:name w:val="General"/>
          <w:gallery w:val="placeholder"/>
        </w:category>
        <w:types>
          <w:type w:val="bbPlcHdr"/>
        </w:types>
        <w:behaviors>
          <w:behavior w:val="content"/>
        </w:behaviors>
        <w:guid w:val="{4B6C0483-1DE1-4F07-BE41-A82AD6971CAD}"/>
      </w:docPartPr>
      <w:docPartBody>
        <w:p w:rsidR="00912F70" w:rsidRDefault="002E1BF6" w:rsidP="002E1BF6">
          <w:pPr>
            <w:pStyle w:val="654692A50B8D4989AB50D53457F40582"/>
          </w:pPr>
          <w:r w:rsidRPr="00177278">
            <w:rPr>
              <w:rStyle w:val="PlaceholderText"/>
            </w:rPr>
            <w:t>Click or tap here to enter text.</w:t>
          </w:r>
        </w:p>
      </w:docPartBody>
    </w:docPart>
    <w:docPart>
      <w:docPartPr>
        <w:name w:val="DE23AAF2C5374FA49509F1D0EF1365C4"/>
        <w:category>
          <w:name w:val="General"/>
          <w:gallery w:val="placeholder"/>
        </w:category>
        <w:types>
          <w:type w:val="bbPlcHdr"/>
        </w:types>
        <w:behaviors>
          <w:behavior w:val="content"/>
        </w:behaviors>
        <w:guid w:val="{28C0E69C-47A7-469C-A32E-3FEE260D614A}"/>
      </w:docPartPr>
      <w:docPartBody>
        <w:p w:rsidR="00912F70" w:rsidRDefault="002E1BF6" w:rsidP="002E1BF6">
          <w:pPr>
            <w:pStyle w:val="DE23AAF2C5374FA49509F1D0EF1365C4"/>
          </w:pPr>
          <w:r w:rsidRPr="00177278">
            <w:rPr>
              <w:rStyle w:val="PlaceholderText"/>
            </w:rPr>
            <w:t>Click or tap here to enter text.</w:t>
          </w:r>
        </w:p>
      </w:docPartBody>
    </w:docPart>
    <w:docPart>
      <w:docPartPr>
        <w:name w:val="B1C8617CFC3D4BBEA060DA340278BCE5"/>
        <w:category>
          <w:name w:val="General"/>
          <w:gallery w:val="placeholder"/>
        </w:category>
        <w:types>
          <w:type w:val="bbPlcHdr"/>
        </w:types>
        <w:behaviors>
          <w:behavior w:val="content"/>
        </w:behaviors>
        <w:guid w:val="{948E8951-2959-4539-A71C-0C5B1118C3E0}"/>
      </w:docPartPr>
      <w:docPartBody>
        <w:p w:rsidR="00912F70" w:rsidRDefault="002E1BF6" w:rsidP="002E1BF6">
          <w:pPr>
            <w:pStyle w:val="B1C8617CFC3D4BBEA060DA340278BCE5"/>
          </w:pPr>
          <w:r w:rsidRPr="00F16BFE">
            <w:rPr>
              <w:rStyle w:val="PlaceholderText"/>
            </w:rPr>
            <w:t>Click or tap here to enter text.</w:t>
          </w:r>
        </w:p>
      </w:docPartBody>
    </w:docPart>
    <w:docPart>
      <w:docPartPr>
        <w:name w:val="1703E6203B7841ED9C7EB199F84FE7A0"/>
        <w:category>
          <w:name w:val="General"/>
          <w:gallery w:val="placeholder"/>
        </w:category>
        <w:types>
          <w:type w:val="bbPlcHdr"/>
        </w:types>
        <w:behaviors>
          <w:behavior w:val="content"/>
        </w:behaviors>
        <w:guid w:val="{259B0ADE-E02A-45C6-9132-3E4206E5087D}"/>
      </w:docPartPr>
      <w:docPartBody>
        <w:p w:rsidR="00912F70" w:rsidRDefault="002E1BF6" w:rsidP="002E1BF6">
          <w:pPr>
            <w:pStyle w:val="1703E6203B7841ED9C7EB199F84FE7A0"/>
          </w:pPr>
          <w:r w:rsidRPr="00F16BFE">
            <w:rPr>
              <w:rStyle w:val="PlaceholderText"/>
            </w:rPr>
            <w:t>Click or tap here to enter text.</w:t>
          </w:r>
        </w:p>
      </w:docPartBody>
    </w:docPart>
    <w:docPart>
      <w:docPartPr>
        <w:name w:val="5F4C410D901347C3A16C67B48A595378"/>
        <w:category>
          <w:name w:val="General"/>
          <w:gallery w:val="placeholder"/>
        </w:category>
        <w:types>
          <w:type w:val="bbPlcHdr"/>
        </w:types>
        <w:behaviors>
          <w:behavior w:val="content"/>
        </w:behaviors>
        <w:guid w:val="{9651FA6A-427E-4979-9A63-7AF18F551B0C}"/>
      </w:docPartPr>
      <w:docPartBody>
        <w:p w:rsidR="00912F70" w:rsidRDefault="002E1BF6" w:rsidP="002E1BF6">
          <w:pPr>
            <w:pStyle w:val="5F4C410D901347C3A16C67B48A595378"/>
          </w:pPr>
          <w:r w:rsidRPr="00F16BFE">
            <w:rPr>
              <w:rStyle w:val="PlaceholderText"/>
            </w:rPr>
            <w:t>Click or tap here to enter text.</w:t>
          </w:r>
        </w:p>
      </w:docPartBody>
    </w:docPart>
    <w:docPart>
      <w:docPartPr>
        <w:name w:val="07AA05CE7AAB45D1B1BB58EA4F3E24F7"/>
        <w:category>
          <w:name w:val="General"/>
          <w:gallery w:val="placeholder"/>
        </w:category>
        <w:types>
          <w:type w:val="bbPlcHdr"/>
        </w:types>
        <w:behaviors>
          <w:behavior w:val="content"/>
        </w:behaviors>
        <w:guid w:val="{75A7114E-9EFA-4B6A-88B8-66D4D10BED1A}"/>
      </w:docPartPr>
      <w:docPartBody>
        <w:p w:rsidR="00912F70" w:rsidRDefault="002E1BF6" w:rsidP="002E1BF6">
          <w:pPr>
            <w:pStyle w:val="07AA05CE7AAB45D1B1BB58EA4F3E24F7"/>
          </w:pPr>
          <w:r w:rsidRPr="00F16BFE">
            <w:rPr>
              <w:rStyle w:val="PlaceholderText"/>
            </w:rPr>
            <w:t>Click or tap here to enter text.</w:t>
          </w:r>
        </w:p>
      </w:docPartBody>
    </w:docPart>
    <w:docPart>
      <w:docPartPr>
        <w:name w:val="93485DDCDDD84390A37FAAA16FB06D67"/>
        <w:category>
          <w:name w:val="General"/>
          <w:gallery w:val="placeholder"/>
        </w:category>
        <w:types>
          <w:type w:val="bbPlcHdr"/>
        </w:types>
        <w:behaviors>
          <w:behavior w:val="content"/>
        </w:behaviors>
        <w:guid w:val="{F4FC2604-067D-41A0-B03C-F62C04F92844}"/>
      </w:docPartPr>
      <w:docPartBody>
        <w:p w:rsidR="00912F70" w:rsidRDefault="002E1BF6" w:rsidP="002E1BF6">
          <w:pPr>
            <w:pStyle w:val="93485DDCDDD84390A37FAAA16FB06D67"/>
          </w:pPr>
          <w:r w:rsidRPr="00DD419A">
            <w:rPr>
              <w:rStyle w:val="PlaceholderText"/>
            </w:rPr>
            <w:t>Click or tap here to enter text.</w:t>
          </w:r>
        </w:p>
      </w:docPartBody>
    </w:docPart>
    <w:docPart>
      <w:docPartPr>
        <w:name w:val="8E59515890FE460A84F4F6731BC940A0"/>
        <w:category>
          <w:name w:val="General"/>
          <w:gallery w:val="placeholder"/>
        </w:category>
        <w:types>
          <w:type w:val="bbPlcHdr"/>
        </w:types>
        <w:behaviors>
          <w:behavior w:val="content"/>
        </w:behaviors>
        <w:guid w:val="{C952CC43-5AB9-429C-8C90-DF6CC69BDF1A}"/>
      </w:docPartPr>
      <w:docPartBody>
        <w:p w:rsidR="00912F70" w:rsidRDefault="002E1BF6" w:rsidP="002E1BF6">
          <w:pPr>
            <w:pStyle w:val="8E59515890FE460A84F4F6731BC940A0"/>
          </w:pPr>
          <w:r w:rsidRPr="001E7C3C">
            <w:rPr>
              <w:rStyle w:val="PlaceholderText"/>
            </w:rPr>
            <w:t>Click or tap here to enter text.</w:t>
          </w:r>
        </w:p>
      </w:docPartBody>
    </w:docPart>
    <w:docPart>
      <w:docPartPr>
        <w:name w:val="69AA5895340B47ECB3CCC4870648E1FA"/>
        <w:category>
          <w:name w:val="General"/>
          <w:gallery w:val="placeholder"/>
        </w:category>
        <w:types>
          <w:type w:val="bbPlcHdr"/>
        </w:types>
        <w:behaviors>
          <w:behavior w:val="content"/>
        </w:behaviors>
        <w:guid w:val="{56687873-953C-4262-AD56-E03CA84A0B51}"/>
      </w:docPartPr>
      <w:docPartBody>
        <w:p w:rsidR="00912F70" w:rsidRDefault="002E1BF6" w:rsidP="002E1BF6">
          <w:pPr>
            <w:pStyle w:val="69AA5895340B47ECB3CCC4870648E1FA"/>
          </w:pPr>
          <w:r w:rsidRPr="001E7C3C">
            <w:rPr>
              <w:rStyle w:val="PlaceholderText"/>
            </w:rPr>
            <w:t>Click or tap here to enter text.</w:t>
          </w:r>
        </w:p>
      </w:docPartBody>
    </w:docPart>
    <w:docPart>
      <w:docPartPr>
        <w:name w:val="38223B4B2A8543ED9238D65FFD9B8C10"/>
        <w:category>
          <w:name w:val="General"/>
          <w:gallery w:val="placeholder"/>
        </w:category>
        <w:types>
          <w:type w:val="bbPlcHdr"/>
        </w:types>
        <w:behaviors>
          <w:behavior w:val="content"/>
        </w:behaviors>
        <w:guid w:val="{C40ACFEF-250D-432A-9453-258875384872}"/>
      </w:docPartPr>
      <w:docPartBody>
        <w:p w:rsidR="00912F70" w:rsidRDefault="002E1BF6" w:rsidP="002E1BF6">
          <w:pPr>
            <w:pStyle w:val="38223B4B2A8543ED9238D65FFD9B8C10"/>
          </w:pPr>
          <w:r w:rsidRPr="00CF1D2D">
            <w:rPr>
              <w:rStyle w:val="PlaceholderText"/>
            </w:rPr>
            <w:t>Click or tap here to enter text.</w:t>
          </w:r>
        </w:p>
      </w:docPartBody>
    </w:docPart>
    <w:docPart>
      <w:docPartPr>
        <w:name w:val="0E0B8C37B9C24FD5903B91ABBF295515"/>
        <w:category>
          <w:name w:val="General"/>
          <w:gallery w:val="placeholder"/>
        </w:category>
        <w:types>
          <w:type w:val="bbPlcHdr"/>
        </w:types>
        <w:behaviors>
          <w:behavior w:val="content"/>
        </w:behaviors>
        <w:guid w:val="{D1EEFDBC-FA59-48E7-BEB1-EF2FB470C37D}"/>
      </w:docPartPr>
      <w:docPartBody>
        <w:p w:rsidR="00912F70" w:rsidRDefault="002E1BF6" w:rsidP="002E1BF6">
          <w:pPr>
            <w:pStyle w:val="0E0B8C37B9C24FD5903B91ABBF295515"/>
          </w:pPr>
          <w:r w:rsidRPr="00CF1D2D">
            <w:rPr>
              <w:rStyle w:val="PlaceholderText"/>
            </w:rPr>
            <w:t>Click or tap here to enter text.</w:t>
          </w:r>
        </w:p>
      </w:docPartBody>
    </w:docPart>
    <w:docPart>
      <w:docPartPr>
        <w:name w:val="9F336D5B24884FC08EE1805C8AF8B1C4"/>
        <w:category>
          <w:name w:val="General"/>
          <w:gallery w:val="placeholder"/>
        </w:category>
        <w:types>
          <w:type w:val="bbPlcHdr"/>
        </w:types>
        <w:behaviors>
          <w:behavior w:val="content"/>
        </w:behaviors>
        <w:guid w:val="{04CB8BEC-B16A-408E-B7B1-BB2AB0FC9011}"/>
      </w:docPartPr>
      <w:docPartBody>
        <w:p w:rsidR="00912F70" w:rsidRDefault="002E1BF6" w:rsidP="002E1BF6">
          <w:pPr>
            <w:pStyle w:val="9F336D5B24884FC08EE1805C8AF8B1C4"/>
          </w:pPr>
          <w:r w:rsidRPr="00CF1D2D">
            <w:rPr>
              <w:rStyle w:val="PlaceholderText"/>
            </w:rPr>
            <w:t>Click or tap here to enter text.</w:t>
          </w:r>
        </w:p>
      </w:docPartBody>
    </w:docPart>
    <w:docPart>
      <w:docPartPr>
        <w:name w:val="4A44370264C049A3B7C5194F9500479B"/>
        <w:category>
          <w:name w:val="General"/>
          <w:gallery w:val="placeholder"/>
        </w:category>
        <w:types>
          <w:type w:val="bbPlcHdr"/>
        </w:types>
        <w:behaviors>
          <w:behavior w:val="content"/>
        </w:behaviors>
        <w:guid w:val="{D459DC4A-7FC1-4173-8A99-B65FBFEE4BB3}"/>
      </w:docPartPr>
      <w:docPartBody>
        <w:p w:rsidR="00912F70" w:rsidRDefault="002E1BF6" w:rsidP="002E1BF6">
          <w:pPr>
            <w:pStyle w:val="4A44370264C049A3B7C5194F9500479B"/>
          </w:pPr>
          <w:r w:rsidRPr="001E7C3C">
            <w:rPr>
              <w:rStyle w:val="PlaceholderText"/>
            </w:rPr>
            <w:t>Click or tap here to enter text.</w:t>
          </w:r>
        </w:p>
      </w:docPartBody>
    </w:docPart>
    <w:docPart>
      <w:docPartPr>
        <w:name w:val="1EB7ADEC620747E8B8A7F4D93B13329B"/>
        <w:category>
          <w:name w:val="General"/>
          <w:gallery w:val="placeholder"/>
        </w:category>
        <w:types>
          <w:type w:val="bbPlcHdr"/>
        </w:types>
        <w:behaviors>
          <w:behavior w:val="content"/>
        </w:behaviors>
        <w:guid w:val="{DBE15CA8-0713-4A14-A073-95DEA5834C20}"/>
      </w:docPartPr>
      <w:docPartBody>
        <w:p w:rsidR="00912F70" w:rsidRDefault="002E1BF6" w:rsidP="002E1BF6">
          <w:pPr>
            <w:pStyle w:val="1EB7ADEC620747E8B8A7F4D93B13329B"/>
          </w:pPr>
          <w:r w:rsidRPr="00CF1D2D">
            <w:rPr>
              <w:rStyle w:val="PlaceholderText"/>
            </w:rPr>
            <w:t>Click or tap here to enter text.</w:t>
          </w:r>
        </w:p>
      </w:docPartBody>
    </w:docPart>
    <w:docPart>
      <w:docPartPr>
        <w:name w:val="ECC1D92ED40040009AE469B451080672"/>
        <w:category>
          <w:name w:val="General"/>
          <w:gallery w:val="placeholder"/>
        </w:category>
        <w:types>
          <w:type w:val="bbPlcHdr"/>
        </w:types>
        <w:behaviors>
          <w:behavior w:val="content"/>
        </w:behaviors>
        <w:guid w:val="{BBD5028D-8231-49B8-A34E-BA9A53EEC249}"/>
      </w:docPartPr>
      <w:docPartBody>
        <w:p w:rsidR="00912F70" w:rsidRDefault="002E1BF6" w:rsidP="002E1BF6">
          <w:pPr>
            <w:pStyle w:val="ECC1D92ED40040009AE469B451080672"/>
          </w:pPr>
          <w:r w:rsidRPr="001E7C3C">
            <w:rPr>
              <w:rStyle w:val="PlaceholderText"/>
            </w:rPr>
            <w:t>Click or tap here to enter text.</w:t>
          </w:r>
        </w:p>
      </w:docPartBody>
    </w:docPart>
    <w:docPart>
      <w:docPartPr>
        <w:name w:val="72B12BB3DD62401C8B9CD0484C0E48A9"/>
        <w:category>
          <w:name w:val="General"/>
          <w:gallery w:val="placeholder"/>
        </w:category>
        <w:types>
          <w:type w:val="bbPlcHdr"/>
        </w:types>
        <w:behaviors>
          <w:behavior w:val="content"/>
        </w:behaviors>
        <w:guid w:val="{73FFA411-ADF3-4428-90B4-61FCB3392F26}"/>
      </w:docPartPr>
      <w:docPartBody>
        <w:p w:rsidR="00912F70" w:rsidRDefault="002E1BF6" w:rsidP="002E1BF6">
          <w:pPr>
            <w:pStyle w:val="72B12BB3DD62401C8B9CD0484C0E48A9"/>
          </w:pPr>
          <w:r w:rsidRPr="00CF1D2D">
            <w:rPr>
              <w:rStyle w:val="PlaceholderText"/>
            </w:rPr>
            <w:t>Click or tap here to enter text.</w:t>
          </w:r>
        </w:p>
      </w:docPartBody>
    </w:docPart>
    <w:docPart>
      <w:docPartPr>
        <w:name w:val="721076E3981440DE85E230A7998FB39E"/>
        <w:category>
          <w:name w:val="General"/>
          <w:gallery w:val="placeholder"/>
        </w:category>
        <w:types>
          <w:type w:val="bbPlcHdr"/>
        </w:types>
        <w:behaviors>
          <w:behavior w:val="content"/>
        </w:behaviors>
        <w:guid w:val="{082179A4-E5C5-4AF8-8E20-370C9A14A042}"/>
      </w:docPartPr>
      <w:docPartBody>
        <w:p w:rsidR="00912F70" w:rsidRDefault="002E1BF6" w:rsidP="002E1BF6">
          <w:pPr>
            <w:pStyle w:val="721076E3981440DE85E230A7998FB39E"/>
          </w:pPr>
          <w:r w:rsidRPr="00CF1D2D">
            <w:rPr>
              <w:rStyle w:val="PlaceholderText"/>
            </w:rPr>
            <w:t>Click or tap here to enter text.</w:t>
          </w:r>
        </w:p>
      </w:docPartBody>
    </w:docPart>
    <w:docPart>
      <w:docPartPr>
        <w:name w:val="81D7AD92CA66479D9943B44E9E05F4F0"/>
        <w:category>
          <w:name w:val="General"/>
          <w:gallery w:val="placeholder"/>
        </w:category>
        <w:types>
          <w:type w:val="bbPlcHdr"/>
        </w:types>
        <w:behaviors>
          <w:behavior w:val="content"/>
        </w:behaviors>
        <w:guid w:val="{0E0B99A4-B237-43B1-BBC1-4F809221AFCC}"/>
      </w:docPartPr>
      <w:docPartBody>
        <w:p w:rsidR="00912F70" w:rsidRDefault="002E1BF6" w:rsidP="002E1BF6">
          <w:pPr>
            <w:pStyle w:val="81D7AD92CA66479D9943B44E9E05F4F0"/>
          </w:pPr>
          <w:r w:rsidRPr="00CF1D2D">
            <w:rPr>
              <w:rStyle w:val="PlaceholderText"/>
            </w:rPr>
            <w:t>Click or tap here to enter text.</w:t>
          </w:r>
        </w:p>
      </w:docPartBody>
    </w:docPart>
    <w:docPart>
      <w:docPartPr>
        <w:name w:val="9B78A1B0A58049E79CB978A6D1A47AB2"/>
        <w:category>
          <w:name w:val="General"/>
          <w:gallery w:val="placeholder"/>
        </w:category>
        <w:types>
          <w:type w:val="bbPlcHdr"/>
        </w:types>
        <w:behaviors>
          <w:behavior w:val="content"/>
        </w:behaviors>
        <w:guid w:val="{5CE0517A-AE72-48F6-B6C2-C04300C3B0DF}"/>
      </w:docPartPr>
      <w:docPartBody>
        <w:p w:rsidR="00912F70" w:rsidRDefault="002E1BF6" w:rsidP="002E1BF6">
          <w:pPr>
            <w:pStyle w:val="9B78A1B0A58049E79CB978A6D1A47AB2"/>
          </w:pPr>
          <w:r w:rsidRPr="00CF1D2D">
            <w:rPr>
              <w:rStyle w:val="PlaceholderText"/>
            </w:rPr>
            <w:t>Click or tap here to enter text.</w:t>
          </w:r>
        </w:p>
      </w:docPartBody>
    </w:docPart>
    <w:docPart>
      <w:docPartPr>
        <w:name w:val="FAE127A155FA4F6D8F0002FBACD0A23E"/>
        <w:category>
          <w:name w:val="General"/>
          <w:gallery w:val="placeholder"/>
        </w:category>
        <w:types>
          <w:type w:val="bbPlcHdr"/>
        </w:types>
        <w:behaviors>
          <w:behavior w:val="content"/>
        </w:behaviors>
        <w:guid w:val="{59EF3234-0929-4625-B140-D51E54ED8616}"/>
      </w:docPartPr>
      <w:docPartBody>
        <w:p w:rsidR="00912F70" w:rsidRDefault="002E1BF6" w:rsidP="002E1BF6">
          <w:pPr>
            <w:pStyle w:val="FAE127A155FA4F6D8F0002FBACD0A23E"/>
          </w:pPr>
          <w:r w:rsidRPr="00CF1D2D">
            <w:rPr>
              <w:rStyle w:val="PlaceholderText"/>
            </w:rPr>
            <w:t>Click or tap here to enter text.</w:t>
          </w:r>
        </w:p>
      </w:docPartBody>
    </w:docPart>
    <w:docPart>
      <w:docPartPr>
        <w:name w:val="B57781914B0B4CD8A5FB21C59DA03E85"/>
        <w:category>
          <w:name w:val="General"/>
          <w:gallery w:val="placeholder"/>
        </w:category>
        <w:types>
          <w:type w:val="bbPlcHdr"/>
        </w:types>
        <w:behaviors>
          <w:behavior w:val="content"/>
        </w:behaviors>
        <w:guid w:val="{8B7E3DFE-3B91-40B2-84FA-7642200C880B}"/>
      </w:docPartPr>
      <w:docPartBody>
        <w:p w:rsidR="00912F70" w:rsidRDefault="002E1BF6" w:rsidP="002E1BF6">
          <w:pPr>
            <w:pStyle w:val="B57781914B0B4CD8A5FB21C59DA03E85"/>
          </w:pPr>
          <w:r w:rsidRPr="00CF1D2D">
            <w:rPr>
              <w:rStyle w:val="PlaceholderText"/>
            </w:rPr>
            <w:t>Click or tap here to enter text.</w:t>
          </w:r>
        </w:p>
      </w:docPartBody>
    </w:docPart>
    <w:docPart>
      <w:docPartPr>
        <w:name w:val="59BA04AB3CDF450EBD3A954FC563992C"/>
        <w:category>
          <w:name w:val="General"/>
          <w:gallery w:val="placeholder"/>
        </w:category>
        <w:types>
          <w:type w:val="bbPlcHdr"/>
        </w:types>
        <w:behaviors>
          <w:behavior w:val="content"/>
        </w:behaviors>
        <w:guid w:val="{EB40C8FC-4E83-4DB4-9B59-16316A2F5BE4}"/>
      </w:docPartPr>
      <w:docPartBody>
        <w:p w:rsidR="00912F70" w:rsidRDefault="002E1BF6" w:rsidP="002E1BF6">
          <w:pPr>
            <w:pStyle w:val="59BA04AB3CDF450EBD3A954FC563992C"/>
          </w:pPr>
          <w:r w:rsidRPr="00CF1D2D">
            <w:rPr>
              <w:rStyle w:val="PlaceholderText"/>
            </w:rPr>
            <w:t>Click or tap here to enter text.</w:t>
          </w:r>
        </w:p>
      </w:docPartBody>
    </w:docPart>
    <w:docPart>
      <w:docPartPr>
        <w:name w:val="6DC1F00A87A14D35AB45924398B00261"/>
        <w:category>
          <w:name w:val="General"/>
          <w:gallery w:val="placeholder"/>
        </w:category>
        <w:types>
          <w:type w:val="bbPlcHdr"/>
        </w:types>
        <w:behaviors>
          <w:behavior w:val="content"/>
        </w:behaviors>
        <w:guid w:val="{FDDE0CBB-ACFC-4397-8491-8EB2330D5B0B}"/>
      </w:docPartPr>
      <w:docPartBody>
        <w:p w:rsidR="00912F70" w:rsidRDefault="002E1BF6" w:rsidP="002E1BF6">
          <w:pPr>
            <w:pStyle w:val="6DC1F00A87A14D35AB45924398B00261"/>
          </w:pPr>
          <w:r w:rsidRPr="00CF1D2D">
            <w:rPr>
              <w:rStyle w:val="PlaceholderText"/>
            </w:rPr>
            <w:t>Click or tap here to enter text.</w:t>
          </w:r>
        </w:p>
      </w:docPartBody>
    </w:docPart>
    <w:docPart>
      <w:docPartPr>
        <w:name w:val="610EB411EB634FD582E313207A5790D7"/>
        <w:category>
          <w:name w:val="General"/>
          <w:gallery w:val="placeholder"/>
        </w:category>
        <w:types>
          <w:type w:val="bbPlcHdr"/>
        </w:types>
        <w:behaviors>
          <w:behavior w:val="content"/>
        </w:behaviors>
        <w:guid w:val="{A3B0B574-B3DC-4122-863F-308D6236C154}"/>
      </w:docPartPr>
      <w:docPartBody>
        <w:p w:rsidR="00912F70" w:rsidRDefault="002E1BF6" w:rsidP="002E1BF6">
          <w:pPr>
            <w:pStyle w:val="610EB411EB634FD582E313207A5790D7"/>
          </w:pPr>
          <w:r w:rsidRPr="00CF1D2D">
            <w:rPr>
              <w:rStyle w:val="PlaceholderText"/>
            </w:rPr>
            <w:t>Click or tap here to enter text.</w:t>
          </w:r>
        </w:p>
      </w:docPartBody>
    </w:docPart>
    <w:docPart>
      <w:docPartPr>
        <w:name w:val="CEAAAA01D05B421089669952377AEF44"/>
        <w:category>
          <w:name w:val="General"/>
          <w:gallery w:val="placeholder"/>
        </w:category>
        <w:types>
          <w:type w:val="bbPlcHdr"/>
        </w:types>
        <w:behaviors>
          <w:behavior w:val="content"/>
        </w:behaviors>
        <w:guid w:val="{8451FB3D-2895-404F-A311-9733153B62A7}"/>
      </w:docPartPr>
      <w:docPartBody>
        <w:p w:rsidR="00912F70" w:rsidRDefault="002E1BF6" w:rsidP="002E1BF6">
          <w:pPr>
            <w:pStyle w:val="CEAAAA01D05B421089669952377AEF44"/>
          </w:pPr>
          <w:r w:rsidRPr="001E7C3C">
            <w:rPr>
              <w:rStyle w:val="PlaceholderText"/>
            </w:rPr>
            <w:t>Click or tap here to enter text.</w:t>
          </w:r>
        </w:p>
      </w:docPartBody>
    </w:docPart>
    <w:docPart>
      <w:docPartPr>
        <w:name w:val="4A16213DB60B417FBB61C2F18214D2AF"/>
        <w:category>
          <w:name w:val="General"/>
          <w:gallery w:val="placeholder"/>
        </w:category>
        <w:types>
          <w:type w:val="bbPlcHdr"/>
        </w:types>
        <w:behaviors>
          <w:behavior w:val="content"/>
        </w:behaviors>
        <w:guid w:val="{7CE1022D-DA9A-4767-96F7-BC829A8F2A56}"/>
      </w:docPartPr>
      <w:docPartBody>
        <w:p w:rsidR="00912F70" w:rsidRDefault="002E1BF6" w:rsidP="002E1BF6">
          <w:pPr>
            <w:pStyle w:val="4A16213DB60B417FBB61C2F18214D2AF"/>
          </w:pPr>
          <w:r w:rsidRPr="001E7C3C">
            <w:rPr>
              <w:rStyle w:val="PlaceholderText"/>
            </w:rPr>
            <w:t>Click or tap here to enter text.</w:t>
          </w:r>
        </w:p>
      </w:docPartBody>
    </w:docPart>
    <w:docPart>
      <w:docPartPr>
        <w:name w:val="7ABD3D7CC06C4047AC84EB89D1C3952C"/>
        <w:category>
          <w:name w:val="General"/>
          <w:gallery w:val="placeholder"/>
        </w:category>
        <w:types>
          <w:type w:val="bbPlcHdr"/>
        </w:types>
        <w:behaviors>
          <w:behavior w:val="content"/>
        </w:behaviors>
        <w:guid w:val="{312C9A71-277F-4122-9AAF-9EB13E100961}"/>
      </w:docPartPr>
      <w:docPartBody>
        <w:p w:rsidR="00912F70" w:rsidRDefault="002E1BF6" w:rsidP="002E1BF6">
          <w:pPr>
            <w:pStyle w:val="7ABD3D7CC06C4047AC84EB89D1C3952C"/>
          </w:pPr>
          <w:r w:rsidRPr="001E7C3C">
            <w:rPr>
              <w:rStyle w:val="PlaceholderText"/>
            </w:rPr>
            <w:t>Click or tap here to enter text.</w:t>
          </w:r>
        </w:p>
      </w:docPartBody>
    </w:docPart>
    <w:docPart>
      <w:docPartPr>
        <w:name w:val="345ABC4C05A04C4384A983F0C719DB9C"/>
        <w:category>
          <w:name w:val="General"/>
          <w:gallery w:val="placeholder"/>
        </w:category>
        <w:types>
          <w:type w:val="bbPlcHdr"/>
        </w:types>
        <w:behaviors>
          <w:behavior w:val="content"/>
        </w:behaviors>
        <w:guid w:val="{F5CA5FED-8C0C-4CBA-A68C-08BA01AA32BD}"/>
      </w:docPartPr>
      <w:docPartBody>
        <w:p w:rsidR="00912F70" w:rsidRDefault="002E1BF6" w:rsidP="002E1BF6">
          <w:pPr>
            <w:pStyle w:val="345ABC4C05A04C4384A983F0C719DB9C"/>
          </w:pPr>
          <w:r w:rsidRPr="001E7C3C">
            <w:rPr>
              <w:rStyle w:val="PlaceholderText"/>
            </w:rPr>
            <w:t>Click or tap here to enter text.</w:t>
          </w:r>
        </w:p>
      </w:docPartBody>
    </w:docPart>
    <w:docPart>
      <w:docPartPr>
        <w:name w:val="E89775460A774F7DBA23B52BCE4564E9"/>
        <w:category>
          <w:name w:val="General"/>
          <w:gallery w:val="placeholder"/>
        </w:category>
        <w:types>
          <w:type w:val="bbPlcHdr"/>
        </w:types>
        <w:behaviors>
          <w:behavior w:val="content"/>
        </w:behaviors>
        <w:guid w:val="{A9BEFBAD-B6FA-4590-A19E-72EF09D9654F}"/>
      </w:docPartPr>
      <w:docPartBody>
        <w:p w:rsidR="00912F70" w:rsidRDefault="002E1BF6" w:rsidP="002E1BF6">
          <w:pPr>
            <w:pStyle w:val="E89775460A774F7DBA23B52BCE4564E9"/>
          </w:pPr>
          <w:r w:rsidRPr="001E7C3C">
            <w:rPr>
              <w:rStyle w:val="PlaceholderText"/>
            </w:rPr>
            <w:t>Click or tap here to enter text.</w:t>
          </w:r>
        </w:p>
      </w:docPartBody>
    </w:docPart>
    <w:docPart>
      <w:docPartPr>
        <w:name w:val="E46DCF7B53144463A95B371E6D96ED59"/>
        <w:category>
          <w:name w:val="General"/>
          <w:gallery w:val="placeholder"/>
        </w:category>
        <w:types>
          <w:type w:val="bbPlcHdr"/>
        </w:types>
        <w:behaviors>
          <w:behavior w:val="content"/>
        </w:behaviors>
        <w:guid w:val="{C494DAE1-FFD0-476F-B735-303AF7FF0F7B}"/>
      </w:docPartPr>
      <w:docPartBody>
        <w:p w:rsidR="00912F70" w:rsidRDefault="002E1BF6" w:rsidP="002E1BF6">
          <w:pPr>
            <w:pStyle w:val="E46DCF7B53144463A95B371E6D96ED59"/>
          </w:pPr>
          <w:r w:rsidRPr="001E7C3C">
            <w:rPr>
              <w:rStyle w:val="PlaceholderText"/>
            </w:rPr>
            <w:t>Click or tap here to enter text.</w:t>
          </w:r>
        </w:p>
      </w:docPartBody>
    </w:docPart>
    <w:docPart>
      <w:docPartPr>
        <w:name w:val="D1E05A4A794B4EE8AE0B5C4EE32F1E8F"/>
        <w:category>
          <w:name w:val="General"/>
          <w:gallery w:val="placeholder"/>
        </w:category>
        <w:types>
          <w:type w:val="bbPlcHdr"/>
        </w:types>
        <w:behaviors>
          <w:behavior w:val="content"/>
        </w:behaviors>
        <w:guid w:val="{9B5A2515-FC63-47DB-9103-DAB00D9A0ADC}"/>
      </w:docPartPr>
      <w:docPartBody>
        <w:p w:rsidR="00912F70" w:rsidRDefault="002E1BF6" w:rsidP="002E1BF6">
          <w:pPr>
            <w:pStyle w:val="D1E05A4A794B4EE8AE0B5C4EE32F1E8F"/>
          </w:pPr>
          <w:r w:rsidRPr="001E7C3C">
            <w:rPr>
              <w:rStyle w:val="PlaceholderText"/>
            </w:rPr>
            <w:t>Click or tap here to enter text.</w:t>
          </w:r>
        </w:p>
      </w:docPartBody>
    </w:docPart>
    <w:docPart>
      <w:docPartPr>
        <w:name w:val="ADF859263B674A21B94721E6895F2993"/>
        <w:category>
          <w:name w:val="General"/>
          <w:gallery w:val="placeholder"/>
        </w:category>
        <w:types>
          <w:type w:val="bbPlcHdr"/>
        </w:types>
        <w:behaviors>
          <w:behavior w:val="content"/>
        </w:behaviors>
        <w:guid w:val="{C3B418AD-1FDD-444E-97A0-2EDA67C9ADFF}"/>
      </w:docPartPr>
      <w:docPartBody>
        <w:p w:rsidR="00912F70" w:rsidRDefault="002E1BF6" w:rsidP="002E1BF6">
          <w:pPr>
            <w:pStyle w:val="ADF859263B674A21B94721E6895F2993"/>
          </w:pPr>
          <w:r w:rsidRPr="00F16BFE">
            <w:rPr>
              <w:rStyle w:val="PlaceholderText"/>
            </w:rPr>
            <w:t>Click or tap here to enter text.</w:t>
          </w:r>
        </w:p>
      </w:docPartBody>
    </w:docPart>
    <w:docPart>
      <w:docPartPr>
        <w:name w:val="FBD59FA121914D428DF914360DE78D0A"/>
        <w:category>
          <w:name w:val="General"/>
          <w:gallery w:val="placeholder"/>
        </w:category>
        <w:types>
          <w:type w:val="bbPlcHdr"/>
        </w:types>
        <w:behaviors>
          <w:behavior w:val="content"/>
        </w:behaviors>
        <w:guid w:val="{F8786BA8-81E7-488C-9EED-676D289E3A4F}"/>
      </w:docPartPr>
      <w:docPartBody>
        <w:p w:rsidR="00912F70" w:rsidRDefault="002E1BF6" w:rsidP="002E1BF6">
          <w:pPr>
            <w:pStyle w:val="FBD59FA121914D428DF914360DE78D0A"/>
          </w:pPr>
          <w:r w:rsidRPr="001E7C3C">
            <w:rPr>
              <w:rStyle w:val="PlaceholderText"/>
            </w:rPr>
            <w:t>Click or tap here to enter text.</w:t>
          </w:r>
        </w:p>
      </w:docPartBody>
    </w:docPart>
    <w:docPart>
      <w:docPartPr>
        <w:name w:val="84943662176C422E83140CDF7E262D10"/>
        <w:category>
          <w:name w:val="General"/>
          <w:gallery w:val="placeholder"/>
        </w:category>
        <w:types>
          <w:type w:val="bbPlcHdr"/>
        </w:types>
        <w:behaviors>
          <w:behavior w:val="content"/>
        </w:behaviors>
        <w:guid w:val="{CABD363A-55FC-4C76-A487-7ECB6265BF8E}"/>
      </w:docPartPr>
      <w:docPartBody>
        <w:p w:rsidR="00912F70" w:rsidRDefault="002E1BF6" w:rsidP="002E1BF6">
          <w:pPr>
            <w:pStyle w:val="84943662176C422E83140CDF7E262D10"/>
          </w:pPr>
          <w:r w:rsidRPr="00177278">
            <w:rPr>
              <w:rStyle w:val="PlaceholderText"/>
            </w:rPr>
            <w:t>Click or tap here to enter text.</w:t>
          </w:r>
        </w:p>
      </w:docPartBody>
    </w:docPart>
    <w:docPart>
      <w:docPartPr>
        <w:name w:val="FC7D176566CA402E9D802B1226F0A2E1"/>
        <w:category>
          <w:name w:val="General"/>
          <w:gallery w:val="placeholder"/>
        </w:category>
        <w:types>
          <w:type w:val="bbPlcHdr"/>
        </w:types>
        <w:behaviors>
          <w:behavior w:val="content"/>
        </w:behaviors>
        <w:guid w:val="{0AADE25A-C30A-4BB6-A939-7ABDF743F4C4}"/>
      </w:docPartPr>
      <w:docPartBody>
        <w:p w:rsidR="00912F70" w:rsidRDefault="002E1BF6" w:rsidP="002E1BF6">
          <w:pPr>
            <w:pStyle w:val="FC7D176566CA402E9D802B1226F0A2E1"/>
          </w:pPr>
          <w:r w:rsidRPr="00177278">
            <w:rPr>
              <w:rStyle w:val="PlaceholderText"/>
            </w:rPr>
            <w:t>Click or tap here to enter text.</w:t>
          </w:r>
        </w:p>
      </w:docPartBody>
    </w:docPart>
    <w:docPart>
      <w:docPartPr>
        <w:name w:val="2CAD563FC7D14E17B6327F9F6BAAFB15"/>
        <w:category>
          <w:name w:val="General"/>
          <w:gallery w:val="placeholder"/>
        </w:category>
        <w:types>
          <w:type w:val="bbPlcHdr"/>
        </w:types>
        <w:behaviors>
          <w:behavior w:val="content"/>
        </w:behaviors>
        <w:guid w:val="{71D3B014-8623-421A-A904-60A194CEB7E6}"/>
      </w:docPartPr>
      <w:docPartBody>
        <w:p w:rsidR="00912F70" w:rsidRDefault="002E1BF6" w:rsidP="002E1BF6">
          <w:pPr>
            <w:pStyle w:val="2CAD563FC7D14E17B6327F9F6BAAFB15"/>
          </w:pPr>
          <w:r w:rsidRPr="00CF1D2D">
            <w:rPr>
              <w:rStyle w:val="PlaceholderText"/>
            </w:rPr>
            <w:t>Click or tap here to enter text.</w:t>
          </w:r>
        </w:p>
      </w:docPartBody>
    </w:docPart>
    <w:docPart>
      <w:docPartPr>
        <w:name w:val="E8153493EF7A4B84BC3B034D74FDA0C4"/>
        <w:category>
          <w:name w:val="General"/>
          <w:gallery w:val="placeholder"/>
        </w:category>
        <w:types>
          <w:type w:val="bbPlcHdr"/>
        </w:types>
        <w:behaviors>
          <w:behavior w:val="content"/>
        </w:behaviors>
        <w:guid w:val="{8FBF94F7-7582-4628-922C-485ECB88F1C8}"/>
      </w:docPartPr>
      <w:docPartBody>
        <w:p w:rsidR="00912F70" w:rsidRDefault="002E1BF6" w:rsidP="002E1BF6">
          <w:pPr>
            <w:pStyle w:val="E8153493EF7A4B84BC3B034D74FDA0C4"/>
          </w:pPr>
          <w:r w:rsidRPr="00177278">
            <w:rPr>
              <w:rStyle w:val="PlaceholderText"/>
            </w:rPr>
            <w:t>Click or tap here to enter text.</w:t>
          </w:r>
        </w:p>
      </w:docPartBody>
    </w:docPart>
    <w:docPart>
      <w:docPartPr>
        <w:name w:val="44B59C69A3284FA1BC297F5FB6E0AD93"/>
        <w:category>
          <w:name w:val="General"/>
          <w:gallery w:val="placeholder"/>
        </w:category>
        <w:types>
          <w:type w:val="bbPlcHdr"/>
        </w:types>
        <w:behaviors>
          <w:behavior w:val="content"/>
        </w:behaviors>
        <w:guid w:val="{2CB4FBBA-FF9B-4EBD-82F7-EE86982D72A6}"/>
      </w:docPartPr>
      <w:docPartBody>
        <w:p w:rsidR="00912F70" w:rsidRDefault="002E1BF6" w:rsidP="002E1BF6">
          <w:pPr>
            <w:pStyle w:val="44B59C69A3284FA1BC297F5FB6E0AD93"/>
          </w:pPr>
          <w:r w:rsidRPr="001E7C3C">
            <w:rPr>
              <w:rStyle w:val="PlaceholderText"/>
            </w:rPr>
            <w:t>Click or tap here to enter text.</w:t>
          </w:r>
        </w:p>
      </w:docPartBody>
    </w:docPart>
    <w:docPart>
      <w:docPartPr>
        <w:name w:val="9247D291C8CE41B68E672BFF301D57B7"/>
        <w:category>
          <w:name w:val="General"/>
          <w:gallery w:val="placeholder"/>
        </w:category>
        <w:types>
          <w:type w:val="bbPlcHdr"/>
        </w:types>
        <w:behaviors>
          <w:behavior w:val="content"/>
        </w:behaviors>
        <w:guid w:val="{E3E75CCC-96E7-4D76-B9C6-C5F031B7C4C9}"/>
      </w:docPartPr>
      <w:docPartBody>
        <w:p w:rsidR="00912F70" w:rsidRDefault="002E1BF6" w:rsidP="002E1BF6">
          <w:pPr>
            <w:pStyle w:val="9247D291C8CE41B68E672BFF301D57B7"/>
          </w:pPr>
          <w:r w:rsidRPr="00177278">
            <w:rPr>
              <w:rStyle w:val="PlaceholderText"/>
            </w:rPr>
            <w:t>Click or tap here to enter text.</w:t>
          </w:r>
        </w:p>
      </w:docPartBody>
    </w:docPart>
    <w:docPart>
      <w:docPartPr>
        <w:name w:val="564899AA0EC64C7EBE0D6CA11D553D06"/>
        <w:category>
          <w:name w:val="General"/>
          <w:gallery w:val="placeholder"/>
        </w:category>
        <w:types>
          <w:type w:val="bbPlcHdr"/>
        </w:types>
        <w:behaviors>
          <w:behavior w:val="content"/>
        </w:behaviors>
        <w:guid w:val="{639D8908-7943-41E1-9AE4-5C8D3826F132}"/>
      </w:docPartPr>
      <w:docPartBody>
        <w:p w:rsidR="00912F70" w:rsidRDefault="002E1BF6" w:rsidP="002E1BF6">
          <w:pPr>
            <w:pStyle w:val="564899AA0EC64C7EBE0D6CA11D553D06"/>
          </w:pPr>
          <w:r w:rsidRPr="00DD419A">
            <w:rPr>
              <w:rStyle w:val="PlaceholderText"/>
            </w:rPr>
            <w:t>Click or tap here to enter text.</w:t>
          </w:r>
        </w:p>
      </w:docPartBody>
    </w:docPart>
    <w:docPart>
      <w:docPartPr>
        <w:name w:val="CA38D173784E45369114AD1DC13AAC1D"/>
        <w:category>
          <w:name w:val="General"/>
          <w:gallery w:val="placeholder"/>
        </w:category>
        <w:types>
          <w:type w:val="bbPlcHdr"/>
        </w:types>
        <w:behaviors>
          <w:behavior w:val="content"/>
        </w:behaviors>
        <w:guid w:val="{EEDF21CA-FF10-4574-A427-E24016A9D6EB}"/>
      </w:docPartPr>
      <w:docPartBody>
        <w:p w:rsidR="00912F70" w:rsidRDefault="002E1BF6" w:rsidP="002E1BF6">
          <w:pPr>
            <w:pStyle w:val="CA38D173784E45369114AD1DC13AAC1D"/>
          </w:pPr>
          <w:r w:rsidRPr="00CF1D2D">
            <w:rPr>
              <w:rStyle w:val="PlaceholderText"/>
            </w:rPr>
            <w:t>Click or tap here to enter text.</w:t>
          </w:r>
        </w:p>
      </w:docPartBody>
    </w:docPart>
    <w:docPart>
      <w:docPartPr>
        <w:name w:val="6C2CBDECB7BF4BFFA5535D06AC149ADF"/>
        <w:category>
          <w:name w:val="General"/>
          <w:gallery w:val="placeholder"/>
        </w:category>
        <w:types>
          <w:type w:val="bbPlcHdr"/>
        </w:types>
        <w:behaviors>
          <w:behavior w:val="content"/>
        </w:behaviors>
        <w:guid w:val="{6F588C64-A80D-4708-AB4E-400B27BA7DEC}"/>
      </w:docPartPr>
      <w:docPartBody>
        <w:p w:rsidR="00912F70" w:rsidRDefault="002E1BF6" w:rsidP="002E1BF6">
          <w:pPr>
            <w:pStyle w:val="6C2CBDECB7BF4BFFA5535D06AC149ADF"/>
          </w:pPr>
          <w:r w:rsidRPr="00DD419A">
            <w:rPr>
              <w:rStyle w:val="PlaceholderText"/>
            </w:rPr>
            <w:t>Click or tap here to enter text.</w:t>
          </w:r>
        </w:p>
      </w:docPartBody>
    </w:docPart>
    <w:docPart>
      <w:docPartPr>
        <w:name w:val="1F0A4E5D5F474D3F928971A50C9B4610"/>
        <w:category>
          <w:name w:val="General"/>
          <w:gallery w:val="placeholder"/>
        </w:category>
        <w:types>
          <w:type w:val="bbPlcHdr"/>
        </w:types>
        <w:behaviors>
          <w:behavior w:val="content"/>
        </w:behaviors>
        <w:guid w:val="{98BAF748-458C-4D56-AF3E-6805FDB5CBE8}"/>
      </w:docPartPr>
      <w:docPartBody>
        <w:p w:rsidR="00912F70" w:rsidRDefault="002E1BF6" w:rsidP="002E1BF6">
          <w:pPr>
            <w:pStyle w:val="1F0A4E5D5F474D3F928971A50C9B4610"/>
          </w:pPr>
          <w:r w:rsidRPr="001E7C3C">
            <w:rPr>
              <w:rStyle w:val="PlaceholderText"/>
            </w:rPr>
            <w:t>Click or tap here to enter text.</w:t>
          </w:r>
        </w:p>
      </w:docPartBody>
    </w:docPart>
    <w:docPart>
      <w:docPartPr>
        <w:name w:val="576335ACF8964973992D84006C151039"/>
        <w:category>
          <w:name w:val="General"/>
          <w:gallery w:val="placeholder"/>
        </w:category>
        <w:types>
          <w:type w:val="bbPlcHdr"/>
        </w:types>
        <w:behaviors>
          <w:behavior w:val="content"/>
        </w:behaviors>
        <w:guid w:val="{5F4ACCD9-7246-4264-AE46-EEB58D813C81}"/>
      </w:docPartPr>
      <w:docPartBody>
        <w:p w:rsidR="00912F70" w:rsidRDefault="002E1BF6" w:rsidP="002E1BF6">
          <w:pPr>
            <w:pStyle w:val="576335ACF8964973992D84006C151039"/>
          </w:pPr>
          <w:r w:rsidRPr="001E7C3C">
            <w:rPr>
              <w:rStyle w:val="PlaceholderText"/>
            </w:rPr>
            <w:t>Click or tap here to enter text.</w:t>
          </w:r>
        </w:p>
      </w:docPartBody>
    </w:docPart>
    <w:docPart>
      <w:docPartPr>
        <w:name w:val="26830A70943F45A0B539767B85CB533A"/>
        <w:category>
          <w:name w:val="General"/>
          <w:gallery w:val="placeholder"/>
        </w:category>
        <w:types>
          <w:type w:val="bbPlcHdr"/>
        </w:types>
        <w:behaviors>
          <w:behavior w:val="content"/>
        </w:behaviors>
        <w:guid w:val="{E5972BE4-0959-4153-9CDD-BD8F7589289A}"/>
      </w:docPartPr>
      <w:docPartBody>
        <w:p w:rsidR="00912F70" w:rsidRDefault="002E1BF6" w:rsidP="002E1BF6">
          <w:pPr>
            <w:pStyle w:val="26830A70943F45A0B539767B85CB533A"/>
          </w:pPr>
          <w:r w:rsidRPr="001E7C3C">
            <w:rPr>
              <w:rStyle w:val="PlaceholderText"/>
            </w:rPr>
            <w:t>Click or tap here to enter text.</w:t>
          </w:r>
        </w:p>
      </w:docPartBody>
    </w:docPart>
    <w:docPart>
      <w:docPartPr>
        <w:name w:val="217A5ED73C454082A27639B4ACA29D15"/>
        <w:category>
          <w:name w:val="General"/>
          <w:gallery w:val="placeholder"/>
        </w:category>
        <w:types>
          <w:type w:val="bbPlcHdr"/>
        </w:types>
        <w:behaviors>
          <w:behavior w:val="content"/>
        </w:behaviors>
        <w:guid w:val="{68A093EA-47B4-48AC-BF4F-2DC0E9EF26BC}"/>
      </w:docPartPr>
      <w:docPartBody>
        <w:p w:rsidR="00912F70" w:rsidRDefault="002E1BF6" w:rsidP="002E1BF6">
          <w:pPr>
            <w:pStyle w:val="217A5ED73C454082A27639B4ACA29D15"/>
          </w:pPr>
          <w:r w:rsidRPr="001E7C3C">
            <w:rPr>
              <w:rStyle w:val="PlaceholderText"/>
            </w:rPr>
            <w:t>Click or tap here to enter text.</w:t>
          </w:r>
        </w:p>
      </w:docPartBody>
    </w:docPart>
    <w:docPart>
      <w:docPartPr>
        <w:name w:val="AA013CA411AB4567B19B9C071162A3FB"/>
        <w:category>
          <w:name w:val="General"/>
          <w:gallery w:val="placeholder"/>
        </w:category>
        <w:types>
          <w:type w:val="bbPlcHdr"/>
        </w:types>
        <w:behaviors>
          <w:behavior w:val="content"/>
        </w:behaviors>
        <w:guid w:val="{ED4A2836-8302-4FF2-8F4D-21E99168DE13}"/>
      </w:docPartPr>
      <w:docPartBody>
        <w:p w:rsidR="00912F70" w:rsidRDefault="002E1BF6" w:rsidP="002E1BF6">
          <w:pPr>
            <w:pStyle w:val="AA013CA411AB4567B19B9C071162A3FB"/>
          </w:pPr>
          <w:r w:rsidRPr="001E7C3C">
            <w:rPr>
              <w:rStyle w:val="PlaceholderText"/>
            </w:rPr>
            <w:t>Click or tap here to enter text.</w:t>
          </w:r>
        </w:p>
      </w:docPartBody>
    </w:docPart>
    <w:docPart>
      <w:docPartPr>
        <w:name w:val="1A49F1A1721244F8A8A1EE2C9D7374A5"/>
        <w:category>
          <w:name w:val="General"/>
          <w:gallery w:val="placeholder"/>
        </w:category>
        <w:types>
          <w:type w:val="bbPlcHdr"/>
        </w:types>
        <w:behaviors>
          <w:behavior w:val="content"/>
        </w:behaviors>
        <w:guid w:val="{995A6D98-AAA3-4F38-8879-78E7C1F402BB}"/>
      </w:docPartPr>
      <w:docPartBody>
        <w:p w:rsidR="00912F70" w:rsidRDefault="002E1BF6" w:rsidP="002E1BF6">
          <w:pPr>
            <w:pStyle w:val="1A49F1A1721244F8A8A1EE2C9D7374A5"/>
          </w:pPr>
          <w:r w:rsidRPr="001E7C3C">
            <w:rPr>
              <w:rStyle w:val="PlaceholderText"/>
            </w:rPr>
            <w:t>Click or tap here to enter text.</w:t>
          </w:r>
        </w:p>
      </w:docPartBody>
    </w:docPart>
    <w:docPart>
      <w:docPartPr>
        <w:name w:val="320557B9148F400D983F1E54B57D3696"/>
        <w:category>
          <w:name w:val="General"/>
          <w:gallery w:val="placeholder"/>
        </w:category>
        <w:types>
          <w:type w:val="bbPlcHdr"/>
        </w:types>
        <w:behaviors>
          <w:behavior w:val="content"/>
        </w:behaviors>
        <w:guid w:val="{5B17922C-6D32-4E8E-80F8-788C16198E84}"/>
      </w:docPartPr>
      <w:docPartBody>
        <w:p w:rsidR="00912F70" w:rsidRDefault="002E1BF6" w:rsidP="002E1BF6">
          <w:pPr>
            <w:pStyle w:val="320557B9148F400D983F1E54B57D3696"/>
          </w:pPr>
          <w:r w:rsidRPr="001E7C3C">
            <w:rPr>
              <w:rStyle w:val="PlaceholderText"/>
            </w:rPr>
            <w:t>Click or tap here to enter text.</w:t>
          </w:r>
        </w:p>
      </w:docPartBody>
    </w:docPart>
    <w:docPart>
      <w:docPartPr>
        <w:name w:val="1D650EFBC49C4B17A03A97BFCED9979A"/>
        <w:category>
          <w:name w:val="General"/>
          <w:gallery w:val="placeholder"/>
        </w:category>
        <w:types>
          <w:type w:val="bbPlcHdr"/>
        </w:types>
        <w:behaviors>
          <w:behavior w:val="content"/>
        </w:behaviors>
        <w:guid w:val="{B4DE7E83-5B81-4E22-8538-64E9E03B51FD}"/>
      </w:docPartPr>
      <w:docPartBody>
        <w:p w:rsidR="00912F70" w:rsidRDefault="002E1BF6" w:rsidP="002E1BF6">
          <w:pPr>
            <w:pStyle w:val="1D650EFBC49C4B17A03A97BFCED9979A"/>
          </w:pPr>
          <w:r w:rsidRPr="001E7C3C">
            <w:rPr>
              <w:rStyle w:val="PlaceholderText"/>
            </w:rPr>
            <w:t>Click or tap here to enter text.</w:t>
          </w:r>
        </w:p>
      </w:docPartBody>
    </w:docPart>
    <w:docPart>
      <w:docPartPr>
        <w:name w:val="7800812E7FB84436A0678D5A11374ECF"/>
        <w:category>
          <w:name w:val="General"/>
          <w:gallery w:val="placeholder"/>
        </w:category>
        <w:types>
          <w:type w:val="bbPlcHdr"/>
        </w:types>
        <w:behaviors>
          <w:behavior w:val="content"/>
        </w:behaviors>
        <w:guid w:val="{8BEC23FA-1960-47B1-92F6-7C856FE619EE}"/>
      </w:docPartPr>
      <w:docPartBody>
        <w:p w:rsidR="00912F70" w:rsidRDefault="002E1BF6" w:rsidP="002E1BF6">
          <w:pPr>
            <w:pStyle w:val="7800812E7FB84436A0678D5A11374ECF"/>
          </w:pPr>
          <w:r w:rsidRPr="001E7C3C">
            <w:rPr>
              <w:rStyle w:val="PlaceholderText"/>
            </w:rPr>
            <w:t>Click or tap here to enter text.</w:t>
          </w:r>
        </w:p>
      </w:docPartBody>
    </w:docPart>
    <w:docPart>
      <w:docPartPr>
        <w:name w:val="CA3E233CDCE64245B99CC5E739A0F853"/>
        <w:category>
          <w:name w:val="General"/>
          <w:gallery w:val="placeholder"/>
        </w:category>
        <w:types>
          <w:type w:val="bbPlcHdr"/>
        </w:types>
        <w:behaviors>
          <w:behavior w:val="content"/>
        </w:behaviors>
        <w:guid w:val="{3AAF7D43-59BC-4DA4-9F8F-0455F0799071}"/>
      </w:docPartPr>
      <w:docPartBody>
        <w:p w:rsidR="00912F70" w:rsidRDefault="002E1BF6" w:rsidP="002E1BF6">
          <w:pPr>
            <w:pStyle w:val="CA3E233CDCE64245B99CC5E739A0F853"/>
          </w:pPr>
          <w:r w:rsidRPr="004771BE">
            <w:rPr>
              <w:rStyle w:val="PlaceholderText"/>
            </w:rPr>
            <w:t>Click or tap here to enter text.</w:t>
          </w:r>
        </w:p>
      </w:docPartBody>
    </w:docPart>
    <w:docPart>
      <w:docPartPr>
        <w:name w:val="209A24FE1FE140838FFAB40FBDA9CD74"/>
        <w:category>
          <w:name w:val="General"/>
          <w:gallery w:val="placeholder"/>
        </w:category>
        <w:types>
          <w:type w:val="bbPlcHdr"/>
        </w:types>
        <w:behaviors>
          <w:behavior w:val="content"/>
        </w:behaviors>
        <w:guid w:val="{8BEE990D-A837-406C-9B64-8F55A2153084}"/>
      </w:docPartPr>
      <w:docPartBody>
        <w:p w:rsidR="00912F70" w:rsidRDefault="002E1BF6" w:rsidP="002E1BF6">
          <w:pPr>
            <w:pStyle w:val="209A24FE1FE140838FFAB40FBDA9CD74"/>
          </w:pPr>
          <w:r w:rsidRPr="004771BE">
            <w:rPr>
              <w:rStyle w:val="PlaceholderText"/>
            </w:rPr>
            <w:t>Click or tap here to enter text.</w:t>
          </w:r>
        </w:p>
      </w:docPartBody>
    </w:docPart>
    <w:docPart>
      <w:docPartPr>
        <w:name w:val="FEF2568509794F8EA998C52423CD2122"/>
        <w:category>
          <w:name w:val="General"/>
          <w:gallery w:val="placeholder"/>
        </w:category>
        <w:types>
          <w:type w:val="bbPlcHdr"/>
        </w:types>
        <w:behaviors>
          <w:behavior w:val="content"/>
        </w:behaviors>
        <w:guid w:val="{E7C62A44-5E5D-404B-B9C3-70D85088ED3E}"/>
      </w:docPartPr>
      <w:docPartBody>
        <w:p w:rsidR="00912F70" w:rsidRDefault="002E1BF6" w:rsidP="002E1BF6">
          <w:pPr>
            <w:pStyle w:val="FEF2568509794F8EA998C52423CD2122"/>
          </w:pPr>
          <w:r w:rsidRPr="004771BE">
            <w:rPr>
              <w:rStyle w:val="PlaceholderText"/>
            </w:rPr>
            <w:t>Click or tap here to enter text.</w:t>
          </w:r>
        </w:p>
      </w:docPartBody>
    </w:docPart>
    <w:docPart>
      <w:docPartPr>
        <w:name w:val="0D1931EE70B14E1CADF496D631B812D6"/>
        <w:category>
          <w:name w:val="General"/>
          <w:gallery w:val="placeholder"/>
        </w:category>
        <w:types>
          <w:type w:val="bbPlcHdr"/>
        </w:types>
        <w:behaviors>
          <w:behavior w:val="content"/>
        </w:behaviors>
        <w:guid w:val="{910A83AC-3EFE-433C-A0E7-B48033DCDCC3}"/>
      </w:docPartPr>
      <w:docPartBody>
        <w:p w:rsidR="00912F70" w:rsidRDefault="002E1BF6" w:rsidP="002E1BF6">
          <w:pPr>
            <w:pStyle w:val="0D1931EE70B14E1CADF496D631B812D6"/>
          </w:pPr>
          <w:r w:rsidRPr="004771BE">
            <w:rPr>
              <w:rStyle w:val="PlaceholderText"/>
            </w:rPr>
            <w:t>Click or tap here to enter text.</w:t>
          </w:r>
        </w:p>
      </w:docPartBody>
    </w:docPart>
    <w:docPart>
      <w:docPartPr>
        <w:name w:val="04014411562C40CDB16743066262FC81"/>
        <w:category>
          <w:name w:val="General"/>
          <w:gallery w:val="placeholder"/>
        </w:category>
        <w:types>
          <w:type w:val="bbPlcHdr"/>
        </w:types>
        <w:behaviors>
          <w:behavior w:val="content"/>
        </w:behaviors>
        <w:guid w:val="{CD3FEBD6-9377-4788-8BD5-80DB4081E6E3}"/>
      </w:docPartPr>
      <w:docPartBody>
        <w:p w:rsidR="00912F70" w:rsidRDefault="002E1BF6" w:rsidP="002E1BF6">
          <w:pPr>
            <w:pStyle w:val="04014411562C40CDB16743066262FC81"/>
          </w:pPr>
          <w:r w:rsidRPr="004771BE">
            <w:rPr>
              <w:rStyle w:val="PlaceholderText"/>
            </w:rPr>
            <w:t>Click or tap here to enter text.</w:t>
          </w:r>
        </w:p>
      </w:docPartBody>
    </w:docPart>
    <w:docPart>
      <w:docPartPr>
        <w:name w:val="7CAA416F81F84F60A1FFF8FAA25E4346"/>
        <w:category>
          <w:name w:val="General"/>
          <w:gallery w:val="placeholder"/>
        </w:category>
        <w:types>
          <w:type w:val="bbPlcHdr"/>
        </w:types>
        <w:behaviors>
          <w:behavior w:val="content"/>
        </w:behaviors>
        <w:guid w:val="{D85762CD-DE44-41E2-9CF1-F8D9440BCF38}"/>
      </w:docPartPr>
      <w:docPartBody>
        <w:p w:rsidR="00912F70" w:rsidRDefault="002E1BF6" w:rsidP="002E1BF6">
          <w:pPr>
            <w:pStyle w:val="7CAA416F81F84F60A1FFF8FAA25E4346"/>
          </w:pPr>
          <w:r w:rsidRPr="004771BE">
            <w:rPr>
              <w:rStyle w:val="PlaceholderText"/>
            </w:rPr>
            <w:t>Click or tap here to enter text.</w:t>
          </w:r>
        </w:p>
      </w:docPartBody>
    </w:docPart>
    <w:docPart>
      <w:docPartPr>
        <w:name w:val="AB8FDEDB7B6E4A1496285057E80F1E3B"/>
        <w:category>
          <w:name w:val="General"/>
          <w:gallery w:val="placeholder"/>
        </w:category>
        <w:types>
          <w:type w:val="bbPlcHdr"/>
        </w:types>
        <w:behaviors>
          <w:behavior w:val="content"/>
        </w:behaviors>
        <w:guid w:val="{79927935-6D30-439C-9DCA-4A4D172E6924}"/>
      </w:docPartPr>
      <w:docPartBody>
        <w:p w:rsidR="00912F70" w:rsidRDefault="002E1BF6" w:rsidP="002E1BF6">
          <w:pPr>
            <w:pStyle w:val="AB8FDEDB7B6E4A1496285057E80F1E3B"/>
          </w:pPr>
          <w:r w:rsidRPr="004771BE">
            <w:rPr>
              <w:rStyle w:val="PlaceholderText"/>
            </w:rPr>
            <w:t>Click or tap here to enter text.</w:t>
          </w:r>
        </w:p>
      </w:docPartBody>
    </w:docPart>
    <w:docPart>
      <w:docPartPr>
        <w:name w:val="97090AE9D5DD4FF58A5FAD07CB306C20"/>
        <w:category>
          <w:name w:val="General"/>
          <w:gallery w:val="placeholder"/>
        </w:category>
        <w:types>
          <w:type w:val="bbPlcHdr"/>
        </w:types>
        <w:behaviors>
          <w:behavior w:val="content"/>
        </w:behaviors>
        <w:guid w:val="{9C1242DB-F17A-4BA2-AC97-7BD87854FCD8}"/>
      </w:docPartPr>
      <w:docPartBody>
        <w:p w:rsidR="00912F70" w:rsidRDefault="002E1BF6" w:rsidP="002E1BF6">
          <w:pPr>
            <w:pStyle w:val="97090AE9D5DD4FF58A5FAD07CB306C20"/>
          </w:pPr>
          <w:r w:rsidRPr="001E7C3C">
            <w:rPr>
              <w:rStyle w:val="PlaceholderText"/>
            </w:rPr>
            <w:t>Click or tap here to enter text.</w:t>
          </w:r>
        </w:p>
      </w:docPartBody>
    </w:docPart>
    <w:docPart>
      <w:docPartPr>
        <w:name w:val="BE4C34C7498845409CE466B8D53DA14B"/>
        <w:category>
          <w:name w:val="General"/>
          <w:gallery w:val="placeholder"/>
        </w:category>
        <w:types>
          <w:type w:val="bbPlcHdr"/>
        </w:types>
        <w:behaviors>
          <w:behavior w:val="content"/>
        </w:behaviors>
        <w:guid w:val="{F3D0779C-91A1-45CB-9011-2B0FECDE69DD}"/>
      </w:docPartPr>
      <w:docPartBody>
        <w:p w:rsidR="00912F70" w:rsidRDefault="002E1BF6" w:rsidP="002E1BF6">
          <w:pPr>
            <w:pStyle w:val="BE4C34C7498845409CE466B8D53DA14B"/>
          </w:pPr>
          <w:r w:rsidRPr="001E7C3C">
            <w:rPr>
              <w:rStyle w:val="PlaceholderText"/>
            </w:rPr>
            <w:t>Click or tap here to enter text.</w:t>
          </w:r>
        </w:p>
      </w:docPartBody>
    </w:docPart>
    <w:docPart>
      <w:docPartPr>
        <w:name w:val="E263C017CD754C8FA2EC632B2A6980EF"/>
        <w:category>
          <w:name w:val="General"/>
          <w:gallery w:val="placeholder"/>
        </w:category>
        <w:types>
          <w:type w:val="bbPlcHdr"/>
        </w:types>
        <w:behaviors>
          <w:behavior w:val="content"/>
        </w:behaviors>
        <w:guid w:val="{3DB3298D-A709-40C4-AE1C-E8B658492FB1}"/>
      </w:docPartPr>
      <w:docPartBody>
        <w:p w:rsidR="00912F70" w:rsidRDefault="002E1BF6" w:rsidP="002E1BF6">
          <w:pPr>
            <w:pStyle w:val="E263C017CD754C8FA2EC632B2A6980EF"/>
          </w:pPr>
          <w:r w:rsidRPr="001E7C3C">
            <w:rPr>
              <w:rStyle w:val="PlaceholderText"/>
            </w:rPr>
            <w:t>Click or tap here to enter text.</w:t>
          </w:r>
        </w:p>
      </w:docPartBody>
    </w:docPart>
    <w:docPart>
      <w:docPartPr>
        <w:name w:val="9D0B1B2F0C66475E9C3B34C104CEAEA4"/>
        <w:category>
          <w:name w:val="General"/>
          <w:gallery w:val="placeholder"/>
        </w:category>
        <w:types>
          <w:type w:val="bbPlcHdr"/>
        </w:types>
        <w:behaviors>
          <w:behavior w:val="content"/>
        </w:behaviors>
        <w:guid w:val="{ED85763A-1ECB-4577-8BE0-6AD6E76F437C}"/>
      </w:docPartPr>
      <w:docPartBody>
        <w:p w:rsidR="00912F70" w:rsidRDefault="002E1BF6" w:rsidP="002E1BF6">
          <w:pPr>
            <w:pStyle w:val="9D0B1B2F0C66475E9C3B34C104CEAEA4"/>
          </w:pPr>
          <w:r w:rsidRPr="00CF1D2D">
            <w:rPr>
              <w:rStyle w:val="PlaceholderText"/>
            </w:rPr>
            <w:t>Click or tap here to enter text.</w:t>
          </w:r>
        </w:p>
      </w:docPartBody>
    </w:docPart>
    <w:docPart>
      <w:docPartPr>
        <w:name w:val="A017B7D2E2934227BCC3DCA34238F16C"/>
        <w:category>
          <w:name w:val="General"/>
          <w:gallery w:val="placeholder"/>
        </w:category>
        <w:types>
          <w:type w:val="bbPlcHdr"/>
        </w:types>
        <w:behaviors>
          <w:behavior w:val="content"/>
        </w:behaviors>
        <w:guid w:val="{B499CEA1-59AD-46A1-930A-96D2FEDC06B0}"/>
      </w:docPartPr>
      <w:docPartBody>
        <w:p w:rsidR="00912F70" w:rsidRDefault="002E1BF6" w:rsidP="002E1BF6">
          <w:pPr>
            <w:pStyle w:val="A017B7D2E2934227BCC3DCA34238F16C"/>
          </w:pPr>
          <w:r w:rsidRPr="00CF1D2D">
            <w:rPr>
              <w:rStyle w:val="PlaceholderText"/>
            </w:rPr>
            <w:t>Click or tap here to enter text.</w:t>
          </w:r>
        </w:p>
      </w:docPartBody>
    </w:docPart>
    <w:docPart>
      <w:docPartPr>
        <w:name w:val="A0305A58491D4FB2B34019333EADF4B1"/>
        <w:category>
          <w:name w:val="General"/>
          <w:gallery w:val="placeholder"/>
        </w:category>
        <w:types>
          <w:type w:val="bbPlcHdr"/>
        </w:types>
        <w:behaviors>
          <w:behavior w:val="content"/>
        </w:behaviors>
        <w:guid w:val="{0D79A88D-5E43-4948-8747-56FB4ED2F69D}"/>
      </w:docPartPr>
      <w:docPartBody>
        <w:p w:rsidR="00912F70" w:rsidRDefault="002E1BF6" w:rsidP="002E1BF6">
          <w:pPr>
            <w:pStyle w:val="A0305A58491D4FB2B34019333EADF4B1"/>
          </w:pPr>
          <w:r w:rsidRPr="001E7C3C">
            <w:rPr>
              <w:rStyle w:val="PlaceholderText"/>
            </w:rPr>
            <w:t>Click or tap here to enter text.</w:t>
          </w:r>
        </w:p>
      </w:docPartBody>
    </w:docPart>
    <w:docPart>
      <w:docPartPr>
        <w:name w:val="52352AF76007418DAF6B6068265BCD64"/>
        <w:category>
          <w:name w:val="General"/>
          <w:gallery w:val="placeholder"/>
        </w:category>
        <w:types>
          <w:type w:val="bbPlcHdr"/>
        </w:types>
        <w:behaviors>
          <w:behavior w:val="content"/>
        </w:behaviors>
        <w:guid w:val="{BF9679DD-4D4F-4A66-B47A-16E8ED87A96F}"/>
      </w:docPartPr>
      <w:docPartBody>
        <w:p w:rsidR="00912F70" w:rsidRDefault="002E1BF6" w:rsidP="002E1BF6">
          <w:pPr>
            <w:pStyle w:val="52352AF76007418DAF6B6068265BCD64"/>
          </w:pPr>
          <w:r w:rsidRPr="001E7C3C">
            <w:rPr>
              <w:rStyle w:val="PlaceholderText"/>
            </w:rPr>
            <w:t>Click or tap here to enter text.</w:t>
          </w:r>
        </w:p>
      </w:docPartBody>
    </w:docPart>
    <w:docPart>
      <w:docPartPr>
        <w:name w:val="D1C68B3955334CC59C856CB3D3810BF0"/>
        <w:category>
          <w:name w:val="General"/>
          <w:gallery w:val="placeholder"/>
        </w:category>
        <w:types>
          <w:type w:val="bbPlcHdr"/>
        </w:types>
        <w:behaviors>
          <w:behavior w:val="content"/>
        </w:behaviors>
        <w:guid w:val="{6E24583C-AC22-4396-B6F0-1B67F7CA091E}"/>
      </w:docPartPr>
      <w:docPartBody>
        <w:p w:rsidR="00912F70" w:rsidRDefault="002E1BF6" w:rsidP="002E1BF6">
          <w:pPr>
            <w:pStyle w:val="D1C68B3955334CC59C856CB3D3810BF0"/>
          </w:pPr>
          <w:r w:rsidRPr="001E7C3C">
            <w:rPr>
              <w:rStyle w:val="PlaceholderText"/>
            </w:rPr>
            <w:t>Click or tap here to enter text.</w:t>
          </w:r>
        </w:p>
      </w:docPartBody>
    </w:docPart>
    <w:docPart>
      <w:docPartPr>
        <w:name w:val="47B6B4090F284EBC9F3B8103DB023D75"/>
        <w:category>
          <w:name w:val="General"/>
          <w:gallery w:val="placeholder"/>
        </w:category>
        <w:types>
          <w:type w:val="bbPlcHdr"/>
        </w:types>
        <w:behaviors>
          <w:behavior w:val="content"/>
        </w:behaviors>
        <w:guid w:val="{674BF448-D506-407D-8149-78B9F045BBD8}"/>
      </w:docPartPr>
      <w:docPartBody>
        <w:p w:rsidR="00912F70" w:rsidRDefault="002E1BF6" w:rsidP="002E1BF6">
          <w:pPr>
            <w:pStyle w:val="47B6B4090F284EBC9F3B8103DB023D75"/>
          </w:pPr>
          <w:r w:rsidRPr="001E7C3C">
            <w:rPr>
              <w:rStyle w:val="PlaceholderText"/>
            </w:rPr>
            <w:t>Click or tap here to enter text.</w:t>
          </w:r>
        </w:p>
      </w:docPartBody>
    </w:docPart>
    <w:docPart>
      <w:docPartPr>
        <w:name w:val="C679C201CD374B95A864EEAB754E8D51"/>
        <w:category>
          <w:name w:val="General"/>
          <w:gallery w:val="placeholder"/>
        </w:category>
        <w:types>
          <w:type w:val="bbPlcHdr"/>
        </w:types>
        <w:behaviors>
          <w:behavior w:val="content"/>
        </w:behaviors>
        <w:guid w:val="{1A4096D1-2F39-4AD5-A4DA-716CB04FE0A5}"/>
      </w:docPartPr>
      <w:docPartBody>
        <w:p w:rsidR="00912F70" w:rsidRDefault="002E1BF6" w:rsidP="002E1BF6">
          <w:pPr>
            <w:pStyle w:val="C679C201CD374B95A864EEAB754E8D51"/>
          </w:pPr>
          <w:r w:rsidRPr="00177278">
            <w:rPr>
              <w:rStyle w:val="PlaceholderText"/>
            </w:rPr>
            <w:t>Click or tap here to enter text.</w:t>
          </w:r>
        </w:p>
      </w:docPartBody>
    </w:docPart>
    <w:docPart>
      <w:docPartPr>
        <w:name w:val="5B683AC1F8A54A6AB6621E99C2D6063C"/>
        <w:category>
          <w:name w:val="General"/>
          <w:gallery w:val="placeholder"/>
        </w:category>
        <w:types>
          <w:type w:val="bbPlcHdr"/>
        </w:types>
        <w:behaviors>
          <w:behavior w:val="content"/>
        </w:behaviors>
        <w:guid w:val="{CA1F1DE8-F5D3-41AE-994A-D64E6A0C08B9}"/>
      </w:docPartPr>
      <w:docPartBody>
        <w:p w:rsidR="00912F70" w:rsidRDefault="002E1BF6" w:rsidP="002E1BF6">
          <w:pPr>
            <w:pStyle w:val="5B683AC1F8A54A6AB6621E99C2D6063C"/>
          </w:pPr>
          <w:r w:rsidRPr="004771BE">
            <w:rPr>
              <w:rStyle w:val="PlaceholderText"/>
            </w:rPr>
            <w:t>Click or tap here to enter text.</w:t>
          </w:r>
        </w:p>
      </w:docPartBody>
    </w:docPart>
    <w:docPart>
      <w:docPartPr>
        <w:name w:val="04F48D2856A742418BEAE29888A1ADCE"/>
        <w:category>
          <w:name w:val="General"/>
          <w:gallery w:val="placeholder"/>
        </w:category>
        <w:types>
          <w:type w:val="bbPlcHdr"/>
        </w:types>
        <w:behaviors>
          <w:behavior w:val="content"/>
        </w:behaviors>
        <w:guid w:val="{3EAB1F72-7973-4CE6-BE0B-0A5C55BA5E7C}"/>
      </w:docPartPr>
      <w:docPartBody>
        <w:p w:rsidR="00912F70" w:rsidRDefault="002E1BF6" w:rsidP="002E1BF6">
          <w:pPr>
            <w:pStyle w:val="04F48D2856A742418BEAE29888A1ADCE"/>
          </w:pPr>
          <w:r w:rsidRPr="004771BE">
            <w:rPr>
              <w:rStyle w:val="PlaceholderText"/>
            </w:rPr>
            <w:t>Click or tap here to enter text.</w:t>
          </w:r>
        </w:p>
      </w:docPartBody>
    </w:docPart>
    <w:docPart>
      <w:docPartPr>
        <w:name w:val="83DBC89A5A8E4EE1ABB6B7A7878C44E9"/>
        <w:category>
          <w:name w:val="General"/>
          <w:gallery w:val="placeholder"/>
        </w:category>
        <w:types>
          <w:type w:val="bbPlcHdr"/>
        </w:types>
        <w:behaviors>
          <w:behavior w:val="content"/>
        </w:behaviors>
        <w:guid w:val="{50599B18-0A7D-4946-B359-5D8F82BF0BA3}"/>
      </w:docPartPr>
      <w:docPartBody>
        <w:p w:rsidR="00912F70" w:rsidRDefault="002E1BF6" w:rsidP="002E1BF6">
          <w:pPr>
            <w:pStyle w:val="83DBC89A5A8E4EE1ABB6B7A7878C44E9"/>
          </w:pPr>
          <w:r w:rsidRPr="00177278">
            <w:rPr>
              <w:rStyle w:val="PlaceholderText"/>
            </w:rPr>
            <w:t>Click or tap here to enter text.</w:t>
          </w:r>
        </w:p>
      </w:docPartBody>
    </w:docPart>
    <w:docPart>
      <w:docPartPr>
        <w:name w:val="92E7E5D61FA84BF2A2386C10D1CE614D"/>
        <w:category>
          <w:name w:val="General"/>
          <w:gallery w:val="placeholder"/>
        </w:category>
        <w:types>
          <w:type w:val="bbPlcHdr"/>
        </w:types>
        <w:behaviors>
          <w:behavior w:val="content"/>
        </w:behaviors>
        <w:guid w:val="{704DD384-975A-4CD9-81DE-F7A43889BE72}"/>
      </w:docPartPr>
      <w:docPartBody>
        <w:p w:rsidR="00912F70" w:rsidRDefault="002E1BF6" w:rsidP="002E1BF6">
          <w:pPr>
            <w:pStyle w:val="92E7E5D61FA84BF2A2386C10D1CE614D"/>
          </w:pPr>
          <w:r w:rsidRPr="001E7C3C">
            <w:rPr>
              <w:rStyle w:val="PlaceholderText"/>
            </w:rPr>
            <w:t>Click or tap here to enter text.</w:t>
          </w:r>
        </w:p>
      </w:docPartBody>
    </w:docPart>
    <w:docPart>
      <w:docPartPr>
        <w:name w:val="5450FA87A0AC4D85884471E35CDA4837"/>
        <w:category>
          <w:name w:val="General"/>
          <w:gallery w:val="placeholder"/>
        </w:category>
        <w:types>
          <w:type w:val="bbPlcHdr"/>
        </w:types>
        <w:behaviors>
          <w:behavior w:val="content"/>
        </w:behaviors>
        <w:guid w:val="{A81863A6-21F8-4D44-B198-5C6B4C85CCDE}"/>
      </w:docPartPr>
      <w:docPartBody>
        <w:p w:rsidR="00912F70" w:rsidRDefault="002E1BF6" w:rsidP="002E1BF6">
          <w:pPr>
            <w:pStyle w:val="5450FA87A0AC4D85884471E35CDA4837"/>
          </w:pPr>
          <w:r w:rsidRPr="00CF1D2D">
            <w:rPr>
              <w:rStyle w:val="PlaceholderText"/>
            </w:rPr>
            <w:t>Click or tap here to enter text.</w:t>
          </w:r>
        </w:p>
      </w:docPartBody>
    </w:docPart>
    <w:docPart>
      <w:docPartPr>
        <w:name w:val="2F4463DB0A0E44778069BD08FFFBFC9F"/>
        <w:category>
          <w:name w:val="General"/>
          <w:gallery w:val="placeholder"/>
        </w:category>
        <w:types>
          <w:type w:val="bbPlcHdr"/>
        </w:types>
        <w:behaviors>
          <w:behavior w:val="content"/>
        </w:behaviors>
        <w:guid w:val="{98910E36-285C-4614-B1BA-ED898616FEBF}"/>
      </w:docPartPr>
      <w:docPartBody>
        <w:p w:rsidR="00912F70" w:rsidRDefault="002E1BF6" w:rsidP="002E1BF6">
          <w:pPr>
            <w:pStyle w:val="2F4463DB0A0E44778069BD08FFFBFC9F"/>
          </w:pPr>
          <w:r w:rsidRPr="00177278">
            <w:rPr>
              <w:rStyle w:val="PlaceholderText"/>
            </w:rPr>
            <w:t>Click or tap here to enter text.</w:t>
          </w:r>
        </w:p>
      </w:docPartBody>
    </w:docPart>
    <w:docPart>
      <w:docPartPr>
        <w:name w:val="91F0B3BFEDC6464EAA8EA453F2B629A1"/>
        <w:category>
          <w:name w:val="General"/>
          <w:gallery w:val="placeholder"/>
        </w:category>
        <w:types>
          <w:type w:val="bbPlcHdr"/>
        </w:types>
        <w:behaviors>
          <w:behavior w:val="content"/>
        </w:behaviors>
        <w:guid w:val="{E925C265-BC09-4AD3-9935-DB6A176FF6F8}"/>
      </w:docPartPr>
      <w:docPartBody>
        <w:p w:rsidR="00912F70" w:rsidRDefault="002E1BF6" w:rsidP="002E1BF6">
          <w:pPr>
            <w:pStyle w:val="91F0B3BFEDC6464EAA8EA453F2B629A1"/>
          </w:pPr>
          <w:r w:rsidRPr="001E7C3C">
            <w:rPr>
              <w:rStyle w:val="PlaceholderText"/>
            </w:rPr>
            <w:t>Click or tap here to enter text.</w:t>
          </w:r>
        </w:p>
      </w:docPartBody>
    </w:docPart>
    <w:docPart>
      <w:docPartPr>
        <w:name w:val="93E4FF3F1D194534AA70F8EBE46B1BF3"/>
        <w:category>
          <w:name w:val="General"/>
          <w:gallery w:val="placeholder"/>
        </w:category>
        <w:types>
          <w:type w:val="bbPlcHdr"/>
        </w:types>
        <w:behaviors>
          <w:behavior w:val="content"/>
        </w:behaviors>
        <w:guid w:val="{E5B5A4E2-16EB-4870-8A92-C9EA5763F9E9}"/>
      </w:docPartPr>
      <w:docPartBody>
        <w:p w:rsidR="00912F70" w:rsidRDefault="002E1BF6" w:rsidP="002E1BF6">
          <w:pPr>
            <w:pStyle w:val="93E4FF3F1D194534AA70F8EBE46B1BF3"/>
          </w:pPr>
          <w:r w:rsidRPr="00CF1D2D">
            <w:rPr>
              <w:rStyle w:val="PlaceholderText"/>
            </w:rPr>
            <w:t>Click or tap here to enter text.</w:t>
          </w:r>
        </w:p>
      </w:docPartBody>
    </w:docPart>
    <w:docPart>
      <w:docPartPr>
        <w:name w:val="EF1F2445835D4525B5A067F7B40AEA42"/>
        <w:category>
          <w:name w:val="General"/>
          <w:gallery w:val="placeholder"/>
        </w:category>
        <w:types>
          <w:type w:val="bbPlcHdr"/>
        </w:types>
        <w:behaviors>
          <w:behavior w:val="content"/>
        </w:behaviors>
        <w:guid w:val="{36785871-3B4D-459B-9882-4C2CEB273094}"/>
      </w:docPartPr>
      <w:docPartBody>
        <w:p w:rsidR="00912F70" w:rsidRDefault="002E1BF6" w:rsidP="002E1BF6">
          <w:pPr>
            <w:pStyle w:val="EF1F2445835D4525B5A067F7B40AEA42"/>
          </w:pPr>
          <w:r w:rsidRPr="00CF1D2D">
            <w:rPr>
              <w:rStyle w:val="PlaceholderText"/>
            </w:rPr>
            <w:t>Click or tap here to enter text.</w:t>
          </w:r>
        </w:p>
      </w:docPartBody>
    </w:docPart>
    <w:docPart>
      <w:docPartPr>
        <w:name w:val="6673BD4979EA4C0EB0A7E4376B063063"/>
        <w:category>
          <w:name w:val="General"/>
          <w:gallery w:val="placeholder"/>
        </w:category>
        <w:types>
          <w:type w:val="bbPlcHdr"/>
        </w:types>
        <w:behaviors>
          <w:behavior w:val="content"/>
        </w:behaviors>
        <w:guid w:val="{5C37D313-4EEA-4F41-B6F9-FEDF71701FFF}"/>
      </w:docPartPr>
      <w:docPartBody>
        <w:p w:rsidR="00912F70" w:rsidRDefault="002E1BF6" w:rsidP="002E1BF6">
          <w:pPr>
            <w:pStyle w:val="6673BD4979EA4C0EB0A7E4376B063063"/>
          </w:pPr>
          <w:r w:rsidRPr="00DD419A">
            <w:rPr>
              <w:rStyle w:val="PlaceholderText"/>
            </w:rPr>
            <w:t>Click or tap here to enter text.</w:t>
          </w:r>
        </w:p>
      </w:docPartBody>
    </w:docPart>
    <w:docPart>
      <w:docPartPr>
        <w:name w:val="2E0BC84FF0AA44E8B3197FFB5EB20203"/>
        <w:category>
          <w:name w:val="General"/>
          <w:gallery w:val="placeholder"/>
        </w:category>
        <w:types>
          <w:type w:val="bbPlcHdr"/>
        </w:types>
        <w:behaviors>
          <w:behavior w:val="content"/>
        </w:behaviors>
        <w:guid w:val="{88B52301-34B1-46FE-9510-9608731318E5}"/>
      </w:docPartPr>
      <w:docPartBody>
        <w:p w:rsidR="00912F70" w:rsidRDefault="002E1BF6" w:rsidP="002E1BF6">
          <w:pPr>
            <w:pStyle w:val="2E0BC84FF0AA44E8B3197FFB5EB20203"/>
          </w:pPr>
          <w:r w:rsidRPr="001E7C3C">
            <w:rPr>
              <w:rStyle w:val="PlaceholderText"/>
            </w:rPr>
            <w:t>Click or tap here to enter text.</w:t>
          </w:r>
        </w:p>
      </w:docPartBody>
    </w:docPart>
    <w:docPart>
      <w:docPartPr>
        <w:name w:val="2B1DDC09D3E540CCAA6791025F6963F4"/>
        <w:category>
          <w:name w:val="General"/>
          <w:gallery w:val="placeholder"/>
        </w:category>
        <w:types>
          <w:type w:val="bbPlcHdr"/>
        </w:types>
        <w:behaviors>
          <w:behavior w:val="content"/>
        </w:behaviors>
        <w:guid w:val="{26382A53-2615-4C32-B42D-5AE59295C2A7}"/>
      </w:docPartPr>
      <w:docPartBody>
        <w:p w:rsidR="00912F70" w:rsidRDefault="002E1BF6" w:rsidP="002E1BF6">
          <w:pPr>
            <w:pStyle w:val="2B1DDC09D3E540CCAA6791025F6963F4"/>
          </w:pPr>
          <w:r w:rsidRPr="001E7C3C">
            <w:rPr>
              <w:rStyle w:val="PlaceholderText"/>
            </w:rPr>
            <w:t>Click or tap here to enter text.</w:t>
          </w:r>
        </w:p>
      </w:docPartBody>
    </w:docPart>
    <w:docPart>
      <w:docPartPr>
        <w:name w:val="CEA08CEBF9E24B60B56F49977B97594E"/>
        <w:category>
          <w:name w:val="General"/>
          <w:gallery w:val="placeholder"/>
        </w:category>
        <w:types>
          <w:type w:val="bbPlcHdr"/>
        </w:types>
        <w:behaviors>
          <w:behavior w:val="content"/>
        </w:behaviors>
        <w:guid w:val="{1A35247B-EB8D-4E0E-BB59-47728BB94B57}"/>
      </w:docPartPr>
      <w:docPartBody>
        <w:p w:rsidR="00912F70" w:rsidRDefault="002E1BF6" w:rsidP="002E1BF6">
          <w:pPr>
            <w:pStyle w:val="CEA08CEBF9E24B60B56F49977B97594E"/>
          </w:pPr>
          <w:r w:rsidRPr="001E7C3C">
            <w:rPr>
              <w:rStyle w:val="PlaceholderText"/>
            </w:rPr>
            <w:t>Click or tap here to enter text.</w:t>
          </w:r>
        </w:p>
      </w:docPartBody>
    </w:docPart>
    <w:docPart>
      <w:docPartPr>
        <w:name w:val="3ECEA7BCCF304760A49E065E7BB3B73D"/>
        <w:category>
          <w:name w:val="General"/>
          <w:gallery w:val="placeholder"/>
        </w:category>
        <w:types>
          <w:type w:val="bbPlcHdr"/>
        </w:types>
        <w:behaviors>
          <w:behavior w:val="content"/>
        </w:behaviors>
        <w:guid w:val="{0D6AD7C1-619A-4C54-BA62-4354370FABDE}"/>
      </w:docPartPr>
      <w:docPartBody>
        <w:p w:rsidR="00912F70" w:rsidRDefault="002E1BF6" w:rsidP="002E1BF6">
          <w:pPr>
            <w:pStyle w:val="3ECEA7BCCF304760A49E065E7BB3B73D"/>
          </w:pPr>
          <w:r w:rsidRPr="001E7C3C">
            <w:rPr>
              <w:rStyle w:val="PlaceholderText"/>
            </w:rPr>
            <w:t>Click or tap here to enter text.</w:t>
          </w:r>
        </w:p>
      </w:docPartBody>
    </w:docPart>
    <w:docPart>
      <w:docPartPr>
        <w:name w:val="F675C0C86AFC467C9C7DFAC9C47EEE14"/>
        <w:category>
          <w:name w:val="General"/>
          <w:gallery w:val="placeholder"/>
        </w:category>
        <w:types>
          <w:type w:val="bbPlcHdr"/>
        </w:types>
        <w:behaviors>
          <w:behavior w:val="content"/>
        </w:behaviors>
        <w:guid w:val="{EA8E9882-4179-4135-8466-5730438A6E67}"/>
      </w:docPartPr>
      <w:docPartBody>
        <w:p w:rsidR="00912F70" w:rsidRDefault="002E1BF6" w:rsidP="002E1BF6">
          <w:pPr>
            <w:pStyle w:val="F675C0C86AFC467C9C7DFAC9C47EEE14"/>
          </w:pPr>
          <w:r w:rsidRPr="001E7C3C">
            <w:rPr>
              <w:rStyle w:val="PlaceholderText"/>
            </w:rPr>
            <w:t>Click or tap here to enter text.</w:t>
          </w:r>
        </w:p>
      </w:docPartBody>
    </w:docPart>
    <w:docPart>
      <w:docPartPr>
        <w:name w:val="0609E8DE78EA4761AD71D8B9AD9D79A1"/>
        <w:category>
          <w:name w:val="General"/>
          <w:gallery w:val="placeholder"/>
        </w:category>
        <w:types>
          <w:type w:val="bbPlcHdr"/>
        </w:types>
        <w:behaviors>
          <w:behavior w:val="content"/>
        </w:behaviors>
        <w:guid w:val="{F54EBE50-E071-4AA8-9ECD-44D5BCF13391}"/>
      </w:docPartPr>
      <w:docPartBody>
        <w:p w:rsidR="00912F70" w:rsidRDefault="002E1BF6" w:rsidP="002E1BF6">
          <w:pPr>
            <w:pStyle w:val="0609E8DE78EA4761AD71D8B9AD9D79A1"/>
          </w:pPr>
          <w:r w:rsidRPr="001E7C3C">
            <w:rPr>
              <w:rStyle w:val="PlaceholderText"/>
            </w:rPr>
            <w:t>Click or tap here to enter text.</w:t>
          </w:r>
        </w:p>
      </w:docPartBody>
    </w:docPart>
    <w:docPart>
      <w:docPartPr>
        <w:name w:val="8AD51CD2522F4023AE922E8CAB3F26AD"/>
        <w:category>
          <w:name w:val="General"/>
          <w:gallery w:val="placeholder"/>
        </w:category>
        <w:types>
          <w:type w:val="bbPlcHdr"/>
        </w:types>
        <w:behaviors>
          <w:behavior w:val="content"/>
        </w:behaviors>
        <w:guid w:val="{266AEA37-D92E-431C-88F3-7C5F69E70108}"/>
      </w:docPartPr>
      <w:docPartBody>
        <w:p w:rsidR="00912F70" w:rsidRDefault="002E1BF6" w:rsidP="002E1BF6">
          <w:pPr>
            <w:pStyle w:val="8AD51CD2522F4023AE922E8CAB3F26AD"/>
          </w:pPr>
          <w:r w:rsidRPr="001E7C3C">
            <w:rPr>
              <w:rStyle w:val="PlaceholderText"/>
            </w:rPr>
            <w:t>Click or tap here to enter text.</w:t>
          </w:r>
        </w:p>
      </w:docPartBody>
    </w:docPart>
    <w:docPart>
      <w:docPartPr>
        <w:name w:val="149DA51EDACD42C693FA85E0109C9F2B"/>
        <w:category>
          <w:name w:val="General"/>
          <w:gallery w:val="placeholder"/>
        </w:category>
        <w:types>
          <w:type w:val="bbPlcHdr"/>
        </w:types>
        <w:behaviors>
          <w:behavior w:val="content"/>
        </w:behaviors>
        <w:guid w:val="{68DCBA82-FDA7-40A6-BC19-3E6E8F555352}"/>
      </w:docPartPr>
      <w:docPartBody>
        <w:p w:rsidR="00912F70" w:rsidRDefault="002E1BF6" w:rsidP="002E1BF6">
          <w:pPr>
            <w:pStyle w:val="149DA51EDACD42C693FA85E0109C9F2B"/>
          </w:pPr>
          <w:r w:rsidRPr="001E7C3C">
            <w:rPr>
              <w:rStyle w:val="PlaceholderText"/>
            </w:rPr>
            <w:t>Click or tap here to enter text.</w:t>
          </w:r>
        </w:p>
      </w:docPartBody>
    </w:docPart>
    <w:docPart>
      <w:docPartPr>
        <w:name w:val="FBAE9C562A1048DFB3AE52253ADDD82F"/>
        <w:category>
          <w:name w:val="General"/>
          <w:gallery w:val="placeholder"/>
        </w:category>
        <w:types>
          <w:type w:val="bbPlcHdr"/>
        </w:types>
        <w:behaviors>
          <w:behavior w:val="content"/>
        </w:behaviors>
        <w:guid w:val="{39E5E4A4-B542-4B6C-A670-93EBC97D480E}"/>
      </w:docPartPr>
      <w:docPartBody>
        <w:p w:rsidR="00912F70" w:rsidRDefault="002E1BF6" w:rsidP="002E1BF6">
          <w:pPr>
            <w:pStyle w:val="FBAE9C562A1048DFB3AE52253ADDD82F"/>
          </w:pPr>
          <w:r w:rsidRPr="001E7C3C">
            <w:rPr>
              <w:rStyle w:val="PlaceholderText"/>
            </w:rPr>
            <w:t>Click or tap here to enter text.</w:t>
          </w:r>
        </w:p>
      </w:docPartBody>
    </w:docPart>
    <w:docPart>
      <w:docPartPr>
        <w:name w:val="22A3BFA73A5042848F2C4F3E15F6A004"/>
        <w:category>
          <w:name w:val="General"/>
          <w:gallery w:val="placeholder"/>
        </w:category>
        <w:types>
          <w:type w:val="bbPlcHdr"/>
        </w:types>
        <w:behaviors>
          <w:behavior w:val="content"/>
        </w:behaviors>
        <w:guid w:val="{DB212DC3-41DF-4525-9F30-8E3983E2AA2D}"/>
      </w:docPartPr>
      <w:docPartBody>
        <w:p w:rsidR="00912F70" w:rsidRDefault="002E1BF6" w:rsidP="002E1BF6">
          <w:pPr>
            <w:pStyle w:val="22A3BFA73A5042848F2C4F3E15F6A004"/>
          </w:pPr>
          <w:r w:rsidRPr="001E7C3C">
            <w:rPr>
              <w:rStyle w:val="PlaceholderText"/>
            </w:rPr>
            <w:t>Click or tap here to enter text.</w:t>
          </w:r>
        </w:p>
      </w:docPartBody>
    </w:docPart>
    <w:docPart>
      <w:docPartPr>
        <w:name w:val="45543264BE40416BB8A0C49334D451D8"/>
        <w:category>
          <w:name w:val="General"/>
          <w:gallery w:val="placeholder"/>
        </w:category>
        <w:types>
          <w:type w:val="bbPlcHdr"/>
        </w:types>
        <w:behaviors>
          <w:behavior w:val="content"/>
        </w:behaviors>
        <w:guid w:val="{4A25A962-78F6-4F6E-8D3F-6B4C553D37E8}"/>
      </w:docPartPr>
      <w:docPartBody>
        <w:p w:rsidR="00912F70" w:rsidRDefault="002E1BF6" w:rsidP="002E1BF6">
          <w:pPr>
            <w:pStyle w:val="45543264BE40416BB8A0C49334D451D8"/>
          </w:pPr>
          <w:r w:rsidRPr="00CF1D2D">
            <w:rPr>
              <w:rStyle w:val="PlaceholderText"/>
            </w:rPr>
            <w:t>Click or tap here to enter text.</w:t>
          </w:r>
        </w:p>
      </w:docPartBody>
    </w:docPart>
    <w:docPart>
      <w:docPartPr>
        <w:name w:val="B0DC166C1BF04E07A8629C80D48491D7"/>
        <w:category>
          <w:name w:val="General"/>
          <w:gallery w:val="placeholder"/>
        </w:category>
        <w:types>
          <w:type w:val="bbPlcHdr"/>
        </w:types>
        <w:behaviors>
          <w:behavior w:val="content"/>
        </w:behaviors>
        <w:guid w:val="{A6992A4C-03F4-4633-9574-00B116606CDC}"/>
      </w:docPartPr>
      <w:docPartBody>
        <w:p w:rsidR="00912F70" w:rsidRDefault="002E1BF6" w:rsidP="002E1BF6">
          <w:pPr>
            <w:pStyle w:val="B0DC166C1BF04E07A8629C80D48491D7"/>
          </w:pPr>
          <w:r w:rsidRPr="001E7C3C">
            <w:rPr>
              <w:rStyle w:val="PlaceholderText"/>
            </w:rPr>
            <w:t>Click or tap here to enter text.</w:t>
          </w:r>
        </w:p>
      </w:docPartBody>
    </w:docPart>
    <w:docPart>
      <w:docPartPr>
        <w:name w:val="B566E494933D46AB8EE08A367C23932F"/>
        <w:category>
          <w:name w:val="General"/>
          <w:gallery w:val="placeholder"/>
        </w:category>
        <w:types>
          <w:type w:val="bbPlcHdr"/>
        </w:types>
        <w:behaviors>
          <w:behavior w:val="content"/>
        </w:behaviors>
        <w:guid w:val="{AA88D06C-C9BC-442C-A4FB-EFB65BD633DC}"/>
      </w:docPartPr>
      <w:docPartBody>
        <w:p w:rsidR="00912F70" w:rsidRDefault="002E1BF6" w:rsidP="002E1BF6">
          <w:pPr>
            <w:pStyle w:val="B566E494933D46AB8EE08A367C23932F"/>
          </w:pPr>
          <w:r w:rsidRPr="00CF1D2D">
            <w:rPr>
              <w:rStyle w:val="PlaceholderText"/>
            </w:rPr>
            <w:t>Click or tap here to enter text.</w:t>
          </w:r>
        </w:p>
      </w:docPartBody>
    </w:docPart>
    <w:docPart>
      <w:docPartPr>
        <w:name w:val="8B7D6BE973664F8D8228CF10418AEA8E"/>
        <w:category>
          <w:name w:val="General"/>
          <w:gallery w:val="placeholder"/>
        </w:category>
        <w:types>
          <w:type w:val="bbPlcHdr"/>
        </w:types>
        <w:behaviors>
          <w:behavior w:val="content"/>
        </w:behaviors>
        <w:guid w:val="{15F253C1-5A93-496C-A0A6-6751FE195D35}"/>
      </w:docPartPr>
      <w:docPartBody>
        <w:p w:rsidR="00912F70" w:rsidRDefault="002E1BF6" w:rsidP="002E1BF6">
          <w:pPr>
            <w:pStyle w:val="8B7D6BE973664F8D8228CF10418AEA8E"/>
          </w:pPr>
          <w:r w:rsidRPr="00CF1D2D">
            <w:rPr>
              <w:rStyle w:val="PlaceholderText"/>
            </w:rPr>
            <w:t>Click or tap here to enter text.</w:t>
          </w:r>
        </w:p>
      </w:docPartBody>
    </w:docPart>
    <w:docPart>
      <w:docPartPr>
        <w:name w:val="1184DBC77B904C769580BC56145B731C"/>
        <w:category>
          <w:name w:val="General"/>
          <w:gallery w:val="placeholder"/>
        </w:category>
        <w:types>
          <w:type w:val="bbPlcHdr"/>
        </w:types>
        <w:behaviors>
          <w:behavior w:val="content"/>
        </w:behaviors>
        <w:guid w:val="{8696DBFC-D09B-4793-892A-D3DEE3CED3B1}"/>
      </w:docPartPr>
      <w:docPartBody>
        <w:p w:rsidR="00912F70" w:rsidRDefault="002E1BF6" w:rsidP="002E1BF6">
          <w:pPr>
            <w:pStyle w:val="1184DBC77B904C769580BC56145B731C"/>
          </w:pPr>
          <w:r w:rsidRPr="001E7C3C">
            <w:rPr>
              <w:rStyle w:val="PlaceholderText"/>
            </w:rPr>
            <w:t>Click or tap here to enter text.</w:t>
          </w:r>
        </w:p>
      </w:docPartBody>
    </w:docPart>
    <w:docPart>
      <w:docPartPr>
        <w:name w:val="72714FD7B89D46BAB0129EE3020DC8E3"/>
        <w:category>
          <w:name w:val="General"/>
          <w:gallery w:val="placeholder"/>
        </w:category>
        <w:types>
          <w:type w:val="bbPlcHdr"/>
        </w:types>
        <w:behaviors>
          <w:behavior w:val="content"/>
        </w:behaviors>
        <w:guid w:val="{2465D0A9-3ED5-4D30-914A-F134DEA61875}"/>
      </w:docPartPr>
      <w:docPartBody>
        <w:p w:rsidR="00912F70" w:rsidRDefault="002E1BF6" w:rsidP="002E1BF6">
          <w:pPr>
            <w:pStyle w:val="72714FD7B89D46BAB0129EE3020DC8E3"/>
          </w:pPr>
          <w:r w:rsidRPr="00177278">
            <w:rPr>
              <w:rStyle w:val="PlaceholderText"/>
            </w:rPr>
            <w:t>Click or tap here to enter text.</w:t>
          </w:r>
        </w:p>
      </w:docPartBody>
    </w:docPart>
    <w:docPart>
      <w:docPartPr>
        <w:name w:val="1C75AC270E11467D895CBA651112B457"/>
        <w:category>
          <w:name w:val="General"/>
          <w:gallery w:val="placeholder"/>
        </w:category>
        <w:types>
          <w:type w:val="bbPlcHdr"/>
        </w:types>
        <w:behaviors>
          <w:behavior w:val="content"/>
        </w:behaviors>
        <w:guid w:val="{562B1E6F-36C5-473E-A9EB-671A32A4CAC4}"/>
      </w:docPartPr>
      <w:docPartBody>
        <w:p w:rsidR="00912F70" w:rsidRDefault="002E1BF6" w:rsidP="002E1BF6">
          <w:pPr>
            <w:pStyle w:val="1C75AC270E11467D895CBA651112B457"/>
          </w:pPr>
          <w:r w:rsidRPr="00177278">
            <w:rPr>
              <w:rStyle w:val="PlaceholderText"/>
            </w:rPr>
            <w:t>Click or tap here to enter text.</w:t>
          </w:r>
        </w:p>
      </w:docPartBody>
    </w:docPart>
    <w:docPart>
      <w:docPartPr>
        <w:name w:val="C503F73347AC4B3D972B201D8413D973"/>
        <w:category>
          <w:name w:val="General"/>
          <w:gallery w:val="placeholder"/>
        </w:category>
        <w:types>
          <w:type w:val="bbPlcHdr"/>
        </w:types>
        <w:behaviors>
          <w:behavior w:val="content"/>
        </w:behaviors>
        <w:guid w:val="{55A01C3A-9B43-490F-8FEE-4AD6CF3B47AF}"/>
      </w:docPartPr>
      <w:docPartBody>
        <w:p w:rsidR="00912F70" w:rsidRDefault="002E1BF6" w:rsidP="002E1BF6">
          <w:pPr>
            <w:pStyle w:val="C503F73347AC4B3D972B201D8413D973"/>
          </w:pPr>
          <w:r w:rsidRPr="00177278">
            <w:rPr>
              <w:rStyle w:val="PlaceholderText"/>
            </w:rPr>
            <w:t>Click or tap here to enter text.</w:t>
          </w:r>
        </w:p>
      </w:docPartBody>
    </w:docPart>
    <w:docPart>
      <w:docPartPr>
        <w:name w:val="499481EFE13C435089976047E8C7E6F5"/>
        <w:category>
          <w:name w:val="General"/>
          <w:gallery w:val="placeholder"/>
        </w:category>
        <w:types>
          <w:type w:val="bbPlcHdr"/>
        </w:types>
        <w:behaviors>
          <w:behavior w:val="content"/>
        </w:behaviors>
        <w:guid w:val="{B0FA86EB-BDDA-4590-BD34-AC5D47B6A4D4}"/>
      </w:docPartPr>
      <w:docPartBody>
        <w:p w:rsidR="00912F70" w:rsidRDefault="002E1BF6" w:rsidP="002E1BF6">
          <w:pPr>
            <w:pStyle w:val="499481EFE13C435089976047E8C7E6F5"/>
          </w:pPr>
          <w:r w:rsidRPr="00177278">
            <w:rPr>
              <w:rStyle w:val="PlaceholderText"/>
            </w:rPr>
            <w:t>Click or tap here to enter text.</w:t>
          </w:r>
        </w:p>
      </w:docPartBody>
    </w:docPart>
    <w:docPart>
      <w:docPartPr>
        <w:name w:val="E71F1E9CB4AC4B5EB0C8B3F6327DD73B"/>
        <w:category>
          <w:name w:val="General"/>
          <w:gallery w:val="placeholder"/>
        </w:category>
        <w:types>
          <w:type w:val="bbPlcHdr"/>
        </w:types>
        <w:behaviors>
          <w:behavior w:val="content"/>
        </w:behaviors>
        <w:guid w:val="{047D4E76-FB8D-49ED-BBF1-5DAB3354D575}"/>
      </w:docPartPr>
      <w:docPartBody>
        <w:p w:rsidR="00912F70" w:rsidRDefault="002E1BF6" w:rsidP="002E1BF6">
          <w:pPr>
            <w:pStyle w:val="E71F1E9CB4AC4B5EB0C8B3F6327DD73B"/>
          </w:pPr>
          <w:r w:rsidRPr="00177278">
            <w:rPr>
              <w:rStyle w:val="PlaceholderText"/>
            </w:rPr>
            <w:t>Click or tap here to enter text.</w:t>
          </w:r>
        </w:p>
      </w:docPartBody>
    </w:docPart>
    <w:docPart>
      <w:docPartPr>
        <w:name w:val="A28D1E2CC1164A709A29CCA586FD01BA"/>
        <w:category>
          <w:name w:val="General"/>
          <w:gallery w:val="placeholder"/>
        </w:category>
        <w:types>
          <w:type w:val="bbPlcHdr"/>
        </w:types>
        <w:behaviors>
          <w:behavior w:val="content"/>
        </w:behaviors>
        <w:guid w:val="{592D27A0-2A09-436D-9A56-6574A4D1B809}"/>
      </w:docPartPr>
      <w:docPartBody>
        <w:p w:rsidR="00912F70" w:rsidRDefault="002E1BF6" w:rsidP="002E1BF6">
          <w:pPr>
            <w:pStyle w:val="A28D1E2CC1164A709A29CCA586FD01BA"/>
          </w:pPr>
          <w:r w:rsidRPr="00177278">
            <w:rPr>
              <w:rStyle w:val="PlaceholderText"/>
            </w:rPr>
            <w:t>Click or tap here to enter text.</w:t>
          </w:r>
        </w:p>
      </w:docPartBody>
    </w:docPart>
    <w:docPart>
      <w:docPartPr>
        <w:name w:val="89E2A5AFFDF646318D963605F2E33FCA"/>
        <w:category>
          <w:name w:val="General"/>
          <w:gallery w:val="placeholder"/>
        </w:category>
        <w:types>
          <w:type w:val="bbPlcHdr"/>
        </w:types>
        <w:behaviors>
          <w:behavior w:val="content"/>
        </w:behaviors>
        <w:guid w:val="{38198340-8C76-42B7-9311-BF94DBD51AA9}"/>
      </w:docPartPr>
      <w:docPartBody>
        <w:p w:rsidR="00912F70" w:rsidRDefault="002E1BF6" w:rsidP="002E1BF6">
          <w:pPr>
            <w:pStyle w:val="89E2A5AFFDF646318D963605F2E33FCA"/>
          </w:pPr>
          <w:r w:rsidRPr="00177278">
            <w:rPr>
              <w:rStyle w:val="PlaceholderText"/>
            </w:rPr>
            <w:t>Click or tap here to enter text.</w:t>
          </w:r>
        </w:p>
      </w:docPartBody>
    </w:docPart>
    <w:docPart>
      <w:docPartPr>
        <w:name w:val="6F29B5CF3BAA4864AE984D2219FFCF7A"/>
        <w:category>
          <w:name w:val="General"/>
          <w:gallery w:val="placeholder"/>
        </w:category>
        <w:types>
          <w:type w:val="bbPlcHdr"/>
        </w:types>
        <w:behaviors>
          <w:behavior w:val="content"/>
        </w:behaviors>
        <w:guid w:val="{EEFE6189-891E-4B34-A975-1E6E691C32B0}"/>
      </w:docPartPr>
      <w:docPartBody>
        <w:p w:rsidR="00912F70" w:rsidRDefault="002E1BF6" w:rsidP="002E1BF6">
          <w:pPr>
            <w:pStyle w:val="6F29B5CF3BAA4864AE984D2219FFCF7A"/>
          </w:pPr>
          <w:r w:rsidRPr="00177278">
            <w:rPr>
              <w:rStyle w:val="PlaceholderText"/>
            </w:rPr>
            <w:t>Click or tap here to enter text.</w:t>
          </w:r>
        </w:p>
      </w:docPartBody>
    </w:docPart>
    <w:docPart>
      <w:docPartPr>
        <w:name w:val="CEDCEB44DF5045728A9192F45E6DF364"/>
        <w:category>
          <w:name w:val="General"/>
          <w:gallery w:val="placeholder"/>
        </w:category>
        <w:types>
          <w:type w:val="bbPlcHdr"/>
        </w:types>
        <w:behaviors>
          <w:behavior w:val="content"/>
        </w:behaviors>
        <w:guid w:val="{BB09C835-12EC-41C9-90E6-7485C84F52D9}"/>
      </w:docPartPr>
      <w:docPartBody>
        <w:p w:rsidR="00912F70" w:rsidRDefault="002E1BF6" w:rsidP="002E1BF6">
          <w:pPr>
            <w:pStyle w:val="CEDCEB44DF5045728A9192F45E6DF364"/>
          </w:pPr>
          <w:r w:rsidRPr="001E7C3C">
            <w:rPr>
              <w:rStyle w:val="PlaceholderText"/>
            </w:rPr>
            <w:t>Click or tap here to enter text.</w:t>
          </w:r>
        </w:p>
      </w:docPartBody>
    </w:docPart>
    <w:docPart>
      <w:docPartPr>
        <w:name w:val="84C814E8D58F491CB824F265678A3880"/>
        <w:category>
          <w:name w:val="General"/>
          <w:gallery w:val="placeholder"/>
        </w:category>
        <w:types>
          <w:type w:val="bbPlcHdr"/>
        </w:types>
        <w:behaviors>
          <w:behavior w:val="content"/>
        </w:behaviors>
        <w:guid w:val="{B8256571-885C-4EE6-B845-0EA4754BE3D1}"/>
      </w:docPartPr>
      <w:docPartBody>
        <w:p w:rsidR="00912F70" w:rsidRDefault="002E1BF6" w:rsidP="002E1BF6">
          <w:pPr>
            <w:pStyle w:val="84C814E8D58F491CB824F265678A3880"/>
          </w:pPr>
          <w:r w:rsidRPr="00177278">
            <w:rPr>
              <w:rStyle w:val="PlaceholderText"/>
            </w:rPr>
            <w:t>Click or tap here to enter text.</w:t>
          </w:r>
        </w:p>
      </w:docPartBody>
    </w:docPart>
    <w:docPart>
      <w:docPartPr>
        <w:name w:val="520041307CDA430CB853DAB2B1146BDD"/>
        <w:category>
          <w:name w:val="General"/>
          <w:gallery w:val="placeholder"/>
        </w:category>
        <w:types>
          <w:type w:val="bbPlcHdr"/>
        </w:types>
        <w:behaviors>
          <w:behavior w:val="content"/>
        </w:behaviors>
        <w:guid w:val="{E9D45796-7340-4598-A9EA-E7591434930C}"/>
      </w:docPartPr>
      <w:docPartBody>
        <w:p w:rsidR="00912F70" w:rsidRDefault="002E1BF6" w:rsidP="002E1BF6">
          <w:pPr>
            <w:pStyle w:val="520041307CDA430CB853DAB2B1146BDD"/>
          </w:pPr>
          <w:r w:rsidRPr="001E7C3C">
            <w:rPr>
              <w:rStyle w:val="PlaceholderText"/>
            </w:rPr>
            <w:t>Click or tap here to enter text.</w:t>
          </w:r>
        </w:p>
      </w:docPartBody>
    </w:docPart>
    <w:docPart>
      <w:docPartPr>
        <w:name w:val="13A6171BBB3941EB9B7686ED2EC138E1"/>
        <w:category>
          <w:name w:val="General"/>
          <w:gallery w:val="placeholder"/>
        </w:category>
        <w:types>
          <w:type w:val="bbPlcHdr"/>
        </w:types>
        <w:behaviors>
          <w:behavior w:val="content"/>
        </w:behaviors>
        <w:guid w:val="{FDCEBA37-8F66-418E-8500-2119BA390180}"/>
      </w:docPartPr>
      <w:docPartBody>
        <w:p w:rsidR="00912F70" w:rsidRDefault="002E1BF6" w:rsidP="002E1BF6">
          <w:pPr>
            <w:pStyle w:val="13A6171BBB3941EB9B7686ED2EC138E1"/>
          </w:pPr>
          <w:r w:rsidRPr="00CF1D2D">
            <w:rPr>
              <w:rStyle w:val="PlaceholderText"/>
            </w:rPr>
            <w:t>Click or tap here to enter text.</w:t>
          </w:r>
        </w:p>
      </w:docPartBody>
    </w:docPart>
    <w:docPart>
      <w:docPartPr>
        <w:name w:val="36E758B0431349ACBC08C8EEF53FC2BC"/>
        <w:category>
          <w:name w:val="General"/>
          <w:gallery w:val="placeholder"/>
        </w:category>
        <w:types>
          <w:type w:val="bbPlcHdr"/>
        </w:types>
        <w:behaviors>
          <w:behavior w:val="content"/>
        </w:behaviors>
        <w:guid w:val="{2E2486E9-590D-401F-9953-7C44E93429E1}"/>
      </w:docPartPr>
      <w:docPartBody>
        <w:p w:rsidR="00912F70" w:rsidRDefault="002E1BF6" w:rsidP="002E1BF6">
          <w:pPr>
            <w:pStyle w:val="36E758B0431349ACBC08C8EEF53FC2BC"/>
          </w:pPr>
          <w:r w:rsidRPr="00177278">
            <w:rPr>
              <w:rStyle w:val="PlaceholderText"/>
            </w:rPr>
            <w:t>Click or tap here to enter text.</w:t>
          </w:r>
        </w:p>
      </w:docPartBody>
    </w:docPart>
    <w:docPart>
      <w:docPartPr>
        <w:name w:val="13AEE180013E453A9FF7E969FA4BC62C"/>
        <w:category>
          <w:name w:val="General"/>
          <w:gallery w:val="placeholder"/>
        </w:category>
        <w:types>
          <w:type w:val="bbPlcHdr"/>
        </w:types>
        <w:behaviors>
          <w:behavior w:val="content"/>
        </w:behaviors>
        <w:guid w:val="{729AD5EC-84F7-4DE2-BE08-5E6603905937}"/>
      </w:docPartPr>
      <w:docPartBody>
        <w:p w:rsidR="00912F70" w:rsidRDefault="002E1BF6" w:rsidP="002E1BF6">
          <w:pPr>
            <w:pStyle w:val="13AEE180013E453A9FF7E969FA4BC62C"/>
          </w:pPr>
          <w:r w:rsidRPr="001E7C3C">
            <w:rPr>
              <w:rStyle w:val="PlaceholderText"/>
            </w:rPr>
            <w:t>Click or tap here to enter text.</w:t>
          </w:r>
        </w:p>
      </w:docPartBody>
    </w:docPart>
    <w:docPart>
      <w:docPartPr>
        <w:name w:val="6D3F6338D9C044B2B745A16EFBC28AFD"/>
        <w:category>
          <w:name w:val="General"/>
          <w:gallery w:val="placeholder"/>
        </w:category>
        <w:types>
          <w:type w:val="bbPlcHdr"/>
        </w:types>
        <w:behaviors>
          <w:behavior w:val="content"/>
        </w:behaviors>
        <w:guid w:val="{45DDBD47-7F6E-458C-A1D3-780AE59F195F}"/>
      </w:docPartPr>
      <w:docPartBody>
        <w:p w:rsidR="00912F70" w:rsidRDefault="002E1BF6" w:rsidP="002E1BF6">
          <w:pPr>
            <w:pStyle w:val="6D3F6338D9C044B2B745A16EFBC28AFD"/>
          </w:pPr>
          <w:r w:rsidRPr="00CF1D2D">
            <w:rPr>
              <w:rStyle w:val="PlaceholderText"/>
            </w:rPr>
            <w:t>Click or tap here to enter text.</w:t>
          </w:r>
        </w:p>
      </w:docPartBody>
    </w:docPart>
    <w:docPart>
      <w:docPartPr>
        <w:name w:val="27B8B4E562CE41C4AA21561302A90B3E"/>
        <w:category>
          <w:name w:val="General"/>
          <w:gallery w:val="placeholder"/>
        </w:category>
        <w:types>
          <w:type w:val="bbPlcHdr"/>
        </w:types>
        <w:behaviors>
          <w:behavior w:val="content"/>
        </w:behaviors>
        <w:guid w:val="{56C1A2DC-C4D1-467A-ACBC-DE933FE4FB1D}"/>
      </w:docPartPr>
      <w:docPartBody>
        <w:p w:rsidR="00912F70" w:rsidRDefault="002E1BF6" w:rsidP="002E1BF6">
          <w:pPr>
            <w:pStyle w:val="27B8B4E562CE41C4AA21561302A90B3E"/>
          </w:pPr>
          <w:r w:rsidRPr="001E7C3C">
            <w:rPr>
              <w:rStyle w:val="PlaceholderText"/>
            </w:rPr>
            <w:t>Click or tap here to enter text.</w:t>
          </w:r>
        </w:p>
      </w:docPartBody>
    </w:docPart>
    <w:docPart>
      <w:docPartPr>
        <w:name w:val="6E74C414A3AD4DB0909E3E2A17E374A3"/>
        <w:category>
          <w:name w:val="General"/>
          <w:gallery w:val="placeholder"/>
        </w:category>
        <w:types>
          <w:type w:val="bbPlcHdr"/>
        </w:types>
        <w:behaviors>
          <w:behavior w:val="content"/>
        </w:behaviors>
        <w:guid w:val="{8C054BD7-EB55-4DCC-A1DF-36CB06185C75}"/>
      </w:docPartPr>
      <w:docPartBody>
        <w:p w:rsidR="00912F70" w:rsidRDefault="002E1BF6" w:rsidP="002E1BF6">
          <w:pPr>
            <w:pStyle w:val="6E74C414A3AD4DB0909E3E2A17E374A3"/>
          </w:pPr>
          <w:r w:rsidRPr="001E7C3C">
            <w:rPr>
              <w:rStyle w:val="PlaceholderText"/>
            </w:rPr>
            <w:t>Click or tap here to enter text.</w:t>
          </w:r>
        </w:p>
      </w:docPartBody>
    </w:docPart>
    <w:docPart>
      <w:docPartPr>
        <w:name w:val="60D6D903C50B4F6DBB81B49A08DA151F"/>
        <w:category>
          <w:name w:val="General"/>
          <w:gallery w:val="placeholder"/>
        </w:category>
        <w:types>
          <w:type w:val="bbPlcHdr"/>
        </w:types>
        <w:behaviors>
          <w:behavior w:val="content"/>
        </w:behaviors>
        <w:guid w:val="{A8BBEEDC-F8C6-44B4-A278-2F68B13B7706}"/>
      </w:docPartPr>
      <w:docPartBody>
        <w:p w:rsidR="00912F70" w:rsidRDefault="002E1BF6" w:rsidP="002E1BF6">
          <w:pPr>
            <w:pStyle w:val="60D6D903C50B4F6DBB81B49A08DA151F"/>
          </w:pPr>
          <w:r w:rsidRPr="001E7C3C">
            <w:rPr>
              <w:rStyle w:val="PlaceholderText"/>
            </w:rPr>
            <w:t>Click or tap here to enter text.</w:t>
          </w:r>
        </w:p>
      </w:docPartBody>
    </w:docPart>
    <w:docPart>
      <w:docPartPr>
        <w:name w:val="98525353BB7E48C3B4F2473B1A60536F"/>
        <w:category>
          <w:name w:val="General"/>
          <w:gallery w:val="placeholder"/>
        </w:category>
        <w:types>
          <w:type w:val="bbPlcHdr"/>
        </w:types>
        <w:behaviors>
          <w:behavior w:val="content"/>
        </w:behaviors>
        <w:guid w:val="{A107585A-9C9C-4C3E-8EC1-C3E2B90202F9}"/>
      </w:docPartPr>
      <w:docPartBody>
        <w:p w:rsidR="00912F70" w:rsidRDefault="002E1BF6" w:rsidP="002E1BF6">
          <w:pPr>
            <w:pStyle w:val="98525353BB7E48C3B4F2473B1A60536F"/>
          </w:pPr>
          <w:r w:rsidRPr="001E7C3C">
            <w:rPr>
              <w:rStyle w:val="PlaceholderText"/>
            </w:rPr>
            <w:t>Click or tap here to enter text.</w:t>
          </w:r>
        </w:p>
      </w:docPartBody>
    </w:docPart>
    <w:docPart>
      <w:docPartPr>
        <w:name w:val="0344FBAD615447368131F9069122BF42"/>
        <w:category>
          <w:name w:val="General"/>
          <w:gallery w:val="placeholder"/>
        </w:category>
        <w:types>
          <w:type w:val="bbPlcHdr"/>
        </w:types>
        <w:behaviors>
          <w:behavior w:val="content"/>
        </w:behaviors>
        <w:guid w:val="{E869EEE3-1885-4ED3-8731-6F1E4CE520CC}"/>
      </w:docPartPr>
      <w:docPartBody>
        <w:p w:rsidR="00912F70" w:rsidRDefault="002E1BF6" w:rsidP="002E1BF6">
          <w:pPr>
            <w:pStyle w:val="0344FBAD615447368131F9069122BF42"/>
          </w:pPr>
          <w:r w:rsidRPr="00177278">
            <w:rPr>
              <w:rStyle w:val="PlaceholderText"/>
            </w:rPr>
            <w:t>Click or tap here to enter text.</w:t>
          </w:r>
        </w:p>
      </w:docPartBody>
    </w:docPart>
    <w:docPart>
      <w:docPartPr>
        <w:name w:val="81EFE0A180694D889CA9B03BC46ADE43"/>
        <w:category>
          <w:name w:val="General"/>
          <w:gallery w:val="placeholder"/>
        </w:category>
        <w:types>
          <w:type w:val="bbPlcHdr"/>
        </w:types>
        <w:behaviors>
          <w:behavior w:val="content"/>
        </w:behaviors>
        <w:guid w:val="{9AF1C22E-BF16-4B11-978A-0E0BE78AE390}"/>
      </w:docPartPr>
      <w:docPartBody>
        <w:p w:rsidR="00912F70" w:rsidRDefault="002E1BF6" w:rsidP="002E1BF6">
          <w:pPr>
            <w:pStyle w:val="81EFE0A180694D889CA9B03BC46ADE43"/>
          </w:pPr>
          <w:r w:rsidRPr="00177278">
            <w:rPr>
              <w:rStyle w:val="PlaceholderText"/>
            </w:rPr>
            <w:t>Click or tap here to enter text.</w:t>
          </w:r>
        </w:p>
      </w:docPartBody>
    </w:docPart>
    <w:docPart>
      <w:docPartPr>
        <w:name w:val="1AB126D7811149A3BB4793AC76957BD7"/>
        <w:category>
          <w:name w:val="General"/>
          <w:gallery w:val="placeholder"/>
        </w:category>
        <w:types>
          <w:type w:val="bbPlcHdr"/>
        </w:types>
        <w:behaviors>
          <w:behavior w:val="content"/>
        </w:behaviors>
        <w:guid w:val="{B04B1B7B-1702-46E4-82DA-50B38D06143B}"/>
      </w:docPartPr>
      <w:docPartBody>
        <w:p w:rsidR="00912F70" w:rsidRDefault="002E1BF6" w:rsidP="002E1BF6">
          <w:pPr>
            <w:pStyle w:val="1AB126D7811149A3BB4793AC76957BD7"/>
          </w:pPr>
          <w:r w:rsidRPr="001E7C3C">
            <w:rPr>
              <w:rStyle w:val="PlaceholderText"/>
            </w:rPr>
            <w:t>Click or tap here to enter text.</w:t>
          </w:r>
        </w:p>
      </w:docPartBody>
    </w:docPart>
    <w:docPart>
      <w:docPartPr>
        <w:name w:val="38C580C4903D48A1B451030D6F0ABC21"/>
        <w:category>
          <w:name w:val="General"/>
          <w:gallery w:val="placeholder"/>
        </w:category>
        <w:types>
          <w:type w:val="bbPlcHdr"/>
        </w:types>
        <w:behaviors>
          <w:behavior w:val="content"/>
        </w:behaviors>
        <w:guid w:val="{5144F223-7AFF-42DC-8F66-61D6DFD60E1A}"/>
      </w:docPartPr>
      <w:docPartBody>
        <w:p w:rsidR="00912F70" w:rsidRDefault="002E1BF6" w:rsidP="002E1BF6">
          <w:pPr>
            <w:pStyle w:val="38C580C4903D48A1B451030D6F0ABC21"/>
          </w:pPr>
          <w:r w:rsidRPr="001E7C3C">
            <w:rPr>
              <w:rStyle w:val="PlaceholderText"/>
            </w:rPr>
            <w:t>Click or tap here to enter text.</w:t>
          </w:r>
        </w:p>
      </w:docPartBody>
    </w:docPart>
    <w:docPart>
      <w:docPartPr>
        <w:name w:val="996E20815D9E43E9A911C2BB96F0C6DB"/>
        <w:category>
          <w:name w:val="General"/>
          <w:gallery w:val="placeholder"/>
        </w:category>
        <w:types>
          <w:type w:val="bbPlcHdr"/>
        </w:types>
        <w:behaviors>
          <w:behavior w:val="content"/>
        </w:behaviors>
        <w:guid w:val="{02A0C0EE-4E68-4A96-A88E-C059899DCDE4}"/>
      </w:docPartPr>
      <w:docPartBody>
        <w:p w:rsidR="00912F70" w:rsidRDefault="002E1BF6" w:rsidP="002E1BF6">
          <w:pPr>
            <w:pStyle w:val="996E20815D9E43E9A911C2BB96F0C6DB"/>
          </w:pPr>
          <w:r w:rsidRPr="001E7C3C">
            <w:rPr>
              <w:rStyle w:val="PlaceholderText"/>
            </w:rPr>
            <w:t>Click or tap here to enter text.</w:t>
          </w:r>
        </w:p>
      </w:docPartBody>
    </w:docPart>
    <w:docPart>
      <w:docPartPr>
        <w:name w:val="AAD52DCEEC2F414D80D605056B5570A2"/>
        <w:category>
          <w:name w:val="General"/>
          <w:gallery w:val="placeholder"/>
        </w:category>
        <w:types>
          <w:type w:val="bbPlcHdr"/>
        </w:types>
        <w:behaviors>
          <w:behavior w:val="content"/>
        </w:behaviors>
        <w:guid w:val="{7E821B96-856C-441D-A4FB-B874DED4BB1A}"/>
      </w:docPartPr>
      <w:docPartBody>
        <w:p w:rsidR="00912F70" w:rsidRDefault="002E1BF6" w:rsidP="002E1BF6">
          <w:pPr>
            <w:pStyle w:val="AAD52DCEEC2F414D80D605056B5570A2"/>
          </w:pPr>
          <w:r w:rsidRPr="001E7C3C">
            <w:rPr>
              <w:rStyle w:val="PlaceholderText"/>
            </w:rPr>
            <w:t>Click or tap here to enter text.</w:t>
          </w:r>
        </w:p>
      </w:docPartBody>
    </w:docPart>
    <w:docPart>
      <w:docPartPr>
        <w:name w:val="4613FEB2973A4379AEF5B6383DBB6514"/>
        <w:category>
          <w:name w:val="General"/>
          <w:gallery w:val="placeholder"/>
        </w:category>
        <w:types>
          <w:type w:val="bbPlcHdr"/>
        </w:types>
        <w:behaviors>
          <w:behavior w:val="content"/>
        </w:behaviors>
        <w:guid w:val="{DDFBB135-D9CA-46F1-A2DD-19539BF6CA4D}"/>
      </w:docPartPr>
      <w:docPartBody>
        <w:p w:rsidR="00912F70" w:rsidRDefault="002E1BF6" w:rsidP="002E1BF6">
          <w:pPr>
            <w:pStyle w:val="4613FEB2973A4379AEF5B6383DBB6514"/>
          </w:pPr>
          <w:r w:rsidRPr="001E7C3C">
            <w:rPr>
              <w:rStyle w:val="PlaceholderText"/>
            </w:rPr>
            <w:t>Click or tap here to enter text.</w:t>
          </w:r>
        </w:p>
      </w:docPartBody>
    </w:docPart>
    <w:docPart>
      <w:docPartPr>
        <w:name w:val="5EE44B101D6D4AF79413C15EF4458347"/>
        <w:category>
          <w:name w:val="General"/>
          <w:gallery w:val="placeholder"/>
        </w:category>
        <w:types>
          <w:type w:val="bbPlcHdr"/>
        </w:types>
        <w:behaviors>
          <w:behavior w:val="content"/>
        </w:behaviors>
        <w:guid w:val="{169FF01C-7A78-4350-AE76-2BD8B03CA1E0}"/>
      </w:docPartPr>
      <w:docPartBody>
        <w:p w:rsidR="00912F70" w:rsidRDefault="002E1BF6" w:rsidP="002E1BF6">
          <w:pPr>
            <w:pStyle w:val="5EE44B101D6D4AF79413C15EF4458347"/>
          </w:pPr>
          <w:r w:rsidRPr="001E7C3C">
            <w:rPr>
              <w:rStyle w:val="PlaceholderText"/>
            </w:rPr>
            <w:t>Click or tap here to enter text.</w:t>
          </w:r>
        </w:p>
      </w:docPartBody>
    </w:docPart>
    <w:docPart>
      <w:docPartPr>
        <w:name w:val="73D5ED09B0524596B20B4BE82EB7D0AE"/>
        <w:category>
          <w:name w:val="General"/>
          <w:gallery w:val="placeholder"/>
        </w:category>
        <w:types>
          <w:type w:val="bbPlcHdr"/>
        </w:types>
        <w:behaviors>
          <w:behavior w:val="content"/>
        </w:behaviors>
        <w:guid w:val="{36CA340D-BF67-4389-B390-092B29DA849A}"/>
      </w:docPartPr>
      <w:docPartBody>
        <w:p w:rsidR="00912F70" w:rsidRDefault="002E1BF6" w:rsidP="002E1BF6">
          <w:pPr>
            <w:pStyle w:val="73D5ED09B0524596B20B4BE82EB7D0AE"/>
          </w:pPr>
          <w:r w:rsidRPr="001E7C3C">
            <w:rPr>
              <w:rStyle w:val="PlaceholderText"/>
            </w:rPr>
            <w:t>Click or tap here to enter text.</w:t>
          </w:r>
        </w:p>
      </w:docPartBody>
    </w:docPart>
    <w:docPart>
      <w:docPartPr>
        <w:name w:val="36BFDADADB554566B89C2E6642C05351"/>
        <w:category>
          <w:name w:val="General"/>
          <w:gallery w:val="placeholder"/>
        </w:category>
        <w:types>
          <w:type w:val="bbPlcHdr"/>
        </w:types>
        <w:behaviors>
          <w:behavior w:val="content"/>
        </w:behaviors>
        <w:guid w:val="{C95C9BD9-E31E-4CD0-A57B-06DC89FACD4A}"/>
      </w:docPartPr>
      <w:docPartBody>
        <w:p w:rsidR="00912F70" w:rsidRDefault="002E1BF6" w:rsidP="002E1BF6">
          <w:pPr>
            <w:pStyle w:val="36BFDADADB554566B89C2E6642C05351"/>
          </w:pPr>
          <w:r w:rsidRPr="001E7C3C">
            <w:rPr>
              <w:rStyle w:val="PlaceholderText"/>
            </w:rPr>
            <w:t>Click or tap here to enter text.</w:t>
          </w:r>
        </w:p>
      </w:docPartBody>
    </w:docPart>
    <w:docPart>
      <w:docPartPr>
        <w:name w:val="7083B277ED304171A49EEA19539C604A"/>
        <w:category>
          <w:name w:val="General"/>
          <w:gallery w:val="placeholder"/>
        </w:category>
        <w:types>
          <w:type w:val="bbPlcHdr"/>
        </w:types>
        <w:behaviors>
          <w:behavior w:val="content"/>
        </w:behaviors>
        <w:guid w:val="{6B8571FE-80CB-4BEA-8726-FF36072764D1}"/>
      </w:docPartPr>
      <w:docPartBody>
        <w:p w:rsidR="00912F70" w:rsidRDefault="002E1BF6" w:rsidP="002E1BF6">
          <w:pPr>
            <w:pStyle w:val="7083B277ED304171A49EEA19539C604A"/>
          </w:pPr>
          <w:r w:rsidRPr="001E7C3C">
            <w:rPr>
              <w:rStyle w:val="PlaceholderText"/>
            </w:rPr>
            <w:t>Click or tap here to enter text.</w:t>
          </w:r>
        </w:p>
      </w:docPartBody>
    </w:docPart>
    <w:docPart>
      <w:docPartPr>
        <w:name w:val="D9691283D94745469B3FA0644E54AB26"/>
        <w:category>
          <w:name w:val="General"/>
          <w:gallery w:val="placeholder"/>
        </w:category>
        <w:types>
          <w:type w:val="bbPlcHdr"/>
        </w:types>
        <w:behaviors>
          <w:behavior w:val="content"/>
        </w:behaviors>
        <w:guid w:val="{40C13124-2EFF-4BC3-8B80-DB4DC42331A5}"/>
      </w:docPartPr>
      <w:docPartBody>
        <w:p w:rsidR="00912F70" w:rsidRDefault="002E1BF6" w:rsidP="002E1BF6">
          <w:pPr>
            <w:pStyle w:val="D9691283D94745469B3FA0644E54AB26"/>
          </w:pPr>
          <w:r w:rsidRPr="00177278">
            <w:rPr>
              <w:rStyle w:val="PlaceholderText"/>
            </w:rPr>
            <w:t>Click or tap here to enter text.</w:t>
          </w:r>
        </w:p>
      </w:docPartBody>
    </w:docPart>
    <w:docPart>
      <w:docPartPr>
        <w:name w:val="9D95F0A892894527B00E784883EBCC5C"/>
        <w:category>
          <w:name w:val="General"/>
          <w:gallery w:val="placeholder"/>
        </w:category>
        <w:types>
          <w:type w:val="bbPlcHdr"/>
        </w:types>
        <w:behaviors>
          <w:behavior w:val="content"/>
        </w:behaviors>
        <w:guid w:val="{DA38DC92-6E42-49EB-B5FA-ACCD178F31C6}"/>
      </w:docPartPr>
      <w:docPartBody>
        <w:p w:rsidR="00912F70" w:rsidRDefault="002E1BF6" w:rsidP="002E1BF6">
          <w:pPr>
            <w:pStyle w:val="9D95F0A892894527B00E784883EBCC5C"/>
          </w:pPr>
          <w:r w:rsidRPr="00177278">
            <w:rPr>
              <w:rStyle w:val="PlaceholderText"/>
            </w:rPr>
            <w:t>Click or tap here to enter text.</w:t>
          </w:r>
        </w:p>
      </w:docPartBody>
    </w:docPart>
    <w:docPart>
      <w:docPartPr>
        <w:name w:val="9FF198A4A0024CE88D9CE952CDBA93CE"/>
        <w:category>
          <w:name w:val="General"/>
          <w:gallery w:val="placeholder"/>
        </w:category>
        <w:types>
          <w:type w:val="bbPlcHdr"/>
        </w:types>
        <w:behaviors>
          <w:behavior w:val="content"/>
        </w:behaviors>
        <w:guid w:val="{CD69F2F2-80FC-4B2F-BE03-D8DAB7273E29}"/>
      </w:docPartPr>
      <w:docPartBody>
        <w:p w:rsidR="00912F70" w:rsidRDefault="002E1BF6" w:rsidP="002E1BF6">
          <w:pPr>
            <w:pStyle w:val="9FF198A4A0024CE88D9CE952CDBA93CE"/>
          </w:pPr>
          <w:r w:rsidRPr="001E7C3C">
            <w:rPr>
              <w:rStyle w:val="PlaceholderText"/>
            </w:rPr>
            <w:t>Click or tap here to enter text.</w:t>
          </w:r>
        </w:p>
      </w:docPartBody>
    </w:docPart>
    <w:docPart>
      <w:docPartPr>
        <w:name w:val="257080ECC563462A8DAA0816530C33CD"/>
        <w:category>
          <w:name w:val="General"/>
          <w:gallery w:val="placeholder"/>
        </w:category>
        <w:types>
          <w:type w:val="bbPlcHdr"/>
        </w:types>
        <w:behaviors>
          <w:behavior w:val="content"/>
        </w:behaviors>
        <w:guid w:val="{D62BFF7C-745B-4D28-B17B-D18D06962D8D}"/>
      </w:docPartPr>
      <w:docPartBody>
        <w:p w:rsidR="00912F70" w:rsidRDefault="002E1BF6" w:rsidP="002E1BF6">
          <w:pPr>
            <w:pStyle w:val="257080ECC563462A8DAA0816530C33CD"/>
          </w:pPr>
          <w:r w:rsidRPr="001E7C3C">
            <w:rPr>
              <w:rStyle w:val="PlaceholderText"/>
            </w:rPr>
            <w:t>Click or tap here to enter text.</w:t>
          </w:r>
        </w:p>
      </w:docPartBody>
    </w:docPart>
    <w:docPart>
      <w:docPartPr>
        <w:name w:val="225AC319605A4E89B95F3E25EDE44B5B"/>
        <w:category>
          <w:name w:val="General"/>
          <w:gallery w:val="placeholder"/>
        </w:category>
        <w:types>
          <w:type w:val="bbPlcHdr"/>
        </w:types>
        <w:behaviors>
          <w:behavior w:val="content"/>
        </w:behaviors>
        <w:guid w:val="{8ADF4269-F5AD-4B17-A425-A058342DA2D5}"/>
      </w:docPartPr>
      <w:docPartBody>
        <w:p w:rsidR="00912F70" w:rsidRDefault="002E1BF6" w:rsidP="002E1BF6">
          <w:pPr>
            <w:pStyle w:val="225AC319605A4E89B95F3E25EDE44B5B"/>
          </w:pPr>
          <w:r w:rsidRPr="001E7C3C">
            <w:rPr>
              <w:rStyle w:val="PlaceholderText"/>
            </w:rPr>
            <w:t>Click or tap here to enter text.</w:t>
          </w:r>
        </w:p>
      </w:docPartBody>
    </w:docPart>
    <w:docPart>
      <w:docPartPr>
        <w:name w:val="1206EA927CB544D680DE9AE177BDE265"/>
        <w:category>
          <w:name w:val="General"/>
          <w:gallery w:val="placeholder"/>
        </w:category>
        <w:types>
          <w:type w:val="bbPlcHdr"/>
        </w:types>
        <w:behaviors>
          <w:behavior w:val="content"/>
        </w:behaviors>
        <w:guid w:val="{2C14BF53-08C9-4A50-9D41-5828FC3A122B}"/>
      </w:docPartPr>
      <w:docPartBody>
        <w:p w:rsidR="00912F70" w:rsidRDefault="002E1BF6" w:rsidP="002E1BF6">
          <w:pPr>
            <w:pStyle w:val="1206EA927CB544D680DE9AE177BDE265"/>
          </w:pPr>
          <w:r w:rsidRPr="001E7C3C">
            <w:rPr>
              <w:rStyle w:val="PlaceholderText"/>
            </w:rPr>
            <w:t>Click or tap here to enter text.</w:t>
          </w:r>
        </w:p>
      </w:docPartBody>
    </w:docPart>
    <w:docPart>
      <w:docPartPr>
        <w:name w:val="DAFC58B2336D4BF485F8B267C07DC091"/>
        <w:category>
          <w:name w:val="General"/>
          <w:gallery w:val="placeholder"/>
        </w:category>
        <w:types>
          <w:type w:val="bbPlcHdr"/>
        </w:types>
        <w:behaviors>
          <w:behavior w:val="content"/>
        </w:behaviors>
        <w:guid w:val="{CD07CF0B-FDCE-4905-83CE-20DEA882C3BA}"/>
      </w:docPartPr>
      <w:docPartBody>
        <w:p w:rsidR="00912F70" w:rsidRDefault="002E1BF6" w:rsidP="002E1BF6">
          <w:pPr>
            <w:pStyle w:val="DAFC58B2336D4BF485F8B267C07DC091"/>
          </w:pPr>
          <w:r w:rsidRPr="001E7C3C">
            <w:rPr>
              <w:rStyle w:val="PlaceholderText"/>
            </w:rPr>
            <w:t>Click or tap here to enter text.</w:t>
          </w:r>
        </w:p>
      </w:docPartBody>
    </w:docPart>
    <w:docPart>
      <w:docPartPr>
        <w:name w:val="2F10017805E248D4A09BE0B8D78AE10B"/>
        <w:category>
          <w:name w:val="General"/>
          <w:gallery w:val="placeholder"/>
        </w:category>
        <w:types>
          <w:type w:val="bbPlcHdr"/>
        </w:types>
        <w:behaviors>
          <w:behavior w:val="content"/>
        </w:behaviors>
        <w:guid w:val="{9B008348-DEFC-4FED-B4F4-371A7DDAB4AE}"/>
      </w:docPartPr>
      <w:docPartBody>
        <w:p w:rsidR="00912F70" w:rsidRDefault="002E1BF6" w:rsidP="002E1BF6">
          <w:pPr>
            <w:pStyle w:val="2F10017805E248D4A09BE0B8D78AE10B"/>
          </w:pPr>
          <w:r w:rsidRPr="001E7C3C">
            <w:rPr>
              <w:rStyle w:val="PlaceholderText"/>
            </w:rPr>
            <w:t>Click or tap here to enter text.</w:t>
          </w:r>
        </w:p>
      </w:docPartBody>
    </w:docPart>
    <w:docPart>
      <w:docPartPr>
        <w:name w:val="9D8714EC30BB466390E427FCBEFAA6E4"/>
        <w:category>
          <w:name w:val="General"/>
          <w:gallery w:val="placeholder"/>
        </w:category>
        <w:types>
          <w:type w:val="bbPlcHdr"/>
        </w:types>
        <w:behaviors>
          <w:behavior w:val="content"/>
        </w:behaviors>
        <w:guid w:val="{53801AB2-5C2F-459C-8972-D741344A0AB2}"/>
      </w:docPartPr>
      <w:docPartBody>
        <w:p w:rsidR="00912F70" w:rsidRDefault="002E1BF6" w:rsidP="002E1BF6">
          <w:pPr>
            <w:pStyle w:val="9D8714EC30BB466390E427FCBEFAA6E4"/>
          </w:pPr>
          <w:r w:rsidRPr="001E7C3C">
            <w:rPr>
              <w:rStyle w:val="PlaceholderText"/>
            </w:rPr>
            <w:t>Click or tap here to enter text.</w:t>
          </w:r>
        </w:p>
      </w:docPartBody>
    </w:docPart>
    <w:docPart>
      <w:docPartPr>
        <w:name w:val="DF6AA242552F4AD1BDFA2AAF11A66CA7"/>
        <w:category>
          <w:name w:val="General"/>
          <w:gallery w:val="placeholder"/>
        </w:category>
        <w:types>
          <w:type w:val="bbPlcHdr"/>
        </w:types>
        <w:behaviors>
          <w:behavior w:val="content"/>
        </w:behaviors>
        <w:guid w:val="{F7E0AC31-E0EB-4A6A-912C-B7CE011496D8}"/>
      </w:docPartPr>
      <w:docPartBody>
        <w:p w:rsidR="00912F70" w:rsidRDefault="002E1BF6" w:rsidP="002E1BF6">
          <w:pPr>
            <w:pStyle w:val="DF6AA242552F4AD1BDFA2AAF11A66CA7"/>
          </w:pPr>
          <w:r w:rsidRPr="001E7C3C">
            <w:rPr>
              <w:rStyle w:val="PlaceholderText"/>
            </w:rPr>
            <w:t>Click or tap here to enter text.</w:t>
          </w:r>
        </w:p>
      </w:docPartBody>
    </w:docPart>
    <w:docPart>
      <w:docPartPr>
        <w:name w:val="B184D07382604B3A9D9862780F80A967"/>
        <w:category>
          <w:name w:val="General"/>
          <w:gallery w:val="placeholder"/>
        </w:category>
        <w:types>
          <w:type w:val="bbPlcHdr"/>
        </w:types>
        <w:behaviors>
          <w:behavior w:val="content"/>
        </w:behaviors>
        <w:guid w:val="{AA743CDB-E099-4868-9359-6C71BB5CD367}"/>
      </w:docPartPr>
      <w:docPartBody>
        <w:p w:rsidR="00912F70" w:rsidRDefault="002E1BF6" w:rsidP="002E1BF6">
          <w:pPr>
            <w:pStyle w:val="B184D07382604B3A9D9862780F80A967"/>
          </w:pPr>
          <w:r w:rsidRPr="008C7FC3">
            <w:rPr>
              <w:rStyle w:val="PlaceholderText"/>
            </w:rPr>
            <w:t>Click or tap here to enter text.</w:t>
          </w:r>
        </w:p>
      </w:docPartBody>
    </w:docPart>
    <w:docPart>
      <w:docPartPr>
        <w:name w:val="626D61CAF1F0494285A1AEBA36A68D58"/>
        <w:category>
          <w:name w:val="General"/>
          <w:gallery w:val="placeholder"/>
        </w:category>
        <w:types>
          <w:type w:val="bbPlcHdr"/>
        </w:types>
        <w:behaviors>
          <w:behavior w:val="content"/>
        </w:behaviors>
        <w:guid w:val="{C07DD2C9-E5F7-4F7B-8B44-051A5A8E7654}"/>
      </w:docPartPr>
      <w:docPartBody>
        <w:p w:rsidR="00912F70" w:rsidRDefault="002E1BF6" w:rsidP="002E1BF6">
          <w:pPr>
            <w:pStyle w:val="626D61CAF1F0494285A1AEBA36A68D58"/>
          </w:pPr>
          <w:r w:rsidRPr="008C7FC3">
            <w:rPr>
              <w:rStyle w:val="PlaceholderText"/>
            </w:rPr>
            <w:t>Click or tap here to enter text.</w:t>
          </w:r>
        </w:p>
      </w:docPartBody>
    </w:docPart>
    <w:docPart>
      <w:docPartPr>
        <w:name w:val="93A060B8B1984A99B24C02834FA6F24B"/>
        <w:category>
          <w:name w:val="General"/>
          <w:gallery w:val="placeholder"/>
        </w:category>
        <w:types>
          <w:type w:val="bbPlcHdr"/>
        </w:types>
        <w:behaviors>
          <w:behavior w:val="content"/>
        </w:behaviors>
        <w:guid w:val="{549187CE-BB71-4E95-95C8-B4D6FFA82F04}"/>
      </w:docPartPr>
      <w:docPartBody>
        <w:p w:rsidR="00912F70" w:rsidRDefault="002E1BF6" w:rsidP="002E1BF6">
          <w:pPr>
            <w:pStyle w:val="93A060B8B1984A99B24C02834FA6F24B"/>
          </w:pPr>
          <w:r w:rsidRPr="008C7FC3">
            <w:rPr>
              <w:rStyle w:val="PlaceholderText"/>
            </w:rPr>
            <w:t>Click or tap here to enter text.</w:t>
          </w:r>
        </w:p>
      </w:docPartBody>
    </w:docPart>
    <w:docPart>
      <w:docPartPr>
        <w:name w:val="E1F17D9B83074145914A0BAB9686C4B9"/>
        <w:category>
          <w:name w:val="General"/>
          <w:gallery w:val="placeholder"/>
        </w:category>
        <w:types>
          <w:type w:val="bbPlcHdr"/>
        </w:types>
        <w:behaviors>
          <w:behavior w:val="content"/>
        </w:behaviors>
        <w:guid w:val="{92BACB70-05AF-4979-ACEB-112DB9DADB9C}"/>
      </w:docPartPr>
      <w:docPartBody>
        <w:p w:rsidR="00912F70" w:rsidRDefault="002E1BF6" w:rsidP="002E1BF6">
          <w:pPr>
            <w:pStyle w:val="E1F17D9B83074145914A0BAB9686C4B9"/>
          </w:pPr>
          <w:r w:rsidRPr="008C7FC3">
            <w:rPr>
              <w:rStyle w:val="PlaceholderText"/>
            </w:rPr>
            <w:t>Click or tap here to enter text.</w:t>
          </w:r>
        </w:p>
      </w:docPartBody>
    </w:docPart>
    <w:docPart>
      <w:docPartPr>
        <w:name w:val="98E2B094F9784515B6E8F7B43E7137EF"/>
        <w:category>
          <w:name w:val="General"/>
          <w:gallery w:val="placeholder"/>
        </w:category>
        <w:types>
          <w:type w:val="bbPlcHdr"/>
        </w:types>
        <w:behaviors>
          <w:behavior w:val="content"/>
        </w:behaviors>
        <w:guid w:val="{51E1E93C-BEF9-4126-A2EE-04AED783D666}"/>
      </w:docPartPr>
      <w:docPartBody>
        <w:p w:rsidR="00912F70" w:rsidRDefault="002E1BF6" w:rsidP="002E1BF6">
          <w:pPr>
            <w:pStyle w:val="98E2B094F9784515B6E8F7B43E7137EF"/>
          </w:pPr>
          <w:r w:rsidRPr="00177278">
            <w:rPr>
              <w:rStyle w:val="PlaceholderText"/>
            </w:rPr>
            <w:t>Click or tap here to enter text.</w:t>
          </w:r>
        </w:p>
      </w:docPartBody>
    </w:docPart>
    <w:docPart>
      <w:docPartPr>
        <w:name w:val="0491B8AF31AF43048EE2AD26189A8A04"/>
        <w:category>
          <w:name w:val="General"/>
          <w:gallery w:val="placeholder"/>
        </w:category>
        <w:types>
          <w:type w:val="bbPlcHdr"/>
        </w:types>
        <w:behaviors>
          <w:behavior w:val="content"/>
        </w:behaviors>
        <w:guid w:val="{74D83C68-3821-441D-BF96-70A078D56DBE}"/>
      </w:docPartPr>
      <w:docPartBody>
        <w:p w:rsidR="00912F70" w:rsidRDefault="002E1BF6" w:rsidP="002E1BF6">
          <w:pPr>
            <w:pStyle w:val="0491B8AF31AF43048EE2AD26189A8A04"/>
          </w:pPr>
          <w:r w:rsidRPr="00177278">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E070894A-1901-4FD0-9927-5FC208D9DD2B}"/>
      </w:docPartPr>
      <w:docPartBody>
        <w:p w:rsidR="00912F70" w:rsidRDefault="002E1BF6">
          <w:r w:rsidRPr="00E15974">
            <w:rPr>
              <w:rStyle w:val="PlaceholderText"/>
            </w:rPr>
            <w:t>Click or tap here to enter text.</w:t>
          </w:r>
        </w:p>
      </w:docPartBody>
    </w:docPart>
    <w:docPart>
      <w:docPartPr>
        <w:name w:val="50D1BD66759846E1B39A57DB2D9E7565"/>
        <w:category>
          <w:name w:val="General"/>
          <w:gallery w:val="placeholder"/>
        </w:category>
        <w:types>
          <w:type w:val="bbPlcHdr"/>
        </w:types>
        <w:behaviors>
          <w:behavior w:val="content"/>
        </w:behaviors>
        <w:guid w:val="{97F8B12B-E39F-4FED-899A-5D5C186778AD}"/>
      </w:docPartPr>
      <w:docPartBody>
        <w:p w:rsidR="001532F3" w:rsidRDefault="00294474" w:rsidP="00294474">
          <w:pPr>
            <w:pStyle w:val="50D1BD66759846E1B39A57DB2D9E7565"/>
          </w:pPr>
          <w:r w:rsidRPr="00177278">
            <w:rPr>
              <w:rStyle w:val="PlaceholderText"/>
            </w:rPr>
            <w:t>Click or tap here to enter text.</w:t>
          </w:r>
        </w:p>
      </w:docPartBody>
    </w:docPart>
    <w:docPart>
      <w:docPartPr>
        <w:name w:val="AA7684FDEF9046F9BEB971E62CE90F98"/>
        <w:category>
          <w:name w:val="General"/>
          <w:gallery w:val="placeholder"/>
        </w:category>
        <w:types>
          <w:type w:val="bbPlcHdr"/>
        </w:types>
        <w:behaviors>
          <w:behavior w:val="content"/>
        </w:behaviors>
        <w:guid w:val="{FF31474F-7AAC-4B20-B60A-E45D9E58E799}"/>
      </w:docPartPr>
      <w:docPartBody>
        <w:p w:rsidR="00767508" w:rsidRDefault="007404DF" w:rsidP="007404DF">
          <w:pPr>
            <w:pStyle w:val="AA7684FDEF9046F9BEB971E62CE90F98"/>
          </w:pPr>
          <w:r w:rsidRPr="00177278">
            <w:rPr>
              <w:rStyle w:val="PlaceholderText"/>
            </w:rPr>
            <w:t>Click or tap here to enter text.</w:t>
          </w:r>
        </w:p>
      </w:docPartBody>
    </w:docPart>
    <w:docPart>
      <w:docPartPr>
        <w:name w:val="8719FD655821472DA8D812D0C903C22D"/>
        <w:category>
          <w:name w:val="General"/>
          <w:gallery w:val="placeholder"/>
        </w:category>
        <w:types>
          <w:type w:val="bbPlcHdr"/>
        </w:types>
        <w:behaviors>
          <w:behavior w:val="content"/>
        </w:behaviors>
        <w:guid w:val="{ED6FD386-01EF-4E4E-9AD4-AFB42FCF5F02}"/>
      </w:docPartPr>
      <w:docPartBody>
        <w:p w:rsidR="00760BCB" w:rsidRDefault="00DC5A85" w:rsidP="00DC5A85">
          <w:pPr>
            <w:pStyle w:val="8719FD655821472DA8D812D0C903C22D"/>
          </w:pPr>
          <w:r w:rsidRPr="001E7C3C">
            <w:rPr>
              <w:rStyle w:val="PlaceholderText"/>
            </w:rPr>
            <w:t>Click or tap here to enter text.</w:t>
          </w:r>
        </w:p>
      </w:docPartBody>
    </w:docPart>
    <w:docPart>
      <w:docPartPr>
        <w:name w:val="A6CA3C147ADD456687359C0C86C3EE7B"/>
        <w:category>
          <w:name w:val="General"/>
          <w:gallery w:val="placeholder"/>
        </w:category>
        <w:types>
          <w:type w:val="bbPlcHdr"/>
        </w:types>
        <w:behaviors>
          <w:behavior w:val="content"/>
        </w:behaviors>
        <w:guid w:val="{5365E87D-12BC-49C5-894B-95DD7AE696C7}"/>
      </w:docPartPr>
      <w:docPartBody>
        <w:p w:rsidR="00760BCB" w:rsidRDefault="00DC5A85" w:rsidP="00DC5A85">
          <w:pPr>
            <w:pStyle w:val="A6CA3C147ADD456687359C0C86C3EE7B"/>
          </w:pPr>
          <w:r w:rsidRPr="00D31CA5">
            <w:rPr>
              <w:rStyle w:val="PlaceholderText"/>
            </w:rPr>
            <w:t>Click or tap here to enter text.</w:t>
          </w:r>
        </w:p>
      </w:docPartBody>
    </w:docPart>
    <w:docPart>
      <w:docPartPr>
        <w:name w:val="366C8FAAE48C47248CD7728B657AA205"/>
        <w:category>
          <w:name w:val="General"/>
          <w:gallery w:val="placeholder"/>
        </w:category>
        <w:types>
          <w:type w:val="bbPlcHdr"/>
        </w:types>
        <w:behaviors>
          <w:behavior w:val="content"/>
        </w:behaviors>
        <w:guid w:val="{2312E35D-5064-4E72-80C0-C72817437EB1}"/>
      </w:docPartPr>
      <w:docPartBody>
        <w:p w:rsidR="00760BCB" w:rsidRDefault="00DC5A85" w:rsidP="00DC5A85">
          <w:pPr>
            <w:pStyle w:val="366C8FAAE48C47248CD7728B657AA205"/>
          </w:pPr>
          <w:r w:rsidRPr="00D31CA5">
            <w:rPr>
              <w:rStyle w:val="PlaceholderText"/>
            </w:rPr>
            <w:t>Click or tap here to enter text.</w:t>
          </w:r>
        </w:p>
      </w:docPartBody>
    </w:docPart>
    <w:docPart>
      <w:docPartPr>
        <w:name w:val="927EC0973E954B36A36C07E87FEBD57A"/>
        <w:category>
          <w:name w:val="General"/>
          <w:gallery w:val="placeholder"/>
        </w:category>
        <w:types>
          <w:type w:val="bbPlcHdr"/>
        </w:types>
        <w:behaviors>
          <w:behavior w:val="content"/>
        </w:behaviors>
        <w:guid w:val="{97A8CCD3-D522-41F7-8FD9-1F8F2D06E153}"/>
      </w:docPartPr>
      <w:docPartBody>
        <w:p w:rsidR="00760BCB" w:rsidRDefault="00DC5A85" w:rsidP="00DC5A85">
          <w:pPr>
            <w:pStyle w:val="927EC0973E954B36A36C07E87FEBD57A"/>
          </w:pPr>
          <w:r w:rsidRPr="00DD419A">
            <w:rPr>
              <w:rStyle w:val="PlaceholderText"/>
            </w:rPr>
            <w:t>Click or tap here to enter text.</w:t>
          </w:r>
        </w:p>
      </w:docPartBody>
    </w:docPart>
    <w:docPart>
      <w:docPartPr>
        <w:name w:val="E5A116FE1A434249ACC8983FBB6C90CD"/>
        <w:category>
          <w:name w:val="General"/>
          <w:gallery w:val="placeholder"/>
        </w:category>
        <w:types>
          <w:type w:val="bbPlcHdr"/>
        </w:types>
        <w:behaviors>
          <w:behavior w:val="content"/>
        </w:behaviors>
        <w:guid w:val="{BF00212C-3E0C-4041-AF81-5A8C3F9EE2B5}"/>
      </w:docPartPr>
      <w:docPartBody>
        <w:p w:rsidR="00760BCB" w:rsidRDefault="00DC5A85" w:rsidP="00DC5A85">
          <w:pPr>
            <w:pStyle w:val="E5A116FE1A434249ACC8983FBB6C90CD"/>
          </w:pPr>
          <w:r w:rsidRPr="00D31CA5">
            <w:rPr>
              <w:rStyle w:val="PlaceholderText"/>
            </w:rPr>
            <w:t>Click or tap here to enter text.</w:t>
          </w:r>
        </w:p>
      </w:docPartBody>
    </w:docPart>
    <w:docPart>
      <w:docPartPr>
        <w:name w:val="254C660CF40F4C26BD45F203E9606DDA"/>
        <w:category>
          <w:name w:val="General"/>
          <w:gallery w:val="placeholder"/>
        </w:category>
        <w:types>
          <w:type w:val="bbPlcHdr"/>
        </w:types>
        <w:behaviors>
          <w:behavior w:val="content"/>
        </w:behaviors>
        <w:guid w:val="{BC170A65-5B46-43CC-A6DF-514A3EF20D35}"/>
      </w:docPartPr>
      <w:docPartBody>
        <w:p w:rsidR="00760BCB" w:rsidRDefault="00DC5A85" w:rsidP="00DC5A85">
          <w:pPr>
            <w:pStyle w:val="254C660CF40F4C26BD45F203E9606DDA"/>
          </w:pPr>
          <w:r w:rsidRPr="00D31CA5">
            <w:rPr>
              <w:rStyle w:val="PlaceholderText"/>
            </w:rPr>
            <w:t>Click or tap here to enter text.</w:t>
          </w:r>
        </w:p>
      </w:docPartBody>
    </w:docPart>
    <w:docPart>
      <w:docPartPr>
        <w:name w:val="0B3937618FEE4EFD876876B93776DAE0"/>
        <w:category>
          <w:name w:val="General"/>
          <w:gallery w:val="placeholder"/>
        </w:category>
        <w:types>
          <w:type w:val="bbPlcHdr"/>
        </w:types>
        <w:behaviors>
          <w:behavior w:val="content"/>
        </w:behaviors>
        <w:guid w:val="{030CDC1F-7340-4AC3-A64B-18E1A7C6D289}"/>
      </w:docPartPr>
      <w:docPartBody>
        <w:p w:rsidR="00760BCB" w:rsidRDefault="00DC5A85" w:rsidP="00DC5A85">
          <w:pPr>
            <w:pStyle w:val="0B3937618FEE4EFD876876B93776DAE0"/>
          </w:pPr>
          <w:r w:rsidRPr="00DD419A">
            <w:rPr>
              <w:rStyle w:val="PlaceholderText"/>
            </w:rPr>
            <w:t>Click or tap here to enter text.</w:t>
          </w:r>
        </w:p>
      </w:docPartBody>
    </w:docPart>
    <w:docPart>
      <w:docPartPr>
        <w:name w:val="430F9D1CF6594998B1BC9C4C1D029E8C"/>
        <w:category>
          <w:name w:val="General"/>
          <w:gallery w:val="placeholder"/>
        </w:category>
        <w:types>
          <w:type w:val="bbPlcHdr"/>
        </w:types>
        <w:behaviors>
          <w:behavior w:val="content"/>
        </w:behaviors>
        <w:guid w:val="{17CB7261-F326-4FD9-BE6A-49BD5D1CB94B}"/>
      </w:docPartPr>
      <w:docPartBody>
        <w:p w:rsidR="00760BCB" w:rsidRDefault="00DC5A85" w:rsidP="00DC5A85">
          <w:pPr>
            <w:pStyle w:val="430F9D1CF6594998B1BC9C4C1D029E8C"/>
          </w:pPr>
          <w:r w:rsidRPr="00C66281">
            <w:rPr>
              <w:rStyle w:val="PlaceholderText"/>
            </w:rPr>
            <w:t>Click or tap here to enter text.</w:t>
          </w:r>
        </w:p>
      </w:docPartBody>
    </w:docPart>
    <w:docPart>
      <w:docPartPr>
        <w:name w:val="65868B4DA3C049EC8CCDDD251FE5D1A6"/>
        <w:category>
          <w:name w:val="General"/>
          <w:gallery w:val="placeholder"/>
        </w:category>
        <w:types>
          <w:type w:val="bbPlcHdr"/>
        </w:types>
        <w:behaviors>
          <w:behavior w:val="content"/>
        </w:behaviors>
        <w:guid w:val="{7C6198C4-A377-46E8-92EB-BF28153D1D47}"/>
      </w:docPartPr>
      <w:docPartBody>
        <w:p w:rsidR="00760BCB" w:rsidRDefault="00DC5A85" w:rsidP="00DC5A85">
          <w:pPr>
            <w:pStyle w:val="65868B4DA3C049EC8CCDDD251FE5D1A6"/>
          </w:pPr>
          <w:r w:rsidRPr="00C66281">
            <w:rPr>
              <w:rStyle w:val="PlaceholderText"/>
            </w:rPr>
            <w:t>Click or tap here to enter text.</w:t>
          </w:r>
        </w:p>
      </w:docPartBody>
    </w:docPart>
    <w:docPart>
      <w:docPartPr>
        <w:name w:val="95AD510BBF6A418EBE95CF9E9A5EE952"/>
        <w:category>
          <w:name w:val="General"/>
          <w:gallery w:val="placeholder"/>
        </w:category>
        <w:types>
          <w:type w:val="bbPlcHdr"/>
        </w:types>
        <w:behaviors>
          <w:behavior w:val="content"/>
        </w:behaviors>
        <w:guid w:val="{FE788446-C0DC-4048-923D-18E182EC2C62}"/>
      </w:docPartPr>
      <w:docPartBody>
        <w:p w:rsidR="00760BCB" w:rsidRDefault="00DC5A85" w:rsidP="00DC5A85">
          <w:pPr>
            <w:pStyle w:val="95AD510BBF6A418EBE95CF9E9A5EE952"/>
          </w:pPr>
          <w:r w:rsidRPr="00C66281">
            <w:rPr>
              <w:rStyle w:val="PlaceholderText"/>
            </w:rPr>
            <w:t>Click or tap here to enter text.</w:t>
          </w:r>
        </w:p>
      </w:docPartBody>
    </w:docPart>
    <w:docPart>
      <w:docPartPr>
        <w:name w:val="5F9EA2A7F388413C9B4330802A2623ED"/>
        <w:category>
          <w:name w:val="General"/>
          <w:gallery w:val="placeholder"/>
        </w:category>
        <w:types>
          <w:type w:val="bbPlcHdr"/>
        </w:types>
        <w:behaviors>
          <w:behavior w:val="content"/>
        </w:behaviors>
        <w:guid w:val="{450CE641-AC73-4DF0-AE7F-08A06F33DC07}"/>
      </w:docPartPr>
      <w:docPartBody>
        <w:p w:rsidR="00760BCB" w:rsidRDefault="00DC5A85" w:rsidP="00DC5A85">
          <w:pPr>
            <w:pStyle w:val="5F9EA2A7F388413C9B4330802A2623ED"/>
          </w:pPr>
          <w:r w:rsidRPr="00C66281">
            <w:rPr>
              <w:rStyle w:val="PlaceholderText"/>
            </w:rPr>
            <w:t>Click or tap here to enter text.</w:t>
          </w:r>
        </w:p>
      </w:docPartBody>
    </w:docPart>
    <w:docPart>
      <w:docPartPr>
        <w:name w:val="5CBDF14D6B714996BBD35DC8831092E3"/>
        <w:category>
          <w:name w:val="General"/>
          <w:gallery w:val="placeholder"/>
        </w:category>
        <w:types>
          <w:type w:val="bbPlcHdr"/>
        </w:types>
        <w:behaviors>
          <w:behavior w:val="content"/>
        </w:behaviors>
        <w:guid w:val="{F82133E9-D8E9-44EE-8537-E40B25EFD378}"/>
      </w:docPartPr>
      <w:docPartBody>
        <w:p w:rsidR="00760BCB" w:rsidRDefault="00DC5A85" w:rsidP="00DC5A85">
          <w:pPr>
            <w:pStyle w:val="5CBDF14D6B714996BBD35DC8831092E3"/>
          </w:pPr>
          <w:r w:rsidRPr="00DD419A">
            <w:rPr>
              <w:rStyle w:val="PlaceholderText"/>
            </w:rPr>
            <w:t>Click or tap here to enter text.</w:t>
          </w:r>
        </w:p>
      </w:docPartBody>
    </w:docPart>
    <w:docPart>
      <w:docPartPr>
        <w:name w:val="7DE8E45A53FD40E8979A9D5ADB82EBA8"/>
        <w:category>
          <w:name w:val="General"/>
          <w:gallery w:val="placeholder"/>
        </w:category>
        <w:types>
          <w:type w:val="bbPlcHdr"/>
        </w:types>
        <w:behaviors>
          <w:behavior w:val="content"/>
        </w:behaviors>
        <w:guid w:val="{8C0E9F84-5AF1-4BC5-81B9-9035974F9E86}"/>
      </w:docPartPr>
      <w:docPartBody>
        <w:p w:rsidR="00760BCB" w:rsidRDefault="00DC5A85" w:rsidP="00DC5A85">
          <w:pPr>
            <w:pStyle w:val="7DE8E45A53FD40E8979A9D5ADB82EBA8"/>
          </w:pPr>
          <w:r w:rsidRPr="003F6C22">
            <w:rPr>
              <w:rStyle w:val="PlaceholderText"/>
            </w:rPr>
            <w:t>Click or tap here to enter text.</w:t>
          </w:r>
        </w:p>
      </w:docPartBody>
    </w:docPart>
    <w:docPart>
      <w:docPartPr>
        <w:name w:val="908F7F1E88024038895AE4143FD78D3F"/>
        <w:category>
          <w:name w:val="General"/>
          <w:gallery w:val="placeholder"/>
        </w:category>
        <w:types>
          <w:type w:val="bbPlcHdr"/>
        </w:types>
        <w:behaviors>
          <w:behavior w:val="content"/>
        </w:behaviors>
        <w:guid w:val="{68807C0A-9820-4058-BA74-E3604B18E935}"/>
      </w:docPartPr>
      <w:docPartBody>
        <w:p w:rsidR="00760BCB" w:rsidRDefault="00DC5A85" w:rsidP="00DC5A85">
          <w:pPr>
            <w:pStyle w:val="908F7F1E88024038895AE4143FD78D3F"/>
          </w:pPr>
          <w:r w:rsidRPr="003F6C22">
            <w:rPr>
              <w:rStyle w:val="PlaceholderText"/>
            </w:rPr>
            <w:t>Click or tap here to enter text.</w:t>
          </w:r>
        </w:p>
      </w:docPartBody>
    </w:docPart>
    <w:docPart>
      <w:docPartPr>
        <w:name w:val="E7DDF16FEC734854B06844CF1F4C1DD3"/>
        <w:category>
          <w:name w:val="General"/>
          <w:gallery w:val="placeholder"/>
        </w:category>
        <w:types>
          <w:type w:val="bbPlcHdr"/>
        </w:types>
        <w:behaviors>
          <w:behavior w:val="content"/>
        </w:behaviors>
        <w:guid w:val="{9A1DD73E-DD87-4EF7-A291-8DB78DCE9178}"/>
      </w:docPartPr>
      <w:docPartBody>
        <w:p w:rsidR="00760BCB" w:rsidRDefault="00DC5A85" w:rsidP="00DC5A85">
          <w:pPr>
            <w:pStyle w:val="E7DDF16FEC734854B06844CF1F4C1DD3"/>
          </w:pPr>
          <w:r w:rsidRPr="00C66281">
            <w:rPr>
              <w:rStyle w:val="PlaceholderText"/>
            </w:rPr>
            <w:t>Click or tap here to enter text.</w:t>
          </w:r>
        </w:p>
      </w:docPartBody>
    </w:docPart>
    <w:docPart>
      <w:docPartPr>
        <w:name w:val="BFC73D5327354FEB994192DA64B65FF8"/>
        <w:category>
          <w:name w:val="General"/>
          <w:gallery w:val="placeholder"/>
        </w:category>
        <w:types>
          <w:type w:val="bbPlcHdr"/>
        </w:types>
        <w:behaviors>
          <w:behavior w:val="content"/>
        </w:behaviors>
        <w:guid w:val="{5BCF2186-A9AA-4574-9589-C24718E8697F}"/>
      </w:docPartPr>
      <w:docPartBody>
        <w:p w:rsidR="00760BCB" w:rsidRDefault="00DC5A85" w:rsidP="00DC5A85">
          <w:pPr>
            <w:pStyle w:val="BFC73D5327354FEB994192DA64B65FF8"/>
          </w:pPr>
          <w:r w:rsidRPr="00DD419A">
            <w:rPr>
              <w:rStyle w:val="PlaceholderText"/>
            </w:rPr>
            <w:t>Click or tap here to enter text.</w:t>
          </w:r>
        </w:p>
      </w:docPartBody>
    </w:docPart>
    <w:docPart>
      <w:docPartPr>
        <w:name w:val="268BCEFB7BE84719BAEC21DBDE674BAE"/>
        <w:category>
          <w:name w:val="General"/>
          <w:gallery w:val="placeholder"/>
        </w:category>
        <w:types>
          <w:type w:val="bbPlcHdr"/>
        </w:types>
        <w:behaviors>
          <w:behavior w:val="content"/>
        </w:behaviors>
        <w:guid w:val="{0C4B201E-38BD-4218-8BFF-8588E3F139D6}"/>
      </w:docPartPr>
      <w:docPartBody>
        <w:p w:rsidR="00760BCB" w:rsidRDefault="00DC5A85" w:rsidP="00DC5A85">
          <w:pPr>
            <w:pStyle w:val="268BCEFB7BE84719BAEC21DBDE674BAE"/>
          </w:pPr>
          <w:r w:rsidRPr="00B817B6">
            <w:rPr>
              <w:rStyle w:val="PlaceholderText"/>
            </w:rPr>
            <w:t>Click or tap here to enter text.</w:t>
          </w:r>
        </w:p>
      </w:docPartBody>
    </w:docPart>
    <w:docPart>
      <w:docPartPr>
        <w:name w:val="701A86C3621B449DBEAFEBEB96BB5145"/>
        <w:category>
          <w:name w:val="General"/>
          <w:gallery w:val="placeholder"/>
        </w:category>
        <w:types>
          <w:type w:val="bbPlcHdr"/>
        </w:types>
        <w:behaviors>
          <w:behavior w:val="content"/>
        </w:behaviors>
        <w:guid w:val="{7230CB76-F348-4A10-A705-04AE03C5BFB6}"/>
      </w:docPartPr>
      <w:docPartBody>
        <w:p w:rsidR="00760BCB" w:rsidRDefault="00DC5A85" w:rsidP="00DC5A85">
          <w:pPr>
            <w:pStyle w:val="701A86C3621B449DBEAFEBEB96BB5145"/>
          </w:pPr>
          <w:r w:rsidRPr="00DD419A">
            <w:rPr>
              <w:rStyle w:val="PlaceholderText"/>
            </w:rPr>
            <w:t>Click or tap here to enter text.</w:t>
          </w:r>
        </w:p>
      </w:docPartBody>
    </w:docPart>
    <w:docPart>
      <w:docPartPr>
        <w:name w:val="60FB95137C364195ABEC7BB235105FD8"/>
        <w:category>
          <w:name w:val="General"/>
          <w:gallery w:val="placeholder"/>
        </w:category>
        <w:types>
          <w:type w:val="bbPlcHdr"/>
        </w:types>
        <w:behaviors>
          <w:behavior w:val="content"/>
        </w:behaviors>
        <w:guid w:val="{5709AD97-CD65-4E4C-BFAA-FFC684174646}"/>
      </w:docPartPr>
      <w:docPartBody>
        <w:p w:rsidR="00760BCB" w:rsidRDefault="00DC5A85" w:rsidP="00DC5A85">
          <w:pPr>
            <w:pStyle w:val="60FB95137C364195ABEC7BB235105FD8"/>
          </w:pPr>
          <w:r w:rsidRPr="00B817B6">
            <w:rPr>
              <w:rStyle w:val="PlaceholderText"/>
            </w:rPr>
            <w:t>Click or tap here to enter text.</w:t>
          </w:r>
        </w:p>
      </w:docPartBody>
    </w:docPart>
    <w:docPart>
      <w:docPartPr>
        <w:name w:val="E38303D9A8784D46BD680AB16992C185"/>
        <w:category>
          <w:name w:val="General"/>
          <w:gallery w:val="placeholder"/>
        </w:category>
        <w:types>
          <w:type w:val="bbPlcHdr"/>
        </w:types>
        <w:behaviors>
          <w:behavior w:val="content"/>
        </w:behaviors>
        <w:guid w:val="{37917420-3FE4-4E55-B1DC-E2DB7BB75FA6}"/>
      </w:docPartPr>
      <w:docPartBody>
        <w:p w:rsidR="00760BCB" w:rsidRDefault="00DC5A85" w:rsidP="00DC5A85">
          <w:pPr>
            <w:pStyle w:val="E38303D9A8784D46BD680AB16992C185"/>
          </w:pPr>
          <w:r w:rsidRPr="00C66281">
            <w:rPr>
              <w:rStyle w:val="PlaceholderText"/>
            </w:rPr>
            <w:t>Click or tap here to enter text.</w:t>
          </w:r>
        </w:p>
      </w:docPartBody>
    </w:docPart>
    <w:docPart>
      <w:docPartPr>
        <w:name w:val="4B06F5C1D6C44F62A75D9B2524C1F3F7"/>
        <w:category>
          <w:name w:val="General"/>
          <w:gallery w:val="placeholder"/>
        </w:category>
        <w:types>
          <w:type w:val="bbPlcHdr"/>
        </w:types>
        <w:behaviors>
          <w:behavior w:val="content"/>
        </w:behaviors>
        <w:guid w:val="{2868DF59-760C-4523-B5C6-91A74F0A7546}"/>
      </w:docPartPr>
      <w:docPartBody>
        <w:p w:rsidR="00760BCB" w:rsidRDefault="00DC5A85" w:rsidP="00DC5A85">
          <w:pPr>
            <w:pStyle w:val="4B06F5C1D6C44F62A75D9B2524C1F3F7"/>
          </w:pPr>
          <w:r w:rsidRPr="00C66281">
            <w:rPr>
              <w:rStyle w:val="PlaceholderText"/>
            </w:rPr>
            <w:t>Click or tap here to enter text.</w:t>
          </w:r>
        </w:p>
      </w:docPartBody>
    </w:docPart>
    <w:docPart>
      <w:docPartPr>
        <w:name w:val="743DF49DD6984718941463468C548663"/>
        <w:category>
          <w:name w:val="General"/>
          <w:gallery w:val="placeholder"/>
        </w:category>
        <w:types>
          <w:type w:val="bbPlcHdr"/>
        </w:types>
        <w:behaviors>
          <w:behavior w:val="content"/>
        </w:behaviors>
        <w:guid w:val="{0259F6A3-8B6F-40B7-966D-6716C06FDA28}"/>
      </w:docPartPr>
      <w:docPartBody>
        <w:p w:rsidR="00760BCB" w:rsidRDefault="00DC5A85" w:rsidP="00DC5A85">
          <w:pPr>
            <w:pStyle w:val="743DF49DD6984718941463468C548663"/>
          </w:pPr>
          <w:r w:rsidRPr="00C66281">
            <w:rPr>
              <w:rStyle w:val="PlaceholderText"/>
            </w:rPr>
            <w:t>Click or tap here to enter text.</w:t>
          </w:r>
        </w:p>
      </w:docPartBody>
    </w:docPart>
    <w:docPart>
      <w:docPartPr>
        <w:name w:val="A9A8D78C6BCD48B9B22C11CF2FA8871E"/>
        <w:category>
          <w:name w:val="General"/>
          <w:gallery w:val="placeholder"/>
        </w:category>
        <w:types>
          <w:type w:val="bbPlcHdr"/>
        </w:types>
        <w:behaviors>
          <w:behavior w:val="content"/>
        </w:behaviors>
        <w:guid w:val="{B0245C4C-2CC8-40B9-93FE-EE1BCD91E8C4}"/>
      </w:docPartPr>
      <w:docPartBody>
        <w:p w:rsidR="00760BCB" w:rsidRDefault="00DC5A85" w:rsidP="00DC5A85">
          <w:pPr>
            <w:pStyle w:val="A9A8D78C6BCD48B9B22C11CF2FA8871E"/>
          </w:pPr>
          <w:r w:rsidRPr="00E15974">
            <w:rPr>
              <w:rStyle w:val="PlaceholderText"/>
            </w:rPr>
            <w:t>Click or tap here to enter text.</w:t>
          </w:r>
        </w:p>
      </w:docPartBody>
    </w:docPart>
    <w:docPart>
      <w:docPartPr>
        <w:name w:val="741A0EB86C2444FFAE5513AA3806CE7E"/>
        <w:category>
          <w:name w:val="General"/>
          <w:gallery w:val="placeholder"/>
        </w:category>
        <w:types>
          <w:type w:val="bbPlcHdr"/>
        </w:types>
        <w:behaviors>
          <w:behavior w:val="content"/>
        </w:behaviors>
        <w:guid w:val="{FF411F83-017B-4115-95EE-DB32E0C80FC7}"/>
      </w:docPartPr>
      <w:docPartBody>
        <w:p w:rsidR="00760BCB" w:rsidRDefault="00DC5A85" w:rsidP="00DC5A85">
          <w:pPr>
            <w:pStyle w:val="741A0EB86C2444FFAE5513AA3806CE7E"/>
          </w:pPr>
          <w:r w:rsidRPr="00B817B6">
            <w:rPr>
              <w:rStyle w:val="PlaceholderText"/>
            </w:rPr>
            <w:t>Click or tap here to enter text.</w:t>
          </w:r>
        </w:p>
      </w:docPartBody>
    </w:docPart>
    <w:docPart>
      <w:docPartPr>
        <w:name w:val="16CD28467BB640B78EB5BE530ECD04DC"/>
        <w:category>
          <w:name w:val="General"/>
          <w:gallery w:val="placeholder"/>
        </w:category>
        <w:types>
          <w:type w:val="bbPlcHdr"/>
        </w:types>
        <w:behaviors>
          <w:behavior w:val="content"/>
        </w:behaviors>
        <w:guid w:val="{E80AE5D1-4DD8-4F28-A69F-D8E711C362B5}"/>
      </w:docPartPr>
      <w:docPartBody>
        <w:p w:rsidR="00760BCB" w:rsidRDefault="00DC5A85" w:rsidP="00DC5A85">
          <w:pPr>
            <w:pStyle w:val="16CD28467BB640B78EB5BE530ECD04DC"/>
          </w:pPr>
          <w:r w:rsidRPr="00B817B6">
            <w:rPr>
              <w:rStyle w:val="PlaceholderText"/>
            </w:rPr>
            <w:t>Click or tap here to enter text.</w:t>
          </w:r>
        </w:p>
      </w:docPartBody>
    </w:docPart>
    <w:docPart>
      <w:docPartPr>
        <w:name w:val="5CBB3897923445DEB646331668C58E07"/>
        <w:category>
          <w:name w:val="General"/>
          <w:gallery w:val="placeholder"/>
        </w:category>
        <w:types>
          <w:type w:val="bbPlcHdr"/>
        </w:types>
        <w:behaviors>
          <w:behavior w:val="content"/>
        </w:behaviors>
        <w:guid w:val="{756BEED0-9A5C-4383-B36F-BFC00B582241}"/>
      </w:docPartPr>
      <w:docPartBody>
        <w:p w:rsidR="00760BCB" w:rsidRDefault="00DC5A85" w:rsidP="00DC5A85">
          <w:pPr>
            <w:pStyle w:val="5CBB3897923445DEB646331668C58E07"/>
          </w:pPr>
          <w:r>
            <w:rPr>
              <w:rStyle w:val="PlaceholderText"/>
            </w:rPr>
            <w:t>Click or tap here to enter text.</w:t>
          </w:r>
        </w:p>
      </w:docPartBody>
    </w:docPart>
    <w:docPart>
      <w:docPartPr>
        <w:name w:val="29F0FA9728194A8886200F6E96FDECD9"/>
        <w:category>
          <w:name w:val="General"/>
          <w:gallery w:val="placeholder"/>
        </w:category>
        <w:types>
          <w:type w:val="bbPlcHdr"/>
        </w:types>
        <w:behaviors>
          <w:behavior w:val="content"/>
        </w:behaviors>
        <w:guid w:val="{4440CDF8-1CE4-4784-8EF0-C90BC55CF9B0}"/>
      </w:docPartPr>
      <w:docPartBody>
        <w:p w:rsidR="00760BCB" w:rsidRDefault="00DC5A85" w:rsidP="00DC5A85">
          <w:pPr>
            <w:pStyle w:val="29F0FA9728194A8886200F6E96FDECD9"/>
          </w:pPr>
          <w:r>
            <w:rPr>
              <w:rStyle w:val="PlaceholderText"/>
            </w:rPr>
            <w:t>Click or tap here to enter text.</w:t>
          </w:r>
        </w:p>
      </w:docPartBody>
    </w:docPart>
    <w:docPart>
      <w:docPartPr>
        <w:name w:val="4FFFC708DC2444E09D4B3E914E7B329F"/>
        <w:category>
          <w:name w:val="General"/>
          <w:gallery w:val="placeholder"/>
        </w:category>
        <w:types>
          <w:type w:val="bbPlcHdr"/>
        </w:types>
        <w:behaviors>
          <w:behavior w:val="content"/>
        </w:behaviors>
        <w:guid w:val="{AE25BAF6-04F4-4076-B88E-48742BEFC918}"/>
      </w:docPartPr>
      <w:docPartBody>
        <w:p w:rsidR="00760BCB" w:rsidRDefault="00DC5A85" w:rsidP="00DC5A85">
          <w:pPr>
            <w:pStyle w:val="4FFFC708DC2444E09D4B3E914E7B329F"/>
          </w:pPr>
          <w:r>
            <w:rPr>
              <w:rStyle w:val="PlaceholderText"/>
            </w:rPr>
            <w:t>Click or tap here to enter text.</w:t>
          </w:r>
        </w:p>
      </w:docPartBody>
    </w:docPart>
    <w:docPart>
      <w:docPartPr>
        <w:name w:val="5EF52824B00B4D7DADEC9F8A9B2EADDF"/>
        <w:category>
          <w:name w:val="General"/>
          <w:gallery w:val="placeholder"/>
        </w:category>
        <w:types>
          <w:type w:val="bbPlcHdr"/>
        </w:types>
        <w:behaviors>
          <w:behavior w:val="content"/>
        </w:behaviors>
        <w:guid w:val="{CE526C39-FF84-4B57-A383-58CE2E31FB35}"/>
      </w:docPartPr>
      <w:docPartBody>
        <w:p w:rsidR="00A44464" w:rsidRDefault="00760BCB" w:rsidP="00760BCB">
          <w:pPr>
            <w:pStyle w:val="5EF52824B00B4D7DADEC9F8A9B2EADDF"/>
          </w:pPr>
          <w:r w:rsidRPr="00AC4494">
            <w:rPr>
              <w:rStyle w:val="PlaceholderText"/>
            </w:rPr>
            <w:t>Click or tap here to enter text.</w:t>
          </w:r>
        </w:p>
      </w:docPartBody>
    </w:docPart>
    <w:docPart>
      <w:docPartPr>
        <w:name w:val="F43B304EB4E342D986C13A48D4CBAD61"/>
        <w:category>
          <w:name w:val="General"/>
          <w:gallery w:val="placeholder"/>
        </w:category>
        <w:types>
          <w:type w:val="bbPlcHdr"/>
        </w:types>
        <w:behaviors>
          <w:behavior w:val="content"/>
        </w:behaviors>
        <w:guid w:val="{40BBFF71-A9A4-413F-B6D9-368F9842269D}"/>
      </w:docPartPr>
      <w:docPartBody>
        <w:p w:rsidR="00A44464" w:rsidRDefault="00760BCB" w:rsidP="00760BCB">
          <w:pPr>
            <w:pStyle w:val="F43B304EB4E342D986C13A48D4CBAD61"/>
          </w:pPr>
          <w:r w:rsidRPr="00AC4494">
            <w:rPr>
              <w:rStyle w:val="PlaceholderText"/>
            </w:rPr>
            <w:t>Click or tap here to enter text.</w:t>
          </w:r>
        </w:p>
      </w:docPartBody>
    </w:docPart>
    <w:docPart>
      <w:docPartPr>
        <w:name w:val="CC02D664D796480BB4C38209B00B86D2"/>
        <w:category>
          <w:name w:val="General"/>
          <w:gallery w:val="placeholder"/>
        </w:category>
        <w:types>
          <w:type w:val="bbPlcHdr"/>
        </w:types>
        <w:behaviors>
          <w:behavior w:val="content"/>
        </w:behaviors>
        <w:guid w:val="{2394BAEE-BBE0-4E4A-AEAF-FD1F779EA0EA}"/>
      </w:docPartPr>
      <w:docPartBody>
        <w:p w:rsidR="00A44464" w:rsidRDefault="00760BCB" w:rsidP="00760BCB">
          <w:pPr>
            <w:pStyle w:val="CC02D664D796480BB4C38209B00B86D2"/>
          </w:pPr>
          <w:r w:rsidRPr="00AC4494">
            <w:rPr>
              <w:rStyle w:val="PlaceholderText"/>
            </w:rPr>
            <w:t>Click or tap here to enter text.</w:t>
          </w:r>
        </w:p>
      </w:docPartBody>
    </w:docPart>
    <w:docPart>
      <w:docPartPr>
        <w:name w:val="C8CED14313D4429495C4673C4516B9C6"/>
        <w:category>
          <w:name w:val="General"/>
          <w:gallery w:val="placeholder"/>
        </w:category>
        <w:types>
          <w:type w:val="bbPlcHdr"/>
        </w:types>
        <w:behaviors>
          <w:behavior w:val="content"/>
        </w:behaviors>
        <w:guid w:val="{89B6FBC1-A883-4CB8-AE3D-421C19FE74E6}"/>
      </w:docPartPr>
      <w:docPartBody>
        <w:p w:rsidR="00A44464" w:rsidRDefault="00760BCB" w:rsidP="00760BCB">
          <w:pPr>
            <w:pStyle w:val="C8CED14313D4429495C4673C4516B9C6"/>
          </w:pPr>
          <w:r w:rsidRPr="00AC4494">
            <w:rPr>
              <w:rStyle w:val="PlaceholderText"/>
            </w:rPr>
            <w:t>Click or tap here to enter text.</w:t>
          </w:r>
        </w:p>
      </w:docPartBody>
    </w:docPart>
    <w:docPart>
      <w:docPartPr>
        <w:name w:val="D67399AE36DA45C5B8C35A0609FD182E"/>
        <w:category>
          <w:name w:val="General"/>
          <w:gallery w:val="placeholder"/>
        </w:category>
        <w:types>
          <w:type w:val="bbPlcHdr"/>
        </w:types>
        <w:behaviors>
          <w:behavior w:val="content"/>
        </w:behaviors>
        <w:guid w:val="{8D6732A9-DFF2-4D0E-8637-2D3F9A8C9F45}"/>
      </w:docPartPr>
      <w:docPartBody>
        <w:p w:rsidR="00A44464" w:rsidRDefault="00760BCB" w:rsidP="00760BCB">
          <w:pPr>
            <w:pStyle w:val="D67399AE36DA45C5B8C35A0609FD182E"/>
          </w:pPr>
          <w:r w:rsidRPr="00DD419A">
            <w:rPr>
              <w:rStyle w:val="PlaceholderText"/>
            </w:rPr>
            <w:t>Click or tap here to enter text.</w:t>
          </w:r>
        </w:p>
      </w:docPartBody>
    </w:docPart>
    <w:docPart>
      <w:docPartPr>
        <w:name w:val="2C3812BD621E4C7DACA137909D418484"/>
        <w:category>
          <w:name w:val="General"/>
          <w:gallery w:val="placeholder"/>
        </w:category>
        <w:types>
          <w:type w:val="bbPlcHdr"/>
        </w:types>
        <w:behaviors>
          <w:behavior w:val="content"/>
        </w:behaviors>
        <w:guid w:val="{53E6E1E6-071B-4924-8953-DF1907C850DA}"/>
      </w:docPartPr>
      <w:docPartBody>
        <w:p w:rsidR="00A44464" w:rsidRDefault="00760BCB" w:rsidP="00760BCB">
          <w:pPr>
            <w:pStyle w:val="2C3812BD621E4C7DACA137909D418484"/>
          </w:pPr>
          <w:r w:rsidRPr="00AC4494">
            <w:rPr>
              <w:rStyle w:val="PlaceholderText"/>
            </w:rPr>
            <w:t>Click or tap here to enter text.</w:t>
          </w:r>
        </w:p>
      </w:docPartBody>
    </w:docPart>
    <w:docPart>
      <w:docPartPr>
        <w:name w:val="050BB1CFD7084D6A9B1DC828FC8EBA8D"/>
        <w:category>
          <w:name w:val="General"/>
          <w:gallery w:val="placeholder"/>
        </w:category>
        <w:types>
          <w:type w:val="bbPlcHdr"/>
        </w:types>
        <w:behaviors>
          <w:behavior w:val="content"/>
        </w:behaviors>
        <w:guid w:val="{2617A0A5-2259-4E06-905C-9BA6AC59E0BA}"/>
      </w:docPartPr>
      <w:docPartBody>
        <w:p w:rsidR="00A44464" w:rsidRDefault="00760BCB" w:rsidP="00760BCB">
          <w:pPr>
            <w:pStyle w:val="050BB1CFD7084D6A9B1DC828FC8EBA8D"/>
          </w:pPr>
          <w:r w:rsidRPr="00AC4494">
            <w:rPr>
              <w:rStyle w:val="PlaceholderText"/>
            </w:rPr>
            <w:t>Click or tap here to enter text.</w:t>
          </w:r>
        </w:p>
      </w:docPartBody>
    </w:docPart>
    <w:docPart>
      <w:docPartPr>
        <w:name w:val="4DCEB85160F14CA7927A29F205728577"/>
        <w:category>
          <w:name w:val="General"/>
          <w:gallery w:val="placeholder"/>
        </w:category>
        <w:types>
          <w:type w:val="bbPlcHdr"/>
        </w:types>
        <w:behaviors>
          <w:behavior w:val="content"/>
        </w:behaviors>
        <w:guid w:val="{12F30780-214F-4164-9F3E-09F0C5A6B511}"/>
      </w:docPartPr>
      <w:docPartBody>
        <w:p w:rsidR="00A44464" w:rsidRDefault="00760BCB" w:rsidP="00760BCB">
          <w:pPr>
            <w:pStyle w:val="4DCEB85160F14CA7927A29F205728577"/>
          </w:pPr>
          <w:r w:rsidRPr="00AC4494">
            <w:rPr>
              <w:rStyle w:val="PlaceholderText"/>
            </w:rPr>
            <w:t>Click or tap here to enter text.</w:t>
          </w:r>
        </w:p>
      </w:docPartBody>
    </w:docPart>
    <w:docPart>
      <w:docPartPr>
        <w:name w:val="ABC41691CDCF4C51B21290DC0065E54D"/>
        <w:category>
          <w:name w:val="General"/>
          <w:gallery w:val="placeholder"/>
        </w:category>
        <w:types>
          <w:type w:val="bbPlcHdr"/>
        </w:types>
        <w:behaviors>
          <w:behavior w:val="content"/>
        </w:behaviors>
        <w:guid w:val="{3172043D-EF1E-41D3-82DD-2C65B597F350}"/>
      </w:docPartPr>
      <w:docPartBody>
        <w:p w:rsidR="00A44464" w:rsidRDefault="00760BCB" w:rsidP="00760BCB">
          <w:pPr>
            <w:pStyle w:val="ABC41691CDCF4C51B21290DC0065E54D"/>
          </w:pPr>
          <w:r w:rsidRPr="00AC4494">
            <w:rPr>
              <w:rStyle w:val="PlaceholderText"/>
            </w:rPr>
            <w:t>Click or tap here to enter text.</w:t>
          </w:r>
        </w:p>
      </w:docPartBody>
    </w:docPart>
    <w:docPart>
      <w:docPartPr>
        <w:name w:val="E508D49098FB430986470ED9808854F0"/>
        <w:category>
          <w:name w:val="General"/>
          <w:gallery w:val="placeholder"/>
        </w:category>
        <w:types>
          <w:type w:val="bbPlcHdr"/>
        </w:types>
        <w:behaviors>
          <w:behavior w:val="content"/>
        </w:behaviors>
        <w:guid w:val="{A31B62F1-99E1-48B1-AD0C-CA0FBA84D9C6}"/>
      </w:docPartPr>
      <w:docPartBody>
        <w:p w:rsidR="00A44464" w:rsidRDefault="00760BCB" w:rsidP="00760BCB">
          <w:pPr>
            <w:pStyle w:val="E508D49098FB430986470ED9808854F0"/>
          </w:pPr>
          <w:r w:rsidRPr="001E7C3C">
            <w:rPr>
              <w:rStyle w:val="PlaceholderText"/>
            </w:rPr>
            <w:t>Click or tap here to enter text.</w:t>
          </w:r>
        </w:p>
      </w:docPartBody>
    </w:docPart>
    <w:docPart>
      <w:docPartPr>
        <w:name w:val="F8E7E98B68264D4B81036CB36F341F4A"/>
        <w:category>
          <w:name w:val="General"/>
          <w:gallery w:val="placeholder"/>
        </w:category>
        <w:types>
          <w:type w:val="bbPlcHdr"/>
        </w:types>
        <w:behaviors>
          <w:behavior w:val="content"/>
        </w:behaviors>
        <w:guid w:val="{63ED00F1-CCC7-48EC-9417-3D0848068C71}"/>
      </w:docPartPr>
      <w:docPartBody>
        <w:p w:rsidR="00A44464" w:rsidRDefault="00760BCB" w:rsidP="00760BCB">
          <w:pPr>
            <w:pStyle w:val="F8E7E98B68264D4B81036CB36F341F4A"/>
          </w:pPr>
          <w:r w:rsidRPr="00F16BFE">
            <w:rPr>
              <w:rStyle w:val="PlaceholderText"/>
            </w:rPr>
            <w:t>Click or tap here to enter text.</w:t>
          </w:r>
        </w:p>
      </w:docPartBody>
    </w:docPart>
    <w:docPart>
      <w:docPartPr>
        <w:name w:val="6C00AFF4500842D48E09B033AC839F05"/>
        <w:category>
          <w:name w:val="General"/>
          <w:gallery w:val="placeholder"/>
        </w:category>
        <w:types>
          <w:type w:val="bbPlcHdr"/>
        </w:types>
        <w:behaviors>
          <w:behavior w:val="content"/>
        </w:behaviors>
        <w:guid w:val="{8F674C56-FA7F-4400-BAA5-976B67984CC9}"/>
      </w:docPartPr>
      <w:docPartBody>
        <w:p w:rsidR="00A44464" w:rsidRDefault="00760BCB" w:rsidP="00760BCB">
          <w:pPr>
            <w:pStyle w:val="6C00AFF4500842D48E09B033AC839F05"/>
          </w:pPr>
          <w:r w:rsidRPr="00AC4494">
            <w:rPr>
              <w:rStyle w:val="PlaceholderText"/>
            </w:rPr>
            <w:t>Click or tap here to enter text.</w:t>
          </w:r>
        </w:p>
      </w:docPartBody>
    </w:docPart>
    <w:docPart>
      <w:docPartPr>
        <w:name w:val="6BEC7F0892DF4FC79AA103F8AC34DE5C"/>
        <w:category>
          <w:name w:val="General"/>
          <w:gallery w:val="placeholder"/>
        </w:category>
        <w:types>
          <w:type w:val="bbPlcHdr"/>
        </w:types>
        <w:behaviors>
          <w:behavior w:val="content"/>
        </w:behaviors>
        <w:guid w:val="{6F65F9D5-0DFD-4F51-A608-69FC45BF664B}"/>
      </w:docPartPr>
      <w:docPartBody>
        <w:p w:rsidR="00A44464" w:rsidRDefault="00760BCB" w:rsidP="00760BCB">
          <w:pPr>
            <w:pStyle w:val="6BEC7F0892DF4FC79AA103F8AC34DE5C"/>
          </w:pPr>
          <w:r w:rsidRPr="00AC4494">
            <w:rPr>
              <w:rStyle w:val="PlaceholderText"/>
            </w:rPr>
            <w:t>Click or tap here to enter text.</w:t>
          </w:r>
        </w:p>
      </w:docPartBody>
    </w:docPart>
    <w:docPart>
      <w:docPartPr>
        <w:name w:val="F1F76228775D4BDC93FA55EA6892C43D"/>
        <w:category>
          <w:name w:val="General"/>
          <w:gallery w:val="placeholder"/>
        </w:category>
        <w:types>
          <w:type w:val="bbPlcHdr"/>
        </w:types>
        <w:behaviors>
          <w:behavior w:val="content"/>
        </w:behaviors>
        <w:guid w:val="{B5AF8E16-DE6E-4B43-A766-D1087FB22104}"/>
      </w:docPartPr>
      <w:docPartBody>
        <w:p w:rsidR="00A44464" w:rsidRDefault="00760BCB" w:rsidP="00760BCB">
          <w:pPr>
            <w:pStyle w:val="F1F76228775D4BDC93FA55EA6892C43D"/>
          </w:pPr>
          <w:r w:rsidRPr="001E7C3C">
            <w:rPr>
              <w:rStyle w:val="PlaceholderText"/>
            </w:rPr>
            <w:t>Click or tap here to enter text.</w:t>
          </w:r>
        </w:p>
      </w:docPartBody>
    </w:docPart>
    <w:docPart>
      <w:docPartPr>
        <w:name w:val="BDA0437C05644E7E955DB557BD16F4E9"/>
        <w:category>
          <w:name w:val="General"/>
          <w:gallery w:val="placeholder"/>
        </w:category>
        <w:types>
          <w:type w:val="bbPlcHdr"/>
        </w:types>
        <w:behaviors>
          <w:behavior w:val="content"/>
        </w:behaviors>
        <w:guid w:val="{73D7F782-D6FD-4EB2-B928-F12443834702}"/>
      </w:docPartPr>
      <w:docPartBody>
        <w:p w:rsidR="00A44464" w:rsidRDefault="00760BCB" w:rsidP="00760BCB">
          <w:pPr>
            <w:pStyle w:val="BDA0437C05644E7E955DB557BD16F4E9"/>
          </w:pPr>
          <w:r w:rsidRPr="001E7C3C">
            <w:rPr>
              <w:rStyle w:val="PlaceholderText"/>
            </w:rPr>
            <w:t>Click or tap here to enter text.</w:t>
          </w:r>
        </w:p>
      </w:docPartBody>
    </w:docPart>
    <w:docPart>
      <w:docPartPr>
        <w:name w:val="ABA542DE28694934A42C688B41543419"/>
        <w:category>
          <w:name w:val="General"/>
          <w:gallery w:val="placeholder"/>
        </w:category>
        <w:types>
          <w:type w:val="bbPlcHdr"/>
        </w:types>
        <w:behaviors>
          <w:behavior w:val="content"/>
        </w:behaviors>
        <w:guid w:val="{9A9AD726-16C6-46E4-B7CD-B63B79BA4BD7}"/>
      </w:docPartPr>
      <w:docPartBody>
        <w:p w:rsidR="00A44464" w:rsidRDefault="00760BCB" w:rsidP="00760BCB">
          <w:pPr>
            <w:pStyle w:val="ABA542DE28694934A42C688B41543419"/>
          </w:pPr>
          <w:r w:rsidRPr="00AC4494">
            <w:rPr>
              <w:rStyle w:val="PlaceholderText"/>
            </w:rPr>
            <w:t>Click or tap here to enter text.</w:t>
          </w:r>
        </w:p>
      </w:docPartBody>
    </w:docPart>
    <w:docPart>
      <w:docPartPr>
        <w:name w:val="F9272F4ACCF649A3A6AD297880465529"/>
        <w:category>
          <w:name w:val="General"/>
          <w:gallery w:val="placeholder"/>
        </w:category>
        <w:types>
          <w:type w:val="bbPlcHdr"/>
        </w:types>
        <w:behaviors>
          <w:behavior w:val="content"/>
        </w:behaviors>
        <w:guid w:val="{CADA2274-1D58-489F-B99F-D2DC9511F678}"/>
      </w:docPartPr>
      <w:docPartBody>
        <w:p w:rsidR="00A44464" w:rsidRDefault="00760BCB" w:rsidP="00760BCB">
          <w:pPr>
            <w:pStyle w:val="F9272F4ACCF649A3A6AD297880465529"/>
          </w:pPr>
          <w:r w:rsidRPr="001E7C3C">
            <w:rPr>
              <w:rStyle w:val="PlaceholderText"/>
            </w:rPr>
            <w:t>Click or tap here to enter text.</w:t>
          </w:r>
        </w:p>
      </w:docPartBody>
    </w:docPart>
    <w:docPart>
      <w:docPartPr>
        <w:name w:val="DF89043EE47D44248F7414E39766EFF2"/>
        <w:category>
          <w:name w:val="General"/>
          <w:gallery w:val="placeholder"/>
        </w:category>
        <w:types>
          <w:type w:val="bbPlcHdr"/>
        </w:types>
        <w:behaviors>
          <w:behavior w:val="content"/>
        </w:behaviors>
        <w:guid w:val="{646D4AE1-B160-4944-83AB-411EB291C97F}"/>
      </w:docPartPr>
      <w:docPartBody>
        <w:p w:rsidR="00A44464" w:rsidRDefault="00760BCB" w:rsidP="00760BCB">
          <w:pPr>
            <w:pStyle w:val="DF89043EE47D44248F7414E39766EFF2"/>
          </w:pPr>
          <w:r w:rsidRPr="00AC4494">
            <w:rPr>
              <w:rStyle w:val="PlaceholderText"/>
            </w:rPr>
            <w:t>Click or tap here to enter text.</w:t>
          </w:r>
        </w:p>
      </w:docPartBody>
    </w:docPart>
    <w:docPart>
      <w:docPartPr>
        <w:name w:val="A6A308ACF9304A9286560C7AB4D9CEE5"/>
        <w:category>
          <w:name w:val="General"/>
          <w:gallery w:val="placeholder"/>
        </w:category>
        <w:types>
          <w:type w:val="bbPlcHdr"/>
        </w:types>
        <w:behaviors>
          <w:behavior w:val="content"/>
        </w:behaviors>
        <w:guid w:val="{B2C0BB00-8646-4B59-8C8D-0AC4889FE3C6}"/>
      </w:docPartPr>
      <w:docPartBody>
        <w:p w:rsidR="00A44464" w:rsidRDefault="00760BCB" w:rsidP="00760BCB">
          <w:pPr>
            <w:pStyle w:val="A6A308ACF9304A9286560C7AB4D9CEE5"/>
          </w:pPr>
          <w:r w:rsidRPr="00AC4494">
            <w:rPr>
              <w:rStyle w:val="PlaceholderText"/>
            </w:rPr>
            <w:t>Click or tap here to enter text.</w:t>
          </w:r>
        </w:p>
      </w:docPartBody>
    </w:docPart>
    <w:docPart>
      <w:docPartPr>
        <w:name w:val="553D9B3E444F467C9C598CBE9318F1E8"/>
        <w:category>
          <w:name w:val="General"/>
          <w:gallery w:val="placeholder"/>
        </w:category>
        <w:types>
          <w:type w:val="bbPlcHdr"/>
        </w:types>
        <w:behaviors>
          <w:behavior w:val="content"/>
        </w:behaviors>
        <w:guid w:val="{4F0C8279-295D-463C-B40A-88A51E8BF0E4}"/>
      </w:docPartPr>
      <w:docPartBody>
        <w:p w:rsidR="00A44464" w:rsidRDefault="00760BCB" w:rsidP="00760BCB">
          <w:pPr>
            <w:pStyle w:val="553D9B3E444F467C9C598CBE9318F1E8"/>
          </w:pPr>
          <w:r w:rsidRPr="00DD419A">
            <w:rPr>
              <w:rStyle w:val="PlaceholderText"/>
            </w:rPr>
            <w:t>Click or tap here to enter text.</w:t>
          </w:r>
        </w:p>
      </w:docPartBody>
    </w:docPart>
    <w:docPart>
      <w:docPartPr>
        <w:name w:val="405C7EB98E1A44539BF2027FA00B3465"/>
        <w:category>
          <w:name w:val="General"/>
          <w:gallery w:val="placeholder"/>
        </w:category>
        <w:types>
          <w:type w:val="bbPlcHdr"/>
        </w:types>
        <w:behaviors>
          <w:behavior w:val="content"/>
        </w:behaviors>
        <w:guid w:val="{784BE402-82B0-4C6B-A507-DBF42BC0D2A0}"/>
      </w:docPartPr>
      <w:docPartBody>
        <w:p w:rsidR="00A44464" w:rsidRDefault="00760BCB" w:rsidP="00760BCB">
          <w:pPr>
            <w:pStyle w:val="405C7EB98E1A44539BF2027FA00B3465"/>
          </w:pPr>
          <w:r w:rsidRPr="00AC4494">
            <w:rPr>
              <w:rStyle w:val="PlaceholderText"/>
            </w:rPr>
            <w:t>Click or tap here to enter text.</w:t>
          </w:r>
        </w:p>
      </w:docPartBody>
    </w:docPart>
    <w:docPart>
      <w:docPartPr>
        <w:name w:val="C6385CF5896F42DA9106CE122B1D453E"/>
        <w:category>
          <w:name w:val="General"/>
          <w:gallery w:val="placeholder"/>
        </w:category>
        <w:types>
          <w:type w:val="bbPlcHdr"/>
        </w:types>
        <w:behaviors>
          <w:behavior w:val="content"/>
        </w:behaviors>
        <w:guid w:val="{EB952F53-D9FB-441C-9BF3-9032E851BE19}"/>
      </w:docPartPr>
      <w:docPartBody>
        <w:p w:rsidR="00A44464" w:rsidRDefault="00760BCB" w:rsidP="00760BCB">
          <w:pPr>
            <w:pStyle w:val="C6385CF5896F42DA9106CE122B1D453E"/>
          </w:pPr>
          <w:r w:rsidRPr="00AC4494">
            <w:rPr>
              <w:rStyle w:val="PlaceholderText"/>
            </w:rPr>
            <w:t>Click or tap here to enter text.</w:t>
          </w:r>
        </w:p>
      </w:docPartBody>
    </w:docPart>
    <w:docPart>
      <w:docPartPr>
        <w:name w:val="2BDFC1332501472FBC753740D53281F6"/>
        <w:category>
          <w:name w:val="General"/>
          <w:gallery w:val="placeholder"/>
        </w:category>
        <w:types>
          <w:type w:val="bbPlcHdr"/>
        </w:types>
        <w:behaviors>
          <w:behavior w:val="content"/>
        </w:behaviors>
        <w:guid w:val="{18609F97-A76B-4940-9917-A7C6BFAA66D1}"/>
      </w:docPartPr>
      <w:docPartBody>
        <w:p w:rsidR="00A44464" w:rsidRDefault="00760BCB" w:rsidP="00760BCB">
          <w:pPr>
            <w:pStyle w:val="2BDFC1332501472FBC753740D53281F6"/>
          </w:pPr>
          <w:r w:rsidRPr="00AC4494">
            <w:rPr>
              <w:rStyle w:val="PlaceholderText"/>
            </w:rPr>
            <w:t>Click or tap here to enter text.</w:t>
          </w:r>
        </w:p>
      </w:docPartBody>
    </w:docPart>
    <w:docPart>
      <w:docPartPr>
        <w:name w:val="DD5DCC7ADB674CC59D57E16D369D3523"/>
        <w:category>
          <w:name w:val="General"/>
          <w:gallery w:val="placeholder"/>
        </w:category>
        <w:types>
          <w:type w:val="bbPlcHdr"/>
        </w:types>
        <w:behaviors>
          <w:behavior w:val="content"/>
        </w:behaviors>
        <w:guid w:val="{3FDFB2F2-8076-4E83-87E6-4E965DE666C3}"/>
      </w:docPartPr>
      <w:docPartBody>
        <w:p w:rsidR="00A44464" w:rsidRDefault="00760BCB" w:rsidP="00760BCB">
          <w:pPr>
            <w:pStyle w:val="DD5DCC7ADB674CC59D57E16D369D3523"/>
          </w:pPr>
          <w:r w:rsidRPr="003659A7">
            <w:rPr>
              <w:rStyle w:val="PlaceholderText"/>
            </w:rPr>
            <w:t>Click or tap here to enter text.</w:t>
          </w:r>
        </w:p>
      </w:docPartBody>
    </w:docPart>
    <w:docPart>
      <w:docPartPr>
        <w:name w:val="2AC530142D4B4B17BC6C338A922FEAFD"/>
        <w:category>
          <w:name w:val="General"/>
          <w:gallery w:val="placeholder"/>
        </w:category>
        <w:types>
          <w:type w:val="bbPlcHdr"/>
        </w:types>
        <w:behaviors>
          <w:behavior w:val="content"/>
        </w:behaviors>
        <w:guid w:val="{000B8302-4388-4484-8CBC-C0779AFCC604}"/>
      </w:docPartPr>
      <w:docPartBody>
        <w:p w:rsidR="00D34F66" w:rsidRDefault="00A44464" w:rsidP="00A44464">
          <w:pPr>
            <w:pStyle w:val="2AC530142D4B4B17BC6C338A922FEAFD"/>
          </w:pPr>
          <w:r w:rsidRPr="0023011B">
            <w:rPr>
              <w:rStyle w:val="PlaceholderText"/>
            </w:rPr>
            <w:t>Click or tap here to enter text.</w:t>
          </w:r>
        </w:p>
      </w:docPartBody>
    </w:docPart>
    <w:docPart>
      <w:docPartPr>
        <w:name w:val="922497B7AA9F4EEE830394533555326D"/>
        <w:category>
          <w:name w:val="General"/>
          <w:gallery w:val="placeholder"/>
        </w:category>
        <w:types>
          <w:type w:val="bbPlcHdr"/>
        </w:types>
        <w:behaviors>
          <w:behavior w:val="content"/>
        </w:behaviors>
        <w:guid w:val="{91046BD4-6C4B-4E9F-BB8A-3F5BC5C030D8}"/>
      </w:docPartPr>
      <w:docPartBody>
        <w:p w:rsidR="00D34F66" w:rsidRDefault="00A44464" w:rsidP="00A44464">
          <w:pPr>
            <w:pStyle w:val="922497B7AA9F4EEE830394533555326D"/>
          </w:pPr>
          <w:r>
            <w:rPr>
              <w:rStyle w:val="PlaceholderText"/>
            </w:rPr>
            <w:t>Click or tap here to enter text.</w:t>
          </w:r>
        </w:p>
      </w:docPartBody>
    </w:docPart>
    <w:docPart>
      <w:docPartPr>
        <w:name w:val="944EE29C6B334162B786D58D9FBA4C77"/>
        <w:category>
          <w:name w:val="General"/>
          <w:gallery w:val="placeholder"/>
        </w:category>
        <w:types>
          <w:type w:val="bbPlcHdr"/>
        </w:types>
        <w:behaviors>
          <w:behavior w:val="content"/>
        </w:behaviors>
        <w:guid w:val="{CC74E5BD-808B-4B9F-819F-4F0C2789D2CC}"/>
      </w:docPartPr>
      <w:docPartBody>
        <w:p w:rsidR="00D34F66" w:rsidRDefault="00A44464" w:rsidP="00A44464">
          <w:pPr>
            <w:pStyle w:val="944EE29C6B334162B786D58D9FBA4C77"/>
          </w:pPr>
          <w:r>
            <w:rPr>
              <w:rStyle w:val="PlaceholderText"/>
            </w:rPr>
            <w:t>Click or tap here to enter text.</w:t>
          </w:r>
        </w:p>
      </w:docPartBody>
    </w:docPart>
    <w:docPart>
      <w:docPartPr>
        <w:name w:val="E1C034A26BDF410FB9CBE58955602844"/>
        <w:category>
          <w:name w:val="General"/>
          <w:gallery w:val="placeholder"/>
        </w:category>
        <w:types>
          <w:type w:val="bbPlcHdr"/>
        </w:types>
        <w:behaviors>
          <w:behavior w:val="content"/>
        </w:behaviors>
        <w:guid w:val="{3A9AEEEF-E742-4C54-8303-059B4A873099}"/>
      </w:docPartPr>
      <w:docPartBody>
        <w:p w:rsidR="00D34F66" w:rsidRDefault="00A44464" w:rsidP="00A44464">
          <w:pPr>
            <w:pStyle w:val="E1C034A26BDF410FB9CBE58955602844"/>
          </w:pPr>
          <w:r>
            <w:rPr>
              <w:rStyle w:val="PlaceholderText"/>
            </w:rPr>
            <w:t>Click or tap here to enter text.</w:t>
          </w:r>
        </w:p>
      </w:docPartBody>
    </w:docPart>
    <w:docPart>
      <w:docPartPr>
        <w:name w:val="3D23243DA8ED4B4CB229D9ED4E27DCE0"/>
        <w:category>
          <w:name w:val="General"/>
          <w:gallery w:val="placeholder"/>
        </w:category>
        <w:types>
          <w:type w:val="bbPlcHdr"/>
        </w:types>
        <w:behaviors>
          <w:behavior w:val="content"/>
        </w:behaviors>
        <w:guid w:val="{BC6ADA46-9FAA-4D76-8083-D57ED6C059B2}"/>
      </w:docPartPr>
      <w:docPartBody>
        <w:p w:rsidR="00D34F66" w:rsidRDefault="00A44464" w:rsidP="00A44464">
          <w:pPr>
            <w:pStyle w:val="3D23243DA8ED4B4CB229D9ED4E27DCE0"/>
          </w:pPr>
          <w:r>
            <w:rPr>
              <w:rStyle w:val="PlaceholderText"/>
            </w:rPr>
            <w:t>Click or tap here to enter text.</w:t>
          </w:r>
        </w:p>
      </w:docPartBody>
    </w:docPart>
    <w:docPart>
      <w:docPartPr>
        <w:name w:val="40295763A67C471B89FA36F2DDFF3363"/>
        <w:category>
          <w:name w:val="General"/>
          <w:gallery w:val="placeholder"/>
        </w:category>
        <w:types>
          <w:type w:val="bbPlcHdr"/>
        </w:types>
        <w:behaviors>
          <w:behavior w:val="content"/>
        </w:behaviors>
        <w:guid w:val="{7B4292E3-5155-415F-B483-4B16B5B86085}"/>
      </w:docPartPr>
      <w:docPartBody>
        <w:p w:rsidR="00D34F66" w:rsidRDefault="00A44464" w:rsidP="00A44464">
          <w:pPr>
            <w:pStyle w:val="40295763A67C471B89FA36F2DDFF3363"/>
          </w:pPr>
          <w:r>
            <w:rPr>
              <w:rStyle w:val="PlaceholderText"/>
            </w:rPr>
            <w:t>Click or tap here to enter text.</w:t>
          </w:r>
        </w:p>
      </w:docPartBody>
    </w:docPart>
    <w:docPart>
      <w:docPartPr>
        <w:name w:val="7905C132C65549B69BB997FC25376764"/>
        <w:category>
          <w:name w:val="General"/>
          <w:gallery w:val="placeholder"/>
        </w:category>
        <w:types>
          <w:type w:val="bbPlcHdr"/>
        </w:types>
        <w:behaviors>
          <w:behavior w:val="content"/>
        </w:behaviors>
        <w:guid w:val="{368F9B69-BD43-42B0-A67E-98260E57A974}"/>
      </w:docPartPr>
      <w:docPartBody>
        <w:p w:rsidR="00D34F66" w:rsidRDefault="00A44464" w:rsidP="00A44464">
          <w:pPr>
            <w:pStyle w:val="7905C132C65549B69BB997FC25376764"/>
          </w:pPr>
          <w:r>
            <w:rPr>
              <w:rStyle w:val="PlaceholderText"/>
            </w:rPr>
            <w:t>Click or tap here to enter text.</w:t>
          </w:r>
        </w:p>
      </w:docPartBody>
    </w:docPart>
    <w:docPart>
      <w:docPartPr>
        <w:name w:val="FA2C4BBC96E14779A02A695573D95A54"/>
        <w:category>
          <w:name w:val="General"/>
          <w:gallery w:val="placeholder"/>
        </w:category>
        <w:types>
          <w:type w:val="bbPlcHdr"/>
        </w:types>
        <w:behaviors>
          <w:behavior w:val="content"/>
        </w:behaviors>
        <w:guid w:val="{971BF25B-F104-4E9D-AB88-28D9F0CA1AB1}"/>
      </w:docPartPr>
      <w:docPartBody>
        <w:p w:rsidR="00D34F66" w:rsidRDefault="00A44464" w:rsidP="00A44464">
          <w:pPr>
            <w:pStyle w:val="FA2C4BBC96E14779A02A695573D95A54"/>
          </w:pPr>
          <w:r>
            <w:rPr>
              <w:rStyle w:val="PlaceholderText"/>
            </w:rPr>
            <w:t>Click or tap here to enter text.</w:t>
          </w:r>
        </w:p>
      </w:docPartBody>
    </w:docPart>
    <w:docPart>
      <w:docPartPr>
        <w:name w:val="9A01097CBBF54273B516A45232B6D9FD"/>
        <w:category>
          <w:name w:val="General"/>
          <w:gallery w:val="placeholder"/>
        </w:category>
        <w:types>
          <w:type w:val="bbPlcHdr"/>
        </w:types>
        <w:behaviors>
          <w:behavior w:val="content"/>
        </w:behaviors>
        <w:guid w:val="{36875372-8060-41E1-B267-056919B5C088}"/>
      </w:docPartPr>
      <w:docPartBody>
        <w:p w:rsidR="00D34F66" w:rsidRDefault="00A44464" w:rsidP="00A44464">
          <w:pPr>
            <w:pStyle w:val="9A01097CBBF54273B516A45232B6D9FD"/>
          </w:pPr>
          <w:r>
            <w:rPr>
              <w:rStyle w:val="PlaceholderText"/>
            </w:rPr>
            <w:t>Click or tap here to enter text.</w:t>
          </w:r>
        </w:p>
      </w:docPartBody>
    </w:docPart>
    <w:docPart>
      <w:docPartPr>
        <w:name w:val="E902CD26FAB440D79CDB92964E59AB18"/>
        <w:category>
          <w:name w:val="General"/>
          <w:gallery w:val="placeholder"/>
        </w:category>
        <w:types>
          <w:type w:val="bbPlcHdr"/>
        </w:types>
        <w:behaviors>
          <w:behavior w:val="content"/>
        </w:behaviors>
        <w:guid w:val="{F94D521A-9C05-457A-8AEF-58F1A32033EE}"/>
      </w:docPartPr>
      <w:docPartBody>
        <w:p w:rsidR="00D34F66" w:rsidRDefault="00A44464" w:rsidP="00A44464">
          <w:pPr>
            <w:pStyle w:val="E902CD26FAB440D79CDB92964E59AB18"/>
          </w:pPr>
          <w:r>
            <w:rPr>
              <w:rStyle w:val="PlaceholderText"/>
            </w:rPr>
            <w:t>Click or tap here to enter text.</w:t>
          </w:r>
        </w:p>
      </w:docPartBody>
    </w:docPart>
    <w:docPart>
      <w:docPartPr>
        <w:name w:val="70FFD138DC3845A999416CCE465AEA21"/>
        <w:category>
          <w:name w:val="General"/>
          <w:gallery w:val="placeholder"/>
        </w:category>
        <w:types>
          <w:type w:val="bbPlcHdr"/>
        </w:types>
        <w:behaviors>
          <w:behavior w:val="content"/>
        </w:behaviors>
        <w:guid w:val="{120EF02E-674D-4E65-8D12-839619F22588}"/>
      </w:docPartPr>
      <w:docPartBody>
        <w:p w:rsidR="00D34F66" w:rsidRDefault="00A44464" w:rsidP="00A44464">
          <w:pPr>
            <w:pStyle w:val="70FFD138DC3845A999416CCE465AEA21"/>
          </w:pPr>
          <w:r>
            <w:rPr>
              <w:rStyle w:val="PlaceholderText"/>
            </w:rPr>
            <w:t>Click or tap here to enter text.</w:t>
          </w:r>
        </w:p>
      </w:docPartBody>
    </w:docPart>
    <w:docPart>
      <w:docPartPr>
        <w:name w:val="FE4C124B168A40FD825965CF4DE58270"/>
        <w:category>
          <w:name w:val="General"/>
          <w:gallery w:val="placeholder"/>
        </w:category>
        <w:types>
          <w:type w:val="bbPlcHdr"/>
        </w:types>
        <w:behaviors>
          <w:behavior w:val="content"/>
        </w:behaviors>
        <w:guid w:val="{EF809968-AB20-415A-9266-06020E259ACC}"/>
      </w:docPartPr>
      <w:docPartBody>
        <w:p w:rsidR="00D34F66" w:rsidRDefault="00A44464" w:rsidP="00A44464">
          <w:pPr>
            <w:pStyle w:val="FE4C124B168A40FD825965CF4DE58270"/>
          </w:pPr>
          <w:r>
            <w:rPr>
              <w:rStyle w:val="PlaceholderText"/>
            </w:rPr>
            <w:t>Click or tap here to enter text.</w:t>
          </w:r>
        </w:p>
      </w:docPartBody>
    </w:docPart>
    <w:docPart>
      <w:docPartPr>
        <w:name w:val="0B7B3188A1B34E568FD8A6949884B66C"/>
        <w:category>
          <w:name w:val="General"/>
          <w:gallery w:val="placeholder"/>
        </w:category>
        <w:types>
          <w:type w:val="bbPlcHdr"/>
        </w:types>
        <w:behaviors>
          <w:behavior w:val="content"/>
        </w:behaviors>
        <w:guid w:val="{20EEDB1C-8D6D-48C0-9E1E-6A40C43ED8A6}"/>
      </w:docPartPr>
      <w:docPartBody>
        <w:p w:rsidR="00D34F66" w:rsidRDefault="00A44464" w:rsidP="00A44464">
          <w:pPr>
            <w:pStyle w:val="0B7B3188A1B34E568FD8A6949884B66C"/>
          </w:pPr>
          <w:r>
            <w:rPr>
              <w:rStyle w:val="PlaceholderText"/>
            </w:rPr>
            <w:t>Click or tap here to enter text.</w:t>
          </w:r>
        </w:p>
      </w:docPartBody>
    </w:docPart>
    <w:docPart>
      <w:docPartPr>
        <w:name w:val="9F22FF7893E9428D97F16DD72A7FC585"/>
        <w:category>
          <w:name w:val="General"/>
          <w:gallery w:val="placeholder"/>
        </w:category>
        <w:types>
          <w:type w:val="bbPlcHdr"/>
        </w:types>
        <w:behaviors>
          <w:behavior w:val="content"/>
        </w:behaviors>
        <w:guid w:val="{00783AB3-A31E-4B54-9215-55736AB18107}"/>
      </w:docPartPr>
      <w:docPartBody>
        <w:p w:rsidR="00D34F66" w:rsidRDefault="00A44464" w:rsidP="00A44464">
          <w:pPr>
            <w:pStyle w:val="9F22FF7893E9428D97F16DD72A7FC585"/>
          </w:pPr>
          <w:r>
            <w:rPr>
              <w:rStyle w:val="PlaceholderText"/>
            </w:rPr>
            <w:t>Click or tap here to enter text.</w:t>
          </w:r>
        </w:p>
      </w:docPartBody>
    </w:docPart>
    <w:docPart>
      <w:docPartPr>
        <w:name w:val="106A62B5BF4F459FAA2399A0DC933FA5"/>
        <w:category>
          <w:name w:val="General"/>
          <w:gallery w:val="placeholder"/>
        </w:category>
        <w:types>
          <w:type w:val="bbPlcHdr"/>
        </w:types>
        <w:behaviors>
          <w:behavior w:val="content"/>
        </w:behaviors>
        <w:guid w:val="{02D28AB7-189B-490C-A5DA-BA51B44FC46A}"/>
      </w:docPartPr>
      <w:docPartBody>
        <w:p w:rsidR="00D34F66" w:rsidRDefault="00A44464" w:rsidP="00A44464">
          <w:pPr>
            <w:pStyle w:val="106A62B5BF4F459FAA2399A0DC933FA5"/>
          </w:pPr>
          <w:r>
            <w:rPr>
              <w:rStyle w:val="PlaceholderText"/>
            </w:rPr>
            <w:t>Click or tap here to enter text.</w:t>
          </w:r>
        </w:p>
      </w:docPartBody>
    </w:docPart>
    <w:docPart>
      <w:docPartPr>
        <w:name w:val="ED529BEDF3F1424EB5888E4F1EB57C9F"/>
        <w:category>
          <w:name w:val="General"/>
          <w:gallery w:val="placeholder"/>
        </w:category>
        <w:types>
          <w:type w:val="bbPlcHdr"/>
        </w:types>
        <w:behaviors>
          <w:behavior w:val="content"/>
        </w:behaviors>
        <w:guid w:val="{165154AC-ECF5-4FC0-B871-211F776A72E6}"/>
      </w:docPartPr>
      <w:docPartBody>
        <w:p w:rsidR="00D34F66" w:rsidRDefault="00A44464" w:rsidP="00A44464">
          <w:pPr>
            <w:pStyle w:val="ED529BEDF3F1424EB5888E4F1EB57C9F"/>
          </w:pPr>
          <w:r>
            <w:rPr>
              <w:rStyle w:val="PlaceholderText"/>
            </w:rPr>
            <w:t>Click or tap here to enter text.</w:t>
          </w:r>
        </w:p>
      </w:docPartBody>
    </w:docPart>
    <w:docPart>
      <w:docPartPr>
        <w:name w:val="B89A2743AA4440539CE1C54A6C1D2C32"/>
        <w:category>
          <w:name w:val="General"/>
          <w:gallery w:val="placeholder"/>
        </w:category>
        <w:types>
          <w:type w:val="bbPlcHdr"/>
        </w:types>
        <w:behaviors>
          <w:behavior w:val="content"/>
        </w:behaviors>
        <w:guid w:val="{65537B0A-E16F-43EB-A164-77AE646AE741}"/>
      </w:docPartPr>
      <w:docPartBody>
        <w:p w:rsidR="00D34F66" w:rsidRDefault="00A44464" w:rsidP="00A44464">
          <w:pPr>
            <w:pStyle w:val="B89A2743AA4440539CE1C54A6C1D2C32"/>
          </w:pPr>
          <w:r>
            <w:rPr>
              <w:rStyle w:val="PlaceholderText"/>
            </w:rPr>
            <w:t>Click or tap here to enter text.</w:t>
          </w:r>
        </w:p>
      </w:docPartBody>
    </w:docPart>
    <w:docPart>
      <w:docPartPr>
        <w:name w:val="4EFF7CD1F57342AEABB47B5CB11FDD58"/>
        <w:category>
          <w:name w:val="General"/>
          <w:gallery w:val="placeholder"/>
        </w:category>
        <w:types>
          <w:type w:val="bbPlcHdr"/>
        </w:types>
        <w:behaviors>
          <w:behavior w:val="content"/>
        </w:behaviors>
        <w:guid w:val="{A6CA373B-FB13-4159-9AEA-BB0376412A53}"/>
      </w:docPartPr>
      <w:docPartBody>
        <w:p w:rsidR="00D34F66" w:rsidRDefault="00A44464" w:rsidP="00A44464">
          <w:pPr>
            <w:pStyle w:val="4EFF7CD1F57342AEABB47B5CB11FDD58"/>
          </w:pPr>
          <w:r>
            <w:rPr>
              <w:rStyle w:val="PlaceholderText"/>
            </w:rPr>
            <w:t>Click or tap here to enter text.</w:t>
          </w:r>
        </w:p>
      </w:docPartBody>
    </w:docPart>
    <w:docPart>
      <w:docPartPr>
        <w:name w:val="CDF9309B9EAF460B841E1B6C69D8CB84"/>
        <w:category>
          <w:name w:val="General"/>
          <w:gallery w:val="placeholder"/>
        </w:category>
        <w:types>
          <w:type w:val="bbPlcHdr"/>
        </w:types>
        <w:behaviors>
          <w:behavior w:val="content"/>
        </w:behaviors>
        <w:guid w:val="{D6165938-C012-4053-8CA9-FC5FEFFBF9B5}"/>
      </w:docPartPr>
      <w:docPartBody>
        <w:p w:rsidR="00D34F66" w:rsidRDefault="00A44464" w:rsidP="00A44464">
          <w:pPr>
            <w:pStyle w:val="CDF9309B9EAF460B841E1B6C69D8CB84"/>
          </w:pPr>
          <w:r>
            <w:rPr>
              <w:rStyle w:val="PlaceholderText"/>
            </w:rPr>
            <w:t>Click or tap here to enter text.</w:t>
          </w:r>
        </w:p>
      </w:docPartBody>
    </w:docPart>
    <w:docPart>
      <w:docPartPr>
        <w:name w:val="6171317B36BD42B8A0CDDE04C6867B62"/>
        <w:category>
          <w:name w:val="General"/>
          <w:gallery w:val="placeholder"/>
        </w:category>
        <w:types>
          <w:type w:val="bbPlcHdr"/>
        </w:types>
        <w:behaviors>
          <w:behavior w:val="content"/>
        </w:behaviors>
        <w:guid w:val="{93D42789-D198-47AE-9EEF-AF6C04C0147B}"/>
      </w:docPartPr>
      <w:docPartBody>
        <w:p w:rsidR="00D34F66" w:rsidRDefault="00A44464" w:rsidP="00A44464">
          <w:pPr>
            <w:pStyle w:val="6171317B36BD42B8A0CDDE04C6867B62"/>
          </w:pPr>
          <w:r>
            <w:rPr>
              <w:rStyle w:val="PlaceholderText"/>
            </w:rPr>
            <w:t>Click or tap here to enter text.</w:t>
          </w:r>
        </w:p>
      </w:docPartBody>
    </w:docPart>
    <w:docPart>
      <w:docPartPr>
        <w:name w:val="08F724E0291F422A8F21080B78A5BFF3"/>
        <w:category>
          <w:name w:val="General"/>
          <w:gallery w:val="placeholder"/>
        </w:category>
        <w:types>
          <w:type w:val="bbPlcHdr"/>
        </w:types>
        <w:behaviors>
          <w:behavior w:val="content"/>
        </w:behaviors>
        <w:guid w:val="{3B98DF75-D33C-4D0F-997C-5D7378283789}"/>
      </w:docPartPr>
      <w:docPartBody>
        <w:p w:rsidR="00D34F66" w:rsidRDefault="00A44464" w:rsidP="00A44464">
          <w:pPr>
            <w:pStyle w:val="08F724E0291F422A8F21080B78A5BFF3"/>
          </w:pPr>
          <w:r>
            <w:rPr>
              <w:rStyle w:val="PlaceholderText"/>
            </w:rPr>
            <w:t>Click or tap here to enter text.</w:t>
          </w:r>
        </w:p>
      </w:docPartBody>
    </w:docPart>
    <w:docPart>
      <w:docPartPr>
        <w:name w:val="551791ABF7D8441FA148437F319D56AE"/>
        <w:category>
          <w:name w:val="General"/>
          <w:gallery w:val="placeholder"/>
        </w:category>
        <w:types>
          <w:type w:val="bbPlcHdr"/>
        </w:types>
        <w:behaviors>
          <w:behavior w:val="content"/>
        </w:behaviors>
        <w:guid w:val="{0AF7820F-CB8B-4B40-913B-B2DA4E72F637}"/>
      </w:docPartPr>
      <w:docPartBody>
        <w:p w:rsidR="00D34F66" w:rsidRDefault="00A44464" w:rsidP="00A44464">
          <w:pPr>
            <w:pStyle w:val="551791ABF7D8441FA148437F319D56AE"/>
          </w:pPr>
          <w:r>
            <w:rPr>
              <w:rStyle w:val="PlaceholderText"/>
            </w:rPr>
            <w:t>Click or tap here to enter text.</w:t>
          </w:r>
        </w:p>
      </w:docPartBody>
    </w:docPart>
    <w:docPart>
      <w:docPartPr>
        <w:name w:val="C765E266BAAC410E909811ACFCA50C26"/>
        <w:category>
          <w:name w:val="General"/>
          <w:gallery w:val="placeholder"/>
        </w:category>
        <w:types>
          <w:type w:val="bbPlcHdr"/>
        </w:types>
        <w:behaviors>
          <w:behavior w:val="content"/>
        </w:behaviors>
        <w:guid w:val="{EC1689EA-2F9F-4F76-8FD9-295D898DDBAB}"/>
      </w:docPartPr>
      <w:docPartBody>
        <w:p w:rsidR="00D34F66" w:rsidRDefault="00A44464" w:rsidP="00A44464">
          <w:pPr>
            <w:pStyle w:val="C765E266BAAC410E909811ACFCA50C26"/>
          </w:pPr>
          <w:r>
            <w:rPr>
              <w:rStyle w:val="PlaceholderText"/>
            </w:rPr>
            <w:t>Click or tap here to enter text.</w:t>
          </w:r>
        </w:p>
      </w:docPartBody>
    </w:docPart>
    <w:docPart>
      <w:docPartPr>
        <w:name w:val="003927355CB24370A4753F4388E1E9F9"/>
        <w:category>
          <w:name w:val="General"/>
          <w:gallery w:val="placeholder"/>
        </w:category>
        <w:types>
          <w:type w:val="bbPlcHdr"/>
        </w:types>
        <w:behaviors>
          <w:behavior w:val="content"/>
        </w:behaviors>
        <w:guid w:val="{88F6AB9E-55A0-4CB4-887A-675D33F80478}"/>
      </w:docPartPr>
      <w:docPartBody>
        <w:p w:rsidR="00D34F66" w:rsidRDefault="00A44464" w:rsidP="00A44464">
          <w:pPr>
            <w:pStyle w:val="003927355CB24370A4753F4388E1E9F9"/>
          </w:pPr>
          <w:r>
            <w:rPr>
              <w:rStyle w:val="PlaceholderText"/>
            </w:rPr>
            <w:t>Click or tap here to enter text.</w:t>
          </w:r>
        </w:p>
      </w:docPartBody>
    </w:docPart>
    <w:docPart>
      <w:docPartPr>
        <w:name w:val="1CB0DDEE704143EEA90B452468A4B084"/>
        <w:category>
          <w:name w:val="General"/>
          <w:gallery w:val="placeholder"/>
        </w:category>
        <w:types>
          <w:type w:val="bbPlcHdr"/>
        </w:types>
        <w:behaviors>
          <w:behavior w:val="content"/>
        </w:behaviors>
        <w:guid w:val="{0B890249-DDD7-43AD-93ED-A2F2E7200E86}"/>
      </w:docPartPr>
      <w:docPartBody>
        <w:p w:rsidR="00D34F66" w:rsidRDefault="00A44464" w:rsidP="00A44464">
          <w:pPr>
            <w:pStyle w:val="1CB0DDEE704143EEA90B452468A4B084"/>
          </w:pPr>
          <w:r>
            <w:rPr>
              <w:rStyle w:val="PlaceholderText"/>
            </w:rPr>
            <w:t>Click or tap here to enter text.</w:t>
          </w:r>
        </w:p>
      </w:docPartBody>
    </w:docPart>
    <w:docPart>
      <w:docPartPr>
        <w:name w:val="B546262388064279BAD4B1FE632DBDCE"/>
        <w:category>
          <w:name w:val="General"/>
          <w:gallery w:val="placeholder"/>
        </w:category>
        <w:types>
          <w:type w:val="bbPlcHdr"/>
        </w:types>
        <w:behaviors>
          <w:behavior w:val="content"/>
        </w:behaviors>
        <w:guid w:val="{E22E8ED5-332B-44A4-9653-DDC27D4CC638}"/>
      </w:docPartPr>
      <w:docPartBody>
        <w:p w:rsidR="00D34F66" w:rsidRDefault="00A44464" w:rsidP="00A44464">
          <w:pPr>
            <w:pStyle w:val="B546262388064279BAD4B1FE632DBDCE"/>
          </w:pPr>
          <w:r>
            <w:rPr>
              <w:rStyle w:val="PlaceholderText"/>
            </w:rPr>
            <w:t>Click or tap here to enter text.</w:t>
          </w:r>
        </w:p>
      </w:docPartBody>
    </w:docPart>
    <w:docPart>
      <w:docPartPr>
        <w:name w:val="2B7A76492A93489293A832AADE3970B5"/>
        <w:category>
          <w:name w:val="General"/>
          <w:gallery w:val="placeholder"/>
        </w:category>
        <w:types>
          <w:type w:val="bbPlcHdr"/>
        </w:types>
        <w:behaviors>
          <w:behavior w:val="content"/>
        </w:behaviors>
        <w:guid w:val="{245065B0-1090-4E3B-8DB0-A683D89C3629}"/>
      </w:docPartPr>
      <w:docPartBody>
        <w:p w:rsidR="00D34F66" w:rsidRDefault="00A44464" w:rsidP="00A44464">
          <w:pPr>
            <w:pStyle w:val="2B7A76492A93489293A832AADE3970B5"/>
          </w:pPr>
          <w:r w:rsidRPr="00AA106C">
            <w:rPr>
              <w:rStyle w:val="PlaceholderText"/>
            </w:rPr>
            <w:t>Click or tap here to enter text.</w:t>
          </w:r>
        </w:p>
      </w:docPartBody>
    </w:docPart>
    <w:docPart>
      <w:docPartPr>
        <w:name w:val="4FE1B0F4BA304173BEED0CF8EC1CF89E"/>
        <w:category>
          <w:name w:val="General"/>
          <w:gallery w:val="placeholder"/>
        </w:category>
        <w:types>
          <w:type w:val="bbPlcHdr"/>
        </w:types>
        <w:behaviors>
          <w:behavior w:val="content"/>
        </w:behaviors>
        <w:guid w:val="{3239EB0B-271B-4140-8FF1-D59C4CE20C91}"/>
      </w:docPartPr>
      <w:docPartBody>
        <w:p w:rsidR="00D34F66" w:rsidRDefault="00A44464" w:rsidP="00A44464">
          <w:pPr>
            <w:pStyle w:val="4FE1B0F4BA304173BEED0CF8EC1CF89E"/>
          </w:pPr>
          <w:r>
            <w:rPr>
              <w:rStyle w:val="PlaceholderText"/>
            </w:rPr>
            <w:t>Click or tap here to enter text.</w:t>
          </w:r>
        </w:p>
      </w:docPartBody>
    </w:docPart>
    <w:docPart>
      <w:docPartPr>
        <w:name w:val="7F13966635B2413BB5C2B50C1074F54C"/>
        <w:category>
          <w:name w:val="General"/>
          <w:gallery w:val="placeholder"/>
        </w:category>
        <w:types>
          <w:type w:val="bbPlcHdr"/>
        </w:types>
        <w:behaviors>
          <w:behavior w:val="content"/>
        </w:behaviors>
        <w:guid w:val="{E1BB5A14-FBD0-44F5-83D5-7A1A601669D1}"/>
      </w:docPartPr>
      <w:docPartBody>
        <w:p w:rsidR="00D34F66" w:rsidRDefault="00A44464" w:rsidP="00A44464">
          <w:pPr>
            <w:pStyle w:val="7F13966635B2413BB5C2B50C1074F54C"/>
          </w:pPr>
          <w:r>
            <w:rPr>
              <w:rStyle w:val="PlaceholderText"/>
            </w:rPr>
            <w:t>Click or tap here to enter text.</w:t>
          </w:r>
        </w:p>
      </w:docPartBody>
    </w:docPart>
    <w:docPart>
      <w:docPartPr>
        <w:name w:val="0356A187124B42DE8555C3BB95C2F840"/>
        <w:category>
          <w:name w:val="General"/>
          <w:gallery w:val="placeholder"/>
        </w:category>
        <w:types>
          <w:type w:val="bbPlcHdr"/>
        </w:types>
        <w:behaviors>
          <w:behavior w:val="content"/>
        </w:behaviors>
        <w:guid w:val="{DDFD3B4A-9968-493F-991D-092EB37FB550}"/>
      </w:docPartPr>
      <w:docPartBody>
        <w:p w:rsidR="00D34F66" w:rsidRDefault="00A44464" w:rsidP="00A44464">
          <w:pPr>
            <w:pStyle w:val="0356A187124B42DE8555C3BB95C2F840"/>
          </w:pPr>
          <w:r>
            <w:rPr>
              <w:rStyle w:val="PlaceholderText"/>
            </w:rPr>
            <w:t>Click or tap here to enter text.</w:t>
          </w:r>
        </w:p>
      </w:docPartBody>
    </w:docPart>
    <w:docPart>
      <w:docPartPr>
        <w:name w:val="A3335AF45D5142298D71C1F7A0C376D5"/>
        <w:category>
          <w:name w:val="General"/>
          <w:gallery w:val="placeholder"/>
        </w:category>
        <w:types>
          <w:type w:val="bbPlcHdr"/>
        </w:types>
        <w:behaviors>
          <w:behavior w:val="content"/>
        </w:behaviors>
        <w:guid w:val="{7D277352-80E9-4211-838E-2F1D7A2C8414}"/>
      </w:docPartPr>
      <w:docPartBody>
        <w:p w:rsidR="00D34F66" w:rsidRDefault="00A44464" w:rsidP="00A44464">
          <w:pPr>
            <w:pStyle w:val="A3335AF45D5142298D71C1F7A0C376D5"/>
          </w:pPr>
          <w:r w:rsidRPr="00B817B6">
            <w:rPr>
              <w:rStyle w:val="PlaceholderText"/>
            </w:rPr>
            <w:t>Click or tap here to enter text.</w:t>
          </w:r>
        </w:p>
      </w:docPartBody>
    </w:docPart>
    <w:docPart>
      <w:docPartPr>
        <w:name w:val="DC1BE2D2DF9F4DEEB7AAC0A5B038E2B8"/>
        <w:category>
          <w:name w:val="General"/>
          <w:gallery w:val="placeholder"/>
        </w:category>
        <w:types>
          <w:type w:val="bbPlcHdr"/>
        </w:types>
        <w:behaviors>
          <w:behavior w:val="content"/>
        </w:behaviors>
        <w:guid w:val="{C79858F1-8564-4F3F-8BCD-CBB4957AC6CB}"/>
      </w:docPartPr>
      <w:docPartBody>
        <w:p w:rsidR="00D34F66" w:rsidRDefault="00A44464" w:rsidP="00A44464">
          <w:pPr>
            <w:pStyle w:val="DC1BE2D2DF9F4DEEB7AAC0A5B038E2B8"/>
          </w:pPr>
          <w:r>
            <w:rPr>
              <w:rStyle w:val="PlaceholderText"/>
            </w:rPr>
            <w:t>Click or tap here to enter text.</w:t>
          </w:r>
        </w:p>
      </w:docPartBody>
    </w:docPart>
    <w:docPart>
      <w:docPartPr>
        <w:name w:val="00E04DB4C48E4D10B1D2E4D8C7268388"/>
        <w:category>
          <w:name w:val="General"/>
          <w:gallery w:val="placeholder"/>
        </w:category>
        <w:types>
          <w:type w:val="bbPlcHdr"/>
        </w:types>
        <w:behaviors>
          <w:behavior w:val="content"/>
        </w:behaviors>
        <w:guid w:val="{DE0F4D42-F59F-4BF9-AC22-43B8F71AE506}"/>
      </w:docPartPr>
      <w:docPartBody>
        <w:p w:rsidR="00D34F66" w:rsidRDefault="00A44464" w:rsidP="00A44464">
          <w:pPr>
            <w:pStyle w:val="00E04DB4C48E4D10B1D2E4D8C7268388"/>
          </w:pPr>
          <w:r>
            <w:rPr>
              <w:rStyle w:val="PlaceholderText"/>
            </w:rPr>
            <w:t>Click or tap here to enter text.</w:t>
          </w:r>
        </w:p>
      </w:docPartBody>
    </w:docPart>
    <w:docPart>
      <w:docPartPr>
        <w:name w:val="8019D5D53E8F4690B87550617897A666"/>
        <w:category>
          <w:name w:val="General"/>
          <w:gallery w:val="placeholder"/>
        </w:category>
        <w:types>
          <w:type w:val="bbPlcHdr"/>
        </w:types>
        <w:behaviors>
          <w:behavior w:val="content"/>
        </w:behaviors>
        <w:guid w:val="{101A0125-FAA9-4DBE-B10A-E502744FAF41}"/>
      </w:docPartPr>
      <w:docPartBody>
        <w:p w:rsidR="00D34F66" w:rsidRDefault="00A44464" w:rsidP="00A44464">
          <w:pPr>
            <w:pStyle w:val="8019D5D53E8F4690B87550617897A666"/>
          </w:pPr>
          <w:r w:rsidRPr="00AC4494">
            <w:rPr>
              <w:rStyle w:val="PlaceholderText"/>
            </w:rPr>
            <w:t>Click or tap here to enter text.</w:t>
          </w:r>
        </w:p>
      </w:docPartBody>
    </w:docPart>
    <w:docPart>
      <w:docPartPr>
        <w:name w:val="B1165F7B00364F2B898C0F066D1DA639"/>
        <w:category>
          <w:name w:val="General"/>
          <w:gallery w:val="placeholder"/>
        </w:category>
        <w:types>
          <w:type w:val="bbPlcHdr"/>
        </w:types>
        <w:behaviors>
          <w:behavior w:val="content"/>
        </w:behaviors>
        <w:guid w:val="{53FA8F67-DBD7-4FFB-A068-CBFA52399F01}"/>
      </w:docPartPr>
      <w:docPartBody>
        <w:p w:rsidR="00D34F66" w:rsidRDefault="00A44464" w:rsidP="00A44464">
          <w:pPr>
            <w:pStyle w:val="B1165F7B00364F2B898C0F066D1DA639"/>
          </w:pPr>
          <w:r>
            <w:rPr>
              <w:rStyle w:val="PlaceholderText"/>
            </w:rPr>
            <w:t>Click or tap here to enter text.</w:t>
          </w:r>
        </w:p>
      </w:docPartBody>
    </w:docPart>
    <w:docPart>
      <w:docPartPr>
        <w:name w:val="7AB6291C39E544AF81DC3B7F9642200F"/>
        <w:category>
          <w:name w:val="General"/>
          <w:gallery w:val="placeholder"/>
        </w:category>
        <w:types>
          <w:type w:val="bbPlcHdr"/>
        </w:types>
        <w:behaviors>
          <w:behavior w:val="content"/>
        </w:behaviors>
        <w:guid w:val="{8E42D825-9095-44BF-8B0F-7992A101F65F}"/>
      </w:docPartPr>
      <w:docPartBody>
        <w:p w:rsidR="00D34F66" w:rsidRDefault="00A44464" w:rsidP="00A44464">
          <w:pPr>
            <w:pStyle w:val="7AB6291C39E544AF81DC3B7F9642200F"/>
          </w:pPr>
          <w:r w:rsidRPr="00F761FF">
            <w:rPr>
              <w:rStyle w:val="PlaceholderText"/>
            </w:rPr>
            <w:t>Click or tap here to enter text.</w:t>
          </w:r>
        </w:p>
      </w:docPartBody>
    </w:docPart>
    <w:docPart>
      <w:docPartPr>
        <w:name w:val="3BC2FE9048404F5CB2D09D845CE29C9D"/>
        <w:category>
          <w:name w:val="General"/>
          <w:gallery w:val="placeholder"/>
        </w:category>
        <w:types>
          <w:type w:val="bbPlcHdr"/>
        </w:types>
        <w:behaviors>
          <w:behavior w:val="content"/>
        </w:behaviors>
        <w:guid w:val="{635E9A4F-9F81-4E56-A47B-FDA89213A0B8}"/>
      </w:docPartPr>
      <w:docPartBody>
        <w:p w:rsidR="00D34F66" w:rsidRDefault="00A44464" w:rsidP="00A44464">
          <w:pPr>
            <w:pStyle w:val="3BC2FE9048404F5CB2D09D845CE29C9D"/>
          </w:pPr>
          <w:r w:rsidRPr="00AC4494">
            <w:rPr>
              <w:rStyle w:val="PlaceholderText"/>
            </w:rPr>
            <w:t>Click or tap here to enter text.</w:t>
          </w:r>
        </w:p>
      </w:docPartBody>
    </w:docPart>
    <w:docPart>
      <w:docPartPr>
        <w:name w:val="4BF7FF4DA2334CB5BC9421A334F9E1B3"/>
        <w:category>
          <w:name w:val="General"/>
          <w:gallery w:val="placeholder"/>
        </w:category>
        <w:types>
          <w:type w:val="bbPlcHdr"/>
        </w:types>
        <w:behaviors>
          <w:behavior w:val="content"/>
        </w:behaviors>
        <w:guid w:val="{EA6D2507-6CA2-4079-9CAB-69A8B9068428}"/>
      </w:docPartPr>
      <w:docPartBody>
        <w:p w:rsidR="00BB538E" w:rsidRDefault="000837A8" w:rsidP="000837A8">
          <w:pPr>
            <w:pStyle w:val="4BF7FF4DA2334CB5BC9421A334F9E1B3"/>
          </w:pPr>
          <w:r w:rsidRPr="00B44DB2">
            <w:rPr>
              <w:rStyle w:val="PlaceholderText"/>
            </w:rPr>
            <w:t>Click or tap here to enter text.</w:t>
          </w:r>
        </w:p>
      </w:docPartBody>
    </w:docPart>
    <w:docPart>
      <w:docPartPr>
        <w:name w:val="5A23FCBD0D1849329CE5211A19FA7184"/>
        <w:category>
          <w:name w:val="General"/>
          <w:gallery w:val="placeholder"/>
        </w:category>
        <w:types>
          <w:type w:val="bbPlcHdr"/>
        </w:types>
        <w:behaviors>
          <w:behavior w:val="content"/>
        </w:behaviors>
        <w:guid w:val="{369F128C-717F-4C40-8EC9-59115FCF18B3}"/>
      </w:docPartPr>
      <w:docPartBody>
        <w:p w:rsidR="00BB538E" w:rsidRDefault="000837A8" w:rsidP="000837A8">
          <w:pPr>
            <w:pStyle w:val="5A23FCBD0D1849329CE5211A19FA7184"/>
          </w:pPr>
          <w:r w:rsidRPr="005322AF">
            <w:rPr>
              <w:rStyle w:val="PlaceholderText"/>
            </w:rPr>
            <w:t>Click or tap here to enter text.</w:t>
          </w:r>
        </w:p>
      </w:docPartBody>
    </w:docPart>
    <w:docPart>
      <w:docPartPr>
        <w:name w:val="A9B4AE4E7C5A4A98A16A1581DEBD6183"/>
        <w:category>
          <w:name w:val="General"/>
          <w:gallery w:val="placeholder"/>
        </w:category>
        <w:types>
          <w:type w:val="bbPlcHdr"/>
        </w:types>
        <w:behaviors>
          <w:behavior w:val="content"/>
        </w:behaviors>
        <w:guid w:val="{B446E588-A0A3-459D-9D2F-0F7C38F5D67F}"/>
      </w:docPartPr>
      <w:docPartBody>
        <w:p w:rsidR="00BB538E" w:rsidRDefault="000837A8" w:rsidP="000837A8">
          <w:pPr>
            <w:pStyle w:val="A9B4AE4E7C5A4A98A16A1581DEBD6183"/>
          </w:pPr>
          <w:r>
            <w:rPr>
              <w:rStyle w:val="PlaceholderText"/>
            </w:rPr>
            <w:t>Click or tap here to enter text.</w:t>
          </w:r>
        </w:p>
      </w:docPartBody>
    </w:docPart>
    <w:docPart>
      <w:docPartPr>
        <w:name w:val="A32E4A171379488AB2863941AF5194A1"/>
        <w:category>
          <w:name w:val="General"/>
          <w:gallery w:val="placeholder"/>
        </w:category>
        <w:types>
          <w:type w:val="bbPlcHdr"/>
        </w:types>
        <w:behaviors>
          <w:behavior w:val="content"/>
        </w:behaviors>
        <w:guid w:val="{6009024E-5F81-42CB-B14E-1B1ECC770024}"/>
      </w:docPartPr>
      <w:docPartBody>
        <w:p w:rsidR="00BB538E" w:rsidRDefault="000837A8" w:rsidP="000837A8">
          <w:pPr>
            <w:pStyle w:val="A32E4A171379488AB2863941AF5194A1"/>
          </w:pPr>
          <w:r>
            <w:rPr>
              <w:rStyle w:val="PlaceholderText"/>
            </w:rPr>
            <w:t>Click or tap here to enter text.</w:t>
          </w:r>
        </w:p>
      </w:docPartBody>
    </w:docPart>
    <w:docPart>
      <w:docPartPr>
        <w:name w:val="D00B389D65D2441DBF205655F656F152"/>
        <w:category>
          <w:name w:val="General"/>
          <w:gallery w:val="placeholder"/>
        </w:category>
        <w:types>
          <w:type w:val="bbPlcHdr"/>
        </w:types>
        <w:behaviors>
          <w:behavior w:val="content"/>
        </w:behaviors>
        <w:guid w:val="{F6A438A6-4904-4E93-857D-E0F33B51AFB1}"/>
      </w:docPartPr>
      <w:docPartBody>
        <w:p w:rsidR="00BB538E" w:rsidRDefault="000837A8" w:rsidP="000837A8">
          <w:pPr>
            <w:pStyle w:val="D00B389D65D2441DBF205655F656F152"/>
          </w:pPr>
          <w:r w:rsidRPr="00384CBB">
            <w:rPr>
              <w:rStyle w:val="PlaceholderText"/>
            </w:rPr>
            <w:t>Click or tap here to enter text.</w:t>
          </w:r>
        </w:p>
      </w:docPartBody>
    </w:docPart>
    <w:docPart>
      <w:docPartPr>
        <w:name w:val="62B5D6A992BB4DB8979D2455F2448C4B"/>
        <w:category>
          <w:name w:val="General"/>
          <w:gallery w:val="placeholder"/>
        </w:category>
        <w:types>
          <w:type w:val="bbPlcHdr"/>
        </w:types>
        <w:behaviors>
          <w:behavior w:val="content"/>
        </w:behaviors>
        <w:guid w:val="{CAA3B894-7B97-4BF8-BC05-5845F761EDFF}"/>
      </w:docPartPr>
      <w:docPartBody>
        <w:p w:rsidR="00BB538E" w:rsidRDefault="000837A8" w:rsidP="000837A8">
          <w:pPr>
            <w:pStyle w:val="62B5D6A992BB4DB8979D2455F2448C4B"/>
          </w:pPr>
          <w:r>
            <w:rPr>
              <w:rStyle w:val="PlaceholderText"/>
            </w:rPr>
            <w:t>Click or tap here to enter text.</w:t>
          </w:r>
        </w:p>
      </w:docPartBody>
    </w:docPart>
    <w:docPart>
      <w:docPartPr>
        <w:name w:val="4D84874EE41746A7AD3A077ED870D2E4"/>
        <w:category>
          <w:name w:val="General"/>
          <w:gallery w:val="placeholder"/>
        </w:category>
        <w:types>
          <w:type w:val="bbPlcHdr"/>
        </w:types>
        <w:behaviors>
          <w:behavior w:val="content"/>
        </w:behaviors>
        <w:guid w:val="{282861C2-0C9F-4532-A7AD-EF22E0518D8B}"/>
      </w:docPartPr>
      <w:docPartBody>
        <w:p w:rsidR="00BB538E" w:rsidRDefault="000837A8" w:rsidP="000837A8">
          <w:pPr>
            <w:pStyle w:val="4D84874EE41746A7AD3A077ED870D2E4"/>
          </w:pPr>
          <w:r>
            <w:rPr>
              <w:rStyle w:val="PlaceholderText"/>
            </w:rPr>
            <w:t>Click or tap here to enter text.</w:t>
          </w:r>
        </w:p>
      </w:docPartBody>
    </w:docPart>
    <w:docPart>
      <w:docPartPr>
        <w:name w:val="65FD81F7339047EFA1F53A1465466165"/>
        <w:category>
          <w:name w:val="General"/>
          <w:gallery w:val="placeholder"/>
        </w:category>
        <w:types>
          <w:type w:val="bbPlcHdr"/>
        </w:types>
        <w:behaviors>
          <w:behavior w:val="content"/>
        </w:behaviors>
        <w:guid w:val="{CD398061-B007-4126-81BA-DD3CB1F2D92C}"/>
      </w:docPartPr>
      <w:docPartBody>
        <w:p w:rsidR="00BB538E" w:rsidRDefault="000837A8" w:rsidP="000837A8">
          <w:pPr>
            <w:pStyle w:val="65FD81F7339047EFA1F53A1465466165"/>
          </w:pPr>
          <w:r>
            <w:rPr>
              <w:rStyle w:val="PlaceholderText"/>
            </w:rPr>
            <w:t>Click or tap here to enter text.</w:t>
          </w:r>
        </w:p>
      </w:docPartBody>
    </w:docPart>
    <w:docPart>
      <w:docPartPr>
        <w:name w:val="7CCCF00AE713436FBACCA23D0F1DB4D3"/>
        <w:category>
          <w:name w:val="General"/>
          <w:gallery w:val="placeholder"/>
        </w:category>
        <w:types>
          <w:type w:val="bbPlcHdr"/>
        </w:types>
        <w:behaviors>
          <w:behavior w:val="content"/>
        </w:behaviors>
        <w:guid w:val="{4D9EBA91-F756-4905-A0CA-47AD226B365A}"/>
      </w:docPartPr>
      <w:docPartBody>
        <w:p w:rsidR="00BB538E" w:rsidRDefault="000837A8" w:rsidP="000837A8">
          <w:pPr>
            <w:pStyle w:val="7CCCF00AE713436FBACCA23D0F1DB4D3"/>
          </w:pPr>
          <w:r>
            <w:rPr>
              <w:rStyle w:val="PlaceholderText"/>
            </w:rPr>
            <w:t>Click or tap here to enter text.</w:t>
          </w:r>
        </w:p>
      </w:docPartBody>
    </w:docPart>
    <w:docPart>
      <w:docPartPr>
        <w:name w:val="A07846A41EAC4904B2E09F108678B5C9"/>
        <w:category>
          <w:name w:val="General"/>
          <w:gallery w:val="placeholder"/>
        </w:category>
        <w:types>
          <w:type w:val="bbPlcHdr"/>
        </w:types>
        <w:behaviors>
          <w:behavior w:val="content"/>
        </w:behaviors>
        <w:guid w:val="{EE767394-7CD8-4365-B1F5-45A30894F321}"/>
      </w:docPartPr>
      <w:docPartBody>
        <w:p w:rsidR="00BB538E" w:rsidRDefault="000837A8" w:rsidP="000837A8">
          <w:pPr>
            <w:pStyle w:val="A07846A41EAC4904B2E09F108678B5C9"/>
          </w:pPr>
          <w:r>
            <w:rPr>
              <w:rStyle w:val="PlaceholderText"/>
            </w:rPr>
            <w:t>Click or tap here to enter text.</w:t>
          </w:r>
        </w:p>
      </w:docPartBody>
    </w:docPart>
    <w:docPart>
      <w:docPartPr>
        <w:name w:val="C9A75205EE8B4477B118110B06CCBB9E"/>
        <w:category>
          <w:name w:val="General"/>
          <w:gallery w:val="placeholder"/>
        </w:category>
        <w:types>
          <w:type w:val="bbPlcHdr"/>
        </w:types>
        <w:behaviors>
          <w:behavior w:val="content"/>
        </w:behaviors>
        <w:guid w:val="{294BB8CB-9DC0-422F-91C1-8D41222EC2C6}"/>
      </w:docPartPr>
      <w:docPartBody>
        <w:p w:rsidR="00BB538E" w:rsidRDefault="000837A8" w:rsidP="000837A8">
          <w:pPr>
            <w:pStyle w:val="C9A75205EE8B4477B118110B06CCBB9E"/>
          </w:pPr>
          <w:r>
            <w:rPr>
              <w:rStyle w:val="PlaceholderText"/>
            </w:rPr>
            <w:t>Click or tap here to enter text.</w:t>
          </w:r>
        </w:p>
      </w:docPartBody>
    </w:docPart>
    <w:docPart>
      <w:docPartPr>
        <w:name w:val="DBB2DD9EDFE14BC38D7ED5C80C44FECC"/>
        <w:category>
          <w:name w:val="General"/>
          <w:gallery w:val="placeholder"/>
        </w:category>
        <w:types>
          <w:type w:val="bbPlcHdr"/>
        </w:types>
        <w:behaviors>
          <w:behavior w:val="content"/>
        </w:behaviors>
        <w:guid w:val="{A5C5A394-F9F6-4BB8-92FC-116CCC351F9E}"/>
      </w:docPartPr>
      <w:docPartBody>
        <w:p w:rsidR="00BB538E" w:rsidRDefault="000837A8" w:rsidP="000837A8">
          <w:pPr>
            <w:pStyle w:val="DBB2DD9EDFE14BC38D7ED5C80C44FECC"/>
          </w:pPr>
          <w:r w:rsidRPr="00B44DB2">
            <w:rPr>
              <w:rStyle w:val="PlaceholderText"/>
            </w:rPr>
            <w:t>Click or tap here to enter text.</w:t>
          </w:r>
        </w:p>
      </w:docPartBody>
    </w:docPart>
    <w:docPart>
      <w:docPartPr>
        <w:name w:val="E667825E9B964537A2480CA2CBBEDD7E"/>
        <w:category>
          <w:name w:val="General"/>
          <w:gallery w:val="placeholder"/>
        </w:category>
        <w:types>
          <w:type w:val="bbPlcHdr"/>
        </w:types>
        <w:behaviors>
          <w:behavior w:val="content"/>
        </w:behaviors>
        <w:guid w:val="{CF13B2A9-D302-4086-B0C5-7DA72C463F1D}"/>
      </w:docPartPr>
      <w:docPartBody>
        <w:p w:rsidR="00BB538E" w:rsidRDefault="000837A8" w:rsidP="000837A8">
          <w:pPr>
            <w:pStyle w:val="E667825E9B964537A2480CA2CBBEDD7E"/>
          </w:pPr>
          <w:r w:rsidRPr="00384CBB">
            <w:rPr>
              <w:rStyle w:val="PlaceholderText"/>
            </w:rPr>
            <w:t>Click or tap here to enter text.</w:t>
          </w:r>
        </w:p>
      </w:docPartBody>
    </w:docPart>
    <w:docPart>
      <w:docPartPr>
        <w:name w:val="B3563DB490044BEB9939A4A953639095"/>
        <w:category>
          <w:name w:val="General"/>
          <w:gallery w:val="placeholder"/>
        </w:category>
        <w:types>
          <w:type w:val="bbPlcHdr"/>
        </w:types>
        <w:behaviors>
          <w:behavior w:val="content"/>
        </w:behaviors>
        <w:guid w:val="{5FF167F9-9D1F-4E8A-9F1E-56807E6D9564}"/>
      </w:docPartPr>
      <w:docPartBody>
        <w:p w:rsidR="00BB538E" w:rsidRDefault="000837A8" w:rsidP="000837A8">
          <w:pPr>
            <w:pStyle w:val="B3563DB490044BEB9939A4A953639095"/>
          </w:pPr>
          <w:r w:rsidRPr="00384CBB">
            <w:rPr>
              <w:rStyle w:val="PlaceholderText"/>
            </w:rPr>
            <w:t>Click or tap here to enter text.</w:t>
          </w:r>
        </w:p>
      </w:docPartBody>
    </w:docPart>
    <w:docPart>
      <w:docPartPr>
        <w:name w:val="948A13187C4A4DC6B43AC0EE968540AD"/>
        <w:category>
          <w:name w:val="General"/>
          <w:gallery w:val="placeholder"/>
        </w:category>
        <w:types>
          <w:type w:val="bbPlcHdr"/>
        </w:types>
        <w:behaviors>
          <w:behavior w:val="content"/>
        </w:behaviors>
        <w:guid w:val="{AAED9892-8762-4934-BE5B-04940AFABF11}"/>
      </w:docPartPr>
      <w:docPartBody>
        <w:p w:rsidR="00BB538E" w:rsidRDefault="000837A8" w:rsidP="000837A8">
          <w:pPr>
            <w:pStyle w:val="948A13187C4A4DC6B43AC0EE968540AD"/>
          </w:pPr>
          <w:r w:rsidRPr="00B44DB2">
            <w:rPr>
              <w:rStyle w:val="PlaceholderText"/>
            </w:rPr>
            <w:t>Click or tap here to enter text.</w:t>
          </w:r>
        </w:p>
      </w:docPartBody>
    </w:docPart>
    <w:docPart>
      <w:docPartPr>
        <w:name w:val="BE7440FC440B440E9AD66FD7C8AD9626"/>
        <w:category>
          <w:name w:val="General"/>
          <w:gallery w:val="placeholder"/>
        </w:category>
        <w:types>
          <w:type w:val="bbPlcHdr"/>
        </w:types>
        <w:behaviors>
          <w:behavior w:val="content"/>
        </w:behaviors>
        <w:guid w:val="{177F6A07-3FB9-4D03-A0B5-BDDAB1C2B6FB}"/>
      </w:docPartPr>
      <w:docPartBody>
        <w:p w:rsidR="00BB538E" w:rsidRDefault="000837A8" w:rsidP="000837A8">
          <w:pPr>
            <w:pStyle w:val="BE7440FC440B440E9AD66FD7C8AD9626"/>
          </w:pPr>
          <w:r w:rsidRPr="00384CBB">
            <w:rPr>
              <w:rStyle w:val="PlaceholderText"/>
            </w:rPr>
            <w:t>Click or tap here to enter text.</w:t>
          </w:r>
        </w:p>
      </w:docPartBody>
    </w:docPart>
    <w:docPart>
      <w:docPartPr>
        <w:name w:val="079809F5234B4D73BE50CB38F0B1CDF6"/>
        <w:category>
          <w:name w:val="General"/>
          <w:gallery w:val="placeholder"/>
        </w:category>
        <w:types>
          <w:type w:val="bbPlcHdr"/>
        </w:types>
        <w:behaviors>
          <w:behavior w:val="content"/>
        </w:behaviors>
        <w:guid w:val="{208AEA02-7A87-4973-BC4C-87A19C6B052C}"/>
      </w:docPartPr>
      <w:docPartBody>
        <w:p w:rsidR="00BB538E" w:rsidRDefault="000837A8" w:rsidP="000837A8">
          <w:pPr>
            <w:pStyle w:val="079809F5234B4D73BE50CB38F0B1CDF6"/>
          </w:pPr>
          <w:r w:rsidRPr="00384CBB">
            <w:rPr>
              <w:rStyle w:val="PlaceholderText"/>
            </w:rPr>
            <w:t>Click or tap here to enter text.</w:t>
          </w:r>
        </w:p>
      </w:docPartBody>
    </w:docPart>
    <w:docPart>
      <w:docPartPr>
        <w:name w:val="FCFA03FA91AF440E9F9FB6E32DA0455D"/>
        <w:category>
          <w:name w:val="General"/>
          <w:gallery w:val="placeholder"/>
        </w:category>
        <w:types>
          <w:type w:val="bbPlcHdr"/>
        </w:types>
        <w:behaviors>
          <w:behavior w:val="content"/>
        </w:behaviors>
        <w:guid w:val="{F3FE87AE-8D53-4913-9DC7-0240866B13BF}"/>
      </w:docPartPr>
      <w:docPartBody>
        <w:p w:rsidR="00BB538E" w:rsidRDefault="000837A8" w:rsidP="000837A8">
          <w:pPr>
            <w:pStyle w:val="FCFA03FA91AF440E9F9FB6E32DA0455D"/>
          </w:pPr>
          <w:r w:rsidRPr="00384CBB">
            <w:rPr>
              <w:rStyle w:val="PlaceholderText"/>
            </w:rPr>
            <w:t>Click or tap here to enter text.</w:t>
          </w:r>
        </w:p>
      </w:docPartBody>
    </w:docPart>
    <w:docPart>
      <w:docPartPr>
        <w:name w:val="7917E9E2A63045CA94E7FFEE920C9A8B"/>
        <w:category>
          <w:name w:val="General"/>
          <w:gallery w:val="placeholder"/>
        </w:category>
        <w:types>
          <w:type w:val="bbPlcHdr"/>
        </w:types>
        <w:behaviors>
          <w:behavior w:val="content"/>
        </w:behaviors>
        <w:guid w:val="{0D02D226-A42E-460C-BF04-6C7636197373}"/>
      </w:docPartPr>
      <w:docPartBody>
        <w:p w:rsidR="00BB538E" w:rsidRDefault="000837A8" w:rsidP="000837A8">
          <w:pPr>
            <w:pStyle w:val="7917E9E2A63045CA94E7FFEE920C9A8B"/>
          </w:pPr>
          <w:r w:rsidRPr="00DD419A">
            <w:rPr>
              <w:rStyle w:val="PlaceholderText"/>
            </w:rPr>
            <w:t>Click or tap here to enter text.</w:t>
          </w:r>
        </w:p>
      </w:docPartBody>
    </w:docPart>
    <w:docPart>
      <w:docPartPr>
        <w:name w:val="CB3287F49B904C328A7650445569AD3D"/>
        <w:category>
          <w:name w:val="General"/>
          <w:gallery w:val="placeholder"/>
        </w:category>
        <w:types>
          <w:type w:val="bbPlcHdr"/>
        </w:types>
        <w:behaviors>
          <w:behavior w:val="content"/>
        </w:behaviors>
        <w:guid w:val="{B9F8239B-CBD4-49C8-896C-DA97341A2E91}"/>
      </w:docPartPr>
      <w:docPartBody>
        <w:p w:rsidR="00BB538E" w:rsidRDefault="000837A8" w:rsidP="000837A8">
          <w:pPr>
            <w:pStyle w:val="CB3287F49B904C328A7650445569AD3D"/>
          </w:pPr>
          <w:r w:rsidRPr="00B44DB2">
            <w:rPr>
              <w:rStyle w:val="PlaceholderText"/>
            </w:rPr>
            <w:t>Click or tap here to enter text.</w:t>
          </w:r>
        </w:p>
      </w:docPartBody>
    </w:docPart>
    <w:docPart>
      <w:docPartPr>
        <w:name w:val="CFB20A967969487197F19CD39AC73646"/>
        <w:category>
          <w:name w:val="General"/>
          <w:gallery w:val="placeholder"/>
        </w:category>
        <w:types>
          <w:type w:val="bbPlcHdr"/>
        </w:types>
        <w:behaviors>
          <w:behavior w:val="content"/>
        </w:behaviors>
        <w:guid w:val="{7B73EF23-7517-474C-BFF8-1F667CCA7C40}"/>
      </w:docPartPr>
      <w:docPartBody>
        <w:p w:rsidR="00BB538E" w:rsidRDefault="000837A8" w:rsidP="000837A8">
          <w:pPr>
            <w:pStyle w:val="CFB20A967969487197F19CD39AC73646"/>
          </w:pPr>
          <w:r w:rsidRPr="00384CBB">
            <w:rPr>
              <w:rStyle w:val="PlaceholderText"/>
            </w:rPr>
            <w:t>Click or tap here to enter text.</w:t>
          </w:r>
        </w:p>
      </w:docPartBody>
    </w:docPart>
    <w:docPart>
      <w:docPartPr>
        <w:name w:val="6466A14487B34161BF922B53D6AD4C4F"/>
        <w:category>
          <w:name w:val="General"/>
          <w:gallery w:val="placeholder"/>
        </w:category>
        <w:types>
          <w:type w:val="bbPlcHdr"/>
        </w:types>
        <w:behaviors>
          <w:behavior w:val="content"/>
        </w:behaviors>
        <w:guid w:val="{CF13153C-F484-4FA1-9F29-F9FA8B9CFACF}"/>
      </w:docPartPr>
      <w:docPartBody>
        <w:p w:rsidR="00BB538E" w:rsidRDefault="000837A8" w:rsidP="000837A8">
          <w:pPr>
            <w:pStyle w:val="6466A14487B34161BF922B53D6AD4C4F"/>
          </w:pPr>
          <w:r w:rsidRPr="00B44DB2">
            <w:rPr>
              <w:rStyle w:val="PlaceholderText"/>
            </w:rPr>
            <w:t>Click or tap here to enter text.</w:t>
          </w:r>
        </w:p>
      </w:docPartBody>
    </w:docPart>
    <w:docPart>
      <w:docPartPr>
        <w:name w:val="082CCEF7F6004554BC4FBBB5F3E6F401"/>
        <w:category>
          <w:name w:val="General"/>
          <w:gallery w:val="placeholder"/>
        </w:category>
        <w:types>
          <w:type w:val="bbPlcHdr"/>
        </w:types>
        <w:behaviors>
          <w:behavior w:val="content"/>
        </w:behaviors>
        <w:guid w:val="{B4B8646F-D4AF-46F2-89B5-83B3B7668D84}"/>
      </w:docPartPr>
      <w:docPartBody>
        <w:p w:rsidR="00BB538E" w:rsidRDefault="000837A8" w:rsidP="000837A8">
          <w:pPr>
            <w:pStyle w:val="082CCEF7F6004554BC4FBBB5F3E6F401"/>
          </w:pPr>
          <w:r w:rsidRPr="00384CBB">
            <w:rPr>
              <w:rStyle w:val="PlaceholderText"/>
            </w:rPr>
            <w:t>Click or tap here to enter text.</w:t>
          </w:r>
        </w:p>
      </w:docPartBody>
    </w:docPart>
    <w:docPart>
      <w:docPartPr>
        <w:name w:val="1840F593A0DE4040976E19FE7C3DA8BE"/>
        <w:category>
          <w:name w:val="General"/>
          <w:gallery w:val="placeholder"/>
        </w:category>
        <w:types>
          <w:type w:val="bbPlcHdr"/>
        </w:types>
        <w:behaviors>
          <w:behavior w:val="content"/>
        </w:behaviors>
        <w:guid w:val="{61811E01-5912-42BC-88E9-9BF1D439B27E}"/>
      </w:docPartPr>
      <w:docPartBody>
        <w:p w:rsidR="00BB538E" w:rsidRDefault="000837A8" w:rsidP="000837A8">
          <w:pPr>
            <w:pStyle w:val="1840F593A0DE4040976E19FE7C3DA8BE"/>
          </w:pPr>
          <w:r w:rsidRPr="00DD419A">
            <w:rPr>
              <w:rStyle w:val="PlaceholderText"/>
            </w:rPr>
            <w:t>Click or tap here to enter text.</w:t>
          </w:r>
        </w:p>
      </w:docPartBody>
    </w:docPart>
    <w:docPart>
      <w:docPartPr>
        <w:name w:val="2EEC14BF55CF4730A447386770AEF3E5"/>
        <w:category>
          <w:name w:val="General"/>
          <w:gallery w:val="placeholder"/>
        </w:category>
        <w:types>
          <w:type w:val="bbPlcHdr"/>
        </w:types>
        <w:behaviors>
          <w:behavior w:val="content"/>
        </w:behaviors>
        <w:guid w:val="{13096E5D-2810-4D3D-950C-1CC8323EB0D9}"/>
      </w:docPartPr>
      <w:docPartBody>
        <w:p w:rsidR="00BB538E" w:rsidRDefault="000837A8" w:rsidP="000837A8">
          <w:pPr>
            <w:pStyle w:val="2EEC14BF55CF4730A447386770AEF3E5"/>
          </w:pPr>
          <w:r w:rsidRPr="00384CBB">
            <w:rPr>
              <w:rStyle w:val="PlaceholderText"/>
            </w:rPr>
            <w:t>Click or tap here to enter text.</w:t>
          </w:r>
        </w:p>
      </w:docPartBody>
    </w:docPart>
    <w:docPart>
      <w:docPartPr>
        <w:name w:val="99D16CB35D06453FA29C95B5607B82F4"/>
        <w:category>
          <w:name w:val="General"/>
          <w:gallery w:val="placeholder"/>
        </w:category>
        <w:types>
          <w:type w:val="bbPlcHdr"/>
        </w:types>
        <w:behaviors>
          <w:behavior w:val="content"/>
        </w:behaviors>
        <w:guid w:val="{400AF676-5B28-4EC5-B2C1-21DFA7B0AA5B}"/>
      </w:docPartPr>
      <w:docPartBody>
        <w:p w:rsidR="00BB538E" w:rsidRDefault="000837A8" w:rsidP="000837A8">
          <w:pPr>
            <w:pStyle w:val="99D16CB35D06453FA29C95B5607B82F4"/>
          </w:pPr>
          <w:r w:rsidRPr="00384CBB">
            <w:rPr>
              <w:rStyle w:val="PlaceholderText"/>
            </w:rPr>
            <w:t>Click or tap here to enter text.</w:t>
          </w:r>
        </w:p>
      </w:docPartBody>
    </w:docPart>
    <w:docPart>
      <w:docPartPr>
        <w:name w:val="93FB7BD932A64239A60811654F5065AB"/>
        <w:category>
          <w:name w:val="General"/>
          <w:gallery w:val="placeholder"/>
        </w:category>
        <w:types>
          <w:type w:val="bbPlcHdr"/>
        </w:types>
        <w:behaviors>
          <w:behavior w:val="content"/>
        </w:behaviors>
        <w:guid w:val="{C883BC92-BF35-45FC-8DEF-58F15AE4834C}"/>
      </w:docPartPr>
      <w:docPartBody>
        <w:p w:rsidR="00BB538E" w:rsidRDefault="000837A8" w:rsidP="000837A8">
          <w:pPr>
            <w:pStyle w:val="93FB7BD932A64239A60811654F5065AB"/>
          </w:pPr>
          <w:r w:rsidRPr="00384CBB">
            <w:rPr>
              <w:rStyle w:val="PlaceholderText"/>
            </w:rPr>
            <w:t>Click or tap here to enter text.</w:t>
          </w:r>
        </w:p>
      </w:docPartBody>
    </w:docPart>
    <w:docPart>
      <w:docPartPr>
        <w:name w:val="5DC12551D94645ED9EC6ECAE67CD432F"/>
        <w:category>
          <w:name w:val="General"/>
          <w:gallery w:val="placeholder"/>
        </w:category>
        <w:types>
          <w:type w:val="bbPlcHdr"/>
        </w:types>
        <w:behaviors>
          <w:behavior w:val="content"/>
        </w:behaviors>
        <w:guid w:val="{4F9E854F-2DA1-4091-A63D-A968BCDD78EB}"/>
      </w:docPartPr>
      <w:docPartBody>
        <w:p w:rsidR="00BB538E" w:rsidRDefault="000837A8" w:rsidP="000837A8">
          <w:pPr>
            <w:pStyle w:val="5DC12551D94645ED9EC6ECAE67CD432F"/>
          </w:pPr>
          <w:r w:rsidRPr="00384CBB">
            <w:rPr>
              <w:rStyle w:val="PlaceholderText"/>
            </w:rPr>
            <w:t>Click or tap here to enter text.</w:t>
          </w:r>
        </w:p>
      </w:docPartBody>
    </w:docPart>
    <w:docPart>
      <w:docPartPr>
        <w:name w:val="800E0A9F7DAE46EA8E5E5B47EE0EFB23"/>
        <w:category>
          <w:name w:val="General"/>
          <w:gallery w:val="placeholder"/>
        </w:category>
        <w:types>
          <w:type w:val="bbPlcHdr"/>
        </w:types>
        <w:behaviors>
          <w:behavior w:val="content"/>
        </w:behaviors>
        <w:guid w:val="{82D698B9-372F-41F6-AED4-55729CA31CE3}"/>
      </w:docPartPr>
      <w:docPartBody>
        <w:p w:rsidR="00BB538E" w:rsidRDefault="000837A8" w:rsidP="000837A8">
          <w:pPr>
            <w:pStyle w:val="800E0A9F7DAE46EA8E5E5B47EE0EFB23"/>
          </w:pPr>
          <w:r w:rsidRPr="00384CBB">
            <w:rPr>
              <w:rStyle w:val="PlaceholderText"/>
            </w:rPr>
            <w:t>Click or tap here to enter text.</w:t>
          </w:r>
        </w:p>
      </w:docPartBody>
    </w:docPart>
    <w:docPart>
      <w:docPartPr>
        <w:name w:val="ED220BF1A5574B93B7ABB9680BC33069"/>
        <w:category>
          <w:name w:val="General"/>
          <w:gallery w:val="placeholder"/>
        </w:category>
        <w:types>
          <w:type w:val="bbPlcHdr"/>
        </w:types>
        <w:behaviors>
          <w:behavior w:val="content"/>
        </w:behaviors>
        <w:guid w:val="{A9DD0790-9428-4D4D-9D2A-3AABEA530982}"/>
      </w:docPartPr>
      <w:docPartBody>
        <w:p w:rsidR="00BB538E" w:rsidRDefault="000837A8" w:rsidP="000837A8">
          <w:pPr>
            <w:pStyle w:val="ED220BF1A5574B93B7ABB9680BC33069"/>
          </w:pPr>
          <w:r w:rsidRPr="00384CBB">
            <w:rPr>
              <w:rStyle w:val="PlaceholderText"/>
            </w:rPr>
            <w:t>Click or tap here to enter text.</w:t>
          </w:r>
        </w:p>
      </w:docPartBody>
    </w:docPart>
    <w:docPart>
      <w:docPartPr>
        <w:name w:val="445386BCCA75462BAD78A4BABC41B416"/>
        <w:category>
          <w:name w:val="General"/>
          <w:gallery w:val="placeholder"/>
        </w:category>
        <w:types>
          <w:type w:val="bbPlcHdr"/>
        </w:types>
        <w:behaviors>
          <w:behavior w:val="content"/>
        </w:behaviors>
        <w:guid w:val="{8832D716-DBB1-4E60-BCC7-1EA161FFBA5E}"/>
      </w:docPartPr>
      <w:docPartBody>
        <w:p w:rsidR="00BB538E" w:rsidRDefault="000837A8" w:rsidP="000837A8">
          <w:pPr>
            <w:pStyle w:val="445386BCCA75462BAD78A4BABC41B416"/>
          </w:pPr>
          <w:r w:rsidRPr="00177278">
            <w:rPr>
              <w:rStyle w:val="PlaceholderText"/>
            </w:rPr>
            <w:t>Click or tap here to enter text.</w:t>
          </w:r>
        </w:p>
      </w:docPartBody>
    </w:docPart>
    <w:docPart>
      <w:docPartPr>
        <w:name w:val="B43058B2B68A4A9FAE8750CC019AF18D"/>
        <w:category>
          <w:name w:val="General"/>
          <w:gallery w:val="placeholder"/>
        </w:category>
        <w:types>
          <w:type w:val="bbPlcHdr"/>
        </w:types>
        <w:behaviors>
          <w:behavior w:val="content"/>
        </w:behaviors>
        <w:guid w:val="{50EB5FE6-ED69-42E0-9F4B-BF7C9223ECAB}"/>
      </w:docPartPr>
      <w:docPartBody>
        <w:p w:rsidR="00F272BB" w:rsidRDefault="00BB538E" w:rsidP="00BB538E">
          <w:pPr>
            <w:pStyle w:val="B43058B2B68A4A9FAE8750CC019AF18D"/>
          </w:pPr>
          <w:r w:rsidRPr="00DD419A">
            <w:rPr>
              <w:rStyle w:val="PlaceholderText"/>
            </w:rPr>
            <w:t>Click or tap here to enter text.</w:t>
          </w:r>
        </w:p>
      </w:docPartBody>
    </w:docPart>
    <w:docPart>
      <w:docPartPr>
        <w:name w:val="EC53491F88C141C186512B1833472EE1"/>
        <w:category>
          <w:name w:val="General"/>
          <w:gallery w:val="placeholder"/>
        </w:category>
        <w:types>
          <w:type w:val="bbPlcHdr"/>
        </w:types>
        <w:behaviors>
          <w:behavior w:val="content"/>
        </w:behaviors>
        <w:guid w:val="{8935630F-6C1D-4739-A39B-AEA26D5B273C}"/>
      </w:docPartPr>
      <w:docPartBody>
        <w:p w:rsidR="00F272BB" w:rsidRDefault="00BB538E" w:rsidP="00BB538E">
          <w:pPr>
            <w:pStyle w:val="EC53491F88C141C186512B1833472EE1"/>
          </w:pPr>
          <w:r w:rsidRPr="00B817B6">
            <w:rPr>
              <w:rStyle w:val="PlaceholderText"/>
            </w:rPr>
            <w:t>Click or tap here to enter text.</w:t>
          </w:r>
        </w:p>
      </w:docPartBody>
    </w:docPart>
    <w:docPart>
      <w:docPartPr>
        <w:name w:val="7D5CAC64C71C44F4AEAB658CE3107228"/>
        <w:category>
          <w:name w:val="General"/>
          <w:gallery w:val="placeholder"/>
        </w:category>
        <w:types>
          <w:type w:val="bbPlcHdr"/>
        </w:types>
        <w:behaviors>
          <w:behavior w:val="content"/>
        </w:behaviors>
        <w:guid w:val="{CE8E06F8-C1F8-4C30-8201-0BA8358ED42C}"/>
      </w:docPartPr>
      <w:docPartBody>
        <w:p w:rsidR="00F272BB" w:rsidRDefault="00BB538E" w:rsidP="00BB538E">
          <w:pPr>
            <w:pStyle w:val="7D5CAC64C71C44F4AEAB658CE3107228"/>
          </w:pPr>
          <w:r w:rsidRPr="00B817B6">
            <w:rPr>
              <w:rStyle w:val="PlaceholderText"/>
            </w:rPr>
            <w:t>Click or tap here to enter text.</w:t>
          </w:r>
        </w:p>
      </w:docPartBody>
    </w:docPart>
    <w:docPart>
      <w:docPartPr>
        <w:name w:val="9D32E3985DA14234A737264FDD503071"/>
        <w:category>
          <w:name w:val="General"/>
          <w:gallery w:val="placeholder"/>
        </w:category>
        <w:types>
          <w:type w:val="bbPlcHdr"/>
        </w:types>
        <w:behaviors>
          <w:behavior w:val="content"/>
        </w:behaviors>
        <w:guid w:val="{8B279D2F-EE9F-4C90-BECC-B3906880B53F}"/>
      </w:docPartPr>
      <w:docPartBody>
        <w:p w:rsidR="00F272BB" w:rsidRDefault="00BB538E" w:rsidP="00BB538E">
          <w:pPr>
            <w:pStyle w:val="9D32E3985DA14234A737264FDD503071"/>
          </w:pPr>
          <w:r w:rsidRPr="00B817B6">
            <w:rPr>
              <w:rStyle w:val="PlaceholderText"/>
            </w:rPr>
            <w:t>Click or tap here to enter text.</w:t>
          </w:r>
        </w:p>
      </w:docPartBody>
    </w:docPart>
    <w:docPart>
      <w:docPartPr>
        <w:name w:val="F241B520C54D4CC6AB120C921D6BC5C2"/>
        <w:category>
          <w:name w:val="General"/>
          <w:gallery w:val="placeholder"/>
        </w:category>
        <w:types>
          <w:type w:val="bbPlcHdr"/>
        </w:types>
        <w:behaviors>
          <w:behavior w:val="content"/>
        </w:behaviors>
        <w:guid w:val="{0FBF6EBA-04BE-42D9-BFFC-FE90DA5967F4}"/>
      </w:docPartPr>
      <w:docPartBody>
        <w:p w:rsidR="00F272BB" w:rsidRDefault="00BB538E" w:rsidP="00BB538E">
          <w:pPr>
            <w:pStyle w:val="F241B520C54D4CC6AB120C921D6BC5C2"/>
          </w:pPr>
          <w:r w:rsidRPr="00DD419A">
            <w:rPr>
              <w:rStyle w:val="PlaceholderText"/>
            </w:rPr>
            <w:t>Click or tap here to enter text.</w:t>
          </w:r>
        </w:p>
      </w:docPartBody>
    </w:docPart>
    <w:docPart>
      <w:docPartPr>
        <w:name w:val="BCCEAE7D05104FADA86FC174F5159B65"/>
        <w:category>
          <w:name w:val="General"/>
          <w:gallery w:val="placeholder"/>
        </w:category>
        <w:types>
          <w:type w:val="bbPlcHdr"/>
        </w:types>
        <w:behaviors>
          <w:behavior w:val="content"/>
        </w:behaviors>
        <w:guid w:val="{619D471F-2092-463E-B022-50C70F11AA35}"/>
      </w:docPartPr>
      <w:docPartBody>
        <w:p w:rsidR="00F272BB" w:rsidRDefault="00BB538E" w:rsidP="00BB538E">
          <w:pPr>
            <w:pStyle w:val="BCCEAE7D05104FADA86FC174F5159B65"/>
          </w:pPr>
          <w:r w:rsidRPr="00DD419A">
            <w:rPr>
              <w:rStyle w:val="PlaceholderText"/>
            </w:rPr>
            <w:t>Click or tap here to enter text.</w:t>
          </w:r>
        </w:p>
      </w:docPartBody>
    </w:docPart>
    <w:docPart>
      <w:docPartPr>
        <w:name w:val="85E23D0FCC524B8C97182DEB795E8A84"/>
        <w:category>
          <w:name w:val="General"/>
          <w:gallery w:val="placeholder"/>
        </w:category>
        <w:types>
          <w:type w:val="bbPlcHdr"/>
        </w:types>
        <w:behaviors>
          <w:behavior w:val="content"/>
        </w:behaviors>
        <w:guid w:val="{BA040D45-DAC7-4083-B875-93F5FD0881E6}"/>
      </w:docPartPr>
      <w:docPartBody>
        <w:p w:rsidR="00F272BB" w:rsidRDefault="00BB538E" w:rsidP="00BB538E">
          <w:pPr>
            <w:pStyle w:val="85E23D0FCC524B8C97182DEB795E8A84"/>
          </w:pPr>
          <w:r>
            <w:rPr>
              <w:rStyle w:val="PlaceholderText"/>
            </w:rPr>
            <w:t>Click or tap here to enter text.</w:t>
          </w:r>
        </w:p>
      </w:docPartBody>
    </w:docPart>
    <w:docPart>
      <w:docPartPr>
        <w:name w:val="72BB8172F1384A53A46B9BAB874FEFE8"/>
        <w:category>
          <w:name w:val="General"/>
          <w:gallery w:val="placeholder"/>
        </w:category>
        <w:types>
          <w:type w:val="bbPlcHdr"/>
        </w:types>
        <w:behaviors>
          <w:behavior w:val="content"/>
        </w:behaviors>
        <w:guid w:val="{AC0063F5-B9C5-40AD-B691-1AC51EB3CA59}"/>
      </w:docPartPr>
      <w:docPartBody>
        <w:p w:rsidR="00F272BB" w:rsidRDefault="00BB538E" w:rsidP="00BB538E">
          <w:pPr>
            <w:pStyle w:val="72BB8172F1384A53A46B9BAB874FEFE8"/>
          </w:pPr>
          <w:r>
            <w:rPr>
              <w:rStyle w:val="PlaceholderText"/>
            </w:rPr>
            <w:t>Click or tap here to enter text.</w:t>
          </w:r>
        </w:p>
      </w:docPartBody>
    </w:docPart>
    <w:docPart>
      <w:docPartPr>
        <w:name w:val="8DC9630AABC048B0A48678A5ADA51E21"/>
        <w:category>
          <w:name w:val="General"/>
          <w:gallery w:val="placeholder"/>
        </w:category>
        <w:types>
          <w:type w:val="bbPlcHdr"/>
        </w:types>
        <w:behaviors>
          <w:behavior w:val="content"/>
        </w:behaviors>
        <w:guid w:val="{696E1FD2-5CF2-4EF7-B1AB-E4AAF771EB94}"/>
      </w:docPartPr>
      <w:docPartBody>
        <w:p w:rsidR="00F272BB" w:rsidRDefault="00BB538E" w:rsidP="00BB538E">
          <w:pPr>
            <w:pStyle w:val="8DC9630AABC048B0A48678A5ADA51E21"/>
          </w:pPr>
          <w:r>
            <w:rPr>
              <w:rStyle w:val="PlaceholderText"/>
            </w:rPr>
            <w:t>Click or tap here to enter text.</w:t>
          </w:r>
        </w:p>
      </w:docPartBody>
    </w:docPart>
    <w:docPart>
      <w:docPartPr>
        <w:name w:val="20F575B3C9104E508DC973F6C59B3C0B"/>
        <w:category>
          <w:name w:val="General"/>
          <w:gallery w:val="placeholder"/>
        </w:category>
        <w:types>
          <w:type w:val="bbPlcHdr"/>
        </w:types>
        <w:behaviors>
          <w:behavior w:val="content"/>
        </w:behaviors>
        <w:guid w:val="{C123FF14-788F-4FD7-9739-2B65B9DD7F7C}"/>
      </w:docPartPr>
      <w:docPartBody>
        <w:p w:rsidR="00F272BB" w:rsidRDefault="00BB538E" w:rsidP="00BB538E">
          <w:pPr>
            <w:pStyle w:val="20F575B3C9104E508DC973F6C59B3C0B"/>
          </w:pPr>
          <w:r w:rsidRPr="00DD419A">
            <w:rPr>
              <w:rStyle w:val="PlaceholderText"/>
            </w:rPr>
            <w:t>Click or tap here to enter text.</w:t>
          </w:r>
        </w:p>
      </w:docPartBody>
    </w:docPart>
    <w:docPart>
      <w:docPartPr>
        <w:name w:val="5AFC4A528ECC42D395A9FE58AEA51410"/>
        <w:category>
          <w:name w:val="General"/>
          <w:gallery w:val="placeholder"/>
        </w:category>
        <w:types>
          <w:type w:val="bbPlcHdr"/>
        </w:types>
        <w:behaviors>
          <w:behavior w:val="content"/>
        </w:behaviors>
        <w:guid w:val="{99A85BE7-F06D-4FDB-BF26-E201666C6A6A}"/>
      </w:docPartPr>
      <w:docPartBody>
        <w:p w:rsidR="00F272BB" w:rsidRDefault="00BB538E" w:rsidP="00BB538E">
          <w:pPr>
            <w:pStyle w:val="5AFC4A528ECC42D395A9FE58AEA51410"/>
          </w:pPr>
          <w:r w:rsidRPr="00B817B6">
            <w:rPr>
              <w:rStyle w:val="PlaceholderText"/>
            </w:rPr>
            <w:t>Click or tap here to enter text.</w:t>
          </w:r>
        </w:p>
      </w:docPartBody>
    </w:docPart>
    <w:docPart>
      <w:docPartPr>
        <w:name w:val="453DA41CF2AA45E6B242612D6BE59CD3"/>
        <w:category>
          <w:name w:val="General"/>
          <w:gallery w:val="placeholder"/>
        </w:category>
        <w:types>
          <w:type w:val="bbPlcHdr"/>
        </w:types>
        <w:behaviors>
          <w:behavior w:val="content"/>
        </w:behaviors>
        <w:guid w:val="{43AF98E7-80A1-42A8-AB70-6528EE02351C}"/>
      </w:docPartPr>
      <w:docPartBody>
        <w:p w:rsidR="00F272BB" w:rsidRDefault="00BB538E" w:rsidP="00BB538E">
          <w:pPr>
            <w:pStyle w:val="453DA41CF2AA45E6B242612D6BE59CD3"/>
          </w:pPr>
          <w:r w:rsidRPr="00B44DB2">
            <w:rPr>
              <w:rStyle w:val="PlaceholderText"/>
            </w:rPr>
            <w:t>Click or tap here to enter text.</w:t>
          </w:r>
        </w:p>
      </w:docPartBody>
    </w:docPart>
    <w:docPart>
      <w:docPartPr>
        <w:name w:val="59737F6D5E3D47E6AB9419BE6B36B319"/>
        <w:category>
          <w:name w:val="General"/>
          <w:gallery w:val="placeholder"/>
        </w:category>
        <w:types>
          <w:type w:val="bbPlcHdr"/>
        </w:types>
        <w:behaviors>
          <w:behavior w:val="content"/>
        </w:behaviors>
        <w:guid w:val="{D0F91209-E5DC-4F2D-B054-86378E538AFC}"/>
      </w:docPartPr>
      <w:docPartBody>
        <w:p w:rsidR="00F272BB" w:rsidRDefault="00BB538E" w:rsidP="00BB538E">
          <w:pPr>
            <w:pStyle w:val="59737F6D5E3D47E6AB9419BE6B36B319"/>
          </w:pPr>
          <w:r w:rsidRPr="00B44DB2">
            <w:rPr>
              <w:rStyle w:val="PlaceholderText"/>
            </w:rPr>
            <w:t>Click or tap here to enter text.</w:t>
          </w:r>
        </w:p>
      </w:docPartBody>
    </w:docPart>
    <w:docPart>
      <w:docPartPr>
        <w:name w:val="5CF0F8EE96A24A588FF2EE14C500E619"/>
        <w:category>
          <w:name w:val="General"/>
          <w:gallery w:val="placeholder"/>
        </w:category>
        <w:types>
          <w:type w:val="bbPlcHdr"/>
        </w:types>
        <w:behaviors>
          <w:behavior w:val="content"/>
        </w:behaviors>
        <w:guid w:val="{6C26B57C-63BA-41C9-8F1C-96268F379796}"/>
      </w:docPartPr>
      <w:docPartBody>
        <w:p w:rsidR="00F272BB" w:rsidRDefault="00BB538E" w:rsidP="00BB538E">
          <w:pPr>
            <w:pStyle w:val="5CF0F8EE96A24A588FF2EE14C500E619"/>
          </w:pPr>
          <w:r w:rsidRPr="00B817B6">
            <w:rPr>
              <w:rStyle w:val="PlaceholderText"/>
            </w:rPr>
            <w:t>Click or tap here to enter text.</w:t>
          </w:r>
        </w:p>
      </w:docPartBody>
    </w:docPart>
    <w:docPart>
      <w:docPartPr>
        <w:name w:val="2194182F28E748999A981D192771F88E"/>
        <w:category>
          <w:name w:val="General"/>
          <w:gallery w:val="placeholder"/>
        </w:category>
        <w:types>
          <w:type w:val="bbPlcHdr"/>
        </w:types>
        <w:behaviors>
          <w:behavior w:val="content"/>
        </w:behaviors>
        <w:guid w:val="{2B2FEDE1-35D8-420A-8A02-EAA719D18969}"/>
      </w:docPartPr>
      <w:docPartBody>
        <w:p w:rsidR="00F272BB" w:rsidRDefault="00BB538E" w:rsidP="00BB538E">
          <w:pPr>
            <w:pStyle w:val="2194182F28E748999A981D192771F88E"/>
          </w:pPr>
          <w:r>
            <w:rPr>
              <w:rStyle w:val="PlaceholderText"/>
            </w:rPr>
            <w:t>Click or tap here to enter text.</w:t>
          </w:r>
        </w:p>
      </w:docPartBody>
    </w:docPart>
    <w:docPart>
      <w:docPartPr>
        <w:name w:val="D25F254A236340D7A3981DE03BC5FDD1"/>
        <w:category>
          <w:name w:val="General"/>
          <w:gallery w:val="placeholder"/>
        </w:category>
        <w:types>
          <w:type w:val="bbPlcHdr"/>
        </w:types>
        <w:behaviors>
          <w:behavior w:val="content"/>
        </w:behaviors>
        <w:guid w:val="{054CC88E-5926-4BA0-BCC3-E075289BC1A0}"/>
      </w:docPartPr>
      <w:docPartBody>
        <w:p w:rsidR="00F272BB" w:rsidRDefault="00BB538E" w:rsidP="00BB538E">
          <w:pPr>
            <w:pStyle w:val="D25F254A236340D7A3981DE03BC5FDD1"/>
          </w:pPr>
          <w:r>
            <w:rPr>
              <w:rStyle w:val="PlaceholderText"/>
            </w:rPr>
            <w:t>Click or tap here to enter text.</w:t>
          </w:r>
        </w:p>
      </w:docPartBody>
    </w:docPart>
    <w:docPart>
      <w:docPartPr>
        <w:name w:val="975D004A05D4456F823B139D7F241B45"/>
        <w:category>
          <w:name w:val="General"/>
          <w:gallery w:val="placeholder"/>
        </w:category>
        <w:types>
          <w:type w:val="bbPlcHdr"/>
        </w:types>
        <w:behaviors>
          <w:behavior w:val="content"/>
        </w:behaviors>
        <w:guid w:val="{3466995B-3E6A-4AE0-8207-8DDF9AC24EF7}"/>
      </w:docPartPr>
      <w:docPartBody>
        <w:p w:rsidR="00F272BB" w:rsidRDefault="00BB538E" w:rsidP="00BB538E">
          <w:pPr>
            <w:pStyle w:val="975D004A05D4456F823B139D7F241B45"/>
          </w:pPr>
          <w:r>
            <w:rPr>
              <w:rStyle w:val="PlaceholderText"/>
            </w:rPr>
            <w:t>Click or tap here to enter text.</w:t>
          </w:r>
        </w:p>
      </w:docPartBody>
    </w:docPart>
    <w:docPart>
      <w:docPartPr>
        <w:name w:val="9BFE72D3FAB449BF8488AF1C496B83E6"/>
        <w:category>
          <w:name w:val="General"/>
          <w:gallery w:val="placeholder"/>
        </w:category>
        <w:types>
          <w:type w:val="bbPlcHdr"/>
        </w:types>
        <w:behaviors>
          <w:behavior w:val="content"/>
        </w:behaviors>
        <w:guid w:val="{81F400B5-B499-433E-B169-CDDA100B2C51}"/>
      </w:docPartPr>
      <w:docPartBody>
        <w:p w:rsidR="00F272BB" w:rsidRDefault="00BB538E" w:rsidP="00BB538E">
          <w:pPr>
            <w:pStyle w:val="9BFE72D3FAB449BF8488AF1C496B83E6"/>
          </w:pPr>
          <w:r>
            <w:rPr>
              <w:rStyle w:val="PlaceholderText"/>
            </w:rPr>
            <w:t>Click or tap here to enter text.</w:t>
          </w:r>
        </w:p>
      </w:docPartBody>
    </w:docPart>
    <w:docPart>
      <w:docPartPr>
        <w:name w:val="C971B9A971234310AD87EA533AE28FED"/>
        <w:category>
          <w:name w:val="General"/>
          <w:gallery w:val="placeholder"/>
        </w:category>
        <w:types>
          <w:type w:val="bbPlcHdr"/>
        </w:types>
        <w:behaviors>
          <w:behavior w:val="content"/>
        </w:behaviors>
        <w:guid w:val="{A1A90244-A8F6-47AE-BFA8-18ED3F213A3D}"/>
      </w:docPartPr>
      <w:docPartBody>
        <w:p w:rsidR="00F272BB" w:rsidRDefault="00BB538E" w:rsidP="00BB538E">
          <w:pPr>
            <w:pStyle w:val="C971B9A971234310AD87EA533AE28FED"/>
          </w:pPr>
          <w:r w:rsidRPr="00AA106C">
            <w:rPr>
              <w:rStyle w:val="PlaceholderText"/>
            </w:rPr>
            <w:t>Click or tap here to enter text.</w:t>
          </w:r>
        </w:p>
      </w:docPartBody>
    </w:docPart>
    <w:docPart>
      <w:docPartPr>
        <w:name w:val="3D2726C6FCC441A4835FCC6E5F8B14FC"/>
        <w:category>
          <w:name w:val="General"/>
          <w:gallery w:val="placeholder"/>
        </w:category>
        <w:types>
          <w:type w:val="bbPlcHdr"/>
        </w:types>
        <w:behaviors>
          <w:behavior w:val="content"/>
        </w:behaviors>
        <w:guid w:val="{6A355F7A-896D-4BC9-9469-99B2D006B4B4}"/>
      </w:docPartPr>
      <w:docPartBody>
        <w:p w:rsidR="00F272BB" w:rsidRDefault="00BB538E" w:rsidP="00BB538E">
          <w:pPr>
            <w:pStyle w:val="3D2726C6FCC441A4835FCC6E5F8B14FC"/>
          </w:pPr>
          <w:r>
            <w:rPr>
              <w:rStyle w:val="PlaceholderText"/>
            </w:rPr>
            <w:t>Click or tap here to enter text.</w:t>
          </w:r>
        </w:p>
      </w:docPartBody>
    </w:docPart>
    <w:docPart>
      <w:docPartPr>
        <w:name w:val="E42691668463444CA50CB7FE6E130285"/>
        <w:category>
          <w:name w:val="General"/>
          <w:gallery w:val="placeholder"/>
        </w:category>
        <w:types>
          <w:type w:val="bbPlcHdr"/>
        </w:types>
        <w:behaviors>
          <w:behavior w:val="content"/>
        </w:behaviors>
        <w:guid w:val="{0B7359BE-30FC-4E55-908F-75E49CEF6AF6}"/>
      </w:docPartPr>
      <w:docPartBody>
        <w:p w:rsidR="00F272BB" w:rsidRDefault="00BB538E" w:rsidP="00BB538E">
          <w:pPr>
            <w:pStyle w:val="E42691668463444CA50CB7FE6E130285"/>
          </w:pPr>
          <w:r>
            <w:rPr>
              <w:rStyle w:val="PlaceholderText"/>
            </w:rPr>
            <w:t>Click or tap here to enter text.</w:t>
          </w:r>
        </w:p>
      </w:docPartBody>
    </w:docPart>
    <w:docPart>
      <w:docPartPr>
        <w:name w:val="87435134C77E4C94AB97F69E40EB2E49"/>
        <w:category>
          <w:name w:val="General"/>
          <w:gallery w:val="placeholder"/>
        </w:category>
        <w:types>
          <w:type w:val="bbPlcHdr"/>
        </w:types>
        <w:behaviors>
          <w:behavior w:val="content"/>
        </w:behaviors>
        <w:guid w:val="{E49A6213-8245-4724-9B29-0C2A9A2BE3D4}"/>
      </w:docPartPr>
      <w:docPartBody>
        <w:p w:rsidR="00F272BB" w:rsidRDefault="00BB538E" w:rsidP="00BB538E">
          <w:pPr>
            <w:pStyle w:val="87435134C77E4C94AB97F69E40EB2E49"/>
          </w:pPr>
          <w:r>
            <w:rPr>
              <w:rStyle w:val="PlaceholderText"/>
            </w:rPr>
            <w:t>Click or tap here to enter text.</w:t>
          </w:r>
        </w:p>
      </w:docPartBody>
    </w:docPart>
    <w:docPart>
      <w:docPartPr>
        <w:name w:val="BA8D5702F2934A99882BD55EC7EE5D72"/>
        <w:category>
          <w:name w:val="General"/>
          <w:gallery w:val="placeholder"/>
        </w:category>
        <w:types>
          <w:type w:val="bbPlcHdr"/>
        </w:types>
        <w:behaviors>
          <w:behavior w:val="content"/>
        </w:behaviors>
        <w:guid w:val="{3A38CDB3-D29D-4DB5-8DD3-FFD2F817547D}"/>
      </w:docPartPr>
      <w:docPartBody>
        <w:p w:rsidR="00F272BB" w:rsidRDefault="00BB538E" w:rsidP="00BB538E">
          <w:pPr>
            <w:pStyle w:val="BA8D5702F2934A99882BD55EC7EE5D72"/>
          </w:pPr>
          <w:r>
            <w:rPr>
              <w:rStyle w:val="PlaceholderText"/>
            </w:rPr>
            <w:t>Click or tap here to enter text.</w:t>
          </w:r>
        </w:p>
      </w:docPartBody>
    </w:docPart>
    <w:docPart>
      <w:docPartPr>
        <w:name w:val="484A42204B634E689D3851F459619B49"/>
        <w:category>
          <w:name w:val="General"/>
          <w:gallery w:val="placeholder"/>
        </w:category>
        <w:types>
          <w:type w:val="bbPlcHdr"/>
        </w:types>
        <w:behaviors>
          <w:behavior w:val="content"/>
        </w:behaviors>
        <w:guid w:val="{5F8467DD-3F46-4013-9C2E-F8BB4F56F6E9}"/>
      </w:docPartPr>
      <w:docPartBody>
        <w:p w:rsidR="00F272BB" w:rsidRDefault="00BB538E" w:rsidP="00BB538E">
          <w:pPr>
            <w:pStyle w:val="484A42204B634E689D3851F459619B49"/>
          </w:pPr>
          <w:r>
            <w:rPr>
              <w:rStyle w:val="PlaceholderText"/>
            </w:rPr>
            <w:t>Click or tap here to enter text.</w:t>
          </w:r>
        </w:p>
      </w:docPartBody>
    </w:docPart>
    <w:docPart>
      <w:docPartPr>
        <w:name w:val="A216A3084C36412CAE7EBD8AAE3F3F96"/>
        <w:category>
          <w:name w:val="General"/>
          <w:gallery w:val="placeholder"/>
        </w:category>
        <w:types>
          <w:type w:val="bbPlcHdr"/>
        </w:types>
        <w:behaviors>
          <w:behavior w:val="content"/>
        </w:behaviors>
        <w:guid w:val="{DDE56F47-01DA-4A3B-A93E-5641A8E46B6C}"/>
      </w:docPartPr>
      <w:docPartBody>
        <w:p w:rsidR="00F272BB" w:rsidRDefault="00BB538E" w:rsidP="00BB538E">
          <w:pPr>
            <w:pStyle w:val="A216A3084C36412CAE7EBD8AAE3F3F96"/>
          </w:pPr>
          <w:r>
            <w:rPr>
              <w:rStyle w:val="PlaceholderText"/>
            </w:rPr>
            <w:t>Click or tap here to enter text.</w:t>
          </w:r>
        </w:p>
      </w:docPartBody>
    </w:docPart>
    <w:docPart>
      <w:docPartPr>
        <w:name w:val="DF5E213B76354EB7BA0BAA5A60CDF5F5"/>
        <w:category>
          <w:name w:val="General"/>
          <w:gallery w:val="placeholder"/>
        </w:category>
        <w:types>
          <w:type w:val="bbPlcHdr"/>
        </w:types>
        <w:behaviors>
          <w:behavior w:val="content"/>
        </w:behaviors>
        <w:guid w:val="{91D2BEA3-7388-464A-898E-DE20BEEB571F}"/>
      </w:docPartPr>
      <w:docPartBody>
        <w:p w:rsidR="00F272BB" w:rsidRDefault="00BB538E" w:rsidP="00BB538E">
          <w:pPr>
            <w:pStyle w:val="DF5E213B76354EB7BA0BAA5A60CDF5F5"/>
          </w:pPr>
          <w:r w:rsidRPr="00AA106C">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alatino Linotype">
    <w:panose1 w:val="02040502050505030304"/>
    <w:charset w:val="00"/>
    <w:family w:val="roman"/>
    <w:pitch w:val="variable"/>
    <w:sig w:usb0="E0000287" w:usb1="4000001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BF6"/>
    <w:rsid w:val="000837A8"/>
    <w:rsid w:val="00151F39"/>
    <w:rsid w:val="001532F3"/>
    <w:rsid w:val="001C5973"/>
    <w:rsid w:val="002045E0"/>
    <w:rsid w:val="00294474"/>
    <w:rsid w:val="002E1BF6"/>
    <w:rsid w:val="00365D4D"/>
    <w:rsid w:val="003F5449"/>
    <w:rsid w:val="006311A5"/>
    <w:rsid w:val="0065172E"/>
    <w:rsid w:val="00676914"/>
    <w:rsid w:val="006F1FFD"/>
    <w:rsid w:val="007404DF"/>
    <w:rsid w:val="00760BCB"/>
    <w:rsid w:val="00767508"/>
    <w:rsid w:val="007E4D1C"/>
    <w:rsid w:val="00912F70"/>
    <w:rsid w:val="00916A2D"/>
    <w:rsid w:val="00A44464"/>
    <w:rsid w:val="00AB21DE"/>
    <w:rsid w:val="00BB538E"/>
    <w:rsid w:val="00CA141D"/>
    <w:rsid w:val="00CD56E8"/>
    <w:rsid w:val="00D34F66"/>
    <w:rsid w:val="00DC5A85"/>
    <w:rsid w:val="00EA1805"/>
    <w:rsid w:val="00F272BB"/>
    <w:rsid w:val="00F54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B538E"/>
  </w:style>
  <w:style w:type="paragraph" w:customStyle="1" w:styleId="C17212FE2D704549862DED682A3B8976">
    <w:name w:val="C17212FE2D704549862DED682A3B8976"/>
    <w:rsid w:val="002E1BF6"/>
  </w:style>
  <w:style w:type="paragraph" w:customStyle="1" w:styleId="CFB53A86FDD84D6684879E9B77C253F3">
    <w:name w:val="CFB53A86FDD84D6684879E9B77C253F3"/>
    <w:rsid w:val="002E1BF6"/>
  </w:style>
  <w:style w:type="paragraph" w:customStyle="1" w:styleId="6FB67AD46D624190BA8D2C2A55B4F67B">
    <w:name w:val="6FB67AD46D624190BA8D2C2A55B4F67B"/>
    <w:rsid w:val="002E1BF6"/>
  </w:style>
  <w:style w:type="paragraph" w:customStyle="1" w:styleId="4AC7928D3C7C417595243850F1CA2481">
    <w:name w:val="4AC7928D3C7C417595243850F1CA2481"/>
    <w:rsid w:val="002E1BF6"/>
  </w:style>
  <w:style w:type="paragraph" w:customStyle="1" w:styleId="96C4A5525F6F4EC386D02B71EB68108C">
    <w:name w:val="96C4A5525F6F4EC386D02B71EB68108C"/>
    <w:rsid w:val="002E1BF6"/>
  </w:style>
  <w:style w:type="paragraph" w:customStyle="1" w:styleId="59F30DC0B1EB40B8963ED88082A9ADBE">
    <w:name w:val="59F30DC0B1EB40B8963ED88082A9ADBE"/>
    <w:rsid w:val="002E1BF6"/>
  </w:style>
  <w:style w:type="paragraph" w:customStyle="1" w:styleId="87A4726B6D0B48D7B2615C5E5512415D">
    <w:name w:val="87A4726B6D0B48D7B2615C5E5512415D"/>
    <w:rsid w:val="002E1BF6"/>
  </w:style>
  <w:style w:type="paragraph" w:customStyle="1" w:styleId="4942EA4ED2364B028BA9B32C983F184B">
    <w:name w:val="4942EA4ED2364B028BA9B32C983F184B"/>
    <w:rsid w:val="002E1BF6"/>
  </w:style>
  <w:style w:type="paragraph" w:customStyle="1" w:styleId="64E3467B9ADE49F5A9BB10F5DEC9F697">
    <w:name w:val="64E3467B9ADE49F5A9BB10F5DEC9F697"/>
    <w:rsid w:val="002E1BF6"/>
  </w:style>
  <w:style w:type="paragraph" w:customStyle="1" w:styleId="FD2A143BD4654C90BF6C0414C2467E07">
    <w:name w:val="FD2A143BD4654C90BF6C0414C2467E07"/>
    <w:rsid w:val="002E1BF6"/>
  </w:style>
  <w:style w:type="paragraph" w:customStyle="1" w:styleId="5190CE25D5884686934170E3892FFBB9">
    <w:name w:val="5190CE25D5884686934170E3892FFBB9"/>
    <w:rsid w:val="002E1BF6"/>
  </w:style>
  <w:style w:type="paragraph" w:customStyle="1" w:styleId="4CCBAF81947A4571AE17D04C1737B639">
    <w:name w:val="4CCBAF81947A4571AE17D04C1737B639"/>
    <w:rsid w:val="002E1BF6"/>
  </w:style>
  <w:style w:type="paragraph" w:customStyle="1" w:styleId="BB3C8D79E3A84069A2E6BDBE1815CCEE">
    <w:name w:val="BB3C8D79E3A84069A2E6BDBE1815CCEE"/>
    <w:rsid w:val="002E1BF6"/>
  </w:style>
  <w:style w:type="paragraph" w:customStyle="1" w:styleId="4F03148F45D84E0690FD0FF76513E03E">
    <w:name w:val="4F03148F45D84E0690FD0FF76513E03E"/>
    <w:rsid w:val="002E1BF6"/>
  </w:style>
  <w:style w:type="paragraph" w:customStyle="1" w:styleId="2A1A8F5097094DA28CC615FC04C5C964">
    <w:name w:val="2A1A8F5097094DA28CC615FC04C5C964"/>
    <w:rsid w:val="002E1BF6"/>
  </w:style>
  <w:style w:type="paragraph" w:customStyle="1" w:styleId="78777C1579AC407F892449CDFA86BD83">
    <w:name w:val="78777C1579AC407F892449CDFA86BD83"/>
    <w:rsid w:val="002E1BF6"/>
  </w:style>
  <w:style w:type="paragraph" w:customStyle="1" w:styleId="1BCFE4CE2BF643D1B3FB8E1D3CC88FC8">
    <w:name w:val="1BCFE4CE2BF643D1B3FB8E1D3CC88FC8"/>
    <w:rsid w:val="002E1BF6"/>
  </w:style>
  <w:style w:type="paragraph" w:customStyle="1" w:styleId="384FFFF6CBDD494D8C2607332BB8954A">
    <w:name w:val="384FFFF6CBDD494D8C2607332BB8954A"/>
    <w:rsid w:val="002E1BF6"/>
  </w:style>
  <w:style w:type="paragraph" w:customStyle="1" w:styleId="294F0D379D7E43148C6A7863882D5056">
    <w:name w:val="294F0D379D7E43148C6A7863882D5056"/>
    <w:rsid w:val="002E1BF6"/>
  </w:style>
  <w:style w:type="paragraph" w:customStyle="1" w:styleId="59491142DA66445C89352EE8EAA7A095">
    <w:name w:val="59491142DA66445C89352EE8EAA7A095"/>
    <w:rsid w:val="002E1BF6"/>
  </w:style>
  <w:style w:type="paragraph" w:customStyle="1" w:styleId="497E8AFDB7104CBDBFD578148073ED33">
    <w:name w:val="497E8AFDB7104CBDBFD578148073ED33"/>
    <w:rsid w:val="002E1BF6"/>
  </w:style>
  <w:style w:type="paragraph" w:customStyle="1" w:styleId="DCB1B75A49C34014AE77FF06415650F0">
    <w:name w:val="DCB1B75A49C34014AE77FF06415650F0"/>
    <w:rsid w:val="002E1BF6"/>
  </w:style>
  <w:style w:type="paragraph" w:customStyle="1" w:styleId="5552AE24AA8848669841184952F645A1">
    <w:name w:val="5552AE24AA8848669841184952F645A1"/>
    <w:rsid w:val="002E1BF6"/>
  </w:style>
  <w:style w:type="paragraph" w:customStyle="1" w:styleId="4A3A54499A5A41308B355C5B825A3CD8">
    <w:name w:val="4A3A54499A5A41308B355C5B825A3CD8"/>
    <w:rsid w:val="002E1BF6"/>
  </w:style>
  <w:style w:type="paragraph" w:customStyle="1" w:styleId="8150EC60607C455FBA305A9CB4F392AE">
    <w:name w:val="8150EC60607C455FBA305A9CB4F392AE"/>
    <w:rsid w:val="002E1BF6"/>
  </w:style>
  <w:style w:type="paragraph" w:customStyle="1" w:styleId="A2B3444A52FC47C08F85F030B9B8D551">
    <w:name w:val="A2B3444A52FC47C08F85F030B9B8D551"/>
    <w:rsid w:val="002E1BF6"/>
  </w:style>
  <w:style w:type="paragraph" w:customStyle="1" w:styleId="466DD4D7958C4ACF94ECE5C563EDD46C">
    <w:name w:val="466DD4D7958C4ACF94ECE5C563EDD46C"/>
    <w:rsid w:val="002E1BF6"/>
  </w:style>
  <w:style w:type="paragraph" w:customStyle="1" w:styleId="06DBD2B1D30D4462B7FE096C6247223A">
    <w:name w:val="06DBD2B1D30D4462B7FE096C6247223A"/>
    <w:rsid w:val="002E1BF6"/>
  </w:style>
  <w:style w:type="paragraph" w:customStyle="1" w:styleId="982752636819439CA645B22766432DE7">
    <w:name w:val="982752636819439CA645B22766432DE7"/>
    <w:rsid w:val="002E1BF6"/>
  </w:style>
  <w:style w:type="paragraph" w:customStyle="1" w:styleId="E9F2D48351AF49A7A8D6F932B2DF728A">
    <w:name w:val="E9F2D48351AF49A7A8D6F932B2DF728A"/>
    <w:rsid w:val="002E1BF6"/>
  </w:style>
  <w:style w:type="paragraph" w:customStyle="1" w:styleId="498C35F13E0C465984F9B1DC29875697">
    <w:name w:val="498C35F13E0C465984F9B1DC29875697"/>
    <w:rsid w:val="002E1BF6"/>
  </w:style>
  <w:style w:type="paragraph" w:customStyle="1" w:styleId="00CC5BAE043E4CA996F594AF3D728D93">
    <w:name w:val="00CC5BAE043E4CA996F594AF3D728D93"/>
    <w:rsid w:val="002E1BF6"/>
  </w:style>
  <w:style w:type="paragraph" w:customStyle="1" w:styleId="4E4FF162DAD2429497566187CEE012C8">
    <w:name w:val="4E4FF162DAD2429497566187CEE012C8"/>
    <w:rsid w:val="002E1BF6"/>
  </w:style>
  <w:style w:type="paragraph" w:customStyle="1" w:styleId="39E0404AD41D40159B0E6B89531D4E92">
    <w:name w:val="39E0404AD41D40159B0E6B89531D4E92"/>
    <w:rsid w:val="002E1BF6"/>
  </w:style>
  <w:style w:type="paragraph" w:customStyle="1" w:styleId="DAF5EC04A4314545886E67979C7C85AD">
    <w:name w:val="DAF5EC04A4314545886E67979C7C85AD"/>
    <w:rsid w:val="002E1BF6"/>
  </w:style>
  <w:style w:type="paragraph" w:customStyle="1" w:styleId="218B4D6EDCCD4F5D9F6FC832253D6BC9">
    <w:name w:val="218B4D6EDCCD4F5D9F6FC832253D6BC9"/>
    <w:rsid w:val="002E1BF6"/>
  </w:style>
  <w:style w:type="paragraph" w:customStyle="1" w:styleId="DC6709537B6F4C01BCD447BC726236FD">
    <w:name w:val="DC6709537B6F4C01BCD447BC726236FD"/>
    <w:rsid w:val="002E1BF6"/>
  </w:style>
  <w:style w:type="paragraph" w:customStyle="1" w:styleId="5F30DE82B72A4CBFB7A15C8AD09A88BD">
    <w:name w:val="5F30DE82B72A4CBFB7A15C8AD09A88BD"/>
    <w:rsid w:val="002E1BF6"/>
  </w:style>
  <w:style w:type="paragraph" w:customStyle="1" w:styleId="952C88DCA45F41548D41046D6D7A06FA">
    <w:name w:val="952C88DCA45F41548D41046D6D7A06FA"/>
    <w:rsid w:val="002E1BF6"/>
  </w:style>
  <w:style w:type="paragraph" w:customStyle="1" w:styleId="5CF3FBF73DB34EB9BF2FD7E5A15EF1C5">
    <w:name w:val="5CF3FBF73DB34EB9BF2FD7E5A15EF1C5"/>
    <w:rsid w:val="002E1BF6"/>
  </w:style>
  <w:style w:type="paragraph" w:customStyle="1" w:styleId="104BB586FB4E4E6EAFA0CD1F0922B8FA">
    <w:name w:val="104BB586FB4E4E6EAFA0CD1F0922B8FA"/>
    <w:rsid w:val="002E1BF6"/>
  </w:style>
  <w:style w:type="paragraph" w:customStyle="1" w:styleId="259473FBF3DC44C0B6564DFFC14C8ABE">
    <w:name w:val="259473FBF3DC44C0B6564DFFC14C8ABE"/>
    <w:rsid w:val="002E1BF6"/>
  </w:style>
  <w:style w:type="paragraph" w:customStyle="1" w:styleId="45DBCBB34D314FFABBFE6464DA733699">
    <w:name w:val="45DBCBB34D314FFABBFE6464DA733699"/>
    <w:rsid w:val="002E1BF6"/>
  </w:style>
  <w:style w:type="paragraph" w:customStyle="1" w:styleId="D50053AD9F2E4A9698DFF03D96ED4B08">
    <w:name w:val="D50053AD9F2E4A9698DFF03D96ED4B08"/>
    <w:rsid w:val="002E1BF6"/>
  </w:style>
  <w:style w:type="paragraph" w:customStyle="1" w:styleId="D8F56685A0EC4D85AC24EEFA4FB02A7C">
    <w:name w:val="D8F56685A0EC4D85AC24EEFA4FB02A7C"/>
    <w:rsid w:val="002E1BF6"/>
  </w:style>
  <w:style w:type="paragraph" w:customStyle="1" w:styleId="E09833667EDC472AB3703942B466F330">
    <w:name w:val="E09833667EDC472AB3703942B466F330"/>
    <w:rsid w:val="002E1BF6"/>
  </w:style>
  <w:style w:type="paragraph" w:customStyle="1" w:styleId="9B33C656CD3A4A369657202EFD0EA818">
    <w:name w:val="9B33C656CD3A4A369657202EFD0EA818"/>
    <w:rsid w:val="002E1BF6"/>
  </w:style>
  <w:style w:type="paragraph" w:customStyle="1" w:styleId="BDBA70645EA6407A869E97E1CE9D00AD">
    <w:name w:val="BDBA70645EA6407A869E97E1CE9D00AD"/>
    <w:rsid w:val="002E1BF6"/>
  </w:style>
  <w:style w:type="paragraph" w:customStyle="1" w:styleId="E094649FF36B4B6A9D4E9EF6E7D87EC6">
    <w:name w:val="E094649FF36B4B6A9D4E9EF6E7D87EC6"/>
    <w:rsid w:val="002E1BF6"/>
  </w:style>
  <w:style w:type="paragraph" w:customStyle="1" w:styleId="67BA57A423184202B1C2259BA10BBDA7">
    <w:name w:val="67BA57A423184202B1C2259BA10BBDA7"/>
    <w:rsid w:val="002E1BF6"/>
  </w:style>
  <w:style w:type="paragraph" w:customStyle="1" w:styleId="8EBCB08F057F4E8282B145CB4793AE8B">
    <w:name w:val="8EBCB08F057F4E8282B145CB4793AE8B"/>
    <w:rsid w:val="002E1BF6"/>
  </w:style>
  <w:style w:type="paragraph" w:customStyle="1" w:styleId="2AC530142D4B4B17BC6C338A922FEAFD">
    <w:name w:val="2AC530142D4B4B17BC6C338A922FEAFD"/>
    <w:rsid w:val="00A44464"/>
  </w:style>
  <w:style w:type="paragraph" w:customStyle="1" w:styleId="B138C10B00444EEDB68FDBC47A5891CF">
    <w:name w:val="B138C10B00444EEDB68FDBC47A5891CF"/>
    <w:rsid w:val="002E1BF6"/>
  </w:style>
  <w:style w:type="paragraph" w:customStyle="1" w:styleId="C551FB1AA96F4A26862C8F4306B064B2">
    <w:name w:val="C551FB1AA96F4A26862C8F4306B064B2"/>
    <w:rsid w:val="002E1BF6"/>
  </w:style>
  <w:style w:type="paragraph" w:customStyle="1" w:styleId="3A5CA3002A5E4FFA8BD7B91E29E6085D">
    <w:name w:val="3A5CA3002A5E4FFA8BD7B91E29E6085D"/>
    <w:rsid w:val="002E1BF6"/>
  </w:style>
  <w:style w:type="paragraph" w:customStyle="1" w:styleId="D5C2CF89FB4749DF8264EE546D2BEF24">
    <w:name w:val="D5C2CF89FB4749DF8264EE546D2BEF24"/>
    <w:rsid w:val="002E1BF6"/>
  </w:style>
  <w:style w:type="paragraph" w:customStyle="1" w:styleId="BF82F80C0CF24854BECE6361C3DA2AF9">
    <w:name w:val="BF82F80C0CF24854BECE6361C3DA2AF9"/>
    <w:rsid w:val="002E1BF6"/>
  </w:style>
  <w:style w:type="paragraph" w:customStyle="1" w:styleId="E0308F90406041769BEA27A5A6AEFA2D">
    <w:name w:val="E0308F90406041769BEA27A5A6AEFA2D"/>
    <w:rsid w:val="002E1BF6"/>
  </w:style>
  <w:style w:type="paragraph" w:customStyle="1" w:styleId="4AE3D0B80D9F4FBD8C00E7BE7FB4C700">
    <w:name w:val="4AE3D0B80D9F4FBD8C00E7BE7FB4C700"/>
    <w:rsid w:val="002E1BF6"/>
  </w:style>
  <w:style w:type="paragraph" w:customStyle="1" w:styleId="E27D3C0761D645B699057FED0241F8F0">
    <w:name w:val="E27D3C0761D645B699057FED0241F8F0"/>
    <w:rsid w:val="002E1BF6"/>
  </w:style>
  <w:style w:type="paragraph" w:customStyle="1" w:styleId="BE51215021274051906BCCF84CC9F705">
    <w:name w:val="BE51215021274051906BCCF84CC9F705"/>
    <w:rsid w:val="002E1BF6"/>
  </w:style>
  <w:style w:type="paragraph" w:customStyle="1" w:styleId="E97E965DF0C949749726A5743B674162">
    <w:name w:val="E97E965DF0C949749726A5743B674162"/>
    <w:rsid w:val="002E1BF6"/>
  </w:style>
  <w:style w:type="paragraph" w:customStyle="1" w:styleId="C5FDA3C71B0C4044B40CDEB9622D077D">
    <w:name w:val="C5FDA3C71B0C4044B40CDEB9622D077D"/>
    <w:rsid w:val="002E1BF6"/>
  </w:style>
  <w:style w:type="paragraph" w:customStyle="1" w:styleId="28E9EA896E184EEEA0A0E6E5C4C5184E">
    <w:name w:val="28E9EA896E184EEEA0A0E6E5C4C5184E"/>
    <w:rsid w:val="002E1BF6"/>
  </w:style>
  <w:style w:type="paragraph" w:customStyle="1" w:styleId="A853A578CA854601AB99E87B7E27F98C">
    <w:name w:val="A853A578CA854601AB99E87B7E27F98C"/>
    <w:rsid w:val="002E1BF6"/>
  </w:style>
  <w:style w:type="paragraph" w:customStyle="1" w:styleId="1D237E2FF5AB4478A34CD9299832E777">
    <w:name w:val="1D237E2FF5AB4478A34CD9299832E777"/>
    <w:rsid w:val="002E1BF6"/>
  </w:style>
  <w:style w:type="paragraph" w:customStyle="1" w:styleId="9843450DA364492CB7EA5D5AD2E3B227">
    <w:name w:val="9843450DA364492CB7EA5D5AD2E3B227"/>
    <w:rsid w:val="002E1BF6"/>
  </w:style>
  <w:style w:type="paragraph" w:customStyle="1" w:styleId="B9BC9754C9274673B961302FDF40A1B7">
    <w:name w:val="B9BC9754C9274673B961302FDF40A1B7"/>
    <w:rsid w:val="002E1BF6"/>
  </w:style>
  <w:style w:type="paragraph" w:customStyle="1" w:styleId="0A56B8A9FB5E4EF984C722F41E169565">
    <w:name w:val="0A56B8A9FB5E4EF984C722F41E169565"/>
    <w:rsid w:val="002E1BF6"/>
  </w:style>
  <w:style w:type="paragraph" w:customStyle="1" w:styleId="922497B7AA9F4EEE830394533555326D">
    <w:name w:val="922497B7AA9F4EEE830394533555326D"/>
    <w:rsid w:val="00A44464"/>
  </w:style>
  <w:style w:type="paragraph" w:customStyle="1" w:styleId="12B7A98D839247EFAEA159A050D63BB1">
    <w:name w:val="12B7A98D839247EFAEA159A050D63BB1"/>
    <w:rsid w:val="002E1BF6"/>
  </w:style>
  <w:style w:type="paragraph" w:customStyle="1" w:styleId="30F962117DFA4E3B8BC17E58F858D368">
    <w:name w:val="30F962117DFA4E3B8BC17E58F858D368"/>
    <w:rsid w:val="002E1BF6"/>
  </w:style>
  <w:style w:type="paragraph" w:customStyle="1" w:styleId="5E5E13F5136549F89092BF00AEA3E1D2">
    <w:name w:val="5E5E13F5136549F89092BF00AEA3E1D2"/>
    <w:rsid w:val="002E1BF6"/>
  </w:style>
  <w:style w:type="paragraph" w:customStyle="1" w:styleId="F0E53DB520704AEF80984206902D5A6F">
    <w:name w:val="F0E53DB520704AEF80984206902D5A6F"/>
    <w:rsid w:val="002E1BF6"/>
  </w:style>
  <w:style w:type="paragraph" w:customStyle="1" w:styleId="5FABC00F1EC847B3A5C978E028B7850E">
    <w:name w:val="5FABC00F1EC847B3A5C978E028B7850E"/>
    <w:rsid w:val="002E1BF6"/>
  </w:style>
  <w:style w:type="paragraph" w:customStyle="1" w:styleId="7D5244FA4075422FB3592CCBBA9196AA">
    <w:name w:val="7D5244FA4075422FB3592CCBBA9196AA"/>
    <w:rsid w:val="002E1BF6"/>
  </w:style>
  <w:style w:type="paragraph" w:customStyle="1" w:styleId="593CDFB4F4154A7F94EB7C4B3D1B0402">
    <w:name w:val="593CDFB4F4154A7F94EB7C4B3D1B0402"/>
    <w:rsid w:val="002E1BF6"/>
  </w:style>
  <w:style w:type="paragraph" w:customStyle="1" w:styleId="948548FA51B3484C8476CC3FC4CD3390">
    <w:name w:val="948548FA51B3484C8476CC3FC4CD3390"/>
    <w:rsid w:val="002E1BF6"/>
  </w:style>
  <w:style w:type="paragraph" w:customStyle="1" w:styleId="62367905CBD6460089C77491804E0227">
    <w:name w:val="62367905CBD6460089C77491804E0227"/>
    <w:rsid w:val="002E1BF6"/>
  </w:style>
  <w:style w:type="paragraph" w:customStyle="1" w:styleId="DE350F828C334C3788A26F619DCA3989">
    <w:name w:val="DE350F828C334C3788A26F619DCA3989"/>
    <w:rsid w:val="002E1BF6"/>
  </w:style>
  <w:style w:type="paragraph" w:customStyle="1" w:styleId="0C043E41633344018A8043B9CBBCBF20">
    <w:name w:val="0C043E41633344018A8043B9CBBCBF20"/>
    <w:rsid w:val="002E1BF6"/>
  </w:style>
  <w:style w:type="paragraph" w:customStyle="1" w:styleId="5A787571DB4E42858D616637840B5F06">
    <w:name w:val="5A787571DB4E42858D616637840B5F06"/>
    <w:rsid w:val="002E1BF6"/>
  </w:style>
  <w:style w:type="paragraph" w:customStyle="1" w:styleId="12344855235E4292B075B769CAA03393">
    <w:name w:val="12344855235E4292B075B769CAA03393"/>
    <w:rsid w:val="002E1BF6"/>
  </w:style>
  <w:style w:type="paragraph" w:customStyle="1" w:styleId="B43058B2B68A4A9FAE8750CC019AF18D">
    <w:name w:val="B43058B2B68A4A9FAE8750CC019AF18D"/>
    <w:rsid w:val="00BB538E"/>
  </w:style>
  <w:style w:type="paragraph" w:customStyle="1" w:styleId="8718E5FB15164247A5887309319B2569">
    <w:name w:val="8718E5FB15164247A5887309319B2569"/>
    <w:rsid w:val="002E1BF6"/>
  </w:style>
  <w:style w:type="paragraph" w:customStyle="1" w:styleId="0BCAA41CF62A4BC48C02322959644058">
    <w:name w:val="0BCAA41CF62A4BC48C02322959644058"/>
    <w:rsid w:val="002E1BF6"/>
  </w:style>
  <w:style w:type="paragraph" w:customStyle="1" w:styleId="81CBF39B0F45416C8F9D859766A48277">
    <w:name w:val="81CBF39B0F45416C8F9D859766A48277"/>
    <w:rsid w:val="002E1BF6"/>
  </w:style>
  <w:style w:type="paragraph" w:customStyle="1" w:styleId="CEFC275C17314A90ADC351AA2AE8268E">
    <w:name w:val="CEFC275C17314A90ADC351AA2AE8268E"/>
    <w:rsid w:val="002E1BF6"/>
  </w:style>
  <w:style w:type="paragraph" w:customStyle="1" w:styleId="0C4DD26A0A7F42468185921BDC009093">
    <w:name w:val="0C4DD26A0A7F42468185921BDC009093"/>
    <w:rsid w:val="002E1BF6"/>
  </w:style>
  <w:style w:type="paragraph" w:customStyle="1" w:styleId="654692A50B8D4989AB50D53457F40582">
    <w:name w:val="654692A50B8D4989AB50D53457F40582"/>
    <w:rsid w:val="002E1BF6"/>
  </w:style>
  <w:style w:type="paragraph" w:customStyle="1" w:styleId="DE23AAF2C5374FA49509F1D0EF1365C4">
    <w:name w:val="DE23AAF2C5374FA49509F1D0EF1365C4"/>
    <w:rsid w:val="002E1BF6"/>
  </w:style>
  <w:style w:type="paragraph" w:customStyle="1" w:styleId="B1C8617CFC3D4BBEA060DA340278BCE5">
    <w:name w:val="B1C8617CFC3D4BBEA060DA340278BCE5"/>
    <w:rsid w:val="002E1BF6"/>
  </w:style>
  <w:style w:type="paragraph" w:customStyle="1" w:styleId="1703E6203B7841ED9C7EB199F84FE7A0">
    <w:name w:val="1703E6203B7841ED9C7EB199F84FE7A0"/>
    <w:rsid w:val="002E1BF6"/>
  </w:style>
  <w:style w:type="paragraph" w:customStyle="1" w:styleId="5F4C410D901347C3A16C67B48A595378">
    <w:name w:val="5F4C410D901347C3A16C67B48A595378"/>
    <w:rsid w:val="002E1BF6"/>
  </w:style>
  <w:style w:type="paragraph" w:customStyle="1" w:styleId="07AA05CE7AAB45D1B1BB58EA4F3E24F7">
    <w:name w:val="07AA05CE7AAB45D1B1BB58EA4F3E24F7"/>
    <w:rsid w:val="002E1BF6"/>
  </w:style>
  <w:style w:type="paragraph" w:customStyle="1" w:styleId="93485DDCDDD84390A37FAAA16FB06D67">
    <w:name w:val="93485DDCDDD84390A37FAAA16FB06D67"/>
    <w:rsid w:val="002E1BF6"/>
  </w:style>
  <w:style w:type="paragraph" w:customStyle="1" w:styleId="8E59515890FE460A84F4F6731BC940A0">
    <w:name w:val="8E59515890FE460A84F4F6731BC940A0"/>
    <w:rsid w:val="002E1BF6"/>
  </w:style>
  <w:style w:type="paragraph" w:customStyle="1" w:styleId="69AA5895340B47ECB3CCC4870648E1FA">
    <w:name w:val="69AA5895340B47ECB3CCC4870648E1FA"/>
    <w:rsid w:val="002E1BF6"/>
  </w:style>
  <w:style w:type="paragraph" w:customStyle="1" w:styleId="38223B4B2A8543ED9238D65FFD9B8C10">
    <w:name w:val="38223B4B2A8543ED9238D65FFD9B8C10"/>
    <w:rsid w:val="002E1BF6"/>
  </w:style>
  <w:style w:type="paragraph" w:customStyle="1" w:styleId="0E0B8C37B9C24FD5903B91ABBF295515">
    <w:name w:val="0E0B8C37B9C24FD5903B91ABBF295515"/>
    <w:rsid w:val="002E1BF6"/>
  </w:style>
  <w:style w:type="paragraph" w:customStyle="1" w:styleId="9F336D5B24884FC08EE1805C8AF8B1C4">
    <w:name w:val="9F336D5B24884FC08EE1805C8AF8B1C4"/>
    <w:rsid w:val="002E1BF6"/>
  </w:style>
  <w:style w:type="paragraph" w:customStyle="1" w:styleId="4A44370264C049A3B7C5194F9500479B">
    <w:name w:val="4A44370264C049A3B7C5194F9500479B"/>
    <w:rsid w:val="002E1BF6"/>
  </w:style>
  <w:style w:type="paragraph" w:customStyle="1" w:styleId="1EB7ADEC620747E8B8A7F4D93B13329B">
    <w:name w:val="1EB7ADEC620747E8B8A7F4D93B13329B"/>
    <w:rsid w:val="002E1BF6"/>
  </w:style>
  <w:style w:type="paragraph" w:customStyle="1" w:styleId="AA7684FDEF9046F9BEB971E62CE90F98">
    <w:name w:val="AA7684FDEF9046F9BEB971E62CE90F98"/>
    <w:rsid w:val="007404DF"/>
  </w:style>
  <w:style w:type="paragraph" w:customStyle="1" w:styleId="ECC1D92ED40040009AE469B451080672">
    <w:name w:val="ECC1D92ED40040009AE469B451080672"/>
    <w:rsid w:val="002E1BF6"/>
  </w:style>
  <w:style w:type="paragraph" w:customStyle="1" w:styleId="72B12BB3DD62401C8B9CD0484C0E48A9">
    <w:name w:val="72B12BB3DD62401C8B9CD0484C0E48A9"/>
    <w:rsid w:val="002E1BF6"/>
  </w:style>
  <w:style w:type="paragraph" w:customStyle="1" w:styleId="721076E3981440DE85E230A7998FB39E">
    <w:name w:val="721076E3981440DE85E230A7998FB39E"/>
    <w:rsid w:val="002E1BF6"/>
  </w:style>
  <w:style w:type="paragraph" w:customStyle="1" w:styleId="81D7AD92CA66479D9943B44E9E05F4F0">
    <w:name w:val="81D7AD92CA66479D9943B44E9E05F4F0"/>
    <w:rsid w:val="002E1BF6"/>
  </w:style>
  <w:style w:type="paragraph" w:customStyle="1" w:styleId="9B78A1B0A58049E79CB978A6D1A47AB2">
    <w:name w:val="9B78A1B0A58049E79CB978A6D1A47AB2"/>
    <w:rsid w:val="002E1BF6"/>
  </w:style>
  <w:style w:type="paragraph" w:customStyle="1" w:styleId="FAE127A155FA4F6D8F0002FBACD0A23E">
    <w:name w:val="FAE127A155FA4F6D8F0002FBACD0A23E"/>
    <w:rsid w:val="002E1BF6"/>
  </w:style>
  <w:style w:type="paragraph" w:customStyle="1" w:styleId="B57781914B0B4CD8A5FB21C59DA03E85">
    <w:name w:val="B57781914B0B4CD8A5FB21C59DA03E85"/>
    <w:rsid w:val="002E1BF6"/>
  </w:style>
  <w:style w:type="paragraph" w:customStyle="1" w:styleId="59BA04AB3CDF450EBD3A954FC563992C">
    <w:name w:val="59BA04AB3CDF450EBD3A954FC563992C"/>
    <w:rsid w:val="002E1BF6"/>
  </w:style>
  <w:style w:type="paragraph" w:customStyle="1" w:styleId="6DC1F00A87A14D35AB45924398B00261">
    <w:name w:val="6DC1F00A87A14D35AB45924398B00261"/>
    <w:rsid w:val="002E1BF6"/>
  </w:style>
  <w:style w:type="paragraph" w:customStyle="1" w:styleId="610EB411EB634FD582E313207A5790D7">
    <w:name w:val="610EB411EB634FD582E313207A5790D7"/>
    <w:rsid w:val="002E1BF6"/>
  </w:style>
  <w:style w:type="paragraph" w:customStyle="1" w:styleId="CEAAAA01D05B421089669952377AEF44">
    <w:name w:val="CEAAAA01D05B421089669952377AEF44"/>
    <w:rsid w:val="002E1BF6"/>
  </w:style>
  <w:style w:type="paragraph" w:customStyle="1" w:styleId="4A16213DB60B417FBB61C2F18214D2AF">
    <w:name w:val="4A16213DB60B417FBB61C2F18214D2AF"/>
    <w:rsid w:val="002E1BF6"/>
  </w:style>
  <w:style w:type="paragraph" w:customStyle="1" w:styleId="7ABD3D7CC06C4047AC84EB89D1C3952C">
    <w:name w:val="7ABD3D7CC06C4047AC84EB89D1C3952C"/>
    <w:rsid w:val="002E1BF6"/>
  </w:style>
  <w:style w:type="paragraph" w:customStyle="1" w:styleId="345ABC4C05A04C4384A983F0C719DB9C">
    <w:name w:val="345ABC4C05A04C4384A983F0C719DB9C"/>
    <w:rsid w:val="002E1BF6"/>
  </w:style>
  <w:style w:type="paragraph" w:customStyle="1" w:styleId="E89775460A774F7DBA23B52BCE4564E9">
    <w:name w:val="E89775460A774F7DBA23B52BCE4564E9"/>
    <w:rsid w:val="002E1BF6"/>
  </w:style>
  <w:style w:type="paragraph" w:customStyle="1" w:styleId="E46DCF7B53144463A95B371E6D96ED59">
    <w:name w:val="E46DCF7B53144463A95B371E6D96ED59"/>
    <w:rsid w:val="002E1BF6"/>
  </w:style>
  <w:style w:type="paragraph" w:customStyle="1" w:styleId="D1E05A4A794B4EE8AE0B5C4EE32F1E8F">
    <w:name w:val="D1E05A4A794B4EE8AE0B5C4EE32F1E8F"/>
    <w:rsid w:val="002E1BF6"/>
  </w:style>
  <w:style w:type="paragraph" w:customStyle="1" w:styleId="ADF859263B674A21B94721E6895F2993">
    <w:name w:val="ADF859263B674A21B94721E6895F2993"/>
    <w:rsid w:val="002E1BF6"/>
  </w:style>
  <w:style w:type="paragraph" w:customStyle="1" w:styleId="FBD59FA121914D428DF914360DE78D0A">
    <w:name w:val="FBD59FA121914D428DF914360DE78D0A"/>
    <w:rsid w:val="002E1BF6"/>
  </w:style>
  <w:style w:type="paragraph" w:customStyle="1" w:styleId="84943662176C422E83140CDF7E262D10">
    <w:name w:val="84943662176C422E83140CDF7E262D10"/>
    <w:rsid w:val="002E1BF6"/>
  </w:style>
  <w:style w:type="paragraph" w:customStyle="1" w:styleId="FC7D176566CA402E9D802B1226F0A2E1">
    <w:name w:val="FC7D176566CA402E9D802B1226F0A2E1"/>
    <w:rsid w:val="002E1BF6"/>
  </w:style>
  <w:style w:type="paragraph" w:customStyle="1" w:styleId="2CAD563FC7D14E17B6327F9F6BAAFB15">
    <w:name w:val="2CAD563FC7D14E17B6327F9F6BAAFB15"/>
    <w:rsid w:val="002E1BF6"/>
  </w:style>
  <w:style w:type="paragraph" w:customStyle="1" w:styleId="E8153493EF7A4B84BC3B034D74FDA0C4">
    <w:name w:val="E8153493EF7A4B84BC3B034D74FDA0C4"/>
    <w:rsid w:val="002E1BF6"/>
  </w:style>
  <w:style w:type="paragraph" w:customStyle="1" w:styleId="44B59C69A3284FA1BC297F5FB6E0AD93">
    <w:name w:val="44B59C69A3284FA1BC297F5FB6E0AD93"/>
    <w:rsid w:val="002E1BF6"/>
  </w:style>
  <w:style w:type="paragraph" w:customStyle="1" w:styleId="9247D291C8CE41B68E672BFF301D57B7">
    <w:name w:val="9247D291C8CE41B68E672BFF301D57B7"/>
    <w:rsid w:val="002E1BF6"/>
  </w:style>
  <w:style w:type="paragraph" w:customStyle="1" w:styleId="564899AA0EC64C7EBE0D6CA11D553D06">
    <w:name w:val="564899AA0EC64C7EBE0D6CA11D553D06"/>
    <w:rsid w:val="002E1BF6"/>
  </w:style>
  <w:style w:type="paragraph" w:customStyle="1" w:styleId="CA38D173784E45369114AD1DC13AAC1D">
    <w:name w:val="CA38D173784E45369114AD1DC13AAC1D"/>
    <w:rsid w:val="002E1BF6"/>
  </w:style>
  <w:style w:type="paragraph" w:customStyle="1" w:styleId="6C2CBDECB7BF4BFFA5535D06AC149ADF">
    <w:name w:val="6C2CBDECB7BF4BFFA5535D06AC149ADF"/>
    <w:rsid w:val="002E1BF6"/>
  </w:style>
  <w:style w:type="paragraph" w:customStyle="1" w:styleId="1F0A4E5D5F474D3F928971A50C9B4610">
    <w:name w:val="1F0A4E5D5F474D3F928971A50C9B4610"/>
    <w:rsid w:val="002E1BF6"/>
  </w:style>
  <w:style w:type="paragraph" w:customStyle="1" w:styleId="576335ACF8964973992D84006C151039">
    <w:name w:val="576335ACF8964973992D84006C151039"/>
    <w:rsid w:val="002E1BF6"/>
  </w:style>
  <w:style w:type="paragraph" w:customStyle="1" w:styleId="26830A70943F45A0B539767B85CB533A">
    <w:name w:val="26830A70943F45A0B539767B85CB533A"/>
    <w:rsid w:val="002E1BF6"/>
  </w:style>
  <w:style w:type="paragraph" w:customStyle="1" w:styleId="217A5ED73C454082A27639B4ACA29D15">
    <w:name w:val="217A5ED73C454082A27639B4ACA29D15"/>
    <w:rsid w:val="002E1BF6"/>
  </w:style>
  <w:style w:type="paragraph" w:customStyle="1" w:styleId="AA013CA411AB4567B19B9C071162A3FB">
    <w:name w:val="AA013CA411AB4567B19B9C071162A3FB"/>
    <w:rsid w:val="002E1BF6"/>
  </w:style>
  <w:style w:type="paragraph" w:customStyle="1" w:styleId="1A49F1A1721244F8A8A1EE2C9D7374A5">
    <w:name w:val="1A49F1A1721244F8A8A1EE2C9D7374A5"/>
    <w:rsid w:val="002E1BF6"/>
  </w:style>
  <w:style w:type="paragraph" w:customStyle="1" w:styleId="320557B9148F400D983F1E54B57D3696">
    <w:name w:val="320557B9148F400D983F1E54B57D3696"/>
    <w:rsid w:val="002E1BF6"/>
  </w:style>
  <w:style w:type="paragraph" w:customStyle="1" w:styleId="1D650EFBC49C4B17A03A97BFCED9979A">
    <w:name w:val="1D650EFBC49C4B17A03A97BFCED9979A"/>
    <w:rsid w:val="002E1BF6"/>
  </w:style>
  <w:style w:type="paragraph" w:customStyle="1" w:styleId="7800812E7FB84436A0678D5A11374ECF">
    <w:name w:val="7800812E7FB84436A0678D5A11374ECF"/>
    <w:rsid w:val="002E1BF6"/>
  </w:style>
  <w:style w:type="paragraph" w:customStyle="1" w:styleId="944EE29C6B334162B786D58D9FBA4C77">
    <w:name w:val="944EE29C6B334162B786D58D9FBA4C77"/>
    <w:rsid w:val="00A44464"/>
  </w:style>
  <w:style w:type="paragraph" w:customStyle="1" w:styleId="CA3E233CDCE64245B99CC5E739A0F853">
    <w:name w:val="CA3E233CDCE64245B99CC5E739A0F853"/>
    <w:rsid w:val="002E1BF6"/>
  </w:style>
  <w:style w:type="paragraph" w:customStyle="1" w:styleId="209A24FE1FE140838FFAB40FBDA9CD74">
    <w:name w:val="209A24FE1FE140838FFAB40FBDA9CD74"/>
    <w:rsid w:val="002E1BF6"/>
  </w:style>
  <w:style w:type="paragraph" w:customStyle="1" w:styleId="FEF2568509794F8EA998C52423CD2122">
    <w:name w:val="FEF2568509794F8EA998C52423CD2122"/>
    <w:rsid w:val="002E1BF6"/>
  </w:style>
  <w:style w:type="paragraph" w:customStyle="1" w:styleId="0D1931EE70B14E1CADF496D631B812D6">
    <w:name w:val="0D1931EE70B14E1CADF496D631B812D6"/>
    <w:rsid w:val="002E1BF6"/>
  </w:style>
  <w:style w:type="paragraph" w:customStyle="1" w:styleId="04014411562C40CDB16743066262FC81">
    <w:name w:val="04014411562C40CDB16743066262FC81"/>
    <w:rsid w:val="002E1BF6"/>
  </w:style>
  <w:style w:type="paragraph" w:customStyle="1" w:styleId="7CAA416F81F84F60A1FFF8FAA25E4346">
    <w:name w:val="7CAA416F81F84F60A1FFF8FAA25E4346"/>
    <w:rsid w:val="002E1BF6"/>
  </w:style>
  <w:style w:type="paragraph" w:customStyle="1" w:styleId="AB8FDEDB7B6E4A1496285057E80F1E3B">
    <w:name w:val="AB8FDEDB7B6E4A1496285057E80F1E3B"/>
    <w:rsid w:val="002E1BF6"/>
  </w:style>
  <w:style w:type="paragraph" w:customStyle="1" w:styleId="97090AE9D5DD4FF58A5FAD07CB306C20">
    <w:name w:val="97090AE9D5DD4FF58A5FAD07CB306C20"/>
    <w:rsid w:val="002E1BF6"/>
  </w:style>
  <w:style w:type="paragraph" w:customStyle="1" w:styleId="BE4C34C7498845409CE466B8D53DA14B">
    <w:name w:val="BE4C34C7498845409CE466B8D53DA14B"/>
    <w:rsid w:val="002E1BF6"/>
  </w:style>
  <w:style w:type="paragraph" w:customStyle="1" w:styleId="E263C017CD754C8FA2EC632B2A6980EF">
    <w:name w:val="E263C017CD754C8FA2EC632B2A6980EF"/>
    <w:rsid w:val="002E1BF6"/>
  </w:style>
  <w:style w:type="paragraph" w:customStyle="1" w:styleId="9D0B1B2F0C66475E9C3B34C104CEAEA4">
    <w:name w:val="9D0B1B2F0C66475E9C3B34C104CEAEA4"/>
    <w:rsid w:val="002E1BF6"/>
  </w:style>
  <w:style w:type="paragraph" w:customStyle="1" w:styleId="A017B7D2E2934227BCC3DCA34238F16C">
    <w:name w:val="A017B7D2E2934227BCC3DCA34238F16C"/>
    <w:rsid w:val="002E1BF6"/>
  </w:style>
  <w:style w:type="paragraph" w:customStyle="1" w:styleId="A0305A58491D4FB2B34019333EADF4B1">
    <w:name w:val="A0305A58491D4FB2B34019333EADF4B1"/>
    <w:rsid w:val="002E1BF6"/>
  </w:style>
  <w:style w:type="paragraph" w:customStyle="1" w:styleId="52352AF76007418DAF6B6068265BCD64">
    <w:name w:val="52352AF76007418DAF6B6068265BCD64"/>
    <w:rsid w:val="002E1BF6"/>
  </w:style>
  <w:style w:type="paragraph" w:customStyle="1" w:styleId="D1C68B3955334CC59C856CB3D3810BF0">
    <w:name w:val="D1C68B3955334CC59C856CB3D3810BF0"/>
    <w:rsid w:val="002E1BF6"/>
  </w:style>
  <w:style w:type="paragraph" w:customStyle="1" w:styleId="47B6B4090F284EBC9F3B8103DB023D75">
    <w:name w:val="47B6B4090F284EBC9F3B8103DB023D75"/>
    <w:rsid w:val="002E1BF6"/>
  </w:style>
  <w:style w:type="paragraph" w:customStyle="1" w:styleId="C679C201CD374B95A864EEAB754E8D51">
    <w:name w:val="C679C201CD374B95A864EEAB754E8D51"/>
    <w:rsid w:val="002E1BF6"/>
  </w:style>
  <w:style w:type="paragraph" w:customStyle="1" w:styleId="5B683AC1F8A54A6AB6621E99C2D6063C">
    <w:name w:val="5B683AC1F8A54A6AB6621E99C2D6063C"/>
    <w:rsid w:val="002E1BF6"/>
  </w:style>
  <w:style w:type="paragraph" w:customStyle="1" w:styleId="04F48D2856A742418BEAE29888A1ADCE">
    <w:name w:val="04F48D2856A742418BEAE29888A1ADCE"/>
    <w:rsid w:val="002E1BF6"/>
  </w:style>
  <w:style w:type="paragraph" w:customStyle="1" w:styleId="83DBC89A5A8E4EE1ABB6B7A7878C44E9">
    <w:name w:val="83DBC89A5A8E4EE1ABB6B7A7878C44E9"/>
    <w:rsid w:val="002E1BF6"/>
  </w:style>
  <w:style w:type="paragraph" w:customStyle="1" w:styleId="92E7E5D61FA84BF2A2386C10D1CE614D">
    <w:name w:val="92E7E5D61FA84BF2A2386C10D1CE614D"/>
    <w:rsid w:val="002E1BF6"/>
  </w:style>
  <w:style w:type="paragraph" w:customStyle="1" w:styleId="5450FA87A0AC4D85884471E35CDA4837">
    <w:name w:val="5450FA87A0AC4D85884471E35CDA4837"/>
    <w:rsid w:val="002E1BF6"/>
  </w:style>
  <w:style w:type="paragraph" w:customStyle="1" w:styleId="2F4463DB0A0E44778069BD08FFFBFC9F">
    <w:name w:val="2F4463DB0A0E44778069BD08FFFBFC9F"/>
    <w:rsid w:val="002E1BF6"/>
  </w:style>
  <w:style w:type="paragraph" w:customStyle="1" w:styleId="91F0B3BFEDC6464EAA8EA453F2B629A1">
    <w:name w:val="91F0B3BFEDC6464EAA8EA453F2B629A1"/>
    <w:rsid w:val="002E1BF6"/>
  </w:style>
  <w:style w:type="paragraph" w:customStyle="1" w:styleId="93E4FF3F1D194534AA70F8EBE46B1BF3">
    <w:name w:val="93E4FF3F1D194534AA70F8EBE46B1BF3"/>
    <w:rsid w:val="002E1BF6"/>
  </w:style>
  <w:style w:type="paragraph" w:customStyle="1" w:styleId="EF1F2445835D4525B5A067F7B40AEA42">
    <w:name w:val="EF1F2445835D4525B5A067F7B40AEA42"/>
    <w:rsid w:val="002E1BF6"/>
  </w:style>
  <w:style w:type="paragraph" w:customStyle="1" w:styleId="6673BD4979EA4C0EB0A7E4376B063063">
    <w:name w:val="6673BD4979EA4C0EB0A7E4376B063063"/>
    <w:rsid w:val="002E1BF6"/>
  </w:style>
  <w:style w:type="paragraph" w:customStyle="1" w:styleId="2E0BC84FF0AA44E8B3197FFB5EB20203">
    <w:name w:val="2E0BC84FF0AA44E8B3197FFB5EB20203"/>
    <w:rsid w:val="002E1BF6"/>
  </w:style>
  <w:style w:type="paragraph" w:customStyle="1" w:styleId="2B1DDC09D3E540CCAA6791025F6963F4">
    <w:name w:val="2B1DDC09D3E540CCAA6791025F6963F4"/>
    <w:rsid w:val="002E1BF6"/>
  </w:style>
  <w:style w:type="paragraph" w:customStyle="1" w:styleId="CEA08CEBF9E24B60B56F49977B97594E">
    <w:name w:val="CEA08CEBF9E24B60B56F49977B97594E"/>
    <w:rsid w:val="002E1BF6"/>
  </w:style>
  <w:style w:type="paragraph" w:customStyle="1" w:styleId="3ECEA7BCCF304760A49E065E7BB3B73D">
    <w:name w:val="3ECEA7BCCF304760A49E065E7BB3B73D"/>
    <w:rsid w:val="002E1BF6"/>
  </w:style>
  <w:style w:type="paragraph" w:customStyle="1" w:styleId="F675C0C86AFC467C9C7DFAC9C47EEE14">
    <w:name w:val="F675C0C86AFC467C9C7DFAC9C47EEE14"/>
    <w:rsid w:val="002E1BF6"/>
  </w:style>
  <w:style w:type="paragraph" w:customStyle="1" w:styleId="0609E8DE78EA4761AD71D8B9AD9D79A1">
    <w:name w:val="0609E8DE78EA4761AD71D8B9AD9D79A1"/>
    <w:rsid w:val="002E1BF6"/>
  </w:style>
  <w:style w:type="paragraph" w:customStyle="1" w:styleId="8AD51CD2522F4023AE922E8CAB3F26AD">
    <w:name w:val="8AD51CD2522F4023AE922E8CAB3F26AD"/>
    <w:rsid w:val="002E1BF6"/>
  </w:style>
  <w:style w:type="paragraph" w:customStyle="1" w:styleId="149DA51EDACD42C693FA85E0109C9F2B">
    <w:name w:val="149DA51EDACD42C693FA85E0109C9F2B"/>
    <w:rsid w:val="002E1BF6"/>
  </w:style>
  <w:style w:type="paragraph" w:customStyle="1" w:styleId="FBAE9C562A1048DFB3AE52253ADDD82F">
    <w:name w:val="FBAE9C562A1048DFB3AE52253ADDD82F"/>
    <w:rsid w:val="002E1BF6"/>
  </w:style>
  <w:style w:type="paragraph" w:customStyle="1" w:styleId="22A3BFA73A5042848F2C4F3E15F6A004">
    <w:name w:val="22A3BFA73A5042848F2C4F3E15F6A004"/>
    <w:rsid w:val="002E1BF6"/>
  </w:style>
  <w:style w:type="paragraph" w:customStyle="1" w:styleId="45543264BE40416BB8A0C49334D451D8">
    <w:name w:val="45543264BE40416BB8A0C49334D451D8"/>
    <w:rsid w:val="002E1BF6"/>
  </w:style>
  <w:style w:type="paragraph" w:customStyle="1" w:styleId="B0DC166C1BF04E07A8629C80D48491D7">
    <w:name w:val="B0DC166C1BF04E07A8629C80D48491D7"/>
    <w:rsid w:val="002E1BF6"/>
  </w:style>
  <w:style w:type="paragraph" w:customStyle="1" w:styleId="B566E494933D46AB8EE08A367C23932F">
    <w:name w:val="B566E494933D46AB8EE08A367C23932F"/>
    <w:rsid w:val="002E1BF6"/>
  </w:style>
  <w:style w:type="paragraph" w:customStyle="1" w:styleId="8B7D6BE973664F8D8228CF10418AEA8E">
    <w:name w:val="8B7D6BE973664F8D8228CF10418AEA8E"/>
    <w:rsid w:val="002E1BF6"/>
  </w:style>
  <w:style w:type="paragraph" w:customStyle="1" w:styleId="1184DBC77B904C769580BC56145B731C">
    <w:name w:val="1184DBC77B904C769580BC56145B731C"/>
    <w:rsid w:val="002E1BF6"/>
  </w:style>
  <w:style w:type="paragraph" w:customStyle="1" w:styleId="72714FD7B89D46BAB0129EE3020DC8E3">
    <w:name w:val="72714FD7B89D46BAB0129EE3020DC8E3"/>
    <w:rsid w:val="002E1BF6"/>
  </w:style>
  <w:style w:type="paragraph" w:customStyle="1" w:styleId="1C75AC270E11467D895CBA651112B457">
    <w:name w:val="1C75AC270E11467D895CBA651112B457"/>
    <w:rsid w:val="002E1BF6"/>
  </w:style>
  <w:style w:type="paragraph" w:customStyle="1" w:styleId="C503F73347AC4B3D972B201D8413D973">
    <w:name w:val="C503F73347AC4B3D972B201D8413D973"/>
    <w:rsid w:val="002E1BF6"/>
  </w:style>
  <w:style w:type="paragraph" w:customStyle="1" w:styleId="499481EFE13C435089976047E8C7E6F5">
    <w:name w:val="499481EFE13C435089976047E8C7E6F5"/>
    <w:rsid w:val="002E1BF6"/>
  </w:style>
  <w:style w:type="paragraph" w:customStyle="1" w:styleId="E71F1E9CB4AC4B5EB0C8B3F6327DD73B">
    <w:name w:val="E71F1E9CB4AC4B5EB0C8B3F6327DD73B"/>
    <w:rsid w:val="002E1BF6"/>
  </w:style>
  <w:style w:type="paragraph" w:customStyle="1" w:styleId="A28D1E2CC1164A709A29CCA586FD01BA">
    <w:name w:val="A28D1E2CC1164A709A29CCA586FD01BA"/>
    <w:rsid w:val="002E1BF6"/>
  </w:style>
  <w:style w:type="paragraph" w:customStyle="1" w:styleId="89E2A5AFFDF646318D963605F2E33FCA">
    <w:name w:val="89E2A5AFFDF646318D963605F2E33FCA"/>
    <w:rsid w:val="002E1BF6"/>
  </w:style>
  <w:style w:type="paragraph" w:customStyle="1" w:styleId="6F29B5CF3BAA4864AE984D2219FFCF7A">
    <w:name w:val="6F29B5CF3BAA4864AE984D2219FFCF7A"/>
    <w:rsid w:val="002E1BF6"/>
  </w:style>
  <w:style w:type="paragraph" w:customStyle="1" w:styleId="CEDCEB44DF5045728A9192F45E6DF364">
    <w:name w:val="CEDCEB44DF5045728A9192F45E6DF364"/>
    <w:rsid w:val="002E1BF6"/>
  </w:style>
  <w:style w:type="paragraph" w:customStyle="1" w:styleId="84C814E8D58F491CB824F265678A3880">
    <w:name w:val="84C814E8D58F491CB824F265678A3880"/>
    <w:rsid w:val="002E1BF6"/>
  </w:style>
  <w:style w:type="paragraph" w:customStyle="1" w:styleId="520041307CDA430CB853DAB2B1146BDD">
    <w:name w:val="520041307CDA430CB853DAB2B1146BDD"/>
    <w:rsid w:val="002E1BF6"/>
  </w:style>
  <w:style w:type="paragraph" w:customStyle="1" w:styleId="13A6171BBB3941EB9B7686ED2EC138E1">
    <w:name w:val="13A6171BBB3941EB9B7686ED2EC138E1"/>
    <w:rsid w:val="002E1BF6"/>
  </w:style>
  <w:style w:type="paragraph" w:customStyle="1" w:styleId="36E758B0431349ACBC08C8EEF53FC2BC">
    <w:name w:val="36E758B0431349ACBC08C8EEF53FC2BC"/>
    <w:rsid w:val="002E1BF6"/>
  </w:style>
  <w:style w:type="paragraph" w:customStyle="1" w:styleId="13AEE180013E453A9FF7E969FA4BC62C">
    <w:name w:val="13AEE180013E453A9FF7E969FA4BC62C"/>
    <w:rsid w:val="002E1BF6"/>
  </w:style>
  <w:style w:type="paragraph" w:customStyle="1" w:styleId="6D3F6338D9C044B2B745A16EFBC28AFD">
    <w:name w:val="6D3F6338D9C044B2B745A16EFBC28AFD"/>
    <w:rsid w:val="002E1BF6"/>
  </w:style>
  <w:style w:type="paragraph" w:customStyle="1" w:styleId="27B8B4E562CE41C4AA21561302A90B3E">
    <w:name w:val="27B8B4E562CE41C4AA21561302A90B3E"/>
    <w:rsid w:val="002E1BF6"/>
  </w:style>
  <w:style w:type="paragraph" w:customStyle="1" w:styleId="6E74C414A3AD4DB0909E3E2A17E374A3">
    <w:name w:val="6E74C414A3AD4DB0909E3E2A17E374A3"/>
    <w:rsid w:val="002E1BF6"/>
  </w:style>
  <w:style w:type="paragraph" w:customStyle="1" w:styleId="60D6D903C50B4F6DBB81B49A08DA151F">
    <w:name w:val="60D6D903C50B4F6DBB81B49A08DA151F"/>
    <w:rsid w:val="002E1BF6"/>
  </w:style>
  <w:style w:type="paragraph" w:customStyle="1" w:styleId="98525353BB7E48C3B4F2473B1A60536F">
    <w:name w:val="98525353BB7E48C3B4F2473B1A60536F"/>
    <w:rsid w:val="002E1BF6"/>
  </w:style>
  <w:style w:type="paragraph" w:customStyle="1" w:styleId="0344FBAD615447368131F9069122BF42">
    <w:name w:val="0344FBAD615447368131F9069122BF42"/>
    <w:rsid w:val="002E1BF6"/>
  </w:style>
  <w:style w:type="paragraph" w:customStyle="1" w:styleId="81EFE0A180694D889CA9B03BC46ADE43">
    <w:name w:val="81EFE0A180694D889CA9B03BC46ADE43"/>
    <w:rsid w:val="002E1BF6"/>
  </w:style>
  <w:style w:type="paragraph" w:customStyle="1" w:styleId="1AB126D7811149A3BB4793AC76957BD7">
    <w:name w:val="1AB126D7811149A3BB4793AC76957BD7"/>
    <w:rsid w:val="002E1BF6"/>
  </w:style>
  <w:style w:type="paragraph" w:customStyle="1" w:styleId="38C580C4903D48A1B451030D6F0ABC21">
    <w:name w:val="38C580C4903D48A1B451030D6F0ABC21"/>
    <w:rsid w:val="002E1BF6"/>
  </w:style>
  <w:style w:type="paragraph" w:customStyle="1" w:styleId="996E20815D9E43E9A911C2BB96F0C6DB">
    <w:name w:val="996E20815D9E43E9A911C2BB96F0C6DB"/>
    <w:rsid w:val="002E1BF6"/>
  </w:style>
  <w:style w:type="paragraph" w:customStyle="1" w:styleId="AAD52DCEEC2F414D80D605056B5570A2">
    <w:name w:val="AAD52DCEEC2F414D80D605056B5570A2"/>
    <w:rsid w:val="002E1BF6"/>
  </w:style>
  <w:style w:type="paragraph" w:customStyle="1" w:styleId="4613FEB2973A4379AEF5B6383DBB6514">
    <w:name w:val="4613FEB2973A4379AEF5B6383DBB6514"/>
    <w:rsid w:val="002E1BF6"/>
  </w:style>
  <w:style w:type="paragraph" w:customStyle="1" w:styleId="5EE44B101D6D4AF79413C15EF4458347">
    <w:name w:val="5EE44B101D6D4AF79413C15EF4458347"/>
    <w:rsid w:val="002E1BF6"/>
  </w:style>
  <w:style w:type="paragraph" w:customStyle="1" w:styleId="73D5ED09B0524596B20B4BE82EB7D0AE">
    <w:name w:val="73D5ED09B0524596B20B4BE82EB7D0AE"/>
    <w:rsid w:val="002E1BF6"/>
  </w:style>
  <w:style w:type="paragraph" w:customStyle="1" w:styleId="36BFDADADB554566B89C2E6642C05351">
    <w:name w:val="36BFDADADB554566B89C2E6642C05351"/>
    <w:rsid w:val="002E1BF6"/>
  </w:style>
  <w:style w:type="paragraph" w:customStyle="1" w:styleId="7083B277ED304171A49EEA19539C604A">
    <w:name w:val="7083B277ED304171A49EEA19539C604A"/>
    <w:rsid w:val="002E1BF6"/>
  </w:style>
  <w:style w:type="paragraph" w:customStyle="1" w:styleId="D9691283D94745469B3FA0644E54AB26">
    <w:name w:val="D9691283D94745469B3FA0644E54AB26"/>
    <w:rsid w:val="002E1BF6"/>
  </w:style>
  <w:style w:type="paragraph" w:customStyle="1" w:styleId="9D95F0A892894527B00E784883EBCC5C">
    <w:name w:val="9D95F0A892894527B00E784883EBCC5C"/>
    <w:rsid w:val="002E1BF6"/>
  </w:style>
  <w:style w:type="paragraph" w:customStyle="1" w:styleId="9FF198A4A0024CE88D9CE952CDBA93CE">
    <w:name w:val="9FF198A4A0024CE88D9CE952CDBA93CE"/>
    <w:rsid w:val="002E1BF6"/>
  </w:style>
  <w:style w:type="paragraph" w:customStyle="1" w:styleId="257080ECC563462A8DAA0816530C33CD">
    <w:name w:val="257080ECC563462A8DAA0816530C33CD"/>
    <w:rsid w:val="002E1BF6"/>
  </w:style>
  <w:style w:type="paragraph" w:customStyle="1" w:styleId="225AC319605A4E89B95F3E25EDE44B5B">
    <w:name w:val="225AC319605A4E89B95F3E25EDE44B5B"/>
    <w:rsid w:val="002E1BF6"/>
  </w:style>
  <w:style w:type="paragraph" w:customStyle="1" w:styleId="1206EA927CB544D680DE9AE177BDE265">
    <w:name w:val="1206EA927CB544D680DE9AE177BDE265"/>
    <w:rsid w:val="002E1BF6"/>
  </w:style>
  <w:style w:type="paragraph" w:customStyle="1" w:styleId="DAFC58B2336D4BF485F8B267C07DC091">
    <w:name w:val="DAFC58B2336D4BF485F8B267C07DC091"/>
    <w:rsid w:val="002E1BF6"/>
  </w:style>
  <w:style w:type="paragraph" w:customStyle="1" w:styleId="2F10017805E248D4A09BE0B8D78AE10B">
    <w:name w:val="2F10017805E248D4A09BE0B8D78AE10B"/>
    <w:rsid w:val="002E1BF6"/>
  </w:style>
  <w:style w:type="paragraph" w:customStyle="1" w:styleId="9D8714EC30BB466390E427FCBEFAA6E4">
    <w:name w:val="9D8714EC30BB466390E427FCBEFAA6E4"/>
    <w:rsid w:val="002E1BF6"/>
  </w:style>
  <w:style w:type="paragraph" w:customStyle="1" w:styleId="DF6AA242552F4AD1BDFA2AAF11A66CA7">
    <w:name w:val="DF6AA242552F4AD1BDFA2AAF11A66CA7"/>
    <w:rsid w:val="002E1BF6"/>
  </w:style>
  <w:style w:type="paragraph" w:customStyle="1" w:styleId="B184D07382604B3A9D9862780F80A967">
    <w:name w:val="B184D07382604B3A9D9862780F80A967"/>
    <w:rsid w:val="002E1BF6"/>
  </w:style>
  <w:style w:type="paragraph" w:customStyle="1" w:styleId="626D61CAF1F0494285A1AEBA36A68D58">
    <w:name w:val="626D61CAF1F0494285A1AEBA36A68D58"/>
    <w:rsid w:val="002E1BF6"/>
  </w:style>
  <w:style w:type="paragraph" w:customStyle="1" w:styleId="93A060B8B1984A99B24C02834FA6F24B">
    <w:name w:val="93A060B8B1984A99B24C02834FA6F24B"/>
    <w:rsid w:val="002E1BF6"/>
  </w:style>
  <w:style w:type="paragraph" w:customStyle="1" w:styleId="E1F17D9B83074145914A0BAB9686C4B9">
    <w:name w:val="E1F17D9B83074145914A0BAB9686C4B9"/>
    <w:rsid w:val="002E1BF6"/>
  </w:style>
  <w:style w:type="paragraph" w:customStyle="1" w:styleId="98E2B094F9784515B6E8F7B43E7137EF">
    <w:name w:val="98E2B094F9784515B6E8F7B43E7137EF"/>
    <w:rsid w:val="002E1BF6"/>
  </w:style>
  <w:style w:type="paragraph" w:customStyle="1" w:styleId="0491B8AF31AF43048EE2AD26189A8A04">
    <w:name w:val="0491B8AF31AF43048EE2AD26189A8A04"/>
    <w:rsid w:val="002E1BF6"/>
  </w:style>
  <w:style w:type="paragraph" w:customStyle="1" w:styleId="50D1BD66759846E1B39A57DB2D9E7565">
    <w:name w:val="50D1BD66759846E1B39A57DB2D9E7565"/>
    <w:rsid w:val="00294474"/>
  </w:style>
  <w:style w:type="paragraph" w:customStyle="1" w:styleId="8719FD655821472DA8D812D0C903C22D">
    <w:name w:val="8719FD655821472DA8D812D0C903C22D"/>
    <w:rsid w:val="00DC5A85"/>
  </w:style>
  <w:style w:type="paragraph" w:customStyle="1" w:styleId="5EF52824B00B4D7DADEC9F8A9B2EADDF">
    <w:name w:val="5EF52824B00B4D7DADEC9F8A9B2EADDF"/>
    <w:rsid w:val="00760BCB"/>
  </w:style>
  <w:style w:type="paragraph" w:customStyle="1" w:styleId="F43B304EB4E342D986C13A48D4CBAD61">
    <w:name w:val="F43B304EB4E342D986C13A48D4CBAD61"/>
    <w:rsid w:val="00760BCB"/>
  </w:style>
  <w:style w:type="paragraph" w:customStyle="1" w:styleId="CC02D664D796480BB4C38209B00B86D2">
    <w:name w:val="CC02D664D796480BB4C38209B00B86D2"/>
    <w:rsid w:val="00760BCB"/>
  </w:style>
  <w:style w:type="paragraph" w:customStyle="1" w:styleId="C8CED14313D4429495C4673C4516B9C6">
    <w:name w:val="C8CED14313D4429495C4673C4516B9C6"/>
    <w:rsid w:val="00760BCB"/>
  </w:style>
  <w:style w:type="paragraph" w:customStyle="1" w:styleId="D67399AE36DA45C5B8C35A0609FD182E">
    <w:name w:val="D67399AE36DA45C5B8C35A0609FD182E"/>
    <w:rsid w:val="00760BCB"/>
  </w:style>
  <w:style w:type="paragraph" w:customStyle="1" w:styleId="2C3812BD621E4C7DACA137909D418484">
    <w:name w:val="2C3812BD621E4C7DACA137909D418484"/>
    <w:rsid w:val="00760BCB"/>
  </w:style>
  <w:style w:type="paragraph" w:customStyle="1" w:styleId="050BB1CFD7084D6A9B1DC828FC8EBA8D">
    <w:name w:val="050BB1CFD7084D6A9B1DC828FC8EBA8D"/>
    <w:rsid w:val="00760BCB"/>
  </w:style>
  <w:style w:type="paragraph" w:customStyle="1" w:styleId="4DCEB85160F14CA7927A29F205728577">
    <w:name w:val="4DCEB85160F14CA7927A29F205728577"/>
    <w:rsid w:val="00760BCB"/>
  </w:style>
  <w:style w:type="paragraph" w:customStyle="1" w:styleId="E1C034A26BDF410FB9CBE58955602844">
    <w:name w:val="E1C034A26BDF410FB9CBE58955602844"/>
    <w:rsid w:val="00A44464"/>
  </w:style>
  <w:style w:type="paragraph" w:customStyle="1" w:styleId="ABC41691CDCF4C51B21290DC0065E54D">
    <w:name w:val="ABC41691CDCF4C51B21290DC0065E54D"/>
    <w:rsid w:val="00760BCB"/>
  </w:style>
  <w:style w:type="paragraph" w:customStyle="1" w:styleId="3D23243DA8ED4B4CB229D9ED4E27DCE0">
    <w:name w:val="3D23243DA8ED4B4CB229D9ED4E27DCE0"/>
    <w:rsid w:val="00A44464"/>
  </w:style>
  <w:style w:type="paragraph" w:customStyle="1" w:styleId="40295763A67C471B89FA36F2DDFF3363">
    <w:name w:val="40295763A67C471B89FA36F2DDFF3363"/>
    <w:rsid w:val="00A44464"/>
  </w:style>
  <w:style w:type="paragraph" w:customStyle="1" w:styleId="E508D49098FB430986470ED9808854F0">
    <w:name w:val="E508D49098FB430986470ED9808854F0"/>
    <w:rsid w:val="00760BCB"/>
  </w:style>
  <w:style w:type="paragraph" w:customStyle="1" w:styleId="F8E7E98B68264D4B81036CB36F341F4A">
    <w:name w:val="F8E7E98B68264D4B81036CB36F341F4A"/>
    <w:rsid w:val="00760BCB"/>
  </w:style>
  <w:style w:type="paragraph" w:customStyle="1" w:styleId="7905C132C65549B69BB997FC25376764">
    <w:name w:val="7905C132C65549B69BB997FC25376764"/>
    <w:rsid w:val="00A44464"/>
  </w:style>
  <w:style w:type="paragraph" w:customStyle="1" w:styleId="FA2C4BBC96E14779A02A695573D95A54">
    <w:name w:val="FA2C4BBC96E14779A02A695573D95A54"/>
    <w:rsid w:val="00A44464"/>
  </w:style>
  <w:style w:type="paragraph" w:customStyle="1" w:styleId="9A01097CBBF54273B516A45232B6D9FD">
    <w:name w:val="9A01097CBBF54273B516A45232B6D9FD"/>
    <w:rsid w:val="00A44464"/>
  </w:style>
  <w:style w:type="paragraph" w:customStyle="1" w:styleId="6C00AFF4500842D48E09B033AC839F05">
    <w:name w:val="6C00AFF4500842D48E09B033AC839F05"/>
    <w:rsid w:val="00760BCB"/>
  </w:style>
  <w:style w:type="paragraph" w:customStyle="1" w:styleId="6BEC7F0892DF4FC79AA103F8AC34DE5C">
    <w:name w:val="6BEC7F0892DF4FC79AA103F8AC34DE5C"/>
    <w:rsid w:val="00760BCB"/>
  </w:style>
  <w:style w:type="paragraph" w:customStyle="1" w:styleId="F1F76228775D4BDC93FA55EA6892C43D">
    <w:name w:val="F1F76228775D4BDC93FA55EA6892C43D"/>
    <w:rsid w:val="00760BCB"/>
  </w:style>
  <w:style w:type="paragraph" w:customStyle="1" w:styleId="EC53491F88C141C186512B1833472EE1">
    <w:name w:val="EC53491F88C141C186512B1833472EE1"/>
    <w:rsid w:val="00BB538E"/>
  </w:style>
  <w:style w:type="paragraph" w:customStyle="1" w:styleId="E902CD26FAB440D79CDB92964E59AB18">
    <w:name w:val="E902CD26FAB440D79CDB92964E59AB18"/>
    <w:rsid w:val="00A44464"/>
  </w:style>
  <w:style w:type="paragraph" w:customStyle="1" w:styleId="7D5CAC64C71C44F4AEAB658CE3107228">
    <w:name w:val="7D5CAC64C71C44F4AEAB658CE3107228"/>
    <w:rsid w:val="00BB538E"/>
  </w:style>
  <w:style w:type="paragraph" w:customStyle="1" w:styleId="9D32E3985DA14234A737264FDD503071">
    <w:name w:val="9D32E3985DA14234A737264FDD503071"/>
    <w:rsid w:val="00BB538E"/>
  </w:style>
  <w:style w:type="paragraph" w:customStyle="1" w:styleId="BDA0437C05644E7E955DB557BD16F4E9">
    <w:name w:val="BDA0437C05644E7E955DB557BD16F4E9"/>
    <w:rsid w:val="00760BCB"/>
  </w:style>
  <w:style w:type="paragraph" w:customStyle="1" w:styleId="ABA542DE28694934A42C688B41543419">
    <w:name w:val="ABA542DE28694934A42C688B41543419"/>
    <w:rsid w:val="00760BCB"/>
  </w:style>
  <w:style w:type="paragraph" w:customStyle="1" w:styleId="F9272F4ACCF649A3A6AD297880465529">
    <w:name w:val="F9272F4ACCF649A3A6AD297880465529"/>
    <w:rsid w:val="00760BCB"/>
  </w:style>
  <w:style w:type="paragraph" w:customStyle="1" w:styleId="DF89043EE47D44248F7414E39766EFF2">
    <w:name w:val="DF89043EE47D44248F7414E39766EFF2"/>
    <w:rsid w:val="00760BCB"/>
  </w:style>
  <w:style w:type="paragraph" w:customStyle="1" w:styleId="A6A308ACF9304A9286560C7AB4D9CEE5">
    <w:name w:val="A6A308ACF9304A9286560C7AB4D9CEE5"/>
    <w:rsid w:val="00760BCB"/>
  </w:style>
  <w:style w:type="paragraph" w:customStyle="1" w:styleId="70FFD138DC3845A999416CCE465AEA21">
    <w:name w:val="70FFD138DC3845A999416CCE465AEA21"/>
    <w:rsid w:val="00A44464"/>
  </w:style>
  <w:style w:type="paragraph" w:customStyle="1" w:styleId="FE4C124B168A40FD825965CF4DE58270">
    <w:name w:val="FE4C124B168A40FD825965CF4DE58270"/>
    <w:rsid w:val="00A44464"/>
  </w:style>
  <w:style w:type="paragraph" w:customStyle="1" w:styleId="553D9B3E444F467C9C598CBE9318F1E8">
    <w:name w:val="553D9B3E444F467C9C598CBE9318F1E8"/>
    <w:rsid w:val="00760BCB"/>
  </w:style>
  <w:style w:type="paragraph" w:customStyle="1" w:styleId="0B7B3188A1B34E568FD8A6949884B66C">
    <w:name w:val="0B7B3188A1B34E568FD8A6949884B66C"/>
    <w:rsid w:val="00A44464"/>
  </w:style>
  <w:style w:type="paragraph" w:customStyle="1" w:styleId="405C7EB98E1A44539BF2027FA00B3465">
    <w:name w:val="405C7EB98E1A44539BF2027FA00B3465"/>
    <w:rsid w:val="00760BCB"/>
  </w:style>
  <w:style w:type="paragraph" w:customStyle="1" w:styleId="C6385CF5896F42DA9106CE122B1D453E">
    <w:name w:val="C6385CF5896F42DA9106CE122B1D453E"/>
    <w:rsid w:val="00760BCB"/>
  </w:style>
  <w:style w:type="paragraph" w:customStyle="1" w:styleId="2BDFC1332501472FBC753740D53281F6">
    <w:name w:val="2BDFC1332501472FBC753740D53281F6"/>
    <w:rsid w:val="00760BCB"/>
  </w:style>
  <w:style w:type="paragraph" w:customStyle="1" w:styleId="F241B520C54D4CC6AB120C921D6BC5C2">
    <w:name w:val="F241B520C54D4CC6AB120C921D6BC5C2"/>
    <w:rsid w:val="00BB538E"/>
  </w:style>
  <w:style w:type="paragraph" w:customStyle="1" w:styleId="BCCEAE7D05104FADA86FC174F5159B65">
    <w:name w:val="BCCEAE7D05104FADA86FC174F5159B65"/>
    <w:rsid w:val="00BB538E"/>
  </w:style>
  <w:style w:type="paragraph" w:customStyle="1" w:styleId="9F22FF7893E9428D97F16DD72A7FC585">
    <w:name w:val="9F22FF7893E9428D97F16DD72A7FC585"/>
    <w:rsid w:val="00A44464"/>
  </w:style>
  <w:style w:type="paragraph" w:customStyle="1" w:styleId="85E23D0FCC524B8C97182DEB795E8A84">
    <w:name w:val="85E23D0FCC524B8C97182DEB795E8A84"/>
    <w:rsid w:val="00BB538E"/>
  </w:style>
  <w:style w:type="paragraph" w:customStyle="1" w:styleId="106A62B5BF4F459FAA2399A0DC933FA5">
    <w:name w:val="106A62B5BF4F459FAA2399A0DC933FA5"/>
    <w:rsid w:val="00A44464"/>
  </w:style>
  <w:style w:type="paragraph" w:customStyle="1" w:styleId="ED529BEDF3F1424EB5888E4F1EB57C9F">
    <w:name w:val="ED529BEDF3F1424EB5888E4F1EB57C9F"/>
    <w:rsid w:val="00A44464"/>
  </w:style>
  <w:style w:type="paragraph" w:customStyle="1" w:styleId="B89A2743AA4440539CE1C54A6C1D2C32">
    <w:name w:val="B89A2743AA4440539CE1C54A6C1D2C32"/>
    <w:rsid w:val="00A44464"/>
  </w:style>
  <w:style w:type="paragraph" w:customStyle="1" w:styleId="4EFF7CD1F57342AEABB47B5CB11FDD58">
    <w:name w:val="4EFF7CD1F57342AEABB47B5CB11FDD58"/>
    <w:rsid w:val="00A44464"/>
  </w:style>
  <w:style w:type="paragraph" w:customStyle="1" w:styleId="CDF9309B9EAF460B841E1B6C69D8CB84">
    <w:name w:val="CDF9309B9EAF460B841E1B6C69D8CB84"/>
    <w:rsid w:val="00A44464"/>
  </w:style>
  <w:style w:type="paragraph" w:customStyle="1" w:styleId="6171317B36BD42B8A0CDDE04C6867B62">
    <w:name w:val="6171317B36BD42B8A0CDDE04C6867B62"/>
    <w:rsid w:val="00A44464"/>
  </w:style>
  <w:style w:type="paragraph" w:customStyle="1" w:styleId="72BB8172F1384A53A46B9BAB874FEFE8">
    <w:name w:val="72BB8172F1384A53A46B9BAB874FEFE8"/>
    <w:rsid w:val="00BB538E"/>
  </w:style>
  <w:style w:type="paragraph" w:customStyle="1" w:styleId="8DC9630AABC048B0A48678A5ADA51E21">
    <w:name w:val="8DC9630AABC048B0A48678A5ADA51E21"/>
    <w:rsid w:val="00BB538E"/>
  </w:style>
  <w:style w:type="paragraph" w:customStyle="1" w:styleId="20F575B3C9104E508DC973F6C59B3C0B">
    <w:name w:val="20F575B3C9104E508DC973F6C59B3C0B"/>
    <w:rsid w:val="00BB538E"/>
  </w:style>
  <w:style w:type="paragraph" w:customStyle="1" w:styleId="A6CA3C147ADD456687359C0C86C3EE7B">
    <w:name w:val="A6CA3C147ADD456687359C0C86C3EE7B"/>
    <w:rsid w:val="00DC5A85"/>
  </w:style>
  <w:style w:type="paragraph" w:customStyle="1" w:styleId="366C8FAAE48C47248CD7728B657AA205">
    <w:name w:val="366C8FAAE48C47248CD7728B657AA205"/>
    <w:rsid w:val="00DC5A85"/>
  </w:style>
  <w:style w:type="paragraph" w:customStyle="1" w:styleId="927EC0973E954B36A36C07E87FEBD57A">
    <w:name w:val="927EC0973E954B36A36C07E87FEBD57A"/>
    <w:rsid w:val="00DC5A85"/>
  </w:style>
  <w:style w:type="paragraph" w:customStyle="1" w:styleId="E5A116FE1A434249ACC8983FBB6C90CD">
    <w:name w:val="E5A116FE1A434249ACC8983FBB6C90CD"/>
    <w:rsid w:val="00DC5A85"/>
  </w:style>
  <w:style w:type="paragraph" w:customStyle="1" w:styleId="254C660CF40F4C26BD45F203E9606DDA">
    <w:name w:val="254C660CF40F4C26BD45F203E9606DDA"/>
    <w:rsid w:val="00DC5A85"/>
  </w:style>
  <w:style w:type="paragraph" w:customStyle="1" w:styleId="5AFC4A528ECC42D395A9FE58AEA51410">
    <w:name w:val="5AFC4A528ECC42D395A9FE58AEA51410"/>
    <w:rsid w:val="00BB538E"/>
  </w:style>
  <w:style w:type="paragraph" w:customStyle="1" w:styleId="453DA41CF2AA45E6B242612D6BE59CD3">
    <w:name w:val="453DA41CF2AA45E6B242612D6BE59CD3"/>
    <w:rsid w:val="00BB538E"/>
  </w:style>
  <w:style w:type="paragraph" w:customStyle="1" w:styleId="59737F6D5E3D47E6AB9419BE6B36B319">
    <w:name w:val="59737F6D5E3D47E6AB9419BE6B36B319"/>
    <w:rsid w:val="00BB538E"/>
  </w:style>
  <w:style w:type="paragraph" w:customStyle="1" w:styleId="DD5DCC7ADB674CC59D57E16D369D3523">
    <w:name w:val="DD5DCC7ADB674CC59D57E16D369D3523"/>
    <w:rsid w:val="00760BCB"/>
  </w:style>
  <w:style w:type="paragraph" w:customStyle="1" w:styleId="08F724E0291F422A8F21080B78A5BFF3">
    <w:name w:val="08F724E0291F422A8F21080B78A5BFF3"/>
    <w:rsid w:val="00A44464"/>
  </w:style>
  <w:style w:type="paragraph" w:customStyle="1" w:styleId="551791ABF7D8441FA148437F319D56AE">
    <w:name w:val="551791ABF7D8441FA148437F319D56AE"/>
    <w:rsid w:val="00A44464"/>
  </w:style>
  <w:style w:type="paragraph" w:customStyle="1" w:styleId="C765E266BAAC410E909811ACFCA50C26">
    <w:name w:val="C765E266BAAC410E909811ACFCA50C26"/>
    <w:rsid w:val="00A44464"/>
  </w:style>
  <w:style w:type="paragraph" w:customStyle="1" w:styleId="003927355CB24370A4753F4388E1E9F9">
    <w:name w:val="003927355CB24370A4753F4388E1E9F9"/>
    <w:rsid w:val="00A44464"/>
  </w:style>
  <w:style w:type="paragraph" w:customStyle="1" w:styleId="1CB0DDEE704143EEA90B452468A4B084">
    <w:name w:val="1CB0DDEE704143EEA90B452468A4B084"/>
    <w:rsid w:val="00A44464"/>
  </w:style>
  <w:style w:type="paragraph" w:customStyle="1" w:styleId="B546262388064279BAD4B1FE632DBDCE">
    <w:name w:val="B546262388064279BAD4B1FE632DBDCE"/>
    <w:rsid w:val="00A44464"/>
  </w:style>
  <w:style w:type="paragraph" w:customStyle="1" w:styleId="2B7A76492A93489293A832AADE3970B5">
    <w:name w:val="2B7A76492A93489293A832AADE3970B5"/>
    <w:rsid w:val="00A44464"/>
  </w:style>
  <w:style w:type="paragraph" w:customStyle="1" w:styleId="4FE1B0F4BA304173BEED0CF8EC1CF89E">
    <w:name w:val="4FE1B0F4BA304173BEED0CF8EC1CF89E"/>
    <w:rsid w:val="00A44464"/>
  </w:style>
  <w:style w:type="paragraph" w:customStyle="1" w:styleId="7F13966635B2413BB5C2B50C1074F54C">
    <w:name w:val="7F13966635B2413BB5C2B50C1074F54C"/>
    <w:rsid w:val="00A44464"/>
  </w:style>
  <w:style w:type="paragraph" w:customStyle="1" w:styleId="0356A187124B42DE8555C3BB95C2F840">
    <w:name w:val="0356A187124B42DE8555C3BB95C2F840"/>
    <w:rsid w:val="00A44464"/>
  </w:style>
  <w:style w:type="paragraph" w:customStyle="1" w:styleId="A3335AF45D5142298D71C1F7A0C376D5">
    <w:name w:val="A3335AF45D5142298D71C1F7A0C376D5"/>
    <w:rsid w:val="00A44464"/>
  </w:style>
  <w:style w:type="paragraph" w:customStyle="1" w:styleId="DC1BE2D2DF9F4DEEB7AAC0A5B038E2B8">
    <w:name w:val="DC1BE2D2DF9F4DEEB7AAC0A5B038E2B8"/>
    <w:rsid w:val="00A44464"/>
  </w:style>
  <w:style w:type="paragraph" w:customStyle="1" w:styleId="00E04DB4C48E4D10B1D2E4D8C7268388">
    <w:name w:val="00E04DB4C48E4D10B1D2E4D8C7268388"/>
    <w:rsid w:val="00A44464"/>
  </w:style>
  <w:style w:type="paragraph" w:customStyle="1" w:styleId="8019D5D53E8F4690B87550617897A666">
    <w:name w:val="8019D5D53E8F4690B87550617897A666"/>
    <w:rsid w:val="00A44464"/>
  </w:style>
  <w:style w:type="paragraph" w:customStyle="1" w:styleId="B1165F7B00364F2B898C0F066D1DA639">
    <w:name w:val="B1165F7B00364F2B898C0F066D1DA639"/>
    <w:rsid w:val="00A44464"/>
  </w:style>
  <w:style w:type="paragraph" w:customStyle="1" w:styleId="7AB6291C39E544AF81DC3B7F9642200F">
    <w:name w:val="7AB6291C39E544AF81DC3B7F9642200F"/>
    <w:rsid w:val="00A44464"/>
  </w:style>
  <w:style w:type="paragraph" w:customStyle="1" w:styleId="3BC2FE9048404F5CB2D09D845CE29C9D">
    <w:name w:val="3BC2FE9048404F5CB2D09D845CE29C9D"/>
    <w:rsid w:val="00A44464"/>
  </w:style>
  <w:style w:type="paragraph" w:customStyle="1" w:styleId="5CF0F8EE96A24A588FF2EE14C500E619">
    <w:name w:val="5CF0F8EE96A24A588FF2EE14C500E619"/>
    <w:rsid w:val="00BB538E"/>
  </w:style>
  <w:style w:type="paragraph" w:customStyle="1" w:styleId="2194182F28E748999A981D192771F88E">
    <w:name w:val="2194182F28E748999A981D192771F88E"/>
    <w:rsid w:val="00BB538E"/>
  </w:style>
  <w:style w:type="paragraph" w:customStyle="1" w:styleId="D25F254A236340D7A3981DE03BC5FDD1">
    <w:name w:val="D25F254A236340D7A3981DE03BC5FDD1"/>
    <w:rsid w:val="00BB538E"/>
  </w:style>
  <w:style w:type="paragraph" w:customStyle="1" w:styleId="975D004A05D4456F823B139D7F241B45">
    <w:name w:val="975D004A05D4456F823B139D7F241B45"/>
    <w:rsid w:val="00BB538E"/>
  </w:style>
  <w:style w:type="paragraph" w:customStyle="1" w:styleId="9BFE72D3FAB449BF8488AF1C496B83E6">
    <w:name w:val="9BFE72D3FAB449BF8488AF1C496B83E6"/>
    <w:rsid w:val="00BB538E"/>
  </w:style>
  <w:style w:type="paragraph" w:customStyle="1" w:styleId="C971B9A971234310AD87EA533AE28FED">
    <w:name w:val="C971B9A971234310AD87EA533AE28FED"/>
    <w:rsid w:val="00BB538E"/>
  </w:style>
  <w:style w:type="paragraph" w:customStyle="1" w:styleId="3D2726C6FCC441A4835FCC6E5F8B14FC">
    <w:name w:val="3D2726C6FCC441A4835FCC6E5F8B14FC"/>
    <w:rsid w:val="00BB538E"/>
  </w:style>
  <w:style w:type="paragraph" w:customStyle="1" w:styleId="E42691668463444CA50CB7FE6E130285">
    <w:name w:val="E42691668463444CA50CB7FE6E130285"/>
    <w:rsid w:val="00BB538E"/>
  </w:style>
  <w:style w:type="paragraph" w:customStyle="1" w:styleId="87435134C77E4C94AB97F69E40EB2E49">
    <w:name w:val="87435134C77E4C94AB97F69E40EB2E49"/>
    <w:rsid w:val="00BB538E"/>
  </w:style>
  <w:style w:type="paragraph" w:customStyle="1" w:styleId="BA8D5702F2934A99882BD55EC7EE5D72">
    <w:name w:val="BA8D5702F2934A99882BD55EC7EE5D72"/>
    <w:rsid w:val="00BB538E"/>
  </w:style>
  <w:style w:type="paragraph" w:customStyle="1" w:styleId="484A42204B634E689D3851F459619B49">
    <w:name w:val="484A42204B634E689D3851F459619B49"/>
    <w:rsid w:val="00BB538E"/>
  </w:style>
  <w:style w:type="paragraph" w:customStyle="1" w:styleId="A216A3084C36412CAE7EBD8AAE3F3F96">
    <w:name w:val="A216A3084C36412CAE7EBD8AAE3F3F96"/>
    <w:rsid w:val="00BB538E"/>
  </w:style>
  <w:style w:type="paragraph" w:customStyle="1" w:styleId="DF5E213B76354EB7BA0BAA5A60CDF5F5">
    <w:name w:val="DF5E213B76354EB7BA0BAA5A60CDF5F5"/>
    <w:rsid w:val="00BB538E"/>
  </w:style>
  <w:style w:type="paragraph" w:customStyle="1" w:styleId="0B3937618FEE4EFD876876B93776DAE0">
    <w:name w:val="0B3937618FEE4EFD876876B93776DAE0"/>
    <w:rsid w:val="00DC5A85"/>
  </w:style>
  <w:style w:type="paragraph" w:customStyle="1" w:styleId="430F9D1CF6594998B1BC9C4C1D029E8C">
    <w:name w:val="430F9D1CF6594998B1BC9C4C1D029E8C"/>
    <w:rsid w:val="00DC5A85"/>
  </w:style>
  <w:style w:type="paragraph" w:customStyle="1" w:styleId="65868B4DA3C049EC8CCDDD251FE5D1A6">
    <w:name w:val="65868B4DA3C049EC8CCDDD251FE5D1A6"/>
    <w:rsid w:val="00DC5A85"/>
  </w:style>
  <w:style w:type="paragraph" w:customStyle="1" w:styleId="95AD510BBF6A418EBE95CF9E9A5EE952">
    <w:name w:val="95AD510BBF6A418EBE95CF9E9A5EE952"/>
    <w:rsid w:val="00DC5A85"/>
  </w:style>
  <w:style w:type="paragraph" w:customStyle="1" w:styleId="5F9EA2A7F388413C9B4330802A2623ED">
    <w:name w:val="5F9EA2A7F388413C9B4330802A2623ED"/>
    <w:rsid w:val="00DC5A85"/>
  </w:style>
  <w:style w:type="paragraph" w:customStyle="1" w:styleId="5CBDF14D6B714996BBD35DC8831092E3">
    <w:name w:val="5CBDF14D6B714996BBD35DC8831092E3"/>
    <w:rsid w:val="00DC5A85"/>
  </w:style>
  <w:style w:type="paragraph" w:customStyle="1" w:styleId="7DE8E45A53FD40E8979A9D5ADB82EBA8">
    <w:name w:val="7DE8E45A53FD40E8979A9D5ADB82EBA8"/>
    <w:rsid w:val="00DC5A85"/>
  </w:style>
  <w:style w:type="paragraph" w:customStyle="1" w:styleId="908F7F1E88024038895AE4143FD78D3F">
    <w:name w:val="908F7F1E88024038895AE4143FD78D3F"/>
    <w:rsid w:val="00DC5A85"/>
  </w:style>
  <w:style w:type="paragraph" w:customStyle="1" w:styleId="E7DDF16FEC734854B06844CF1F4C1DD3">
    <w:name w:val="E7DDF16FEC734854B06844CF1F4C1DD3"/>
    <w:rsid w:val="00DC5A85"/>
  </w:style>
  <w:style w:type="paragraph" w:customStyle="1" w:styleId="BFC73D5327354FEB994192DA64B65FF8">
    <w:name w:val="BFC73D5327354FEB994192DA64B65FF8"/>
    <w:rsid w:val="00DC5A85"/>
  </w:style>
  <w:style w:type="paragraph" w:customStyle="1" w:styleId="268BCEFB7BE84719BAEC21DBDE674BAE">
    <w:name w:val="268BCEFB7BE84719BAEC21DBDE674BAE"/>
    <w:rsid w:val="00DC5A85"/>
  </w:style>
  <w:style w:type="paragraph" w:customStyle="1" w:styleId="701A86C3621B449DBEAFEBEB96BB5145">
    <w:name w:val="701A86C3621B449DBEAFEBEB96BB5145"/>
    <w:rsid w:val="00DC5A85"/>
  </w:style>
  <w:style w:type="paragraph" w:customStyle="1" w:styleId="60FB95137C364195ABEC7BB235105FD8">
    <w:name w:val="60FB95137C364195ABEC7BB235105FD8"/>
    <w:rsid w:val="00DC5A85"/>
  </w:style>
  <w:style w:type="paragraph" w:customStyle="1" w:styleId="E38303D9A8784D46BD680AB16992C185">
    <w:name w:val="E38303D9A8784D46BD680AB16992C185"/>
    <w:rsid w:val="00DC5A85"/>
  </w:style>
  <w:style w:type="paragraph" w:customStyle="1" w:styleId="4B06F5C1D6C44F62A75D9B2524C1F3F7">
    <w:name w:val="4B06F5C1D6C44F62A75D9B2524C1F3F7"/>
    <w:rsid w:val="00DC5A85"/>
  </w:style>
  <w:style w:type="paragraph" w:customStyle="1" w:styleId="743DF49DD6984718941463468C548663">
    <w:name w:val="743DF49DD6984718941463468C548663"/>
    <w:rsid w:val="00DC5A85"/>
  </w:style>
  <w:style w:type="paragraph" w:customStyle="1" w:styleId="A9A8D78C6BCD48B9B22C11CF2FA8871E">
    <w:name w:val="A9A8D78C6BCD48B9B22C11CF2FA8871E"/>
    <w:rsid w:val="00DC5A85"/>
  </w:style>
  <w:style w:type="paragraph" w:customStyle="1" w:styleId="741A0EB86C2444FFAE5513AA3806CE7E">
    <w:name w:val="741A0EB86C2444FFAE5513AA3806CE7E"/>
    <w:rsid w:val="00DC5A85"/>
  </w:style>
  <w:style w:type="paragraph" w:customStyle="1" w:styleId="16CD28467BB640B78EB5BE530ECD04DC">
    <w:name w:val="16CD28467BB640B78EB5BE530ECD04DC"/>
    <w:rsid w:val="00DC5A85"/>
  </w:style>
  <w:style w:type="paragraph" w:customStyle="1" w:styleId="5CBB3897923445DEB646331668C58E07">
    <w:name w:val="5CBB3897923445DEB646331668C58E07"/>
    <w:rsid w:val="00DC5A85"/>
  </w:style>
  <w:style w:type="paragraph" w:customStyle="1" w:styleId="29F0FA9728194A8886200F6E96FDECD9">
    <w:name w:val="29F0FA9728194A8886200F6E96FDECD9"/>
    <w:rsid w:val="00DC5A85"/>
  </w:style>
  <w:style w:type="paragraph" w:customStyle="1" w:styleId="4FFFC708DC2444E09D4B3E914E7B329F">
    <w:name w:val="4FFFC708DC2444E09D4B3E914E7B329F"/>
    <w:rsid w:val="00DC5A85"/>
  </w:style>
  <w:style w:type="paragraph" w:customStyle="1" w:styleId="4BF7FF4DA2334CB5BC9421A334F9E1B3">
    <w:name w:val="4BF7FF4DA2334CB5BC9421A334F9E1B3"/>
    <w:rsid w:val="000837A8"/>
  </w:style>
  <w:style w:type="paragraph" w:customStyle="1" w:styleId="5A23FCBD0D1849329CE5211A19FA7184">
    <w:name w:val="5A23FCBD0D1849329CE5211A19FA7184"/>
    <w:rsid w:val="000837A8"/>
  </w:style>
  <w:style w:type="paragraph" w:customStyle="1" w:styleId="A9B4AE4E7C5A4A98A16A1581DEBD6183">
    <w:name w:val="A9B4AE4E7C5A4A98A16A1581DEBD6183"/>
    <w:rsid w:val="000837A8"/>
  </w:style>
  <w:style w:type="paragraph" w:customStyle="1" w:styleId="A32E4A171379488AB2863941AF5194A1">
    <w:name w:val="A32E4A171379488AB2863941AF5194A1"/>
    <w:rsid w:val="000837A8"/>
  </w:style>
  <w:style w:type="paragraph" w:customStyle="1" w:styleId="D00B389D65D2441DBF205655F656F152">
    <w:name w:val="D00B389D65D2441DBF205655F656F152"/>
    <w:rsid w:val="000837A8"/>
  </w:style>
  <w:style w:type="paragraph" w:customStyle="1" w:styleId="62B5D6A992BB4DB8979D2455F2448C4B">
    <w:name w:val="62B5D6A992BB4DB8979D2455F2448C4B"/>
    <w:rsid w:val="000837A8"/>
  </w:style>
  <w:style w:type="paragraph" w:customStyle="1" w:styleId="4D84874EE41746A7AD3A077ED870D2E4">
    <w:name w:val="4D84874EE41746A7AD3A077ED870D2E4"/>
    <w:rsid w:val="000837A8"/>
  </w:style>
  <w:style w:type="paragraph" w:customStyle="1" w:styleId="65FD81F7339047EFA1F53A1465466165">
    <w:name w:val="65FD81F7339047EFA1F53A1465466165"/>
    <w:rsid w:val="000837A8"/>
  </w:style>
  <w:style w:type="paragraph" w:customStyle="1" w:styleId="7CCCF00AE713436FBACCA23D0F1DB4D3">
    <w:name w:val="7CCCF00AE713436FBACCA23D0F1DB4D3"/>
    <w:rsid w:val="000837A8"/>
  </w:style>
  <w:style w:type="paragraph" w:customStyle="1" w:styleId="A07846A41EAC4904B2E09F108678B5C9">
    <w:name w:val="A07846A41EAC4904B2E09F108678B5C9"/>
    <w:rsid w:val="000837A8"/>
  </w:style>
  <w:style w:type="paragraph" w:customStyle="1" w:styleId="C9A75205EE8B4477B118110B06CCBB9E">
    <w:name w:val="C9A75205EE8B4477B118110B06CCBB9E"/>
    <w:rsid w:val="000837A8"/>
  </w:style>
  <w:style w:type="paragraph" w:customStyle="1" w:styleId="DBB2DD9EDFE14BC38D7ED5C80C44FECC">
    <w:name w:val="DBB2DD9EDFE14BC38D7ED5C80C44FECC"/>
    <w:rsid w:val="000837A8"/>
  </w:style>
  <w:style w:type="paragraph" w:customStyle="1" w:styleId="E667825E9B964537A2480CA2CBBEDD7E">
    <w:name w:val="E667825E9B964537A2480CA2CBBEDD7E"/>
    <w:rsid w:val="000837A8"/>
  </w:style>
  <w:style w:type="paragraph" w:customStyle="1" w:styleId="B3563DB490044BEB9939A4A953639095">
    <w:name w:val="B3563DB490044BEB9939A4A953639095"/>
    <w:rsid w:val="000837A8"/>
  </w:style>
  <w:style w:type="paragraph" w:customStyle="1" w:styleId="948A13187C4A4DC6B43AC0EE968540AD">
    <w:name w:val="948A13187C4A4DC6B43AC0EE968540AD"/>
    <w:rsid w:val="000837A8"/>
  </w:style>
  <w:style w:type="paragraph" w:customStyle="1" w:styleId="BE7440FC440B440E9AD66FD7C8AD9626">
    <w:name w:val="BE7440FC440B440E9AD66FD7C8AD9626"/>
    <w:rsid w:val="000837A8"/>
  </w:style>
  <w:style w:type="paragraph" w:customStyle="1" w:styleId="079809F5234B4D73BE50CB38F0B1CDF6">
    <w:name w:val="079809F5234B4D73BE50CB38F0B1CDF6"/>
    <w:rsid w:val="000837A8"/>
  </w:style>
  <w:style w:type="paragraph" w:customStyle="1" w:styleId="FCFA03FA91AF440E9F9FB6E32DA0455D">
    <w:name w:val="FCFA03FA91AF440E9F9FB6E32DA0455D"/>
    <w:rsid w:val="000837A8"/>
  </w:style>
  <w:style w:type="paragraph" w:customStyle="1" w:styleId="7917E9E2A63045CA94E7FFEE920C9A8B">
    <w:name w:val="7917E9E2A63045CA94E7FFEE920C9A8B"/>
    <w:rsid w:val="000837A8"/>
  </w:style>
  <w:style w:type="paragraph" w:customStyle="1" w:styleId="CB3287F49B904C328A7650445569AD3D">
    <w:name w:val="CB3287F49B904C328A7650445569AD3D"/>
    <w:rsid w:val="000837A8"/>
  </w:style>
  <w:style w:type="paragraph" w:customStyle="1" w:styleId="CFB20A967969487197F19CD39AC73646">
    <w:name w:val="CFB20A967969487197F19CD39AC73646"/>
    <w:rsid w:val="000837A8"/>
  </w:style>
  <w:style w:type="paragraph" w:customStyle="1" w:styleId="6466A14487B34161BF922B53D6AD4C4F">
    <w:name w:val="6466A14487B34161BF922B53D6AD4C4F"/>
    <w:rsid w:val="000837A8"/>
  </w:style>
  <w:style w:type="paragraph" w:customStyle="1" w:styleId="082CCEF7F6004554BC4FBBB5F3E6F401">
    <w:name w:val="082CCEF7F6004554BC4FBBB5F3E6F401"/>
    <w:rsid w:val="000837A8"/>
  </w:style>
  <w:style w:type="paragraph" w:customStyle="1" w:styleId="1840F593A0DE4040976E19FE7C3DA8BE">
    <w:name w:val="1840F593A0DE4040976E19FE7C3DA8BE"/>
    <w:rsid w:val="000837A8"/>
  </w:style>
  <w:style w:type="paragraph" w:customStyle="1" w:styleId="2EEC14BF55CF4730A447386770AEF3E5">
    <w:name w:val="2EEC14BF55CF4730A447386770AEF3E5"/>
    <w:rsid w:val="000837A8"/>
  </w:style>
  <w:style w:type="paragraph" w:customStyle="1" w:styleId="99D16CB35D06453FA29C95B5607B82F4">
    <w:name w:val="99D16CB35D06453FA29C95B5607B82F4"/>
    <w:rsid w:val="000837A8"/>
  </w:style>
  <w:style w:type="paragraph" w:customStyle="1" w:styleId="93FB7BD932A64239A60811654F5065AB">
    <w:name w:val="93FB7BD932A64239A60811654F5065AB"/>
    <w:rsid w:val="000837A8"/>
  </w:style>
  <w:style w:type="paragraph" w:customStyle="1" w:styleId="5DC12551D94645ED9EC6ECAE67CD432F">
    <w:name w:val="5DC12551D94645ED9EC6ECAE67CD432F"/>
    <w:rsid w:val="000837A8"/>
  </w:style>
  <w:style w:type="paragraph" w:customStyle="1" w:styleId="800E0A9F7DAE46EA8E5E5B47EE0EFB23">
    <w:name w:val="800E0A9F7DAE46EA8E5E5B47EE0EFB23"/>
    <w:rsid w:val="000837A8"/>
  </w:style>
  <w:style w:type="paragraph" w:customStyle="1" w:styleId="ED220BF1A5574B93B7ABB9680BC33069">
    <w:name w:val="ED220BF1A5574B93B7ABB9680BC33069"/>
    <w:rsid w:val="000837A8"/>
  </w:style>
  <w:style w:type="paragraph" w:customStyle="1" w:styleId="445386BCCA75462BAD78A4BABC41B416">
    <w:name w:val="445386BCCA75462BAD78A4BABC41B416"/>
    <w:rsid w:val="000837A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834CF9-38BA-43E8-865A-C159FC841AFB}">
  <we:reference id="wa104382081" version="1.55.1.0" store="en-US" storeType="OMEX"/>
  <we:alternateReferences>
    <we:reference id="WA104382081" version="1.55.1.0" store="WA104382081" storeType="OMEX"/>
  </we:alternateReferences>
  <we:properties>
    <we:property name="MENDELEY_BIBLIOGRAPHY_IS_DIRTY" value="false"/>
    <we:property name="MENDELEY_BIBLIOGRAPHY_LAST_MODIFIED" value="1765878434215"/>
    <we:property name="MENDELEY_CITATIONS" value="[{&quot;citationID&quot;:&quot;MENDELEY_CITATION_503a4545-0582-41c2-82a3-e44e29f0fda3&quot;,&quot;properties&quot;:{&quot;noteIndex&quot;:0},&quot;isEdited&quot;:false,&quot;manualOverride&quot;:{&quot;isManuallyOverridden&quot;:true,&quot;citeprocText&quot;:&quot;(Meehan and Pinnington, 2021a; Walk Free and Minderoo, 2018)&quot;,&quot;manualOverrideText&quot;:&quot;(Walk Free and Minderoo, 2018; Meehan and Bruce D. Pinnington, 2021; Muthuthantrige et al., 2026)&quot;},&quot;citationItems&quot;:[{&quot;id&quot;:&quot;6247d572-f3c7-3d6c-bba6-13ede1448480&quot;,&quot;itemData&quot;:{&quot;type&quot;:&quot;article-journal&quot;,&quot;id&quot;:&quot;6247d572-f3c7-3d6c-bba6-13ede1448480&quot;,&quot;title&quot;:&quot;Modern slavery in supply chains: insights through strategic ambiguity&quot;,&quot;author&quot;:[{&quot;family&quot;:&quot;Meehan&quot;,&quot;given&quot;:&quot;Joanne&quot;,&quot;parse-names&quot;:false,&quot;dropping-particle&quot;:&quot;&quot;,&quot;non-dropping-particle&quot;:&quot;&quot;},{&quot;family&quot;:&quot;Pinnington&quot;,&quot;given&quot;:&quot;Bruce D.&quot;,&quot;parse-names&quot;:false,&quot;dropping-particle&quot;:&quot;&quot;,&quot;non-dropping-particle&quot;:&quot;&quot;}],&quot;container-title&quot;:&quot;International Journal of Operations and Production Management&quot;,&quot;DOI&quot;:&quot;10.1108/IJOPM-05-2020-0292&quot;,&quot;ISSN&quot;:&quot;17586593&quot;,&quot;issued&quot;:{&quot;date-parts&quot;:[[2021,3,1]]},&quot;page&quot;:&quot;77-101&quot;,&quot;abstract&quot;:&quot;Purpose: The purpose of this paper is to assess whether firms' transparency in supply chain (TISC) statements indicate that substantive action is being taken on modern slavery in UK government supply chains. Design/methodology/approach: The authors analyse 66 of the UK government's strategic suppliers' TISC statements and 20 key documents related to the policy intent of the UK Parliament, 2015 TISC requirements. Qualitative document analysis identifies what suppliers say they are doing and what they are not saying to provide novel insights into how firms employ ambiguity to avoid timely action on modern slavery in their supply chains A set of propositions are developed. Findings: The authors elaborate the concepts of time and change in socially sustainable supply chains and illustrate how firms use ambiguity in TISC statements as a highly strategic form of action to defend the status quo, reduce accountability and delay action for modern slavery within supply chains. The authors identify three ambiguous techniques: defensive reassurance, transfer responsibility and scope reduction that deviate from the policy intention of collaborative action. Social implications: The results illustrates how ambiguity is preventing firms from taking collaborative action to tackle modern slavery in their supply chains. The lack of action as a result of ambiguity protects firms, rather than potential victims of modern slavery. Originality/value: Prior research focuses on technical compliance rather than the content of firms' TISC statements. This qualitative study provides novel insights into the policy-resistant effects of ambiguity and highlights the dynamic and instrumental role of modern slavery reporting. Theoretically, we identify accountability as an essential concept to address the causes of modern slavery in supply chains and for developing collaborative supply chain environments to tackle the issues.&quot;,&quot;publisher&quot;:&quot;Emerald Group Holdings Ltd.&quot;,&quot;issue&quot;:&quot;2&quot;,&quot;volume&quot;:&quot;41&quot;,&quot;container-title-short&quot;:&quot;&quot;},&quot;isTemporary&quot;:false},{&quot;id&quot;:&quot;70addc1e-7888-3306-957d-c3c3e6c6cd4d&quot;,&quot;itemData&quot;:{&quot;type&quot;:&quot;report&quot;,&quot;id&quot;:&quot;70addc1e-7888-3306-957d-c3c3e6c6cd4d&quot;,&quot;title&quot;:&quot;Understanding Modern Slavery: What is modern slavery?&quot;,&quot;author&quot;:[{&quot;family&quot;:&quot;Walk Free&quot;,&quot;given&quot;:&quot;&quot;,&quot;parse-names&quot;:false,&quot;dropping-particle&quot;:&quot;&quot;,&quot;non-dropping-particle&quot;:&quot;&quot;},{&quot;family&quot;:&quot;Minderoo&quot;,&quot;given&quot;:&quot;&quot;,&quot;parse-names&quot;:false,&quot;dropping-particle&quot;:&quot;&quot;,&quot;non-dropping-particle&quot;:&quot;&quot;}],&quot;accessed&quot;:{&quot;date-parts&quot;:[[2023,1,20]]},&quot;URL&quot;:&quot;www.minderoo.org.au/walk-free&quot;,&quot;issued&quot;:{&quot;date-parts&quot;:[[2018]]},&quot;container-title-short&quot;:&quot;&quot;},&quot;isTemporary&quot;:false}],&quot;citationTag&quot;:&quot;MENDELEY_CITATION_v3_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&quot;},{&quot;citationID&quot;:&quot;MENDELEY_CITATION_8ddf425f-9e30-4fb7-81b0-e961f5c60288&quot;,&quot;properties&quot;:{&quot;noteIndex&quot;:0},&quot;isEdited&quot;:false,&quot;manualOverride&quot;:{&quot;isManuallyOverridden&quot;:false,&quot;citeprocText&quot;:&quot;(Houqe and Khan, 2025; ILO, 2022a; Walk Free, 2025)&quot;,&quot;manualOverrideText&quot;:&quot;&quot;},&quot;citationItems&quot;:[{&quot;id&quot;:&quot;a48abbf2-80c2-3987-bf4d-74e30530e40f&quot;,&quot;itemData&quot;:{&quot;type&quot;:&quot;report&quot;,&quot;id&quot;:&quot;a48abbf2-80c2-3987-bf4d-74e30530e40f&quot;,&quot;title&quot;:&quot; Global estimates of modern slavery: Forced labour and forced marriage&quot;,&quot;author&quot;:[{&quot;family&quot;:&quot;ILO&quot;,&quot;given&quot;:&quot;&quot;,&quot;parse-names&quot;:false,&quot;dropping-particle&quot;:&quot;&quot;,&quot;non-dropping-particle&quot;:&quot;&quot;}],&quot;issued&quot;:{&quot;date-parts&quot;:[[2022]]},&quot;publisher-place&quot;:&quot;Geneva&quot;,&quot;container-title-short&quot;:&quot;&quot;},&quot;isTemporary&quot;:false},{&quot;id&quot;:&quot;3a400810-5229-307b-af6e-c22b6021d92f&quot;,&quot;itemData&quot;:{&quot;type&quot;:&quot;webpage&quot;,&quot;id&quot;:&quot;3a400810-5229-307b-af6e-c22b6021d92f&quot;,&quot;title&quot;:&quot;UN 2030 goal to end modern slavery at risk of being missed as exploitation risks rise&quot;,&quot;author&quot;:[{&quot;family&quot;:&quot;Walk Free&quot;,&quot;given&quot;:&quot;&quot;,&quot;parse-names&quot;:false,&quot;dropping-particle&quot;:&quot;&quot;,&quot;non-dropping-particle&quot;:&quot;&quot;}],&quot;accessed&quot;:{&quot;date-parts&quot;:[[2025,7,19]]},&quot;URL&quot;:&quot;https://www.walkfree.org/news/2025/un-2030-goal-to-end-modern-slavery-at-risk-of-being-missed-as-exploitation-risks-rise/&quot;,&quot;issued&quot;:{&quot;date-parts&quot;:[[2025,7,18]]},&quot;container-title-short&quot;:&quot;&quot;},&quot;isTemporary&quot;:false},{&quot;id&quot;:&quot;36c73eb7-c044-3ca3-9d8f-a7edb5e752c5&quot;,&quot;itemData&quot;:{&quot;type&quot;:&quot;article-journal&quot;,&quot;id&quot;:&quot;36c73eb7-c044-3ca3-9d8f-a7edb5e752c5&quot;,&quot;title&quot;:&quot;Corruption, sustainable development goals performance and modern slavery practices: an international evidence&quot;,&quot;author&quot;:[{&quot;family&quot;:&quot;Houqe&quot;,&quot;given&quot;:&quot;Muhammad Nurul&quot;,&quot;parse-names&quot;:false,&quot;dropping-particle&quot;:&quot;&quot;,&quot;non-dropping-particle&quot;:&quot;&quot;},{&quot;family&quot;:&quot;Khan&quot;,&quot;given&quot;:&quot;Habib Zaman&quot;,&quot;parse-names&quot;:false,&quot;dropping-particle&quot;:&quot;&quot;,&quot;non-dropping-particle&quot;:&quot;&quot;}],&quot;container-title&quot;:&quot;Journal of Accounting Literature&quot;,&quot;DOI&quot;:&quot;10.1108/JAL-03-2024-0045&quot;,&quot;ISSN&quot;:&quot;07374607&quot;,&quot;issued&quot;:{&quot;date-parts&quot;:[[2025]]},&quot;page&quot;:&quot;323-351&quot;,&quot;abstract&quot;:&quot;Purpose: This study examines the two key research question; (1) Does country-level corruption give rise to modern slavery (MS) practices and (2) Does sustainable development goals (SDGs) performance of different jurisdictions reduce MS practices? Design/methodology/approach: Using a sample of 431 country-year observations (for the period of 2016, 2018 and 2023) from 146 countries, the study test hypotheses applying different econometrics analysis and conducts robustness tests. Findings: Our results indicate that country-level corruption practices increase MS practices in different contexts. These results hold when we use alternative measures for MS construct. Our study also reported that MS practices in different jurisdictions are lessened when country-level SDGs performance is higher. Our additional analysis finds that higher country-level debt serves as a channel between corruption and MS practices. Research limitations/implications: Practically, the findings of the study have a take-away message for different global actors, in particular, different countries’ governments, national regulators working to abate corruption and slavery issues. For other actors such as the United Nations, the ILO and others, the findings will have practical value for their new policy development and interventions. Originality/value: To the best of our knowledge, this study is the first that investigated the role of country-level corruption on MS practice at the country level. Similarly, our attempt towards exploring the impact of country-level sustainable development goals (SDGs) performance on the MS practices is also primary in the literature. Lastly, developing a single framework by integrating different countries’ MS practices with corruption and SDGs performance and providing related empirical evidence with global level data is a new initiative in the accounting and sustainability literature.&quot;,&quot;publisher&quot;:&quot;Emerald Publishing&quot;,&quot;issue&quot;:&quot;5&quot;,&quot;volume&quot;:&quot;47&quot;,&quot;container-title-short&quot;:&quot;&quot;},&quot;isTemporary&quot;:false}],&quot;citationTag&quot;:&quot;MENDELEY_CITATION_v3_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&quot;},{&quot;citationID&quot;:&quot;MENDELEY_CITATION_3d73ee52-dacd-4d97-b9c3-366e4d8a8eae&quot;,&quot;properties&quot;:{&quot;noteIndex&quot;:0},&quot;isEdited&quot;:false,&quot;manualOverride&quot;:{&quot;isManuallyOverridden&quot;:false,&quot;citeprocText&quot;:&quot;(United Nations, 2015a)&quot;,&quot;manualOverrideText&quot;:&quot;&quot;},&quot;citationItems&quot;:[{&quot;id&quot;:&quot;961b5324-18b3-32de-bb24-d53f4af1e05b&quot;,&quot;itemData&quot;:{&quot;type&quot;:&quot;report&quot;,&quot;id&quot;:&quot;961b5324-18b3-32de-bb24-d53f4af1e05b&quot;,&quot;title&quot;:&quot;Transforming our world: the 2030 Agenda for Sustainable Development &quot;,&quot;author&quot;:[{&quot;family&quot;:&quot;United Nations&quot;,&quot;given&quot;:&quot;&quot;,&quot;parse-names&quot;:false,&quot;dropping-particle&quot;:&quot;&quot;,&quot;non-dropping-particle&quot;:&quot;&quot;}],&quot;accessed&quot;:{&quot;date-parts&quot;:[[2023,2,10]]},&quot;issued&quot;:{&quot;date-parts&quot;:[[2015]]},&quot;number-of-pages&quot;:&quot;1-35&quot;,&quot;abstract&quot;:&quot;This Agenda is a plan of action for people, planet and prosperity. It also seeks to strengthen universal peace in larger freedom. We recognize that eradicating poverty in all its forms and dimensions, including extreme poverty, is the greatest global challenge and an indispensable requirement for sustainable development. All countries and all stakeholders, acting in collaborative partnership, will implement this plan. We are resolved to free the human race from the tyranny of poverty and want and to heal and secure our planet. We are determined to take the bold and transformative steps which are urgently needed to shift the world on to a sustainable and resilient path. As we embark on this collective journey, we pledge that no one will be left behind. The 17 Sustainable Development Goals and 169 targets which we are announcing today demonstrate the scale and ambition of this new universal Agenda. They seek to build on the Millennium Development Goals and complete what they did not achieve. They seek to realize the human rights of all and to achieve gender equality and the empowerment of all women and girls. They are integrated and indivisible and balance the three dimensions of sustainable development: the economic, social and environmental. The Goals and targets will stimulate action over the next 15 years in areas of critical importance for humanity and the planet.&quot;,&quot;container-title-short&quot;:&quot;&quot;},&quot;isTemporary&quot;:false}],&quot;citationTag&quot;:&quot;MENDELEY_CITATION_v3_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&quot;},{&quot;citationID&quot;:&quot;MENDELEY_CITATION_41a8959e-0c7e-4cad-8bdf-ba705d3b2109&quot;,&quot;properties&quot;:{&quot;noteIndex&quot;:0},&quot;isEdited&quot;:false,&quot;manualOverride&quot;:{&quot;isManuallyOverridden&quot;:true,&quot;citeprocText&quot;:&quot;(Christ &lt;i&gt;et al.&lt;/i&gt;, 2023; Uddin &lt;i&gt;et al.&lt;/i&gt;, 2023; Walk Free and Minderoo, 2018)&quot;,&quot;manualOverrideText&quot;:&quot;(Walk Free and Minderoo, 2018; Christ et al., 2023; Uddin et al., 2023)&quot;},&quot;citationItems&quot;:[{&quot;id&quot;:&quot;70addc1e-7888-3306-957d-c3c3e6c6cd4d&quot;,&quot;itemData&quot;:{&quot;type&quot;:&quot;report&quot;,&quot;id&quot;:&quot;70addc1e-7888-3306-957d-c3c3e6c6cd4d&quot;,&quot;title&quot;:&quot;Understanding Modern Slavery: What is modern slavery?&quot;,&quot;author&quot;:[{&quot;family&quot;:&quot;Walk Free&quot;,&quot;given&quot;:&quot;&quot;,&quot;parse-names&quot;:false,&quot;dropping-particle&quot;:&quot;&quot;,&quot;non-dropping-particle&quot;:&quot;&quot;},{&quot;family&quot;:&quot;Minderoo&quot;,&quot;given&quot;:&quot;&quot;,&quot;parse-names&quot;:false,&quot;dropping-particle&quot;:&quot;&quot;,&quot;non-dropping-particle&quot;:&quot;&quot;}],&quot;accessed&quot;:{&quot;date-parts&quot;:[[2023,1,20]]},&quot;URL&quot;:&quot;www.minderoo.org.au/walk-free&quot;,&quot;issued&quot;:{&quot;date-parts&quot;:[[2018]]},&quot;container-title-short&quot;:&quot;&quot;},&quot;isTemporary&quot;:false},{&quot;id&quot;:&quot;0ce23ff7-8063-3489-9d73-6acf9cefe063&quot;,&quot;itemData&quot;:{&quot;type&quot;:&quot;article-journal&quot;,&quot;id&quot;:&quot;0ce23ff7-8063-3489-9d73-6acf9cefe063&quot;,&quot;title&quot;:&quot;Modern slavery and the accounting profession&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Islam&quot;,&quot;given&quot;:&quot;Muhammad Azizul&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id&quot;:&quot;9002a172-d22f-3a62-a1bd-7feb7df422c2&quot;,&quot;itemData&quot;:{&quot;type&quot;:&quot;article-journal&quot;,&quot;id&quot;:&quot;9002a172-d22f-3a62-a1bd-7feb7df422c2&quot;,&quot;title&quot;:&quot;Exploitation in Bangladeshi ready-made garments supply chain: a case of irresponsible capitalism?&quot;,&quot;author&quot;:[{&quot;family&quot;:&quot;Uddin&quot;,&quot;given&quot;:&quot;Mohammad Jasim&quot;,&quot;parse-names&quot;:false,&quot;dropping-particle&quot;:&quot;&quot;,&quot;non-dropping-particle&quot;:&quot;&quot;},{&quot;family&quot;:&quot;Azmat&quot;,&quot;given&quot;:&quot;Fara&quot;,&quot;parse-names&quot;:false,&quot;dropping-particle&quot;:&quot;&quot;,&quot;non-dropping-particle&quot;:&quot;&quot;},{&quot;family&quot;:&quot;Fujimoto&quot;,&quot;given&quot;:&quot;Yuka&quot;,&quot;parse-names&quot;:false,&quot;dropping-particle&quot;:&quot;&quot;,&quot;non-dropping-particle&quot;:&quot;&quot;},{&quot;family&quot;:&quot;Hossain&quot;,&quot;given&quot;:&quot;Farhad&quot;,&quot;parse-names&quot;:false,&quot;dropping-particle&quot;:&quot;&quot;,&quot;non-dropping-particle&quot;:&quot;&quot;}],&quot;container-title&quot;:&quot;International Journal of Logistics Management&quot;,&quot;DOI&quot;:&quot;10.1108/IJLM-12-2021-0565&quot;,&quot;ISSN&quot;:&quot;17586550&quot;,&quot;issued&quot;:{&quot;date-parts&quot;:[[2023,1,18]]},&quot;page&quot;:&quot;164-188&quot;,&quot;abstract&quot;:&quot;Purpose: Despite considerable research and constant pressure from global media, exploitation has been a persistent problem in the Bangladeshi ready-made garment (RMG) supply chain. Yet, the root causes of how and why exploitation still persists remain unexplored. This paper explores the reasons underlying the existence of exploitation in the RMG supply chain of Bangladesh using the theoretical lens of responsible capitalism. Design/methodology/approach: Drawing on 98 interviews conducted at multiple levels of the RMG supply chain ecosystem, site visits, observation and archives, the authors unpack the underlying reasons for the existence of exploitation in Bangladeshi RMG supply chain. Findings: Using the theoretical lens of responsible capitalism, the findings suggest the existence of exploitation as a multifaceted yet nuanced phenomenon that is a result of complex power dynamics, interdependency and interconnectedness of players at multiple levels of the supply chain. The authors extend responsible capitalism theory by adding local context as a key determinant for the RMG supply chain to be responsive, effective and sustainable. The authors further argue the need for a new business model in global supply chain that calls for a fundamental shift of businesses towards responsible capitalism via transformative actions at multiple levels for balancing power in relationships, generate profit with ethical integrity and take responsibility of the consequences of their actions. Research limitations/implications: The authors use a contextualized case study of the RMG supply chain in Bangladesh using a critical realist approach. Although the use of contextualized case study has enabled better understanding of causal relationships between management practices and exploitation in the local context of Bangladesh, a quantitative approach to establish causality between different factors could be the focus of future research. The findings are specific to the context of Bangladeshi RMG supply chain and may have limited generalizability in other contexts. Further studies may build upon the findings to explore exploitation in RMG supply chain of other sectors and countries in the region and compare the findings to develop comprehensive understanding about the root causes of exploitation. Practical implications: The findings call for a fundamental shift of business towards responsible capitalism via transformative actions of multiple players across different levels of the supply chains with managerial implications. Originality/value: By drawing on empirical research, the authors provide a holistic perspective of responsible capitalism that is influenced by interactions and interconnectedness of players in multiple levels of the supply chain. The authors expand the responsible capitalism theory by adding local context as a key determinant that need to be considered for supply chains to be responsive, effective and sustainable.&quot;,&quot;publisher&quot;:&quot;Emerald Publishing&quot;,&quot;issue&quot;:&quot;1&quot;,&quot;volume&quot;:&quot;34&quot;,&quot;container-title-short&quot;:&quot;&quot;},&quot;isTemporary&quot;:false}],&quot;citationTag&quot;:&quot;MENDELEY_CITATION_v3_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&quot;},{&quot;citationID&quot;:&quot;MENDELEY_CITATION_7bb24dbf-0d46-4131-ac35-2ece75ca46b0&quot;,&quot;properties&quot;:{&quot;noteIndex&quot;:0},&quot;isEdited&quot;:false,&quot;manualOverride&quot;:{&quot;isManuallyOverridden&quot;:true,&quot;citeprocText&quot;:&quot;(Albitar &lt;i&gt;et al.&lt;/i&gt;, 2025; Gold &lt;i&gt;et al.&lt;/i&gt;, 2015)&quot;,&quot;manualOverrideText&quot;:&quot;(Gold et al., 2015; Albitar et al., 2025)&quot;},&quot;citationItems&quot;:[{&quot;id&quot;:&quot;9fd63b9d-cce2-3c92-b69a-27202a3255d1&quot;,&quot;itemData&quot;:{&quot;type&quot;:&quot;article-journal&quot;,&quot;id&quot;:&quot;9fd63b9d-cce2-3c92-b69a-27202a3255d1&quot;,&quot;title&quot;:&quot;Modern slavery challenges to supply chain management&quot;,&quot;author&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family&quot;:&quot;Trodd&quot;,&quot;given&quot;:&quot;Zoe&quot;,&quot;parse-names&quot;:false,&quot;dropping-particle&quot;:&quot;&quot;,&quot;non-dropping-particle&quot;:&quot;&quot;}],&quot;container-title&quot;:&quot;Supply Chain Management&quot;,&quot;DOI&quot;:&quot;10.1108/SCM-02-2015-0046&quot;,&quot;ISSN&quot;:&quot;13598546&quot;,&quot;issued&quot;:{&quot;date-parts&quot;:[[2015,8,10]]},&quot;page&quot;:&quot;485-494&quot;,&quot;abstract&quot;:&quot;Purpose – This paper aims to draw attention to the challenges modern slavery poses to supply chain management. Although many international supply chains are (most often unknowingly) connected to slave labour activities, supply chain managers and researchers have so far neglected the issue. This will most likely change as soon as civil society lobbying and new legislation impose increasing litigation and reputational risks on companies operating international supply chains. Design/methodology/approach – The paper provides a definition of slavery; explores potentials for knowledge exchange with other disciplines; discusses management tools for detecting slavery, as well as suitable company responses after its detection; and outlines avenues for future research. Findings – Due to a lack of effective indicators, new tools and indicator systems need to be developed that consider the specific social, cultural and geographical context of supply regions. After detection of slavery, multi-stakeholder partnerships, community-centred approaches and supplier development appear to be effective responses. Research limitations/implications – New theory development in supply chain management (SCM) is urgently needed to facilitate the understanding, avoidance and elimination of slavery in supply chains. As a starting point for future research, the challenges of slavery to SCM are conceptualised, focussing on capabilities and specific institutional context. Practical implications – The paper provides a starting point for the development of practices and tools for identifying and removing slave labour from supply chains. Originality/value – Although representing a substantial threat to current supply chain models, slavery has so far not been addressed in SCM research.&quot;,&quot;publisher&quot;:&quot;Emerald Group Holdings Ltd.&quot;,&quot;issue&quot;:&quot;5&quot;,&quot;volume&quot;:&quot;20&quot;,&quot;container-title-short&quot;:&quot;&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quot;},{&quot;citationID&quot;:&quot;MENDELEY_CITATION_46c5bb5e-1afb-4e9b-b186-84a1aae6573a&quot;,&quot;properties&quot;:{&quot;noteIndex&quot;:0},&quot;isEdited&quot;:false,&quot;manualOverride&quot;:{&quot;isManuallyOverridden&quot;:true,&quot;citeprocText&quot;:&quot;(Akter &lt;i&gt;et al.&lt;/i&gt;, 2024; Islam and Van Staden, 2022)&quot;,&quot;manualOverrideText&quot;:&quot;(Islam and Van Staden, 2022; Akter et al., 2024)&quot;},&quot;citationItems&quot;:[{&quot;id&quot;:&quot;82b24819-91de-3dcf-a528-5b420cd933ab&quot;,&quot;itemData&quot;:{&quot;type&quot;:&quot;article-journal&quot;,&quot;id&quot;:&quot;82b24819-91de-3dcf-a528-5b420cd933ab&quot;,&quot;title&quot;:&quot;Modern Slavery Disclosure Regulation and Global Supply Chains: Insights from Stakeholder Narratives on the UK Modern Slavery Act&quot;,&quot;author&quot;:[{&quot;family&quot;:&quot;Islam&quot;,&quot;given&quot;:&quot;M A.&quot;,&quot;parse-names&quot;:false,&quot;dropping-particle&quot;:&quot;&quot;,&quot;non-dropping-particle&quot;:&quot;&quot;},{&quot;family&quot;:&quot;Staden&quot;,&quot;given&quot;:&quot;C J&quot;,&quot;parse-names&quot;:false,&quot;dropping-particle&quot;:&quot;&quot;,&quot;non-dropping-particle&quot;:&quot;Van&quot;}],&quot;container-title&quot;:&quot;Journal of Business Ethics&quot;,&quot;DOI&quot;:&quot;10.1007/s10551-021-04878-1&quot;,&quot;ISSN&quot;:&quot;15730697&quot;,&quot;issued&quot;:{&quot;date-parts&quot;:[[2022,10,1]]},&quot;page&quot;:&quot;455-479&quot;,&quot;abstract&quot;:&quot;The purpose of this article is to problematise a particular social transparency and disclosure regulation in the UK, that transcend national boundaries in order to control (modern) slavery in supply chains operating in the developing world. Drawing on notions from the regulatory and sociology literature, i.e. transparency and normativity, and by interviewing anti-slavery activists and experts, this study explores the limitations of the disclosure and transparency requirements of the UK Modern Slavery Act and, more specifically, how anti-slavery activists experience and interpret the new regulations and the regulators’ implementation of the regulation. This research found limited confidence among anti-slavery activists regarding the Act’s call for transparency in relation to the elimination of slavery from global supply chains. The research also found that the limits of the transparency provisions within the Act appear to hinder the attainment of normativity. This study provides new and unique insights into the critical role that social activists play in exposing the lack of corporate transparency and failures of responsibility to protect workers within global supply chains.&quot;,&quot;publisher&quot;:&quot;Springer Science and Business Media B.V.&quot;,&quot;issue&quot;:&quot;2&quot;,&quot;volume&quot;:&quot;180&quot;,&quot;container-title-short&quot;:&quot;&quot;},&quot;isTemporary&quot;:false},{&quot;id&quot;:&quot;b8d87259-3965-35eb-adc3-928c1f83726e&quot;,&quot;itemData&quot;:{&quot;type&quot;:&quot;article-journal&quot;,&quot;id&quot;:&quot;b8d87259-3965-35eb-adc3-928c1f83726e&quot;,&quot;title&quot;:&quot;Gender-Based Violence and Harassment in Bangladesh’s Ready-Made Garments (RMG) Industry: Exploring Workplace Well-Being Issues in Policy and Practice&quot;,&quot;author&quot;:[{&quot;family&quot;:&quot;Akter&quot;,&quot;given&quot;:&quot;Rahima&quot;,&quot;parse-names&quot;:false,&quot;dropping-particle&quot;:&quot;&quot;,&quot;non-dropping-particle&quot;:&quot;&quot;},{&quot;family&quot;:&quot;Teicher&quot;,&quot;given&quot;:&quot;Julian&quot;,&quot;parse-names&quot;:false,&quot;dropping-particle&quot;:&quot;&quot;,&quot;non-dropping-particle&quot;:&quot;&quot;},{&quot;family&quot;:&quot;Alam&quot;,&quot;given&quot;:&quot;Quamrul&quot;,&quot;parse-names&quot;:false,&quot;dropping-particle&quot;:&quot;&quot;,&quot;non-dropping-particle&quot;:&quot;&quot;}],&quot;container-title&quot;:&quot;Sustainability (Switzerland) &quot;,&quot;DOI&quot;:&quot;10.3390/su16052132&quot;,&quot;ISSN&quot;:&quot;20711050&quot;,&quot;issued&quot;:{&quot;date-parts&quot;:[[2024,3,1]]},&quot;abstract&quot;:&quot;Gender-based violence and harassment (GBVH) in the workplace are major issues that affect the work environment and employee well-being. These issues have received little attention from managers in the ready-made garments (RMG) factories or policymakers more generally in Bangladesh, despite the comprehensive approach to restructuring the industry following two devastating industrial accidents. This research examines the role played by RMG factory managers in eliminating gender-based violence and increasing positive work experiences and well-being in the workplace, and the policy initiatives from the government with the aim to stop workplace violence. The study uses qualitative methods—document analysis and semi-structured interviews. The findings reveal that measures to protect workers from GBVH are absent in employment regulation. Though there are high court directives on workplace harassment, these have not been implemented effectively. The findings show that women workers have faced longstanding GBVH, which has impacted their well-being. The increasing rate of women leaving RMG sector jobs reflects how women workers’ well-being issues have been disregarded within the factories.&quot;,&quot;publisher&quot;:&quot;Multidisciplinary Digital Publishing Institute (MDPI)&quot;,&quot;issue&quot;:&quot;5&quot;,&quot;volume&quot;:&quot;16&quot;,&quot;container-title-short&quot;:&quot;&quot;},&quot;isTemporary&quot;:false}],&quot;citationTag&quot;:&quot;MENDELEY_CITATION_v3_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&quot;},{&quot;citationID&quot;:&quot;MENDELEY_CITATION_b69da194-7859-4208-8316-88ffdec0ae66&quot;,&quot;properties&quot;:{&quot;noteIndex&quot;:0},&quot;isEdited&quot;:false,&quot;manualOverride&quot;:{&quot;isManuallyOverridden&quot;:false,&quot;citeprocText&quot;:&quot;(Houqe and Khan, 2025; Khatami &lt;i&gt;et al.&lt;/i&gt;, 2024; Moussa &lt;i&gt;et al.&lt;/i&gt;, 2022)&quot;,&quot;manualOverrideText&quot;:&quot;&quot;},&quot;citationItems&quot;:[{&quot;id&quot;:&quot;042edb70-0517-3e16-b68d-f0cc933b6a81&quot;,&quot;itemData&quot;:{&quot;type&quot;:&quot;article-journal&quot;,&quot;id&quot;:&quot;042edb70-0517-3e16-b68d-f0cc933b6a81&quot;,&quot;title&quot;:&quot;Country-level analysis of the relationships between sustainability and the textile-clothing–leather–footwear industries&quot;,&quot;author&quot;:[{&quot;family&quot;:&quot;Khatami&quot;,&quot;given&quot;:&quot;Fahimeh&quot;,&quot;parse-names&quot;:false,&quot;dropping-particle&quot;:&quot;&quot;,&quot;non-dropping-particle&quot;:&quot;&quot;},{&quot;family&quot;:&quot;Rinaldi&quot;,&quot;given&quot;:&quot;Francesca Romana&quot;,&quot;parse-names&quot;:false,&quot;dropping-particle&quot;:&quot;&quot;,&quot;non-dropping-particle&quot;:&quot;&quot;},{&quot;family&quot;:&quot;Salvato&quot;,&quot;given&quot;:&quot;Carlo&quot;,&quot;parse-names&quot;:false,&quot;dropping-particle&quot;:&quot;&quot;,&quot;non-dropping-particle&quot;:&quot;&quot;},{&quot;family&quot;:&quot;Ferraris&quot;,&quot;given&quot;:&quot;Alberto&quot;,&quot;parse-names&quot;:false,&quot;dropping-particle&quot;:&quot;&quot;,&quot;non-dropping-particle&quot;:&quot;&quot;}],&quot;container-title&quot;:&quot;Business Strategy and the Environment&quot;,&quot;container-title-short&quot;:&quot;Bus Strategy Environ&quot;,&quot;DOI&quot;:&quot;10.1002/bse.3940&quot;,&quot;ISSN&quot;:&quot;10990836&quot;,&quot;issued&quot;:{&quot;date-parts&quot;:[[2024]]},&quot;abstract&quot;:&quot;The current study aims to investigate the relationships between sustainability and the textile–clothing–leather–footwear (TCLF) industries in four countries, France, Germany, Italy, and Spain. The quantitative approach involved using the linear regression model for data from 2010 to 2020 related to three independent variables of TCLF configurations and six dependent variables of sustainability. Our findings show significant positive relationships between the trade balance values of agricultural raw materials (TB of ARM), footwear (TB of FOOT), and textiles and clothing (TB of TEXT), which were recognized as the key variables of the TCLF industries with overall sustainability and an emerging circular economy in the study areas. Among the four countries, the strongest correlations between TCLF industries and sustainability belonged to Italy. The novelty of this research lies in identifying the relevant variables from the World Integrated Trade Solution (WITS) and Eurostat databases to evaluate the TCLF industries–sustainability relationships at the country level.&quot;,&quot;publisher&quot;:&quot;John Wiley and Sons Ltd&quot;},&quot;isTemporary&quot;:false},{&quot;id&quot;:&quot;36c73eb7-c044-3ca3-9d8f-a7edb5e752c5&quot;,&quot;itemData&quot;:{&quot;type&quot;:&quot;article-journal&quot;,&quot;id&quot;:&quot;36c73eb7-c044-3ca3-9d8f-a7edb5e752c5&quot;,&quot;title&quot;:&quot;Corruption, sustainable development goals performance and modern slavery practices: an international evidence&quot;,&quot;author&quot;:[{&quot;family&quot;:&quot;Houqe&quot;,&quot;given&quot;:&quot;Muhammad Nurul&quot;,&quot;parse-names&quot;:false,&quot;dropping-particle&quot;:&quot;&quot;,&quot;non-dropping-particle&quot;:&quot;&quot;},{&quot;family&quot;:&quot;Khan&quot;,&quot;given&quot;:&quot;Habib Zaman&quot;,&quot;parse-names&quot;:false,&quot;dropping-particle&quot;:&quot;&quot;,&quot;non-dropping-particle&quot;:&quot;&quot;}],&quot;container-title&quot;:&quot;Journal of Accounting Literature&quot;,&quot;DOI&quot;:&quot;10.1108/JAL-03-2024-0045&quot;,&quot;ISSN&quot;:&quot;07374607&quot;,&quot;issued&quot;:{&quot;date-parts&quot;:[[2025]]},&quot;page&quot;:&quot;323-351&quot;,&quot;abstract&quot;:&quot;Purpose: This study examines the two key research question; (1) Does country-level corruption give rise to modern slavery (MS) practices and (2) Does sustainable development goals (SDGs) performance of different jurisdictions reduce MS practices? Design/methodology/approach: Using a sample of 431 country-year observations (for the period of 2016, 2018 and 2023) from 146 countries, the study test hypotheses applying different econometrics analysis and conducts robustness tests. Findings: Our results indicate that country-level corruption practices increase MS practices in different contexts. These results hold when we use alternative measures for MS construct. Our study also reported that MS practices in different jurisdictions are lessened when country-level SDGs performance is higher. Our additional analysis finds that higher country-level debt serves as a channel between corruption and MS practices. Research limitations/implications: Practically, the findings of the study have a take-away message for different global actors, in particular, different countries’ governments, national regulators working to abate corruption and slavery issues. For other actors such as the United Nations, the ILO and others, the findings will have practical value for their new policy development and interventions. Originality/value: To the best of our knowledge, this study is the first that investigated the role of country-level corruption on MS practice at the country level. Similarly, our attempt towards exploring the impact of country-level sustainable development goals (SDGs) performance on the MS practices is also primary in the literature. Lastly, developing a single framework by integrating different countries’ MS practices with corruption and SDGs performance and providing related empirical evidence with global level data is a new initiative in the accounting and sustainability literature.&quot;,&quot;publisher&quot;:&quot;Emerald Publishing&quot;,&quot;issue&quot;:&quot;5&quot;,&quot;volume&quot;:&quot;47&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quot;},{&quot;citationID&quot;:&quot;MENDELEY_CITATION_5014d8c6-2bd8-4f47-926c-2228bebedd98&quot;,&quot;properties&quot;:{&quot;noteIndex&quot;:0},&quot;isEdited&quot;:false,&quot;manualOverride&quot;:{&quot;isManuallyOverridden&quot;:true,&quot;citeprocText&quot;:&quot;(Ahmed, 2025; Bales, 2009; Meehan and Pinnington, 2021a)&quot;,&quot;manualOverrideText&quot;:&quot;(Bales, 2009; Meehan and Pinnington, 2021; Ahmed, 2025)&quot;},&quot;citationItems&quot;:[{&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id&quot;:&quot;6247d572-f3c7-3d6c-bba6-13ede1448480&quot;,&quot;itemData&quot;:{&quot;type&quot;:&quot;article-journal&quot;,&quot;id&quot;:&quot;6247d572-f3c7-3d6c-bba6-13ede1448480&quot;,&quot;title&quot;:&quot;Modern slavery in supply chains: insights through strategic ambiguity&quot;,&quot;author&quot;:[{&quot;family&quot;:&quot;Meehan&quot;,&quot;given&quot;:&quot;Joanne&quot;,&quot;parse-names&quot;:false,&quot;dropping-particle&quot;:&quot;&quot;,&quot;non-dropping-particle&quot;:&quot;&quot;},{&quot;family&quot;:&quot;Pinnington&quot;,&quot;given&quot;:&quot;Bruce D.&quot;,&quot;parse-names&quot;:false,&quot;dropping-particle&quot;:&quot;&quot;,&quot;non-dropping-particle&quot;:&quot;&quot;}],&quot;container-title&quot;:&quot;International Journal of Operations and Production Management&quot;,&quot;DOI&quot;:&quot;10.1108/IJOPM-05-2020-0292&quot;,&quot;ISSN&quot;:&quot;17586593&quot;,&quot;issued&quot;:{&quot;date-parts&quot;:[[2021,3,1]]},&quot;page&quot;:&quot;77-101&quot;,&quot;abstract&quot;:&quot;Purpose: The purpose of this paper is to assess whether firms' transparency in supply chain (TISC) statements indicate that substantive action is being taken on modern slavery in UK government supply chains. Design/methodology/approach: The authors analyse 66 of the UK government's strategic suppliers' TISC statements and 20 key documents related to the policy intent of the UK Parliament, 2015 TISC requirements. Qualitative document analysis identifies what suppliers say they are doing and what they are not saying to provide novel insights into how firms employ ambiguity to avoid timely action on modern slavery in their supply chains A set of propositions are developed. Findings: The authors elaborate the concepts of time and change in socially sustainable supply chains and illustrate how firms use ambiguity in TISC statements as a highly strategic form of action to defend the status quo, reduce accountability and delay action for modern slavery within supply chains. The authors identify three ambiguous techniques: defensive reassurance, transfer responsibility and scope reduction that deviate from the policy intention of collaborative action. Social implications: The results illustrates how ambiguity is preventing firms from taking collaborative action to tackle modern slavery in their supply chains. The lack of action as a result of ambiguity protects firms, rather than potential victims of modern slavery. Originality/value: Prior research focuses on technical compliance rather than the content of firms' TISC statements. This qualitative study provides novel insights into the policy-resistant effects of ambiguity and highlights the dynamic and instrumental role of modern slavery reporting. Theoretically, we identify accountability as an essential concept to address the causes of modern slavery in supply chains and for developing collaborative supply chain environments to tackle the issues.&quot;,&quot;publisher&quot;:&quot;Emerald Group Holdings Ltd.&quot;,&quot;issue&quot;:&quot;2&quot;,&quot;volume&quot;:&quot;41&quot;,&quot;container-title-short&quot;:&quot;&quot;},&quot;isTemporary&quot;:false},{&quot;id&quot;:&quot;e4815384-e1ac-369c-bfa0-d1ab63e6fbec&quot;,&quot;itemData&quot;:{&quot;type&quot;:&quot;article-journal&quot;,&quot;id&quot;:&quot;e4815384-e1ac-369c-bfa0-d1ab63e6fbec&quot;,&quot;title&quot;:&quot;How Violence Shapes Place: The Rise of Neo‐Authoritarianism in the Global Value Chain and the Emergence of an ‘Infernal Place’ in the Bangladesh Garment Industry&quot;,&quot;author&quot;:[{&quot;family&quot;:&quot;Ahmed&quot;,&quot;given&quot;:&quot;Shoaib&quot;,&quot;parse-names&quot;:false,&quot;dropping-particle&quot;:&quot;&quot;,&quot;non-dropping-particle&quot;:&quot;&quot;}],&quot;container-title&quot;:&quot;Journal of Management Studies&quot;,&quot;DOI&quot;:&quot;10.1111/joms.13235&quot;,&quot;ISSN&quot;:&quot;0022-2380&quot;,&quot;URL&quot;:&quot;https://onlinelibrary.wiley.com/doi/10.1111/joms.13235&quot;,&quot;issued&quot;:{&quot;date-parts&quot;:[[2025,4,23]]},&quot;abstract&quot;:&quot;&lt;p&gt;This article examines how and to what extent violence has become a pivotal tool for conducting business in places integrated into the global value chain. It also explores the roles stakeholders play in silencing workers' resistance within these places. Drawing on an in‐depth case study of the Bangladeshi garment industry, this study reveals that both foreign and homegrown violence transform factory floors into infernal places where workers' rights, dignity, emotions, resistance, and even lives are systematically degraded by neo‐authoritarian stakeholders. Furthermore, it explores the ways in which a neo‐authoritarian regime, disguised as promoting economic growth and stability, normalizes violence in these places through constitutional reforms, amendments, or the revocation of legal frameworks. This study contributes to management research by uncovering place‐based violence and the roles of neo‐authoritarian alliances in enabling both organizational and social actors, as gatekeepers, to silence workers' resistance. It argues that without a fundamental shift toward anti‐authoritarian governance, dismantling these infernal places will remain an insurmountable challenge.&lt;/p&gt;&quot;,&quot;container-title-short&quot;:&quot;&quot;},&quot;isTemporary&quot;:false}],&quot;citationTag&quot;:&quot;MENDELEY_CITATION_v3_eyJjaXRhdGlvbklEIjoiTUVOREVMRVlfQ0lUQVRJT05fNTAxNGQ4YzYtMmJkOC00ZjQ3LTkyNmMtMjIyOGJlYmVkZDk4IiwicHJvcGVydGllcyI6eyJub3RlSW5kZXgiOjB9LCJpc0VkaXRlZCI6ZmFsc2UsIm1hbnVhbE92ZXJyaWRlIjp7ImlzTWFudWFsbHlPdmVycmlkZGVuIjp0cnVlLCJjaXRlcHJvY1RleHQiOiIoQWhtZWQsIDIwMjU7IEJhbGVzLCAyMDA5OyBNZWVoYW4gYW5kIFBpbm5pbmd0b24sIDIwMjFhKSIsIm1hbnVhbE92ZXJyaWRlVGV4dCI6IihCYWxlcywgMjAwOTsgTWVlaGFuIGFuZCBQaW5uaW5ndG9uLCAyMDIxOyBBaG1lZCwgMjAyNSkifSwiY2l0YXRpb25JdGVtcyI6W3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&quot;},{&quot;citationID&quot;:&quot;MENDELEY_CITATION_3d2f9e04-738c-4908-a9e1-47049fe368da&quot;,&quot;properties&quot;:{&quot;noteIndex&quot;:0},&quot;isEdited&quot;:false,&quot;manualOverride&quot;:{&quot;isManuallyOverridden&quot;:false,&quot;citeprocText&quot;:&quot;(Ahmed, 2025; Perry &lt;i&gt;et al.&lt;/i&gt;, 2015)&quot;,&quot;manualOverrideText&quot;:&quot;&quot;},&quot;citationItems&quot;:[{&quot;id&quot;:&quot;19070122-5e06-3f97-a9b3-02b90e804849&quot;,&quot;itemData&quot;:{&quot;type&quot;:&quot;article-journal&quot;,&quot;id&quot;:&quot;19070122-5e06-3f97-a9b3-02b90e804849&quot;,&quot;title&quot;:&quot;Corporate Social Responsibility in Garment Sourcing Networks: Factory Management Perspectives on Ethical Trade in Sri Lanka&quot;,&quot;author&quot;:[{&quot;family&quot;:&quot;Perry&quot;,&quot;given&quot;:&quot;Patsy&quot;,&quot;parse-names&quot;:false,&quot;dropping-particle&quot;:&quot;&quot;,&quot;non-dropping-particle&quot;:&quot;&quot;},{&quot;family&quot;:&quot;Wood&quot;,&quot;given&quot;:&quot;Steve&quot;,&quot;parse-names&quot;:false,&quot;dropping-particle&quot;:&quot;&quot;,&quot;non-dropping-particle&quot;:&quot;&quot;},{&quot;family&quot;:&quot;Fernie&quot;,&quot;given&quot;:&quot;John&quot;,&quot;parse-names&quot;:false,&quot;dropping-particle&quot;:&quot;&quot;,&quot;non-dropping-particle&quot;:&quot;&quot;}],&quot;container-title&quot;:&quot;Journal of Business Ethics&quot;,&quot;DOI&quot;:&quot;10.1007/s10551-014-2252-2&quot;,&quot;ISSN&quot;:&quot;15730697&quot;,&quot;issued&quot;:{&quot;date-parts&quot;:[[2015,9,22]]},&quot;page&quot;:&quot;737-752&quot;,&quot;abstract&quot;:&quot;With complex buyer-driven global production networks and a labour-intensive manufacturing process, the fashion industry has become a focal point for debates on the social responsibility of business. Utilising an interview methodology with influential actors from seven export garment manufacturers in Sri Lanka, we explore the situated knowledge at one nodal point of the production network. We conceptualise factory management perspectives on the implementation of corporate social responsibility (CSR) in terms of the strategic balancing of ethical considerations against the commercial pressures of cost and lead time. Factory managers framed CSR in terms of compliance, rather than going above and beyond regulatory requirements; seeing it as a strategic competitive imperative and less a developmental mechanism. Sri Lankan manufacturers maintain that they have benefitted from a unique combination of factors, including strict national labour laws, an educated workforce, the characteristics of the garments produced, industrial upgrading, and long-term non-adversarial buyer–supplier relationships, which they argue has supported the establishment and maintenance of CSR practices. The paper thus provides managerial implications that relate CSR activities to CSR outcomes which include both reputational and production benefits. Such insights will be of strategic relevance for lead retail buyers as well as apparel producers keen to invest in CSR to partly mitigate against increasing price-based competition.&quot;,&quot;publisher&quot;:&quot;Kluwer Academic Publishers&quot;,&quot;issue&quot;:&quot;3&quot;,&quot;volume&quot;:&quot;130&quot;,&quot;container-title-short&quot;:&quot;&quot;},&quot;isTemporary&quot;:false},{&quot;id&quot;:&quot;e4815384-e1ac-369c-bfa0-d1ab63e6fbec&quot;,&quot;itemData&quot;:{&quot;type&quot;:&quot;article-journal&quot;,&quot;id&quot;:&quot;e4815384-e1ac-369c-bfa0-d1ab63e6fbec&quot;,&quot;title&quot;:&quot;How Violence Shapes Place: The Rise of Neo‐Authoritarianism in the Global Value Chain and the Emergence of an ‘Infernal Place’ in the Bangladesh Garment Industry&quot;,&quot;author&quot;:[{&quot;family&quot;:&quot;Ahmed&quot;,&quot;given&quot;:&quot;Shoaib&quot;,&quot;parse-names&quot;:false,&quot;dropping-particle&quot;:&quot;&quot;,&quot;non-dropping-particle&quot;:&quot;&quot;}],&quot;container-title&quot;:&quot;Journal of Management Studies&quot;,&quot;DOI&quot;:&quot;10.1111/joms.13235&quot;,&quot;ISSN&quot;:&quot;0022-2380&quot;,&quot;URL&quot;:&quot;https://onlinelibrary.wiley.com/doi/10.1111/joms.13235&quot;,&quot;issued&quot;:{&quot;date-parts&quot;:[[2025,4,23]]},&quot;abstract&quot;:&quot;&lt;p&gt;This article examines how and to what extent violence has become a pivotal tool for conducting business in places integrated into the global value chain. It also explores the roles stakeholders play in silencing workers' resistance within these places. Drawing on an in‐depth case study of the Bangladeshi garment industry, this study reveals that both foreign and homegrown violence transform factory floors into infernal places where workers' rights, dignity, emotions, resistance, and even lives are systematically degraded by neo‐authoritarian stakeholders. Furthermore, it explores the ways in which a neo‐authoritarian regime, disguised as promoting economic growth and stability, normalizes violence in these places through constitutional reforms, amendments, or the revocation of legal frameworks. This study contributes to management research by uncovering place‐based violence and the roles of neo‐authoritarian alliances in enabling both organizational and social actors, as gatekeepers, to silence workers' resistance. It argues that without a fundamental shift toward anti‐authoritarian governance, dismantling these infernal places will remain an insurmountable challenge.&lt;/p&gt;&quot;,&quot;container-title-short&quot;:&quot;&quot;},&quot;isTemporary&quot;:false}],&quot;citationTag&quot;:&quot;MENDELEY_CITATION_v3_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&quot;},{&quot;citationID&quot;:&quot;MENDELEY_CITATION_1d892245-2844-45e9-8267-c7b025df554c&quot;,&quot;properties&quot;:{&quot;noteIndex&quot;:0},&quot;isEdited&quot;:false,&quot;manualOverride&quot;:{&quot;isManuallyOverridden&quot;:false,&quot;citeprocText&quot;:&quot;(Bales, 2007; ILO, 2017a; Landman and Silverman, 2019; Walk Free and Minderoo, 2018)&quot;,&quot;manualOverrideText&quot;:&quot;&quot;},&quot;citationItems&quot;:[{&quot;id&quot;:&quot;70addc1e-7888-3306-957d-c3c3e6c6cd4d&quot;,&quot;itemData&quot;:{&quot;type&quot;:&quot;report&quot;,&quot;id&quot;:&quot;70addc1e-7888-3306-957d-c3c3e6c6cd4d&quot;,&quot;title&quot;:&quot;Understanding Modern Slavery: What is modern slavery?&quot;,&quot;author&quot;:[{&quot;family&quot;:&quot;Walk Free&quot;,&quot;given&quot;:&quot;&quot;,&quot;parse-names&quot;:false,&quot;dropping-particle&quot;:&quot;&quot;,&quot;non-dropping-particle&quot;:&quot;&quot;},{&quot;family&quot;:&quot;Minderoo&quot;,&quot;given&quot;:&quot;&quot;,&quot;parse-names&quot;:false,&quot;dropping-particle&quot;:&quot;&quot;,&quot;non-dropping-particle&quot;:&quot;&quot;}],&quot;accessed&quot;:{&quot;date-parts&quot;:[[2023,1,20]]},&quot;URL&quot;:&quot;www.minderoo.org.au/walk-free&quot;,&quot;issued&quot;:{&quot;date-parts&quot;:[[2018]]},&quot;container-title-short&quot;:&quot;&quot;},&quot;isTemporary&quot;:false},{&quot;id&quot;:&quot;47823a7e-c51b-345b-86d1-9aab5d18ddf2&quot;,&quot;itemData&quot;:{&quot;type&quot;:&quot;webpage&quot;,&quot;id&quot;:&quot;47823a7e-c51b-345b-86d1-9aab5d18ddf2&quot;,&quot;title&quot;:&quot;Modern slavery and child labour: 40 million in modern slavery and 152 million in child labour around the world&quot;,&quot;author&quot;:[{&quot;family&quot;:&quot;ILO&quot;,&quot;given&quot;:&quot;&quot;,&quot;parse-names&quot;:false,&quot;dropping-particle&quot;:&quot;&quot;,&quot;non-dropping-particle&quot;:&quot;&quot;}],&quot;accessed&quot;:{&quot;date-parts&quot;:[[2023,2,7]]},&quot;URL&quot;:&quot;https://www.ilo.org/global/about-the-ilo/newsroom/news/WCMS_574717/lang--en/index.htm&quot;,&quot;issued&quot;:{&quot;date-parts&quot;:[[2017,9,19]]},&quot;container-title-short&quot;:&quot;&quot;},&quot;isTemporary&quot;:false},{&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id&quot;:&quot;ddc97eac-b550-3c5e-937f-7c014f07fe22&quot;,&quot;itemData&quot;:{&quot;type&quot;:&quot;book&quot;,&quot;id&quot;:&quot;ddc97eac-b550-3c5e-937f-7c014f07fe22&quot;,&quot;title&quot;:&quot;Ending Slavery: How We Free Today’s Slaves&quot;,&quot;author&quot;:[{&quot;family&quot;:&quot;Bales&quot;,&quot;given&quot;:&quot;K&quot;,&quot;parse-names&quot;:false,&quot;dropping-particle&quot;:&quot;&quot;,&quot;non-dropping-particle&quot;:&quot;&quot;}],&quot;issued&quot;:{&quot;date-parts&quot;:[[2007]]},&quot;number-of-pages&quot;:&quot;1-274&quot;,&quot;edition&quot;:&quot;1&quot;,&quot;publisher&quot;:&quot;University of California Press&quot;,&quot;container-title-short&quot;:&quot;&quot;},&quot;isTemporary&quot;:false}],&quot;citationTag&quot;:&quot;MENDELEY_CITATION_v3_eyJjaXRhdGlvbklEIjoiTUVOREVMRVlfQ0lUQVRJT05fMWQ4OTIyNDUtMjg0NC00NWU5LTgyNjctYzdiMDI1ZGY1NTRjIiwicHJvcGVydGllcyI6eyJub3RlSW5kZXgiOjB9LCJpc0VkaXRlZCI6ZmFsc2UsIm1hbnVhbE92ZXJyaWRlIjp7ImlzTWFudWFsbHlPdmVycmlkZGVuIjpmYWxzZSwiY2l0ZXByb2NUZXh0IjoiKEJhbGVzLCAyMDA3OyBJTE8sIDIwMTdhOyBMYW5kbWFuIGFuZCBTaWx2ZXJtYW4sIDIwMTk7IFdhbGsgRnJlZSBhbmQgTWluZGVyb28sIDIwMTgpIiwibWFudWFsT3ZlcnJpZGVUZXh0Ijoi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&quot;},{&quot;citationID&quot;:&quot;MENDELEY_CITATION_9b85c2f0-dad9-46bf-8d15-76033f3bcb85&quot;,&quot;properties&quot;:{&quot;noteIndex&quot;:0},&quot;isEdited&quot;:false,&quot;manualOverride&quot;:{&quot;isManuallyOverridden&quot;:true,&quot;citeprocText&quot;:&quot;(Muthuthantrige &lt;i&gt;et al.&lt;/i&gt;, 2026)&quot;,&quot;manualOverrideText&quot;:&quot;Muthuthantrige et al. (2026)&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OWI4NWMyZjAtZGFkOS00NmJmLThkMTUtNzYwMzNmM2JjYjg1IiwicHJvcGVydGllcyI6eyJub3RlSW5kZXgiOjB9LCJpc0VkaXRlZCI6ZmFsc2UsIm1hbnVhbE92ZXJyaWRlIjp7ImlzTWFudWFsbHlPdmVycmlkZGVuIjp0cnVlLCJjaXRlcHJvY1RleHQiOiIoTXV0aHV0aGFudHJpZ2UgPGk+ZXQgYWwuPC9pPiwgMjAyNikiLCJtYW51YWxPdmVycmlkZVRleHQiOiJNdXRodXRoYW50cmlnZSBldCBhbC4gKDIwMjYp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3bcf55f6-a960-4191-aadf-e4212b107ca5&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M2JjZjU1ZjYtYTk2MC00MTkxLWFhZGYtZTQyMTJiMTA3Y2E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79a4c398-e323-4e49-a789-ceac0c5925e9&quot;,&quot;properties&quot;:{&quot;noteIndex&quot;:0},&quot;isEdited&quot;:false,&quot;manualOverride&quot;:{&quot;isManuallyOverridden&quot;:false,&quot;citeprocText&quot;:&quot;(Albitar &lt;i&gt;et al.&lt;/i&gt;, 2025; Flynn and Walker, 2021; Houqe and Khan, 2025;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336c159a-b55a-33bb-b8a0-14b7a77aeb9d&quot;,&quot;itemData&quot;:{&quot;type&quot;:&quot;article-journal&quot;,&quot;id&quot;:&quot;336c159a-b55a-33bb-b8a0-14b7a77aeb9d&quot;,&quot;title&quot;:&quot;Corporate responses to modern slavery risks: an institutional theory perspective&quot;,&quot;author&quot;:[{&quot;family&quot;:&quot;Flynn&quot;,&quot;given&quot;:&quot;Anthony&quot;,&quot;parse-names&quot;:false,&quot;dropping-particle&quot;:&quot;&quot;,&quot;non-dropping-particle&quot;:&quot;&quot;},{&quot;family&quot;:&quot;Walker&quot;,&quot;given&quot;:&quot;Helen&quot;,&quot;parse-names&quot;:false,&quot;dropping-particle&quot;:&quot;&quot;,&quot;non-dropping-particle&quot;:&quot;&quot;}],&quot;container-title&quot;:&quot;European Business Review&quot;,&quot;DOI&quot;:&quot;10.1108/EBR-05-2019-0092&quot;,&quot;ISSN&quot;:&quot;0955534X&quot;,&quot;issued&quot;:{&quot;date-parts&quot;:[[2021,2,4]]},&quot;page&quot;:&quot;295-315&quot;,&quot;abstract&quot;:&quot;Purpose: Drawing on statements made under the transparency in supply chains provision of the UK Modern Slavery Act, this paper aims to examine how firms are responding to modern slavery risks in their supply chains. Design/methodology/approach: Using an institutional theory lens, a content analysis of modern slavery statements by financial times stock exchange (FTSE) firms is carried out. The analysis focusses on sources of modern slavery institutional pressure and changes that firms have made in their structures, policies and practices in response to modern slavery risks. Findings: Three sources of institutional pressure are inferred from modern slavery statements: international human rights accords (coercive), multi-stakeholder initiatives (mimetic) and professional standards (normative). Changes made by firms in direct response to modern slavery include adopting new policies, strengthening contract terms, establishing working/steering groups and creating new key performance indicators. FTSE 100 firms have been more proactive than FTSE 250 firms in making these changes, as have firms in higher risk industries. Research limitations/implications: The analysis covers FTSE firms only. Responses to modern slavery risks by non-FTSE firms deserve attention. Practical implications: The UK Modern Slavery Act relies on non-government organisations and consumers to hold firms to account over modern slavery. Policymakers should be aware that while this strategy might work with high profile firms, it is less applicable to firms that operate below the public radar. Originality/value: The paper shows that institutional theory has validity for explaining corporate responses to modern slavery risks.&quot;,&quot;publisher&quot;:&quot;Emerald Group Holdings Ltd.&quot;,&quot;issue&quot;:&quot;2&quot;,&quot;volume&quot;:&quot;33&quot;,&quot;container-title-short&quot;:&quot;&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id&quot;:&quot;36c73eb7-c044-3ca3-9d8f-a7edb5e752c5&quot;,&quot;itemData&quot;:{&quot;type&quot;:&quot;article-journal&quot;,&quot;id&quot;:&quot;36c73eb7-c044-3ca3-9d8f-a7edb5e752c5&quot;,&quot;title&quot;:&quot;Corruption, sustainable development goals performance and modern slavery practices: an international evidence&quot;,&quot;author&quot;:[{&quot;family&quot;:&quot;Houqe&quot;,&quot;given&quot;:&quot;Muhammad Nurul&quot;,&quot;parse-names&quot;:false,&quot;dropping-particle&quot;:&quot;&quot;,&quot;non-dropping-particle&quot;:&quot;&quot;},{&quot;family&quot;:&quot;Khan&quot;,&quot;given&quot;:&quot;Habib Zaman&quot;,&quot;parse-names&quot;:false,&quot;dropping-particle&quot;:&quot;&quot;,&quot;non-dropping-particle&quot;:&quot;&quot;}],&quot;container-title&quot;:&quot;Journal of Accounting Literature&quot;,&quot;DOI&quot;:&quot;10.1108/JAL-03-2024-0045&quot;,&quot;ISSN&quot;:&quot;07374607&quot;,&quot;issued&quot;:{&quot;date-parts&quot;:[[2025]]},&quot;page&quot;:&quot;323-351&quot;,&quot;abstract&quot;:&quot;Purpose: This study examines the two key research question; (1) Does country-level corruption give rise to modern slavery (MS) practices and (2) Does sustainable development goals (SDGs) performance of different jurisdictions reduce MS practices? Design/methodology/approach: Using a sample of 431 country-year observations (for the period of 2016, 2018 and 2023) from 146 countries, the study test hypotheses applying different econometrics analysis and conducts robustness tests. Findings: Our results indicate that country-level corruption practices increase MS practices in different contexts. These results hold when we use alternative measures for MS construct. Our study also reported that MS practices in different jurisdictions are lessened when country-level SDGs performance is higher. Our additional analysis finds that higher country-level debt serves as a channel between corruption and MS practices. Research limitations/implications: Practically, the findings of the study have a take-away message for different global actors, in particular, different countries’ governments, national regulators working to abate corruption and slavery issues. For other actors such as the United Nations, the ILO and others, the findings will have practical value for their new policy development and interventions. Originality/value: To the best of our knowledge, this study is the first that investigated the role of country-level corruption on MS practice at the country level. Similarly, our attempt towards exploring the impact of country-level sustainable development goals (SDGs) performance on the MS practices is also primary in the literature. Lastly, developing a single framework by integrating different countries’ MS practices with corruption and SDGs performance and providing related empirical evidence with global level data is a new initiative in the accounting and sustainability literature.&quot;,&quot;publisher&quot;:&quot;Emerald Publishing&quot;,&quot;issue&quot;:&quot;5&quot;,&quot;volume&quot;:&quot;47&quot;,&quot;container-title-short&quot;:&quot;&quot;},&quot;isTemporary&quot;:false}],&quot;citationTag&quot;:&quot;MENDELEY_CITATION_v3_eyJjaXRhdGlvbklEIjoiTUVOREVMRVlfQ0lUQVRJT05fNzlhNGMzOTgtZTMyMy00ZTQ5LWE3ODktY2VhYzBjNTkyNWU5IiwicHJvcGVydGllcyI6eyJub3RlSW5kZXgiOjB9LCJpc0VkaXRlZCI6ZmFsc2UsIm1hbnVhbE92ZXJyaWRlIjp7ImlzTWFudWFsbHlPdmVycmlkZGVuIjpmYWxzZSwiY2l0ZXByb2NUZXh0IjoiKEFsYml0YXIgPGk+ZXQgYWwuPC9pPiwgMjAyNTsgRmx5bm4gYW5kIFdhbGtlciwgMjAyMTsgSG91cWUgYW5kIEtoYW4sIDIwMjU7I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0s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V19&quot;},{&quot;citationID&quot;:&quot;MENDELEY_CITATION_4bf08469-1ba0-494e-b8dc-c1c6eea86231&quot;,&quot;properties&quot;:{&quot;noteIndex&quot;:0},&quot;isEdited&quot;:false,&quot;manualOverride&quot;:{&quot;isManuallyOverridden&quot;:true,&quot;citeprocText&quot;:&quot;(Crane &lt;i&gt;et al.&lt;/i&gt;, 2019a; LeBaron, 2020b)&quot;,&quot;manualOverrideText&quot;:&quot;(Crane et al., 2019a; LeBaron, 2020a)&quot;},&quot;citationItems&quot;:[{&quot;id&quot;:&quot;ddafc742-0174-3eef-b9e6-1f608181f185&quot;,&quot;itemData&quot;:{&quot;type&quot;:&quot;article-journal&quot;,&quot;id&quot;:&quot;ddafc742-0174-3eef-b9e6-1f608181f185&quot;,&quot;title&quot;:&quot;Governance gaps in eradicating forced labou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mp; Governance&quot;,&quot;container-title-short&quot;:&quot;Regul Gov&quot;,&quot;accessed&quot;:{&quot;date-parts&quot;:[[2023,2,4]]},&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John Wiley &amp; Sons, Ltd&quot;,&quot;issue&quot;:&quot;1&quot;,&quot;volume&quot;:&quot;13&quot;},&quot;isTemporary&quot;:false},{&quot;id&quot;:&quot;f5bfe226-c891-3d7d-8527-ae80ded30f72&quot;,&quot;itemData&quot;:{&quot;type&quot;:&quot;book&quot;,&quot;id&quot;:&quot;f5bfe226-c891-3d7d-8527-ae80ded30f72&quot;,&quot;title&quot;:&quot;Combatting Modern Slavery: Why Labour Governance is Failing and What We Can&quot;,&quot;author&quot;:[{&quot;family&quot;:&quot;LeBaron&quot;,&quot;given&quot;:&quot;Genevieve.&quot;,&quot;parse-names&quot;:false,&quot;dropping-particle&quot;:&quot;&quot;,&quot;non-dropping-particle&quot;:&quot;&quot;}],&quot;accessed&quot;:{&quot;date-parts&quot;:[[2023,2,4]]},&quot;editor&quot;:[{&quot;family&quot;:&quot;John Wiley &amp; Sons&quot;,&quot;given&quot;:&quot;&quot;,&quot;parse-names&quot;:false,&quot;dropping-particle&quot;:&quot;&quot;,&quot;non-dropping-particle&quot;:&quot;&quot;}],&quot;issued&quot;:{&quot;date-parts&quot;:[[2020]]},&quot;container-title-short&quot;:&quot;&quot;},&quot;isTemporary&quot;:false}],&quot;citationTag&quot;:&quot;MENDELEY_CITATION_v3_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AmIEdvdmVybmFuY2UiLCJjb250YWluZXItdGl0bGUtc2hvcnQiOiJSZWd1bCBHb3YiLCJhY2Nlc3NlZCI6eyJkYXRlLXBhcnRzIjpbWzIwMjMsMiw0XV19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&quot;},{&quot;citationID&quot;:&quot;MENDELEY_CITATION_4c71c477-9438-4cab-aa28-af8646bb8c30&quot;,&quot;properties&quot;:{&quot;noteIndex&quot;:0},&quot;isEdited&quot;:false,&quot;manualOverride&quot;:{&quot;isManuallyOverridden&quot;:true,&quot;citeprocText&quot;:&quot;(Creswell and Plano, 2018; Morgan, 2007a)&quot;,&quot;manualOverrideText&quot;:&quot;(Creswell and Plano, 2018; Morgan, 2007)&quot;},&quot;citationItems&quot;:[{&quot;id&quot;:&quot;20654d9f-2179-3d90-b226-4cf1e34bf0b6&quot;,&quot;itemData&quot;:{&quot;type&quot;:&quot;article-journal&quot;,&quot;id&quot;:&quot;20654d9f-2179-3d90-b226-4cf1e34bf0b6&quot;,&quot;title&quot;:&quot;Paradigms Lost and Pragmatism Regained: Methodological Implications of Combining Qualitative and Quantitative Methods&quot;,&quot;author&quot;:[{&quot;family&quot;:&quot;Morgan&quot;,&quot;given&quot;:&quot;David L.&quot;,&quot;parse-names&quot;:false,&quot;dropping-particle&quot;:&quot;&quot;,&quot;non-dropping-particle&quot;:&quot;&quot;}],&quot;container-title&quot;:&quot;Journal of Mixed Methods Research&quot;,&quot;container-title-short&quot;:&quot;J Mix Methods Res&quot;,&quot;DOI&quot;:&quot;10.1177/2345678906292462&quot;,&quot;ISSN&quot;:&quot;15586901&quot;,&quot;issued&quot;:{&quot;date-parts&quot;:[[2007]]},&quot;page&quot;:&quot;48-76&quot;,&quot;abstract&quot;:&quot;This article examines several methodological issues associated with combining qualitative and quantitative methods by comparing the increasing interest in this topic with the earlier renewal of interest in qualitative research during the 1980s. The first section argues for the value of Kuhn’s concept of paradigm shifts as a tool for examining changes in research fields such as social science research methodology. The next two sections consider the initial rise of the “metaphysical paradigm” that justified the renewed interest in qualitative research and the subsequent problems that have encouraged efforts to replace that paradigm. The final section of the paper advocates a “pragmatic approach” as a new guiding paradigm in social science research methods, both as a basis for supporting work that combines qualitative and quantitative methods and as a way to redirect our attention to methodological rather than metaphysical concerns. © 2007, SAGE Publications. All rights reserved.&quot;,&quot;issue&quot;:&quot;1&quot;,&quot;volume&quot;:&quot;1&quot;},&quot;isTemporary&quot;:false},{&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&quot;},{&quot;citationID&quot;:&quot;MENDELEY_CITATION_d94e373c-dd4c-48ba-a8fe-e035ec358b1c&quot;,&quot;properties&quot;:{&quot;noteIndex&quot;:0},&quot;isEdited&quot;:false,&quot;manualOverride&quot;:{&quot;isManuallyOverridden&quot;:false,&quot;citeprocText&quot;:&quot;(Teddlie and Tashakkori, 2009)&quot;,&quot;manualOverrideText&quot;:&quot;&quot;},&quot;citationItems&quot;:[{&quot;id&quot;:&quot;9e8fece2-3956-3746-9fff-49cef85747cf&quot;,&quot;itemData&quot;:{&quot;type&quot;:&quot;book&quot;,&quot;id&quot;:&quot;9e8fece2-3956-3746-9fff-49cef85747cf&quot;,&quot;title&quot;:&quot;Foundations of mixed methods research: Integrating quantitative and qualitative approaches in the social and behavioral sciences. &quot;,&quot;author&quot;:[{&quot;family&quot;:&quot;Teddlie&quot;,&quot;given&quot;:&quot;C.,&quot;,&quot;parse-names&quot;:false,&quot;dropping-particle&quot;:&quot;&quot;,&quot;non-dropping-particle&quot;:&quot;&quot;},{&quot;family&quot;:&quot;Tashakkori&quot;,&quot;given&quot;:&quot;A&quot;,&quot;parse-names&quot;:false,&quot;dropping-particle&quot;:&quot;&quot;,&quot;non-dropping-particle&quot;:&quot;&quot;}],&quot;issued&quot;:{&quot;date-parts&quot;:[[2009]]},&quot;publisher-place&quot;:&quot;California &quot;,&quot;number-of-pages&quot;:&quot;1-229&quot;,&quot;publisher&quot;:&quot;Sage publications.&quot;,&quot;container-title-short&quot;:&quot;&quot;},&quot;isTemporary&quot;:false}],&quot;citationTag&quot;:&quot;MENDELEY_CITATION_v3_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&quot;},{&quot;citationID&quot;:&quot;MENDELEY_CITATION_f843e435-162b-40d7-a424-bcd5e874a406&quot;,&quot;properties&quot;:{&quot;noteIndex&quot;:0},&quot;isEdited&quot;:false,&quot;manualOverride&quot;:{&quot;isManuallyOverridden&quot;:false,&quot;citeprocText&quot;:&quot;(Bryman, 2016; Guba and Lincoln, 2005)&quot;,&quot;manualOverrideText&quot;:&quot;&quot;},&quot;citationItems&quot;:[{&quot;id&quot;:&quot;20f46e4f-6c90-37d6-bf08-c94cdcf4bb0f&quot;,&quot;itemData&quot;:{&quot;type&quot;:&quot;book&quot;,&quot;id&quot;:&quot;20f46e4f-6c90-37d6-bf08-c94cdcf4bb0f&quot;,&quot;title&quot;:&quot;Social research methods&quot;,&quot;author&quot;:[{&quot;family&quot;:&quot;Bryman&quot;,&quot;given&quot;:&quot;Alan.&quot;,&quot;parse-names&quot;:false,&quot;dropping-particle&quot;:&quot;&quot;,&quot;non-dropping-particle&quot;:&quot;&quot;}],&quot;ISBN&quot;:&quot;9780199689453&quot;,&quot;issued&quot;:{&quot;date-parts&quot;:[[2016]]},&quot;number-of-pages&quot;:&quot;747&quot;,&quot;abstract&quot;:&quot;Fifth edition. \&quot;This best-selling introduction to research methods provides students and researchers with unrivalled coverage of both quantitative and qualitative methods, making it invaluable for anyone embarking on social research. Bridging the gap between theory and practice, Social Research Methods is packed full of engaging examples and practical tips to equip students with the tools and knowledge needed for them to complete their own research projects. In addition to providing practical advice, Bryman deftly explores the nature of social research and the wider issues impinging on it.\&quot;--Provided by publisher. The research process -- Quantitative research -- Qualitative research -- Mixed methods research and writing up.&quot;,&quot;publisher&quot;:&quot;Oxford University Press&quot;,&quot;container-title-short&quot;:&quot;&quot;},&quot;isTemporary&quot;:false},{&quot;id&quot;:&quot;76e120b9-9427-33c1-bf47-1da2fc1427a8&quot;,&quot;itemData&quot;:{&quot;type&quot;:&quot;report&quot;,&quot;id&quot;:&quot;76e120b9-9427-33c1-bf47-1da2fc1427a8&quot;,&quot;title&quot;:&quot;Paradigmatic controversies, contradictions, and emerging confluences,&quot;,&quot;author&quot;:[{&quot;family&quot;:&quot;Guba&quot;,&quot;given&quot;:&quot;Egan G&quot;,&quot;parse-names&quot;:false,&quot;dropping-particle&quot;:&quot;&quot;,&quot;non-dropping-particle&quot;:&quot;&quot;},{&quot;family&quot;:&quot;Lincoln&quot;,&quot;given&quot;:&quot;Yvonna S&quot;,&quot;parse-names&quot;:false,&quot;dropping-particle&quot;:&quot;&quot;,&quot;non-dropping-particle&quot;:&quot;&quot;}],&quot;issued&quot;:{&quot;date-parts&quot;:[[2005]]},&quot;number-of-pages&quot;:&quot;191-2115&quot;,&quot;container-title-short&quot;:&quot;&quot;},&quot;isTemporary&quot;:false}],&quot;citationTag&quot;:&quot;MENDELEY_CITATION_v3_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&quot;},{&quot;citationID&quot;:&quot;MENDELEY_CITATION_4be962ed-09cb-4af0-8fd3-5cc6e281a43c&quot;,&quot;properties&quot;:{&quot;noteIndex&quot;:0},&quot;isEdited&quot;:false,&quot;manualOverride&quot;:{&quot;isManuallyOverridden&quot;:true,&quot;citeprocText&quot;:&quot;(Caruana &lt;i&gt;et al.&lt;/i&gt;, 2020; Fayezi &lt;i&gt;et al.&lt;/i&gt;, 2021)&quot;,&quot;manualOverrideText&quot;:&quot;Caruana et al., 2020; Fayezi et al., 2021)&quot;},&quot;citationItems&quot;:[{&quot;id&quot;:&quot;5b574290-06b0-39d6-9518-0bd3d5d6fbb4&quot;,&quot;itemData&quot;:{&quot;type&quot;:&quot;article-journal&quot;,&quot;id&quot;:&quot;5b574290-06b0-39d6-9518-0bd3d5d6fbb4&quot;,&quot;title&quot;:&quot;Modern Slavery in Supply Chains: A Socio‐Technical Perspective&quot;,&quot;author&quot;:[{&quot;family&quot;:&quot;Fayezi&quot;,&quot;given&quot;:&quot;Sajad&quot;,&quot;parse-names&quot;:false,&quot;dropping-particle&quot;:&quot;&quot;,&quot;non-dropping-particle&quot;:&quot;&quot;},{&quot;family&quot;:&quot;Benstead&quot;,&quot;given&quot;:&quot;Amy&quot;,&quot;parse-names&quot;:false,&quot;dropping-particle&quot;:&quot;&quot;,&quot;non-dropping-particle&quot;:&quot;&quot;},{&quot;family&quot;:&quot;Gold&quot;,&quot;given&quot;:&quot;Stefan&quot;,&quot;parse-names&quot;:false,&quot;dropping-particle&quot;:&quot;&quot;,&quot;non-dropping-particle&quot;:&quot;&quot;},{&quot;family&quot;:&quot;Klassen&quot;,&quot;given&quot;:&quot;Robert&quot;,&quot;parse-names&quot;:false,&quot;dropping-particle&quot;:&quot;&quot;,&quot;non-dropping-particle&quot;:&quot;&quot;},{&quot;family&quot;:&quot;Wassenhove&quot;,&quot;given&quot;:&quot;Luk&quot;,&quot;parse-names&quot;:false,&quot;dropping-particle&quot;:&quot;&quot;,&quot;non-dropping-particle&quot;:&quot;Van&quot;}],&quot;container-title&quot;:&quot;Production and Operations Management&quot;,&quot;DOI&quot;:&quot;10.1111/poms.13616&quot;,&quot;ISSN&quot;:&quot;1059-1478&quot;,&quot;issued&quot;:{&quot;date-parts&quot;:[[2021,11]]},&quot;page&quot;:&quot;4328-4329&quot;,&quot;publisher&quot;:&quot;SAGE Publications&quot;,&quot;issue&quot;:&quot;11&quot;,&quot;volume&quot;:&quot;30&quot;,&quot;container-title-short&quot;:&quot;Prod Oper Manag&quot;},&quot;isTemporary&quot;:false},{&quot;id&quot;:&quot;c8c7ef5b-971f-3e3b-bef1-e2b6806831a9&quot;,&quot;itemData&quot;:{&quot;type&quot;:&quot;article-journal&quot;,&quot;id&quot;:&quot;c8c7ef5b-971f-3e3b-bef1-e2b6806831a9&quot;,&quot;title&quot;:&quot;Modern Slavery in Business: The Sad and Sorry State of a Non-Field&quot;,&quot;author&quot;:[{&quot;family&quot;:&quot;Caruana&quot;,&quot;given&quot;:&quot;Robert&quot;,&quot;parse-names&quot;:false,&quot;dropping-particle&quot;:&quot;&quot;,&quot;non-dropping-particle&quot;:&quot;&quot;},{&quot;family&quot;:&quot;Crane&quot;,&quot;given&quot;:&quot;Andrew&quot;,&quot;parse-names&quot;:false,&quot;dropping-particle&quot;:&quot;&quot;,&quot;non-dropping-particle&quot;:&quot;&quot;},{&quot;family&quot;:&quot;Gold&quot;,&quot;given&quot;:&quot;Stefan&quot;,&quot;parse-names&quot;:false,&quot;dropping-particle&quot;:&quot;&quot;,&quot;non-dropping-particle&quot;:&quot;&quot;},{&quot;family&quot;:&quot;LeBaron&quot;,&quot;given&quot;:&quot;Genevieve&quot;,&quot;parse-names&quot;:false,&quot;dropping-particle&quot;:&quot;&quot;,&quot;non-dropping-particle&quot;:&quot;&quot;}],&quot;container-title&quot;:&quot;Business and Society&quot;,&quot;DOI&quot;:&quot;10.1177/0007650320930417&quot;,&quot;ISSN&quot;:&quot;15524205&quot;,&quot;issued&quot;:{&quot;date-parts&quot;:[[2020,2,1]]},&quot;page&quot;:&quot;251-287&quot;,&quot;abstract&quot;:&quot;“Modern slavery,” a term used to describe severe forms of labor exploitation, is beginning to spark growing interest within business and society research. As a novel phenomenon, it offers potential for innovative theoretical and empirical pathways to a range of business and management research questions. And yet, development into what we might call a “field” of modern slavery research in business and management remains significantly, and disappointingly, underdeveloped. To explore this, we elaborate on the developments to date, the potential drawbacks, and the possible future deviations that might evolve within six subdisciplinary areas of business and management. We also examine the value that nonmanagement disciplines can bring to research on modern slavery and business, examining the connections, critiques, and catalysts evident in research from political science, law, and history. These, we suggest, offer significant potential for building toward a more substantial subfield of research.&quot;,&quot;publisher&quot;:&quot;SAGE Publications Ltd&quot;,&quot;issue&quot;:&quot;2&quot;,&quot;volume&quot;:&quot;60&quot;,&quot;container-title-short&quot;:&quot;Bus Soc&quot;},&quot;isTemporary&quot;:false}],&quot;citationTag&quot;:&quot;MENDELEY_CITATION_v3_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&quot;},{&quot;citationID&quot;:&quot;MENDELEY_CITATION_0182edef-d6ce-4374-a81d-a8e71fa04f95&quot;,&quot;properties&quot;:{&quot;noteIndex&quot;:0},&quot;isEdited&quot;:false,&quot;manualOverride&quot;:{&quot;isManuallyOverridden&quot;:true,&quot;citeprocText&quot;:&quot;(Walk Free, 2025)&quot;,&quot;manualOverrideText&quot;:&quot;(Walk Free, 2025),&quot;},&quot;citationItems&quot;:[{&quot;id&quot;:&quot;3a400810-5229-307b-af6e-c22b6021d92f&quot;,&quot;itemData&quot;:{&quot;type&quot;:&quot;webpage&quot;,&quot;id&quot;:&quot;3a400810-5229-307b-af6e-c22b6021d92f&quot;,&quot;title&quot;:&quot;UN 2030 goal to end modern slavery at risk of being missed as exploitation risks rise&quot;,&quot;author&quot;:[{&quot;family&quot;:&quot;Walk Free&quot;,&quot;given&quot;:&quot;&quot;,&quot;parse-names&quot;:false,&quot;dropping-particle&quot;:&quot;&quot;,&quot;non-dropping-particle&quot;:&quot;&quot;}],&quot;accessed&quot;:{&quot;date-parts&quot;:[[2025,7,19]]},&quot;URL&quot;:&quot;https://www.walkfree.org/news/2025/un-2030-goal-to-end-modern-slavery-at-risk-of-being-missed-as-exploitation-risks-rise/&quot;,&quot;issued&quot;:{&quot;date-parts&quot;:[[2025,7,18]]},&quot;container-title-short&quot;:&quot;&quot;},&quot;isTemporary&quot;:false}],&quot;citationTag&quot;:&quot;MENDELEY_CITATION_v3_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&quot;},{&quot;citationID&quot;:&quot;MENDELEY_CITATION_7855dd30-5715-45dc-869d-4a1a15797674&quot;,&quot;properties&quot;:{&quot;noteIndex&quot;:0},&quot;isEdited&quot;:false,&quot;manualOverride&quot;:{&quot;isManuallyOverridden&quot;:false,&quot;citeprocText&quot;:&quot;(Albitar &lt;i&gt;et al.&lt;/i&gt;, 2025; LeBaron, 2020a; Moussa &lt;i&gt;et al.&lt;/i&gt;, 2022)&quot;,&quot;manualOverrideText&quot;:&quot;&quot;},&quot;citationItems&quot;:[{&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f6de1282-9487-3c33-be2b-b61509a933f1&quot;,&quot;itemData&quot;:{&quot;type&quot;:&quot;book&quot;,&quot;id&quot;:&quot;f6de1282-9487-3c33-be2b-b61509a933f1&quot;,&quot;title&quot;:&quot;Combatting Modern Slavery : Why Labour Governance is Failing and What We Can Do About It&quot;,&quot;author&quot;:[{&quot;family&quot;:&quot;LeBaron&quot;,&quot;given&quot;:&quot;Genevieve&quot;,&quot;parse-names&quot;:false,&quot;dropping-particle&quot;:&quot;&quot;,&quot;non-dropping-particle&quot;:&quot;&quot;}],&quot;accessed&quot;:{&quot;date-parts&quot;:[[2025,10,11]]},&quot;ISBN&quot;:&quot;9781509513680&quot;,&quot;URL&quot;:&quot;https://books.google.com/books/about/Combatting_Modern_Slavery.html?id=4pb-DwAAQBAJ&quot;,&quot;issued&quot;:{&quot;date-parts&quot;:[[2020,9,22]]},&quot;number-of-pages&quot;:&quot;1-224&quot;,&quot;abstract&quot;:&quot;Cover -- Title page -- Copyright page -- Contents -- Acknowledgements -- 1 Who Does Labour Governance Work For? -- What is Labour Governance? -- What is Modern Slavery? -- Why Global Labour Governance Is Failing -- This Book's Approach -- Corporations as Cause and Solution to Labour Abuse -- Corporations Save the World's Workers -- This Book's Arguments and Structure -- Labour exploitation in global supply chains -- Corporate power and the state -- The recruitment industry -- The enforcement industry -- Corporate Fairytales vs. Worker Power -- 2 Labour Exploitation in Global Supply Chains&quot;,&quot;publisher&quot;:&quot;Wiley Publication&quot;,&quot;container-title-short&quot;:&quot;&quot;},&quot;isTemporary&quot;:false}],&quot;citationTag&quot;:&quot;MENDELEY_CITATION_v3_eyJjaXRhdGlvbklEIjoiTUVOREVMRVlfQ0lUQVRJT05fNzg1NWRkMzAtNTcxNS00NWRjLTg2OWQtNGExYTE1Nzk3Njc0IiwicHJvcGVydGllcyI6eyJub3RlSW5kZXgiOjB9LCJpc0VkaXRlZCI6ZmFsc2UsIm1hbnVhbE92ZXJyaWRlIjp7ImlzTWFudWFsbHlPdmVycmlkZGVuIjpmYWxzZSwiY2l0ZXByb2NUZXh0IjoiKEFsYml0YXIgPGk+ZXQgYWwuPC9pPiwgMjAyNTsgTGVCYXJvbiwgMjAyMGE7IE1vdXNzYSA8aT5ldCBhbC48L2k+LCAyMDIyKSIsIm1hbnVhbE92ZXJyaWRlVGV4dCI6IiJ9LCJjaXRhdGlvbkl0ZW1zIjpb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&quot;},{&quot;citationID&quot;:&quot;MENDELEY_CITATION_af5b42a8-8ef8-4353-b006-86667b42abf3&quot;,&quot;properties&quot;:{&quot;noteIndex&quot;:0},&quot;isEdited&quot;:false,&quot;manualOverride&quot;:{&quot;isManuallyOverridden&quot;:false,&quot;citeprocText&quot;:&quot;(Albitar &lt;i&gt;et al.&lt;/i&gt;, 2025; Ruwanpura, 2022)&quot;,&quot;manualOverrideText&quot;:&quot;&quot;},&quot;citationItems&quot;:[{&quot;id&quot;:&quot;c71c1770-4c26-3abf-a84f-c01a5f6c6946&quot;,&quot;itemData&quot;:{&quot;type&quot;:&quot;book&quot;,&quot;id&quot;:&quot;c71c1770-4c26-3abf-a84f-c01a5f6c6946&quot;,&quot;title&quot;:&quot;Garments without guilt? : global labour justice and ethical codes in Sri Lankan apparels&quot;,&quot;author&quot;:[{&quot;family&quot;:&quot;Ruwanpura&quot;,&quot;given&quot;:&quot;Kanchana N..&quot;,&quot;parse-names&quot;:false,&quot;dropping-particle&quot;:&quot;&quot;,&quot;non-dropping-particle&quot;:&quot;&quot;}],&quot;ISBN&quot;:&quot;9781108832014&quot;,&quot;issued&quot;:{&quot;date-parts&quot;:[[2022]]},&quot;number-of-pages&quot;:&quot;198&quot;,&quot;abstract&quot;:&quot;\&quot;This book explores the ways in which labour struggles in the post-1977 period provided important resistance to capitalist processes and continue to shape the industry both within and outside of the shop floor. It studies contextual moments in the history of Sri Lanka to rupture the dominant narrative and bring out the centrality of labour for the success of the country's apparel industry. It argues that speaking about producing guilt free garments requires a greater attentiveness to the voice and struggles of labour. It works to bring out the \&quot;exceptionality\&quot; of Sri Lanka's apparel industry and the ways in which it upholds of ethical codes of conduct, particularly from the viewpoint of labour. The book will contribute to debates on ethical codes and labour politics in the global South, and do so within the contemporary neoliberal milieu of corporate governance regimes. It will also speak to debates on the advent of neoliberalism and labour politics by studying the ways in which labour has challenged, shaped and resisted capitalism and capitalist processes within the apparel sector\&quot;-- Provided by publisher. Introduction: global labour justice via ethical codes -- Labouring for apparels: labour geographies and feminist inflections -- Fieldwork: prolonged phases and multiple moments -- Clothing the world, guilt free? Sri Lanka's apparel landscape -- Neglected labour histories: the Sri Lankan state responds to labour -- Ethicality with a blind eye? Ethical code practices at production sites -- From war to work: ethicality amidst post-war trauma? -- Concluding thoughts: grounded governance?&quot;,&quot;edition&quot;:&quot;1&quot;,&quot;publisher&quot;:&quot;Cambridge University Press&quot;,&quot;container-title-short&quot;:&quot;&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quot;},{&quot;citationID&quot;:&quot;MENDELEY_CITATION_d3426272-6862-457d-b2a0-afc3b34f75c5&quot;,&quot;properties&quot;:{&quot;noteIndex&quot;:0},&quot;isEdited&quot;:false,&quot;manualOverride&quot;:{&quot;isManuallyOverridden&quot;:false,&quot;citeprocText&quot;:&quot;(DiMaggio and Powell, 1983; Meyer and Rowan, 1977)&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citationTag&quot;:&quot;MENDELEY_CITATION_v3_eyJjaXRhdGlvbklEIjoiTUVOREVMRVlfQ0lUQVRJT05fZDM0MjYyNzItNjg2Mi00NTdkLWIyYTAtYWZjM2IzNGY3NWM1IiwicHJvcGVydGllcyI6eyJub3RlSW5kZXgiOjB9LCJpc0VkaXRlZCI6ZmFsc2UsIm1hbnVhbE92ZXJyaWRlIjp7ImlzTWFudWFsbHlPdmVycmlkZGVuIjpmYWxzZSwiY2l0ZXByb2NUZXh0IjoiKERpTWFnZ2lvIGFuZCBQb3dlbGwsIDE5ODM7I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XX0=&quot;},{&quot;citationID&quot;:&quot;MENDELEY_CITATION_68a4d267-4001-4ea0-8ce3-d9d189ab20a7&quot;,&quot;properties&quot;:{&quot;noteIndex&quot;:0},&quot;isEdited&quot;:false,&quot;manualOverride&quot;:{&quot;isManuallyOverridden&quot;:false,&quot;citeprocText&quot;:&quot;(Helfaya &lt;i&gt;et al.&lt;/i&gt;, 2024; Islam and Van Staden, 2022; Kuzey &lt;i&gt;et al.&lt;/i&gt;, 2022; Moussa &lt;i&gt;et al.&lt;/i&gt;, 2022)&quot;,&quot;manualOverrideText&quot;:&quot;&quot;},&quot;citationItems&quot;:[{&quot;id&quot;:&quot;82b24819-91de-3dcf-a528-5b420cd933ab&quot;,&quot;itemData&quot;:{&quot;type&quot;:&quot;article-journal&quot;,&quot;id&quot;:&quot;82b24819-91de-3dcf-a528-5b420cd933ab&quot;,&quot;title&quot;:&quot;Modern Slavery Disclosure Regulation and Global Supply Chains: Insights from Stakeholder Narratives on the UK Modern Slavery Act&quot;,&quot;author&quot;:[{&quot;family&quot;:&quot;Islam&quot;,&quot;given&quot;:&quot;M A.&quot;,&quot;parse-names&quot;:false,&quot;dropping-particle&quot;:&quot;&quot;,&quot;non-dropping-particle&quot;:&quot;&quot;},{&quot;family&quot;:&quot;Staden&quot;,&quot;given&quot;:&quot;C J&quot;,&quot;parse-names&quot;:false,&quot;dropping-particle&quot;:&quot;&quot;,&quot;non-dropping-particle&quot;:&quot;Van&quot;}],&quot;container-title&quot;:&quot;Journal of Business Ethics&quot;,&quot;DOI&quot;:&quot;10.1007/s10551-021-04878-1&quot;,&quot;ISSN&quot;:&quot;15730697&quot;,&quot;issued&quot;:{&quot;date-parts&quot;:[[2022,10,1]]},&quot;page&quot;:&quot;455-479&quot;,&quot;abstract&quot;:&quot;The purpose of this article is to problematise a particular social transparency and disclosure regulation in the UK, that transcend national boundaries in order to control (modern) slavery in supply chains operating in the developing world. Drawing on notions from the regulatory and sociology literature, i.e. transparency and normativity, and by interviewing anti-slavery activists and experts, this study explores the limitations of the disclosure and transparency requirements of the UK Modern Slavery Act and, more specifically, how anti-slavery activists experience and interpret the new regulations and the regulators’ implementation of the regulation. This research found limited confidence among anti-slavery activists regarding the Act’s call for transparency in relation to the elimination of slavery from global supply chains. The research also found that the limits of the transparency provisions within the Act appear to hinder the attainment of normativity. This study provides new and unique insights into the critical role that social activists play in exposing the lack of corporate transparency and failures of responsibility to protect workers within global supply chains.&quot;,&quot;publisher&quot;:&quot;Springer Science and Business Media B.V.&quot;,&quot;issue&quot;:&quot;2&quot;,&quot;volume&quot;:&quot;180&quot;,&quot;container-title-short&quot;:&quot;&quot;},&quot;isTemporary&quot;:false},{&quot;id&quot;:&quot;a3e19abf-6b15-3051-8fda-c67bf4ca81d8&quot;,&quot;itemData&quot;:{&quot;type&quot;:&quot;article-journal&quot;,&quot;id&quot;:&quot;a3e19abf-6b15-3051-8fda-c67bf4ca81d8&quot;,&quot;title&quot;:&quot;Board gender diversity, CSR strategy, and eco-friendly initiatives in the transportation and logistics sector&quot;,&quot;author&quot;:[{&quot;family&quot;:&quot;Kuzey&quot;,&quot;given&quot;:&quot;Cemil&quot;,&quot;parse-names&quot;:false,&quot;dropping-particle&quot;:&quot;&quot;,&quot;non-dropping-particle&quot;:&quot;&quot;},{&quot;family&quot;:&quot;Fritz&quot;,&quot;given&quot;:&quot;Morgane M.C.&quot;,&quot;parse-names&quot;:false,&quot;dropping-particle&quot;:&quot;&quot;,&quot;non-dropping-particle&quot;:&quot;&quot;},{&quot;family&quot;:&quot;Uyar&quot;,&quot;given&quot;:&quot;Ali&quot;,&quot;parse-names&quot;:false,&quot;dropping-particle&quot;:&quot;&quot;,&quot;non-dropping-particle&quot;:&quot;&quot;},{&quot;family&quot;:&quot;Karaman&quot;,&quot;given&quot;:&quot;Abdullah S.&quot;,&quot;parse-names&quot;:false,&quot;dropping-particle&quot;:&quot;&quot;,&quot;non-dropping-particle&quot;:&quot;&quot;}],&quot;container-title&quot;:&quot;International Journal of Production Economics&quot;,&quot;container-title-short&quot;:&quot;Int J Prod Econ&quot;,&quot;issued&quot;:{&quot;date-parts&quot;:[[2022]]},&quot;page&quot;:&quot;108436-10854&quot;,&quot;abstract&quot;:&quot;The criticism concerning environmental externalities of the transportation and logistics sector is mounting; hence, the purpose of this study is to investigate whether board gender diversity stimulates eco-friendly practices and to test whether a CSR strategy moderates this relationship in this sector. The data for the study were retrieved from the Thomson Reuters Eikon database between 2002 and 2019 and fixed-effects regression analysis was executed. The results indicate that female directors are influential in all aspects of eco-friendly practices while they have the greatest impact on eco-innovation. Furthermore, pursuing a CSR strategy fosters the sector's commitment to eco-friendly practices. Moreover, moderation analysis revealed that while CSR strategy moderates the association between board gender diversity and eco-innovation, moderation is not significant for resource use and emission reduction. However, when we use Shannon and Blau indices, we found stronger evidence of the moderating effect of CSR strategy between board gender diversity and eco-friendly practices. In addition, further tests indicated the existence of some quadratic relationships between test variables and eco-friendly practices. The originality of the study is arising from several aspects such as focusing exclusively on the transportation and logistics sector, adopting three proxies of board gender diversity (i.e., female proportion on board, Shannon Index, and Blau Index), exploring the interaction effect of two governance mechanisms on eco-friendly practices, and testing quadratic relationships between gender diversity and CSR strategy and eco-friendly practices. Furthermore, it investigates very specific environmental topics (i.e., eco-innovation, resource usage, and emissions) rather than CSR performance in general.&quot;,&quot;publisher&quot;:&quot;Elsevier B.V.&quot;,&quot;volume&quot;:&quot;247&quot;},&quot;isTemporary&quot;:false},{&quot;id&quot;:&quot;4f2ff78d-280b-3ef4-a01b-742b825beb4c&quot;,&quot;itemData&quot;:{&quot;type&quot;:&quot;article-journal&quot;,&quot;id&quot;:&quot;4f2ff78d-280b-3ef4-a01b-742b825beb4c&quot;,&quot;title&quot;:&quot;Greening the Workplace: Exploring the Influence of Corporate Sustainability Governance on Corporate Labour Rights in the Case of Indian Listed Companies for the Period of 2010 to 2021&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Shirley&quot;,&quot;parse-names&quot;:false,&quot;dropping-particle&quot;:&quot;&quot;,&quot;non-dropping-particle&quot;:&quot;&quot;}],&quot;container-title&quot;:&quot;Sustainability&quot;,&quot;container-title-short&quot;:&quot;Sustainability&quot;,&quot;DOI&quot;:&quot;10.3390/su16104004&quot;,&quot;ISSN&quot;:&quot;2071-1050&quot;,&quot;issued&quot;:{&quot;date-parts&quot;:[[2024,5,10]]},&quot;page&quot;:&quot;4004&quot;,&quot;abstract&quot;:&quot;&lt;p&gt;Amidst today’s globalized economy, embedding sustainable practices into corporate governance frameworks has become important. This era underscores a heightened focus on CSR and sustainability, drawing considerable scholarly and practical interest to the nexus of corporate governance, sustainability initiatives, and corporate labour rights (CLRs). Hence, this study investigates the relationship between corporate sustainability governance initiatives (CSGIs) and CLR practices in India. Despite regulatory efforts, issues such as modern slavery and low wages persist in the country. Drawing on legitimacy, agency, stakeholder, and resource dependency theories, this study examines how CSGIs influence CLR practices. Data from 1212 observations of top Indian listed companies between 2010 and 2021 indicate positive correlations between CSGI dimensions and CLR practices across industries and board CSR orientations. This research underscores the importance of CSGIs in promoting sustainable corporate practices and improving CLRs in emerging economies. It also aligns with the United Nations sustainable development goals (SDGs), particularly SDG 3, SDG 5, SDG 8, and SDG 10. By combining theoretical rigour with practical relevance, this study provides insights for businesses, policymakers, workers, investors, and CSR scholars, contributing to efforts to enhance CLRs in India and beyond. For instance, the study offers actionable guidance for businesses and policymakers aiming to improve CLR practices. It highlights the positive correlation between specific attributes of CSGIs and CLR practices, providing insights for corporate decision-making and emphasizing the importance of aligning operations with the UN’s sustainable development goals. The findings serve as critical decision-making tools for investors concerned with corporate sustainability governance and CLRs to identify ethically responsible companies and mitigate investment risks.&lt;/p&gt;&quot;,&quot;issue&quot;:&quot;10&quot;,&quot;volume&quot;:&quot;16&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NjhhNGQyNjctNDAwMS00ZWEwLThjZTMtZDlkMTg5YWIyMGE3IiwicHJvcGVydGllcyI6eyJub3RlSW5kZXgiOjB9LCJpc0VkaXRlZCI6ZmFsc2UsIm1hbnVhbE92ZXJyaWRlIjp7ImlzTWFudWFsbHlPdmVycmlkZGVuIjpmYWxzZSwiY2l0ZXByb2NUZXh0IjoiKEhlbGZheWEgPGk+ZXQgYWwuPC9pPiwgMjAyNDsgSXNsYW0gYW5kIFZhbiBTdGFkZW4sIDIwMjI7IEt1emV5IDxpPmV0IGFsLjwvaT4sIDIwMjI7IE1vdXNzYSA8aT5ldCBhbC48L2k+LCAyMDIyKSIsIm1hbnVhbE92ZXJyaWRlVGV4dCI6IiJ9LCJjaXRhdGlvbkl0ZW1zIjpb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IEEu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i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quot;},{&quot;citationID&quot;:&quot;MENDELEY_CITATION_e7d67bdf-2b11-4806-a5e2-e4db707680ea&quot;,&quot;properties&quot;:{&quot;noteIndex&quot;:0},&quot;isEdited&quot;:false,&quot;manualOverride&quot;:{&quot;isManuallyOverridden&quot;:false,&quot;citeprocText&quot;:&quot;(Christ &lt;i&gt;et al.&lt;/i&gt;, 2019, 2023)&quot;,&quot;manualOverrideText&quot;:&quot;&quot;},&quot;citationItems&quot;:[{&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id&quot;:&quot;0ce23ff7-8063-3489-9d73-6acf9cefe063&quot;,&quot;itemData&quot;:{&quot;type&quot;:&quot;article-journal&quot;,&quot;id&quot;:&quot;0ce23ff7-8063-3489-9d73-6acf9cefe063&quot;,&quot;title&quot;:&quot;Modern slavery and the accounting profession&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Islam&quot;,&quot;given&quot;:&quot;Muhammad Azizul&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ZTdkNjdiZGYtMmIxMS00ODA2LWE1ZTItZTRkYjcwNzY4MGVhIiwicHJvcGVydGllcyI6eyJub3RlSW5kZXgiOjB9LCJpc0VkaXRlZCI6ZmFsc2UsIm1hbnVhbE92ZXJyaWRlIjp7ImlzTWFudWFsbHlPdmVycmlkZGVuIjpmYWxzZSwiY2l0ZXByb2NUZXh0IjoiKENocmlzdCA8aT5ldCBhbC48L2k+LCAyMDE5LCAyMDIz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Sx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1dfQ==&quot;},{&quot;citationID&quot;:&quot;MENDELEY_CITATION_01a00319-8c67-4043-aa24-39dfe61861e4&quot;,&quot;properties&quot;:{&quot;noteIndex&quot;:0},&quot;isEdited&quot;:false,&quot;manualOverride&quot;:{&quot;isManuallyOverridden&quot;:false,&quot;citeprocText&quot;:&quot;(Meyer and Rowan, 1977)&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citationTag&quot;:&quot;MENDELEY_CITATION_v3_eyJjaXRhdGlvbklEIjoiTUVOREVMRVlfQ0lUQVRJT05fMDFhMDAzMTktOGM2Ny00MDQzLWFhMjQtMzlkZmU2MTg2MWU0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quot;},{&quot;citationID&quot;:&quot;MENDELEY_CITATION_e2128a26-678d-43e0-a972-ae9f2f678d3b&quot;,&quot;properties&quot;:{&quot;noteIndex&quot;:0},&quot;isEdited&quot;:false,&quot;manualOverride&quot;:{&quot;isManuallyOverridden&quot;:true,&quot;citeprocText&quot;:&quot;(DiMaggio and Powell, 1983; Ntim and Soobaroyen, 2013)&quot;,&quot;manualOverrideText&quot;:&quot;(DiMaggio and Powell, 1983; Muthuthantrige et al., 2026; Ntim and Soobaroyen, 2013).&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citationTag&quot;:&quot;MENDELEY_CITATION_v3_eyJjaXRhdGlvbklEIjoiTUVOREVMRVlfQ0lUQVRJT05fZTIxMjhhMjYtNjc4ZC00M2UwLWE5NzItYWU5ZjJmNjc4ZDNiIiwicHJvcGVydGllcyI6eyJub3RlSW5kZXgiOjB9LCJpc0VkaXRlZCI6ZmFsc2UsIm1hbnVhbE92ZXJyaWRlIjp7ImlzTWFudWFsbHlPdmVycmlkZGVuIjp0cnVlLCJjaXRlcHJvY1RleHQiOiIoRGlNYWdnaW8gYW5kIFBvd2VsbCwgMTk4MzsgTnRpbSBhbmQgU29vYmFyb3llbiwgMjAxMykiLCJtYW51YWxPdmVycmlkZVRleHQiOiIoRGlNYWdnaW8gYW5kIFBvd2VsbCwgMTk4MzsgTXV0aHV0aGFudHJpZ2UgZXQgYWwuLCAyMDI2OyBOdGltIGFuZCBTb29iYXJveWVuLCAyMDEzKS4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V19&quot;},{&quot;citationID&quot;:&quot;MENDELEY_CITATION_d14dd178-50a3-41e7-b176-f44ae28a02cf&quot;,&quot;properties&quot;:{&quot;noteIndex&quot;:0},&quot;isEdited&quot;:false,&quot;manualOverride&quot;:{&quot;isManuallyOverridden&quot;:false,&quot;citeprocText&quot;:&quot;(Gunawardana, 2016; Ruwanpura, 2022)&quot;,&quot;manualOverrideText&quot;:&quot;&quot;},&quot;citationItems&quot;:[{&quot;id&quot;:&quot;684f6341-1118-30dd-952c-e07a62de4a6a&quot;,&quot;itemData&quot;:{&quot;type&quot;:&quot;article-journal&quot;,&quot;id&quot;:&quot;684f6341-1118-30dd-952c-e07a62de4a6a&quot;,&quot;title&quot;:&quot;‘To Finish, We Must Finish’: Everyday Practices of Depletion in Sri Lankan Export-Processing Zones&quot;,&quot;author&quot;:[{&quot;family&quot;:&quot;Gunawardana&quot;,&quot;given&quot;:&quot;Samanthi J.&quot;,&quot;parse-names&quot;:false,&quot;dropping-particle&quot;:&quot;&quot;,&quot;non-dropping-particle&quot;:&quot;&quot;}],&quot;container-title&quot;:&quot;Globalizations&quot;,&quot;container-title-short&quot;:&quot;Globalizations&quot;,&quot;DOI&quot;:&quot;10.1080/14747731.2016.1155341&quot;,&quot;ISSN&quot;:&quot;1474774X&quot;,&quot;issued&quot;:{&quot;date-parts&quot;:[[2016,11,1]]},&quot;page&quot;:&quot;861-875&quot;,&quot;abstract&quot;:&quot;The integrative dynamic between social reproduction (SR) and the market economy is underscored by the everyday experience of what can be termed ‘depletion’ for many women in the Global South. Drawing upon case study material from Sri Lanka, this paper focuses on migration decisions to work in export-processing zones (EPZs) and everyday production processes. It shows how workplaces are sites of depletion. Depletion reproduces the processes of disposability in global factories. Relations of SR are also reproduced in the factory. Affecting body and mind, depletion flourishes in environments without recourse to adequate inputs that maintain well-being including, but not limited to, leisure and rest, adequate wages, freedom of association, adequate nutrition, housing, and job security. In Sri Lanka, migration to EPZs was prompted by a crisis in SR and lack of inflows to sustain the well-being of women and households. Such workplaces are also an everyday day element of the global political economy, enacted upon gendered bodies, fuelling a cycle of gendered harm through the reproduction of disposability.&quot;,&quot;publisher&quot;:&quot;Routledge&quot;,&quot;issue&quot;:&quot;6&quot;,&quot;volume&quot;:&quot;13&quot;},&quot;isTemporary&quot;:false},{&quot;id&quot;:&quot;c71c1770-4c26-3abf-a84f-c01a5f6c6946&quot;,&quot;itemData&quot;:{&quot;type&quot;:&quot;book&quot;,&quot;id&quot;:&quot;c71c1770-4c26-3abf-a84f-c01a5f6c6946&quot;,&quot;title&quot;:&quot;Garments without guilt? : global labour justice and ethical codes in Sri Lankan apparels&quot;,&quot;author&quot;:[{&quot;family&quot;:&quot;Ruwanpura&quot;,&quot;given&quot;:&quot;Kanchana N..&quot;,&quot;parse-names&quot;:false,&quot;dropping-particle&quot;:&quot;&quot;,&quot;non-dropping-particle&quot;:&quot;&quot;}],&quot;ISBN&quot;:&quot;9781108832014&quot;,&quot;issued&quot;:{&quot;date-parts&quot;:[[2022]]},&quot;number-of-pages&quot;:&quot;198&quot;,&quot;abstract&quot;:&quot;\&quot;This book explores the ways in which labour struggles in the post-1977 period provided important resistance to capitalist processes and continue to shape the industry both within and outside of the shop floor. It studies contextual moments in the history of Sri Lanka to rupture the dominant narrative and bring out the centrality of labour for the success of the country's apparel industry. It argues that speaking about producing guilt free garments requires a greater attentiveness to the voice and struggles of labour. It works to bring out the \&quot;exceptionality\&quot; of Sri Lanka's apparel industry and the ways in which it upholds of ethical codes of conduct, particularly from the viewpoint of labour. The book will contribute to debates on ethical codes and labour politics in the global South, and do so within the contemporary neoliberal milieu of corporate governance regimes. It will also speak to debates on the advent of neoliberalism and labour politics by studying the ways in which labour has challenged, shaped and resisted capitalism and capitalist processes within the apparel sector\&quot;-- Provided by publisher. Introduction: global labour justice via ethical codes -- Labouring for apparels: labour geographies and feminist inflections -- Fieldwork: prolonged phases and multiple moments -- Clothing the world, guilt free? Sri Lanka's apparel landscape -- Neglected labour histories: the Sri Lankan state responds to labour -- Ethicality with a blind eye? Ethical code practices at production sites -- From war to work: ethicality amidst post-war trauma? -- Concluding thoughts: grounded governance?&quot;,&quot;edition&quot;:&quot;1&quot;,&quot;publisher&quot;:&quot;Cambridge University Press&quot;,&quot;container-title-short&quot;:&quot;&quot;},&quot;isTemporary&quot;:false}],&quot;citationTag&quot;:&quot;MENDELEY_CITATION_v3_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&quot;},{&quot;citationID&quot;:&quot;MENDELEY_CITATION_cc411367-297e-4667-b06a-960fe8de8eb0&quot;,&quot;properties&quot;:{&quot;noteIndex&quot;:0},&quot;isEdited&quot;:false,&quot;manualOverride&quot;:{&quot;isManuallyOverridden&quot;:false,&quot;citeprocText&quot;:&quot;(Meyer and Rowan, 1977)&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citationTag&quot;:&quot;MENDELEY_CITATION_v3_eyJjaXRhdGlvbklEIjoiTUVOREVMRVlfQ0lUQVRJT05fY2M0MTEzNjctMjk3ZS00NjY3LWIwNmEtOTYwZmU4ZGU4ZWIw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quot;},{&quot;citationID&quot;:&quot;MENDELEY_CITATION_0e867328-97fd-4f06-8fb9-a80d0265f519&quot;,&quot;properties&quot;:{&quot;noteIndex&quot;:0},&quot;isEdited&quot;:false,&quot;manualOverride&quot;:{&quot;isManuallyOverridden&quot;:false,&quot;citeprocText&quot;:&quot;(Bales, 2009; Crane, 2013)&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citationTag&quot;:&quot;MENDELEY_CITATION_v3_eyJjaXRhdGlvbklEIjoiTUVOREVMRVlfQ0lUQVRJT05fMGU4NjczMjgtOTdmZC00ZjA2LThmYjktYTgwZDAyNjVmNTE5IiwicHJvcGVydGllcyI6eyJub3RlSW5kZXgiOjB9LCJpc0VkaXRlZCI6ZmFsc2UsIm1hbnVhbE92ZXJyaWRlIjp7ImlzTWFudWFsbHlPdmVycmlkZGVuIjpmYWxzZSwiY2l0ZXByb2NUZXh0IjoiKEJhbGVzLCAyMDA5OyBDcmFuZSwgMjAxMykiLCJtYW51YWxPdmVycmlkZVRleHQiOiI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&quot;},{&quot;citationID&quot;:&quot;MENDELEY_CITATION_9c45b7c7-7995-40e6-9f61-3fab04d8e935&quot;,&quot;properties&quot;:{&quot;noteIndex&quot;:0},&quot;isEdited&quot;:false,&quot;manualOverride&quot;:{&quot;isManuallyOverridden&quot;:true,&quot;citeprocText&quot;:&quot;(DiMaggio and Powell, 1983; Meyer and Rowan, 1977)&quot;,&quot;manualOverrideText&quot;:&quot;(Ahmed and Alawattage, 2023; Bales, 2016; Mehmood et al., 2022)&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citationTag&quot;:&quot;MENDELEY_CITATION_v3_eyJjaXRhdGlvbklEIjoiTUVOREVMRVlfQ0lUQVRJT05fOWM0NWI3YzctNzk5NS00MGU2LTlmNjEtM2ZhYjA0ZDhlOTM1IiwicHJvcGVydGllcyI6eyJub3RlSW5kZXgiOjB9LCJpc0VkaXRlZCI6ZmFsc2UsIm1hbnVhbE92ZXJyaWRlIjp7ImlzTWFudWFsbHlPdmVycmlkZGVuIjp0cnVlLCJjaXRlcHJvY1RleHQiOiIoRGlNYWdnaW8gYW5kIFBvd2VsbCwgMTk4MzsgTWV5ZXIgYW5kIFJvd2FuLCAxOTc3KSIsIm1hbnVhbE92ZXJyaWRlVGV4dCI6IihBaG1lZCBhbmQgQWxhd2F0dGFnZSwgMjAyMzsgQmFsZXMsIDIwMTY7IE1laG1vb2QgZXQgYWwuLCAyMDIyKSJ9LCJjaXRhdGlvbkl0ZW1zIjpb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LCJjb250YWluZXItdGl0bGUtc2hvcnQiOiIifSwiaXNUZW1wb3JhcnkiOmZhbHNlfSx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quot;},{&quot;citationID&quot;:&quot;MENDELEY_CITATION_6555ebb0-756a-498a-b948-ae0402279083&quot;,&quot;properties&quot;:{&quot;noteIndex&quot;:0},&quot;isEdited&quot;:false,&quot;manualOverride&quot;:{&quot;isManuallyOverridden&quot;:false,&quot;citeprocText&quot;:&quot;(Patterson, 2018; Walvin, 2016)&quot;,&quot;manualOverrideText&quot;:&quot;&quot;},&quot;citationItems&quot;:[{&quot;id&quot;:&quot;f09e4df0-a848-30db-9bb5-eae2f84da7ed&quot;,&quot;itemData&quot;:{&quot;type&quot;:&quot;book&quot;,&quot;id&quot;:&quot;f09e4df0-a848-30db-9bb5-eae2f84da7ed&quot;,&quot;title&quot;:&quot;Slavery and social death: A comparative study, with a new preface. &quot;,&quot;author&quot;:[{&quot;family&quot;:&quot;Patterson&quot;,&quot;given&quot;:&quot;Oralando&quot;,&quot;parse-names&quot;:false,&quot;dropping-particle&quot;:&quot;&quot;,&quot;non-dropping-particle&quot;:&quot;&quot;}],&quot;issued&quot;:{&quot;date-parts&quot;:[[2018]]},&quot;number-of-pages&quot;:&quot;1-528&quot;,&quot;publisher&quot;:&quot;Harvard University Press.&quot;,&quot;container-title-short&quot;:&quot;&quot;},&quot;isTemporary&quot;:false},{&quot;id&quot;:&quot;7d42a558-d594-38e2-881f-39bdec6585c7&quot;,&quot;itemData&quot;:{&quot;type&quot;:&quot;book&quot;,&quot;id&quot;:&quot;7d42a558-d594-38e2-881f-39bdec6585c7&quot;,&quot;title&quot;:&quot;Making the black Atlantic: Britain and the African diaspora&quot;,&quot;author&quot;:[{&quot;family&quot;:&quot;Walvin&quot;,&quot;given&quot;:&quot;J.&quot;,&quot;parse-names&quot;:false,&quot;dropping-particle&quot;:&quot;&quot;,&quot;non-dropping-particle&quot;:&quot;&quot;}],&quot;issued&quot;:{&quot;date-parts&quot;:[[2016]]},&quot;publisher&quot;:&quot; Bloomsbury Publishing&quot;,&quot;container-title-short&quot;:&quot;&quot;},&quot;isTemporary&quot;:false}],&quot;citationTag&quot;:&quot;MENDELEY_CITATION_v3_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&quot;},{&quot;citationID&quot;:&quot;MENDELEY_CITATION_294dedb9-4136-433d-b6b7-3f87fdbb746f&quot;,&quot;properties&quot;:{&quot;noteIndex&quot;:0},&quot;isEdited&quot;:false,&quot;manualOverride&quot;:{&quot;isManuallyOverridden&quot;:false,&quot;citeprocText&quot;:&quot;(Christ &lt;i&gt;et al.&lt;/i&gt;, 2023; Eltis, 1999)&quot;,&quot;manualOverrideText&quot;:&quot;&quot;},&quot;citationItems&quot;:[{&quot;id&quot;:&quot;c97d62ad-fe2d-3c21-9455-d45b45150af4&quot;,&quot;itemData&quot;:{&quot;type&quot;:&quot;book&quot;,&quot;id&quot;:&quot;c97d62ad-fe2d-3c21-9455-d45b45150af4&quot;,&quot;title&quot;:&quot;The Rise of African Slavery in the Americas&quot;,&quot;author&quot;:[{&quot;family&quot;:&quot;Eltis&quot;,&quot;given&quot;:&quot;David&quot;,&quot;parse-names&quot;:false,&quot;dropping-particle&quot;:&quot;&quot;,&quot;non-dropping-particle&quot;:&quot;&quot;}],&quot;DOI&quot;:&quot;10.1017/CBO9780511583667&quot;,&quot;ISBN&quot;:&quot;9780521652315&quot;,&quot;issued&quot;:{&quot;date-parts&quot;:[[1999,10,28]]},&quot;publisher&quot;:&quot;Cambridge University Press&quot;,&quot;container-title-short&quot;:&quot;&quot;},&quot;isTemporary&quot;:false},{&quot;id&quot;:&quot;0ce23ff7-8063-3489-9d73-6acf9cefe063&quot;,&quot;itemData&quot;:{&quot;type&quot;:&quot;article-journal&quot;,&quot;id&quot;:&quot;0ce23ff7-8063-3489-9d73-6acf9cefe063&quot;,&quot;title&quot;:&quot;Modern slavery and the accounting profession&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Islam&quot;,&quot;given&quot;:&quot;Muhammad Azizul&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quot;},{&quot;citationID&quot;:&quot;MENDELEY_CITATION_99525a5b-359e-4f53-905b-d6c62ba3733c&quot;,&quot;properties&quot;:{&quot;noteIndex&quot;:0},&quot;isEdited&quot;:false,&quot;manualOverride&quot;:{&quot;isManuallyOverridden&quot;:false,&quot;citeprocText&quot;:&quot;(Barrientos, 2013a; LeBaron, 2021a)&quot;,&quot;manualOverrideText&quot;:&quot;&quot;},&quot;citationItems&quot;:[{&quot;id&quot;:&quot;5b1a51ba-e657-3587-92d2-dd05275c913b&quot;,&quot;itemData&quot;:{&quot;type&quot;:&quot;article-journal&quot;,&quot;id&quot;:&quot;5b1a51ba-e657-3587-92d2-dd05275c913b&quot;,&quot;title&quot;:&quot;'Labour Chains': Analysing the Role of Labour Contractors in Global Production Networks&quot;,&quot;author&quot;:[{&quot;family&quot;:&quot;Barrientos&quot;,&quot;given&quot;:&quot;Stephanie Ware&quot;,&quot;parse-names&quot;:false,&quot;dropping-particle&quot;:&quot;&quot;,&quot;non-dropping-particle&quot;:&quot;&quot;}],&quot;container-title&quot;:&quot;Journal of Development Studies&quot;,&quot;DOI&quot;:&quot;10.1080/00220388.2013.780040&quot;,&quot;ISSN&quot;:&quot;00220388&quot;,&quot;issued&quot;:{&quot;date-parts&quot;:[[2013,8]]},&quot;page&quot;:&quot;1058-1071&quot;,&quot;abstract&quot;:&quot;Third party labour contractors are increasingly prevalent in global production networks (GPNs), and can provide a channel for new forms of unfree labour. Review of case study evidence from South African and UK horticulture suggests this often emerges off-site through labour intermediaries. Analytical approaches to labour in GPNs and value chains are examined. The article argues that labour contracting is driven by the commercial dynamics of global outsourcing. A 'cascade system' allows unscrupulous intermediaries to coerce vulnerable workers. We examine strategies of civil society alliances, and regulatory reform, and argue for extending liability of all commercial actors across global boundaries. © 2013 Copyright Taylor and Francis Group, LLC.&quot;,&quot;issue&quot;:&quot;8&quot;,&quot;volume&quot;:&quot;49&quot;,&quot;container-title-short&quot;:&quot;&quot;},&quot;isTemporary&quot;:false},{&quot;id&quot;:&quot;3b62a73a-1601-388e-88f0-83c9832b4edb&quot;,&quot;itemData&quot;:{&quot;type&quot;:&quot;article-journal&quot;,&quot;id&quot;:&quot;3b62a73a-1601-388e-88f0-83c9832b4edb&quot;,&quot;title&quot;:&quot;The Role of Supply Chains in the Global Business of Forced Labour&quot;,&quot;author&quot;:[{&quot;family&quot;:&quot;LeBaron&quot;,&quot;given&quot;:&quot;Genevieve&quot;,&quot;parse-names&quot;:false,&quot;dropping-particle&quot;:&quot;&quot;,&quot;non-dropping-particle&quot;:&quot;&quot;}],&quot;container-title&quot;:&quot;Journal of Supply Chain Management&quot;,&quot;accessed&quot;:{&quot;date-parts&quot;:[[2022,9,1]]},&quot;issued&quot;:{&quot;date-parts&quot;:[[2021,4,1]]},&quot;page&quot;:&quot;29-42&quot;,&quot;abstract&quot;:&quot;Supply chains are fundamental to whether decent work flourishes or not. Not only do supply chain dynamics shape employment practices and working conditions, but they also influence business models and capabilities which structure opportunities for decent work. As scholars and policymakers race to strengthen labor standards in supply chains and confront barriers to their effective implementation, management scholars can both benefit from and advance an understanding of the role of supply chains in giving rise to indecent work, especially the business practices commonly described as forced labor and modern slavery. To help realize this potential, this article draws from my research on the business of forced labor to emphasize three points. First, there are clear and discernible patterns with respect to the root causes of forced labor in supply chains. Second, forced labor in supply chains cannot be understood in isolation of broader dynamics of work and employment, since low-waged workers tend to move in and out of conditions of forced labor in relatively short periods of time. Third, on-the-ground studies of the effectiveness of buyer-centric governance programs reveal serious gaps between corporate social responsibility standards and business practices when it comes to indicators most relevant to forced labor. I conclude with a discussion of future directions in this research agenda and highlight the potential for business scholars to make a contribution.&quot;,&quot;publisher&quot;:&quot;John Wiley &amp; Sons, Ltd&quot;,&quot;issue&quot;:&quot;2&quot;,&quot;volume&quot;:&quot;57&quot;,&quot;container-title-short&quot;:&quot;&quot;},&quot;isTemporary&quot;:false}],&quot;citationTag&quot;:&quot;MENDELEY_CITATION_v3_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&quot;},{&quot;citationID&quot;:&quot;MENDELEY_CITATION_8cabaa04-32ab-449b-a1c3-05fa4e07030d&quot;,&quot;properties&quot;:{&quot;noteIndex&quot;:0},&quot;isEdited&quot;:false,&quot;manualOverride&quot;:{&quot;isManuallyOverridden&quot;:true,&quot;citeprocText&quot;:&quot;(Bales, 2009; Crane, 2013; Patterson, 2018)&quot;,&quot;manualOverrideText&quot;:&quot;(Bales, 2009; Crane, 2013; Patterson, 2018&quot;},&quot;citationItems&quot;:[{&quot;id&quot;:&quot;f09e4df0-a848-30db-9bb5-eae2f84da7ed&quot;,&quot;itemData&quot;:{&quot;type&quot;:&quot;book&quot;,&quot;id&quot;:&quot;f09e4df0-a848-30db-9bb5-eae2f84da7ed&quot;,&quot;title&quot;:&quot;Slavery and social death: A comparative study, with a new preface. &quot;,&quot;author&quot;:[{&quot;family&quot;:&quot;Patterson&quot;,&quot;given&quot;:&quot;Oralando&quot;,&quot;parse-names&quot;:false,&quot;dropping-particle&quot;:&quot;&quot;,&quot;non-dropping-particle&quot;:&quot;&quot;}],&quot;issued&quot;:{&quot;date-parts&quot;:[[2018]]},&quot;number-of-pages&quot;:&quot;1-528&quot;,&quot;publisher&quot;:&quot;Harvard University Press.&quot;,&quot;container-title-short&quot;:&quot;&quot;},&quot;isTemporary&quot;:false},{&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citationTag&quot;:&quot;MENDELEY_CITATION_v3_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IFJldiJ9LCJpc1RlbXBvcmFyeSI6ZmFsc2V9XX0=&quot;},{&quot;citationID&quot;:&quot;MENDELEY_CITATION_65d3a561-1105-4af7-af54-7ce2259fb216&quot;,&quot;properties&quot;:{&quot;noteIndex&quot;:0},&quot;isEdited&quot;:false,&quot;manualOverride&quot;:{&quot;isManuallyOverridden&quot;:false,&quot;citeprocText&quot;:&quot;(Patterson, 2018)&quot;,&quot;manualOverrideText&quot;:&quot;&quot;},&quot;citationItems&quot;:[{&quot;id&quot;:&quot;f09e4df0-a848-30db-9bb5-eae2f84da7ed&quot;,&quot;itemData&quot;:{&quot;type&quot;:&quot;book&quot;,&quot;id&quot;:&quot;f09e4df0-a848-30db-9bb5-eae2f84da7ed&quot;,&quot;title&quot;:&quot;Slavery and social death: A comparative study, with a new preface. &quot;,&quot;author&quot;:[{&quot;family&quot;:&quot;Patterson&quot;,&quot;given&quot;:&quot;Oralando&quot;,&quot;parse-names&quot;:false,&quot;dropping-particle&quot;:&quot;&quot;,&quot;non-dropping-particle&quot;:&quot;&quot;}],&quot;issued&quot;:{&quot;date-parts&quot;:[[2018]]},&quot;number-of-pages&quot;:&quot;1-528&quot;,&quot;publisher&quot;:&quot;Harvard University Press.&quot;,&quot;container-title-short&quot;:&quot;&quot;},&quot;isTemporary&quot;:false}],&quot;citationTag&quot;:&quot;MENDELEY_CITATION_v3_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&quot;},{&quot;citationID&quot;:&quot;MENDELEY_CITATION_08ee8990-ad75-4408-8803-84b7db9b39c6&quot;,&quot;properties&quot;:{&quot;noteIndex&quot;:0},&quot;isEdited&quot;:false,&quot;manualOverride&quot;:{&quot;isManuallyOverridden&quot;:false,&quot;citeprocText&quot;:&quot;(Crane, 2013)&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citationTag&quot;:&quot;MENDELEY_CITATION_v3_eyJjaXRhdGlvbklEIjoiTUVOREVMRVlfQ0lUQVRJT05fMDhlZTg5OTAtYWQ3NS00NDA4LTg4MDMtODRiN2RiOWIzOWM2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V19&quot;},{&quot;citationID&quot;:&quot;MENDELEY_CITATION_f49b84a7-ae84-4a58-8495-5a29c57ed7d8&quot;,&quot;properties&quot;:{&quot;noteIndex&quot;:0},&quot;isEdited&quot;:false,&quot;manualOverride&quot;:{&quot;isManuallyOverridden&quot;:false,&quot;citeprocText&quot;:&quot;(Craig &lt;i&gt;et al.&lt;/i&gt;, 2019)&quot;,&quot;manualOverrideText&quot;:&quot;&quot;},&quot;citationItems&quot;:[{&quot;id&quot;:&quot;1f881f16-32bf-3eec-b941-e6b96284ca26&quot;,&quot;itemData&quot;:{&quot;type&quot;:&quot;book&quot;,&quot;id&quot;:&quot;1f881f16-32bf-3eec-b941-e6b96284ca26&quot;,&quot;title&quot;:&quot;The Modern Slavery Agenda: Policy, Politics and Practice  in the UK&quot;,&quot;author&quot;:[{&quot;family&quot;:&quot;Craig&quot;,&quot;given&quot;:&quot;Gary&quot;,&quot;parse-names&quot;:false,&quot;dropping-particle&quot;:&quot;&quot;,&quot;non-dropping-particle&quot;:&quot;&quot;},{&quot;family&quot;:&quot;Balch&quot;,&quot;given&quot;:&quot;A&quot;,&quot;parse-names&quot;:false,&quot;dropping-particle&quot;:&quot;&quot;,&quot;non-dropping-particle&quot;:&quot;&quot;},{&quot;family&quot;:&quot;Hannah&quot;,&quot;given&quot;:&quot;Lewis&quot;,&quot;parse-names&quot;:false,&quot;dropping-particle&quot;:&quot;&quot;,&quot;non-dropping-particle&quot;:&quot;&quot;},{&quot;family&quot;:&quot;Louise&quot;,&quot;given&quot;:&quot;Waite&quot;,&quot;parse-names&quot;:false,&quot;dropping-particle&quot;:&quot;&quot;,&quot;non-dropping-particle&quot;:&quot;&quot;}],&quot;accessed&quot;:{&quot;date-parts&quot;:[[2023,3,15]]},&quot;URL&quot;:&quot;https://books.google.co.uk/books?hl=en&amp;lr=&amp;id=nfeCDwAAQBAJ&amp;oi=fnd&amp;pg=PR1&amp;dq=modern+slavery+Craig,+G.&amp;ots=sq_MR8yYE_&amp;sig=JCYscWcUZvxqFvFP1bdkP4DaiT0&amp;redir_esc=y#v=onepage&amp;q=modern%20slavery%20Craig%2C%20G.&amp;f=false&quot;,&quot;issued&quot;:{&quot;date-parts&quot;:[[2019]]},&quot;publisher-place&quot;:&quot;Bristol&quot;,&quot;number-of-pages&quot;:&quot;1-117&quot;,&quot;publisher&quot;:&quot;Policy Press&quot;,&quot;container-title-short&quot;:&quot;&quot;},&quot;isTemporary&quot;:false}],&quot;citationTag&quot;:&quot;MENDELEY_CITATION_v3_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&quot;},{&quot;citationID&quot;:&quot;MENDELEY_CITATION_7cad1e67-c83b-489d-8d16-3f3770ab1b9c&quot;,&quot;properties&quot;:{&quot;noteIndex&quot;:0},&quot;isEdited&quot;:false,&quot;manualOverride&quot;:{&quot;isManuallyOverridden&quot;:true,&quot;citeprocText&quot;:&quot;(David Eltis and David Richardson, 2010)&quot;,&quot;manualOverrideText&quot;:&quot;(Eltis and Richardson, 2010)&quot;},&quot;citationItems&quot;:[{&quot;id&quot;:&quot;720d8793-617b-3e4d-89cb-bc1421120697&quot;,&quot;itemData&quot;:{&quot;type&quot;:&quot;book&quot;,&quot;id&quot;:&quot;720d8793-617b-3e4d-89cb-bc1421120697&quot;,&quot;title&quot;:&quot;Atlas of the Transatlantic Slave Trade&quot;,&quot;author&quot;:[{&quot;family&quot;:&quot;David Eltis&quot;,&quot;given&quot;:&quot;&quot;,&quot;parse-names&quot;:false,&quot;dropping-particle&quot;:&quot;&quot;,&quot;non-dropping-particle&quot;:&quot;&quot;},{&quot;family&quot;:&quot;David Richardson&quot;,&quot;given&quot;:&quot;&quot;,&quot;parse-names&quot;:false,&quot;dropping-particle&quot;:&quot;&quot;,&quot;non-dropping-particle&quot;:&quot;&quot;}],&quot;issued&quot;:{&quot;date-parts&quot;:[[2010]]},&quot;publisher&quot;:&quot;Yale University Press&quot;,&quot;container-title-short&quot;:&quot;&quot;},&quot;isTemporary&quot;:false}],&quot;citationTag&quot;:&quot;MENDELEY_CITATION_v3_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&quot;},{&quot;citationID&quot;:&quot;MENDELEY_CITATION_f9a182a4-3e61-4e2f-8ef0-cad135bb8976&quot;,&quot;properties&quot;:{&quot;noteIndex&quot;:0},&quot;isEdited&quot;:false,&quot;manualOverride&quot;:{&quot;isManuallyOverridden&quot;:false,&quot;citeprocText&quot;:&quot;(Eltis, 1999; Walvin, 2016)&quot;,&quot;manualOverrideText&quot;:&quot;&quot;},&quot;citationItems&quot;:[{&quot;id&quot;:&quot;c97d62ad-fe2d-3c21-9455-d45b45150af4&quot;,&quot;itemData&quot;:{&quot;type&quot;:&quot;book&quot;,&quot;id&quot;:&quot;c97d62ad-fe2d-3c21-9455-d45b45150af4&quot;,&quot;title&quot;:&quot;The Rise of African Slavery in the Americas&quot;,&quot;author&quot;:[{&quot;family&quot;:&quot;Eltis&quot;,&quot;given&quot;:&quot;David&quot;,&quot;parse-names&quot;:false,&quot;dropping-particle&quot;:&quot;&quot;,&quot;non-dropping-particle&quot;:&quot;&quot;}],&quot;DOI&quot;:&quot;10.1017/CBO9780511583667&quot;,&quot;ISBN&quot;:&quot;9780521652315&quot;,&quot;issued&quot;:{&quot;date-parts&quot;:[[1999,10,28]]},&quot;publisher&quot;:&quot;Cambridge University Press&quot;,&quot;container-title-short&quot;:&quot;&quot;},&quot;isTemporary&quot;:false},{&quot;id&quot;:&quot;7d42a558-d594-38e2-881f-39bdec6585c7&quot;,&quot;itemData&quot;:{&quot;type&quot;:&quot;book&quot;,&quot;id&quot;:&quot;7d42a558-d594-38e2-881f-39bdec6585c7&quot;,&quot;title&quot;:&quot;Making the black Atlantic: Britain and the African diaspora&quot;,&quot;author&quot;:[{&quot;family&quot;:&quot;Walvin&quot;,&quot;given&quot;:&quot;J.&quot;,&quot;parse-names&quot;:false,&quot;dropping-particle&quot;:&quot;&quot;,&quot;non-dropping-particle&quot;:&quot;&quot;}],&quot;issued&quot;:{&quot;date-parts&quot;:[[2016]]},&quot;publisher&quot;:&quot; Bloomsbury Publishing&quot;,&quot;container-title-short&quot;:&quot;&quot;},&quot;isTemporary&quot;:false}],&quot;citationTag&quot;:&quot;MENDELEY_CITATION_v3_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&quot;},{&quot;citationID&quot;:&quot;MENDELEY_CITATION_24adc7f8-be42-420c-b6d7-4294d49884da&quot;,&quot;properties&quot;:{&quot;noteIndex&quot;:0},&quot;isEdited&quot;:false,&quot;manualOverride&quot;:{&quot;isManuallyOverridden&quot;:false,&quot;citeprocText&quot;:&quot;(Christ &lt;i&gt;et al.&lt;/i&gt;, 2020)&quot;,&quot;manualOverrideText&quot;:&quot;&quot;},&quot;citationItems&quot;:[{&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citationTag&quot;:&quot;MENDELEY_CITATION_v3_eyJjaXRhdGlvbklEIjoiTUVOREVMRVlfQ0lUQVRJT05fMjRhZGM3ZjgtYmU0Mi00MjBjLWI2ZDctNDI5NGQ0OTg4NGRh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quot;},{&quot;citationID&quot;:&quot;MENDELEY_CITATION_d95d0908-d772-487f-90c5-a3cc2fc2755b&quot;,&quot;properties&quot;:{&quot;noteIndex&quot;:0},&quot;isEdited&quot;:false,&quot;manualOverride&quot;:{&quot;isManuallyOverridden&quot;:false,&quot;citeprocText&quot;:&quot;(Christ &lt;i&gt;et al.&lt;/i&gt;, 2023; Pinto and West, 2017)&quot;,&quot;manualOverrideText&quot;:&quot;&quot;},&quot;citationItems&quot;:[{&quot;id&quot;:&quot;311ab5fd-6a94-316f-99db-9c5c2ef8d2c2&quot;,&quot;itemData&quot;:{&quot;type&quot;:&quot;article-journal&quot;,&quot;id&quot;:&quot;311ab5fd-6a94-316f-99db-9c5c2ef8d2c2&quot;,&quot;title&quot;:&quot;Accounting, slavery and social history: The legacy of an eighteenth-century Portuguese chartered company&quot;,&quot;author&quot;:[{&quot;family&quot;:&quot;Pinto&quot;,&quot;given&quot;:&quot;Ofélia&quot;,&quot;parse-names&quot;:false,&quot;dropping-particle&quot;:&quot;&quot;,&quot;non-dropping-particle&quot;:&quot;&quot;},{&quot;family&quot;:&quot;West&quot;,&quot;given&quot;:&quot;Brian&quot;,&quot;parse-names&quot;:false,&quot;dropping-particle&quot;:&quot;&quot;,&quot;non-dropping-particle&quot;:&quot;&quot;}],&quot;container-title&quot;:&quot;Accounting History&quot;,&quot;DOI&quot;:&quot;10.1177/1032373217696512&quot;,&quot;ISSN&quot;:&quot;17493374&quot;,&quot;issued&quot;:{&quot;date-parts&quot;:[[2017,5,1]]},&quot;page&quot;:&quot;141-166&quot;,&quot;abstract&quot;:&quot;Based on extensive archival research, this study documents and analyses the accounting techniques that the Companhia Geral do Grão Pará e Maranhão applied to its slave trading operations during the second half of the eighteenth century. The surviving accounting records of this Portuguese chartered company reveal – in meticulous detail – the integral role that accounting technology played in enabling the slave trade to flourish. However, and paradoxically, while evidencing this culpability the same accounting records also document the essential humanity of the slaves and preserve details of the bleak circumstances of their existence. Slaves are typically lamented as a lost people consigned to a tragic and an eternal anonymity, but it is from accounting records that many aspects of their lives can be reconstructed. In this way, the accounting records studied are also shown to provide a latent source of social history that constitutes a profound mea culpa.&quot;,&quot;publisher&quot;:&quot;SAGE Publications Ltd&quot;,&quot;issue&quot;:&quot;2&quot;,&quot;volume&quot;:&quot;22&quot;,&quot;container-title-short&quot;:&quot;&quot;},&quot;isTemporary&quot;:false},{&quot;id&quot;:&quot;0ce23ff7-8063-3489-9d73-6acf9cefe063&quot;,&quot;itemData&quot;:{&quot;type&quot;:&quot;article-journal&quot;,&quot;id&quot;:&quot;0ce23ff7-8063-3489-9d73-6acf9cefe063&quot;,&quot;title&quot;:&quot;Modern slavery and the accounting profession&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Islam&quot;,&quot;given&quot;:&quot;Muhammad Azizul&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quot;},{&quot;citationID&quot;:&quot;MENDELEY_CITATION_485826e8-1640-4f01-ace6-ab40404007c8&quot;,&quot;properties&quot;:{&quot;noteIndex&quot;:0},&quot;isEdited&quot;:false,&quot;manualOverride&quot;:{&quot;isManuallyOverridden&quot;:false,&quot;citeprocText&quot;:&quot;(Madhavika &lt;i&gt;et al.&lt;/i&gt;, 2024)&quot;,&quot;manualOverrideText&quot;:&quot;&quot;},&quot;citationItems&quot;:[{&quot;id&quot;:&quot;192d6e6b-6da7-3cd8-bef4-071be9a9c894&quot;,&quot;itemData&quot;:{&quot;type&quot;:&quot;article-journal&quot;,&quot;id&quot;:&quot;192d6e6b-6da7-3cd8-bef4-071be9a9c894&quot;,&quot;title&quot;:&quot;Modern Slavery Disclosure Practices: A Systematic Literature Review Using Bibliometric and Thematic Content Analyses&quot;,&quot;author&quot;:[{&quot;family&quot;:&quot;Madhavika&quot;,&quot;given&quot;:&quot;Naduni&quot;,&quot;parse-names&quot;:false,&quot;dropping-particle&quot;:&quot;&quot;,&quot;non-dropping-particle&quot;:&quot;&quot;},{&quot;family&quot;:&quot;Mansi&quot;,&quot;given&quot;:&quot;Mansi&quot;,&quot;parse-names&quot;:false,&quot;dropping-particle&quot;:&quot;&quot;,&quot;non-dropping-particle&quot;:&quot;&quot;},{&quot;family&quot;:&quot;Pandey&quot;,&quot;given&quot;:&quot;Rakesh&quot;,&quot;parse-names&quot;:false,&quot;dropping-particle&quot;:&quot;&quot;,&quot;non-dropping-particle&quot;:&quot;&quot;},{&quot;family&quot;:&quot;Potdar&quot;,&quot;given&quot;:&quot;Balkrushna&quot;,&quot;parse-names&quot;:false,&quot;dropping-particle&quot;:&quot;&quot;,&quot;non-dropping-particle&quot;:&quot;&quot;}],&quot;container-title&quot;:&quot;International Journal of Disclosure and Governance&quot;,&quot;DOI&quot;:&quot;10.1057/s41310-024-00275-y&quot;,&quot;ISSN&quot;:&quot;17466539&quot;,&quot;issued&quot;:{&quot;date-parts&quot;:[[2024]]},&quot;abstract&quot;:&quot;Modern slavery is a serious social issue, and the International Labour Organization estimates 49.6 million modern slavery victims worldwide. Consequently, globally, numerous reporting legislations have been introduced to eradicate modern slavery enforcing organizations’ modern slavery disclosure (MSD) practices. These enforcements require organizations to be transparent, and accountable for modern slavery risks in their operations and supply chains, making them crucial in the global fight against modern slavery. The purpose of this study is to review the research on the MSD practice that has gained substantial attention with growing interests of governments, industries, and policymakers. Using PRISMA protocol approach, this study reviews 48 MSD research published throughout 2016–2023 in Scopus and Web of Science databases. Furthermore, a bibliometric analysis strategy complemented with thematic content analysis was used to offer comprehensive future research agendas. The findings cover significant elements in the MSD literature, including countries, journals, authors, articles, and topics. Additionally, employing bibliographic coupling of the research articles derived 4 MSD knowledge clusters: (1) modern slavery reporting legislations: social washing through symbolic compliance, (2) modern slavery nature, perceptions, and dynamics on current regulations, (3) UK Modern Slavery Act effectiveness and determinants, (4) exploration of transparency and normativity of MSDs. This study contributes to the existing MSD literature by reflecting on the evolution of modern slavery reporting legislation and corresponding firms’ responses in the form of highlighting the primary thrust areas of MSD research. This novel review of MSD research provides strong support for identifying emerging paradigms in the MSD literature who are new to the field. Further this study offers implications for policymakers highlighting the importance of establishing oversight bodies, auditing processes, and penalties for non-compliance to ensure effective MSD practice. The study sample was limited to the Scopus and WoS databases-listed journal articles omitting other grey literature, to ensure the reliability of the results.&quot;,&quot;publisher&quot;:&quot;Palgrave Macmillan&quot;,&quot;container-title-short&quot;:&quot;&quot;},&quot;isTemporary&quot;:false}],&quot;citationTag&quot;:&quot;MENDELEY_CITATION_v3_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&quot;},{&quot;citationID&quot;:&quot;MENDELEY_CITATION_20122e81-430d-47ad-aefe-de0f55557921&quot;,&quot;properties&quot;:{&quot;noteIndex&quot;:0},&quot;isEdited&quot;:false,&quot;manualOverride&quot;:{&quot;isManuallyOverridden&quot;:true,&quot;citeprocText&quot;:&quot;(Crane, 2013; ILO, 2022b, 2022a; LeBaron, 2020b)&quot;,&quot;manualOverrideText&quot;:&quot;(Crane, 2013; ILO, 2022b, 2022a)&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id&quot;:&quot;f5bfe226-c891-3d7d-8527-ae80ded30f72&quot;,&quot;itemData&quot;:{&quot;type&quot;:&quot;book&quot;,&quot;id&quot;:&quot;f5bfe226-c891-3d7d-8527-ae80ded30f72&quot;,&quot;title&quot;:&quot;Combatting Modern Slavery: Why Labour Governance is Failing and What We Can Do About It&quot;,&quot;author&quot;:[{&quot;family&quot;:&quot;LeBaron&quot;,&quot;given&quot;:&quot;Genevieve.&quot;,&quot;parse-names&quot;:false,&quot;dropping-particle&quot;:&quot;&quot;,&quot;non-dropping-particle&quot;:&quot;&quot;}],&quot;accessed&quot;:{&quot;date-parts&quot;:[[2023,2,4]]},&quot;editor&quot;:[{&quot;family&quot;:&quot;John Wiley &amp; Sons&quot;,&quot;given&quot;:&quot;&quot;,&quot;parse-names&quot;:false,&quot;dropping-particle&quot;:&quot;&quot;,&quot;non-dropping-particle&quot;:&quot;&quot;}],&quot;issued&quot;:{&quot;date-parts&quot;:[[2020]]},&quot;container-title-short&quot;:&quot;&quot;},&quot;isTemporary&quot;:false},{&quot;id&quot;:&quot;796aa549-c08c-313d-9133-561167c7c0fc&quot;,&quot;itemData&quot;:{&quot;type&quot;:&quot;webpage&quot;,&quot;id&quot;:&quot;796aa549-c08c-313d-9133-561167c7c0fc&quot;,&quot;title&quot;:&quot;Modern slavery:  50 million people worldwide in modern slavery&quot;,&quot;author&quot;:[{&quot;family&quot;:&quot;ILO&quot;,&quot;given&quot;:&quot;&quot;,&quot;parse-names&quot;:false,&quot;dropping-particle&quot;:&quot;&quot;,&quot;non-dropping-particle&quot;:&quot;&quot;}],&quot;container-title&quot;:&quot;International Labour Organisation&quot;,&quot;accessed&quot;:{&quot;date-parts&quot;:[[2022,11,23]]},&quot;URL&quot;:&quot;https://www.ilo.org/global/about-the-ilo/newsroom/news/WCMS_855019/lang--en/index.htm&quot;,&quot;issued&quot;:{&quot;date-parts&quot;:[[2022,10,12]]},&quot;container-title-short&quot;:&quot;&quot;},&quot;isTemporary&quot;:false},{&quot;id&quot;:&quot;a48abbf2-80c2-3987-bf4d-74e30530e40f&quot;,&quot;itemData&quot;:{&quot;type&quot;:&quot;report&quot;,&quot;id&quot;:&quot;a48abbf2-80c2-3987-bf4d-74e30530e40f&quot;,&quot;title&quot;:&quot; Global estimates of modern slavery: Forced labour and forced marriage&quot;,&quot;author&quot;:[{&quot;family&quot;:&quot;ILO&quot;,&quot;given&quot;:&quot;&quot;,&quot;parse-names&quot;:false,&quot;dropping-particle&quot;:&quot;&quot;,&quot;non-dropping-particle&quot;:&quot;&quot;}],&quot;issued&quot;:{&quot;date-parts&quot;:[[2022]]},&quot;publisher-place&quot;:&quot;Geneva&quot;,&quot;container-title-short&quot;:&quot;&quot;},&quot;isTemporary&quot;:false}],&quot;citationTag&quot;:&quot;MENDELEY_CITATION_v3_eyJjaXRhdGlvbklEIjoiTUVOREVMRVlfQ0lUQVRJT05fMjAxMjJlODEtNDMwZC00N2FkLWFlZmUtZGUwZjU1NTU3OTIxIiwicHJvcGVydGllcyI6eyJub3RlSW5kZXgiOjB9LCJpc0VkaXRlZCI6ZmFsc2UsIm1hbnVhbE92ZXJyaWRlIjp7ImlzTWFudWFsbHlPdmVycmlkZGVuIjp0cnVlLCJjaXRlcHJvY1RleHQiOiIoQ3JhbmUsIDIwMTM7IElMTywgMjAyMmIsIDIwMjJhOyBMZUJhcm9uLCAyMDIwYikiLCJtYW51YWxPdmVycmlkZVRleHQiOiIoQ3JhbmUsIDIwMTM7IElMTywgMjAyMmIsIDIwMjJhKS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&quot;},{&quot;citationID&quot;:&quot;MENDELEY_CITATION_fd8cdc31-3f14-4301-aa4f-25be6dda203b&quot;,&quot;properties&quot;:{&quot;noteIndex&quot;:0},&quot;isEdited&quot;:false,&quot;manualOverride&quot;:{&quot;isManuallyOverridden&quot;:false,&quot;citeprocText&quot;:&quot;(Walk Free, 2023)&quot;,&quot;manualOverrideText&quot;:&quot;&quot;},&quot;citationItems&quot;:[{&quot;id&quot;:&quot;47b9b193-1e21-3051-a13f-e2f48fd0e14b&quot;,&quot;itemData&quot;:{&quot;type&quot;:&quot;report&quot;,&quot;id&quot;:&quot;47b9b193-1e21-3051-a13f-e2f48fd0e14b&quot;,&quot;title&quot;:&quot;The global Slavery Index&quot;,&quot;author&quot;:[{&quot;family&quot;:&quot;Walk Free&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ZmQ4Y2RjMzEtM2YxNC00MzAxLWFhNGYtMjViZTZkZGEyMDNi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lRoZSBnbG9iYWwgU2xhdmVyeSBJbmRleCIsImF1dGhvciI6W3siZmFtaWx5IjoiV2FsayBGcmVl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quot;},{&quot;citationID&quot;:&quot;MENDELEY_CITATION_42bb769b-6db9-4928-b7cc-b4835e2dda39&quot;,&quot;properties&quot;:{&quot;noteIndex&quot;:0},&quot;isEdited&quot;:false,&quot;manualOverride&quot;:{&quot;isManuallyOverridden&quot;:false,&quot;citeprocText&quot;:&quot;(Ahmad &lt;i&gt;et al.&lt;/i&gt;, 2022; ILO, 2020a; Islam &lt;i&gt;et al.&lt;/i&gt;, 2022)&quot;,&quot;manualOverrideText&quot;:&quot;&quot;},&quot;citationItems&quot;:[{&quot;id&quot;:&quot;3e2a5630-8775-3c8b-9538-fa554eca92fd&quot;,&quot;itemData&quot;:{&quot;type&quot;:&quot;article-journal&quot;,&quot;id&quot;:&quot;3e2a5630-8775-3c8b-9538-fa554eca92fd&quot;,&quot;title&quot;:&quot;COVID-19 and the world of work: Updated estimates and analysis&quot;,&quot;author&quot;:[{&quot;family&quot;:&quot;International Labour Organization&quot;,&quot;given&quot;:&quot;&quot;,&quot;parse-names&quot;:false,&quot;dropping-particle&quot;:&quot;&quot;,&quot;non-dropping-particle&quot;:&quot;&quot;}],&quot;container-title&quot;:&quot;ILO Monitor&quot;,&quot;URL&quot;:&quot;https://www.ilo.org/wcmsp5/groups/public/@dgreports/@dcomm/documents/briefingnote/wcms_749399.pdf&quot;,&quot;issued&quot;:{&quot;date-parts&quot;:[[2020]]},&quot;page&quot;:&quot;1-22&quot;,&quot;abstract&quot;:&quot;Key messages Looking back: Labour market disruptions in the first half of 2020 Workplace closures � The vast majority, namely, 93 per cent, of the world's workers continue to reside in countries with some sort of workplace closure measure in place. This global share has remained relatively stable since mid-March, but with a marked shift towards softer measures. Currently, the Americas is experiencing the highest level of restrictions on workers and workplaces. Working-hour losses: Much larger than previously estimated � The latest ILO estimates show that working-hour losses have worsened during the first half of 2020, reflecting the deteriorating situation in recent weeks, especially in developing countries. During the first quarter of the year, an estimated 5.4 per cent of global working hours (equivalent to 155 million full-time jobs) were lost relative to the fourth quarter of 2019. Working-hour losses for the second quarter of 2020 relative to the last quarter of 2019 are estimated to reach 14.0 per cent worldwide (equivalent to 400 million full-time jobs), with the largest reduction (18.3 per cent) occurring in the Americas. � The factors driving the decline in working hours vary considerably across the countries for which relevant data are available. In some countries, shorter working hours and \&quot;being employed but not working\&quot; (e.g. where workers are put on temporary leave) contributed significantly to the decline, while in others, the main driving factor was people being pushed into unemployment and inactivity. These variations suggest that a narrow focus on unemployment does not allow a proper assessment of the pandemic's impact on the labour market. With disproportionate impact on women workers � Since the COVID-19 crisis is disproportionately affecting women workers in many ways, there is a risk of losing some of the gains made in recent decades and exacerbating gender inequalities in the labour market. In contrast to previous crises, women's employment is at greater risk than men's, particularly owing to the impact of the downturn on the service sector. At the same time, women account for a large proportion of workers in front-line occupations, especially in the health and social care sectors. Moreover, the increased burden of unpaid care brought by the crisis affects women more than men. Looking ahead: Outlook and policy challenges Outlook for the second half of 2020 � ILO projections suggest that the labour market recovery during the second half of 2020 will be uncertain and incomplete. In the baseline scenario, working-hour losses are likely to still be in the order of 4.9 per cent (equivalent to 140 million full-time jobs) in the fourth quarter of the year. However, under the pessimistic scenario, which assumes a second wave of the pandemic in the second half of 2020, working-hour losses would be as high as 11.9 per cent (equivalent to 340 million full-time jobs) in the last quarter. Even in the optimistic scenario, which assumes a fast recovery, global working hours are unlikely to return to the pre-crisis level by the end of 2020. Policies for a job-rich recovery � The actual labour market outcomes in the remainder of 2020 will be shaped by policy choices and actions as well as by the pandemic's&quot;,&quot;container-title-short&quot;:&quot;&quot;},&quot;isTemporary&quot;:false},{&quot;id&quot;:&quot;81da9631-8bab-3a8d-9200-66adfe440fa2&quot;,&quot;itemData&quot;:{&quot;type&quot;:&quot;article-journal&quot;,&quot;id&quot;:&quot;81da9631-8bab-3a8d-9200-66adfe440fa2&quot;,&quot;title&quot;:&quot;The impact of Covid-19 on women workers in the Bangladesh garment industry&quot;,&quot;author&quot;:[{&quot;family&quot;:&quot;Islam&quot;,&quot;given&quot;:&quot;A.Z&quot;,&quot;parse-names&quot;:false,&quot;dropping-particle&quot;:&quot;&quot;,&quot;non-dropping-particle&quot;:&quot;&quot;},{&quot;family&quot;:&quot;Abbott&quot;,&quot;given&quot;:&quot;P&quot;,&quot;parse-names&quot;:false,&quot;dropping-particle&quot;:&quot;&quot;,&quot;non-dropping-particle&quot;:&quot;&quot;},{&quot;family&quot;:&quot;Haque&quot;,&quot;given&quot;:&quot;S&quot;,&quot;parse-names&quot;:false,&quot;dropping-particle&quot;:&quot;&quot;,&quot;non-dropping-particle&quot;:&quot;&quot;},{&quot;family&quot;:&quot;Gooch&quot;,&quot;given&quot;:&quot;F&quot;,&quot;parse-names&quot;:false,&quot;dropping-particle&quot;:&quot;&quot;,&quot;non-dropping-particle&quot;:&quot;&quot;},{&quot;family&quot;:&quot;Akhter&quot;,&quot;given&quot;:&quot;S&quot;,&quot;parse-names&quot;:false,&quot;dropping-particle&quot;:&quot;&quot;,&quot;non-dropping-particle&quot;:&quot;&quot;}],&quot;container-title&quot;:&quot;  Accounting, auditing &amp; accountability journal &quot;,&quot;accessed&quot;:{&quot;date-parts&quot;:[[2023,5,8]]},&quot;issued&quot;:{&quot;date-parts&quot;:[[2022]]},&quot;page&quot;:&quot;282-311&quot;,&quot;issue&quot;:&quot;3&quot;,&quot;volume&quot;:&quot;15&quot;,&quot;container-title-short&quot;:&quot;&quot;},&quot;isTemporary&quot;:false},{&quot;id&quot;:&quot;ba6f4902-16cf-320a-a1e0-160e11ca8998&quot;,&quot;itemData&quot;:{&quot;type&quot;:&quot;article-journal&quot;,&quot;id&quot;:&quot;ba6f4902-16cf-320a-a1e0-160e11ca8998&quot;,&quot;title&quot;:&quot;COVID-19 and global clothing retailers' responsibility to vulnerable workers: NGO counter-rhetoric&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Muhammad Azizul&quot;,&quot;parse-names&quot;:false,&quot;dropping-particle&quot;:&quot;&quot;,&quot;non-dropping-particle&quot;:&quot;&quot;}],&quot;container-title&quot;:&quot;Accounting, Auditing and Accountability Journal&quot;,&quot;issued&quot;:{&quot;date-parts&quot;:[[2022,1,3]]},&quot;page&quot;:&quot;216-228&quot;,&quot;abstract&quot;:&quot;Purpose: This article aims to examine how non-governmental organisations (NGOs)' narratives portray the vulnerability of workers in global clothing supply chains during the COVID-19 crisis. Design/methodology/approach: The research analyses the rhetoric in global clothing retailers' and NGOs' counter-rhetoric during the first seven months of 2020. Findings: During this period, retailers employed rhetorical strategies to legitimise irresponsible actions (corporate hegemony prevailed), while NGOs embraced forms of counter-rhetoric trying to delegitimise the retailers' logic, stressing the role of neoliberalism in worsening the situation. Originality/value: The authors contribute to the literature by providing new insight into the consequences of COVID-19 for retailers' neoliberal practices and the livelihood of workers in global supply chains. Findings of this study extend authors’ knowledge about retailers' COVID-19 measures: These have contributed to the plights of workers working for their supply factories in the global South.&quot;,&quot;publisher&quot;:&quot;Emerald Group Holdings Ltd.&quot;,&quot;issue&quot;:&quot;1&quot;,&quot;volume&quot;:&quot;35&quot;,&quot;container-title-short&quot;:&quot;&quot;},&quot;isTemporary&quot;:false}],&quot;citationTag&quot;:&quot;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&quot;},{&quot;citationID&quot;:&quot;MENDELEY_CITATION_b5406c2c-0ffe-445d-811a-b4e071a254be&quot;,&quot;properties&quot;:{&quot;noteIndex&quot;:0},&quot;isEdited&quot;:false,&quot;manualOverride&quot;:{&quot;isManuallyOverridden&quot;:true,&quot;citeprocText&quot;:&quot;(ILO, Walk Free Foundation, &lt;i&gt;et al.&lt;/i&gt;, 2022; Walk Free and Minderoo, 2018)&quot;,&quot;manualOverrideText&quot;:&quot;(Walk Free and Minderoo, 2018; ILO, Walk Free et al., 2022)&quot;},&quot;citationItems&quot;:[{&quot;id&quot;:&quot;34743803-0ef2-384e-92cb-cee0e57d8dbc&quot;,&quot;itemData&quot;:{&quot;type&quot;:&quot;report&quot;,&quot;id&quot;:&quot;34743803-0ef2-384e-92cb-cee0e57d8dbc&quot;,&quot;title&quot;:&quot;Global estimation of Modern Slavery: Forced labour and Forced marrage&quot;,&quot;author&quot;:[{&quot;family&quot;:&quot;ILO&quot;,&quot;given&quot;:&quot;&quot;,&quot;parse-names&quot;:false,&quot;dropping-particle&quot;:&quot;&quot;,&quot;non-dropping-particle&quot;:&quot;&quot;},{&quot;family&quot;:&quot;Walk Free Foundation&quot;,&quot;given&quot;:&quot;&quot;,&quot;parse-names&quot;:false,&quot;dropping-particle&quot;:&quot;&quot;,&quot;non-dropping-particle&quot;:&quot;&quot;},{&quot;family&quot;:&quot;IOM UN migration&quot;,&quot;given&quot;:&quot;&quot;,&quot;parse-names&quot;:false,&quot;dropping-particle&quot;:&quot;&quot;,&quot;non-dropping-particle&quot;:&quot;&quot;}],&quot;issued&quot;:{&quot;date-parts&quot;:[[2022]]},&quot;number-of-pages&quot;:&quot;1-144&quot;,&quot;container-title-short&quot;:&quot;&quot;},&quot;isTemporary&quot;:false},{&quot;id&quot;:&quot;70addc1e-7888-3306-957d-c3c3e6c6cd4d&quot;,&quot;itemData&quot;:{&quot;type&quot;:&quot;report&quot;,&quot;id&quot;:&quot;70addc1e-7888-3306-957d-c3c3e6c6cd4d&quot;,&quot;title&quot;:&quot;Understanding Modern Slavery: What is modern slavery?&quot;,&quot;author&quot;:[{&quot;family&quot;:&quot;Walk Free&quot;,&quot;given&quot;:&quot;&quot;,&quot;parse-names&quot;:false,&quot;dropping-particle&quot;:&quot;&quot;,&quot;non-dropping-particle&quot;:&quot;&quot;},{&quot;family&quot;:&quot;Minderoo&quot;,&quot;given&quot;:&quot;&quot;,&quot;parse-names&quot;:false,&quot;dropping-particle&quot;:&quot;&quot;,&quot;non-dropping-particle&quot;:&quot;&quot;}],&quot;accessed&quot;:{&quot;date-parts&quot;:[[2023,1,20]]},&quot;URL&quot;:&quot;www.minderoo.org.au/walk-free&quot;,&quot;issued&quot;:{&quot;date-parts&quot;:[[2018]]},&quot;container-title-short&quot;:&quot;&quot;},&quot;isTemporary&quot;:false}],&quot;citationTag&quot;:&quot;MENDELEY_CITATION_v3_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&quot;},{&quot;citationID&quot;:&quot;MENDELEY_CITATION_37f30a6a-6307-4fcf-a2f4-21604e4f2593&quot;,&quot;properties&quot;:{&quot;noteIndex&quot;:0},&quot;isEdited&quot;:false,&quot;manualOverride&quot;:{&quot;isManuallyOverridden&quot;:true,&quot;citeprocText&quot;:&quot;(ILO, Walk Free Foundation, &lt;i&gt;et al.&lt;/i&gt;, 2022)&quot;,&quot;manualOverrideText&quot;:&quot;(ILO et al., 2022)&quot;},&quot;citationItems&quot;:[{&quot;id&quot;:&quot;34743803-0ef2-384e-92cb-cee0e57d8dbc&quot;,&quot;itemData&quot;:{&quot;type&quot;:&quot;report&quot;,&quot;id&quot;:&quot;34743803-0ef2-384e-92cb-cee0e57d8dbc&quot;,&quot;title&quot;:&quot;Global estimation of Modern Slavery: Forced labour and Forced marrage&quot;,&quot;author&quot;:[{&quot;family&quot;:&quot;ILO&quot;,&quot;given&quot;:&quot;&quot;,&quot;parse-names&quot;:false,&quot;dropping-particle&quot;:&quot;&quot;,&quot;non-dropping-particle&quot;:&quot;&quot;},{&quot;family&quot;:&quot;Walk Free Foundation&quot;,&quot;given&quot;:&quot;&quot;,&quot;parse-names&quot;:false,&quot;dropping-particle&quot;:&quot;&quot;,&quot;non-dropping-particle&quot;:&quot;&quot;},{&quot;family&quot;:&quot;IOM UN migration&quot;,&quot;given&quot;:&quot;&quot;,&quot;parse-names&quot;:false,&quot;dropping-particle&quot;:&quot;&quot;,&quot;non-dropping-particle&quot;:&quot;&quot;}],&quot;issued&quot;:{&quot;date-parts&quot;:[[2022]]},&quot;number-of-pages&quot;:&quot;1-144&quot;,&quot;container-title-short&quot;:&quot;&quot;},&quot;isTemporary&quot;:false}],&quot;citationTag&quot;:&quot;MENDELEY_CITATION_v3_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&quot;},{&quot;citationID&quot;:&quot;MENDELEY_CITATION_3eac5538-239e-4a7f-96f7-d1caf8ecb115&quot;,&quot;properties&quot;:{&quot;noteIndex&quot;:0},&quot;isEdited&quot;:false,&quot;manualOverride&quot;:{&quot;isManuallyOverridden&quot;:true,&quot;citeprocText&quot;:&quot;(Meehan and Pinnington, 2021a)&quot;,&quot;manualOverrideText&quot;:&quot;(Meehan and Pinnington, 2021)&quot;},&quot;citationItems&quot;:[{&quot;id&quot;:&quot;6247d572-f3c7-3d6c-bba6-13ede1448480&quot;,&quot;itemData&quot;:{&quot;type&quot;:&quot;article-journal&quot;,&quot;id&quot;:&quot;6247d572-f3c7-3d6c-bba6-13ede1448480&quot;,&quot;title&quot;:&quot;Modern slavery in supply chains: insights through strategic ambiguity&quot;,&quot;author&quot;:[{&quot;family&quot;:&quot;Meehan&quot;,&quot;given&quot;:&quot;Joanne&quot;,&quot;parse-names&quot;:false,&quot;dropping-particle&quot;:&quot;&quot;,&quot;non-dropping-particle&quot;:&quot;&quot;},{&quot;family&quot;:&quot;Pinnington&quot;,&quot;given&quot;:&quot;Bruce D.&quot;,&quot;parse-names&quot;:false,&quot;dropping-particle&quot;:&quot;&quot;,&quot;non-dropping-particle&quot;:&quot;&quot;}],&quot;container-title&quot;:&quot;International Journal of Operations and Production Management&quot;,&quot;DOI&quot;:&quot;10.1108/IJOPM-05-2020-0292&quot;,&quot;ISSN&quot;:&quot;17586593&quot;,&quot;issued&quot;:{&quot;date-parts&quot;:[[2021,3,1]]},&quot;page&quot;:&quot;77-101&quot;,&quot;abstract&quot;:&quot;Purpose: The purpose of this paper is to assess whether firms' transparency in supply chain (TISC) statements indicate that substantive action is being taken on modern slavery in UK government supply chains. Design/methodology/approach: The authors analyse 66 of the UK government's strategic suppliers' TISC statements and 20 key documents related to the policy intent of the UK Parliament, 2015 TISC requirements. Qualitative document analysis identifies what suppliers say they are doing and what they are not saying to provide novel insights into how firms employ ambiguity to avoid timely action on modern slavery in their supply chains A set of propositions are developed. Findings: The authors elaborate the concepts of time and change in socially sustainable supply chains and illustrate how firms use ambiguity in TISC statements as a highly strategic form of action to defend the status quo, reduce accountability and delay action for modern slavery within supply chains. The authors identify three ambiguous techniques: defensive reassurance, transfer responsibility and scope reduction that deviate from the policy intention of collaborative action. Social implications: The results illustrates how ambiguity is preventing firms from taking collaborative action to tackle modern slavery in their supply chains. The lack of action as a result of ambiguity protects firms, rather than potential victims of modern slavery. Originality/value: Prior research focuses on technical compliance rather than the content of firms' TISC statements. This qualitative study provides novel insights into the policy-resistant effects of ambiguity and highlights the dynamic and instrumental role of modern slavery reporting. Theoretically, we identify accountability as an essential concept to address the causes of modern slavery in supply chains and for developing collaborative supply chain environments to tackle the issues.&quot;,&quot;publisher&quot;:&quot;Emerald Group Holdings Ltd.&quot;,&quot;issue&quot;:&quot;2&quot;,&quot;volume&quot;:&quot;41&quot;,&quot;container-title-short&quot;:&quot;&quot;},&quot;isTemporary&quot;:false}],&quot;citationTag&quot;:&quot;MENDELEY_CITATION_v3_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&quot;},{&quot;citationID&quot;:&quot;MENDELEY_CITATION_7f3cdbbf-b950-4e95-9459-5df57f184429&quot;,&quot;properties&quot;:{&quot;noteIndex&quot;:0},&quot;isEdited&quot;:false,&quot;manualOverride&quot;:{&quot;isManuallyOverridden&quot;:true,&quot;citeprocText&quot;:&quot;(Moussa &lt;i&gt;et al.&lt;/i&gt;, 2022; Walk Free and Minderoo, 2018)&quot;,&quot;manualOverrideText&quot;:&quot;(Walk Free and Minderoo, 2018; Moussa et al., 2022)&quot;},&quot;citationItems&quot;:[{&quot;id&quot;:&quot;70addc1e-7888-3306-957d-c3c3e6c6cd4d&quot;,&quot;itemData&quot;:{&quot;type&quot;:&quot;report&quot;,&quot;id&quot;:&quot;70addc1e-7888-3306-957d-c3c3e6c6cd4d&quot;,&quot;title&quot;:&quot;Understanding Modern Slavery: What is modern slavery?&quot;,&quot;author&quot;:[{&quot;family&quot;:&quot;Walk Free&quot;,&quot;given&quot;:&quot;&quot;,&quot;parse-names&quot;:false,&quot;dropping-particle&quot;:&quot;&quot;,&quot;non-dropping-particle&quot;:&quot;&quot;},{&quot;family&quot;:&quot;Minderoo&quot;,&quot;given&quot;:&quot;&quot;,&quot;parse-names&quot;:false,&quot;dropping-particle&quot;:&quot;&quot;,&quot;non-dropping-particle&quot;:&quot;&quot;}],&quot;accessed&quot;:{&quot;date-parts&quot;:[[2023,1,20]]},&quot;URL&quot;:&quot;www.minderoo.org.au/walk-free&quot;,&quot;issued&quot;:{&quot;date-parts&quot;:[[2018]]},&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N2YzY2RiYmYtYjk1MC00ZTk1LTk0NTktNWRmNTdmMTg0NDI5IiwicHJvcGVydGllcyI6eyJub3RlSW5kZXgiOjB9LCJpc0VkaXRlZCI6ZmFsc2UsIm1hbnVhbE92ZXJyaWRlIjp7ImlzTWFudWFsbHlPdmVycmlkZGVuIjp0cnVlLCJjaXRlcHJvY1RleHQiOiIoTW91c3NhIDxpPmV0IGFsLjwvaT4sIDIwMjI7IFdhbGsgRnJlZSBhbmQgTWluZGVyb28sIDIwMTgpIiwibWFudWFsT3ZlcnJpZGVUZXh0IjoiKFdhbGsgRnJlZSBhbmQgTWluZGVyb28sIDIwMTg7IE1vdXNzYSBldCBhbC4sIDIwMjIp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9757ae7d-9b4c-4469-ae20-9ebf6d07afe3&quot;,&quot;properties&quot;:{&quot;noteIndex&quot;:0},&quot;isEdited&quot;:false,&quot;manualOverride&quot;:{&quot;isManuallyOverridden&quot;:false,&quot;citeprocText&quot;:&quot;(Christ &lt;i&gt;et al.&lt;/i&gt;, 2019; Christ and Burritt, 2021; Walk Free, 2023)&quot;,&quot;manualOverrideText&quot;:&quot;&quot;},&quot;citationItems&quot;:[{&quot;id&quot;:&quot;47b9b193-1e21-3051-a13f-e2f48fd0e14b&quot;,&quot;itemData&quot;:{&quot;type&quot;:&quot;report&quot;,&quot;id&quot;:&quot;47b9b193-1e21-3051-a13f-e2f48fd0e14b&quot;,&quot;title&quot;:&quot;Global-Slavery-Index-2023&quot;,&quot;author&quot;:[{&quot;family&quot;:&quot;Walk Free Foundation&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OTc1N2FlN2QtOWI0Yy00NDY5LWFlMjAtOWViZjZkMDdhZmUzIiwicHJvcGVydGllcyI6eyJub3RlSW5kZXgiOjB9LCJpc0VkaXRlZCI6ZmFsc2UsIm1hbnVhbE92ZXJyaWRlIjp7ImlzTWFudWFsbHlPdmVycmlkZGVuIjpmYWxzZSwiY2l0ZXByb2NUZXh0IjoiKENocmlzdCA8aT5ldCBhbC48L2k+LCAyMDE5OyBDaHJpc3QgYW5kIEJ1cnJpdHQsIDIwMjE7I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&quot;},{&quot;citationID&quot;:&quot;MENDELEY_CITATION_77cea223-30b8-4089-8b01-9c30780a4562&quot;,&quot;properties&quot;:{&quot;noteIndex&quot;:0},&quot;isEdited&quot;:false,&quot;manualOverride&quot;:{&quot;isManuallyOverridden&quot;:true,&quot;citeprocText&quot;:&quot;(Barrientos, 2013b; Crane, 2013; Walk Free Foundation, 2018)&quot;,&quot;manualOverrideText&quot;:&quot;(Barrientos, 2013a; Crane, 2013; Walk Free, 2018b)&quot;},&quot;citationItems&quot;:[{&quot;id&quot;:&quot;3febcf4a-f598-35e4-bdc0-790ed3d315b6&quot;,&quot;itemData&quot;:{&quot;type&quot;:&quot;article-journal&quot;,&quot;id&quot;:&quot;3febcf4a-f598-35e4-bdc0-790ed3d315b6&quot;,&quot;title&quot;:&quot;‘Labour Chains’: Analysing the Role of Labour Contractors in Global Production Networks&quot;,&quot;author&quot;:[{&quot;family&quot;:&quot;Barrientos&quot;,&quot;given&quot;:&quot;Stephanie Ware&quot;,&quot;parse-names&quot;:false,&quot;dropping-particle&quot;:&quot;&quot;,&quot;non-dropping-particle&quot;:&quot;&quot;}],&quot;container-title&quot;:&quot;Journal of development studies&quot;,&quot;accessed&quot;:{&quot;date-parts&quot;:[[2023,5,3]]},&quot;DOI&quot;:&quot;10.1080/00220388.2013.780040&quot;,&quot;ISSN&quot;:&quot;00220388&quot;,&quot;URL&quot;:&quot;https://www.tandfonline.com/doi/abs/10.1080/00220388.2013.780040&quot;,&quot;issued&quot;:{&quot;date-parts&quot;:[[2013,8]]},&quot;page&quot;:&quot;1058-1071&quot;,&quot;abstract&quot;:&quot;Third party labour contractors are increasingly prevalent in global production networks (GPNs), and can provide a channel for new forms of unfree labour. Review of case study evidence from South Af...&quot;,&quot;publisher&quot;:&quot; Routledge &quot;,&quot;issue&quot;:&quot;8&quot;,&quot;volume&quot;:&quot;49&quot;,&quot;container-title-short&quot;:&quot;&quot;},&quot;isTemporary&quot;:false},{&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id&quot;:&quot;5d6d5e53-c11e-37a9-b3b5-721909e7763f&quot;,&quot;itemData&quot;:{&quot;type&quot;:&quot;report&quot;,&quot;id&quot;:&quot;5d6d5e53-c11e-37a9-b3b5-721909e7763f&quot;,&quot;title&quot;:&quot;The global slavery index&quot;,&quot;author&quot;:[{&quot;family&quot;:&quot;Walk Free Foundation&quot;,&quot;given&quot;:&quot;&quot;,&quot;parse-names&quot;:false,&quot;dropping-particle&quot;:&quot;&quot;,&quot;non-dropping-particle&quot;:&quot;&quot;}],&quot;accessed&quot;:{&quot;date-parts&quot;:[[2022,8,8]]},&quot;URL&quot;:&quot;https://www.walkfree.org/projects/the-global-slavery-index/&quot;,&quot;issued&quot;:{&quot;date-parts&quot;:[[2018]]},&quot;container-title-short&quot;:&quot;&quot;},&quot;isTemporary&quot;:false}],&quot;citationTag&quot;:&quot;MENDELEY_CITATION_v3_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Sx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quot;},{&quot;citationID&quot;:&quot;MENDELEY_CITATION_160dfd7a-0559-4c78-9ebc-89a02b07b224&quot;,&quot;properties&quot;:{&quot;noteIndex&quot;:0},&quot;isEdited&quot;:false,&quot;manualOverride&quot;:{&quot;isManuallyOverridden&quot;:true,&quot;citeprocText&quot;:&quot;(Meehan and Pinnington, 2021b)&quot;,&quot;manualOverrideText&quot;:&quot;(Meehan and Pinnington, 2021).&quot;},&quot;citationItems&quot;:[{&quot;id&quot;:&quot;7da30ff4-902c-3672-8bbc-a3b44accb4b5&quot;,&quot;itemData&quot;:{&quot;type&quot;:&quot;article-journal&quot;,&quot;id&quot;:&quot;7da30ff4-902c-3672-8bbc-a3b44accb4b5&quot;,&quot;title&quot;:&quot;Modern slavery in supply chains: insights through strategic ambiguity&quot;,&quot;author&quot;:[{&quot;family&quot;:&quot;Meehan&quot;,&quot;given&quot;:&quot;Joanne&quot;,&quot;parse-names&quot;:false,&quot;dropping-particle&quot;:&quot;&quot;,&quot;non-dropping-particle&quot;:&quot;&quot;},{&quot;family&quot;:&quot;Pinnington&quot;,&quot;given&quot;:&quot;Bruce D&quot;,&quot;parse-names&quot;:false,&quot;dropping-particle&quot;:&quot;&quot;,&quot;non-dropping-particle&quot;:&quot;&quot;}],&quot;container-title&quot;:&quot;Journal of Operations &amp; Production Management.&quot;,&quot;accessed&quot;:{&quot;date-parts&quot;:[[2023,1,28]]},&quot;DOI&quot;:&quot;10.1108/IJOPM-05-2020-0292&quot;,&quot;ISBN&quot;:&quot;0520200292&quot;,&quot;URL&quot;:&quot;https://www.emerald.com/insight/0144-3577.htm&quot;,&quot;issued&quot;:{&quot;date-parts&quot;:[[2021]]},&quot;page&quot;:&quot;77-101&quot;,&quot;abstract&quot;:&quot;Purpose-The purpose of this paper is to assess whether firms' transparency in supply chain (TISC) statements indicate that substantive action is being taken on modern slavery in UK government supply chains. Design/methodology/approach-The authors analyse 66 of the UK government's strategic suppliers' TISC statements and 20 key documents related to the policy intent of the UK Parliament, 2015 TISC requirements. Qualitative document analysis identifies what suppliers say they are doing and what they are not saying to provide novel insights into how firms employ ambiguity to avoid timely action on modern slavery in their supply chains A set of propositions are developed. Findings-The authors elaborate the concepts of time and change in socially sustainable supply chains and illustrate how firms use ambiguity in TISC statements as a highly strategic form of action to defend the status quo, reduce accountability and delay action for modern slavery within supply chains. The authors identify three ambiguous techniques: defensive reassurance, transfer responsibility and scope reduction that deviate from the policy intention of collaborative action. Social implications-The results illustrates how ambiguity is preventing firms from taking collaborative action to tackle modern slavery in their supply chains. The lack of action as a result of ambiguity protects firms, rather than potential victims of modern slavery. Originality/value-Prior research focuses on technical compliance rather than the content of firms' TISC statements. This qualitative study provides novel insights into the policy-resistant effects of ambiguity and highlights the dynamic and instrumental role of modern slavery reporting. Theoretically, we identify accountability as an essential concept to address the causes of modern slavery in supply chains and for developing collaborative supply chain environments to tackle the issues.&quot;,&quot;issue&quot;:&quot;2&quot;,&quot;volume&quot;:&quot;41&quot;,&quot;container-title-short&quot;:&quot;&quot;},&quot;isTemporary&quot;:false}],&quot;citationTag&quot;:&quot;MENDELEY_CITATION_v3_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&quot;},{&quot;citationID&quot;:&quot;MENDELEY_CITATION_b2143694-a3d4-474f-9d6b-0db237e5cede&quot;,&quot;properties&quot;:{&quot;noteIndex&quot;:0},&quot;isEdited&quot;:false,&quot;manualOverride&quot;:{&quot;isManuallyOverridden&quot;:true,&quot;citeprocText&quot;:&quot;(Walk Free Foundation, 2018)&quot;,&quot;manualOverrideText&quot;:&quot;(Walk Free, 2018, p. 26)&quot;},&quot;citationItems&quot;:[{&quot;id&quot;:&quot;5d6d5e53-c11e-37a9-b3b5-721909e7763f&quot;,&quot;itemData&quot;:{&quot;type&quot;:&quot;report&quot;,&quot;id&quot;:&quot;5d6d5e53-c11e-37a9-b3b5-721909e7763f&quot;,&quot;title&quot;:&quot;The global slavery index&quot;,&quot;author&quot;:[{&quot;family&quot;:&quot;Walk Free Foundation&quot;,&quot;given&quot;:&quot;&quot;,&quot;parse-names&quot;:false,&quot;dropping-particle&quot;:&quot;&quot;,&quot;non-dropping-particle&quot;:&quot;&quot;}],&quot;accessed&quot;:{&quot;date-parts&quot;:[[2022,8,8]]},&quot;URL&quot;:&quot;https://www.walkfree.org/projects/the-global-slavery-index/&quot;,&quot;issued&quot;:{&quot;date-parts&quot;:[[2018]]},&quot;container-title-short&quot;:&quot;&quot;},&quot;isTemporary&quot;:false}],&quot;citationTag&quot;:&quot;MENDELEY_CITATION_v3_eyJjaXRhdGlvbklEIjoiTUVOREVMRVlfQ0lUQVRJT05fYjIxNDM2OTQtYTNkNC00NzRmLTlkNmItMGRiMjM3ZTVjZWRlIiwicHJvcGVydGllcyI6eyJub3RlSW5kZXgiOjB9LCJpc0VkaXRlZCI6ZmFsc2UsIm1hbnVhbE92ZXJyaWRlIjp7ImlzTWFudWFsbHlPdmVycmlkZGVuIjp0cnVlLCJjaXRlcHJvY1RleHQiOiIoV2FsayBGcmVlIEZvdW5kYXRpb24sIDIwMTgpIiwibWFudWFsT3ZlcnJpZGVUZXh0IjoiKFdhbGsgRnJlZSwgMjAxOCwgcC4gMjYpIn0sImNpdGF0aW9uSXRlbXMiOlt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quot;},{&quot;citationID&quot;:&quot;MENDELEY_CITATION_b38112a3-def8-4237-9486-e432390b1638&quot;,&quot;properties&quot;:{&quot;noteIndex&quot;:0},&quot;isEdited&quot;:false,&quot;manualOverride&quot;:{&quot;isManuallyOverridden&quot;:false,&quot;citeprocText&quot;:&quot;(Christ and Burritt, 2021; Moussa &lt;i&gt;et al.&lt;/i&gt;, 2022)&quot;,&quot;manualOverrideText&quot;:&quot;&quot;},&quot;citationItems&quot;:[{&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quot;},{&quot;citationID&quot;:&quot;MENDELEY_CITATION_7d9690fa-674b-44e3-b604-0a9e5a9518ef&quot;,&quot;properties&quot;:{&quot;noteIndex&quot;:0},&quot;isEdited&quot;:false,&quot;manualOverride&quot;:{&quot;isManuallyOverridden&quot;:false,&quot;citeprocText&quot;:&quot;(Crane &lt;i&gt;et al.&lt;/i&gt;, 2022)&quot;,&quot;manualOverrideText&quot;:&quot;&quot;},&quot;citationItems&quot;:[{&quot;id&quot;:&quot;7c9e40cb-f257-3538-acd3-432a5808e9e8&quot;,&quot;itemData&quot;:{&quot;type&quot;:&quot;article-journal&quot;,&quot;id&quot;:&quot;7c9e40cb-f257-3538-acd3-432a5808e9e8&quot;,&quot;title&quot;:&quot;Confronting the Business Models of Modern Slavery&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Phung&quot;,&quot;given&quot;:&quot;Kam&quot;,&quot;parse-names&quot;:false,&quot;dropping-particle&quot;:&quot;&quot;,&quot;non-dropping-particle&quot;:&quot;&quot;},{&quot;family&quot;:&quot;Behbahani&quot;,&quot;given&quot;:&quot;Laya&quot;,&quot;parse-names&quot;:false,&quot;dropping-particle&quot;:&quot;&quot;,&quot;non-dropping-particle&quot;:&quot;&quot;},{&quot;family&quot;:&quot;Allain&quot;,&quot;given&quot;:&quot;Jean&quot;,&quot;parse-names&quot;:false,&quot;dropping-particle&quot;:&quot;&quot;,&quot;non-dropping-particle&quot;:&quot;&quot;}],&quot;container-title&quot;:&quot;Journal of Management Inquiry&quot;,&quot;DOI&quot;:&quot;10.1177/1056492621994904&quot;,&quot;ISSN&quot;:&quot;15526542&quot;,&quot;issued&quot;:{&quot;date-parts&quot;:[[2022,7,1]]},&quot;page&quot;:&quot;264-285&quot;,&quot;abstract&quot;:&quot;Despite growing attention from companies and regulators looking to eradicate modern slavery, we know little about how slavery works from a business perspective. We address this gap by empirically examining innovations in the business models of modern slavery, focusing on how the business models of slavery in advanced economies have evolved since slavery was legally abolished. While continuities exist, novel business models have emerged based on new actors, activities, and linkages. We categorize these as four innovative models per actors involved (producer/intermediary) and how value is created and captured (revenue generation/cost reduction), and discuss implications for research, policy, and practice.&quot;,&quot;publisher&quot;:&quot;SAGE Publications Inc.&quot;,&quot;issue&quot;:&quot;3&quot;,&quot;volume&quot;:&quot;31&quot;,&quot;container-title-short&quot;:&quot;&quot;},&quot;isTemporary&quot;:false}],&quot;citationTag&quot;:&quot;MENDELEY_CITATION_v3_eyJjaXRhdGlvbklEIjoiTUVOREVMRVlfQ0lUQVRJT05fN2Q5NjkwZmEtNjc0Yi00NGUzLWI2MDQtMGE5ZTVhOTUxOGVm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quot;},{&quot;citationID&quot;:&quot;MENDELEY_CITATION_5550af34-f70a-4346-8b26-cdfa535fa7b3&quot;,&quot;properties&quot;:{&quot;noteIndex&quot;:0},&quot;isEdited&quot;:false,&quot;manualOverride&quot;:{&quot;isManuallyOverridden&quot;:false,&quot;citeprocText&quot;:&quot;(Ahmad &lt;i&gt;et al.&lt;/i&gt;, 2022; Gutierrez-Huerter O &lt;i&gt;et al.&lt;/i&gt;, 2023)&quot;,&quot;manualOverrideText&quot;:&quot;&quot;},&quot;citationItems&quot;:[{&quot;id&quot;:&quot;6059944d-3417-3b41-9468-fa0d76112ede&quot;,&quot;itemData&quot;:{&quot;type&quot;:&quot;article-journal&quot;,&quot;id&quot;:&quot;6059944d-3417-3b41-9468-fa0d76112ede&quot;,&quot;title&quot;:&quot;Change in Rhetoric but not in Action? Framing of the Ethical Issue of Modern Slavery in a UK Sector at High Risk of Labor Exploitation&quot;,&quot;author&quot;:[{&quot;family&quot;:&quot;Gutierrez-Huerter O&quot;,&quot;given&quot;:&quot;Gabriela&quot;,&quot;parse-names&quot;:false,&quot;dropping-particle&quot;:&quot;&quot;,&quot;non-dropping-particle&quot;:&quot;&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container-title&quot;:&quot;Journal of Business Ethics&quot;,&quot;DOI&quot;:&quot;10.1007/s10551-021-05013-w&quot;,&quot;ISSN&quot;:&quot;15730697&quot;,&quot;issued&quot;:{&quot;date-parts&quot;:[[2023,1,1]]},&quot;page&quot;:&quot;35-58&quot;,&quot;abstract&quot;:&quot;This article shows how the ethical framing of the contemporary issue of modern slavery has evolved in UK construction, a sector in which there is a high risk of labor exploitation. It also examines how these framing dynamics have inhibited the emergence of a common framework of action to deal with the issue. We draw on both framing theory and the literature on the discursive construction of moral legitimacy. Our longitudinal analysis reveals that actors seeking to shape the debate bring their own moral schemes to justify and construct the legitimacy of their frames. Actors cluster their views around five evolving frames: human rights issue (later shifting to hidden crime), moral issue, management issue (later shifting to human moral obligation), social justice issue, and decent work issue—which promote particular normative evaluations of what the issue is, who is responsible, and recommendations for action. Our study contributes to a dynamic and political understanding of the meaning making of modern slavery. We identify the antecedents and conditions that have forestalled the emergence of new patterns of action to tackle modern slavery in the UK construction sector thereby evidencing the effects of the interplay of morally competing frames on field-level change.&quot;,&quot;publisher&quot;:&quot;Springer Science and Business Media B.V.&quot;,&quot;issue&quot;:&quot;1&quot;,&quot;volume&quot;:&quot;182&quot;,&quot;container-title-short&quot;:&quot;&quot;},&quot;isTemporary&quot;:false},{&quot;id&quot;:&quot;ba6f4902-16cf-320a-a1e0-160e11ca8998&quot;,&quot;itemData&quot;:{&quot;type&quot;:&quot;article-journal&quot;,&quot;id&quot;:&quot;ba6f4902-16cf-320a-a1e0-160e11ca8998&quot;,&quot;title&quot;:&quot;COVID-19 and global clothing retailers' responsibility to vulnerable workers: NGO counter-rhetoric&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A.Z&quot;,&quot;parse-names&quot;:false,&quot;dropping-particle&quot;:&quot;&quot;,&quot;non-dropping-particle&quot;:&quot;&quot;}],&quot;container-title&quot;:&quot;Accounting, Auditing and Accountability Journal&quot;,&quot;issued&quot;:{&quot;date-parts&quot;:[[2022,1,3]]},&quot;page&quot;:&quot;216-228&quot;,&quot;abstract&quot;:&quot;Purpose: This article aims to examine how non-governmental organisations (NGOs)' narratives portray the vulnerability of workers in global clothing supply chains during the COVID-19 crisis. Design/methodology/approach: The research analyses the rhetoric in global clothing retailers' and NGOs' counter-rhetoric during the first seven months of 2020. Findings: During this period, retailers employed rhetorical strategies to legitimise irresponsible actions (corporate hegemony prevailed), while NGOs embraced forms of counter-rhetoric trying to delegitimise the retailers' logic, stressing the role of neoliberalism in worsening the situation. Originality/value: The authors contribute to the literature by providing new insight into the consequences of COVID-19 for retailers' neoliberal practices and the livelihood of workers in global supply chains. Findings of this study extend authors’ knowledge about retailers' COVID-19 measures: These have contributed to the plights of workers working for their supply factories in the global South.&quot;,&quot;publisher&quot;:&quot;Emerald Group Holdings Ltd.&quot;,&quot;issue&quot;:&quot;1&quot;,&quot;volume&quot;:&quot;35&quot;,&quot;container-title-short&quot;:&quot;&quot;},&quot;isTemporary&quot;:false}],&quot;citationTag&quot;:&quot;MENDELEY_CITATION_v3_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&quot;},{&quot;citationID&quot;:&quot;MENDELEY_CITATION_ae50b5c1-ceee-4c58-8265-e6bbe384cf76&quot;,&quot;properties&quot;:{&quot;noteIndex&quot;:0},&quot;isEdited&quot;:false,&quot;manualOverride&quot;:{&quot;isManuallyOverridden&quot;:false,&quot;citeprocText&quot;:&quot;(Crane &lt;i&gt;et al.&lt;/i&gt;, 2022)&quot;,&quot;manualOverrideText&quot;:&quot;&quot;},&quot;citationItems&quot;:[{&quot;id&quot;:&quot;7c9e40cb-f257-3538-acd3-432a5808e9e8&quot;,&quot;itemData&quot;:{&quot;type&quot;:&quot;article-journal&quot;,&quot;id&quot;:&quot;7c9e40cb-f257-3538-acd3-432a5808e9e8&quot;,&quot;title&quot;:&quot;Confronting the Business Models of Modern Slavery&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Phung&quot;,&quot;given&quot;:&quot;Kam&quot;,&quot;parse-names&quot;:false,&quot;dropping-particle&quot;:&quot;&quot;,&quot;non-dropping-particle&quot;:&quot;&quot;},{&quot;family&quot;:&quot;Behbahani&quot;,&quot;given&quot;:&quot;Laya&quot;,&quot;parse-names&quot;:false,&quot;dropping-particle&quot;:&quot;&quot;,&quot;non-dropping-particle&quot;:&quot;&quot;},{&quot;family&quot;:&quot;Allain&quot;,&quot;given&quot;:&quot;Jean&quot;,&quot;parse-names&quot;:false,&quot;dropping-particle&quot;:&quot;&quot;,&quot;non-dropping-particle&quot;:&quot;&quot;}],&quot;container-title&quot;:&quot;Journal of Management Inquiry&quot;,&quot;DOI&quot;:&quot;10.1177/1056492621994904&quot;,&quot;ISSN&quot;:&quot;15526542&quot;,&quot;issued&quot;:{&quot;date-parts&quot;:[[2022,7,1]]},&quot;page&quot;:&quot;264-285&quot;,&quot;abstract&quot;:&quot;Despite growing attention from companies and regulators looking to eradicate modern slavery, we know little about how slavery works from a business perspective. We address this gap by empirically examining innovations in the business models of modern slavery, focusing on how the business models of slavery in advanced economies have evolved since slavery was legally abolished. While continuities exist, novel business models have emerged based on new actors, activities, and linkages. We categorize these as four innovative models per actors involved (producer/intermediary) and how value is created and captured (revenue generation/cost reduction), and discuss implications for research, policy, and practice.&quot;,&quot;publisher&quot;:&quot;SAGE Publications Inc.&quot;,&quot;issue&quot;:&quot;3&quot;,&quot;volume&quot;:&quot;31&quot;,&quot;container-title-short&quot;:&quot;&quot;},&quot;isTemporary&quot;:false}],&quot;citationTag&quot;:&quot;MENDELEY_CITATION_v3_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&quot;},{&quot;citationID&quot;:&quot;MENDELEY_CITATION_6921b73d-af67-4052-a3a3-dbdb12c4208f&quot;,&quot;properties&quot;:{&quot;noteIndex&quot;:0},&quot;isEdited&quot;:false,&quot;manualOverride&quot;:{&quot;isManuallyOverridden&quot;:false,&quot;citeprocText&quot;:&quot;(Crane &lt;i&gt;et al.&lt;/i&gt;, 2022; LeBaron, 2021b)&quot;,&quot;manualOverrideText&quot;:&quot;&quot;},&quot;citationItems&quot;:[{&quot;id&quot;:&quot;7c9e40cb-f257-3538-acd3-432a5808e9e8&quot;,&quot;itemData&quot;:{&quot;type&quot;:&quot;article-journal&quot;,&quot;id&quot;:&quot;7c9e40cb-f257-3538-acd3-432a5808e9e8&quot;,&quot;title&quot;:&quot;Confronting the Business Models of Modern Slavery&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Phung&quot;,&quot;given&quot;:&quot;Kam&quot;,&quot;parse-names&quot;:false,&quot;dropping-particle&quot;:&quot;&quot;,&quot;non-dropping-particle&quot;:&quot;&quot;},{&quot;family&quot;:&quot;Behbahani&quot;,&quot;given&quot;:&quot;Laya&quot;,&quot;parse-names&quot;:false,&quot;dropping-particle&quot;:&quot;&quot;,&quot;non-dropping-particle&quot;:&quot;&quot;},{&quot;family&quot;:&quot;Allain&quot;,&quot;given&quot;:&quot;Jean&quot;,&quot;parse-names&quot;:false,&quot;dropping-particle&quot;:&quot;&quot;,&quot;non-dropping-particle&quot;:&quot;&quot;}],&quot;container-title&quot;:&quot;Journal of Management Inquiry&quot;,&quot;DOI&quot;:&quot;10.1177/1056492621994904&quot;,&quot;ISSN&quot;:&quot;15526542&quot;,&quot;issued&quot;:{&quot;date-parts&quot;:[[2022,7,1]]},&quot;page&quot;:&quot;264-285&quot;,&quot;abstract&quot;:&quot;Despite growing attention from companies and regulators looking to eradicate modern slavery, we know little about how slavery works from a business perspective. We address this gap by empirically examining innovations in the business models of modern slavery, focusing on how the business models of slavery in advanced economies have evolved since slavery was legally abolished. While continuities exist, novel business models have emerged based on new actors, activities, and linkages. We categorize these as four innovative models per actors involved (producer/intermediary) and how value is created and captured (revenue generation/cost reduction), and discuss implications for research, policy, and practice.&quot;,&quot;publisher&quot;:&quot;SAGE Publications Inc.&quot;,&quot;issue&quot;:&quot;3&quot;,&quot;volume&quot;:&quot;31&quot;,&quot;container-title-short&quot;:&quot;&quot;},&quot;isTemporary&quot;:false},{&quot;id&quot;:&quot;d48a2435-53a6-36c4-9832-81665c722d5d&quot;,&quot;itemData&quot;:{&quot;type&quot;:&quot;article-journal&quot;,&quot;id&quot;:&quot;d48a2435-53a6-36c4-9832-81665c722d5d&quot;,&quot;title&quot;:&quot;The Role of Supply Chains in the Global Business of Forced Labour&quot;,&quot;author&quot;:[{&quot;family&quot;:&quot;LeBaron&quot;,&quot;given&quot;:&quot;Genevieve&quot;,&quot;parse-names&quot;:false,&quot;dropping-particle&quot;:&quot;&quot;,&quot;non-dropping-particle&quot;:&quot;&quot;}],&quot;container-title&quot;:&quot;Journal of Supply Chain Management&quot;,&quot;DOI&quot;:&quot;10.1111/jscm.12258&quot;,&quot;ISSN&quot;:&quot;1745493X&quot;,&quot;issued&quot;:{&quot;date-parts&quot;:[[2021,4,1]]},&quot;page&quot;:&quot;29-42&quot;,&quot;abstract&quot;:&quot;Supply chains are fundamental to whether decent work flourishes or not. Not only do supply chain dynamics shape employment practices and working conditions, but they also influence business models and capabilities which structure opportunities for decent work. As scholars and policymakers race to strengthen labor standards in supply chains and confront barriers to their effective implementation, management scholars can both benefit from and advance an understanding of the role of supply chains in giving rise to indecent work, especially the business practices commonly described as forced labor and modern slavery. To help realize this potential, this article draws from my research on the business of forced labor to emphasize three points. First, there are clear and discernible patterns with respect to the root causes of forced labor in supply chains. Second, forced labor in supply chains cannot be understood in isolation of broader dynamics of work and employment, since low-waged workers tend to move in and out of conditions of forced labor in relatively short periods of time. Third, on-the-ground studies of the effectiveness of buyer-centric governance programs reveal serious gaps between corporate social responsibility standards and business practices when it comes to indicators most relevant to forced labor. I conclude with a discussion of future directions in this research agenda and highlight the potential for business scholars to make a contribution.&quot;,&quot;publisher&quot;:&quot;Blackwell Publishing Ltd&quot;,&quot;issue&quot;:&quot;2&quot;,&quot;volume&quot;:&quot;57&quot;,&quot;container-title-short&quot;:&quot;&quot;},&quot;isTemporary&quot;:false}],&quot;citationTag&quot;:&quot;MENDELEY_CITATION_v3_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&quot;},{&quot;citationID&quot;:&quot;MENDELEY_CITATION_0abe6fe7-3d8d-40de-987b-34d76371a42d&quot;,&quot;properties&quot;:{&quot;noteIndex&quot;:0},&quot;isEdited&quot;:false,&quot;manualOverride&quot;:{&quot;isManuallyOverridden&quot;:false,&quot;citeprocText&quot;:&quot;(Christ and Burritt, 2021; New, 2015)&quot;,&quot;manualOverrideText&quot;:&quot;&quot;},&quot;citationItems&quot;:[{&quot;id&quot;:&quot;96bc26cd-022e-34b1-b9c6-30e3cb0b70aa&quot;,&quot;itemData&quot;:{&quot;type&quot;:&quot;article-journal&quot;,&quot;id&quot;:&quot;96bc26cd-022e-34b1-b9c6-30e3cb0b70aa&quot;,&quot;title&quot;:&quot;Modern slavery and the supply chain: the limits of corporate social responsibility?&quot;,&quot;author&quot;:[{&quot;family&quot;:&quot;New&quot;,&quot;given&quot;:&quot;Stephen John&quot;,&quot;parse-names&quot;:false,&quot;dropping-particle&quot;:&quot;&quot;,&quot;non-dropping-particle&quot;:&quot;&quot;}],&quot;container-title&quot;:&quot;Supply Chain Management: An International Journal&quot;,&quot;DOI&quot;:&quot;10.1108/SCM-06-2015-0201&quot;,&quot;ISSN&quot;:&quot;13598546&quot;,&quot;issued&quot;:{&quot;date-parts&quot;:[[2015,9,14]]},&quot;page&quot;:&quot;697-707&quot;,&quot;abstract&quot;:&quot;Purpose – This conceptual paper aims to examine modern slavery in the supply chain, showing how the issue challenges conventional thinking and practice in corporate social responsibility (CSR). Design/methodology/approach – The paper considers the differences between modern slavery and other concerns within CSR. It examines legal attempts to encourage supply chain transparency and the use of corporate CSR methods. An example of forced labour in UK agriculture is used to develop a critique of these approaches. The paper examines the challenges facing research in this important area. Findings – The paper shows that the distinctive characteristics of modern slavery may make conventional supply chain CSR practices relatively ineffective. A holistic perspective may be needed in future research. Research limitations/implications – Researchers need to focus less on the espoused policies of corporations, and more on the enacted practice. Social implications – Modern slavery is universally accepted as a shameful blight on society; firms’ supply chain practices may be part of the problem. Originality/value – The paper’s contribution is to point to the potential differences between modern slavery and other CSR-related issues and to highlight the paradox that firms’ approaches to the issue may run in parallel with actions that foster the problem in the first place.&quot;,&quot;publisher&quot;:&quot;Emerald Group Holdings Ltd.&quot;,&quot;issue&quot;:&quot;6&quot;,&quot;volume&quot;:&quot;20&quot;,&quot;container-title-short&quot;:&quot;&quot;},&quot;isTemporary&quot;:false},{&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&quot;},{&quot;citationID&quot;:&quot;MENDELEY_CITATION_c6d9267d-a515-4ce8-b3ea-096957cd7d76&quot;,&quot;properties&quot;:{&quot;noteIndex&quot;:0},&quot;isEdited&quot;:false,&quot;manualOverride&quot;:{&quot;isManuallyOverridden&quot;:true,&quot;citeprocText&quot;:&quot;(Albitar &lt;i&gt;et al.&lt;/i&gt;, 2025; Gold &lt;i&gt;et al.&lt;/i&gt;, 2015; New, 2015)&quot;,&quot;manualOverrideText&quot;:&quot;(Albitar et al., 2025; Gold et al., 2015a; New, 2015a)&quot;},&quot;citationItems&quot;:[{&quot;id&quot;:&quot;9fd63b9d-cce2-3c92-b69a-27202a3255d1&quot;,&quot;itemData&quot;:{&quot;type&quot;:&quot;article-journal&quot;,&quot;id&quot;:&quot;9fd63b9d-cce2-3c92-b69a-27202a3255d1&quot;,&quot;title&quot;:&quot;Modern slavery challenges to supply chain management&quot;,&quot;author&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family&quot;:&quot;Trodd&quot;,&quot;given&quot;:&quot;Zoe&quot;,&quot;parse-names&quot;:false,&quot;dropping-particle&quot;:&quot;&quot;,&quot;non-dropping-particle&quot;:&quot;&quot;}],&quot;container-title&quot;:&quot;Supply Chain Management&quot;,&quot;DOI&quot;:&quot;10.1108/SCM-02-2015-0046&quot;,&quot;ISSN&quot;:&quot;13598546&quot;,&quot;issued&quot;:{&quot;date-parts&quot;:[[2015,8,10]]},&quot;page&quot;:&quot;485-494&quot;,&quot;abstract&quot;:&quot;Purpose – This paper aims to draw attention to the challenges modern slavery poses to supply chain management. Although many international supply chains are (most often unknowingly) connected to slave labour activities, supply chain managers and researchers have so far neglected the issue. This will most likely change as soon as civil society lobbying and new legislation impose increasing litigation and reputational risks on companies operating international supply chains. Design/methodology/approach – The paper provides a definition of slavery; explores potentials for knowledge exchange with other disciplines; discusses management tools for detecting slavery, as well as suitable company responses after its detection; and outlines avenues for future research. Findings – Due to a lack of effective indicators, new tools and indicator systems need to be developed that consider the specific social, cultural and geographical context of supply regions. After detection of slavery, multi-stakeholder partnerships, community-centred approaches and supplier development appear to be effective responses. Research limitations/implications – New theory development in supply chain management (SCM) is urgently needed to facilitate the understanding, avoidance and elimination of slavery in supply chains. As a starting point for future research, the challenges of slavery to SCM are conceptualised, focussing on capabilities and specific institutional context. Practical implications – The paper provides a starting point for the development of practices and tools for identifying and removing slave labour from supply chains. Originality/value – Although representing a substantial threat to current supply chain models, slavery has so far not been addressed in SCM research.&quot;,&quot;publisher&quot;:&quot;Emerald Group Holdings Ltd.&quot;,&quot;issue&quot;:&quot;5&quot;,&quot;volume&quot;:&quot;20&quot;,&quot;container-title-short&quot;:&quot;&quot;},&quot;isTemporary&quot;:false},{&quot;id&quot;:&quot;96bc26cd-022e-34b1-b9c6-30e3cb0b70aa&quot;,&quot;itemData&quot;:{&quot;type&quot;:&quot;article-journal&quot;,&quot;id&quot;:&quot;96bc26cd-022e-34b1-b9c6-30e3cb0b70aa&quot;,&quot;title&quot;:&quot;Modern slavery and the supply chain: the limits of corporate social responsibility?&quot;,&quot;author&quot;:[{&quot;family&quot;:&quot;New&quot;,&quot;given&quot;:&quot;Stephen John&quot;,&quot;parse-names&quot;:false,&quot;dropping-particle&quot;:&quot;&quot;,&quot;non-dropping-particle&quot;:&quot;&quot;}],&quot;container-title&quot;:&quot;Supply Chain Management: An International Journal&quot;,&quot;DOI&quot;:&quot;10.1108/SCM-06-2015-0201&quot;,&quot;ISSN&quot;:&quot;13598546&quot;,&quot;issued&quot;:{&quot;date-parts&quot;:[[2015,9,14]]},&quot;page&quot;:&quot;697-707&quot;,&quot;abstract&quot;:&quot;Purpose – This conceptual paper aims to examine modern slavery in the supply chain, showing how the issue challenges conventional thinking and practice in corporate social responsibility (CSR). Design/methodology/approach – The paper considers the differences between modern slavery and other concerns within CSR. It examines legal attempts to encourage supply chain transparency and the use of corporate CSR methods. An example of forced labour in UK agriculture is used to develop a critique of these approaches. The paper examines the challenges facing research in this important area. Findings – The paper shows that the distinctive characteristics of modern slavery may make conventional supply chain CSR practices relatively ineffective. A holistic perspective may be needed in future research. Research limitations/implications – Researchers need to focus less on the espoused policies of corporations, and more on the enacted practice. Social implications – Modern slavery is universally accepted as a shameful blight on society; firms’ supply chain practices may be part of the problem. Originality/value – The paper’s contribution is to point to the potential differences between modern slavery and other CSR-related issues and to highlight the paradox that firms’ approaches to the issue may run in parallel with actions that foster the problem in the first place.&quot;,&quot;publisher&quot;:&quot;Emerald Group Holdings Ltd.&quot;,&quot;issue&quot;:&quot;6&quot;,&quot;volume&quot;:&quot;20&quot;,&quot;container-title-short&quot;:&quot;&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quot;},{&quot;citationID&quot;:&quot;MENDELEY_CITATION_b16b7611-dab8-4d04-b60b-9e87a4ffd5ed&quot;,&quot;properties&quot;:{&quot;noteIndex&quot;:0},&quot;isEdited&quot;:false,&quot;manualOverride&quot;:{&quot;isManuallyOverridden&quot;:false,&quot;citeprocText&quot;:&quot;(Crane, 2013)&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container-title-short&quot;:&quot;Manage Rev&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isTemporary&quot;:false}],&quot;citationTag&quot;:&quot;MENDELEY_CITATION_v3_eyJjaXRhdGlvbklEIjoiTUVOREVMRVlfQ0lUQVRJT05fYjE2Yjc2MTEtZGFiOC00ZDA0LWI2MGItOWU4N2E0ZmZkNWVk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jb250YWluZXItdGl0bGUtc2hvcnQiOiJNYW5hZ2UgUmV2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fSwiaXNUZW1wb3JhcnkiOmZhbHNlfV19&quot;},{&quot;citationID&quot;:&quot;MENDELEY_CITATION_d1e51449-fb38-42e0-88e7-f5bb7fca2309&quot;,&quot;properties&quot;:{&quot;noteIndex&quot;:0},&quot;isEdited&quot;:false,&quot;manualOverride&quot;:{&quot;isManuallyOverridden&quot;:false,&quot;citeprocText&quot;:&quot;(Bales, 2009; Christ &lt;i&gt;et al.&lt;/i&gt;, 2020; Walk Free Foundation, 2018)&quot;,&quot;manualOverrideText&quot;:&quot;&quot;},&quot;citationItems&quot;:[{&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id&quot;:&quot;5d6d5e53-c11e-37a9-b3b5-721909e7763f&quot;,&quot;itemData&quot;:{&quot;type&quot;:&quot;report&quot;,&quot;id&quot;:&quot;5d6d5e53-c11e-37a9-b3b5-721909e7763f&quot;,&quot;title&quot;:&quot;The global slavery index&quot;,&quot;author&quot;:[{&quot;family&quot;:&quot;Walk Free&quot;,&quot;given&quot;:&quot;&quot;,&quot;parse-names&quot;:false,&quot;dropping-particle&quot;:&quot;&quot;,&quot;non-dropping-particle&quot;:&quot;&quot;}],&quot;accessed&quot;:{&quot;date-parts&quot;:[[2022,8,8]]},&quot;URL&quot;:&quot;https://www.walkfree.org/projects/the-global-slavery-index/&quot;,&quot;issued&quot;:{&quot;date-parts&quot;:[[2018]]},&quot;number-of-pages&quot;:&quot;1-292&quot;,&quot;container-title-short&quot;:&quot;&quot;},&quot;isTemporary&quot;:false}],&quot;citationTag&quot;:&quot;MENDELEY_CITATION_v3_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LHsiaWQiOiI1ZDZkNWU1My1jMTFlLTM3YTktYjNiNS03MjE5MDllNzc2M2YiLCJpdGVtRGF0YSI6eyJ0eXBlIjoicmVwb3J0IiwiaWQiOiI1ZDZkNWU1My1jMTFlLTM3YTktYjNiNS03MjE5MDllNzc2M2YiLCJ0aXRsZSI6IlRoZSBnbG9iYWwgc2xhdmVyeSBpbmRleCIsImF1dGhvciI6W3siZmFtaWx5IjoiV2FsayBGcmVl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51bWJlci1vZi1wYWdlcyI6IjEtMjkyIiwiY29udGFpbmVyLXRpdGxlLXNob3J0IjoiIn0sImlzVGVtcG9yYXJ5IjpmYWxzZX1dfQ==&quot;},{&quot;citationID&quot;:&quot;MENDELEY_CITATION_4a96daa9-0ccd-4e28-bd96-92a994763b3d&quot;,&quot;properties&quot;:{&quot;noteIndex&quot;:0},&quot;isEdited&quot;:false,&quot;manualOverride&quot;:{&quot;isManuallyOverridden&quot;:true,&quot;citeprocText&quot;:&quot;(Bales, 2009; Christ &lt;i&gt;et al.&lt;/i&gt;, 2019)&quot;,&quot;manualOverrideText&quot;:&quot;(Bales, 2009; Christ et al., 2019a)&quot;},&quot;citationItems&quot;:[{&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citationTag&quot;:&quot;MENDELEY_CITATION_v3_eyJjaXRhdGlvbklEIjoiTUVOREVMRVlfQ0lUQVRJT05fNGE5NmRhYTktMGNjZC00ZTI4LWJkOTYtOTJhOTk0NzYzYjNkIiwicHJvcGVydGllcyI6eyJub3RlSW5kZXgiOjB9LCJpc0VkaXRlZCI6ZmFsc2UsIm1hbnVhbE92ZXJyaWRlIjp7ImlzTWFudWFsbHlPdmVycmlkZGVuIjp0cnVlLCJjaXRlcHJvY1RleHQiOiIoQmFsZXMsIDIwMDk7IENocmlzdCA8aT5ldCBhbC48L2k+LCAyMDE5KSIsIm1hbnVhbE92ZXJyaWRlVGV4dCI6IihCYWxlcywgMjAwOTsgQ2hyaXN0IGV0IGFsLiwgMjAxOWEp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V19&quot;},{&quot;citationID&quot;:&quot;MENDELEY_CITATION_e5dc86e2-04bf-4339-8803-e7af78f6814c&quot;,&quot;properties&quot;:{&quot;noteIndex&quot;:0},&quot;isEdited&quot;:false,&quot;manualOverride&quot;:{&quot;isManuallyOverridden&quot;:true,&quot;citeprocText&quot;:&quot;(Bales, 2009; Crane, 2013; Moussa &lt;i&gt;et al.&lt;/i&gt;, 2022)&quot;,&quot;manualOverrideText&quot;:&quot;Bales, 2009; Crane, 2013; Moussa et al., 2022)&quot;},&quot;citationItems&quot;:[{&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container-title-short&quot;:&quot;Bus Strategy Environ&quot;},&quot;isTemporary&quot;:false}],&quot;citationTag&quot;:&quot;MENDELEY_CITATION_v3_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IsImNvbnRhaW5lci10aXRsZS1zaG9ydCI6IkJ1cyBTdHJhdGVneSBFbnZpcm9uIn0sImlzVGVtcG9yYXJ5IjpmYWxzZX1dfQ==&quot;},{&quot;citationID&quot;:&quot;MENDELEY_CITATION_5a59c881-82bd-4c1d-b90e-c27b89ae0c66&quot;,&quot;properties&quot;:{&quot;noteIndex&quot;:0},&quot;isEdited&quot;:false,&quot;manualOverride&quot;:{&quot;isManuallyOverridden&quot;:false,&quot;citeprocText&quot;:&quot;(Craig Gary &lt;i&gt;et al.&lt;/i&gt;, 2019)&quot;,&quot;manualOverrideText&quot;:&quot;&quot;},&quot;citationItems&quot;:[{&quot;id&quot;:&quot;16ff1da3-4b0b-3537-b5ad-9d773332594d&quot;,&quot;itemData&quot;:{&quot;type&quot;:&quot;book&quot;,&quot;id&quot;:&quot;16ff1da3-4b0b-3537-b5ad-9d773332594d&quot;,&quot;title&quot;:&quot;The modern slavery agenda: Policy, politics and practice&quot;,&quot;author&quot;:[{&quot;family&quot;:&quot;Craig Gary&quot;,&quot;given&quot;:&quot;&quot;,&quot;parse-names&quot;:false,&quot;dropping-particle&quot;:&quot;&quot;,&quot;non-dropping-particle&quot;:&quot;&quot;},{&quot;family&quot;:&quot;Alex Balch&quot;,&quot;given&quot;:&quot;&quot;,&quot;parse-names&quot;:false,&quot;dropping-particle&quot;:&quot;&quot;,&quot;non-dropping-particle&quot;:&quot;&quot;},{&quot;family&quot;:&quot;Hannah Lewis&quot;,&quot;given&quot;:&quot;&quot;,&quot;parse-names&quot;:false,&quot;dropping-particle&quot;:&quot;&quot;,&quot;non-dropping-particle&quot;:&quot;&quot;},{&quot;family&quot;:&quot;Louise Waite&quot;,&quot;given&quot;:&quot;&quot;,&quot;parse-names&quot;:false,&quot;dropping-particle&quot;:&quot;&quot;,&quot;non-dropping-particle&quot;:&quot;&quot;}],&quot;accessed&quot;:{&quot;date-parts&quot;:[[2023,1,6]]},&quot;URL&quot;:&quot;https://books.google.co.uk/books?hl=en&amp;lr=&amp;id=l_eCDwAAQBAJ&amp;oi=fnd&amp;pg=PA1&amp;dq=modern+slavery+agenda&amp;ots=PY8_iAF4mM&amp;sig=le8Kk5acRdsvvn0A45153JBHLbY&amp;redir_esc=y#v=onepage&amp;q=modern%20slavery%20agenda&amp;f=false&quot;,&quot;issued&quot;:{&quot;date-parts&quot;:[[2019]]},&quot;number-of-pages&quot;:&quot;1-28&quot;,&quot;publisher&quot;:&quot;Bristol: Polity Press&quot;,&quot;container-title-short&quot;:&quot;&quot;},&quot;isTemporary&quot;:false}],&quot;citationTag&quot;:&quot;MENDELEY_CITATION_v3_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&quot;},{&quot;citationID&quot;:&quot;MENDELEY_CITATION_ac82b01b-4f45-4535-9761-77f0609ce24d&quot;,&quot;properties&quot;:{&quot;noteIndex&quot;:0},&quot;isEdited&quot;:false,&quot;manualOverride&quot;:{&quot;isManuallyOverridden&quot;:false,&quot;citeprocText&quot;:&quot;(Addo, 2014)&quot;,&quot;manualOverrideText&quot;:&quot;&quot;},&quot;citationItems&quot;:[{&quot;id&quot;:&quot;2cdf3008-b572-3916-a363-eb20c516aa94&quot;,&quot;itemData&quot;:{&quot;type&quot;:&quot;article-journal&quot;,&quot;id&quot;:&quot;2cdf3008-b572-3916-a363-eb20c516aa94&quot;,&quot;title&quot;:&quot;The Reality of the United Nations Guiding Principles on Business and Human Rights&quot;,&quot;author&quot;:[{&quot;family&quot;:&quot;Addo&quot;,&quot;given&quot;:&quot;Michael K&quot;,&quot;parse-names&quot;:false,&quot;dropping-particle&quot;:&quot;&quot;,&quot;non-dropping-particle&quot;:&quot;&quot;}],&quot;container-title&quot;:&quot;Human rights law review&quot;,&quot;accessed&quot;:{&quot;date-parts&quot;:[[2023,2,26]]},&quot;DOI&quot;:&quot;10.1093/hrlr/ngt041&quot;,&quot;URL&quot;:&quot;https://academic.oup.com/hrlr/article/14/1/133/667042&quot;,&quot;issued&quot;:{&quot;date-parts&quot;:[[2014]]},&quot;page&quot;:&quot;133-147&quot;,&quot;volume&quot;:&quot;14&quot;,&quot;container-title-short&quot;:&quot;&quot;},&quot;isTemporary&quot;:false}],&quot;citationTag&quot;:&quot;MENDELEY_CITATION_v3_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&quot;},{&quot;citationID&quot;:&quot;MENDELEY_CITATION_ce8c5161-e1a5-4a40-a83f-ef04a3544064&quot;,&quot;properties&quot;:{&quot;noteIndex&quot;:0},&quot;isEdited&quot;:false,&quot;manualOverride&quot;:{&quot;isManuallyOverridden&quot;:false,&quot;citeprocText&quot;:&quot;(Santoro, 2015)&quot;,&quot;manualOverrideText&quot;:&quot;&quot;},&quot;citationItems&quot;:[{&quot;id&quot;:&quot;88f268b9-f2a6-3de6-b346-5145a58f50de&quot;,&quot;itemData&quot;:{&quot;type&quot;:&quot;article-journal&quot;,&quot;id&quot;:&quot;88f268b9-f2a6-3de6-b346-5145a58f50de&quot;,&quot;title&quot;:&quot;Business and Human Rights in Historical Perspective&quot;,&quot;author&quot;:[{&quot;family&quot;:&quot;Santoro&quot;,&quot;given&quot;:&quot;Michael A.&quot;,&quot;parse-names&quot;:false,&quot;dropping-particle&quot;:&quot;&quot;,&quot;non-dropping-particle&quot;:&quot;&quot;}],&quot;container-title&quot;:&quot;Journal of Human Rights&quot;,&quot;accessed&quot;:{&quot;date-parts&quot;:[[2023,2,26]]},&quot;DOI&quot;:&quot;10.1080/14754835.2015.1025945&quot;,&quot;ISSN&quot;:&quot;14754843&quot;,&quot;URL&quot;:&quot;https://www.tandfonline.com/action/journalInformation?journalCode=cjhr20&quot;,&quot;issued&quot;:{&quot;date-parts&quot;:[[2015,4,3]]},&quot;page&quot;:&quot;155-161&quot;,&quot;publisher&quot;:&quot;Routledge&quot;,&quot;issue&quot;:&quot;2&quot;,&quot;volume&quot;:&quot;14&quot;,&quot;container-title-short&quot;:&quot;J Hum Rights&quot;},&quot;isTemporary&quot;:false}],&quot;citationTag&quot;:&quot;MENDELEY_CITATION_v3_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&quot;},{&quot;citationID&quot;:&quot;MENDELEY_CITATION_c9b424ca-c582-431b-accc-1d78d7631e00&quot;,&quot;properties&quot;:{&quot;noteIndex&quot;:0},&quot;isEdited&quot;:false,&quot;manualOverride&quot;:{&quot;isManuallyOverridden&quot;:false,&quot;citeprocText&quot;:&quot;(Crane, 2013; Moussa &lt;i&gt;et al.&lt;/i&gt;, 2022; Smith and Johns, 2020)&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container-title-short&quot;:&quot;Manage Rev&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6add2110-2205-3815-9523-ef0fbd668331&quot;,&quot;itemData&quot;:{&quot;type&quot;:&quot;article-journal&quot;,&quot;id&quot;:&quot;6add2110-2205-3815-9523-ef0fbd668331&quot;,&quot;title&quot;:&quot;Historicizing Modern Slavery: Free-Grown Sugar as an Ethics-Driven Market Category in Nineteenth-Century Britain&quot;,&quot;author&quot;:[{&quot;family&quot;:&quot;Smith&quot;,&quot;given&quot;:&quot;Andrew&quot;,&quot;parse-names&quot;:false,&quot;dropping-particle&quot;:&quot;&quot;,&quot;non-dropping-particle&quot;:&quot;&quot;},{&quot;family&quot;:&quot;Johns&quot;,&quot;given&quot;:&quot;Jennifer&quot;,&quot;parse-names&quot;:false,&quot;dropping-particle&quot;:&quot;&quot;,&quot;non-dropping-particle&quot;:&quot;&quot;}],&quot;container-title&quot;:&quot;Journal of Business Ethics&quot;,&quot;accessed&quot;:{&quot;date-parts&quot;:[[2023,1,6]]},&quot;DOI&quot;:&quot;10.1007/S10551-019-04318-1/TABLES/3&quot;,&quot;ISSN&quot;:&quot;15730697&quot;,&quot;URL&quot;:&quot;https://link.springer.com/article/10.1007/s10551-019-04318-1&quot;,&quot;issued&quot;:{&quot;date-parts&quot;:[[2020,10,1]]},&quot;page&quot;:&quot;271-292&quot;,&quot;abstract&quot;:&quot;The modern slavery literature engages with history in an extremely limited fashion. Our paper demonstrates to the utility of historical research to modern slavery researchers by explaining the rise and fall of the ethics-driven market category of “free-grown sugar” in nineteenth-century Britain. In the first decades of the century, the market category of “free-grown sugar” enabled consumers who were opposed to slavery to pay a premium for a more ethical product. After circa 1840, this market category disappeared, even though considerable quantities of slave-grown sugar continued to arrive into the UK. We explain the disappearance of the market category. Our paper contributes to the on-going debates about slavery in management by historicizing and thus problematizing the concept of “slavery”. The paper challenges those modern slavery scholars who argue that lack of consumer knowledge about product provenance is the main barrier to the elimination of slavery from today’s international supply chains. The historical research presented in this paper suggests that consumer indifference, rather than simply ignorance, may be the more fundamental problem. The paper challenges the optimistic historical metanarrative that pervades much of the research on ethical consumption. It highlights the fragility of ethics-driven market categories, offering lessons for researchers and practitioners seeking to tackle modern slavery.&quot;,&quot;publisher&quot;:&quot;Springer Science+Business Media B.V.&quot;,&quot;issue&quot;:&quot;2&quot;,&quot;volume&quot;:&quot;166&quot;,&quot;container-title-short&quot;:&quot;&quot;},&quot;isTemporary&quot;:false}],&quot;citationTag&quot;:&quot;MENDELEY_CITATION_v3_eyJjaXRhdGlvbklEIjoiTUVOREVMRVlfQ0lUQVRJT05fYzliNDI0Y2EtYzU4Mi00MzFiLWFjY2MtMWQ3OGQ3NjMxZTAwIiwicHJvcGVydGllcyI6eyJub3RlSW5kZXgiOjB9LCJpc0VkaXRlZCI6ZmFsc2UsIm1hbnVhbE92ZXJyaWRlIjp7ImlzTWFudWFsbHlPdmVycmlkZGVuIjpmYWxzZSwiY2l0ZXByb2NUZXh0IjoiKENyYW5lLCAyMDEzOyBNb3Vzc2EgPGk+ZXQgYWwuPC9pPiwgMjAyMjsgU21pdGggYW5kIEpvaG5zLCAyMDIw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jb250YWluZXItdGl0bGUtc2hvcnQiOiJNYW5hZ2UgUmV2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&quot;},{&quot;citationID&quot;:&quot;MENDELEY_CITATION_d5ce499b-7925-467c-bfaf-82f70b4a3de6&quot;,&quot;properties&quot;:{&quot;noteIndex&quot;:0},&quot;isEdited&quot;:false,&quot;manualOverride&quot;:{&quot;isManuallyOverridden&quot;:false,&quot;citeprocText&quot;:&quot;(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ZDVjZTQ5OWItNzkyNS00NjdjLWJmYWYtODJmNzBiNGEzZGU2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8cd05ad0-2653-4499-b3f3-29d75f24f745&quot;,&quot;properties&quot;:{&quot;noteIndex&quot;:0},&quot;isEdited&quot;:false,&quot;manualOverride&quot;:{&quot;isManuallyOverridden&quot;:true,&quot;citeprocText&quot;:&quot;(Crane, 2013)&quot;,&quot;manualOverrideText&quot;:&quot;(cited in Crane, 2013, p 50).&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citationTag&quot;:&quot;MENDELEY_CITATION_v3_eyJjaXRhdGlvbklEIjoiTUVOREVMRVlfQ0lUQVRJT05fOGNkMDVhZDAtMjY1My00NDk5LWIzZjMtMjlkNzVmMjRmNzQ1IiwicHJvcGVydGllcyI6eyJub3RlSW5kZXgiOjB9LCJpc0VkaXRlZCI6ZmFsc2UsIm1hbnVhbE92ZXJyaWRlIjp7ImlzTWFudWFsbHlPdmVycmlkZGVuIjp0cnVlLCJjaXRlcHJvY1RleHQiOiIoQ3JhbmUsIDIwMTMpIiwibWFudWFsT3ZlcnJpZGVUZXh0IjoiKGNpdGVkIGluIENyYW5lLCAyMDEzLCBwIDUwKS4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1dfQ==&quot;},{&quot;citationID&quot;:&quot;MENDELEY_CITATION_2f44d71b-4e30-4c1d-933c-2cd46cf81c7f&quot;,&quot;properties&quot;:{&quot;noteIndex&quot;:0},&quot;isEdited&quot;:false,&quot;manualOverride&quot;:{&quot;isManuallyOverridden&quot;:false,&quot;citeprocText&quot;:&quot;(Burritt and Christ, 2021; ILO, 2022c)&quot;,&quot;manualOverrideText&quot;:&quot;&quot;},&quot;citationItems&quot;:[{&quot;id&quot;:&quot;f8ea0c0d-9691-3d82-9d7f-4561d5202dfe&quot;,&quot;itemData&quot;:{&quot;type&quot;:&quot;article-journal&quot;,&quot;id&quot;:&quot;f8ea0c0d-9691-3d82-9d7f-4561d5202dfe&quot;,&quot;title&quot;:&quot;Exploring effectiveness of entity actions to eliminate modern slavery risk – Early Australian evidence&quot;,&quot;author&quot;:[{&quot;family&quot;:&quot;Burritt&quot;,&quot;given&quot;:&quot;R L.&quot;,&quot;parse-names&quot;:false,&quot;dropping-particle&quot;:&quot;&quot;,&quot;non-dropping-particle&quot;:&quot;&quot;},{&quot;family&quot;:&quot;Christ&quot;,&quot;given&quot;:&quot;K L.&quot;,&quot;parse-names&quot;:false,&quot;dropping-particle&quot;:&quot;&quot;,&quot;non-dropping-particle&quot;:&quot;&quot;}],&quot;container-title&quot;:&quot; The British Accounting Review&quot;,&quot;ISSN&quot;:&quot;10958347&quot;,&quot;issued&quot;:{&quot;date-parts&quot;:[[2021]]},&quot;abstract&quot;:&quot;The need for entities to eliminate the unethical and illegal practice of modern slavery in their operations and supply chains has led different jurisdictions to require large entities to report on how they assess the effectiveness of actions taken. In Australia, to build awareness of practices for internal and external stakeholders, the Australian Modern Slavery Act 2018 (Cth) mandates annual reporting in modern slavery statements and provides guidance as to how effectiveness of actions might be reported on. Based on theories/frameworks/models from literature addressing organisational effectiveness, an inductive analysis is conducted on the first 255 modern slavery statements published on the Australian Modern Slavery Register. Results indicate great diversity in approaches to reporting on effectiveness of actions, ranging from a total lack of reporting, through basic compliance, to going beyond compliance. The observations are used to develop a comprehensive framework for assessment of organisational effectiveness and an assessment of the extent to which current effectiveness theories/frameworks/models can guide future developments. The paper suggests adoption of the proposed framework can lead entities to improved transparency and validation of the effectiveness of their actions, as an important first step towards elimination of modern slavery in their supply chains.&quot;,&quot;publisher&quot;:&quot;Academic Press&quot;,&quot;container-title-short&quot;:&quot;&quot;},&quot;isTemporary&quot;:false},{&quot;id&quot;:&quot;d9985c41-eedb-31e9-bfd9-dec36b9ace0c&quot;,&quot;itemData&quot;:{&quot;type&quot;:&quot;report&quot;,&quot;id&quot;:&quot;d9985c41-eedb-31e9-bfd9-dec36b9ace0c&quot;,&quot;title&quot;:&quot;ILO Declaration on Fundamental Principles and Rights at Work and its Follow-up&quot;,&quot;author&quot;:[{&quot;family&quot;:&quot;International Labour Organisation&quot;,&quot;given&quot;:&quot;&quot;,&quot;parse-names&quot;:false,&quot;dropping-particle&quot;:&quot;&quot;,&quot;non-dropping-particle&quot;:&quot;&quot;}],&quot;accessed&quot;:{&quot;date-parts&quot;:[[2022,12,8]]},&quot;ISBN&quot;:&quot;9789220372531&quot;,&quot;URL&quot;:&quot;www.ilo.org/publns.&quot;,&quot;issued&quot;:{&quot;date-parts&quot;:[[2022]]},&quot;number-of-pages&quot;:&quot;1-18&quot;,&quot;container-title-short&quot;:&quot;&quot;},&quot;isTemporary&quot;:false}],&quot;citationTag&quot;:&quot;MENDELEY_CITATION_v3_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&quot;},{&quot;citationID&quot;:&quot;MENDELEY_CITATION_b5ea65e7-9a01-44cc-9c84-3866b9e926a7&quot;,&quot;properties&quot;:{&quot;noteIndex&quot;:0},&quot;isEdited&quot;:false,&quot;manualOverride&quot;:{&quot;isManuallyOverridden&quot;:true,&quot;citeprocText&quot;:&quot;(Walk Free Foundation, 2018)&quot;,&quot;manualOverrideText&quot;:&quot;Walk Free Foundation&quot;},&quot;citationItems&quot;:[{&quot;id&quot;:&quot;5d6d5e53-c11e-37a9-b3b5-721909e7763f&quot;,&quot;itemData&quot;:{&quot;type&quot;:&quot;report&quot;,&quot;id&quot;:&quot;5d6d5e53-c11e-37a9-b3b5-721909e7763f&quot;,&quot;title&quot;:&quot;The global slavery index&quot;,&quot;author&quot;:[{&quot;family&quot;:&quot;Walk Free Foundation&quot;,&quot;given&quot;:&quot;&quot;,&quot;parse-names&quot;:false,&quot;dropping-particle&quot;:&quot;&quot;,&quot;non-dropping-particle&quot;:&quot;&quot;}],&quot;accessed&quot;:{&quot;date-parts&quot;:[[2022,8,8]]},&quot;URL&quot;:&quot;https://www.walkfree.org/projects/the-global-slavery-index/&quot;,&quot;issued&quot;:{&quot;date-parts&quot;:[[2018]]},&quot;container-title-short&quot;:&quot;&quot;},&quot;isTemporary&quot;:false}],&quot;citationTag&quot;:&quot;MENDELEY_CITATION_v3_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Y29udGFpbmVyLXRpdGxlLXNob3J0IjoiIn0sImlzVGVtcG9yYXJ5IjpmYWxzZX1dfQ==&quot;},{&quot;citationID&quot;:&quot;MENDELEY_CITATION_aaa35b5c-28c0-4ca3-88df-db39e226e636&quot;,&quot;properties&quot;:{&quot;noteIndex&quot;:0},&quot;isEdited&quot;:false,&quot;manualOverride&quot;:{&quot;isManuallyOverridden&quot;:false,&quot;citeprocText&quot;:&quot;(Such and Salway, 2017)&quot;,&quot;manualOverrideText&quot;:&quot;&quot;},&quot;citationItems&quot;:[{&quot;id&quot;:&quot;9b19dc81-28d7-3f50-bc8e-672e69db57c0&quot;,&quot;itemData&quot;:{&quot;type&quot;:&quot;webpage&quot;,&quot;id&quot;:&quot;9b19dc81-28d7-3f50-bc8e-672e69db57c0&quot;,&quot;title&quot;:&quot;Modern Slavery and public heath&quot;,&quot;author&quot;:[{&quot;family&quot;:&quot;Such&quot;,&quot;given&quot;:&quot;Elizabeth&quot;,&quot;parse-names&quot;:false,&quot;dropping-particle&quot;:&quot;&quot;,&quot;non-dropping-particle&quot;:&quot;&quot;},{&quot;family&quot;:&quot;Salway&quot;,&quot;given&quot;:&quot;Sarah&quot;,&quot;parse-names&quot;:false,&quot;dropping-particle&quot;:&quot;&quot;,&quot;non-dropping-particle&quot;:&quot;&quot;}],&quot;accessed&quot;:{&quot;date-parts&quot;:[[2023,11,2]]},&quot;URL&quot;:&quot;https://www.gov.uk/government/publications/modern-slavery-and-public-health/modern-slavery-and-public-health#definition-of-modern-slavery&quot;,&quot;issued&quot;:{&quot;date-parts&quot;:[[2017,12,7]]},&quot;container-title-short&quot;:&quot;&quot;},&quot;isTemporary&quot;:false}],&quot;citationTag&quot;:&quot;MENDELEY_CITATION_v3_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&quot;},{&quot;citationID&quot;:&quot;MENDELEY_CITATION_6d94280b-0ca0-4ac7-9d55-2c3ed8277d84&quot;,&quot;properties&quot;:{&quot;noteIndex&quot;:0},&quot;isEdited&quot;:false,&quot;manualOverride&quot;:{&quot;isManuallyOverridden&quot;:true,&quot;citeprocText&quot;:&quot;(Walk Free, 2023)&quot;,&quot;manualOverrideText&quot;:&quot;Walk Free Foundation, 2023&quot;},&quot;citationItems&quot;:[{&quot;id&quot;:&quot;47b9b193-1e21-3051-a13f-e2f48fd0e14b&quot;,&quot;itemData&quot;:{&quot;type&quot;:&quot;report&quot;,&quot;id&quot;:&quot;47b9b193-1e21-3051-a13f-e2f48fd0e14b&quot;,&quot;title&quot;:&quot;Global-Slavery-Index-2023&quot;,&quot;author&quot;:[{&quot;family&quot;:&quot;Walk Free Foundation&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quot;},{&quot;citationID&quot;:&quot;MENDELEY_CITATION_94b2e4af-0b7d-400f-89a7-8df193b11151&quot;,&quot;properties&quot;:{&quot;noteIndex&quot;:0},&quot;isEdited&quot;:false,&quot;manualOverride&quot;:{&quot;isManuallyOverridden&quot;:true,&quot;citeprocText&quot;:&quot;(Schaper and Pollach, 2021)&quot;,&quot;manualOverrideText&quot;:&quot;Schaper and Pollach (2021, p. 1)&quot;},&quot;citationItems&quot;:[{&quot;id&quot;:&quot;692593f6-d091-38f5-bdfc-0bc30057259a&quot;,&quot;itemData&quot;:{&quot;type&quot;:&quot;article-journal&quot;,&quot;id&quot;:&quot;692593f6-d091-38f5-bdfc-0bc30057259a&quot;,&quot;title&quot;:&quot;Modern slavery statements: From regulation to substantive supply chain reporting&quot;,&quot;author&quot;:[{&quot;family&quot;:&quot;Schaper&quot;,&quot;given&quot;:&quot;Stefan&quot;,&quot;parse-names&quot;:false,&quot;dropping-particle&quot;:&quot;&quot;,&quot;non-dropping-particle&quot;:&quot;&quot;},{&quot;family&quot;:&quot;Pollach&quot;,&quot;given&quot;:&quot;Irene&quot;,&quot;parse-names&quot;:false,&quot;dropping-particle&quot;:&quot;&quot;,&quot;non-dropping-particle&quot;:&quot;&quot;}],&quot;container-title&quot;:&quot;Journal of Cleaner Production&quot;,&quot;accessed&quot;:{&quot;date-parts&quot;:[[2023,3,15]]},&quot;DOI&quot;:&quot;10.1016/J.JCLEPRO.2021.127872&quot;,&quot;ISSN&quot;:&quot;09596526&quot;,&quot;issued&quot;:{&quot;date-parts&quot;:[[2021,9,1]]},&quot;abstract&quot;:&quot;Recent years have seen a renewed focus on labor standards in the supply chain, prompted by legislation that requires firms to provide an account of their efforts to combat modern slavery. However, as a common problem of non-financial disclosure regulation, companies can decide the extent and content of their reporting, which could potentially result in merely symbolic disclosures with little substance. We examine the disclosure of substantive actions in modern slavery statements, defined as those disclosures of corporate actions that can positively affect working conditions in supply chains. We examine the corporate disclosure of these actions over time in order to evaluate whether legally mandated disclosure requirements could lead to progress in combatting modern slavery. For this purpose, we collected modern slavery statements from companies that had issued such statements for at least two different years after the introduction of the regulatory requirement in the United Kingdom and performed a content analysis with a coding instrument that captures substantive actions against modern slavery. Our analysis uncovers extremely heterogeneous reporting practices, especially regarding the disclosure of the effectiveness of actions against modern slavery. Based on our analysis, we identify best practices of substantive disclosures to offer a benchmark for corporate self-reports of modern slavery and inform policymaking on modern slavery reporting.&quot;,&quot;publisher&quot;:&quot;Elsevier Ltd&quot;,&quot;volume&quot;:&quot;313&quot;,&quot;container-title-short&quot;:&quot;J Clean Prod&quot;},&quot;isTemporary&quot;:false}],&quot;citationTag&quot;:&quot;MENDELEY_CITATION_v3_eyJjaXRhdGlvbklEIjoiTUVOREVMRVlfQ0lUQVRJT05fOTRiMmU0YWYtMGI3ZC00MDBmLTg5YTctOGRmMTkzYjExMTUxIiwicHJvcGVydGllcyI6eyJub3RlSW5kZXgiOjB9LCJpc0VkaXRlZCI6ZmFsc2UsIm1hbnVhbE92ZXJyaWRlIjp7ImlzTWFudWFsbHlPdmVycmlkZGVuIjp0cnVlLCJjaXRlcHJvY1RleHQiOiIoU2NoYXBlciBhbmQgUG9sbGFjaCwgMjAyMSkiLCJtYW51YWxPdmVycmlkZVRleHQiOiJTY2hhcGVyIGFuZCBQb2xsYWNoICgyMDIxLCBwLiAxKSJ9LCJjaXRhdGlvbkl0ZW1zIjpb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IENsZWFuIFByb2QifSwiaXNUZW1wb3JhcnkiOmZhbHNlfV19&quot;},{&quot;citationID&quot;:&quot;MENDELEY_CITATION_e0531130-ca59-425b-8235-64576bb7b4c7&quot;,&quot;properties&quot;:{&quot;noteIndex&quot;:0},&quot;isEdited&quot;:false,&quot;manualOverride&quot;:{&quot;isManuallyOverridden&quot;:true,&quot;citeprocText&quot;:&quot;(Crane, 2013)&quot;,&quot;manualOverrideText&quot;:&quot;Crane (2013)&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citationTag&quot;:&quot;MENDELEY_CITATION_v3_eyJjaXRhdGlvbklEIjoiTUVOREVMRVlfQ0lUQVRJT05fZTA1MzExMzAtY2E1OS00MjViLTgyMzUtNjQ1NzZiYjdiNGM3IiwicHJvcGVydGllcyI6eyJub3RlSW5kZXgiOjB9LCJpc0VkaXRlZCI6ZmFsc2UsIm1hbnVhbE92ZXJyaWRlIjp7ImlzTWFudWFsbHlPdmVycmlkZGVuIjp0cnVlLCJjaXRlcHJvY1RleHQiOiIoQ3JhbmUsIDIwMTMpIiwibWFudWFsT3ZlcnJpZGVUZXh0IjoiQ3JhbmUgKDIwMTMpIn0sImNpdGF0aW9uSXRlbXMiOlt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IFJldiJ9LCJpc1RlbXBvcmFyeSI6ZmFsc2V9XX0=&quot;},{&quot;citationID&quot;:&quot;MENDELEY_CITATION_77e3bbfa-6c00-4784-96d8-1cfd2d3ab157&quot;,&quot;properties&quot;:{&quot;noteIndex&quot;:0},&quot;isEdited&quot;:false,&quot;manualOverride&quot;:{&quot;isManuallyOverridden&quot;:false,&quot;citeprocText&quot;:&quot;(Anti-Slavery International, 2023)&quot;,&quot;manualOverrideText&quot;:&quot;&quot;},&quot;citationItems&quot;:[{&quot;id&quot;:&quot;e647d659-44f5-3550-81b6-5ab0e94152f3&quot;,&quot;itemData&quot;:{&quot;type&quot;:&quot;webpage&quot;,&quot;id&quot;:&quot;e647d659-44f5-3550-81b6-5ab0e94152f3&quot;,&quot;title&quot;:&quot;Frequently asked questions&quot;,&quot;author&quot;:[{&quot;family&quot;:&quot;Anti-Slavery International&quot;,&quot;given&quot;:&quot;&quot;,&quot;parse-names&quot;:false,&quot;dropping-particle&quot;:&quot;&quot;,&quot;non-dropping-particle&quot;:&quot;&quot;}],&quot;accessed&quot;:{&quot;date-parts&quot;:[[2023,9,22]]},&quot;URL&quot;:&quot;https://www.antislavery.org/slavery-today/frequently-asked-questions/#slaveryquestions&quot;,&quot;issued&quot;:{&quot;date-parts&quot;:[[2023]]},&quot;container-title-short&quot;:&quot;&quot;},&quot;isTemporary&quot;:false}],&quot;citationTag&quot;:&quot;MENDELEY_CITATION_v3_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&quot;},{&quot;citationID&quot;:&quot;MENDELEY_CITATION_ebd525c8-def9-4c93-bc39-d502163906b1&quot;,&quot;properties&quot;:{&quot;noteIndex&quot;:0},&quot;isEdited&quot;:false,&quot;manualOverride&quot;:{&quot;isManuallyOverridden&quot;:true,&quot;citeprocText&quot;:&quot;(Walk Free Foundation, 2018)&quot;,&quot;manualOverrideText&quot;:&quot;(Walk Free, 2018b)&quot;},&quot;citationItems&quot;:[{&quot;id&quot;:&quot;5d6d5e53-c11e-37a9-b3b5-721909e7763f&quot;,&quot;itemData&quot;:{&quot;type&quot;:&quot;report&quot;,&quot;id&quot;:&quot;5d6d5e53-c11e-37a9-b3b5-721909e7763f&quot;,&quot;title&quot;:&quot;The global slavery index&quot;,&quot;author&quot;:[{&quot;family&quot;:&quot;Walk Free Foundation&quot;,&quot;given&quot;:&quot;&quot;,&quot;parse-names&quot;:false,&quot;dropping-particle&quot;:&quot;&quot;,&quot;non-dropping-particle&quot;:&quot;&quot;}],&quot;accessed&quot;:{&quot;date-parts&quot;:[[2022,8,8]]},&quot;URL&quot;:&quot;https://www.walkfree.org/projects/the-global-slavery-index/&quot;,&quot;issued&quot;:{&quot;date-parts&quot;:[[2018]]},&quot;container-title-short&quot;:&quot;&quot;},&quot;isTemporary&quot;:false}],&quot;citationTag&quot;:&quot;MENDELEY_CITATION_v3_eyJjaXRhdGlvbklEIjoiTUVOREVMRVlfQ0lUQVRJT05fZWJkNTI1YzgtZGVmOS00YzkzLWJjMzktZDUwMjE2MzkwNmIxIiwicHJvcGVydGllcyI6eyJub3RlSW5kZXgiOjB9LCJpc0VkaXRlZCI6ZmFsc2UsIm1hbnVhbE92ZXJyaWRlIjp7ImlzTWFudWFsbHlPdmVycmlkZGVuIjp0cnVlLCJjaXRlcHJvY1RleHQiOiIoV2FsayBGcmVlIEZvdW5kYXRpb24sIDIwMTgpIiwibWFudWFsT3ZlcnJpZGVUZXh0IjoiKFdhbGsgRnJlZSwgMjAxOGIpIn0sImNpdGF0aW9uSXRlbXMiOlt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quot;},{&quot;citationID&quot;:&quot;MENDELEY_CITATION_2d7fdae3-d551-43d6-a8de-d1c231cbef6e&quot;,&quot;properties&quot;:{&quot;noteIndex&quot;:0},&quot;isEdited&quot;:false,&quot;manualOverride&quot;:{&quot;isManuallyOverridden&quot;:true,&quot;citeprocText&quot;:&quot;(Bodendorf &lt;i&gt;et al.&lt;/i&gt;, 2022)&quot;,&quot;manualOverrideText&quot;:&quot;(Bodendorf et al., 2022). &quot;},&quot;citationItems&quot;:[{&quot;id&quot;:&quot;4188e19e-5c81-3d7f-8e04-9204a8a81d75&quot;,&quot;itemData&quot;:{&quot;type&quot;:&quot;article-journal&quot;,&quot;id&quot;:&quot;4188e19e-5c81-3d7f-8e04-9204a8a81d75&quot;,&quot;title&quot;:&quot;Indicators and countermeasures of modern slavery in global supply chains: Pathway to a social supply chain management framework&quot;,&quot;author&quot;:[{&quot;family&quot;:&quot;Bodendorf&quot;,&quot;given&quot;:&quot;Frank&quot;,&quot;parse-names&quot;:false,&quot;dropping-particle&quot;:&quot;&quot;,&quot;non-dropping-particle&quot;:&quot;&quot;},{&quot;family&quot;:&quot;Wonn&quot;,&quot;given&quot;:&quot;Fabian&quot;,&quot;parse-names&quot;:false,&quot;dropping-particle&quot;:&quot;&quot;,&quot;non-dropping-particle&quot;:&quot;&quot;},{&quot;family&quot;:&quot;Simon&quot;,&quot;given&quot;:&quot;Kristin&quot;,&quot;parse-names&quot;:false,&quot;dropping-particle&quot;:&quot;&quot;,&quot;non-dropping-particle&quot;:&quot;&quot;},{&quot;family&quot;:&quot;Franke&quot;,&quot;given&quot;:&quot;Jörg&quot;,&quot;parse-names&quot;:false,&quot;dropping-particle&quot;:&quot;&quot;,&quot;non-dropping-particle&quot;:&quot;&quot;}],&quot;container-title&quot;:&quot;Business Strategy and the Environment&quot;,&quot;accessed&quot;:{&quot;date-parts&quot;:[[2022,11,13]]},&quot;ISSN&quot;:&quot;1099-0836&quot;,&quot;URL&quot;:&quot;https://onlinelibrary.wiley.com/doi/full/10.1002/bse.3236&quot;,&quot;issued&quot;:{&quot;date-parts&quot;:[[2022]]},&quot;page&quot;:&quot;1-29&quot;,&quot;abstract&quot;:&quot;Even though global supply chains are (usually unintentionally) tied to slave labor, research and practice have largely ignored the issue. This is expected to change as civil society activism and new legislation increase the risk of litigation and reputational damage to supply chain partners. To deal with and combat modern slavery in the supply chain, a theory inspired social supply chain management framework consisting of indicators and countermeasures of modern slavery in the supply chain is developed. The framework is refined in a qualitative expert interview study. The theoretical framework is then evaluated by a multimethod empirical analysis that includes a multicase study based on publicly available supply chain data from 6000 media articles and company websites as well as a quantitative empirical study based on survey data from 280 corporate sustainability experts operating in global supply networks. The results show that economic, political-legal, social, and environmental factors have a significant impact on contemporary slavery in the supply chain. The study also motivates supply chain partners to use preventative and detective measures to reduce the probability of encountering modern slavery actions in their supply chain. Theoretical and managerial implications are drawn from the findings, pointing to a holistic approach to combatting modern slavery in the supply chain.&quot;,&quot;publisher&quot;:&quot;John Wiley &amp; Sons, Ltd&quot;,&quot;container-title-short&quot;:&quot;Bus Strategy Environ&quot;},&quot;isTemporary&quot;:false}],&quot;citationTag&quot;:&quot;MENDELEY_CITATION_v3_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&quot;},{&quot;citationID&quot;:&quot;MENDELEY_CITATION_69c197ac-0053-4a85-903d-ab7415bbf2ba&quot;,&quot;properties&quot;:{&quot;noteIndex&quot;:0},&quot;isEdited&quot;:false,&quot;manualOverride&quot;:{&quot;isManuallyOverridden&quot;:true,&quot;citeprocText&quot;:&quot;(Christ &lt;i&gt;et al.&lt;/i&gt;, 2025; Gutierrez-Huerter O &lt;i&gt;et al.&lt;/i&gt;, 2023)&quot;,&quot;manualOverrideText&quot;:&quot;(DiMaggio and Powell, 1983; Gutierrez-Huerter O et al., 2023; Christ et al., 2025)&quot;},&quot;citationItems&quot;:[{&quot;id&quot;:&quot;6059944d-3417-3b41-9468-fa0d76112ede&quot;,&quot;itemData&quot;:{&quot;type&quot;:&quot;article-journal&quot;,&quot;id&quot;:&quot;6059944d-3417-3b41-9468-fa0d76112ede&quot;,&quot;title&quot;:&quot;Change in Rhetoric but not in Action? Framing of the Ethical Issue of Modern Slavery in a UK Sector at High Risk of Labor Exploitation&quot;,&quot;author&quot;:[{&quot;family&quot;:&quot;Gutierrez-Huerter O&quot;,&quot;given&quot;:&quot;Gabriela&quot;,&quot;parse-names&quot;:false,&quot;dropping-particle&quot;:&quot;&quot;,&quot;non-dropping-particle&quot;:&quot;&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container-title&quot;:&quot;Journal of Business Ethics&quot;,&quot;DOI&quot;:&quot;10.1007/s10551-021-05013-w&quot;,&quot;ISSN&quot;:&quot;15730697&quot;,&quot;issued&quot;:{&quot;date-parts&quot;:[[2023,1,1]]},&quot;page&quot;:&quot;35-58&quot;,&quot;abstract&quot;:&quot;This article shows how the ethical framing of the contemporary issue of modern slavery has evolved in UK construction, a sector in which there is a high risk of labor exploitation. It also examines how these framing dynamics have inhibited the emergence of a common framework of action to deal with the issue. We draw on both framing theory and the literature on the discursive construction of moral legitimacy. Our longitudinal analysis reveals that actors seeking to shape the debate bring their own moral schemes to justify and construct the legitimacy of their frames. Actors cluster their views around five evolving frames: human rights issue (later shifting to hidden crime), moral issue, management issue (later shifting to human moral obligation), social justice issue, and decent work issue—which promote particular normative evaluations of what the issue is, who is responsible, and recommendations for action. Our study contributes to a dynamic and political understanding of the meaning making of modern slavery. We identify the antecedents and conditions that have forestalled the emergence of new patterns of action to tackle modern slavery in the UK construction sector thereby evidencing the effects of the interplay of morally competing frames on field-level change.&quot;,&quot;publisher&quot;:&quot;Springer Science and Business Media B.V.&quot;,&quot;issue&quot;:&quot;1&quot;,&quot;volume&quot;:&quot;182&quot;,&quot;container-title-short&quot;:&quot;&quot;},&quot;isTemporary&quot;:false},{&quot;id&quot;:&quot;f252d074-3f64-3f66-8fad-6333599765ba&quot;,&quot;itemData&quot;:{&quot;type&quot;:&quot;article-journal&quot;,&quot;id&quot;:&quot;f252d074-3f64-3f66-8fad-6333599765ba&quot;,&quot;title&quot;:&quot;Modern Slavery Knowledge in the Sri Lankan Tea Industry: A Case Study&quot;,&quot;author&quot;:[{&quot;family&quot;:&quot;Christ&quot;,&quot;given&quot;:&quot;Katherine Leanne&quot;,&quot;parse-names&quot;:false,&quot;dropping-particle&quot;:&quot;&quot;,&quot;non-dropping-particle&quot;:&quot;&quot;},{&quot;family&quot;:&quot;Bandara&quot;,&quot;given&quot;:&quot;Saman&quot;,&quot;parse-names&quot;:false,&quot;dropping-particle&quot;:&quot;&quot;,&quot;non-dropping-particle&quot;:&quot;&quot;},{&quot;family&quot;:&quot;Herath&quot;,&quot;given&quot;:&quot;H. M. M. N.&quot;,&quot;parse-names&quot;:false,&quot;dropping-particle&quot;:&quot;&quot;,&quot;non-dropping-particle&quot;:&quot;&quot;},{&quot;family&quot;:&quot;Burritt&quot;,&quot;given&quot;:&quot;Roger Leonard&quot;,&quot;parse-names&quot;:false,&quot;dropping-particle&quot;:&quot;&quot;,&quot;non-dropping-particle&quot;:&quot;&quot;}],&quot;container-title&quot;:&quot;Corporate Social Responsibility and Environmental Management&quot;,&quot;container-title-short&quot;:&quot;Corp Soc Responsib Environ Manag&quot;,&quot;DOI&quot;:&quot;10.1002/csr.70036&quot;,&quot;ISSN&quot;:&quot;1535-3958&quot;,&quot;URL&quot;:&quot;https://onlinelibrary.wiley.com/doi/10.1002/csr.70036&quot;,&quot;issued&quot;:{&quot;date-parts&quot;:[[2025,6,20]]},&quot;abstract&quot;:&quot;&lt;p&gt;This paper explores the state of knowledge about modern slavery and its removal in the high‐risk Sri Lankan tea industry and the way Sri Lanka can move toward elimination of the practice. Primary evidence gathered through a survey of participants in the tea supply chain in Sri Lanka reveals a perceived low level of understanding of modern slavery risks. In part, this is because of the lack of education and awareness training about the practices. Nevertheless, about three‐quarters of participants view modern slavery‐related topics as a current and future problem to be addressed. Results also reveal there is little pressure from the dominant, non‐Western, downstream purchasers of tea, with trickle‐down impacts on suppliers perceived to be ineffective. The Sri Lankan Tea Board is perceived to be well placed to build future education and training programs about addressing modern slavery risk which may prove crucial to the industry's future prospects.&lt;/p&gt;&quot;},&quot;isTemporary&quot;:false}],&quot;citationTag&quot;:&quot;MENDELEY_CITATION_v3_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&quot;},{&quot;citationID&quot;:&quot;MENDELEY_CITATION_8a6500f6-3d72-4373-adaa-2fcdea154b4d&quot;,&quot;properties&quot;:{&quot;noteIndex&quot;:0},&quot;isEdited&quot;:false,&quot;manualOverride&quot;:{&quot;isManuallyOverridden&quot;:false,&quot;citeprocText&quot;:&quot;(DiMaggio and Powell, 1983; Scott, 201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OGE2NTAwZjYtM2Q3Mi00MzczLWFkYWEtMmZjZGVhMTU0YjRk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quot;},{&quot;citationID&quot;:&quot;MENDELEY_CITATION_fcf81df6-c90e-4bd1-9c81-294d15c5d6ad&quot;,&quot;properties&quot;:{&quot;noteIndex&quot;:0},&quot;isEdited&quot;:false,&quot;manualOverride&quot;:{&quot;isManuallyOverridden&quot;:false,&quot;citeprocText&quot;:&quot;(Christ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Islam&quot;,&quot;given&quot;:&quot;Muhammad Azizul&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ZmNmODFkZjYtYzkwZS00YmQxLTljODEtMjk0ZDE1YzVkNmFk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quot;},{&quot;citationID&quot;:&quot;MENDELEY_CITATION_835ec261-d3f3-47b9-9e96-63c7d99c9821&quot;,&quot;properties&quot;:{&quot;noteIndex&quot;:0},&quot;isEdited&quot;:false,&quot;manualOverride&quot;:{&quot;isManuallyOverridden&quot;:true,&quot;citeprocText&quot;:&quot;(Crane, 2013)&quot;,&quot;manualOverrideText&quot;:&quot;Crane (2013, p.50 )&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container-title-short&quot;:&quot;Manage Rev&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isTemporary&quot;:false}],&quot;citationTag&quot;:&quot;MENDELEY_CITATION_v3_eyJjaXRhdGlvbklEIjoiTUVOREVMRVlfQ0lUQVRJT05fODM1ZWMyNjEtZDNmMy00N2I5LTllOTYtNjNjN2Q5OWM5ODIxIiwicHJvcGVydGllcyI6eyJub3RlSW5kZXgiOjB9LCJpc0VkaXRlZCI6ZmFsc2UsIm1hbnVhbE92ZXJyaWRlIjp7ImlzTWFudWFsbHlPdmVycmlkZGVuIjp0cnVlLCJjaXRlcHJvY1RleHQiOiIoQ3JhbmUsIDIwMTMpIiwibWFudWFsT3ZlcnJpZGVUZXh0IjoiQ3JhbmUgKDIwMTMsIHAuNTAgKS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jb250YWluZXItdGl0bGUtc2hvcnQiOiJNYW5hZ2UgUmV2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fSwiaXNUZW1wb3JhcnkiOmZhbHNlfV19&quot;},{&quot;citationID&quot;:&quot;MENDELEY_CITATION_fbe98c19-370b-4c8d-b618-3d49046132a3&quot;,&quot;properties&quot;:{&quot;noteIndex&quot;:0},&quot;isEdited&quot;:false,&quot;manualOverride&quot;:{&quot;isManuallyOverridden&quot;:true,&quot;citeprocText&quot;:&quot;(Christ and Burritt, 2021)&quot;,&quot;manualOverrideText&quot;:&quot;Christ and Burritt (2021, p.1485)&quot;},&quot;citationItems&quot;:[{&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&quot;},{&quot;citationID&quot;:&quot;MENDELEY_CITATION_80b2b11c-d557-4b4a-b502-866788f54fcf&quot;,&quot;properties&quot;:{&quot;noteIndex&quot;:0},&quot;isEdited&quot;:false,&quot;manualOverride&quot;:{&quot;isManuallyOverridden&quot;:true,&quot;citeprocText&quot;:&quot;(Walk Free Foundation, 2018)&quot;,&quot;manualOverrideText&quot;:&quot;Walk Free (2018, p. 7)&quot;},&quot;citationItems&quot;:[{&quot;id&quot;:&quot;5d6d5e53-c11e-37a9-b3b5-721909e7763f&quot;,&quot;itemData&quot;:{&quot;type&quot;:&quot;report&quot;,&quot;id&quot;:&quot;5d6d5e53-c11e-37a9-b3b5-721909e7763f&quot;,&quot;title&quot;:&quot;The global slavery index&quot;,&quot;author&quot;:[{&quot;family&quot;:&quot;Walk Free&quot;,&quot;given&quot;:&quot;&quot;,&quot;parse-names&quot;:false,&quot;dropping-particle&quot;:&quot;&quot;,&quot;non-dropping-particle&quot;:&quot;&quot;}],&quot;accessed&quot;:{&quot;date-parts&quot;:[[2022,8,8]]},&quot;URL&quot;:&quot;https://www.walkfree.org/projects/the-global-slavery-index/&quot;,&quot;issued&quot;:{&quot;date-parts&quot;:[[2018]]},&quot;number-of-pages&quot;:&quot;1-292&quot;,&quot;container-title-short&quot;:&quot;&quot;},&quot;isTemporary&quot;:false}],&quot;citationTag&quot;:&quot;MENDELEY_CITATION_v3_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bnVtYmVyLW9mLXBhZ2VzIjoiMS0yOTIiLCJjb250YWluZXItdGl0bGUtc2hvcnQiOiIifSwiaXNUZW1wb3JhcnkiOmZhbHNlfV19&quot;},{&quot;citationID&quot;:&quot;MENDELEY_CITATION_1ca42730-9d12-49a4-a6f4-4c5429f734b2&quot;,&quot;properties&quot;:{&quot;noteIndex&quot;:0},&quot;isEdited&quot;:false,&quot;manualOverride&quot;:{&quot;isManuallyOverridden&quot;:true,&quot;citeprocText&quot;:&quot;(Such and Salway, 2017)&quot;,&quot;manualOverrideText&quot;:&quot;Such and Salway (2017)&quot;},&quot;citationItems&quot;:[{&quot;id&quot;:&quot;9b19dc81-28d7-3f50-bc8e-672e69db57c0&quot;,&quot;itemData&quot;:{&quot;type&quot;:&quot;webpage&quot;,&quot;id&quot;:&quot;9b19dc81-28d7-3f50-bc8e-672e69db57c0&quot;,&quot;title&quot;:&quot;Modern Slavery and public heath&quot;,&quot;author&quot;:[{&quot;family&quot;:&quot;Such&quot;,&quot;given&quot;:&quot;Elizabeth&quot;,&quot;parse-names&quot;:false,&quot;dropping-particle&quot;:&quot;&quot;,&quot;non-dropping-particle&quot;:&quot;&quot;},{&quot;family&quot;:&quot;Salway&quot;,&quot;given&quot;:&quot;Sarah&quot;,&quot;parse-names&quot;:false,&quot;dropping-particle&quot;:&quot;&quot;,&quot;non-dropping-particle&quot;:&quot;&quot;}],&quot;accessed&quot;:{&quot;date-parts&quot;:[[2023,11,2]]},&quot;URL&quot;:&quot;https://www.gov.uk/government/publications/modern-slavery-and-public-health/modern-slavery-and-public-health#definition-of-modern-slavery&quot;,&quot;issued&quot;:{&quot;date-parts&quot;:[[2017,12,7]]},&quot;container-title-short&quot;:&quot;&quot;},&quot;isTemporary&quot;:false}],&quot;citationTag&quot;:&quot;MENDELEY_CITATION_v3_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&quot;},{&quot;citationID&quot;:&quot;MENDELEY_CITATION_ae390d39-4f49-441e-bdaa-770faa591040&quot;,&quot;properties&quot;:{&quot;noteIndex&quot;:0},&quot;isEdited&quot;:false,&quot;manualOverride&quot;:{&quot;isManuallyOverridden&quot;:true,&quot;citeprocText&quot;:&quot;(Gold &lt;i&gt;et al.&lt;/i&gt;, 2015)&quot;,&quot;manualOverrideText&quot;:&quot;Gold et al. (2015, p. 487)&quot;},&quot;citationItems&quot;:[{&quot;id&quot;:&quot;9fd63b9d-cce2-3c92-b69a-27202a3255d1&quot;,&quot;itemData&quot;:{&quot;type&quot;:&quot;article-journal&quot;,&quot;id&quot;:&quot;9fd63b9d-cce2-3c92-b69a-27202a3255d1&quot;,&quot;title&quot;:&quot;Modern slavery challenges to supply chain management&quot;,&quot;author&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family&quot;:&quot;Trodd&quot;,&quot;given&quot;:&quot;Zoe&quot;,&quot;parse-names&quot;:false,&quot;dropping-particle&quot;:&quot;&quot;,&quot;non-dropping-particle&quot;:&quot;&quot;}],&quot;container-title&quot;:&quot;Supply Chain Management&quot;,&quot;DOI&quot;:&quot;10.1108/SCM-02-2015-0046&quot;,&quot;ISSN&quot;:&quot;13598546&quot;,&quot;issued&quot;:{&quot;date-parts&quot;:[[2015,8,10]]},&quot;page&quot;:&quot;485-494&quot;,&quot;abstract&quot;:&quot;Purpose – This paper aims to draw attention to the challenges modern slavery poses to supply chain management. Although many international supply chains are (most often unknowingly) connected to slave labour activities, supply chain managers and researchers have so far neglected the issue. This will most likely change as soon as civil society lobbying and new legislation impose increasing litigation and reputational risks on companies operating international supply chains. Design/methodology/approach – The paper provides a definition of slavery; explores potentials for knowledge exchange with other disciplines; discusses management tools for detecting slavery, as well as suitable company responses after its detection; and outlines avenues for future research. Findings – Due to a lack of effective indicators, new tools and indicator systems need to be developed that consider the specific social, cultural and geographical context of supply regions. After detection of slavery, multi-stakeholder partnerships, community-centred approaches and supplier development appear to be effective responses. Research limitations/implications – New theory development in supply chain management (SCM) is urgently needed to facilitate the understanding, avoidance and elimination of slavery in supply chains. As a starting point for future research, the challenges of slavery to SCM are conceptualised, focussing on capabilities and specific institutional context. Practical implications – The paper provides a starting point for the development of practices and tools for identifying and removing slave labour from supply chains. Originality/value – Although representing a substantial threat to current supply chain models, slavery has so far not been addressed in SCM research.&quot;,&quot;publisher&quot;:&quot;Emerald Group Holdings Ltd.&quot;,&quot;issue&quot;:&quot;5&quot;,&quot;volume&quot;:&quot;20&quot;,&quot;container-title-short&quot;:&quot;&quot;},&quot;isTemporary&quot;:false}],&quot;citationTag&quot;:&quot;MENDELEY_CITATION_v3_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&quot;},{&quot;citationID&quot;:&quot;MENDELEY_CITATION_bdf32c46-0fa0-4971-9a91-35ebd3dbcc14&quot;,&quot;properties&quot;:{&quot;noteIndex&quot;:0},&quot;isEdited&quot;:false,&quot;manualOverride&quot;:{&quot;isManuallyOverridden&quot;:true,&quot;citeprocText&quot;:&quot;(Schaper and Pollach, 2021)&quot;,&quot;manualOverrideText&quot;:&quot;Schaper and Pollach 2021, p. 1)&quot;},&quot;citationItems&quot;:[{&quot;id&quot;:&quot;692593f6-d091-38f5-bdfc-0bc30057259a&quot;,&quot;itemData&quot;:{&quot;type&quot;:&quot;article-journal&quot;,&quot;id&quot;:&quot;692593f6-d091-38f5-bdfc-0bc30057259a&quot;,&quot;title&quot;:&quot;Modern slavery statements: From regulation to substantive supply chain reporting&quot;,&quot;author&quot;:[{&quot;family&quot;:&quot;Schaper&quot;,&quot;given&quot;:&quot;Stefan&quot;,&quot;parse-names&quot;:false,&quot;dropping-particle&quot;:&quot;&quot;,&quot;non-dropping-particle&quot;:&quot;&quot;},{&quot;family&quot;:&quot;Pollach&quot;,&quot;given&quot;:&quot;Irene&quot;,&quot;parse-names&quot;:false,&quot;dropping-particle&quot;:&quot;&quot;,&quot;non-dropping-particle&quot;:&quot;&quot;}],&quot;container-title&quot;:&quot;Journal of Cleaner Production&quot;,&quot;container-title-short&quot;:&quot;J Clean Prod&quot;,&quot;accessed&quot;:{&quot;date-parts&quot;:[[2023,3,15]]},&quot;DOI&quot;:&quot;10.1016/J.JCLEPRO.2021.127872&quot;,&quot;ISSN&quot;:&quot;09596526&quot;,&quot;issued&quot;:{&quot;date-parts&quot;:[[2021,9,1]]},&quot;abstract&quot;:&quot;Recent years have seen a renewed focus on labor standards in the supply chain, prompted by legislation that requires firms to provide an account of their efforts to combat modern slavery. However, as a common problem of non-financial disclosure regulation, companies can decide the extent and content of their reporting, which could potentially result in merely symbolic disclosures with little substance. We examine the disclosure of substantive actions in modern slavery statements, defined as those disclosures of corporate actions that can positively affect working conditions in supply chains. We examine the corporate disclosure of these actions over time in order to evaluate whether legally mandated disclosure requirements could lead to progress in combatting modern slavery. For this purpose, we collected modern slavery statements from companies that had issued such statements for at least two different years after the introduction of the regulatory requirement in the United Kingdom and performed a content analysis with a coding instrument that captures substantive actions against modern slavery. Our analysis uncovers extremely heterogeneous reporting practices, especially regarding the disclosure of the effectiveness of actions against modern slavery. Based on our analysis, we identify best practices of substantive disclosures to offer a benchmark for corporate self-reports of modern slavery and inform policymaking on modern slavery reporting.&quot;,&quot;publisher&quot;:&quot;Elsevier Ltd&quot;,&quot;volume&quot;:&quot;313&quot;},&quot;isTemporary&quot;:false}],&quot;citationTag&quot;:&quot;MENDELEY_CITATION_v3_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&quot;},{&quot;citationID&quot;:&quot;MENDELEY_CITATION_0082575d-11d4-4f75-8a60-8cc7f69f5169&quot;,&quot;properties&quot;:{&quot;noteIndex&quot;:0},&quot;isEdited&quot;:false,&quot;manualOverride&quot;:{&quot;isManuallyOverridden&quot;:false,&quot;citeprocText&quot;:&quot;(ILO, 2022c)&quot;,&quot;manualOverrideText&quot;:&quot;&quot;},&quot;citationItems&quot;:[{&quot;id&quot;:&quot;d9985c41-eedb-31e9-bfd9-dec36b9ace0c&quot;,&quot;itemData&quot;:{&quot;type&quot;:&quot;report&quot;,&quot;id&quot;:&quot;d9985c41-eedb-31e9-bfd9-dec36b9ace0c&quot;,&quot;title&quot;:&quot;ILO Declaration on Fundamental Principles and Rights at Work and its Follow-up&quot;,&quot;author&quot;:[{&quot;family&quot;:&quot;ILO&quot;,&quot;given&quot;:&quot;&quot;,&quot;parse-names&quot;:false,&quot;dropping-particle&quot;:&quot;&quot;,&quot;non-dropping-particle&quot;:&quot;&quot;}],&quot;accessed&quot;:{&quot;date-parts&quot;:[[2022,12,8]]},&quot;ISBN&quot;:&quot;9789220372531&quot;,&quot;URL&quot;:&quot;www.ilo.org/publns.&quot;,&quot;issued&quot;:{&quot;date-parts&quot;:[[2022]]},&quot;number-of-pages&quot;:&quot;1-18&quot;,&quot;container-title-short&quot;:&quot;&quot;},&quot;isTemporary&quot;:false}],&quot;citationTag&quot;:&quot;MENDELEY_CITATION_v3_eyJjaXRhdGlvbklEIjoiTUVOREVMRVlfQ0lUQVRJT05fMDA4MjU3NWQtMTFkNC00Zjc1LThhNjAtOGNjN2Y2OWY1MTY5IiwicHJvcGVydGllcyI6eyJub3RlSW5kZXgiOjB9LCJpc0VkaXRlZCI6ZmFsc2UsIm1hbnVhbE92ZXJyaWRlIjp7ImlzTWFudWFsbHlPdmVycmlkZGVuIjpmYWxzZSwiY2l0ZXByb2NUZXh0IjoiKElMTywgMjAyMmMpIiwibWFudWFsT3ZlcnJpZGVUZXh0IjoiIn0sImNpdGF0aW9uSXRlbXMiOlt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MTy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V19&quot;},{&quot;citationID&quot;:&quot;MENDELEY_CITATION_ce08bb62-9595-4040-8536-80fa2cfb1524&quot;,&quot;properties&quot;:{&quot;noteIndex&quot;:0},&quot;isEdited&quot;:false,&quot;manualOverride&quot;:{&quot;isManuallyOverridden&quot;:false,&quot;citeprocText&quot;:&quot;(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Y2UwOGJiNjItOTU5NS00MDQwLTg1MzYtODBmYTJjZmIxNTI0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74ab7edf-3250-4332-b095-0b6406177069&quot;,&quot;properties&quot;:{&quot;noteIndex&quot;:0},&quot;isEdited&quot;:false,&quot;manualOverride&quot;:{&quot;isManuallyOverridden&quot;:false,&quot;citeprocText&quot;:&quot;(Crane, 2013)&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container-title-short&quot;:&quot;Manage Rev&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isTemporary&quot;:false}],&quot;citationTag&quot;:&quot;MENDELEY_CITATION_v3_eyJjaXRhdGlvbklEIjoiTUVOREVMRVlfQ0lUQVRJT05fNzRhYjdlZGYtMzI1MC00MzMyLWIwOTUtMGI2NDA2MTc3MDY5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jb250YWluZXItdGl0bGUtc2hvcnQiOiJNYW5hZ2UgUmV2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fSwiaXNUZW1wb3JhcnkiOmZhbHNlfV19&quot;},{&quot;citationID&quot;:&quot;MENDELEY_CITATION_2ec3e6fe-1077-43e4-bad1-d58537b6e074&quot;,&quot;properties&quot;:{&quot;noteIndex&quot;:0},&quot;isEdited&quot;:false,&quot;manualOverride&quot;:{&quot;isManuallyOverridden&quot;:false,&quot;citeprocText&quot;:&quot;(Christ &lt;i&gt;et al.&lt;/i&gt;, 2023; Gutierrez-Huerter O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Islam&quot;,&quot;given&quot;:&quot;Muhammad Azizul&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id&quot;:&quot;6059944d-3417-3b41-9468-fa0d76112ede&quot;,&quot;itemData&quot;:{&quot;type&quot;:&quot;article-journal&quot;,&quot;id&quot;:&quot;6059944d-3417-3b41-9468-fa0d76112ede&quot;,&quot;title&quot;:&quot;Change in Rhetoric but not in Action? Framing of the Ethical Issue of Modern Slavery in a UK Sector at High Risk of Labor Exploitation&quot;,&quot;author&quot;:[{&quot;family&quot;:&quot;Gutierrez-Huerter O&quot;,&quot;given&quot;:&quot;Gabriela&quot;,&quot;parse-names&quot;:false,&quot;dropping-particle&quot;:&quot;&quot;,&quot;non-dropping-particle&quot;:&quot;&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container-title&quot;:&quot;Journal of Business Ethics&quot;,&quot;DOI&quot;:&quot;10.1007/s10551-021-05013-w&quot;,&quot;ISSN&quot;:&quot;15730697&quot;,&quot;issued&quot;:{&quot;date-parts&quot;:[[2023,1,1]]},&quot;page&quot;:&quot;35-58&quot;,&quot;abstract&quot;:&quot;This article shows how the ethical framing of the contemporary issue of modern slavery has evolved in UK construction, a sector in which there is a high risk of labor exploitation. It also examines how these framing dynamics have inhibited the emergence of a common framework of action to deal with the issue. We draw on both framing theory and the literature on the discursive construction of moral legitimacy. Our longitudinal analysis reveals that actors seeking to shape the debate bring their own moral schemes to justify and construct the legitimacy of their frames. Actors cluster their views around five evolving frames: human rights issue (later shifting to hidden crime), moral issue, management issue (later shifting to human moral obligation), social justice issue, and decent work issue—which promote particular normative evaluations of what the issue is, who is responsible, and recommendations for action. Our study contributes to a dynamic and political understanding of the meaning making of modern slavery. We identify the antecedents and conditions that have forestalled the emergence of new patterns of action to tackle modern slavery in the UK construction sector thereby evidencing the effects of the interplay of morally competing frames on field-level change.&quot;,&quot;publisher&quot;:&quot;Springer Science and Business Media B.V.&quot;,&quot;issue&quot;:&quot;1&quot;,&quot;volume&quot;:&quot;182&quot;,&quot;container-title-short&quot;:&quot;&quot;},&quot;isTemporary&quot;:false}],&quot;citationTag&quot;:&quot;MENDELEY_CITATION_v3_eyJjaXRhdGlvbklEIjoiTUVOREVMRVlfQ0lUQVRJT05fMmVjM2U2ZmUtMTA3Ny00M2U0LWJhZDEtZDU4NTM3YjZlMDc0IiwicHJvcGVydGllcyI6eyJub3RlSW5kZXgiOjB9LCJpc0VkaXRlZCI6ZmFsc2UsIm1hbnVhbE92ZXJyaWRlIjp7ImlzTWFudWFsbHlPdmVycmlkZGVuIjpmYWxzZSwiY2l0ZXByb2NUZXh0IjoiKENocmlzdCA8aT5ldCBhbC48L2k+LCAyMDIzOyBHdXRpZXJyZXotSHVlcnRlciBPIDxpPmV0IGFsLjwvaT4sIDIwMjMpIiwibWFudWFsT3ZlcnJpZGVUZXh0IjoiIn0sImNpdGF0aW9uSXRlbXMiOlt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&quot;},{&quot;citationID&quot;:&quot;MENDELEY_CITATION_7437710e-46e6-45a5-8240-836816064b9d&quot;,&quot;properties&quot;:{&quot;noteIndex&quot;:0},&quot;isEdited&quot;:false,&quot;manualOverride&quot;:{&quot;isManuallyOverridden&quot;:true,&quot;citeprocText&quot;:&quot;(Crane &lt;i&gt;et al.&lt;/i&gt;, 2019b; Gold &lt;i&gt;et al.&lt;/i&gt;, 2015)&quot;,&quot;manualOverrideText&quot;:&quot;(Crane et al., 2019; Gold et al., 2015)&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9fd63b9d-cce2-3c92-b69a-27202a3255d1&quot;,&quot;itemData&quot;:{&quot;type&quot;:&quot;article-journal&quot;,&quot;id&quot;:&quot;9fd63b9d-cce2-3c92-b69a-27202a3255d1&quot;,&quot;title&quot;:&quot;Modern slavery challenges to supply chain management&quot;,&quot;author&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family&quot;:&quot;Trodd&quot;,&quot;given&quot;:&quot;Zoe&quot;,&quot;parse-names&quot;:false,&quot;dropping-particle&quot;:&quot;&quot;,&quot;non-dropping-particle&quot;:&quot;&quot;}],&quot;container-title&quot;:&quot;Supply Chain Management&quot;,&quot;DOI&quot;:&quot;10.1108/SCM-02-2015-0046&quot;,&quot;ISSN&quot;:&quot;13598546&quot;,&quot;issued&quot;:{&quot;date-parts&quot;:[[2015,8,10]]},&quot;page&quot;:&quot;485-494&quot;,&quot;abstract&quot;:&quot;Purpose – This paper aims to draw attention to the challenges modern slavery poses to supply chain management. Although many international supply chains are (most often unknowingly) connected to slave labour activities, supply chain managers and researchers have so far neglected the issue. This will most likely change as soon as civil society lobbying and new legislation impose increasing litigation and reputational risks on companies operating international supply chains. Design/methodology/approach – The paper provides a definition of slavery; explores potentials for knowledge exchange with other disciplines; discusses management tools for detecting slavery, as well as suitable company responses after its detection; and outlines avenues for future research. Findings – Due to a lack of effective indicators, new tools and indicator systems need to be developed that consider the specific social, cultural and geographical context of supply regions. After detection of slavery, multi-stakeholder partnerships, community-centred approaches and supplier development appear to be effective responses. Research limitations/implications – New theory development in supply chain management (SCM) is urgently needed to facilitate the understanding, avoidance and elimination of slavery in supply chains. As a starting point for future research, the challenges of slavery to SCM are conceptualised, focussing on capabilities and specific institutional context. Practical implications – The paper provides a starting point for the development of practices and tools for identifying and removing slave labour from supply chains. Originality/value – Although representing a substantial threat to current supply chain models, slavery has so far not been addressed in SCM research.&quot;,&quot;publisher&quot;:&quot;Emerald Group Holdings Ltd.&quot;,&quot;issue&quot;:&quot;5&quot;,&quot;volume&quot;:&quot;20&quot;,&quot;container-title-short&quot;:&quot;&quot;},&quot;isTemporary&quot;:false}],&quot;citationTag&quot;:&quot;MENDELEY_CITATION_v3_eyJjaXRhdGlvbklEIjoiTUVOREVMRVlfQ0lUQVRJT05fNzQzNzcxMGUtNDZlNi00NWE1LTgyNDAtODM2ODE2MDY0YjlkIiwicHJvcGVydGllcyI6eyJub3RlSW5kZXgiOjB9LCJpc0VkaXRlZCI6ZmFsc2UsIm1hbnVhbE92ZXJyaWRlIjp7ImlzTWFudWFsbHlPdmVycmlkZGVuIjp0cnVlLCJjaXRlcHJvY1RleHQiOiIoQ3JhbmUgPGk+ZXQgYWwuPC9pPiwgMjAxOWI7IEdvbGQgPGk+ZXQgYWwuPC9pPiwgMjAxNSkiLCJtYW51YWxPdmVycmlkZVRleHQiOiIoQ3JhbmUgZXQgYWwuLCAyMDE5OyBHb2xkIGV0IGFsLiwgMjAxNSkifSwiY2l0YXRpb25JdGVtcyI6W3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Y29udGFpbmVyLXRpdGxlLXNob3J0IjoiUmVndWwgR292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fSwiaXNUZW1wb3JhcnkiOmZhbHNlfSx7ImlkIjoiOWZkNjNiOWQtY2NlMi0zYzkyLWI2OWEtMjcyMDJhMzI1NWQxIiwiaXRlbURhdGEiOnsidHlwZSI6ImFydGljbGUtam91cm5hbCIsImlkIjoiOWZkNjNiOWQtY2NlMi0zYzkyLWI2OWEtMjcyMDJhMzI1NWQxIiwidGl0bGUiOiJNb2Rlcm4gc2xhdmVyeSBjaGFsbGVuZ2VzIHRvIHN1cHBseSBjaGFpbiBtYW5hZ2VtZW50IiwiYXV0aG9yIjpb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&quot;},{&quot;citationID&quot;:&quot;MENDELEY_CITATION_9c3863b6-1a32-4b1f-b6c3-ae3e1c3a7120&quot;,&quot;properties&quot;:{&quot;noteIndex&quot;:0},&quot;isEdited&quot;:false,&quot;manualOverride&quot;:{&quot;isManuallyOverridden&quot;:false,&quot;citeprocText&quot;:&quot;(LeBaron, 2020a; Mukhopadhyay, 2022)&quot;,&quot;manualOverrideText&quot;:&quot;&quot;},&quot;citationItems&quot;:[{&quot;id&quot;:&quot;f6de1282-9487-3c33-be2b-b61509a933f1&quot;,&quot;itemData&quot;:{&quot;type&quot;:&quot;book&quot;,&quot;id&quot;:&quot;f6de1282-9487-3c33-be2b-b61509a933f1&quot;,&quot;title&quot;:&quot;Combatting Modern Slavery : Why Labour Governance is Failing and What We Can Do About It&quot;,&quot;author&quot;:[{&quot;family&quot;:&quot;LeBaron&quot;,&quot;given&quot;:&quot;Genevieve&quot;,&quot;parse-names&quot;:false,&quot;dropping-particle&quot;:&quot;&quot;,&quot;non-dropping-particle&quot;:&quot;&quot;}],&quot;accessed&quot;:{&quot;date-parts&quot;:[[2025,10,11]]},&quot;ISBN&quot;:&quot;9781509513680&quot;,&quot;URL&quot;:&quot;https://books.google.com/books/about/Combatting_Modern_Slavery.html?id=4pb-DwAAQBAJ&quot;,&quot;issued&quot;:{&quot;date-parts&quot;:[[2020,9,22]]},&quot;number-of-pages&quot;:&quot;1-224&quot;,&quot;abstract&quot;:&quot;Cover -- Title page -- Copyright page -- Contents -- Acknowledgements -- 1 Who Does Labour Governance Work For? -- What is Labour Governance? -- What is Modern Slavery? -- Why Global Labour Governance Is Failing -- This Book's Approach -- Corporations as Cause and Solution to Labour Abuse -- Corporations Save the World's Workers -- This Book's Arguments and Structure -- Labour exploitation in global supply chains -- Corporate power and the state -- The recruitment industry -- The enforcement industry -- Corporate Fairytales vs. Worker Power -- 2 Labour Exploitation in Global Supply Chains&quot;,&quot;publisher&quot;:&quot;Wiley Publication&quot;,&quot;container-title-short&quot;:&quot;&quot;},&quot;isTemporary&quot;:false},{&quot;id&quot;:&quot;96bd6c4f-698d-38c5-b585-2aa1cd9748aa&quot;,&quot;itemData&quot;:{&quot;type&quot;:&quot;webpage&quot;,&quot;id&quot;:&quot;96bd6c4f-698d-38c5-b585-2aa1cd9748aa&quot;,&quot;title&quot;:&quot;Forced labour in China: New UN report finds ‘reasonable’ evidence | Mint&quot;,&quot;author&quot;:[{&quot;family&quot;:&quot;Mukhopadhyay&quot;,&quot;given&quot;:&quot;Sounak&quot;,&quot;parse-names&quot;:false,&quot;dropping-particle&quot;:&quot;&quot;,&quot;non-dropping-particle&quot;:&quot;&quot;}],&quot;container-title&quot;:&quot;Mint&quot;,&quot;accessed&quot;:{&quot;date-parts&quot;:[[2022,9,2]]},&quot;URL&quot;:&quot;https://www.livemint.com/news/world/forced-labour-in-china-new-un-report-finds-reasonable-evidence-11660706488583.html&quot;,&quot;issued&quot;:{&quot;date-parts&quot;:[[2022,8]]},&quot;container-title-short&quot;:&quot;&quot;},&quot;isTemporary&quot;:false}],&quot;citationTag&quot;:&quot;MENDELEY_CITATION_v3_eyJjaXRhdGlvbklEIjoiTUVOREVMRVlfQ0lUQVRJT05fOWMzODYzYjYtMWEzMi00YjFmLWI2YzMtYWUzZTFjM2E3MTIwIiwicHJvcGVydGllcyI6eyJub3RlSW5kZXgiOjB9LCJpc0VkaXRlZCI6ZmFsc2UsIm1hbnVhbE92ZXJyaWRlIjp7ImlzTWFudWFsbHlPdmVycmlkZGVuIjpmYWxzZSwiY2l0ZXByb2NUZXh0IjoiKExlQmFyb24sIDIwMjBhOyBNdWtob3BhZGh5YXksIDIwMjIpIiwibWFudWFsT3ZlcnJpZGVUZXh0IjoiIn0sImNpdGF0aW9uSXRlbXMiOlt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C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&quot;},{&quot;citationID&quot;:&quot;MENDELEY_CITATION_bfd43895-ca1e-4fe8-9d42-f053ee8ec09f&quot;,&quot;properties&quot;:{&quot;noteIndex&quot;:0},&quot;isEdited&quot;:false,&quot;manualOverride&quot;:{&quot;isManuallyOverridden&quot;:false,&quot;citeprocText&quot;:&quot;(LeBaron and Lister, 2021; Trautrims &lt;i&gt;et al.&lt;/i&gt;, 2020)&quot;,&quot;manualOverrideText&quot;:&quot;&quot;},&quot;citationItems&quot;:[{&quot;id&quot;:&quot;68d43496-bf0f-3a2b-96be-3bdc0eda43e9&quot;,&quot;itemData&quot;:{&quot;type&quot;:&quot;article-journal&quot;,&quot;id&quot;:&quot;68d43496-bf0f-3a2b-96be-3bdc0eda43e9&quot;,&quot;title&quot;:&quot;Survival at the expense of the weakest? Managing modern slavery risks in supply chains during COVID-19&quot;,&quot;author&quot;:[{&quot;family&quot;:&quot;Trautrims&quot;,&quot;given&quot;:&quot;Alexander&quot;,&quot;parse-names&quot;:false,&quot;dropping-particle&quot;:&quot;&quot;,&quot;non-dropping-particle&quot;:&quot;&quot;},{&quot;family&quot;:&quot;Schleper&quot;,&quot;given&quot;:&quot;Martin C.&quot;,&quot;parse-names&quot;:false,&quot;dropping-particle&quot;:&quot;&quot;,&quot;non-dropping-particle&quot;:&quot;&quot;},{&quot;family&quot;:&quot;Cakir&quot;,&quot;given&quot;:&quot;M. Selim&quot;,&quot;parse-names&quot;:false,&quot;dropping-particle&quot;:&quot;&quot;,&quot;non-dropping-particle&quot;:&quot;&quot;},{&quot;family&quot;:&quot;Gold&quot;,&quot;given&quot;:&quot;Stefan&quot;,&quot;parse-names&quot;:false,&quot;dropping-particle&quot;:&quot;&quot;,&quot;non-dropping-particle&quot;:&quot;&quot;}],&quot;container-title&quot;:&quot;Journal of Risk Research&quot;,&quot;container-title-short&quot;:&quot;J Risk Res&quot;,&quot;DOI&quot;:&quot;10.1080/13669877.2020.1772347&quot;,&quot;ISSN&quot;:&quot;14664461&quot;,&quot;issued&quot;:{&quot;date-parts&quot;:[[2020]]},&quot;page&quot;:&quot;1067-1072&quot;,&quot;abstract&quot;:&quot;This paper reflects on the implications of the Coronavirus (COVID-19) pandemic on modern slavery risks in supply chains. We first reason that the global supply and demand shock resulting from COVID-19 exacerbates workers’ vulnerability to modern slavery. Then, we discuss challenges firms face to detect, prevent, and mitigate increasing modern slavery risks in supply chains during COVID-19. We conclude our paper by arguing that proactive, value-oriented, and long-term supply chain management approaches increase firms’ resilience to cope with highly volatile and extreme events, such as COVID 19.&quot;,&quot;publisher&quot;:&quot;Routledge&quot;,&quot;issue&quot;:&quot;7-8&quot;,&quot;volume&quot;:&quot;23&quot;},&quot;isTemporary&quot;:false},{&quot;id&quot;:&quot;b00c8dd3-fe27-3b3b-8812-f171b9f1dfaf&quot;,&quot;itemData&quot;:{&quot;type&quot;:&quot;article-journal&quot;,&quot;id&quot;:&quot;b00c8dd3-fe27-3b3b-8812-f171b9f1dfaf&quot;,&quot;title&quot;:&quot;The hidden costs of global supply chain solutions&quot;,&quot;author&quot;:[{&quot;family&quot;:&quot;LeBaron&quot;,&quot;given&quot;:&quot;Genevieve&quot;,&quot;parse-names&quot;:false,&quot;dropping-particle&quot;:&quot;&quot;,&quot;non-dropping-particle&quot;:&quot;&quot;},{&quot;family&quot;:&quot;Lister&quot;,&quot;given&quot;:&quot;Jane&quot;,&quot;parse-names&quot;:false,&quot;dropping-particle&quot;:&quot;&quot;,&quot;non-dropping-particle&quot;:&quot;&quot;}],&quot;container-title&quot;:&quot;Review of International Political Economy&quot;,&quot;container-title-short&quot;:&quot;Rev Int Polit Econ&quot;,&quot;DOI&quot;:&quot;10.1080/09692290.2021.1956993&quot;,&quot;ISSN&quot;:&quot;14664526&quot;,&quot;issued&quot;:{&quot;date-parts&quot;:[[2021]]},&quot;page&quot;:&quot;669-695&quot;,&quot;abstract&quot;:&quot;Within the international political economy (IPE) literature on global supply chains, there is growing debate about the effectiveness of private global supply chain solutions to address social and environmental problems. Most scholarship takes supply chain solutions at face value, investigating the circumstances under which they are effective, lacking, and how effectiveness could be incrementally improved. These studies have helpfully investigated operational and procedural issues associated with private governance and relationships between stakeholders in standard-setting processes. But the literature often loses sight of broader and more fundamental questions about whether or not private governance initiatives are actually working to solve the problems they’ve been established to address, like pollution, modern slavery, and global North and South inequalities. In this introduction to the Review of International Political Economy special issue on the hidden costs of global supply chains, we analyse key trends in the effectiveness of private governance solutions, drawing on our literature review of 290 academic journal articles and contributions within this collection. We argue that not only are global supply chain solutions falling short when it comes to many of the indicators that matter most, but they come with hidden costs–including unintended consequences, perverse effects, and unacknowledged impacts.&quot;,&quot;publisher&quot;:&quot;Routledge&quot;,&quot;issue&quot;:&quot;3&quot;,&quot;volume&quot;:&quot;29&quot;},&quot;isTemporary&quot;:false}],&quot;citationTag&quot;:&quot;MENDELEY_CITATION_v3_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&quot;},{&quot;citationID&quot;:&quot;MENDELEY_CITATION_33b5d88b-55f3-4248-aeac-f343fadc17ed&quot;,&quot;properties&quot;:{&quot;noteIndex&quot;:0},&quot;isEdited&quot;:false,&quot;manualOverride&quot;:{&quot;isManuallyOverridden&quot;:false,&quot;citeprocText&quot;:&quot;(Walk Free, 2023)&quot;,&quot;manualOverrideText&quot;:&quot;&quot;},&quot;citationItems&quot;:[{&quot;id&quot;:&quot;47b9b193-1e21-3051-a13f-e2f48fd0e14b&quot;,&quot;itemData&quot;:{&quot;type&quot;:&quot;report&quot;,&quot;id&quot;:&quot;47b9b193-1e21-3051-a13f-e2f48fd0e14b&quot;,&quot;title&quot;:&quot;The global Slavery Index&quot;,&quot;author&quot;:[{&quot;family&quot;:&quot;Walk Free&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MzNiNWQ4OGItNTVmMy00MjQ4LWFlYWMtZjM0M2ZhZGMxN2Vk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lRoZSBnbG9iYWwgU2xhdmVyeSBJbmRleCIsImF1dGhvciI6W3siZmFtaWx5IjoiV2FsayBGcmVl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quot;},{&quot;citationID&quot;:&quot;MENDELEY_CITATION_e1efb808-7bda-4db1-b00c-517b5b8a1155&quot;,&quot;properties&quot;:{&quot;noteIndex&quot;:0},&quot;isEdited&quot;:false,&quot;manualOverride&quot;:{&quot;isManuallyOverridden&quot;:false,&quot;citeprocText&quot;:&quot;(Craig Gary &lt;i&gt;et al.&lt;/i&gt;, 2019; Smith and Johns, 2020)&quot;,&quot;manualOverrideText&quot;:&quot;&quot;},&quot;citationItems&quot;:[{&quot;id&quot;:&quot;6add2110-2205-3815-9523-ef0fbd668331&quot;,&quot;itemData&quot;:{&quot;type&quot;:&quot;article-journal&quot;,&quot;id&quot;:&quot;6add2110-2205-3815-9523-ef0fbd668331&quot;,&quot;title&quot;:&quot;Historicizing Modern Slavery: Free-Grown Sugar as an Ethics-Driven Market Category in Nineteenth-Century Britain&quot;,&quot;author&quot;:[{&quot;family&quot;:&quot;Smith&quot;,&quot;given&quot;:&quot;Andrew&quot;,&quot;parse-names&quot;:false,&quot;dropping-particle&quot;:&quot;&quot;,&quot;non-dropping-particle&quot;:&quot;&quot;},{&quot;family&quot;:&quot;Johns&quot;,&quot;given&quot;:&quot;Jennifer&quot;,&quot;parse-names&quot;:false,&quot;dropping-particle&quot;:&quot;&quot;,&quot;non-dropping-particle&quot;:&quot;&quot;}],&quot;container-title&quot;:&quot;Journal of Business Ethics&quot;,&quot;accessed&quot;:{&quot;date-parts&quot;:[[2023,1,6]]},&quot;DOI&quot;:&quot;10.1007/S10551-019-04318-1/TABLES/3&quot;,&quot;ISSN&quot;:&quot;15730697&quot;,&quot;URL&quot;:&quot;https://link.springer.com/article/10.1007/s10551-019-04318-1&quot;,&quot;issued&quot;:{&quot;date-parts&quot;:[[2020,10,1]]},&quot;page&quot;:&quot;271-292&quot;,&quot;abstract&quot;:&quot;The modern slavery literature engages with history in an extremely limited fashion. Our paper demonstrates to the utility of historical research to modern slavery researchers by explaining the rise and fall of the ethics-driven market category of “free-grown sugar” in nineteenth-century Britain. In the first decades of the century, the market category of “free-grown sugar” enabled consumers who were opposed to slavery to pay a premium for a more ethical product. After circa 1840, this market category disappeared, even though considerable quantities of slave-grown sugar continued to arrive into the UK. We explain the disappearance of the market category. Our paper contributes to the on-going debates about slavery in management by historicizing and thus problematizing the concept of “slavery”. The paper challenges those modern slavery scholars who argue that lack of consumer knowledge about product provenance is the main barrier to the elimination of slavery from today’s international supply chains. The historical research presented in this paper suggests that consumer indifference, rather than simply ignorance, may be the more fundamental problem. The paper challenges the optimistic historical metanarrative that pervades much of the research on ethical consumption. It highlights the fragility of ethics-driven market categories, offering lessons for researchers and practitioners seeking to tackle modern slavery.&quot;,&quot;publisher&quot;:&quot;Springer Science+Business Media B.V.&quot;,&quot;issue&quot;:&quot;2&quot;,&quot;volume&quot;:&quot;166&quot;,&quot;container-title-short&quot;:&quot;&quot;},&quot;isTemporary&quot;:false},{&quot;id&quot;:&quot;16ff1da3-4b0b-3537-b5ad-9d773332594d&quot;,&quot;itemData&quot;:{&quot;type&quot;:&quot;book&quot;,&quot;id&quot;:&quot;16ff1da3-4b0b-3537-b5ad-9d773332594d&quot;,&quot;title&quot;:&quot;The modern slavery agenda: Policy, politics and practice&quot;,&quot;author&quot;:[{&quot;family&quot;:&quot;Craig Gary&quot;,&quot;given&quot;:&quot;&quot;,&quot;parse-names&quot;:false,&quot;dropping-particle&quot;:&quot;&quot;,&quot;non-dropping-particle&quot;:&quot;&quot;},{&quot;family&quot;:&quot;Alex Balch&quot;,&quot;given&quot;:&quot;&quot;,&quot;parse-names&quot;:false,&quot;dropping-particle&quot;:&quot;&quot;,&quot;non-dropping-particle&quot;:&quot;&quot;},{&quot;family&quot;:&quot;Hannah Lewis&quot;,&quot;given&quot;:&quot;&quot;,&quot;parse-names&quot;:false,&quot;dropping-particle&quot;:&quot;&quot;,&quot;non-dropping-particle&quot;:&quot;&quot;},{&quot;family&quot;:&quot;Louise Waite&quot;,&quot;given&quot;:&quot;&quot;,&quot;parse-names&quot;:false,&quot;dropping-particle&quot;:&quot;&quot;,&quot;non-dropping-particle&quot;:&quot;&quot;}],&quot;accessed&quot;:{&quot;date-parts&quot;:[[2023,1,6]]},&quot;URL&quot;:&quot;https://books.google.co.uk/books?hl=en&amp;lr=&amp;id=l_eCDwAAQBAJ&amp;oi=fnd&amp;pg=PA1&amp;dq=modern+slavery+agenda&amp;ots=PY8_iAF4mM&amp;sig=le8Kk5acRdsvvn0A45153JBHLbY&amp;redir_esc=y#v=onepage&amp;q=modern%20slavery%20agenda&amp;f=false&quot;,&quot;issued&quot;:{&quot;date-parts&quot;:[[2019]]},&quot;number-of-pages&quot;:&quot;1-28&quot;,&quot;publisher&quot;:&quot;Bristol: Polity Press&quot;,&quot;container-title-short&quot;:&quot;&quot;},&quot;isTemporary&quot;:false}],&quot;citationTag&quot;:&quot;MENDELEY_CITATION_v3_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&quot;},{&quot;citationID&quot;:&quot;MENDELEY_CITATION_38a20ff0-3dca-4756-898d-0c4309f6fd39&quot;,&quot;properties&quot;:{&quot;noteIndex&quot;:0},&quot;isEdited&quot;:false,&quot;manualOverride&quot;:{&quot;isManuallyOverridden&quot;:true,&quot;citeprocText&quot;:&quot;(ILO, 2022b; LeBaron, 2020a)&quot;,&quot;manualOverrideText&quot;:&quot;(ILO, 2022b; LeBaron, 2020a).&quot;},&quot;citationItems&quot;:[{&quot;id&quot;:&quot;796aa549-c08c-313d-9133-561167c7c0fc&quot;,&quot;itemData&quot;:{&quot;type&quot;:&quot;webpage&quot;,&quot;id&quot;:&quot;796aa549-c08c-313d-9133-561167c7c0fc&quot;,&quot;title&quot;:&quot;Modern slavery:  50 million people worldwide in modern slavery&quot;,&quot;author&quot;:[{&quot;family&quot;:&quot;ILO&quot;,&quot;given&quot;:&quot;&quot;,&quot;parse-names&quot;:false,&quot;dropping-particle&quot;:&quot;&quot;,&quot;non-dropping-particle&quot;:&quot;&quot;}],&quot;container-title&quot;:&quot;International Labour Organisation&quot;,&quot;accessed&quot;:{&quot;date-parts&quot;:[[2022,11,23]]},&quot;URL&quot;:&quot;https://www.ilo.org/global/about-the-ilo/newsroom/news/WCMS_855019/lang--en/index.htm&quot;,&quot;issued&quot;:{&quot;date-parts&quot;:[[2022,10,12]]},&quot;container-title-short&quot;:&quot;&quot;},&quot;isTemporary&quot;:false},{&quot;id&quot;:&quot;f6de1282-9487-3c33-be2b-b61509a933f1&quot;,&quot;itemData&quot;:{&quot;type&quot;:&quot;book&quot;,&quot;id&quot;:&quot;f6de1282-9487-3c33-be2b-b61509a933f1&quot;,&quot;title&quot;:&quot;Combatting Modern Slavery : Why Labour Governance is Failing and What We Can Do About It&quot;,&quot;author&quot;:[{&quot;family&quot;:&quot;LeBaron&quot;,&quot;given&quot;:&quot;Genevieve&quot;,&quot;parse-names&quot;:false,&quot;dropping-particle&quot;:&quot;&quot;,&quot;non-dropping-particle&quot;:&quot;&quot;}],&quot;accessed&quot;:{&quot;date-parts&quot;:[[2025,10,11]]},&quot;ISBN&quot;:&quot;9781509513680&quot;,&quot;URL&quot;:&quot;https://books.google.com/books/about/Combatting_Modern_Slavery.html?id=4pb-DwAAQBAJ&quot;,&quot;issued&quot;:{&quot;date-parts&quot;:[[2020,9,22]]},&quot;number-of-pages&quot;:&quot;1-224&quot;,&quot;abstract&quot;:&quot;Cover -- Title page -- Copyright page -- Contents -- Acknowledgements -- 1 Who Does Labour Governance Work For? -- What is Labour Governance? -- What is Modern Slavery? -- Why Global Labour Governance Is Failing -- This Book's Approach -- Corporations as Cause and Solution to Labour Abuse -- Corporations Save the World's Workers -- This Book's Arguments and Structure -- Labour exploitation in global supply chains -- Corporate power and the state -- The recruitment industry -- The enforcement industry -- Corporate Fairytales vs. Worker Power -- 2 Labour Exploitation in Global Supply Chains&quot;,&quot;publisher&quot;:&quot;Wiley Publication&quot;,&quot;container-title-short&quot;:&quot;&quot;},&quot;isTemporary&quot;:false}],&quot;citationTag&quot;:&quot;MENDELEY_CITATION_v3_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C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1dfQ==&quot;},{&quot;citationID&quot;:&quot;MENDELEY_CITATION_e82ce92a-6604-453f-9815-3f97983190bb&quot;,&quot;properties&quot;:{&quot;noteIndex&quot;:0},&quot;isEdited&quot;:false,&quot;manualOverride&quot;:{&quot;isManuallyOverridden&quot;:false,&quot;citeprocText&quot;:&quot;(Christ and Burritt, 2021)&quot;,&quot;manualOverrideText&quot;:&quot;&quot;},&quot;citationItems&quot;:[{&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ZTgyY2U5MmEtNjYwNC00NTNmLTk4MTUtM2Y5Nzk4MzE5MGJi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quot;},{&quot;citationID&quot;:&quot;MENDELEY_CITATION_6bd8a55b-bae5-488d-aad1-9f25bbe2f547&quot;,&quot;properties&quot;:{&quot;noteIndex&quot;:0},&quot;isEdited&quot;:false,&quot;manualOverride&quot;:{&quot;isManuallyOverridden&quot;:false,&quot;citeprocText&quot;:&quot;(Walk Free, 2023)&quot;,&quot;manualOverrideText&quot;:&quot;&quot;},&quot;citationItems&quot;:[{&quot;id&quot;:&quot;47b9b193-1e21-3051-a13f-e2f48fd0e14b&quot;,&quot;itemData&quot;:{&quot;type&quot;:&quot;report&quot;,&quot;id&quot;:&quot;47b9b193-1e21-3051-a13f-e2f48fd0e14b&quot;,&quot;title&quot;:&quot;Global-Slavery-Index-2023&quot;,&quot;author&quot;:[{&quot;family&quot;:&quot;Walk Free Foundation&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NmJkOGE1NWItYmFlNS00ODhkLWFhZDEtOWYyNWJiZTJmNTQ3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quot;},{&quot;citationID&quot;:&quot;MENDELEY_CITATION_c8e93850-2f13-42bc-8bbc-3286964be20e&quot;,&quot;properties&quot;:{&quot;noteIndex&quot;:0},&quot;isEdited&quot;:false,&quot;manualOverride&quot;:{&quot;isManuallyOverridden&quot;:false,&quot;citeprocText&quot;:&quot;(Orazalin and Mahmood, 2021; Schaper and Pollach, 2021)&quot;,&quot;manualOverrideText&quot;:&quot;&quot;},&quot;citationItems&quot;:[{&quot;id&quot;:&quot;692593f6-d091-38f5-bdfc-0bc30057259a&quot;,&quot;itemData&quot;:{&quot;type&quot;:&quot;article-journal&quot;,&quot;id&quot;:&quot;692593f6-d091-38f5-bdfc-0bc30057259a&quot;,&quot;title&quot;:&quot;Modern slavery statements: From regulation to substantive supply chain reporting&quot;,&quot;author&quot;:[{&quot;family&quot;:&quot;Schaper&quot;,&quot;given&quot;:&quot;Stefan&quot;,&quot;parse-names&quot;:false,&quot;dropping-particle&quot;:&quot;&quot;,&quot;non-dropping-particle&quot;:&quot;&quot;},{&quot;family&quot;:&quot;Pollach&quot;,&quot;given&quot;:&quot;Irene&quot;,&quot;parse-names&quot;:false,&quot;dropping-particle&quot;:&quot;&quot;,&quot;non-dropping-particle&quot;:&quot;&quot;}],&quot;container-title&quot;:&quot;Journal of Cleaner Production&quot;,&quot;accessed&quot;:{&quot;date-parts&quot;:[[2023,3,15]]},&quot;DOI&quot;:&quot;10.1016/J.JCLEPRO.2021.127872&quot;,&quot;ISSN&quot;:&quot;09596526&quot;,&quot;issued&quot;:{&quot;date-parts&quot;:[[2021,9,1]]},&quot;abstract&quot;:&quot;Recent years have seen a renewed focus on labor standards in the supply chain, prompted by legislation that requires firms to provide an account of their efforts to combat modern slavery. However, as a common problem of non-financial disclosure regulation, companies can decide the extent and content of their reporting, which could potentially result in merely symbolic disclosures with little substance. We examine the disclosure of substantive actions in modern slavery statements, defined as those disclosures of corporate actions that can positively affect working conditions in supply chains. We examine the corporate disclosure of these actions over time in order to evaluate whether legally mandated disclosure requirements could lead to progress in combatting modern slavery. For this purpose, we collected modern slavery statements from companies that had issued such statements for at least two different years after the introduction of the regulatory requirement in the United Kingdom and performed a content analysis with a coding instrument that captures substantive actions against modern slavery. Our analysis uncovers extremely heterogeneous reporting practices, especially regarding the disclosure of the effectiveness of actions against modern slavery. Based on our analysis, we identify best practices of substantive disclosures to offer a benchmark for corporate self-reports of modern slavery and inform policymaking on modern slavery reporting.&quot;,&quot;publisher&quot;:&quot;Elsevier Ltd&quot;,&quot;volume&quot;:&quot;313&quot;,&quot;container-title-short&quot;:&quot;J Clean Prod&quot;},&quot;isTemporary&quot;:false},{&quot;id&quot;:&quot;798da2dd-77a8-36dc-9c81-4f103c3f72f2&quot;,&quot;itemData&quot;:{&quot;type&quot;:&quot;article-journal&quot;,&quot;id&quot;:&quot;798da2dd-77a8-36dc-9c81-4f103c3f72f2&quot;,&quot;title&quot;:&quot;Toward sustainable development: Board characteristics, country governance quality, and environmental performance&quot;,&quot;author&quot;:[{&quot;family&quot;:&quot;Orazalin&quot;,&quot;given&quot;:&quot;Nurlan&quot;,&quot;parse-names&quot;:false,&quot;dropping-particle&quot;:&quot;&quot;,&quot;non-dropping-particle&quot;:&quot;&quot;},{&quot;family&quot;:&quot;Mahmood&quot;,&quot;given&quot;:&quot;Monowar&quot;,&quot;parse-names&quot;:false,&quot;dropping-particle&quot;:&quot;&quot;,&quot;non-dropping-particle&quot;:&quot;&quot;}],&quot;container-title&quot;:&quot;Business Strategy and the Environment&quot;,&quot;issued&quot;:{&quot;date-parts&quot;:[[2021,12,1]]},&quot;page&quot;:&quot;3569-3588&quot;,&quot;abstract&quot;:&quot;The objective of this study is to examine the effects of board characteristics and country governance quality on both individual aspects and the overall level of environmental performance through the lens of agency, resource dependency, and institutional theories. The study is based on a sample of 3023 firm-year observations from European companies operating in 22 countries between 2009 and 2016. Data on the resources, emissions, and innovation dimensions of environmental performance and board governance data were collected from the Refinitiv database, whereas financial data were extracted from the Worldscope database. The study employs a multilevel modeling analysis and the generalized method of moments (GMM) estimation technique to analyze the data. The findings suggest that board gender diversity and the presence of a corporate social responsibility and sustainability committee have a positive impact on environmental performance. The results also show that country governance quality is positively related to environmental performance. The findings have important implications for practitioners, regulators, and policymakers with respect to the effectiveness of corporate governance mechanisms and country governance systems in determining corporate environmental practices.&quot;,&quot;publisher&quot;:&quot;John Wiley and Sons Ltd&quot;,&quot;issue&quot;:&quot;8&quot;,&quot;volume&quot;:&quot;30&quot;,&quot;container-title-short&quot;:&quot;Bus Strategy Environ&quot;},&quot;isTemporary&quot;:false}],&quot;citationTag&quot;:&quot;MENDELEY_CITATION_v3_eyJjaXRhdGlvbklEIjoiTUVOREVMRVlfQ0lUQVRJT05fYzhlOTM4NTAtMmYxMy00MmJjLThiYmMtMzI4Njk2NGJlMjBlIiwicHJvcGVydGllcyI6eyJub3RlSW5kZXgiOjB9LCJpc0VkaXRlZCI6ZmFsc2UsIm1hbnVhbE92ZXJyaWRlIjp7ImlzTWFudWFsbHlPdmVycmlkZGVuIjpmYWxzZSwiY2l0ZXByb2NUZXh0IjoiKE9yYXphbGluIGFuZCBNYWhtb29kLCAyMDIxOyBTY2hhcGVyIGFuZCBQb2xsYWNoLCAyMDIxKSIsIm1hbnVhbE92ZXJyaWRlVGV4dCI6IiJ9LCJjaXRhdGlvbkl0ZW1zIjpb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&quot;},{&quot;citationID&quot;:&quot;MENDELEY_CITATION_5876317d-f502-4803-8a17-6164e3dfda1c&quot;,&quot;properties&quot;:{&quot;noteIndex&quot;:0},&quot;isEdited&quot;:false,&quot;manualOverride&quot;:{&quot;isManuallyOverridden&quot;:true,&quot;citeprocText&quot;:&quot;(Moussa &lt;i&gt;et al.&lt;/i&gt;, 2022)&quot;,&quot;manualOverrideText&quot;:&quot;(Moussa et al., 2022).&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container-title-short&quot;:&quot;Bus Strategy Environ&quot;},&quot;isTemporary&quot;:false}],&quot;citationTag&quot;:&quot;MENDELEY_CITATION_v3_eyJjaXRhdGlvbklEIjoiTUVOREVMRVlfQ0lUQVRJT05fNTg3NjMxN2QtZjUwMi00ODAzLThhMTctNjE2NGUzZGZkYTFjIiwicHJvcGVydGllcyI6eyJub3RlSW5kZXgiOjB9LCJpc0VkaXRlZCI6ZmFsc2UsIm1hbnVhbE92ZXJyaWRlIjp7ImlzTWFudWFsbHlPdmVycmlkZGVuIjp0cnVlLCJjaXRlcHJvY1RleHQiOiIoTW91c3NhIDxpPmV0IGFsLjwvaT4sIDIwMjIpIiwibWFudWFsT3ZlcnJpZGVUZXh0IjoiKE1vdXNzYSBldCBhbC4sIDIwMjIpL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LCJjb250YWluZXItdGl0bGUtc2hvcnQiOiJCdXMgU3RyYXRlZ3kgRW52aXJvbiJ9LCJpc1RlbXBvcmFyeSI6ZmFsc2V9XX0=&quot;},{&quot;citationID&quot;:&quot;MENDELEY_CITATION_554c0920-f317-4908-a0fe-13cc783bdc48&quot;,&quot;properties&quot;:{&quot;noteIndex&quot;:0},&quot;isEdited&quot;:false,&quot;manualOverride&quot;:{&quot;isManuallyOverridden&quot;:false,&quot;citeprocText&quot;:&quot;(Walk Free, 2023)&quot;,&quot;manualOverrideText&quot;:&quot;&quot;},&quot;citationItems&quot;:[{&quot;id&quot;:&quot;47b9b193-1e21-3051-a13f-e2f48fd0e14b&quot;,&quot;itemData&quot;:{&quot;type&quot;:&quot;report&quot;,&quot;id&quot;:&quot;47b9b193-1e21-3051-a13f-e2f48fd0e14b&quot;,&quot;title&quot;:&quot;Global-Slavery-Index-2023&quot;,&quot;author&quot;:[{&quot;family&quot;:&quot;Walk Free Foundation&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NTU0YzA5MjAtZjMxNy00OTA4LWEwZmUtMTNjYzc4M2JkYzQ4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quot;},{&quot;citationID&quot;:&quot;MENDELEY_CITATION_8d0f98c6-f26c-4a71-9014-ce9c98f7dad4&quot;,&quot;properties&quot;:{&quot;noteIndex&quot;:0},&quot;isEdited&quot;:false,&quot;manualOverride&quot;:{&quot;isManuallyOverridden&quot;:true,&quot;citeprocText&quot;:&quot;(Busse, 2002)&quot;,&quot;manualOverrideText&quot;:&quot;Busse (2002)&quot;},&quot;citationItems&quot;:[{&quot;id&quot;:&quot;bfee72d7-6fcb-39b0-ad09-94a41b536e4d&quot;,&quot;itemData&quot;:{&quot;type&quot;:&quot;article-journal&quot;,&quot;id&quot;:&quot;bfee72d7-6fcb-39b0-ad09-94a41b536e4d&quot;,&quot;title&quot;:&quot;Do labour standards affect comparative advantage in developing countries?&quot;,&quot;author&quot;:[{&quot;family&quot;:&quot;Busse&quot;,&quot;given&quot;:&quot;Matthias&quot;,&quot;parse-names&quot;:false,&quot;dropping-particle&quot;:&quot;&quot;,&quot;non-dropping-particle&quot;:&quot;&quot;}],&quot;container-title&quot;:&quot;World Development&quot;,&quot;accessed&quot;:{&quot;date-parts&quot;:[[2023,4,13]]},&quot;DOI&quot;:&quot;10.1016/S0305-750X(02)00117-1&quot;,&quot;ISSN&quot;:&quot;0305750X&quot;,&quot;issued&quot;:{&quot;date-parts&quot;:[[2002,11]]},&quot;page&quot;:&quot;1921-1932&quot;,&quot;abstract&quot;:&quot;This paper focuses on the question of whether labor standards can affect comparative advantage in unskilled-labor-intensive goods in developing countries, and thereby influence trade flows. Using a Heckscher-Ohlin framework, the effects of low labor standards depend on the type of standard: Forced and child labor lead to an increase in the endowment of unskilled labor, and hence improve comparative advantage in unskilled-labor-intensive goods; the opposite occurs with discrimination against females; and with basic trade union rights, the outcome is ambiguous. The empirical results confirm the theoretical outcome, but also show that weaker union rights are associated with a stronger comparative advantage. © 2002 Elsevier Science Ltd. All rights reserved.&quot;,&quot;issue&quot;:&quot;11&quot;,&quot;volume&quot;:&quot;30&quot;,&quot;container-title-short&quot;:&quot;World Dev&quot;},&quot;isTemporary&quot;:false}],&quot;citationTag&quot;:&quot;MENDELEY_CITATION_v3_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&quot;},{&quot;citationID&quot;:&quot;MENDELEY_CITATION_735cf60c-5b46-46c5-b525-232b8c2d7e74&quot;,&quot;properties&quot;:{&quot;noteIndex&quot;:0},&quot;isEdited&quot;:false,&quot;manualOverride&quot;:{&quot;isManuallyOverridden&quot;:true,&quot;citeprocText&quot;:&quot;(ILO, 2014a; ILO, Walk  Free, &lt;i&gt;et al.&lt;/i&gt;, 2022)&quot;,&quot;manualOverrideText&quot;:&quot;b(ILO, 2014; ILO, Walk  Free, et al., 2022)&quot;},&quot;citationItems&quot;:[{&quot;id&quot;:&quot;59885942-6a11-376a-a1ff-9e159b56b3e2&quot;,&quot;itemData&quot;:{&quot;type&quot;:&quot;report&quot;,&quot;id&quot;:&quot;59885942-6a11-376a-a1ff-9e159b56b3e2&quot;,&quot;title&quot;:&quot;Global Estimates of Modern Slavery Forced Labour and Forced Marriage&quot;,&quot;author&quot;:[{&quot;family&quot;:&quot;International Labour Organization&quot;,&quot;given&quot;:&quot;&quot;,&quot;parse-names&quot;:false,&quot;dropping-particle&quot;:&quot;&quot;,&quot;non-dropping-particle&quot;:&quot;&quot;},{&quot;family&quot;:&quot;Walk  Free&quot;,&quot;given&quot;:&quot;&quot;,&quot;parse-names&quot;:false,&quot;dropping-particle&quot;:&quot;&quot;,&quot;non-dropping-particle&quot;:&quot;&quot;},{&quot;family&quot;:&quot;International  Organization for Migration&quot;,&quot;given&quot;:&quot;&quot;,&quot;parse-names&quot;:false,&quot;dropping-particle&quot;:&quot;&quot;,&quot;non-dropping-particle&quot;:&quot;&quot;}],&quot;accessed&quot;:{&quot;date-parts&quot;:[[2022,9,8]]},&quot;URL&quot;:&quot;https://www.ilo.org/global/topics/forced-labour/publications/WCMS_854733/lang--en/index.htm&quot;,&quot;issued&quot;:{&quot;date-parts&quot;:[[2022]]},&quot;container-title-short&quot;:&quot;&quot;},&quot;isTemporary&quot;:false},{&quot;id&quot;:&quot;2f87ffe8-e17c-3a56-80ac-e3f93ec50699&quot;,&quot;itemData&quot;:{&quot;type&quot;:&quot;report&quot;,&quot;id&quot;:&quot;2f87ffe8-e17c-3a56-80ac-e3f93ec50699&quot;,&quot;title&quot;:&quot;Profits and Poverty: The Economics of Forced Labour&quot;,&quot;author&quot;:[{&quot;family&quot;:&quot;ILO&quot;,&quot;given&quot;:&quot;&quot;,&quot;parse-names&quot;:false,&quot;dropping-particle&quot;:&quot;&quot;,&quot;non-dropping-particle&quot;:&quot;&quot;}],&quot;accessed&quot;:{&quot;date-parts&quot;:[[2023,5,10]]},&quot;ISBN&quot;:&quot;9789221287810&quot;,&quot;URL&quot;:&quot;www.ilo.org/publns&quot;,&quot;issued&quot;:{&quot;date-parts&quot;:[[2014]]},&quot;number-of-pages&quot;:&quot;1-66&quot;,&quot;container-title-short&quot;:&quot;&quot;},&quot;isTemporary&quot;:false}],&quot;citationTag&quot;:&quot;MENDELEY_CITATION_v3_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&quot;},{&quot;citationID&quot;:&quot;MENDELEY_CITATION_66e40dfc-95fb-488b-afd0-770847162907&quot;,&quot;properties&quot;:{&quot;noteIndex&quot;:0},&quot;isEdited&quot;:false,&quot;manualOverride&quot;:{&quot;isManuallyOverridden&quot;:false,&quot;citeprocText&quot;:&quot;(KnowTheChain, 2022)&quot;,&quot;manualOverrideText&quot;:&quot;&quot;},&quot;citationItems&quot;:[{&quot;id&quot;:&quot;f91f2e4c-5349-38df-abce-0da0a0d581ed&quot;,&quot;itemData&quot;:{&quot;type&quot;:&quot;report&quot;,&quot;id&quot;:&quot;f91f2e4c-5349-38df-abce-0da0a0d581ed&quot;,&quot;title&quot;:&quot;Forced Labour Risks, Remedy and Challenging Regulation&quot;,&quot;author&quot;:[{&quot;family&quot;:&quot;KnowTheChain&quot;,&quot;given&quot;:&quot;&quot;,&quot;parse-names&quot;:false,&quot;dropping-particle&quot;:&quot;&quot;,&quot;non-dropping-particle&quot;:&quot;&quot;}],&quot;issued&quot;:{&quot;date-parts&quot;:[[2022]]},&quot;number-of-pages&quot;:&quot;1-11&quot;,&quot;abstract&quot;:&quot;Corporate Sustainability Due Diligence Directive, the penalties facing businesses and their investors for not acting on forced labour risks are becoming increasingly severe. This report sets out the stark facts of the progress business has made: Whilst there are green shoots of best practice, investors have much more to do to unleash the potential of business to achieve UN Sustainable Development Goal 8.7 and end modern slavery. Increasingly our clients are asking the investment industry to step up and drive positive change. This report will help us do it. James Corah, Head of Sustainability, CCLA Investment Management Executive summary The risk of forced labour in global supply chains remains one of the most significant human rights issues for companies-and their investors-worldwide. At least 25 million people are currently estimated to be victims of forced labour, coerced to work under threats of violence, detention and intimidation, in supply chains supporting many of the world's favourite brands. After years of glacial progress in attempting to address this blight through voluntary corporate initiatives, the enactment of human rights due diligence legislation in both the EU and other jurisdictions means there are now enforcement mechanisms to address and provide redress for labour exploitation across supply chains. As this briefing sets out, the changing global regulatory environment brings new obligations-and opportunities-for investors to play a critical role in interrogating human rights due diligence efforts and companies' attempts to remediate forced labour. These actions contribute not only to the sustainable development of companies and the protection of workers, but to the integrity and stability of global markets. | 2022 RISK AND REMEDY BRIEFING 1&quot;,&quot;container-title-short&quot;:&quot;&quot;},&quot;isTemporary&quot;:false}],&quot;citationTag&quot;:&quot;MENDELEY_CITATION_v3_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&quot;},{&quot;citationID&quot;:&quot;MENDELEY_CITATION_ee4f0014-2910-42ff-8cd5-6123f46ca1bd&quot;,&quot;properties&quot;:{&quot;noteIndex&quot;:0},&quot;isEdited&quot;:false,&quot;manualOverride&quot;:{&quot;isManuallyOverridden&quot;:false,&quot;citeprocText&quot;:&quot;(Crane, 2013)&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citationTag&quot;:&quot;MENDELEY_CITATION_v3_eyJjaXRhdGlvbklEIjoiTUVOREVMRVlfQ0lUQVRJT05fZWU0ZjAwMTQtMjkxMC00MmZmLThjZDUtNjEyM2Y0NmNhMWJk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V19&quot;},{&quot;citationID&quot;:&quot;MENDELEY_CITATION_3c93127b-9c86-4130-b996-8d0e4e72dc4e&quot;,&quot;properties&quot;:{&quot;noteIndex&quot;:0},&quot;isEdited&quot;:false,&quot;manualOverride&quot;:{&quot;isManuallyOverridden&quot;:true,&quot;citeprocText&quot;:&quot;(Stronger2gether organisation, 2020)&quot;,&quot;manualOverrideText&quot;:&quot;Stronger2gether Organisation (2020)&quot;},&quot;citationItems&quot;:[{&quot;id&quot;:&quot;b2c3033d-27dd-351d-9988-e785970e42a3&quot;,&quot;itemData&quot;:{&quot;type&quot;:&quot;report&quot;,&quot;id&quot;:&quot;b2c3033d-27dd-351d-9988-e785970e42a3&quot;,&quot;title&quot;:&quot;Tackling modern slavery in businesses A toolkit for UK employers and labour providers&quot;,&quot;author&quot;:[{&quot;family&quot;:&quot;Stronger2gether organisation&quot;,&quot;given&quot;:&quot;&quot;,&quot;parse-names&quot;:false,&quot;dropping-particle&quot;:&quot;&quot;,&quot;non-dropping-particle&quot;:&quot;&quot;}],&quot;URL&quot;:&quot;www.stronger2gether.org&quot;,&quot;issued&quot;:{&quot;date-parts&quot;:[[2020]]},&quot;number-of-pages&quot;:&quot;1-95&quot;,&quot;abstract&quot;:&quot;Stronger Together (www.stronger2gether.org) is a multi-stakeholder collaborative initiative supporting organisations in all sectors to address modern slavery risks within their business and supply chains. We develop and deliver expert guidance, training, resources and tools that equip and support businesses to deter, detect and deal with the risks of forced labour, labour trafficking and other hidden labour exploitation. We enable collaboration to achieve this at scale on a country-by-country, sector-by-sector basis. Our Vision is for supply chains free from modern slavery. Our Mission is to work together to reduce forced labour, labour trafficking and other hidden third-party labour exploitation of workers in supply chains. We are a not-for-profit social enterprise. We use an internationally proven collaborative methodology, engaging stakeholders at an industry-wide level based on the corporate responsibility to respect human rights within the framework of the UN Guiding Principles on Business and Human Rights. OUR ESCAPE GUIDING PRINCIPLES: 1. Enabling-removing barriers, engaging leaders and combining local expertise with high-level influence to enable positive behaviour change at scale in supply chains. 2. Supportive-a safe platform and support network for businesses to share experience and drive good practice. 3. Collaborative-working collaboratively and pre-competitively with businesses and stakeholders in all sectors across domestic and global supply chains. 4. Accessible-providing high-quality, relevant, free-to-download, open source resources and cost-effective interactive expert training and e-learning for business. 5. Practical-step-by-step, pioneering, solutions-focused guidance and resources for businesses, tailored by country and sector. 6. Evolving-continuously improving and developing best-practice tools, materials and programmes to support businesses. STRONGER TOGETHER PARTNERS AND SPONSORS WE ARE STRONGER TOGETHER Please contact Stronger Together at info@stronger2gether.org or +44 (0) 1276 919090 CONTENTS&quot;},&quot;isTemporary&quot;:false}],&quot;citationTag&quot;:&quot;MENDELEY_CITATION_v3_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&quot;},{&quot;citationID&quot;:&quot;MENDELEY_CITATION_91945fb5-36e5-4923-b43f-ae95808d7350&quot;,&quot;properties&quot;:{&quot;noteIndex&quot;:0},&quot;isEdited&quot;:false,&quot;manualOverride&quot;:{&quot;isManuallyOverridden&quot;:true,&quot;citeprocText&quot;:&quot;(Stronger2gether organisation, 2020)&quot;,&quot;manualOverrideText&quot;:&quot;Stronger2gether Organisation, 2020&quot;},&quot;citationItems&quot;:[{&quot;id&quot;:&quot;b2c3033d-27dd-351d-9988-e785970e42a3&quot;,&quot;itemData&quot;:{&quot;type&quot;:&quot;report&quot;,&quot;id&quot;:&quot;b2c3033d-27dd-351d-9988-e785970e42a3&quot;,&quot;title&quot;:&quot;Tackling modern slavery in businesses A toolkit for UK employers and labour providers&quot;,&quot;author&quot;:[{&quot;family&quot;:&quot;Stronger2gether organisation&quot;,&quot;given&quot;:&quot;&quot;,&quot;parse-names&quot;:false,&quot;dropping-particle&quot;:&quot;&quot;,&quot;non-dropping-particle&quot;:&quot;&quot;}],&quot;URL&quot;:&quot;www.stronger2gether.org&quot;,&quot;issued&quot;:{&quot;date-parts&quot;:[[2020]]},&quot;number-of-pages&quot;:&quot;1-95&quot;,&quot;abstract&quot;:&quot;Stronger Together (www.stronger2gether.org) is a multi-stakeholder collaborative initiative supporting organisations in all sectors to address modern slavery risks within their business and supply chains. We develop and deliver expert guidance, training, resources and tools that equip and support businesses to deter, detect and deal with the risks of forced labour, labour trafficking and other hidden labour exploitation. We enable collaboration to achieve this at scale on a country-by-country, sector-by-sector basis. Our Vision is for supply chains free from modern slavery. Our Mission is to work together to reduce forced labour, labour trafficking and other hidden third-party labour exploitation of workers in supply chains. We are a not-for-profit social enterprise. We use an internationally proven collaborative methodology, engaging stakeholders at an industry-wide level based on the corporate responsibility to respect human rights within the framework of the UN Guiding Principles on Business and Human Rights. OUR ESCAPE GUIDING PRINCIPLES: 1. Enabling-removing barriers, engaging leaders and combining local expertise with high-level influence to enable positive behaviour change at scale in supply chains. 2. Supportive-a safe platform and support network for businesses to share experience and drive good practice. 3. Collaborative-working collaboratively and pre-competitively with businesses and stakeholders in all sectors across domestic and global supply chains. 4. Accessible-providing high-quality, relevant, free-to-download, open source resources and cost-effective interactive expert training and e-learning for business. 5. Practical-step-by-step, pioneering, solutions-focused guidance and resources for businesses, tailored by country and sector. 6. Evolving-continuously improving and developing best-practice tools, materials and programmes to support businesses. STRONGER TOGETHER PARTNERS AND SPONSORS WE ARE STRONGER TOGETHER Please contact Stronger Together at info@stronger2gether.org or +44 (0) 1276 919090 CONTENTS&quot;},&quot;isTemporary&quot;:false}],&quot;citationTag&quot;:&quot;MENDELEY_CITATION_v3_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&quot;},{&quot;citationID&quot;:&quot;MENDELEY_CITATION_562ee7f2-b3ce-4ba0-9f82-9f465bdd1a9c&quot;,&quot;properties&quot;:{&quot;noteIndex&quot;:0},&quot;isEdited&quot;:false,&quot;manualOverride&quot;:{&quot;isManuallyOverridden&quot;:true,&quot;citeprocText&quot;:&quot;(Walk Free Foundation, 2023)&quot;,&quot;manualOverrideText&quot;:&quot;(Walk Free, 2023b, p. 1)&quot;},&quot;citationItems&quot;:[{&quot;id&quot;:&quot;19e2c477-d2f7-36ec-abed-942f436878cd&quot;,&quot;itemData&quot;:{&quot;type&quot;:&quot;report&quot;,&quot;id&quot;:&quot;19e2c477-d2f7-36ec-abed-942f436878cd&quot;,&quot;title&quot;:&quot;Guardians and offenders: Examining state-imposed forced labour&quot;,&quot;author&quot;:[{&quot;family&quot;:&quot;Walk Free Foundation&quot;,&quot;given&quot;:&quot;&quot;,&quot;parse-names&quot;:false,&quot;dropping-particle&quot;:&quot;&quot;,&quot;non-dropping-particle&quot;:&quot;&quot;}],&quot;issued&quot;:{&quot;date-parts&quot;:[[2023]]},&quot;number-of-pages&quot;:&quot;1-5&quot;,&quot;container-title-short&quot;:&quot;&quot;},&quot;isTemporary&quot;:false}],&quot;citationTag&quot;:&quot;MENDELEY_CITATION_v3_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&quot;},{&quot;citationID&quot;:&quot;MENDELEY_CITATION_8bdff119-20da-4847-8624-db964f5f25f6&quot;,&quot;properties&quot;:{&quot;noteIndex&quot;:0},&quot;isEdited&quot;:false,&quot;manualOverride&quot;:{&quot;isManuallyOverridden&quot;:false,&quot;citeprocText&quot;:&quot;(Walk Free, 2023)&quot;,&quot;manualOverrideText&quot;:&quot;&quot;},&quot;citationItems&quot;:[{&quot;id&quot;:&quot;47b9b193-1e21-3051-a13f-e2f48fd0e14b&quot;,&quot;itemData&quot;:{&quot;type&quot;:&quot;report&quot;,&quot;id&quot;:&quot;47b9b193-1e21-3051-a13f-e2f48fd0e14b&quot;,&quot;title&quot;:&quot;Global-Slavery-Index-2023&quot;,&quot;author&quot;:[{&quot;family&quot;:&quot;Walk Free Foundation&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OGJkZmYxMTktMjBkYS00ODQ3LTg2MjQtZGI5NjRmNWYyNWY2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quot;},{&quot;citationID&quot;:&quot;MENDELEY_CITATION_eb0008d3-89e5-4eaf-bd8f-1df2cadf2d28&quot;,&quot;properties&quot;:{&quot;noteIndex&quot;:0},&quot;isEdited&quot;:false,&quot;manualOverride&quot;:{&quot;isManuallyOverridden&quot;:true,&quot;citeprocText&quot;:&quot;(Stronger2gether organisation, 2020)&quot;,&quot;manualOverrideText&quot;:&quot;(Stronger2gether Organisation, 2020, p. 6)&quot;},&quot;citationItems&quot;:[{&quot;id&quot;:&quot;b2c3033d-27dd-351d-9988-e785970e42a3&quot;,&quot;itemData&quot;:{&quot;type&quot;:&quot;report&quot;,&quot;id&quot;:&quot;b2c3033d-27dd-351d-9988-e785970e42a3&quot;,&quot;title&quot;:&quot;Tackling modern slavery in businesses A toolkit for UK employers and labour providers&quot;,&quot;author&quot;:[{&quot;family&quot;:&quot;Stronger2gether organisation&quot;,&quot;given&quot;:&quot;&quot;,&quot;parse-names&quot;:false,&quot;dropping-particle&quot;:&quot;&quot;,&quot;non-dropping-particle&quot;:&quot;&quot;}],&quot;URL&quot;:&quot;www.stronger2gether.org&quot;,&quot;issued&quot;:{&quot;date-parts&quot;:[[2020]]},&quot;number-of-pages&quot;:&quot;1-95&quot;,&quot;abstract&quot;:&quot;Stronger Together (www.stronger2gether.org) is a multi-stakeholder collaborative initiative supporting organisations in all sectors to address modern slavery risks within their business and supply chains. We develop and deliver expert guidance, training, resources and tools that equip and support businesses to deter, detect and deal with the risks of forced labour, labour trafficking and other hidden labour exploitation. We enable collaboration to achieve this at scale on a country-by-country, sector-by-sector basis. Our Vision is for supply chains free from modern slavery. Our Mission is to work together to reduce forced labour, labour trafficking and other hidden third-party labour exploitation of workers in supply chains. We are a not-for-profit social enterprise. We use an internationally proven collaborative methodology, engaging stakeholders at an industry-wide level based on the corporate responsibility to respect human rights within the framework of the UN Guiding Principles on Business and Human Rights. OUR ESCAPE GUIDING PRINCIPLES: 1. Enabling-removing barriers, engaging leaders and combining local expertise with high-level influence to enable positive behaviour change at scale in supply chains. 2. Supportive-a safe platform and support network for businesses to share experience and drive good practice. 3. Collaborative-working collaboratively and pre-competitively with businesses and stakeholders in all sectors across domestic and global supply chains. 4. Accessible-providing high-quality, relevant, free-to-download, open source resources and cost-effective interactive expert training and e-learning for business. 5. Practical-step-by-step, pioneering, solutions-focused guidance and resources for businesses, tailored by country and sector. 6. Evolving-continuously improving and developing best-practice tools, materials and programmes to support businesses. STRONGER TOGETHER PARTNERS AND SPONSORS WE ARE STRONGER TOGETHER Please contact Stronger Together at info@stronger2gether.org or +44 (0) 1276 919090 CONTENTS&quot;},&quot;isTemporary&quot;:false}],&quot;citationTag&quot;:&quot;MENDELEY_CITATION_v3_eyJjaXRhdGlvbklEIjoiTUVOREVMRVlfQ0lUQVRJT05fZWIwMDA4ZDMtODllNS00ZWFmLWJkOGYtMWRmMmNhZGYyZDI4IiwicHJvcGVydGllcyI6eyJub3RlSW5kZXgiOjB9LCJpc0VkaXRlZCI6ZmFsc2UsIm1hbnVhbE92ZXJyaWRlIjp7ImlzTWFudWFsbHlPdmVycmlkZGVuIjp0cnVlLCJjaXRlcHJvY1RleHQiOiIoU3Ryb25nZXIyZ2V0aGVyIG9yZ2FuaXNhdGlvbiwgMjAyMCkiLCJtYW51YWxPdmVycmlkZVRleHQiOiIoU3Ryb25nZXIyZ2V0aGVyIE9yZ2FuaXNhdGlvbiwgMjAyMCwgcC4gNi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quot;},{&quot;citationID&quot;:&quot;MENDELEY_CITATION_c268996c-8135-4b01-9e04-e8e58f083d44&quot;,&quot;properties&quot;:{&quot;noteIndex&quot;:0},&quot;isEdited&quot;:false,&quot;manualOverride&quot;:{&quot;isManuallyOverridden&quot;:true,&quot;citeprocText&quot;:&quot;(Stronger2gether organisation, 2020)&quot;,&quot;manualOverrideText&quot;:&quot;(Stronger2gether Organisation, 2020)&quot;},&quot;citationItems&quot;:[{&quot;id&quot;:&quot;b2c3033d-27dd-351d-9988-e785970e42a3&quot;,&quot;itemData&quot;:{&quot;type&quot;:&quot;report&quot;,&quot;id&quot;:&quot;b2c3033d-27dd-351d-9988-e785970e42a3&quot;,&quot;title&quot;:&quot;Tackling modern slavery in businesses A toolkit for UK employers and labour providers&quot;,&quot;author&quot;:[{&quot;family&quot;:&quot;Stronger2gether organisation&quot;,&quot;given&quot;:&quot;&quot;,&quot;parse-names&quot;:false,&quot;dropping-particle&quot;:&quot;&quot;,&quot;non-dropping-particle&quot;:&quot;&quot;}],&quot;URL&quot;:&quot;www.stronger2gether.org&quot;,&quot;issued&quot;:{&quot;date-parts&quot;:[[2020]]},&quot;number-of-pages&quot;:&quot;1-95&quot;,&quot;abstract&quot;:&quot;Stronger Together (www.stronger2gether.org) is a multi-stakeholder collaborative initiative supporting organisations in all sectors to address modern slavery risks within their business and supply chains. We develop and deliver expert guidance, training, resources and tools that equip and support businesses to deter, detect and deal with the risks of forced labour, labour trafficking and other hidden labour exploitation. We enable collaboration to achieve this at scale on a country-by-country, sector-by-sector basis. Our Vision is for supply chains free from modern slavery. Our Mission is to work together to reduce forced labour, labour trafficking and other hidden third-party labour exploitation of workers in supply chains. We are a not-for-profit social enterprise. We use an internationally proven collaborative methodology, engaging stakeholders at an industry-wide level based on the corporate responsibility to respect human rights within the framework of the UN Guiding Principles on Business and Human Rights. OUR ESCAPE GUIDING PRINCIPLES: 1. Enabling-removing barriers, engaging leaders and combining local expertise with high-level influence to enable positive behaviour change at scale in supply chains. 2. Supportive-a safe platform and support network for businesses to share experience and drive good practice. 3. Collaborative-working collaboratively and pre-competitively with businesses and stakeholders in all sectors across domestic and global supply chains. 4. Accessible-providing high-quality, relevant, free-to-download, open source resources and cost-effective interactive expert training and e-learning for business. 5. Practical-step-by-step, pioneering, solutions-focused guidance and resources for businesses, tailored by country and sector. 6. Evolving-continuously improving and developing best-practice tools, materials and programmes to support businesses. STRONGER TOGETHER PARTNERS AND SPONSORS WE ARE STRONGER TOGETHER Please contact Stronger Together at info@stronger2gether.org or +44 (0) 1276 919090 CONTENTS&quot;},&quot;isTemporary&quot;:false}],&quot;citationTag&quot;:&quot;MENDELEY_CITATION_v3_eyJjaXRhdGlvbklEIjoiTUVOREVMRVlfQ0lUQVRJT05fYzI2ODk5NmMtODEzNS00YjAxLTllMDQtZThlNThmMDgzZDQ0IiwicHJvcGVydGllcyI6eyJub3RlSW5kZXgiOjB9LCJpc0VkaXRlZCI6ZmFsc2UsIm1hbnVhbE92ZXJyaWRlIjp7ImlzTWFudWFsbHlPdmVycmlkZGVuIjp0cnVlLCJjaXRlcHJvY1RleHQiOiIoU3Ryb25nZXIyZ2V0aGVyIG9yZ2FuaXNhdGlvbiwgMjAyMCkiLCJtYW51YWxPdmVycmlkZVRleHQiOiIoU3Ryb25nZXIyZ2V0aGVyIE9yZ2FuaXNhdGlvbiwgMjAyMC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quot;},{&quot;citationID&quot;:&quot;MENDELEY_CITATION_9ef480ab-1d1d-45bd-8f6b-c9e6d16f075b&quot;,&quot;properties&quot;:{&quot;noteIndex&quot;:0},&quot;isEdited&quot;:false,&quot;manualOverride&quot;:{&quot;isManuallyOverridden&quot;:true,&quot;citeprocText&quot;:&quot;(Stronger2gether organisation, 2020)&quot;,&quot;manualOverrideText&quot;:&quot;(Stronger2gether Organisation, 2020, p. 7)&quot;},&quot;citationItems&quot;:[{&quot;id&quot;:&quot;b2c3033d-27dd-351d-9988-e785970e42a3&quot;,&quot;itemData&quot;:{&quot;type&quot;:&quot;report&quot;,&quot;id&quot;:&quot;b2c3033d-27dd-351d-9988-e785970e42a3&quot;,&quot;title&quot;:&quot;Tackling modern slavery in businesses A toolkit for UK employers and labour providers&quot;,&quot;author&quot;:[{&quot;family&quot;:&quot;Stronger2gether organisation&quot;,&quot;given&quot;:&quot;&quot;,&quot;parse-names&quot;:false,&quot;dropping-particle&quot;:&quot;&quot;,&quot;non-dropping-particle&quot;:&quot;&quot;}],&quot;URL&quot;:&quot;www.stronger2gether.org&quot;,&quot;issued&quot;:{&quot;date-parts&quot;:[[2020]]},&quot;number-of-pages&quot;:&quot;1-95&quot;,&quot;abstract&quot;:&quot;Stronger Together (www.stronger2gether.org) is a multi-stakeholder collaborative initiative supporting organisations in all sectors to address modern slavery risks within their business and supply chains. We develop and deliver expert guidance, training, resources and tools that equip and support businesses to deter, detect and deal with the risks of forced labour, labour trafficking and other hidden labour exploitation. We enable collaboration to achieve this at scale on a country-by-country, sector-by-sector basis. Our Vision is for supply chains free from modern slavery. Our Mission is to work together to reduce forced labour, labour trafficking and other hidden third-party labour exploitation of workers in supply chains. We are a not-for-profit social enterprise. We use an internationally proven collaborative methodology, engaging stakeholders at an industry-wide level based on the corporate responsibility to respect human rights within the framework of the UN Guiding Principles on Business and Human Rights. OUR ESCAPE GUIDING PRINCIPLES: 1. Enabling-removing barriers, engaging leaders and combining local expertise with high-level influence to enable positive behaviour change at scale in supply chains. 2. Supportive-a safe platform and support network for businesses to share experience and drive good practice. 3. Collaborative-working collaboratively and pre-competitively with businesses and stakeholders in all sectors across domestic and global supply chains. 4. Accessible-providing high-quality, relevant, free-to-download, open source resources and cost-effective interactive expert training and e-learning for business. 5. Practical-step-by-step, pioneering, solutions-focused guidance and resources for businesses, tailored by country and sector. 6. Evolving-continuously improving and developing best-practice tools, materials and programmes to support businesses. STRONGER TOGETHER PARTNERS AND SPONSORS WE ARE STRONGER TOGETHER Please contact Stronger Together at info@stronger2gether.org or +44 (0) 1276 919090 CONTENTS&quot;},&quot;isTemporary&quot;:false}],&quot;citationTag&quot;:&quot;MENDELEY_CITATION_v3_eyJjaXRhdGlvbklEIjoiTUVOREVMRVlfQ0lUQVRJT05fOWVmNDgwYWItMWQxZC00NWJkLThmNmItYzllNmQxNmYwNzViIiwicHJvcGVydGllcyI6eyJub3RlSW5kZXgiOjB9LCJpc0VkaXRlZCI6ZmFsc2UsIm1hbnVhbE92ZXJyaWRlIjp7ImlzTWFudWFsbHlPdmVycmlkZGVuIjp0cnVlLCJjaXRlcHJvY1RleHQiOiIoU3Ryb25nZXIyZ2V0aGVyIG9yZ2FuaXNhdGlvbiwgMjAyMCkiLCJtYW51YWxPdmVycmlkZVRleHQiOiIoU3Ryb25nZXIyZ2V0aGVyIE9yZ2FuaXNhdGlvbiwgMjAyMCwgcC4gNy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quot;},{&quot;citationID&quot;:&quot;MENDELEY_CITATION_9a1651d9-ca3e-4186-8e69-2054b38ecd77&quot;,&quot;properties&quot;:{&quot;noteIndex&quot;:0},&quot;isEdited&quot;:false,&quot;manualOverride&quot;:{&quot;isManuallyOverridden&quot;:true,&quot;citeprocText&quot;:&quot;(Stronger2gether organisation, 2020)&quot;,&quot;manualOverrideText&quot;:&quot;(Stronger2gether Organisation, 2020)&quot;},&quot;citationItems&quot;:[{&quot;id&quot;:&quot;b2c3033d-27dd-351d-9988-e785970e42a3&quot;,&quot;itemData&quot;:{&quot;type&quot;:&quot;report&quot;,&quot;id&quot;:&quot;b2c3033d-27dd-351d-9988-e785970e42a3&quot;,&quot;title&quot;:&quot;Tackling modern slavery in businesses A toolkit for UK employers and labour providers&quot;,&quot;author&quot;:[{&quot;family&quot;:&quot;Stronger2gether organisation&quot;,&quot;given&quot;:&quot;&quot;,&quot;parse-names&quot;:false,&quot;dropping-particle&quot;:&quot;&quot;,&quot;non-dropping-particle&quot;:&quot;&quot;}],&quot;URL&quot;:&quot;www.stronger2gether.org&quot;,&quot;issued&quot;:{&quot;date-parts&quot;:[[2020]]},&quot;number-of-pages&quot;:&quot;1-95&quot;,&quot;abstract&quot;:&quot;Stronger Together (www.stronger2gether.org) is a multi-stakeholder collaborative initiative supporting organisations in all sectors to address modern slavery risks within their business and supply chains. We develop and deliver expert guidance, training, resources and tools that equip and support businesses to deter, detect and deal with the risks of forced labour, labour trafficking and other hidden labour exploitation. We enable collaboration to achieve this at scale on a country-by-country, sector-by-sector basis. Our Vision is for supply chains free from modern slavery. Our Mission is to work together to reduce forced labour, labour trafficking and other hidden third-party labour exploitation of workers in supply chains. We are a not-for-profit social enterprise. We use an internationally proven collaborative methodology, engaging stakeholders at an industry-wide level based on the corporate responsibility to respect human rights within the framework of the UN Guiding Principles on Business and Human Rights. OUR ESCAPE GUIDING PRINCIPLES: 1. Enabling-removing barriers, engaging leaders and combining local expertise with high-level influence to enable positive behaviour change at scale in supply chains. 2. Supportive-a safe platform and support network for businesses to share experience and drive good practice. 3. Collaborative-working collaboratively and pre-competitively with businesses and stakeholders in all sectors across domestic and global supply chains. 4. Accessible-providing high-quality, relevant, free-to-download, open source resources and cost-effective interactive expert training and e-learning for business. 5. Practical-step-by-step, pioneering, solutions-focused guidance and resources for businesses, tailored by country and sector. 6. Evolving-continuously improving and developing best-practice tools, materials and programmes to support businesses. STRONGER TOGETHER PARTNERS AND SPONSORS WE ARE STRONGER TOGETHER Please contact Stronger Together at info@stronger2gether.org or +44 (0) 1276 919090 CONTENTS&quot;},&quot;isTemporary&quot;:false}],&quot;citationTag&quot;:&quot;MENDELEY_CITATION_v3_eyJjaXRhdGlvbklEIjoiTUVOREVMRVlfQ0lUQVRJT05fOWExNjUxZDktY2EzZS00MTg2LThlNjktMjA1NGIzOGVjZDc3IiwicHJvcGVydGllcyI6eyJub3RlSW5kZXgiOjB9LCJpc0VkaXRlZCI6ZmFsc2UsIm1hbnVhbE92ZXJyaWRlIjp7ImlzTWFudWFsbHlPdmVycmlkZGVuIjp0cnVlLCJjaXRlcHJvY1RleHQiOiIoU3Ryb25nZXIyZ2V0aGVyIG9yZ2FuaXNhdGlvbiwgMjAyMCkiLCJtYW51YWxPdmVycmlkZVRleHQiOiIoU3Ryb25nZXIyZ2V0aGVyIE9yZ2FuaXNhdGlvbiwgMjAyMC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quot;},{&quot;citationID&quot;:&quot;MENDELEY_CITATION_85a8cf3f-e6f0-4a18-acc9-b6123d69abae&quot;,&quot;properties&quot;:{&quot;noteIndex&quot;:0},&quot;isEdited&quot;:false,&quot;manualOverride&quot;:{&quot;isManuallyOverridden&quot;:true,&quot;citeprocText&quot;:&quot;(BBC News, 2020)&quot;,&quot;manualOverrideText&quot;:&quot;(BBC News, 2020b)&quot;},&quot;citationItems&quot;:[{&quot;id&quot;:&quot;476a9645-4ede-305f-a211-5d42bc09dd2e&quot;,&quot;itemData&quot;:{&quot;type&quot;:&quot;webpage&quot;,&quot;id&quot;:&quot;476a9645-4ede-305f-a211-5d42bc09dd2e&quot;,&quot;title&quot;:&quot;Government 'must stop garment worker exploitation'&quot;,&quot;author&quot;:[{&quot;family&quot;:&quot;BBC News&quot;,&quot;given&quot;:&quot;&quot;,&quot;parse-names&quot;:false,&quot;dropping-particle&quot;:&quot;&quot;,&quot;non-dropping-particle&quot;:&quot;&quot;}],&quot;accessed&quot;:{&quot;date-parts&quot;:[[2023,7,7]]},&quot;URL&quot;:&quot;https://www.bbc.co.uk/news/business-53465977&quot;,&quot;issued&quot;:{&quot;date-parts&quot;:[[2020,7,20]]},&quot;container-title-short&quot;:&quot;&quot;},&quot;isTemporary&quot;:false}],&quot;citationTag&quot;:&quot;MENDELEY_CITATION_v3_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&quot;},{&quot;citationID&quot;:&quot;MENDELEY_CITATION_ed25176c-656e-419d-8639-c67764b9263b&quot;,&quot;properties&quot;:{&quot;noteIndex&quot;:0},&quot;isEdited&quot;:false,&quot;manualOverride&quot;:{&quot;isManuallyOverridden&quot;:true,&quot;citeprocText&quot;:&quot;(Business &amp;#38; Human Rights Resource Centre, 2021)&quot;,&quot;manualOverrideText&quot;:&quot;(Business &amp; Human Rights Resource Centre (BHRRC), 2021)&quot;},&quot;citationItems&quot;:[{&quot;id&quot;:&quot;8d37fcc7-d06b-3d9d-a813-35e6220ddfc9&quot;,&quot;itemData&quot;:{&quot;type&quot;:&quot;webpage&quot;,&quot;id&quot;:&quot;8d37fcc7-d06b-3d9d-a813-35e6220ddfc9&quot;,&quot;title&quot;:&quot;KnowTheChain: Ranking of 37 apparel and footwear companies on efforts to address forced labour in supply chains - Business &amp; Human Rights Resource Centre&quot;,&quot;author&quot;:[{&quot;family&quot;:&quot;Business &amp; Human Rights Resource Centre&quot;,&quot;given&quot;:&quot;&quot;,&quot;parse-names&quot;:false,&quot;dropping-particle&quot;:&quot;&quot;,&quot;non-dropping-particle&quot;:&quot;&quot;}],&quot;accessed&quot;:{&quot;date-parts&quot;:[[2023,1,23]]},&quot;URL&quot;:&quot;https://www.business-humanrights.org/en/latest-news/knowthechain-ranking-of-37-apparel-and-footwear-companies-on-efforts-to-address-forced-labour-in-supply-chains/&quot;,&quot;issued&quot;:{&quot;date-parts&quot;:[[2021,5,26]]},&quot;container-title-short&quot;:&quot;&quot;},&quot;isTemporary&quot;:false}],&quot;citationTag&quot;:&quot;MENDELEY_CITATION_v3_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&quot;},{&quot;citationID&quot;:&quot;MENDELEY_CITATION_580b8315-3559-485d-85c9-310ce0f283a5&quot;,&quot;properties&quot;:{&quot;noteIndex&quot;:0},&quot;isEdited&quot;:false,&quot;manualOverride&quot;:{&quot;isManuallyOverridden&quot;:false,&quot;citeprocText&quot;:&quot;(Know the chain, 2021)&quot;,&quot;manualOverrideText&quot;:&quot;&quot;},&quot;citationItems&quot;:[{&quot;id&quot;:&quot;ae4b72f8-4b1b-3092-9fb6-f4412b0e8ffa&quot;,&quot;itemData&quot;:{&quot;type&quot;:&quot;report&quot;,&quot;id&quot;:&quot;ae4b72f8-4b1b-3092-9fb6-f4412b0e8ffa&quot;,&quot;title&quot;:&quot;Apparel and footwear: Benchmark-Report&quot;,&quot;author&quot;:[{&quot;family&quot;:&quot;Know the chain&quot;,&quot;given&quot;:&quot;&quot;,&quot;parse-names&quot;:false,&quot;dropping-particle&quot;:&quot;&quot;,&quot;non-dropping-particle&quot;:&quot;&quot;}],&quot;issued&quot;:{&quot;date-parts&quot;:[[2021]]},&quot;container-title-short&quot;:&quot;&quot;},&quot;isTemporary&quot;:false}],&quot;citationTag&quot;:&quot;MENDELEY_CITATION_v3_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&quot;},{&quot;citationID&quot;:&quot;MENDELEY_CITATION_de393223-5c6f-4631-ba95-e23c42ededd7&quot;,&quot;properties&quot;:{&quot;noteIndex&quot;:0},&quot;isEdited&quot;:false,&quot;manualOverride&quot;:{&quot;isManuallyOverridden&quot;:true,&quot;citeprocText&quot;:&quot;(Stronger2gether organisation, 2020)&quot;,&quot;manualOverrideText&quot;:&quot;(Stronger2gether Organisation, 2020, p. 7)&quot;},&quot;citationItems&quot;:[{&quot;id&quot;:&quot;b2c3033d-27dd-351d-9988-e785970e42a3&quot;,&quot;itemData&quot;:{&quot;type&quot;:&quot;report&quot;,&quot;id&quot;:&quot;b2c3033d-27dd-351d-9988-e785970e42a3&quot;,&quot;title&quot;:&quot;Tackling modern slavery in businesses A toolkit for UK employers and labour providers&quot;,&quot;author&quot;:[{&quot;family&quot;:&quot;Stronger2gether organisation&quot;,&quot;given&quot;:&quot;&quot;,&quot;parse-names&quot;:false,&quot;dropping-particle&quot;:&quot;&quot;,&quot;non-dropping-particle&quot;:&quot;&quot;}],&quot;URL&quot;:&quot;www.stronger2gether.org&quot;,&quot;issued&quot;:{&quot;date-parts&quot;:[[2020]]},&quot;number-of-pages&quot;:&quot;1-95&quot;,&quot;abstract&quot;:&quot;Stronger Together (www.stronger2gether.org) is a multi-stakeholder collaborative initiative supporting organisations in all sectors to address modern slavery risks within their business and supply chains. We develop and deliver expert guidance, training, resources and tools that equip and support businesses to deter, detect and deal with the risks of forced labour, labour trafficking and other hidden labour exploitation. We enable collaboration to achieve this at scale on a country-by-country, sector-by-sector basis. Our Vision is for supply chains free from modern slavery. Our Mission is to work together to reduce forced labour, labour trafficking and other hidden third-party labour exploitation of workers in supply chains. We are a not-for-profit social enterprise. We use an internationally proven collaborative methodology, engaging stakeholders at an industry-wide level based on the corporate responsibility to respect human rights within the framework of the UN Guiding Principles on Business and Human Rights. OUR ESCAPE GUIDING PRINCIPLES: 1. Enabling-removing barriers, engaging leaders and combining local expertise with high-level influence to enable positive behaviour change at scale in supply chains. 2. Supportive-a safe platform and support network for businesses to share experience and drive good practice. 3. Collaborative-working collaboratively and pre-competitively with businesses and stakeholders in all sectors across domestic and global supply chains. 4. Accessible-providing high-quality, relevant, free-to-download, open source resources and cost-effective interactive expert training and e-learning for business. 5. Practical-step-by-step, pioneering, solutions-focused guidance and resources for businesses, tailored by country and sector. 6. Evolving-continuously improving and developing best-practice tools, materials and programmes to support businesses. STRONGER TOGETHER PARTNERS AND SPONSORS WE ARE STRONGER TOGETHER Please contact Stronger Together at info@stronger2gether.org or +44 (0) 1276 919090 CONTENTS&quot;},&quot;isTemporary&quot;:false}],&quot;citationTag&quot;:&quot;MENDELEY_CITATION_v3_eyJjaXRhdGlvbklEIjoiTUVOREVMRVlfQ0lUQVRJT05fZGUzOTMyMjMtNWM2Zi00NjMxLWJhOTUtZTIzYzQyZWRlZGQ3IiwicHJvcGVydGllcyI6eyJub3RlSW5kZXgiOjB9LCJpc0VkaXRlZCI6ZmFsc2UsIm1hbnVhbE92ZXJyaWRlIjp7ImlzTWFudWFsbHlPdmVycmlkZGVuIjp0cnVlLCJjaXRlcHJvY1RleHQiOiIoU3Ryb25nZXIyZ2V0aGVyIG9yZ2FuaXNhdGlvbiwgMjAyMCkiLCJtYW51YWxPdmVycmlkZVRleHQiOiIoU3Ryb25nZXIyZ2V0aGVyIE9yZ2FuaXNhdGlvbiwgMjAyMCwgcC4gNy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quot;},{&quot;citationID&quot;:&quot;MENDELEY_CITATION_a074b968-582a-4f2e-847c-63b194ae36b8&quot;,&quot;properties&quot;:{&quot;noteIndex&quot;:0},&quot;isEdited&quot;:false,&quot;manualOverride&quot;:{&quot;isManuallyOverridden&quot;:true,&quot;citeprocText&quot;:&quot;(United Nations, 2022a)&quot;,&quot;manualOverrideText&quot;:&quot;The United Nations in 2022&quot;},&quot;citationItems&quot;:[{&quot;id&quot;:&quot;af44ab64-a245-3047-8d74-e5e27da26697&quot;,&quot;itemData&quot;:{&quot;type&quot;:&quot;webpage&quot;,&quot;id&quot;:&quot;af44ab64-a245-3047-8d74-e5e27da26697&quot;,&quot;title&quot;:&quot;Preventing and Countering Organized Crime&quot;,&quot;author&quot;:[{&quot;family&quot;:&quot;United Nations&quot;,&quot;given&quot;:&quot;&quot;,&quot;parse-names&quot;:false,&quot;dropping-particle&quot;:&quot;&quot;,&quot;non-dropping-particle&quot;:&quot;&quot;}],&quot;accessed&quot;:{&quot;date-parts&quot;:[[2023,8,16]]},&quot;URL&quot;:&quot;https://www.unodc.org/unodc/es/humanrights/areas/organized-crime.html&quot;,&quot;issued&quot;:{&quot;date-parts&quot;:[[2022]]},&quot;container-title-short&quot;:&quot;&quot;},&quot;isTemporary&quot;:false}],&quot;citationTag&quot;:&quot;MENDELEY_CITATION_v3_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&quot;},{&quot;citationID&quot;:&quot;MENDELEY_CITATION_9bc59bed-63fb-419a-8d4e-16884aec3816&quot;,&quot;properties&quot;:{&quot;noteIndex&quot;:0},&quot;isEdited&quot;:false,&quot;manualOverride&quot;:{&quot;isManuallyOverridden&quot;:true,&quot;citeprocText&quot;:&quot;(Stronger2gether organisation, 2020)&quot;,&quot;manualOverrideText&quot;:&quot;(Stronger2gether Organisation, 2020)&quot;},&quot;citationItems&quot;:[{&quot;id&quot;:&quot;b2c3033d-27dd-351d-9988-e785970e42a3&quot;,&quot;itemData&quot;:{&quot;type&quot;:&quot;report&quot;,&quot;id&quot;:&quot;b2c3033d-27dd-351d-9988-e785970e42a3&quot;,&quot;title&quot;:&quot;Tackling modern slavery in businesses A toolkit for UK employers and labour providers&quot;,&quot;author&quot;:[{&quot;family&quot;:&quot;Stronger2gether organisation&quot;,&quot;given&quot;:&quot;&quot;,&quot;parse-names&quot;:false,&quot;dropping-particle&quot;:&quot;&quot;,&quot;non-dropping-particle&quot;:&quot;&quot;}],&quot;URL&quot;:&quot;www.stronger2gether.org&quot;,&quot;issued&quot;:{&quot;date-parts&quot;:[[2020]]},&quot;number-of-pages&quot;:&quot;1-95&quot;,&quot;abstract&quot;:&quot;Stronger Together (www.stronger2gether.org) is a multi-stakeholder collaborative initiative supporting organisations in all sectors to address modern slavery risks within their business and supply chains. We develop and deliver expert guidance, training, resources and tools that equip and support businesses to deter, detect and deal with the risks of forced labour, labour trafficking and other hidden labour exploitation. We enable collaboration to achieve this at scale on a country-by-country, sector-by-sector basis. Our Vision is for supply chains free from modern slavery. Our Mission is to work together to reduce forced labour, labour trafficking and other hidden third-party labour exploitation of workers in supply chains. We are a not-for-profit social enterprise. We use an internationally proven collaborative methodology, engaging stakeholders at an industry-wide level based on the corporate responsibility to respect human rights within the framework of the UN Guiding Principles on Business and Human Rights. OUR ESCAPE GUIDING PRINCIPLES: 1. Enabling-removing barriers, engaging leaders and combining local expertise with high-level influence to enable positive behaviour change at scale in supply chains. 2. Supportive-a safe platform and support network for businesses to share experience and drive good practice. 3. Collaborative-working collaboratively and pre-competitively with businesses and stakeholders in all sectors across domestic and global supply chains. 4. Accessible-providing high-quality, relevant, free-to-download, open source resources and cost-effective interactive expert training and e-learning for business. 5. Practical-step-by-step, pioneering, solutions-focused guidance and resources for businesses, tailored by country and sector. 6. Evolving-continuously improving and developing best-practice tools, materials and programmes to support businesses. STRONGER TOGETHER PARTNERS AND SPONSORS WE ARE STRONGER TOGETHER Please contact Stronger Together at info@stronger2gether.org or +44 (0) 1276 919090 CONTENTS&quot;},&quot;isTemporary&quot;:false}],&quot;citationTag&quot;:&quot;MENDELEY_CITATION_v3_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&quot;},{&quot;citationID&quot;:&quot;MENDELEY_CITATION_89c0ecbf-af40-4fa5-befe-e42c14e435f8&quot;,&quot;properties&quot;:{&quot;noteIndex&quot;:0},&quot;isEdited&quot;:false,&quot;manualOverride&quot;:{&quot;isManuallyOverridden&quot;:false,&quot;citeprocText&quot;:&quot;(ILO, 2023a)&quot;,&quot;manualOverrideText&quot;:&quot;&quot;},&quot;citationItems&quot;:[{&quot;id&quot;:&quot;86c14ab7-80e8-3189-9e85-372f40e99437&quot;,&quot;itemData&quot;:{&quot;type&quot;:&quot;webpage&quot;,&quot;id&quot;:&quot;86c14ab7-80e8-3189-9e85-372f40e99437&quot;,&quot;title&quot;:&quot;Joint ILO-UNICEF report: Number of children without critical social protection increasing globally&quot;,&quot;author&quot;:[{&quot;family&quot;:&quot;ILO&quot;,&quot;given&quot;:&quot;&quot;,&quot;parse-names&quot;:false,&quot;dropping-particle&quot;:&quot;&quot;,&quot;non-dropping-particle&quot;:&quot;&quot;}],&quot;accessed&quot;:{&quot;date-parts&quot;:[[2023,5,10]]},&quot;URL&quot;:&quot;https://www.ilo.org/global/about-the-ilo/newsroom/news/WCMS_869722/lang--en/index.htm&quot;,&quot;issued&quot;:{&quot;date-parts&quot;:[[2023,3,1]]},&quot;container-title-short&quot;:&quot;&quot;},&quot;isTemporary&quot;:false}],&quot;citationTag&quot;:&quot;MENDELEY_CITATION_v3_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&quot;},{&quot;citationID&quot;:&quot;MENDELEY_CITATION_be42c447-a84f-447f-bf28-b37f060f274d&quot;,&quot;properties&quot;:{&quot;noteIndex&quot;:0},&quot;isEdited&quot;:false,&quot;manualOverride&quot;:{&quot;isManuallyOverridden&quot;:false,&quot;citeprocText&quot;:&quot;(Edmonds and Pavcnik, 2006)&quot;,&quot;manualOverrideText&quot;:&quot;&quot;},&quot;citationItems&quot;:[{&quot;id&quot;:&quot;d6ac2267-e36a-300b-b695-5ec9073f6f49&quot;,&quot;itemData&quot;:{&quot;type&quot;:&quot;article-journal&quot;,&quot;id&quot;:&quot;d6ac2267-e36a-300b-b695-5ec9073f6f49&quot;,&quot;title&quot;:&quot;International trade and child labour: Cross-country evidence&quot;,&quot;author&quot;:[{&quot;family&quot;:&quot;Edmonds&quot;,&quot;given&quot;:&quot;Eric&quot;,&quot;parse-names&quot;:false,&quot;dropping-particle&quot;:&quot;V&quot;,&quot;non-dropping-particle&quot;:&quot;&quot;},{&quot;family&quot;:&quot;Pavcnik&quot;,&quot;given&quot;:&quot;Nina&quot;,&quot;parse-names&quot;:false,&quot;dropping-particle&quot;:&quot;&quot;,&quot;non-dropping-particle&quot;:&quot;&quot;}],&quot;container-title&quot;:&quot;Journal of International Economics&quot;,&quot;accessed&quot;:{&quot;date-parts&quot;:[[2022,11,26]]},&quot;URL&quot;:&quot;www.elsevier.com/locate/econbase&quot;,&quot;issued&quot;:{&quot;date-parts&quot;:[[2006]]},&quot;page&quot;:&quot;115-140&quot;,&quot;abstract&quot;:&quot;We explore the relationship between exposure to trade (as measured by openness) and child labor in a crosscountry setting. Our methodology accounts for the fact that trade flows are endogenous to child labor (and labor standards more generally) by examining the relationship between child labor and variation in trade based on geography. We find that countries that trade more have less child labor. At the crosscountry means, the data suggest an openness elasticity of child labor of À 0.7. For low-income countries, the elasticity of child labor with respect to trade with high-income countries is À 0.9. However, these relationships appear to be largely attributable to the positive association between trade and income. We consistently find a small and statistically insignificant association between openness and child labor when we control for crosscountry income differences in the full sample, when we split the sample into different country groups, consider only trade between high-and low-income countries, or focus on exports of unskilled-labor intensive products from low-income countries. Thus, the crosscountry data do not substantiate assertions that trade per se plays a significant role in perpetuating the high levels of child labor that pervade low-income countries.&quot;,&quot;volume&quot;:&quot;68&quot;,&quot;container-title-short&quot;:&quot;J Int Econ&quot;},&quot;isTemporary&quot;:false}],&quot;citationTag&quot;:&quot;MENDELEY_CITATION_v3_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&quot;},{&quot;citationID&quot;:&quot;MENDELEY_CITATION_36f74b08-434c-4656-817d-98c57d07234f&quot;,&quot;properties&quot;:{&quot;noteIndex&quot;:0},&quot;isEdited&quot;:false,&quot;manualOverride&quot;:{&quot;isManuallyOverridden&quot;:true,&quot;citeprocText&quot;:&quot;(Fair Labor Association, 2017; ILO, 2017a)&quot;,&quot;manualOverrideText&quot;:&quot;(Fair Labour Association, 2017; ILO, 2017a)&quot;},&quot;citationItems&quot;:[{&quot;id&quot;:&quot;d7848899-1086-39c1-9d51-5e90530e3fdb&quot;,&quot;itemData&quot;:{&quot;type&quot;:&quot;report&quot;,&quot;id&quot;:&quot;d7848899-1086-39c1-9d51-5e90530e3fdb&quot;,&quot;title&quot;:&quot;Child Labour in Cotton Supplychains:  Action-based Collaborative Project to Address Human Rights Issues in Turkey&quot;,&quot;author&quot;:[{&quot;family&quot;:&quot;Fair Labor Association&quot;,&quot;given&quot;:&quot;&quot;,&quot;parse-names&quot;:false,&quot;dropping-particle&quot;:&quot;&quot;,&quot;non-dropping-particle&quot;:&quot;&quot;}],&quot;URL&quot;:&quot;www.fairlabor.org&quot;,&quot;issued&quot;:{&quot;date-parts&quot;:[[2017]]},&quot;container-title-short&quot;:&quot;&quot;},&quot;isTemporary&quot;:false},{&quot;id&quot;:&quot;47823a7e-c51b-345b-86d1-9aab5d18ddf2&quot;,&quot;itemData&quot;:{&quot;type&quot;:&quot;webpage&quot;,&quot;id&quot;:&quot;47823a7e-c51b-345b-86d1-9aab5d18ddf2&quot;,&quot;title&quot;:&quot;Modern slavery and child labour: 40 million in modern slavery and 152 million in child labour around the world&quot;,&quot;author&quot;:[{&quot;family&quot;:&quot;ILO&quot;,&quot;given&quot;:&quot;&quot;,&quot;parse-names&quot;:false,&quot;dropping-particle&quot;:&quot;&quot;,&quot;non-dropping-particle&quot;:&quot;&quot;}],&quot;accessed&quot;:{&quot;date-parts&quot;:[[2023,2,7]]},&quot;URL&quot;:&quot;https://www.ilo.org/global/about-the-ilo/newsroom/news/WCMS_574717/lang--en/index.htm&quot;,&quot;issued&quot;:{&quot;date-parts&quot;:[[2017,9,19]]},&quot;container-title-short&quot;:&quot;&quot;},&quot;isTemporary&quot;:false}],&quot;citationTag&quot;:&quot;MENDELEY_CITATION_v3_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&quot;},{&quot;citationID&quot;:&quot;MENDELEY_CITATION_d84fa070-57a8-4412-a5b8-e65c4ecc74e2&quot;,&quot;properties&quot;:{&quot;noteIndex&quot;:0},&quot;isEdited&quot;:false,&quot;manualOverride&quot;:{&quot;isManuallyOverridden&quot;:true,&quot;citeprocText&quot;:&quot;(Edmonds and Pavcnik, 2006)&quot;,&quot;manualOverrideText&quot;:&quot;Edmonds and Pavcnik (2006)&quot;},&quot;citationItems&quot;:[{&quot;id&quot;:&quot;d6ac2267-e36a-300b-b695-5ec9073f6f49&quot;,&quot;itemData&quot;:{&quot;type&quot;:&quot;article-journal&quot;,&quot;id&quot;:&quot;d6ac2267-e36a-300b-b695-5ec9073f6f49&quot;,&quot;title&quot;:&quot;International trade and child labour: Cross-country evidence&quot;,&quot;author&quot;:[{&quot;family&quot;:&quot;Edmonds&quot;,&quot;given&quot;:&quot;Eric&quot;,&quot;parse-names&quot;:false,&quot;dropping-particle&quot;:&quot;V&quot;,&quot;non-dropping-particle&quot;:&quot;&quot;},{&quot;family&quot;:&quot;Pavcnik&quot;,&quot;given&quot;:&quot;Nina&quot;,&quot;parse-names&quot;:false,&quot;dropping-particle&quot;:&quot;&quot;,&quot;non-dropping-particle&quot;:&quot;&quot;}],&quot;container-title&quot;:&quot;Journal of International Economics&quot;,&quot;accessed&quot;:{&quot;date-parts&quot;:[[2022,11,26]]},&quot;URL&quot;:&quot;www.elsevier.com/locate/econbase&quot;,&quot;issued&quot;:{&quot;date-parts&quot;:[[2006]]},&quot;page&quot;:&quot;115-140&quot;,&quot;abstract&quot;:&quot;We explore the relationship between exposure to trade (as measured by openness) and child labor in a crosscountry setting. Our methodology accounts for the fact that trade flows are endogenous to child labor (and labor standards more generally) by examining the relationship between child labor and variation in trade based on geography. We find that countries that trade more have less child labor. At the crosscountry means, the data suggest an openness elasticity of child labor of À 0.7. For low-income countries, the elasticity of child labor with respect to trade with high-income countries is À 0.9. However, these relationships appear to be largely attributable to the positive association between trade and income. We consistently find a small and statistically insignificant association between openness and child labor when we control for crosscountry income differences in the full sample, when we split the sample into different country groups, consider only trade between high-and low-income countries, or focus on exports of unskilled-labor intensive products from low-income countries. Thus, the crosscountry data do not substantiate assertions that trade per se plays a significant role in perpetuating the high levels of child labor that pervade low-income countries.&quot;,&quot;volume&quot;:&quot;68&quot;,&quot;container-title-short&quot;:&quot;J Int Econ&quot;},&quot;isTemporary&quot;:false}],&quot;citationTag&quot;:&quot;MENDELEY_CITATION_v3_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&quot;},{&quot;citationID&quot;:&quot;MENDELEY_CITATION_f9c51186-bf85-4ae0-b48a-3a0bf693767b&quot;,&quot;properties&quot;:{&quot;noteIndex&quot;:0},&quot;isEdited&quot;:false,&quot;manualOverride&quot;:{&quot;isManuallyOverridden&quot;:false,&quot;citeprocText&quot;:&quot;(ILO, 2023a)&quot;,&quot;manualOverrideText&quot;:&quot;&quot;},&quot;citationItems&quot;:[{&quot;id&quot;:&quot;86c14ab7-80e8-3189-9e85-372f40e99437&quot;,&quot;itemData&quot;:{&quot;type&quot;:&quot;webpage&quot;,&quot;id&quot;:&quot;86c14ab7-80e8-3189-9e85-372f40e99437&quot;,&quot;title&quot;:&quot;Joint ILO-UNICEF report: Number of children without critical social protection increasing globally&quot;,&quot;author&quot;:[{&quot;family&quot;:&quot;ILO&quot;,&quot;given&quot;:&quot;&quot;,&quot;parse-names&quot;:false,&quot;dropping-particle&quot;:&quot;&quot;,&quot;non-dropping-particle&quot;:&quot;&quot;}],&quot;accessed&quot;:{&quot;date-parts&quot;:[[2023,5,10]]},&quot;URL&quot;:&quot;https://www.ilo.org/global/about-the-ilo/newsroom/news/WCMS_869722/lang--en/index.htm&quot;,&quot;issued&quot;:{&quot;date-parts&quot;:[[2023,3,1]]},&quot;container-title-short&quot;:&quot;&quot;},&quot;isTemporary&quot;:false}],&quot;citationTag&quot;:&quot;MENDELEY_CITATION_v3_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&quot;},{&quot;citationID&quot;:&quot;MENDELEY_CITATION_dd95d528-0193-44db-8a4a-1f2c1a3023eb&quot;,&quot;properties&quot;:{&quot;noteIndex&quot;:0},&quot;isEdited&quot;:false,&quot;manualOverride&quot;:{&quot;isManuallyOverridden&quot;:true,&quot;citeprocText&quot;:&quot;(ILO, 2025)&quot;,&quot;manualOverrideText&quot;:&quot;(ILO, 2025, p.16)&quot;},&quot;citationItems&quot;:[{&quot;id&quot;:&quot;b29622d0-16e9-3e60-8d70-09d5681c0c10&quot;,&quot;itemData&quot;:{&quot;type&quot;:&quot;book&quot;,&quot;id&quot;:&quot;b29622d0-16e9-3e60-8d70-09d5681c0c10&quot;,&quot;title&quot;:&quot;Child labour: Global estimates 2024, trends and the road forward&quot;,&quot;author&quot;:[{&quot;family&quot;:&quot;ILO&quot;,&quot;given&quot;:&quot;&quot;,&quot;parse-names&quot;:false,&quot;dropping-particle&quot;:&quot;&quot;,&quot;non-dropping-particle&quot;:&quot;&quot;}],&quot;ISBN&quot;:&quot;9789220422472&quot;,&quot;issued&quot;:{&quot;date-parts&quot;:[[2025]]},&quot;number-of-pages&quot;:&quot;1-62&quot;,&quot;publisher&quot;:&quot;International Labour Organization and United Nations Children’s Fund&quot;,&quot;container-title-short&quot;:&quot;&quot;},&quot;isTemporary&quot;:false}],&quot;citationTag&quot;:&quot;MENDELEY_CITATION_v3_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&quot;},{&quot;citationID&quot;:&quot;MENDELEY_CITATION_21d2e0b8-5aa7-49ff-b785-d74cccdd926e&quot;,&quot;properties&quot;:{&quot;noteIndex&quot;:0},&quot;isEdited&quot;:false,&quot;manualOverride&quot;:{&quot;isManuallyOverridden&quot;:false,&quot;citeprocText&quot;:&quot;(Camacho-Garza &lt;i&gt;et al.&lt;/i&gt;, 2022; Christ &lt;i&gt;et al.&lt;/i&gt;, 2022; Coumans, 2017; Yeshey, 2019)&quot;,&quot;manualOverrideText&quot;:&quot;&quot;},&quot;citationItems&quot;:[{&quot;id&quot;:&quot;85c2bb89-5065-31b6-bd1c-c3441af224c7&quot;,&quot;itemData&quot;:{&quot;type&quot;:&quot;article-journal&quot;,&quot;id&quot;:&quot;85c2bb89-5065-31b6-bd1c-c3441af224c7&quot;,&quot;title&quot;:&quot;Modern Slavery disclosure in mining: A comparison comparison of large UK and Australian compan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Prider&quot;,&quot;given&quot;:&quot;H&quot;,&quot;parse-names&quot;:false,&quot;dropping-particle&quot;:&quot;&quot;,&quot;non-dropping-particle&quot;:&quot;&quot;}],&quot;container-title&quot;:&quot;Jounal of Behavioural economics and social systems&quot;,&quot;URL&quot;:&quot;www.globalaccesspartners.org&quot;,&quot;issued&quot;:{&quot;date-parts&quot;:[[2022]]},&quot;page&quot;:&quot;23-40&quot;,&quot;volume&quot;:&quot;4&quot;,&quot;container-title-short&quot;:&quot;&quot;},&quot;isTemporary&quot;:false},{&quot;id&quot;:&quot;8842f86d-7bc2-3bb5-b95d-e6de2b7d030b&quot;,&quot;itemData&quot;:{&quot;type&quot;:&quot;article-newspaper&quot;,&quot;id&quot;:&quot;8842f86d-7bc2-3bb5-b95d-e6de2b7d030b&quot;,&quot;title&quot;:&quot;Child Labour In Cobalt Mining; Apple, Tesla &amp; Others Accused Of Human Rights Violation -&quot;,&quot;author&quot;:[{&quot;family&quot;:&quot;Yeshey&quot;,&quot;given&quot;:&quot;Rabyor Yolmo&quot;,&quot;parse-names&quot;:false,&quot;dropping-particle&quot;:&quot;&quot;,&quot;non-dropping-particle&quot;:&quot;&quot;}],&quot;container-title&quot;:&quot;International Rights Advocates (IRA) &quot;,&quot;accessed&quot;:{&quot;date-parts&quot;:[[2022,10,24]]},&quot;URL&quot;:&quot;https://analyticsindiamag.com/human-rights-violation-cobalt-mines/&quot;,&quot;issued&quot;:{&quot;date-parts&quot;:[[2019,12,15]]},&quot;container-title-short&quot;:&quot;&quot;},&quot;isTemporary&quot;:false},{&quot;id&quot;:&quot;db9dece2-70c1-3c56-b18d-f2da9d3d2707&quot;,&quot;itemData&quot;:{&quot;type&quot;:&quot;article-journal&quot;,&quot;id&quot;:&quot;db9dece2-70c1-3c56-b18d-f2da9d3d2707&quot;,&quot;title&quot;:&quot;Do no harm? Mining industry responds to the responsibility to respect human rights&quot;,&quot;author&quot;:[{&quot;family&quot;:&quot;Coumans&quot;,&quot;given&quot;:&quot;Catherine&quot;,&quot;parse-names&quot;:false,&quot;dropping-particle&quot;:&quot;&quot;,&quot;non-dropping-particle&quot;:&quot;&quot;}],&quot;container-title&quot;:&quot;Canadian Journal of Development Studies&quot;,&quot;accessed&quot;:{&quot;date-parts&quot;:[[2022,8,22]]},&quot;URL&quot;:&quot;https://www.tandfonline.com/action/journalInformation?journalCode=rcjd20&quot;,&quot;issued&quot;:{&quot;date-parts&quot;:[[2017]]},&quot;page&quot;:&quot;272-290&quot;,&quot;issue&quot;:&quot;2&quot;,&quot;volume&quot;:&quot;38&quot;,&quot;container-title-short&quot;:&quot;&quot;},&quot;isTemporary&quot;:false},{&quot;id&quot;:&quot;af46b1a9-c0e1-3158-8bd5-16bc62075346&quot;,&quot;itemData&quot;:{&quot;type&quot;:&quot;article-journal&quot;,&quot;id&quot;:&quot;af46b1a9-c0e1-3158-8bd5-16bc62075346&quot;,&quot;title&quot;:&quot;Human Rights and Socio-Environmental Conflicts of Mining in Mexico: A Systematic Review&quot;,&quot;author&quot;:[{&quot;family&quot;:&quot;Camacho-Garza&quot;,&quot;given&quot;:&quot;Abraham&quot;,&quot;parse-names&quot;:false,&quot;dropping-particle&quot;:&quot;&quot;,&quot;non-dropping-particle&quot;:&quot;&quot;},{&quot;family&quot;:&quot;Acevedo-Sandoval&quot;,&quot;given&quot;:&quot;Otilio A&quot;,&quot;parse-names&quot;:false,&quot;dropping-particle&quot;:&quot;&quot;,&quot;non-dropping-particle&quot;:&quot;&quot;},{&quot;family&quot;:&quot;Ma Otazo-Sánchez&quot;,&quot;given&quot;:&quot;Elena&quot;,&quot;parse-names&quot;:false,&quot;dropping-particle&quot;:&quot;&quot;,&quot;non-dropping-particle&quot;:&quot;&quot;},{&quot;family&quot;:&quot;Roman-Gutiérrez&quot;,&quot;given&quot;:&quot;Alma D&quot;,&quot;parse-names&quot;:false,&quot;dropping-particle&quot;:&quot;&quot;,&quot;non-dropping-particle&quot;:&quot;&quot;},{&quot;family&quot;:&quot;Prieto-García&quot;,&quot;given&quot;:&quot;Francisco&quot;,&quot;parse-names&quot;:false,&quot;dropping-particle&quot;:&quot;&quot;,&quot;non-dropping-particle&quot;:&quot;&quot;}],&quot;URL&quot;:&quot;https://doi.org/10.3390/su14020769&quot;,&quot;issued&quot;:{&quot;date-parts&quot;:[[2022]]},&quot;abstract&quot;:&quot;Socio-environmental conflicts are situations that exemplify human rights transgressions caused by extractive activities. These are present in developing countries where extractivism, imperialism , and colonialism paradigms prevail. In the context of Mexico, criminalization, violence, and the absence of rule of law promote these conflicts, frequently aggravated by involvement with private interests. In the last 20 years, the relationship between human rights in the mining sector and its impact on the environment has been a critical research subject. This paper aims to carry out a systematic review to analyze human rights transgressions related to the mining industry's impact in Mexico, and identify factors causing socio-environmental conflicts. The current study shows a systematic analysis based on the PRISMA (Preferred Reporting Items for Systematic Reviews and Meta-Analyses) methodology. This method contributed to the collection of references that describe conflicts due to human rights transgressions and environmental damage in mining areas in Mexico. Human rights transgressions caused by mining in a Mexican context demonstrate the inability of the state to stop the increase in socio-environmental conflicts and its lack of concern towards preventing damage to the environment.&quot;,&quot;container-title-short&quot;:&quot;&quot;},&quot;isTemporary&quot;:false}],&quot;citationTag&quot;:&quot;MENDELEY_CITATION_v3_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&quot;},{&quot;citationID&quot;:&quot;MENDELEY_CITATION_d2e049f5-4f2e-449e-8712-07400a3c3480&quot;,&quot;properties&quot;:{&quot;noteIndex&quot;:0},&quot;isEdited&quot;:false,&quot;manualOverride&quot;:{&quot;isManuallyOverridden&quot;:false,&quot;citeprocText&quot;:&quot;(Tom Cheshire, 2017; Yeshey, 2019)&quot;,&quot;manualOverrideText&quot;:&quot;&quot;},&quot;citationItems&quot;:[{&quot;id&quot;:&quot;53611055-cbe9-3a35-9a0f-767d3621ca81&quot;,&quot;itemData&quot;:{&quot;type&quot;:&quot;broadcast&quot;,&quot;id&quot;:&quot;53611055-cbe9-3a35-9a0f-767d3621ca81&quot;,&quot;title&quot;:&quot;Child miners: Firm refuses to apologise over cobalt sourcing | World News | Sky News&quot;,&quot;author&quot;:[{&quot;family&quot;:&quot;Tom Cheshire&quot;,&quot;given&quot;:&quot;&quot;,&quot;parse-names&quot;:false,&quot;dropping-particle&quot;:&quot;&quot;,&quot;non-dropping-particle&quot;:&quot;&quot;}],&quot;accessed&quot;:{&quot;date-parts&quot;:[[2022,10,24]]},&quot;URL&quot;:&quot;https://news.sky.com/story/child-miners-firm-refuses-to-apologise-over-cobalt-sourcing-10785313&quot;,&quot;issued&quot;:{&quot;date-parts&quot;:[[2017,2,28]]},&quot;publisher&quot;:&quot;Sky News&quot;,&quot;container-title-short&quot;:&quot;&quot;},&quot;isTemporary&quot;:false},{&quot;id&quot;:&quot;8842f86d-7bc2-3bb5-b95d-e6de2b7d030b&quot;,&quot;itemData&quot;:{&quot;type&quot;:&quot;article-newspaper&quot;,&quot;id&quot;:&quot;8842f86d-7bc2-3bb5-b95d-e6de2b7d030b&quot;,&quot;title&quot;:&quot;Child Labour In Cobalt Mining; Apple, Tesla &amp; Others Accused Of Human Rights Violation -&quot;,&quot;author&quot;:[{&quot;family&quot;:&quot;Yeshey&quot;,&quot;given&quot;:&quot;Rabyor Yolmo&quot;,&quot;parse-names&quot;:false,&quot;dropping-particle&quot;:&quot;&quot;,&quot;non-dropping-particle&quot;:&quot;&quot;}],&quot;container-title&quot;:&quot;International Rights Advocates (IRA) &quot;,&quot;accessed&quot;:{&quot;date-parts&quot;:[[2022,10,24]]},&quot;URL&quot;:&quot;https://analyticsindiamag.com/human-rights-violation-cobalt-mines/&quot;,&quot;issued&quot;:{&quot;date-parts&quot;:[[2019,12,15]]},&quot;container-title-short&quot;:&quot;&quot;},&quot;isTemporary&quot;:false}],&quot;citationTag&quot;:&quot;MENDELEY_CITATION_v3_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&quot;},{&quot;citationID&quot;:&quot;MENDELEY_CITATION_af115c83-33e2-425a-9036-707e3994457c&quot;,&quot;properties&quot;:{&quot;noteIndex&quot;:0},&quot;isEdited&quot;:false,&quot;manualOverride&quot;:{&quot;isManuallyOverridden&quot;:false,&quot;citeprocText&quot;:&quot;(Brammer &lt;i&gt;et al.&lt;/i&gt;, 2021)&quot;,&quot;manualOverrideText&quot;:&quot;&quot;},&quot;citationItems&quot;:[{&quot;id&quot;:&quot;08757fc3-7d70-3e69-a344-66a1c894e151&quot;,&quot;itemData&quot;:{&quot;type&quot;:&quot;article-journal&quot;,&quot;id&quot;:&quot;08757fc3-7d70-3e69-a344-66a1c894e151&quot;,&quot;title&quot;:&quot;Defining and deterring corporate social irresponsibility: embracing the institutional complexity of international business&quot;,&quot;author&quot;:[{&quot;family&quot;:&quot;Brammer&quot;,&quot;given&quot;:&quot;Stephen&quot;,&quot;parse-names&quot;:false,&quot;dropping-particle&quot;:&quot;&quot;,&quot;non-dropping-particle&quot;:&quot;&quot;},{&quot;family&quot;:&quot;Nardella&quot;,&quot;given&quot;:&quot;Giulio&quot;,&quot;parse-names&quot;:false,&quot;dropping-particle&quot;:&quot;&quot;,&quot;non-dropping-particle&quot;:&quot;&quot;},{&quot;family&quot;:&quot;Surdu&quot;,&quot;given&quot;:&quot;Irina&quot;,&quot;parse-names&quot;:false,&quot;dropping-particle&quot;:&quot;&quot;,&quot;non-dropping-particle&quot;:&quot;&quot;}],&quot;container-title&quot;:&quot;Multinational Business Review&quot;,&quot;issued&quot;:{&quot;date-parts&quot;:[[2021]]},&quot;page&quot;:&quot;301-320&quot;,&quot;abstract&quot;:&quot;Purpose-This paper aims to put forward a definition of corporate social irresponsibility (CSI) which is relevant to the study of complex organizations and in particular, the multinational enterprise (MNE). This paper then offers a framework as a foundation to discuss the institutional complexity of CSI to aid international business (IB) scholars, practitioners and policymakers achieve a clearer understanding of the mechanisms that may penalize and subsequently deter MNE irresponsibility. Design/methodology/approach-In presenting the approaches taken by social regulation researchers and IB policy scholars to understand MNE irresponsibility, this paper proposes a definition of CSI and explicates the various mechanisms associated with deterring MNEs from behaving irresponsibly. Findings-Therefore, how can MNEs be deterred from behaving irresponsibly? To further the research agenda concerning CSI in IB, far less common are a definition of CSI relevant to the complex IB context; and a framework that explicates both the legal and social components of CSI, particularly as they unfold in a complex, diverse and often divergent institutional landscape. Overcoming these two primary obstacles is important because when complexities associated with CSI emerge, researchers need to be able to ascertain and expound upon what they are observing so that comparisons can be made and more MNE CSI research can be accrued over time. Research limitations/implications-To help the development of future research, we offered a more precise definition of CSI, one which is more relevant to the study of the MNE and the complex contemporary IB environment. By embracing complexities, this paper also outlines an institutional complexity approach, one which highlights both the role of formal and informal regulatory institutions. Though IB has traditionally focused on the role of formal regulation, there is much more to be unearthed by exploring the additional and concurrent influence of social regulatory institutions. Practical implications-There is a high level of heterogeneity in the motivations and modes used by MNEs to enter international markets, which likely influence efforts made by these firms to adapt to different types of formal and social institutional pressures. When firms invest significantly in a market, they have a greater economic dependence in that market and institutions have a greater opportunity to exert pressures. For instance, foreign direct investment requires a higher level of (longer-term) commitment, transfer of capital, exchange of expertise and learning, meaning that firms depend much more on local authorities to perform in the market and accomplish their goals. Social implications-Enabled by new technologies and, particularly, social media platforms, stakeholders can now engage in organized forms of regulatory activities, as is evident in the lesbian, gay, bisexual, transgender, queer, black lives matter and gender equality social activist movements. Through Complexity of international business 301&quot;,&quot;issue&quot;:&quot;3&quot;,&quot;volume&quot;:&quot;29&quot;,&quot;container-title-short&quot;:&quot;&quot;},&quot;isTemporary&quot;:false}],&quot;citationTag&quot;:&quot;MENDELEY_CITATION_v3_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&quot;},{&quot;citationID&quot;:&quot;MENDELEY_CITATION_c635e38f-09fa-45c6-b5c7-851d2ce09c72&quot;,&quot;properties&quot;:{&quot;noteIndex&quot;:0},&quot;isEdited&quot;:false,&quot;manualOverride&quot;:{&quot;isManuallyOverridden&quot;:false,&quot;citeprocText&quot;:&quot;(Bhalotra and Heady, 2000; Bose-O’Reilly &lt;i&gt;et al.&lt;/i&gt;, 2010; Gibb and O’Leary, 2014)&quot;,&quot;manualOverrideText&quot;:&quot;&quot;},&quot;citationItems&quot;:[{&quot;id&quot;:&quot;c253f3f2-ac94-321b-8394-6ec34a7468d9&quot;,&quot;itemData&quot;:{&quot;type&quot;:&quot;article-journal&quot;,&quot;id&quot;:&quot;c253f3f2-ac94-321b-8394-6ec34a7468d9&quot;,&quot;title&quot;:&quot;Earlier versions appeared as Discussion Papers in the World Bank Social Protection series&quot;,&quot;author&quot;:[{&quot;family&quot;:&quot;Bhalotra&quot;,&quot;given&quot;:&quot;Sonia&quot;,&quot;parse-names&quot;:false,&quot;dropping-particle&quot;:&quot;&quot;,&quot;non-dropping-particle&quot;:&quot;&quot;},{&quot;family&quot;:&quot;Heady&quot;,&quot;given&quot;:&quot;Christopher&quot;,&quot;parse-names&quot;:false,&quot;dropping-particle&quot;:&quot;&quot;,&quot;non-dropping-particle&quot;:&quot;&quot;}],&quot;container-title&quot;:&quot;The world bank economic review&quot;,&quot;container-title-short&quot;:&quot;World Bank Econ Rev&quot;,&quot;accessed&quot;:{&quot;date-parts&quot;:[[2023,5,10]]},&quot;DOI&quot;:&quot;10.1093/wber/lhg017&quot;,&quot;issued&quot;:{&quot;date-parts&quot;:[[2000]]},&quot;page&quot;:&quot;197-227&quot;,&quot;abstract&quot;:&quot;This article is motivated by the remarkable observation that children of land-rich households are often more likely to be in work than the children of land-poor households. The vast majority of working children in developing economies are in agricultural work, predominantly on farms operated by their families. Land is the most important store of wealth in agrarian societies, and it is typically distributed very unequally. These facts challenge the common presumption that child labor emerges from the poorest households. This article suggests that this apparent paradox can be explained by failures of the markets for labor and land. Credit market failure will tend to weaken the force of this paradox. These effects are modeled and estimates obtained using survey data from rural Pakistan and Ghana. The main result is that the wealth paradox persists for girls in both countries, whereas for boys it disappears after conditioning on other covariates. This article is motivated to explain the remarkable observation that on average children in land-rich households are more likely to work and less likely to attend school than children in land-poor households. This phenomenon is referred to here as the wealth paradox. We observe this tendency in household survey data for rural areas of both Ghana and Pakista. Land is the most important store of wealth in agrarian societies and a substantial fraction of households do not own land; this challenges the commonly held presumption that child labor involves the poorest households (for example, U.S. Department of Labor 2000, Basu and Van 1998).&quot;,&quot;issue&quot;:&quot;2&quot;,&quot;volume&quot;:&quot;17&quot;},&quot;isTemporary&quot;:false},{&quot;id&quot;:&quot;d7e4c477-01e0-3f9b-b41d-3685e77819e0&quot;,&quot;itemData&quot;:{&quot;type&quot;:&quot;article&quot;,&quot;id&quot;:&quot;d7e4c477-01e0-3f9b-b41d-3685e77819e0&quot;,&quot;title&quot;:&quot;Mercury exposure and children's health&quot;,&quot;author&quot;:[{&quot;family&quot;:&quot;Bose-O'Reilly&quot;,&quot;given&quot;:&quot;Stephan&quot;,&quot;parse-names&quot;:false,&quot;dropping-particle&quot;:&quot;&quot;,&quot;non-dropping-particle&quot;:&quot;&quot;},{&quot;family&quot;:&quot;McCarty&quot;,&quot;given&quot;:&quot;Kathleen M.&quot;,&quot;parse-names&quot;:false,&quot;dropping-particle&quot;:&quot;&quot;,&quot;non-dropping-particle&quot;:&quot;&quot;},{&quot;family&quot;:&quot;Steckling&quot;,&quot;given&quot;:&quot;Nadine&quot;,&quot;parse-names&quot;:false,&quot;dropping-particle&quot;:&quot;&quot;,&quot;non-dropping-particle&quot;:&quot;&quot;},{&quot;family&quot;:&quot;Lettmeier&quot;,&quot;given&quot;:&quot;Beate&quot;,&quot;parse-names&quot;:false,&quot;dropping-particle&quot;:&quot;&quot;,&quot;non-dropping-particle&quot;:&quot;&quot;}],&quot;container-title&quot;:&quot;Current Problems in Pediatric and Adolescent Health Care&quot;,&quot;container-title-short&quot;:&quot;Curr Probl Pediatr Adolesc Health Care&quot;,&quot;DOI&quot;:&quot;10.1016/j.cppeds.2010.07.002&quot;,&quot;ISSN&quot;:&quot;15385442&quot;,&quot;PMID&quot;:&quot;20816346&quot;,&quot;issued&quot;:{&quot;date-parts&quot;:[[2010]]},&quot;page&quot;:&quot;186-215&quot;,&quot;abstract&quot;:&quot;Acute or chronic mercury exposure can cause adverse effects during any period of development. Mercury is a highly toxic element; there is no known safe level of exposure. Ideally, neither children nor adults should have any mercury in their bodies because it provides no physiological benefit. Prenatal and postnatal mercury exposures occur frequently in many different ways. Pediatricians, nurses, and other health care providers should understand the scope of mercury exposures and health problems among children and be prepared to handle mercury exposures in medical practice. Prevention is the key to reducing mercury poisoning. Mercury exists in different chemical forms: elemental (or metallic), inorganic, and organic (methylmercury and ethyl mercury). Mercury exposure can cause acute and chronic intoxication at low levels of exposure. Mercury is neuro-, nephro-, and immunotoxic. The development of the child in utero and early in life is at particular risk. Mercury is ubiquitous and persistent. Mercury is a global pollutant, bio-accumulating, mainly through the aquatic food chain, resulting in a serious health hazard for children. This article provides an extensive review of mercury exposure and children's health. © 2010 Mosby, Inc. All rights reserved.&quot;,&quot;publisher&quot;:&quot;Mosby Inc.&quot;,&quot;issue&quot;:&quot;8&quot;,&quot;volume&quot;:&quot;40&quot;},&quot;isTemporary&quot;:false},{&quot;id&quot;:&quot;df1ee962-92cf-3ee9-aa5d-735601101b72&quot;,&quot;itemData&quot;:{&quot;type&quot;:&quot;article&quot;,&quot;id&quot;:&quot;df1ee962-92cf-3ee9-aa5d-735601101b72&quot;,&quot;title&quot;:&quot;Mercury exposure and health impacts among individuals in the artisanal and small-scale gold mining community: A comprehensive review&quot;,&quot;author&quot;:[{&quot;family&quot;:&quot;Gibb&quot;,&quot;given&quot;:&quot;Herman&quot;,&quot;parse-names&quot;:false,&quot;dropping-particle&quot;:&quot;&quot;,&quot;non-dropping-particle&quot;:&quot;&quot;},{&quot;family&quot;:&quot;O'Leary&quot;,&quot;given&quot;:&quot;Keri Grace&quot;,&quot;parse-names&quot;:false,&quot;dropping-particle&quot;:&quot;&quot;,&quot;non-dropping-particle&quot;:&quot;&quot;}],&quot;container-title&quot;:&quot;Environmental Health Perspectives&quot;,&quot;container-title-short&quot;:&quot;Environ Health Perspect&quot;,&quot;DOI&quot;:&quot;10.1289/ehp.1307864&quot;,&quot;ISSN&quot;:&quot;15529924&quot;,&quot;PMID&quot;:&quot;24682486&quot;,&quot;issued&quot;:{&quot;date-parts&quot;:[[2014]]},&quot;page&quot;:&quot;667-672&quot;,&quot;abstract&quot;:&quot;Background: Mercury (Hg) is used in gold mining to extract gold from ore by forming \&quot;amalgam\&quot;-a mixture composed of approximately equal parts mercury and gold. Approximately 15 million people, including approximately 3 million women and children, participate in artisanal small-scale gold mining (ASGM) in developing countries. Thirty-seven percent of global air emissions of Hg are produced by ASGM. The recently adopted Minamata Convention calls for nations to gather health data, train health-care workers, and raise awareness in regard to ASGM activity. Objective: The purpose of our review was to evaluate the current literature regarding the health effects of Hg among those working and/or living in or near ASGM communities. Methods: We searched PubMed, ScienceDirect, and Google Scholar for studies relating to health effects and biomarkers of Hg exposure in ASGM communities. Articles published from 1990 through December 2012 were evaluated for relevance. Discussion: Studies reporting health assessments, kidney dysfunction, neurological disorders and symptoms, and immunotoxicity/autoimmune dysfunction in individuals living in or near an ASGM community were identified. More than 60 studies that measured biomarkers of Hg exposure in individuals living in or near ASGM communities were also identified. These studies, conducted in 19 different countries in South America, Asia, and Africa, demonstrated that hair and urine concentrations are well above World Health Organization health guidance values in ASGM communities. Conclusions: ASGM workers and their families are exposed to Hg vapor, and workers, workers' families, and residents of nearby and downstream communities are consuming fish heavily contaminated with methylmercury.&quot;,&quot;publisher&quot;:&quot;Public Health Services, US Dept of Health and Human Services&quot;,&quot;issue&quot;:&quot;7&quot;,&quot;volume&quot;:&quot;122&quot;},&quot;isTemporary&quot;:false}],&quot;citationTag&quot;:&quot;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&quot;},{&quot;citationID&quot;:&quot;MENDELEY_CITATION_17c5aad8-97f1-4d5b-86d7-9930ad9d90ca&quot;,&quot;properties&quot;:{&quot;noteIndex&quot;:0},&quot;isEdited&quot;:false,&quot;manualOverride&quot;:{&quot;isManuallyOverridden&quot;:false,&quot;citeprocText&quot;:&quot;(Edmonds and Pavcnik, 2006)&quot;,&quot;manualOverrideText&quot;:&quot;&quot;},&quot;citationItems&quot;:[{&quot;id&quot;:&quot;d6ac2267-e36a-300b-b695-5ec9073f6f49&quot;,&quot;itemData&quot;:{&quot;type&quot;:&quot;article-journal&quot;,&quot;id&quot;:&quot;d6ac2267-e36a-300b-b695-5ec9073f6f49&quot;,&quot;title&quot;:&quot;International trade and child labour: Cross-country evidence&quot;,&quot;author&quot;:[{&quot;family&quot;:&quot;Edmonds&quot;,&quot;given&quot;:&quot;Eric&quot;,&quot;parse-names&quot;:false,&quot;dropping-particle&quot;:&quot;V&quot;,&quot;non-dropping-particle&quot;:&quot;&quot;},{&quot;family&quot;:&quot;Pavcnik&quot;,&quot;given&quot;:&quot;Nina&quot;,&quot;parse-names&quot;:false,&quot;dropping-particle&quot;:&quot;&quot;,&quot;non-dropping-particle&quot;:&quot;&quot;}],&quot;container-title&quot;:&quot;Journal of International Economics&quot;,&quot;accessed&quot;:{&quot;date-parts&quot;:[[2022,11,26]]},&quot;URL&quot;:&quot;www.elsevier.com/locate/econbase&quot;,&quot;issued&quot;:{&quot;date-parts&quot;:[[2006]]},&quot;page&quot;:&quot;115-140&quot;,&quot;abstract&quot;:&quot;We explore the relationship between exposure to trade (as measured by openness) and child labor in a crosscountry setting. Our methodology accounts for the fact that trade flows are endogenous to child labor (and labor standards more generally) by examining the relationship between child labor and variation in trade based on geography. We find that countries that trade more have less child labor. At the crosscountry means, the data suggest an openness elasticity of child labor of À 0.7. For low-income countries, the elasticity of child labor with respect to trade with high-income countries is À 0.9. However, these relationships appear to be largely attributable to the positive association between trade and income. We consistently find a small and statistically insignificant association between openness and child labor when we control for crosscountry income differences in the full sample, when we split the sample into different country groups, consider only trade between high-and low-income countries, or focus on exports of unskilled-labor intensive products from low-income countries. Thus, the crosscountry data do not substantiate assertions that trade per se plays a significant role in perpetuating the high levels of child labor that pervade low-income countries.&quot;,&quot;volume&quot;:&quot;68&quot;,&quot;container-title-short&quot;:&quot;J Int Econ&quot;},&quot;isTemporary&quot;:false}],&quot;citationTag&quot;:&quot;MENDELEY_CITATION_v3_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&quot;},{&quot;citationID&quot;:&quot;MENDELEY_CITATION_cd5c25bc-6c02-420e-87ab-4b8ae27db3df&quot;,&quot;properties&quot;:{&quot;noteIndex&quot;:0},&quot;isEdited&quot;:false,&quot;manualOverride&quot;:{&quot;isManuallyOverridden&quot;:false,&quot;citeprocText&quot;:&quot;(ILO, 2025)&quot;,&quot;manualOverrideText&quot;:&quot;&quot;},&quot;citationItems&quot;:[{&quot;id&quot;:&quot;b29622d0-16e9-3e60-8d70-09d5681c0c10&quot;,&quot;itemData&quot;:{&quot;type&quot;:&quot;book&quot;,&quot;id&quot;:&quot;b29622d0-16e9-3e60-8d70-09d5681c0c10&quot;,&quot;title&quot;:&quot;Child labour: Global estimates 2024, trends and the road forward&quot;,&quot;author&quot;:[{&quot;family&quot;:&quot;ILO&quot;,&quot;given&quot;:&quot;&quot;,&quot;parse-names&quot;:false,&quot;dropping-particle&quot;:&quot;&quot;,&quot;non-dropping-particle&quot;:&quot;&quot;}],&quot;ISBN&quot;:&quot;9789220422472&quot;,&quot;issued&quot;:{&quot;date-parts&quot;:[[2025]]},&quot;number-of-pages&quot;:&quot;1-62&quot;,&quot;publisher&quot;:&quot;International Labour Organization and United Nations Children’s Fund&quot;,&quot;container-title-short&quot;:&quot;&quot;},&quot;isTemporary&quot;:false}],&quot;citationTag&quot;:&quot;MENDELEY_CITATION_v3_eyJjaXRhdGlvbklEIjoiTUVOREVMRVlfQ0lUQVRJT05fY2Q1YzI1YmMtNmMwMi00MjBlLTg3YWItNGI4YWUyN2RiM2RmIiwicHJvcGVydGllcyI6eyJub3RlSW5kZXgiOjB9LCJpc0VkaXRlZCI6ZmFsc2UsIm1hbnVhbE92ZXJyaWRlIjp7ImlzTWFudWFsbHlPdmVycmlkZGVuIjpmYWxzZSwiY2l0ZXByb2NUZXh0IjoiKElMTywgMjAyNSkiLCJtYW51YWxPdmVycmlkZVRleHQiOiI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quot;},{&quot;citationID&quot;:&quot;MENDELEY_CITATION_4516fe12-46e1-40b2-80d1-428deced032a&quot;,&quot;properties&quot;:{&quot;noteIndex&quot;:0},&quot;isEdited&quot;:false,&quot;manualOverride&quot;:{&quot;isManuallyOverridden&quot;:true,&quot;citeprocText&quot;:&quot;(ILO, 2025)&quot;,&quot;manualOverrideText&quot;:&quot;ILO (2025, p.22)&quot;},&quot;citationItems&quot;:[{&quot;id&quot;:&quot;b29622d0-16e9-3e60-8d70-09d5681c0c10&quot;,&quot;itemData&quot;:{&quot;type&quot;:&quot;book&quot;,&quot;id&quot;:&quot;b29622d0-16e9-3e60-8d70-09d5681c0c10&quot;,&quot;title&quot;:&quot;Child labour: Global estimates 2024, trends and the road forward&quot;,&quot;author&quot;:[{&quot;family&quot;:&quot;ILO&quot;,&quot;given&quot;:&quot;&quot;,&quot;parse-names&quot;:false,&quot;dropping-particle&quot;:&quot;&quot;,&quot;non-dropping-particle&quot;:&quot;&quot;}],&quot;ISBN&quot;:&quot;9789220422472&quot;,&quot;issued&quot;:{&quot;date-parts&quot;:[[2025]]},&quot;number-of-pages&quot;:&quot;1-62&quot;,&quot;publisher&quot;:&quot;International Labour Organization and United Nations Children’s Fund&quot;,&quot;container-title-short&quot;:&quot;&quot;},&quot;isTemporary&quot;:false}],&quot;citationTag&quot;:&quot;MENDELEY_CITATION_v3_eyJjaXRhdGlvbklEIjoiTUVOREVMRVlfQ0lUQVRJT05fNDUxNmZlMTItNDZlMS00MGIyLTgwZDEtNDI4ZGVjZWQwMzJhIiwicHJvcGVydGllcyI6eyJub3RlSW5kZXgiOjB9LCJpc0VkaXRlZCI6ZmFsc2UsIm1hbnVhbE92ZXJyaWRlIjp7ImlzTWFudWFsbHlPdmVycmlkZGVuIjp0cnVlLCJjaXRlcHJvY1RleHQiOiIoSUxPLCAyMDI1KSIsIm1hbnVhbE92ZXJyaWRlVGV4dCI6IklMTyAoMjAyNSwgcC4yMik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quot;},{&quot;citationID&quot;:&quot;MENDELEY_CITATION_016373b3-9313-4da3-8657-b808bf5e7dd4&quot;,&quot;properties&quot;:{&quot;noteIndex&quot;:0},&quot;isEdited&quot;:false,&quot;manualOverride&quot;:{&quot;isManuallyOverridden&quot;:false,&quot;citeprocText&quot;:&quot;(Siddiqui &lt;i&gt;et al.&lt;/i&gt;, 2020)&quot;,&quot;manualOverrideText&quot;:&quot;&quot;},&quot;citationItems&quot;:[{&quot;id&quot;:&quot;d8b26033-ef46-3de4-9b31-b62476272277&quot;,&quot;itemData&quot;:{&quot;type&quot;:&quot;article-journal&quot;,&quot;id&quot;:&quot;d8b26033-ef46-3de4-9b31-b62476272277&quot;,&quot;title&quot;:&quot;Private governance responsibilization in global supply chains: the case of Rana Plaza&quot;,&quot;author&quot;:[{&quot;family&quot;:&quot;Siddiqui&quot;,&quot;given&quot;:&quot;Javed&quot;,&quot;parse-names&quot;:false,&quot;dropping-particle&quot;:&quot;&quot;,&quot;non-dropping-particle&quot;:&quot;&quot;},{&quot;family&quot;:&quot;McPhail&quot;,&quot;given&quot;:&quot;Kenneth&quot;,&quot;parse-names&quot;:false,&quot;dropping-particle&quot;:&quot;&quot;,&quot;non-dropping-particle&quot;:&quot;&quot;},{&quot;family&quot;:&quot;Rahman&quot;,&quot;given&quot;:&quot;Sharmin Shabnam&quot;,&quot;parse-names&quot;:false,&quot;dropping-particle&quot;:&quot;&quot;,&quot;non-dropping-particle&quot;:&quot;&quot;}],&quot;container-title&quot;:&quot;Accounting, Auditing and Accountability Journal&quot;,&quot;issued&quot;:{&quot;date-parts&quot;:[[2020,10,20]]},&quot;page&quot;:&quot;1569-1594&quot;,&quot;abstract&quot;:&quot;Purpose: The paper explores the emergence of private sector responsibilisation for tackling governance issues in a global supply chain. The infamous case of the Rana Plaza collapse in Bangladesh is used to investigate the ways a frameshift, triggered by a manmade disaster, can potentially influence the effectiveness of the certification process in a research site characterised by the presence of a strong state-business nexus. Design/methodology/approach: The empirical work for this paper is based 24 semi-structured interviews with owners, managers, operators, independent inspectors in the ready-made garments (RMG) industry in Bangladesh between 2014 and 2018. We also analyse a range of archival materials. For the purpose of data analysis, we adopted an exploratory flexible pattern matching design with nested template analysis (Sinkovics et al., 2019). Findings: Our analysis suggests that the magnitude of the Rana Plaza collapse triggered several frameshifts in multinational corporations approach towards labour governance in Bangladesh. Subsequently, a responsibility framework for the private sector was created, resulting in significant improvements in working conditions in the sector. However, the sustainability of the labour governance mechanisms was significantly affected by the state's ability to play the role of catalyst in the process, mainly due to the presence of a significant state-business nexus. Originality/value: We find that broadening the scope of sustainability accounting and assurance process can allow social auditors to play a more meaningful role in triggering collective actions to address labour governance issues in supply chains. However, in a context defined by the presence of a state-business nexus, the sustainability of such a process largely depends on the willingness of the state to play the role of a catalyst.&quot;,&quot;publisher&quot;:&quot;Emerald Group Holdings Ltd.&quot;,&quot;issue&quot;:&quot;7&quot;,&quot;volume&quot;:&quot;33&quot;,&quot;container-title-short&quot;:&quot;&quot;},&quot;isTemporary&quot;:false}],&quot;citationTag&quot;:&quot;MENDELEY_CITATION_v3_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&quot;},{&quot;citationID&quot;:&quot;MENDELEY_CITATION_be2e46c3-7cb6-4179-bb3d-b0c4771305a6&quot;,&quot;properties&quot;:{&quot;noteIndex&quot;:0},&quot;isEdited&quot;:false,&quot;manualOverride&quot;:{&quot;isManuallyOverridden&quot;:false,&quot;citeprocText&quot;:&quot;(Christ &lt;i&gt;et al.&lt;/i&gt;, 2022)&quot;,&quot;manualOverrideText&quot;:&quot;&quot;},&quot;citationItems&quot;:[{&quot;id&quot;:&quot;85c2bb89-5065-31b6-bd1c-c3441af224c7&quot;,&quot;itemData&quot;:{&quot;type&quot;:&quot;article-journal&quot;,&quot;id&quot;:&quot;85c2bb89-5065-31b6-bd1c-c3441af224c7&quot;,&quot;title&quot;:&quot;Modern Slavery disclosure in mining: A comparison comparison of large UK and Australian compan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Prider&quot;,&quot;given&quot;:&quot;H&quot;,&quot;parse-names&quot;:false,&quot;dropping-particle&quot;:&quot;&quot;,&quot;non-dropping-particle&quot;:&quot;&quot;}],&quot;container-title&quot;:&quot;Jounal of Behavioural economics and social systems&quot;,&quot;URL&quot;:&quot;www.globalaccesspartners.org&quot;,&quot;issued&quot;:{&quot;date-parts&quot;:[[2022]]},&quot;page&quot;:&quot;23-40&quot;,&quot;volume&quot;:&quot;4&quot;,&quot;container-title-short&quot;:&quot;&quot;},&quot;isTemporary&quot;:false}],&quot;citationTag&quot;:&quot;MENDELEY_CITATION_v3_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&quot;},{&quot;citationID&quot;:&quot;MENDELEY_CITATION_c67e2f0e-fa48-4018-beeb-243aa7cf2792&quot;,&quot;properties&quot;:{&quot;noteIndex&quot;:0},&quot;isEdited&quot;:false,&quot;manualOverride&quot;:{&quot;isManuallyOverridden&quot;:false,&quot;citeprocText&quot;:&quot;(BBC News, 2021)&quot;,&quot;manualOverrideText&quot;:&quot;&quot;},&quot;citationItems&quot;:[{&quot;id&quot;:&quot;f75d5e9f-fd53-3905-98ae-45210364a363&quot;,&quot;itemData&quot;:{&quot;type&quot;:&quot;webpage&quot;,&quot;id&quot;:&quot;f75d5e9f-fd53-3905-98ae-45210364a363&quot;,&quot;title&quot;:&quot;Shein suppliers' workers doing 75-hour week, finds probe - BBC News&quot;,&quot;author&quot;:[{&quot;family&quot;:&quot;BBC News&quot;,&quot;given&quot;:&quot;&quot;,&quot;parse-names&quot;:false,&quot;dropping-particle&quot;:&quot;&quot;,&quot;non-dropping-particle&quot;:&quot;&quot;}],&quot;accessed&quot;:{&quot;date-parts&quot;:[[2023,5,18]]},&quot;URL&quot;:&quot;https://www.bbc.co.uk/news/business-59245708&quot;,&quot;issued&quot;:{&quot;date-parts&quot;:[[2021,11,12]]},&quot;container-title-short&quot;:&quot;&quot;},&quot;isTemporary&quot;:false}],&quot;citationTag&quot;:&quot;MENDELEY_CITATION_v3_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&quot;},{&quot;citationID&quot;:&quot;MENDELEY_CITATION_f7405e3b-3389-4db2-916b-be459edb11ce&quot;,&quot;properties&quot;:{&quot;noteIndex&quot;:0},&quot;isEdited&quot;:false,&quot;manualOverride&quot;:{&quot;isManuallyOverridden&quot;:true,&quot;citeprocText&quot;:&quot;(Business and human rights resource centre, 2019)&quot;,&quot;manualOverrideText&quot;:&quot;(BHRRC, 2019)&quot;},&quot;citationItems&quot;:[{&quot;id&quot;:&quot;63e9bbc1-6ed9-3714-b18b-ef4b6e0359ad&quot;,&quot;itemData&quot;:{&quot;type&quot;:&quot;webpage&quot;,&quot;id&quot;:&quot;63e9bbc1-6ed9-3714-b18b-ef4b6e0359ad&quot;,&quot;title&quot;:&quot;China: Apple accused of violating labour laws as employees at iPhone factory found working 100 hours of overtime &amp; being ‘punished’ for not meeting targets; Incl. co. comments - Business &amp; Human Rights Resource Centre&quot;,&quot;author&quot;:[{&quot;family&quot;:&quot;Business and human rights resource centre&quot;,&quot;given&quot;:&quot;&quot;,&quot;parse-names&quot;:false,&quot;dropping-particle&quot;:&quot;&quot;,&quot;non-dropping-particle&quot;:&quot;&quot;}],&quot;accessed&quot;:{&quot;date-parts&quot;:[[2022,9,22]]},&quot;URL&quot;:&quot;https://www.business-humanrights.org/en/latest-news/china-apple-accused-of-violating-labour-laws-as-employees-at-iphone-factory-found-working-100-hours-of-overtime-being-punished-for-not-meeting-targets-incl-co-comments/&quot;,&quot;issued&quot;:{&quot;date-parts&quot;:[[2019]]},&quot;container-title-short&quot;:&quot;&quot;},&quot;isTemporary&quot;:false}],&quot;citationTag&quot;:&quot;MENDELEY_CITATION_v3_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&quot;},{&quot;citationID&quot;:&quot;MENDELEY_CITATION_bdd63716-6fe5-4cc0-8366-883ce2ae108f&quot;,&quot;properties&quot;:{&quot;noteIndex&quot;:0},&quot;isEdited&quot;:false,&quot;manualOverride&quot;:{&quot;isManuallyOverridden&quot;:false,&quot;citeprocText&quot;:&quot;(Akhter &lt;i&gt;et al.&lt;/i&gt;, 2019)&quot;,&quot;manualOverrideText&quot;:&quot;&quot;},&quot;citationItems&quot;:[{&quot;id&quot;:&quot;45cf73f9-b3b2-3633-a1e4-eb89f649919a&quot;,&quot;itemData&quot;:{&quot;type&quot;:&quot;article-journal&quot;,&quot;id&quot;:&quot;45cf73f9-b3b2-3633-a1e4-eb89f649919a&quot;,&quot;title&quot;:&quot;Sufferings in silence: Violence against female workers in the ready-made garment industry in Bangladesh: A qualitative exploration&quot;,&quot;author&quot;:[{&quot;family&quot;:&quot;Akhter&quot;,&quot;given&quot;:&quot;Sadika&quot;,&quot;parse-names&quot;:false,&quot;dropping-particle&quot;:&quot;&quot;,&quot;non-dropping-particle&quot;:&quot;&quot;},{&quot;family&quot;:&quot;Rutherford&quot;,&quot;given&quot;:&quot;Shannon&quot;,&quot;parse-names&quot;:false,&quot;dropping-particle&quot;:&quot;&quot;,&quot;non-dropping-particle&quot;:&quot;&quot;},{&quot;family&quot;:&quot;Chu&quot;,&quot;given&quot;:&quot;Cordia&quot;,&quot;parse-names&quot;:false,&quot;dropping-particle&quot;:&quot;&quot;,&quot;non-dropping-particle&quot;:&quot;&quot;}],&quot;container-title&quot;:&quot;Women's Health&quot;,&quot;ISSN&quot;:&quot;17455065&quot;,&quot;PMID&quot;:&quot;31856698&quot;,&quot;issued&quot;:{&quot;date-parts&quot;:[[2019]]},&quot;abstract&quot;:&quot;Introduction: Despite the improved safety of the ready-made garment industry in Bangladesh since 2013, other workplace health and safety issues in the ready-made garment industry continue, especially violence towards female workers. This article examines this violence as well as the social norms and attitudes of key stakeholders underpinning it. Methods: Data were collected in four ready-made garment factories in Bangladesh through in-depth interviews, focus group discussions with female workers and key-informant interviews with different stakeholders, along with factory observations. Results: Findings were analysed thematically. Female workers described personal experience of violence in the workplace: physical and verbal abuse, constant pressure, other personal restrictions and withholding of pay. They did not make complaints for fear of losing their jobs. Supervisors characterized the women as ‘disobedient,’ ‘uncooperative’ and ‘unwilling’ to work and viewed their behaviour as acceptable. Other stakeholders ignored these problems. Conclusion: Finally, this study suggests how the findings encourage action to prevent violence in the workplace in order to address the emerging occupational health problems in Bangladesh.&quot;,&quot;publisher&quot;:&quot;SAGE Publications Ltd&quot;,&quot;volume&quot;:&quot;15&quot;,&quot;container-title-short&quot;:&quot;&quot;},&quot;isTemporary&quot;:false}],&quot;citationTag&quot;:&quot;MENDELEY_CITATION_v3_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&quot;},{&quot;citationID&quot;:&quot;MENDELEY_CITATION_4af99ce5-5f12-4248-bbe4-7b0e98f0750f&quot;,&quot;properties&quot;:{&quot;noteIndex&quot;:0},&quot;isEdited&quot;:false,&quot;manualOverride&quot;:{&quot;isManuallyOverridden&quot;:true,&quot;citeprocText&quot;:&quot;(Haque and Azmat, 2015; Hayashi, 1992; Islam and Jain, 2013)&quot;,&quot;manualOverrideText&quot;:&quot;(Ahmed and Alawattage, 2023; Haque and Azmat, 2015; Hayashi, 1992; Islam and Jain, 2013)&quot;},&quot;citationItems&quot;:[{&quot;id&quot;:&quot;71fb9d2c-16b8-362f-a25f-666fd185897e&quot;,&quot;itemData&quot;:{&quot;type&quot;:&quot;article-journal&quot;,&quot;id&quot;:&quot;71fb9d2c-16b8-362f-a25f-666fd185897e&quot;,&quot;title&quot;:&quot;Corporate social responsibility, economic globalization and developing countries A case study of the ready made garments industry in Bangladesh&quot;,&quot;author&quot;:[{&quot;family&quot;:&quot;Haque&quot;,&quot;given&quot;:&quot;Mohammed Ziaul&quot;,&quot;parse-names&quot;:false,&quot;dropping-particle&quot;:&quot;&quot;,&quot;non-dropping-particle&quot;:&quot;&quot;},{&quot;family&quot;:&quot;Azmat&quot;,&quot;given&quot;:&quot;Fara&quot;,&quot;parse-names&quot;:false,&quot;dropping-particle&quot;:&quot;&quot;,&quot;non-dropping-particle&quot;:&quot;&quot;}],&quot;container-title&quot;:&quot; Sustainability accounting, management and policy journal.&quot;,&quot;accessed&quot;:{&quot;date-parts&quot;:[[2022,8,5]]},&quot;issued&quot;:{&quot;date-parts&quot;:[[2015]]},&quot;page&quot;:&quot;166-189&quot;,&quot;abstract&quot;:&quot;Purpose-This paper aims to examine the state of corporate social responsibility (CSR) in labour-intensive industries in developing countries in the context of economic globalization. Using the ready-made garments' (RMG) industry in Bangladesh as a case study, challenges and key issues relating to CSR are highlighted. Design/methodology/approach-The paper draws from the review of existing literature, and the content analysis of two leading newspapers in Bangladesh for a period of one year (to identify the key and contemporary issues related to CSR in the RMG industry. Findings-Findings identify the contemporary issues of concerns associated with CSR in the RMG industry, relating them to the debate on the applicability of Carroll's CSR pyramid to developing countries. The findings suggest that non-compliance of CSR in labour-intensive industries is a function of the nature of economic globalization. The need for a stakeholder approach towards CSR for the profitability and sustainability of this industry is also highlighted. Practical implications-This paper makes contributions to two different but important interrelated discourses on CSR and economic globalization. It also provides insights into the complexity involved in CSR in labour-based export industries in developing countries and acts as a springboard for further research. Originality/value-The paper is the first to look at all major issues of concern regarding CSR in the RMG industry in Bangladesh. As Bangladesh is an exemplar of developing countries and RMG is a typical starter industry, the findings are generalizable to similar industries in other developing countries.&quot;,&quot;issue&quot;:&quot;2&quot;,&quot;volume&quot;:&quot;6&quot;,&quot;container-title-short&quot;:&quot;&quot;},&quot;isTemporary&quot;:false},{&quot;id&quot;:&quot;19a01e05-025a-30cc-8cf6-999eba536d04&quot;,&quot;itemData&quot;:{&quot;type&quot;:&quot;article&quot;,&quot;id&quot;:&quot;19a01e05-025a-30cc-8cf6-999eba536d04&quot;,&quot;title&quot;:&quot;Workplace human rights reporting: A study of Australian garment and retail companies&quot;,&quot;author&quot;:[{&quot;family&quot;:&quot;Islam&quot;,&quot;given&quot;:&quot;Muhammad  Azizul&quot;,&quot;parse-names&quot;:false,&quot;dropping-particle&quot;:&quot;&quot;,&quot;non-dropping-particle&quot;:&quot;&quot;},{&quot;family&quot;:&quot;Jain&quot;,&quot;given&quot;:&quot;Ameeta&quot;,&quot;parse-names&quot;:false,&quot;dropping-particle&quot;:&quot;&quot;,&quot;non-dropping-particle&quot;:&quot;&quot;}],&quot;container-title&quot;:&quot;Australian Accounting Review&quot;,&quot;issued&quot;:{&quot;date-parts&quot;:[[2013,6]]},&quot;page&quot;:&quot;102-116&quot;,&quot;abstract&quot;:&quot;The opening of the Australian economy in a globalised world has led to Australian garment and retail corporations moving their manufacturing overseas and acquiring goods from overseas providers. This is usually better for the corporations' bottom-line, as they can purchase goods overseas at a fraction of their local cost, partly due to cheap labour. Australia is one of the many OECD countries not to have a well regulated environment for workplace human rights. This study examines 18 major Australian retail and garment manufacturing corporations and finds that workplace human rights reporting is poor, based on content analysis of their annual reports, corporate social responsibility reports and websites. This is probably due to the failure of the Australian Government to provide adequate oversight by promulgating mandatory reporting standards for both local and overseas operations of Australian companies. This permits corporations to avoid reporting their workplace human rights standards and breaches.© 2013 CPA Australia.&quot;,&quot;issue&quot;:&quot;2&quot;,&quot;volume&quot;:&quot;23&quot;,&quot;container-title-short&quot;:&quot;&quot;},&quot;isTemporary&quot;:false},{&quot;id&quot;:&quot;9636bbdf-12c6-3503-89b4-bca6fa28478b&quot;,&quot;itemData&quot;:{&quot;type&quot;:&quot;article-journal&quot;,&quot;id&quot;:&quot;9636bbdf-12c6-3503-89b4-bca6fa28478b&quot;,&quot;title&quot;:&quot;Preventing Human Rights Abuses in the USA Garment Industry: A Proposed Amendment to the Fair Labour Standards Act&quot;,&quot;author&quot;:[{&quot;family&quot;:&quot;Hayashi&quot;,&quot;given&quot;:&quot;Dennis&quot;,&quot;parse-names&quot;:false,&quot;dropping-particle&quot;:&quot;&quot;,&quot;non-dropping-particle&quot;:&quot;&quot;}],&quot;issued&quot;:{&quot;date-parts&quot;:[[1992]]},&quot;container-title-short&quot;:&quot;&quot;},&quot;isTemporary&quot;:false}],&quot;citationTag&quot;:&quot;MENDELEY_CITATION_v3_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&quot;},{&quot;citationID&quot;:&quot;MENDELEY_CITATION_a0141501-e30d-48c5-8110-715064d4a701&quot;,&quot;properties&quot;:{&quot;noteIndex&quot;:0},&quot;isEdited&quot;:false,&quot;manualOverride&quot;:{&quot;isManuallyOverridden&quot;:true,&quot;citeprocText&quot;:&quot;(BBC News, 2023)&quot;,&quot;manualOverrideText&quot;:&quot;BBC News (2023)&quot;},&quot;citationItems&quot;:[{&quot;id&quot;:&quot;70775bbb-99ae-3d86-a85e-09a36edc4dbe&quot;,&quot;itemData&quot;:{&quot;type&quot;:&quot;webpage&quot;,&quot;id&quot;:&quot;70775bbb-99ae-3d86-a85e-09a36edc4dbe&quot;,&quot;title&quot;:&quot;Africa Eye in Kenya: Sex for work: The true cost of our tea &quot;,&quot;author&quot;:[{&quot;family&quot;:&quot;BBC News&quot;,&quot;given&quot;:&quot;&quot;,&quot;parse-names&quot;:false,&quot;dropping-particle&quot;:&quot;&quot;,&quot;non-dropping-particle&quot;:&quot;&quot;}],&quot;accessed&quot;:{&quot;date-parts&quot;:[[2023,5,18]]},&quot;URL&quot;:&quot;https://www.bbc.co.uk/news/av/world-africa-64699267&quot;,&quot;issued&quot;:{&quot;date-parts&quot;:[[2023,2,20]]},&quot;container-title-short&quot;:&quot;&quot;},&quot;isTemporary&quot;:false}],&quot;citationTag&quot;:&quot;MENDELEY_CITATION_v3_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&quot;},{&quot;citationID&quot;:&quot;MENDELEY_CITATION_12613baa-cd72-404b-bc7e-87f337f060a6&quot;,&quot;properties&quot;:{&quot;noteIndex&quot;:0},&quot;isEdited&quot;:false,&quot;manualOverride&quot;:{&quot;isManuallyOverridden&quot;:false,&quot;citeprocText&quot;:&quot;(Akhter &lt;i&gt;et al.&lt;/i&gt;, 2019)&quot;,&quot;manualOverrideText&quot;:&quot;&quot;},&quot;citationItems&quot;:[{&quot;id&quot;:&quot;45cf73f9-b3b2-3633-a1e4-eb89f649919a&quot;,&quot;itemData&quot;:{&quot;type&quot;:&quot;article-journal&quot;,&quot;id&quot;:&quot;45cf73f9-b3b2-3633-a1e4-eb89f649919a&quot;,&quot;title&quot;:&quot;Sufferings in silence: Violence against female workers in the ready-made garment industry in Bangladesh: A qualitative exploration&quot;,&quot;author&quot;:[{&quot;family&quot;:&quot;Akhter&quot;,&quot;given&quot;:&quot;Sadika&quot;,&quot;parse-names&quot;:false,&quot;dropping-particle&quot;:&quot;&quot;,&quot;non-dropping-particle&quot;:&quot;&quot;},{&quot;family&quot;:&quot;Rutherford&quot;,&quot;given&quot;:&quot;Shannon&quot;,&quot;parse-names&quot;:false,&quot;dropping-particle&quot;:&quot;&quot;,&quot;non-dropping-particle&quot;:&quot;&quot;},{&quot;family&quot;:&quot;Chu&quot;,&quot;given&quot;:&quot;Cordia&quot;,&quot;parse-names&quot;:false,&quot;dropping-particle&quot;:&quot;&quot;,&quot;non-dropping-particle&quot;:&quot;&quot;}],&quot;container-title&quot;:&quot;Women's Health&quot;,&quot;ISSN&quot;:&quot;17455065&quot;,&quot;PMID&quot;:&quot;31856698&quot;,&quot;issued&quot;:{&quot;date-parts&quot;:[[2019]]},&quot;abstract&quot;:&quot;Introduction: Despite the improved safety of the ready-made garment industry in Bangladesh since 2013, other workplace health and safety issues in the ready-made garment industry continue, especially violence towards female workers. This article examines this violence as well as the social norms and attitudes of key stakeholders underpinning it. Methods: Data were collected in four ready-made garment factories in Bangladesh through in-depth interviews, focus group discussions with female workers and key-informant interviews with different stakeholders, along with factory observations. Results: Findings were analysed thematically. Female workers described personal experience of violence in the workplace: physical and verbal abuse, constant pressure, other personal restrictions and withholding of pay. They did not make complaints for fear of losing their jobs. Supervisors characterized the women as ‘disobedient,’ ‘uncooperative’ and ‘unwilling’ to work and viewed their behaviour as acceptable. Other stakeholders ignored these problems. Conclusion: Finally, this study suggests how the findings encourage action to prevent violence in the workplace in order to address the emerging occupational health problems in Bangladesh.&quot;,&quot;publisher&quot;:&quot;SAGE Publications Ltd&quot;,&quot;volume&quot;:&quot;15&quot;,&quot;container-title-short&quot;:&quot;&quot;},&quot;isTemporary&quot;:false}],&quot;citationTag&quot;:&quot;MENDELEY_CITATION_v3_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&quot;},{&quot;citationID&quot;:&quot;MENDELEY_CITATION_60e0dd63-9078-4213-bc8f-2385fe90180e&quot;,&quot;properties&quot;:{&quot;noteIndex&quot;:0},&quot;isEdited&quot;:false,&quot;manualOverride&quot;:{&quot;isManuallyOverridden&quot;:false,&quot;citeprocText&quot;:&quot;(Guthrie &lt;i&gt;et al.&lt;/i&gt;, 2022; Islam &lt;i&gt;et al.&lt;/i&gt;, 2021; Kaufman, 2009)&quot;,&quot;manualOverrideText&quot;:&quot;&quot;},&quot;citationItems&quot;:[{&quot;id&quot;:&quot;f756380b-1b6c-38cb-8a55-80fec27f7cf1&quot;,&quot;itemData&quot;:{&quot;type&quot;:&quot;article-journal&quot;,&quot;id&quot;:&quot;f756380b-1b6c-38cb-8a55-80fec27f7cf1&quot;,&quot;title&quot;:&quot;Corporate human rights performance and moral power: A study of retail MNCs’ supply chains in Bangladesh&quot;,&quot;author&quot;:[{&quot;family&quot;:&quot;Islam&quot;,&quot;given&quot;:&quot;Muhammad Azizul&quot;,&quot;parse-names&quot;:false,&quot;dropping-particle&quot;:&quot;&quot;,&quot;non-dropping-particle&quot;:&quot;&quot;},{&quot;family&quot;:&quot;Deegan&quot;,&quot;given&quot;:&quot;Craig&quot;,&quot;parse-names&quot;:false,&quot;dropping-particle&quot;:&quot;&quot;,&quot;non-dropping-particle&quot;:&quot;&quot;},{&quot;family&quot;:&quot;Haque&quot;,&quot;given&quot;:&quot;Shamima&quot;,&quot;parse-names&quot;:false,&quot;dropping-particle&quot;:&quot;&quot;,&quot;non-dropping-particle&quot;:&quot;&quot;}],&quot;container-title&quot;:&quot;Critical Perspectives on Accounting&quot;,&quot;issued&quot;:{&quot;date-parts&quot;:[[2021,1,1]]},&quot;page&quot;:&quot;102163&quot;,&quot;abstract&quot;:&quot;This paper investigates how particular stakeholder groups, such as labor rights non-governmental organizations (NGOs), question and even challenge the moral power of multinational companies (MNCs) to maintain human rights in their supply chains in Bangladesh. Around the time of two major factory disasters in Bangladesh (the Tarzeen fire and the Rana Plaza collapse in 2012 and 2013, respectively) we conducted a series of interviews (between 2012 and 2014) and reviewed articles in news media and NGO documents to understand how labor rights NGOs’ narratives challenge MNCs and their suppliers’ actual human rights performance and associated moral power within clothing supply chains. The findings show that MNCs’ and their suppliers’ workplace human rights performance in Bangladesh, as perceived by labor rights NGOs, is inconsistent with MNCs’ public disclosures on human rights. The NGOs’ counter-narratives testify to MNCs’ and their suppliers’ abuses of human rights and the associated moral deficit. This study draws on the notion of moral power in line with Aristotle's view of the moral actor and adds to Mehta and Winship (2010) three essential aspects of moral power – moral intention, moral capability and moral standing – by providing a new insight that suggests that MNCs and their suppliers in the developing nation context of Bangladesh lack the moral intention, moral capability and moral standing to uphold workplace human rights. We note that gaining these richer insights are possible because we directly solicit the views of NGOs and social movement organizations. The paper fills a research gap by looking at whether the adoption of the language of human rights obligations by MNCs creates any change in their moral power and human rights performance, as perceived by workers’ rights NGOs.&quot;,&quot;publisher&quot;:&quot;Elsevier Ltd&quot;,&quot;volume&quot;:&quot;74&quot;,&quot;container-title-short&quot;:&quot;&quot;},&quot;isTemporary&quot;:false},{&quot;id&quot;:&quot;66b84ee1-3532-315a-a45a-6deaffe01089&quot;,&quot;itemData&quot;:{&quot;type&quot;:&quot;article-journal&quot;,&quot;id&quot;:&quot;66b84ee1-3532-315a-a45a-6deaffe01089&quot;,&quot;title&quot;:&quot;Australian Modern-Day Slavery: A systems perspective&quot;,&quot;author&quot;:[{&quot;family&quot;:&quot;Guthrie&quot;,&quot;given&quot;:&quot;J&quot;,&quot;parse-names&quot;:false,&quot;dropping-particle&quot;:&quot;&quot;,&quot;non-dropping-particle&quot;:&quot;&quot;},{&quot;family&quot;:&quot;Dumay&quot;,&quot;given&quot;:&quot;J&quot;,&quot;parse-names&quot;:false,&quot;dropping-particle&quot;:&quot;&quot;,&quot;non-dropping-particle&quot;:&quot;&quot;},{&quot;family&quot;:&quot;Michelson&quot;,&quot;given&quot;:&quot;G&quot;,&quot;parse-names&quot;:false,&quot;dropping-particle&quot;:&quot;&quot;,&quot;non-dropping-particle&quot;:&quot;&quot;},{&quot;family&quot;:&quot;Dodd&quot;,&quot;given&quot;:&quot;T&quot;,&quot;parse-names&quot;:false,&quot;dropping-particle&quot;:&quot;&quot;,&quot;non-dropping-particle&quot;:&quot;&quot;}],&quot;container-title&quot;:&quot;Journal of Behaviour Economics and Social systems&quot;,&quot;URL&quot;:&quot;www.globalaccesspartners.org&quot;,&quot;issued&quot;:{&quot;date-parts&quot;:[[2022,11,2]]},&quot;page&quot;:&quot;10-22&quot;,&quot;volume&quot;:&quot;4&quot;,&quot;container-title-short&quot;:&quot;&quot;},&quot;isTemporary&quot;:false},{&quot;id&quot;:&quot;3d70e266-6800-324b-912c-05da05c0a5ce&quot;,&quot;itemData&quot;:{&quot;type&quot;:&quot;article-journal&quot;,&quot;id&quot;:&quot;3d70e266-6800-324b-912c-05da05c0a5ce&quot;,&quot;title&quot;:&quot;Promoting Labour Market Efficiency and Fairness through a Legal Minimum Wage: The Webbs and the Social Cost of Labour&quot;,&quot;author&quot;:[{&quot;family&quot;:&quot;Kaufman&quot;,&quot;given&quot;:&quot;Bruce E.&quot;,&quot;parse-names&quot;:false,&quot;dropping-particle&quot;:&quot;&quot;,&quot;non-dropping-particle&quot;:&quot;&quot;}],&quot;container-title&quot;:&quot;British Journal of Industrial Relations&quot;,&quot;accessed&quot;:{&quot;date-parts&quot;:[[2023,4,2]]},&quot;DOI&quot;:&quot;10.1111/J.1467-8543.2009.00725.X&quot;,&quot;ISSN&quot;:&quot;1467-8543&quot;,&quot;URL&quot;:&quot;https://onlinelibrary.wiley.com/doi/full/10.1111/j.1467-8543.2009.00725.x&quot;,&quot;issued&quot;:{&quot;date-parts&quot;:[[2009,6,1]]},&quot;page&quot;:&quot;306-326&quot;,&quot;abstract&quot;:&quot;Neoclassical economists, using a competitive demand/supply model of labour markets, typically conclude a legislated minimum wage is harmful to economic efficiency and social welfare. The major theoretical counter-attack by proponents of a minimum wage is to argue that low-wage labour markets are better modelled as monopsonistic. This article develops and formalizes a second theoretical defence for a legal minimum wage law. This defence rests on the concept of the social cost of labour, as originally popularized by Sidney and Beatrice Webb and then further developed by American institutional economists. This analysis is unique in that it continues to use the competitive demand/supply model but nonetheless demonstrates that a legislated minimum wage often simultaneously increases both economic efficiency and fairness, unlike the neoclassical prediction. © Blackwell Publishing Ltd/London School of Economics 2009.&quot;,&quot;publisher&quot;:&quot;John Wiley &amp; Sons, Ltd&quot;,&quot;issue&quot;:&quot;2&quot;,&quot;volume&quot;:&quot;47&quot;,&quot;container-title-short&quot;:&quot;Br J Ind Relat&quot;},&quot;isTemporary&quot;:false}],&quot;citationTag&quot;:&quot;MENDELEY_CITATION_v3_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&quot;},{&quot;citationID&quot;:&quot;MENDELEY_CITATION_4c5162b9-9e9d-49a2-8069-ac1ab8758b5a&quot;,&quot;properties&quot;:{&quot;noteIndex&quot;:0},&quot;isEdited&quot;:false,&quot;manualOverride&quot;:{&quot;isManuallyOverridden&quot;:false,&quot;citeprocText&quot;:&quot;(ILO, 1998)&quot;,&quot;manualOverrideText&quot;:&quot;&quot;},&quot;citationItems&quot;:[{&quot;id&quot;:&quot;980eb5da-d6e5-373f-b89e-b6391b640e5b&quot;,&quot;itemData&quot;:{&quot;type&quot;:&quot;webpage&quot;,&quot;id&quot;:&quot;980eb5da-d6e5-373f-b89e-b6391b640e5b&quot;,&quot;title&quot;:&quot;ILO Declaration on Fundamental Principles and Rights at Work&quot;,&quot;author&quot;:[{&quot;family&quot;:&quot;International Labour Organisation&quot;,&quot;given&quot;:&quot;&quot;,&quot;parse-names&quot;:false,&quot;dropping-particle&quot;:&quot;&quot;,&quot;non-dropping-particle&quot;:&quot;&quot;}],&quot;accessed&quot;:{&quot;date-parts&quot;:[[2022,8,9]]},&quot;URL&quot;:&quot;https://www.ilo.org/declaration/lang--en/index.htm&quot;,&quot;issued&quot;:{&quot;date-parts&quot;:[[1998]]},&quot;container-title-short&quot;:&quot;&quot;},&quot;isTemporary&quot;:false}],&quot;citationTag&quot;:&quot;MENDELEY_CITATION_v3_eyJjaXRhdGlvbklEIjoiTUVOREVMRVlfQ0lUQVRJT05fNGM1MTYyYjktOWU5ZC00OWEyLTgwNjktYWMxYWI4NzU4YjVh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udGVybmF0aW9uYWwgTGFib3VyIE9yZ2FuaXNhdGlvbi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quot;},{&quot;citationID&quot;:&quot;MENDELEY_CITATION_3c4817b2-9716-4f0f-8d6e-9e02eb78e00f&quot;,&quot;properties&quot;:{&quot;noteIndex&quot;:0},&quot;isEdited&quot;:false,&quot;manualOverride&quot;:{&quot;isManuallyOverridden&quot;:true,&quot;citeprocText&quot;:&quot;(Business and human rights resource centre, 2019)&quot;,&quot;manualOverrideText&quot;:&quot;(BHRRC, 2019)&quot;},&quot;citationItems&quot;:[{&quot;id&quot;:&quot;63e9bbc1-6ed9-3714-b18b-ef4b6e0359ad&quot;,&quot;itemData&quot;:{&quot;type&quot;:&quot;webpage&quot;,&quot;id&quot;:&quot;63e9bbc1-6ed9-3714-b18b-ef4b6e0359ad&quot;,&quot;title&quot;:&quot;China: Apple accused of violating labour laws as employees at iPhone factory found working 100 hours of overtime &amp; being ‘punished’ for not meeting targets; Incl. co. comments - Business &amp; Human Rights Resource Centre&quot;,&quot;author&quot;:[{&quot;family&quot;:&quot;Business and human rights resource centre&quot;,&quot;given&quot;:&quot;&quot;,&quot;parse-names&quot;:false,&quot;dropping-particle&quot;:&quot;&quot;,&quot;non-dropping-particle&quot;:&quot;&quot;}],&quot;accessed&quot;:{&quot;date-parts&quot;:[[2022,9,22]]},&quot;URL&quot;:&quot;https://www.business-humanrights.org/en/latest-news/china-apple-accused-of-violating-labour-laws-as-employees-at-iphone-factory-found-working-100-hours-of-overtime-being-punished-for-not-meeting-targets-incl-co-comments/&quot;,&quot;issued&quot;:{&quot;date-parts&quot;:[[2019]]},&quot;container-title-short&quot;:&quot;&quot;},&quot;isTemporary&quot;:false}],&quot;citationTag&quot;:&quot;MENDELEY_CITATION_v3_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&quot;},{&quot;citationID&quot;:&quot;MENDELEY_CITATION_d18acb72-0099-45dd-bccc-69164f8271d4&quot;,&quot;properties&quot;:{&quot;noteIndex&quot;:0},&quot;isEdited&quot;:false,&quot;manualOverride&quot;:{&quot;isManuallyOverridden&quot;:true,&quot;citeprocText&quot;:&quot;(ILO, 1998; Islam and McPhail, 2011a)&quot;,&quot;manualOverrideText&quot;:&quot;(ILO, 1998; Islam and McPhail, 2011)&quot;},&quot;citationItems&quot;:[{&quot;id&quot;:&quot;58d18ab2-6471-366b-b126-c64194de8630&quot;,&quot;itemData&quot;:{&quot;type&quot;:&quot;article-journal&quot;,&quot;id&quot;:&quot;58d18ab2-6471-366b-b126-c64194de8630&quot;,&quot;title&quot;:&quot;Regulating for corporate human rights abuses: The emergence of corporate reporting on the ILO's human rights standards within the global garment manufacturing and retail industry&quot;,&quot;author&quot;:[{&quot;family&quot;:&quot;Islam&quot;,&quot;given&quot;:&quot;Muhammad Azizul&quot;,&quot;parse-names&quot;:false,&quot;dropping-particle&quot;:&quot;&quot;,&quot;non-dropping-particle&quot;:&quot;&quot;},{&quot;family&quot;:&quot;McPhail&quot;,&quot;given&quot;:&quot;Ken&quot;,&quot;parse-names&quot;:false,&quot;dropping-particle&quot;:&quot;&quot;,&quot;non-dropping-particle&quot;:&quot;&quot;}],&quot;container-title&quot;:&quot;Critical Perspectives on Accounting&quot;,&quot;issued&quot;:{&quot;date-parts&quot;:[[2011,11]]},&quot;page&quot;:&quot;790-810&quot;,&quot;abstract&quot;:&quot;Despite the ubiquitous nature of the discourse on human rights there is currently little research on the emergence of disclosure by multinational corporations on their human rights obligations or the regulatory dynamic that may lie behind this trend. In an attempt to begin to explore the extent to which, if any, the language of human rights has entered the discourse of corporate accountability, this paper investigates the adoption of the International Labour Organisation's (ILO) human rights standards by major multinational garment retail companies that source products from developing countries, as disclosed through their reporting media. The paper has three objectives. Firstly, to empirically explore the extent to which a group of multinational garment retailers invoke the language of human rights when disclosing their corporate responsibilities. The paper reviews corporate reporting media including social responsibility codes of conduct, annual reports and stand-alone social responsibility reports released by 18 major global clothing and retail companies during a period from 1990 to 2007. We find that the number of companies adopting and disclosing on the ILO's workplace human rights standards has significantly increased since 1998 - the year in which the ILO's standards were endorsed and accepted by the global community (ILO, 1998). Secondly, drawing on a combination of Responsive Regulation theory and neo-institutional theory, we tentatively seek to understand the regulatory space that may have influenced these large corporations to adopt the language of human rights obligations. In particular, we study the role that International Governmental Organisation's (IGO) such as ILO may have played in these disclosures. Finally, we provide some critical reflections on the power and potential within the corporate adoption of the language of human rights. © 2011 Elsevier Ltd.&quot;,&quot;issue&quot;:&quot;8&quot;,&quot;volume&quot;:&quot;22&quot;,&quot;container-title-short&quot;:&quot;&quot;},&quot;isTemporary&quot;:false},{&quot;id&quot;:&quot;980eb5da-d6e5-373f-b89e-b6391b640e5b&quot;,&quot;itemData&quot;:{&quot;type&quot;:&quot;webpage&quot;,&quot;id&quot;:&quot;980eb5da-d6e5-373f-b89e-b6391b640e5b&quot;,&quot;title&quot;:&quot;ILO Declaration on Fundamental Principles and Rights at Work&quot;,&quot;author&quot;:[{&quot;family&quot;:&quot;ILO&quot;,&quot;given&quot;:&quot;&quot;,&quot;parse-names&quot;:false,&quot;dropping-particle&quot;:&quot;&quot;,&quot;non-dropping-particle&quot;:&quot;&quot;}],&quot;accessed&quot;:{&quot;date-parts&quot;:[[2022,8,9]]},&quot;URL&quot;:&quot;https://www.ilo.org/declaration/lang--en/index.htm&quot;,&quot;issued&quot;:{&quot;date-parts&quot;:[[1998]]},&quot;container-title-short&quot;:&quot;&quot;},&quot;isTemporary&quot;:false}],&quot;citationTag&quot;:&quot;MENDELEY_CITATION_v3_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LH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quot;},{&quot;citationID&quot;:&quot;MENDELEY_CITATION_886672e8-4c8b-4055-9839-2ee7ae676ddd&quot;,&quot;properties&quot;:{&quot;noteIndex&quot;:0},&quot;isEdited&quot;:false,&quot;manualOverride&quot;:{&quot;isManuallyOverridden&quot;:false,&quot;citeprocText&quot;:&quot;(Ghai, 2003)&quot;,&quot;manualOverrideText&quot;:&quot;&quot;},&quot;citationItems&quot;:[{&quot;id&quot;:&quot;156705e9-ed89-3c5e-bbbc-3214022781f9&quot;,&quot;itemData&quot;:{&quot;type&quot;:&quot;article-journal&quot;,&quot;id&quot;:&quot;156705e9-ed89-3c5e-bbbc-3214022781f9&quot;,&quot;title&quot;:&quot;Decent work: Concept and indicators&quot;,&quot;author&quot;:[{&quot;family&quot;:&quot;Ghai&quot;,&quot;given&quot;:&quot;Dharam&quot;,&quot;parse-names&quot;:false,&quot;dropping-particle&quot;:&quot;&quot;,&quot;non-dropping-particle&quot;:&quot;&quot;}],&quot;container-title&quot;:&quot;International Labour Review&quot;,&quot;DOI&quot;:&quot;10.1111/j.1564-913X.2003.tb00256.x&quot;,&quot;ISSN&quot;:&quot;00207780&quot;,&quot;issued&quot;:{&quot;date-parts&quot;:[[2003]]},&quot;page&quot;:&quot;113-145&quot;,&quot;publisher&quot;:&quot;International Labour Office&quot;,&quot;issue&quot;:&quot;2&quot;,&quot;volume&quot;:&quot;142&quot;,&quot;container-title-short&quot;:&quot;Int Labour Rev&quot;},&quot;isTemporary&quot;:false}],&quot;citationTag&quot;:&quot;MENDELEY_CITATION_v3_eyJjaXRhdGlvbklEIjoiTUVOREVMRVlfQ0lUQVRJT05fODg2NjcyZTgtNGM4Yi00MDU1LTk4MzktMmVlN2FlNjc2ZGRk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quot;},{&quot;citationID&quot;:&quot;MENDELEY_CITATION_d973ee41-6617-4004-a825-118e0dbbfeb9&quot;,&quot;properties&quot;:{&quot;noteIndex&quot;:0},&quot;isEdited&quot;:false,&quot;manualOverride&quot;:{&quot;isManuallyOverridden&quot;:false,&quot;citeprocText&quot;:&quot;(International Labour Conference, 1999)&quot;,&quot;manualOverrideText&quot;:&quot;&quot;},&quot;citationItems&quot;:[{&quot;id&quot;:&quot;f6e674ed-6372-345b-8499-11f0e22ecf2e&quot;,&quot;itemData&quot;:{&quot;type&quot;:&quot;report&quot;,&quot;id&quot;:&quot;f6e674ed-6372-345b-8499-11f0e22ecf2e&quot;,&quot;title&quot;:&quot;Report of the director-general: Decent work&quot;,&quot;author&quot;:[{&quot;family&quot;:&quot;International Labour Conference&quot;,&quot;given&quot;:&quot;&quot;,&quot;parse-names&quot;:false,&quot;dropping-particle&quot;:&quot;&quot;,&quot;non-dropping-particle&quot;:&quot;&quot;}],&quot;accessed&quot;:{&quot;date-parts&quot;:[[2023,9,21]]},&quot;URL&quot;:&quot;https://www.ilo.org/public/libdoc/ilo/P/09605/09605(1999-87).pdf&quot;,&quot;issued&quot;:{&quot;date-parts&quot;:[[1999]]},&quot;publisher-place&quot;:&quot;Geneva&quot;,&quot;number-of-pages&quot;:&quot;1-88&quot;,&quot;container-title-short&quot;:&quot;&quot;},&quot;isTemporary&quot;:false}],&quot;citationTag&quot;:&quot;MENDELEY_CITATION_v3_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&quot;},{&quot;citationID&quot;:&quot;MENDELEY_CITATION_87056575-dfb0-47a5-9084-03ddedf1177c&quot;,&quot;properties&quot;:{&quot;noteIndex&quot;:0},&quot;isEdited&quot;:false,&quot;manualOverride&quot;:{&quot;isManuallyOverridden&quot;:false,&quot;citeprocText&quot;:&quot;(Ghai, 2003)&quot;,&quot;manualOverrideText&quot;:&quot;&quot;},&quot;citationItems&quot;:[{&quot;id&quot;:&quot;156705e9-ed89-3c5e-bbbc-3214022781f9&quot;,&quot;itemData&quot;:{&quot;type&quot;:&quot;article-journal&quot;,&quot;id&quot;:&quot;156705e9-ed89-3c5e-bbbc-3214022781f9&quot;,&quot;title&quot;:&quot;Decent work: Concept and indicators&quot;,&quot;author&quot;:[{&quot;family&quot;:&quot;Ghai&quot;,&quot;given&quot;:&quot;Dharam&quot;,&quot;parse-names&quot;:false,&quot;dropping-particle&quot;:&quot;&quot;,&quot;non-dropping-particle&quot;:&quot;&quot;}],&quot;container-title&quot;:&quot;International Labour Review&quot;,&quot;DOI&quot;:&quot;10.1111/j.1564-913X.2003.tb00256.x&quot;,&quot;ISSN&quot;:&quot;00207780&quot;,&quot;issued&quot;:{&quot;date-parts&quot;:[[2003]]},&quot;page&quot;:&quot;113-145&quot;,&quot;publisher&quot;:&quot;International Labour Office&quot;,&quot;issue&quot;:&quot;2&quot;,&quot;volume&quot;:&quot;142&quot;,&quot;container-title-short&quot;:&quot;Int Labour Rev&quot;},&quot;isTemporary&quot;:false}],&quot;citationTag&quot;:&quot;MENDELEY_CITATION_v3_eyJjaXRhdGlvbklEIjoiTUVOREVMRVlfQ0lUQVRJT05fODcwNTY1NzUtZGZiMC00N2E1LTkwODQtMDNkZGVkZjExNzdj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quot;},{&quot;citationID&quot;:&quot;MENDELEY_CITATION_2b8911ad-369a-485c-82be-5038456bfb78&quot;,&quot;properties&quot;:{&quot;noteIndex&quot;:0},&quot;isEdited&quot;:false,&quot;manualOverride&quot;:{&quot;isManuallyOverridden&quot;:false,&quot;citeprocText&quot;:&quot;(Ghai, 2003)&quot;,&quot;manualOverrideText&quot;:&quot;&quot;},&quot;citationItems&quot;:[{&quot;id&quot;:&quot;156705e9-ed89-3c5e-bbbc-3214022781f9&quot;,&quot;itemData&quot;:{&quot;type&quot;:&quot;article-journal&quot;,&quot;id&quot;:&quot;156705e9-ed89-3c5e-bbbc-3214022781f9&quot;,&quot;title&quot;:&quot;Decent work: Concept and indicators&quot;,&quot;author&quot;:[{&quot;family&quot;:&quot;Ghai&quot;,&quot;given&quot;:&quot;Dharam&quot;,&quot;parse-names&quot;:false,&quot;dropping-particle&quot;:&quot;&quot;,&quot;non-dropping-particle&quot;:&quot;&quot;}],&quot;container-title&quot;:&quot;International Labour Review&quot;,&quot;DOI&quot;:&quot;10.1111/j.1564-913X.2003.tb00256.x&quot;,&quot;ISSN&quot;:&quot;00207780&quot;,&quot;issued&quot;:{&quot;date-parts&quot;:[[2003]]},&quot;page&quot;:&quot;113-145&quot;,&quot;publisher&quot;:&quot;International Labour Office&quot;,&quot;issue&quot;:&quot;2&quot;,&quot;volume&quot;:&quot;142&quot;,&quot;container-title-short&quot;:&quot;Int Labour Rev&quot;},&quot;isTemporary&quot;:false}],&quot;citationTag&quot;:&quot;MENDELEY_CITATION_v3_eyJjaXRhdGlvbklEIjoiTUVOREVMRVlfQ0lUQVRJT05fMmI4OTExYWQtMzY5YS00ODVjLTgyYmUtNTAzODQ1NmJmYjc4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quot;},{&quot;citationID&quot;:&quot;MENDELEY_CITATION_2dc0b422-6dc9-4747-95bc-2156fb4952e2&quot;,&quot;properties&quot;:{&quot;noteIndex&quot;:0},&quot;isEdited&quot;:false,&quot;manualOverride&quot;:{&quot;isManuallyOverridden&quot;:false,&quot;citeprocText&quot;:&quot;(Ghai, 2003)&quot;,&quot;manualOverrideText&quot;:&quot;&quot;},&quot;citationItems&quot;:[{&quot;id&quot;:&quot;156705e9-ed89-3c5e-bbbc-3214022781f9&quot;,&quot;itemData&quot;:{&quot;type&quot;:&quot;article-journal&quot;,&quot;id&quot;:&quot;156705e9-ed89-3c5e-bbbc-3214022781f9&quot;,&quot;title&quot;:&quot;Decent work: Concept and indicators&quot;,&quot;author&quot;:[{&quot;family&quot;:&quot;Ghai&quot;,&quot;given&quot;:&quot;Dharam&quot;,&quot;parse-names&quot;:false,&quot;dropping-particle&quot;:&quot;&quot;,&quot;non-dropping-particle&quot;:&quot;&quot;}],&quot;container-title&quot;:&quot;International Labour Review&quot;,&quot;DOI&quot;:&quot;10.1111/j.1564-913X.2003.tb00256.x&quot;,&quot;ISSN&quot;:&quot;00207780&quot;,&quot;issued&quot;:{&quot;date-parts&quot;:[[2003]]},&quot;page&quot;:&quot;113-145&quot;,&quot;publisher&quot;:&quot;International Labour Office&quot;,&quot;issue&quot;:&quot;2&quot;,&quot;volume&quot;:&quot;142&quot;,&quot;container-title-short&quot;:&quot;Int Labour Rev&quot;},&quot;isTemporary&quot;:false}],&quot;citationTag&quot;:&quot;MENDELEY_CITATION_v3_eyJjaXRhdGlvbklEIjoiTUVOREVMRVlfQ0lUQVRJT05fMmRjMGI0MjItNmRjOS00NzQ3LTk1YmMtMjE1NmZiNDk1MmUy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quot;},{&quot;citationID&quot;:&quot;MENDELEY_CITATION_97f185b4-0a2e-4eda-a036-c11217aac41e&quot;,&quot;properties&quot;:{&quot;noteIndex&quot;:0},&quot;isEdited&quot;:false,&quot;manualOverride&quot;:{&quot;isManuallyOverridden&quot;:false,&quot;citeprocText&quot;:&quot;(ILO, 2022c)&quot;,&quot;manualOverrideText&quot;:&quot;&quot;},&quot;citationItems&quot;:[{&quot;id&quot;:&quot;d9985c41-eedb-31e9-bfd9-dec36b9ace0c&quot;,&quot;itemData&quot;:{&quot;type&quot;:&quot;report&quot;,&quot;id&quot;:&quot;d9985c41-eedb-31e9-bfd9-dec36b9ace0c&quot;,&quot;title&quot;:&quot;ILO Declaration on Fundamental Principles and Rights at Work and its Follow-up&quot;,&quot;author&quot;:[{&quot;family&quot;:&quot;International Labour Organisation&quot;,&quot;given&quot;:&quot;&quot;,&quot;parse-names&quot;:false,&quot;dropping-particle&quot;:&quot;&quot;,&quot;non-dropping-particle&quot;:&quot;&quot;}],&quot;accessed&quot;:{&quot;date-parts&quot;:[[2022,12,8]]},&quot;ISBN&quot;:&quot;9789220372531&quot;,&quot;URL&quot;:&quot;www.ilo.org/publns.&quot;,&quot;issued&quot;:{&quot;date-parts&quot;:[[2022]]},&quot;number-of-pages&quot;:&quot;1-18&quot;,&quot;container-title-short&quot;:&quot;&quot;},&quot;isTemporary&quot;:false}],&quot;citationTag&quot;:&quot;MENDELEY_CITATION_v3_eyJjaXRhdGlvbklEIjoiTUVOREVMRVlfQ0lUQVRJT05fOTdmMTg1YjQtMGEyZS00ZWRhLWEwMzYtYzExMjE3YWFjNDFlIiwicHJvcGVydGllcyI6eyJub3RlSW5kZXgiOjB9LCJpc0VkaXRlZCI6ZmFsc2UsIm1hbnVhbE92ZXJyaWRlIjp7ImlzTWFudWFsbHlPdmVycmlkZGVuIjpmYWxzZSwiY2l0ZXByb2NUZXh0IjoiKElMTywgMjAyMmMpIiwibWFudWFsT3ZlcnJpZGVUZXh0IjoiIn0sImNpdGF0aW9uSXRlbXMiOlt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udGVybmF0aW9uYWwgTGFib3VyIE9yZ2FuaXNhdGlvbi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V19&quot;},{&quot;citationID&quot;:&quot;MENDELEY_CITATION_06972198-574f-4851-b08b-167ed883c2c4&quot;,&quot;properties&quot;:{&quot;noteIndex&quot;:0},&quot;isEdited&quot;:false,&quot;manualOverride&quot;:{&quot;isManuallyOverridden&quot;:false,&quot;citeprocText&quot;:&quot;(Ghai, 2003)&quot;,&quot;manualOverrideText&quot;:&quot;&quot;},&quot;citationItems&quot;:[{&quot;id&quot;:&quot;156705e9-ed89-3c5e-bbbc-3214022781f9&quot;,&quot;itemData&quot;:{&quot;type&quot;:&quot;article-journal&quot;,&quot;id&quot;:&quot;156705e9-ed89-3c5e-bbbc-3214022781f9&quot;,&quot;title&quot;:&quot;Decent work: Concept and indicators&quot;,&quot;author&quot;:[{&quot;family&quot;:&quot;Ghai&quot;,&quot;given&quot;:&quot;Dharam&quot;,&quot;parse-names&quot;:false,&quot;dropping-particle&quot;:&quot;&quot;,&quot;non-dropping-particle&quot;:&quot;&quot;}],&quot;container-title&quot;:&quot;International Labour Review&quot;,&quot;DOI&quot;:&quot;10.1111/j.1564-913X.2003.tb00256.x&quot;,&quot;ISSN&quot;:&quot;00207780&quot;,&quot;issued&quot;:{&quot;date-parts&quot;:[[2003]]},&quot;page&quot;:&quot;113-145&quot;,&quot;publisher&quot;:&quot;International Labour Office&quot;,&quot;issue&quot;:&quot;2&quot;,&quot;volume&quot;:&quot;142&quot;,&quot;container-title-short&quot;:&quot;Int Labour Rev&quot;},&quot;isTemporary&quot;:false}],&quot;citationTag&quot;:&quot;MENDELEY_CITATION_v3_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&quot;},{&quot;citationID&quot;:&quot;MENDELEY_CITATION_77804742-4941-445b-8a2e-66c417d3e94f&quot;,&quot;properties&quot;:{&quot;noteIndex&quot;:0},&quot;isEdited&quot;:false,&quot;manualOverride&quot;:{&quot;isManuallyOverridden&quot;:false,&quot;citeprocText&quot;:&quot;(ILO, 2023b)&quot;,&quot;manualOverrideText&quot;:&quot;&quot;},&quot;citationItems&quot;:[{&quot;id&quot;:&quot;87cd8edf-4ac4-3a33-a1c2-7702949a6486&quot;,&quot;itemData&quot;:{&quot;type&quot;:&quot;webpage&quot;,&quot;id&quot;:&quot;87cd8edf-4ac4-3a33-a1c2-7702949a6486&quot;,&quot;title&quot;:&quot;Decent work&quot;,&quot;author&quot;:[{&quot;family&quot;:&quot;ILO&quot;,&quot;given&quot;:&quot;&quot;,&quot;parse-names&quot;:false,&quot;dropping-particle&quot;:&quot;&quot;,&quot;non-dropping-particle&quot;:&quot;&quot;}],&quot;accessed&quot;:{&quot;date-parts&quot;:[[2023,9,21]]},&quot;URL&quot;:&quot;https://www.ilo.org/global/topics/decent-work/lang--en/index.htm&quot;,&quot;issued&quot;:{&quot;date-parts&quot;:[[2023]]},&quot;container-title-short&quot;:&quot;&quot;},&quot;isTemporary&quot;:false}],&quot;citationTag&quot;:&quot;MENDELEY_CITATION_v3_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&quot;},{&quot;citationID&quot;:&quot;MENDELEY_CITATION_40fc8995-de95-4fea-841f-59452f593a9a&quot;,&quot;properties&quot;:{&quot;noteIndex&quot;:0},&quot;isEdited&quot;:false,&quot;manualOverride&quot;:{&quot;isManuallyOverridden&quot;:false,&quot;citeprocText&quot;:&quot;(ILO, 2023b)&quot;,&quot;manualOverrideText&quot;:&quot;&quot;},&quot;citationItems&quot;:[{&quot;id&quot;:&quot;87cd8edf-4ac4-3a33-a1c2-7702949a6486&quot;,&quot;itemData&quot;:{&quot;type&quot;:&quot;webpage&quot;,&quot;id&quot;:&quot;87cd8edf-4ac4-3a33-a1c2-7702949a6486&quot;,&quot;title&quot;:&quot;Decent work&quot;,&quot;author&quot;:[{&quot;family&quot;:&quot;ILO&quot;,&quot;given&quot;:&quot;&quot;,&quot;parse-names&quot;:false,&quot;dropping-particle&quot;:&quot;&quot;,&quot;non-dropping-particle&quot;:&quot;&quot;}],&quot;accessed&quot;:{&quot;date-parts&quot;:[[2023,9,21]]},&quot;URL&quot;:&quot;https://www.ilo.org/global/topics/decent-work/lang--en/index.htm&quot;,&quot;issued&quot;:{&quot;date-parts&quot;:[[2023]]},&quot;container-title-short&quot;:&quot;&quot;},&quot;isTemporary&quot;:false}],&quot;citationTag&quot;:&quot;MENDELEY_CITATION_v3_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&quot;},{&quot;citationID&quot;:&quot;MENDELEY_CITATION_c714adee-5d0c-4863-9176-b9a28c3200ab&quot;,&quot;properties&quot;:{&quot;noteIndex&quot;:0},&quot;isEdited&quot;:false,&quot;manualOverride&quot;:{&quot;isManuallyOverridden&quot;:true,&quot;citeprocText&quot;:&quot;(Anker &lt;i&gt;et al.&lt;/i&gt;, 2003)&quot;,&quot;manualOverrideText&quot;:&quot;Anker et al (2003, p. 151)&quot;},&quot;citationItems&quot;:[{&quot;id&quot;:&quot;4968801a-cb0e-3549-9bed-dd05aec90b15&quot;,&quot;itemData&quot;:{&quot;type&quot;:&quot;article-journal&quot;,&quot;id&quot;:&quot;4968801a-cb0e-3549-9bed-dd05aec90b15&quot;,&quot;title&quot;:&quot;Measuring decent work with statistical indicators&quot;,&quot;author&quot;:[{&quot;family&quot;:&quot;Anker&quot;,&quot;given&quot;:&quot;Richard&quot;,&quot;parse-names&quot;:false,&quot;dropping-particle&quot;:&quot;&quot;,&quot;non-dropping-particle&quot;:&quot;&quot;},{&quot;family&quot;:&quot;Chernyshev&quot;,&quot;given&quot;:&quot;Igor&quot;,&quot;parse-names&quot;:false,&quot;dropping-particle&quot;:&quot;&quot;,&quot;non-dropping-particle&quot;:&quot;&quot;},{&quot;family&quot;:&quot;Egger&quot;,&quot;given&quot;:&quot;Philippe&quot;,&quot;parse-names&quot;:false,&quot;dropping-particle&quot;:&quot;&quot;,&quot;non-dropping-particle&quot;:&quot;&quot;},{&quot;family&quot;:&quot;Mehran&quot;,&quot;given&quot;:&quot;Farhad&quot;,&quot;parse-names&quot;:false,&quot;dropping-particle&quot;:&quot;&quot;,&quot;non-dropping-particle&quot;:&quot;&quot;},{&quot;family&quot;:&quot;Ritter&quot;,&quot;given&quot;:&quot;Joseph A.&quot;,&quot;parse-names&quot;:false,&quot;dropping-particle&quot;:&quot;&quot;,&quot;non-dropping-particle&quot;:&quot;&quot;}],&quot;container-title&quot;:&quot;International Labour Review&quot;,&quot;DOI&quot;:&quot;10.1111/j.1564-913x.2003.tb00257.x&quot;,&quot;ISSN&quot;:&quot;00207780&quot;,&quot;issued&quot;:{&quot;date-parts&quot;:[[2003]]},&quot;page&quot;:&quot;147-178&quot;,&quot;publisher&quot;:&quot;International Labour Office&quot;,&quot;issue&quot;:&quot;2&quot;,&quot;volume&quot;:&quot;142&quot;,&quot;container-title-short&quot;:&quot;Int Labour Rev&quot;},&quot;isTemporary&quot;:false}],&quot;citationTag&quot;:&quot;MENDELEY_CITATION_v3_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&quot;},{&quot;citationID&quot;:&quot;MENDELEY_CITATION_d42ea9b8-1f47-4cff-bace-2bfc8b68b731&quot;,&quot;properties&quot;:{&quot;noteIndex&quot;:0},&quot;isEdited&quot;:false,&quot;manualOverride&quot;:{&quot;isManuallyOverridden&quot;:false,&quot;citeprocText&quot;:&quot;(Christ &lt;i&gt;et al.&lt;/i&gt;, 2020; Crane, 2013)&quot;,&quot;manualOverrideText&quot;:&quot;&quot;},&quot;citationItems&quot;:[{&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citationTag&quot;:&quot;MENDELEY_CITATION_v3_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&quot;},{&quot;citationID&quot;:&quot;MENDELEY_CITATION_6aacfd92-1a83-42d5-a561-3f902fefdd21&quot;,&quot;properties&quot;:{&quot;noteIndex&quot;:0},&quot;isEdited&quot;:false,&quot;manualOverride&quot;:{&quot;isManuallyOverridden&quot;:false,&quot;citeprocText&quot;:&quot;(Christ &lt;i&gt;et al.&lt;/i&gt;, 2020; International Labour Conference, 1999)&quot;,&quot;manualOverrideText&quot;:&quot;&quot;},&quot;citationItems&quot;:[{&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id&quot;:&quot;f6e674ed-6372-345b-8499-11f0e22ecf2e&quot;,&quot;itemData&quot;:{&quot;type&quot;:&quot;report&quot;,&quot;id&quot;:&quot;f6e674ed-6372-345b-8499-11f0e22ecf2e&quot;,&quot;title&quot;:&quot;Report of the director-general: Decent work&quot;,&quot;author&quot;:[{&quot;family&quot;:&quot;International Labour Conference&quot;,&quot;given&quot;:&quot;&quot;,&quot;parse-names&quot;:false,&quot;dropping-particle&quot;:&quot;&quot;,&quot;non-dropping-particle&quot;:&quot;&quot;}],&quot;accessed&quot;:{&quot;date-parts&quot;:[[2023,9,21]]},&quot;URL&quot;:&quot;https://www.ilo.org/public/libdoc/ilo/P/09605/09605(1999-87).pdf&quot;,&quot;issued&quot;:{&quot;date-parts&quot;:[[1999]]},&quot;publisher-place&quot;:&quot;Geneva&quot;,&quot;number-of-pages&quot;:&quot;1-88&quot;,&quot;container-title-short&quot;:&quot;&quot;},&quot;isTemporary&quot;:false}],&quot;citationTag&quot;:&quot;MENDELEY_CITATION_v3_eyJjaXRhdGlvbklEIjoiTUVOREVMRVlfQ0lUQVRJT05fNmFhY2ZkOTItMWE4My00MmQ1LWE1NjEtM2Y5MDJmZWZkZDIxIiwicHJvcGVydGllcyI6eyJub3RlSW5kZXgiOjB9LCJpc0VkaXRlZCI6ZmFsc2UsIm1hbnVhbE92ZXJyaWRlIjp7ImlzTWFudWFsbHlPdmVycmlkZGVuIjpmYWxzZSwiY2l0ZXByb2NUZXh0IjoiKENocmlzdCA8aT5ldCBhbC48L2k+LCAyMDIwOyBJbnRlcm5hdGlvbmFsIExhYm91ciBDb25mZXJlbmNlLCAxOTk5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&quot;},{&quot;citationID&quot;:&quot;MENDELEY_CITATION_d96b1f71-f32c-49ba-9760-657267618be8&quot;,&quot;properties&quot;:{&quot;noteIndex&quot;:0},&quot;isEdited&quot;:false,&quot;manualOverride&quot;:{&quot;isManuallyOverridden&quot;:true,&quot;citeprocText&quot;:&quot;(Christ &lt;i&gt;et al.&lt;/i&gt;, 2020; United Nations, 2011)&quot;,&quot;manualOverrideText&quot;:&quot;(United Nations, 2011a; Christ et al., 2020)&quot;},&quot;citationItems&quot;:[{&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id&quot;:&quot;38eb4d37-2edc-3e9a-9e80-d9f39adc9cea&quot;,&quot;itemData&quot;:{&quot;type&quot;:&quot;report&quot;,&quot;id&quot;:&quot;38eb4d37-2edc-3e9a-9e80-d9f39adc9cea&quot;,&quot;title&quot;:&quot;Guiding Principles on Business and Human rights: Implementing the United Nations \&quot;Protect, Respect and Remedy\&quot; Framework&quot;,&quot;author&quot;:[{&quot;family&quot;:&quot;United Nations&quot;,&quot;given&quot;:&quot;&quot;,&quot;parse-names&quot;:false,&quot;dropping-particle&quot;:&quot;&quot;,&quot;non-dropping-particle&quot;:&quot;&quot;}],&quot;accessed&quot;:{&quot;date-parts&quot;:[[2023,1,26]]},&quot;issued&quot;:{&quot;date-parts&quot;:[[2011]]},&quot;number-of-pages&quot;:&quot;1-42&quot;,&quot;container-title-short&quot;:&quot;&quot;},&quot;isTemporary&quot;:false}],&quot;citationTag&quot;:&quot;MENDELEY_CITATION_v3_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&quot;},{&quot;citationID&quot;:&quot;MENDELEY_CITATION_55497a83-8137-4d9e-b81e-f227265b511c&quot;,&quot;properties&quot;:{&quot;noteIndex&quot;:0},&quot;isEdited&quot;:false,&quot;manualOverride&quot;:{&quot;isManuallyOverridden&quot;:false,&quot;citeprocText&quot;:&quot;(Ahmed and Uddin, 2021; Muthuthantrige &lt;i&gt;et al.&lt;/i&gt;, 2026; Pesterfield and Rogerson, 2024)&quot;,&quot;manualOverrideText&quot;:&quot;&quot;},&quot;citationItems&quot;:[{&quot;id&quot;:&quot;98652407-819c-3ecc-8802-3200dece5106&quot;,&quot;itemData&quot;:{&quot;type&quot;:&quot;article-journal&quot;,&quot;id&quot;:&quot;98652407-819c-3ecc-8802-3200dece5106&quot;,&quot;title&quot;:&quot;Institutional Logics in the UK Construction Industry’s Response to Modern Slavery Risk: Complementarity and Conflict&quot;,&quot;author&quot;:[{&quot;family&quot;:&quot;Pesterfield&quot;,&quot;given&quot;:&quot;Christopher&quot;,&quot;parse-names&quot;:false,&quot;dropping-particle&quot;:&quot;&quot;,&quot;non-dropping-particle&quot;:&quot;&quot;},{&quot;family&quot;:&quot;Rogerson&quot;,&quot;given&quot;:&quot;Michael&quot;,&quot;parse-names&quot;:false,&quot;dropping-particle&quot;:&quot;&quot;,&quot;non-dropping-particle&quot;:&quot;&quot;}],&quot;container-title&quot;:&quot;Journal of Business Ethics&quot;,&quot;DOI&quot;:&quot;10.1007/s10551-023-05455-4&quot;,&quot;ISSN&quot;:&quot;15730697&quot;,&quot;issued&quot;:{&quot;date-parts&quot;:[[2024,4,1]]},&quot;page&quot;:&quot;59-75&quot;,&quot;abstract&quot;:&quot;There is a growing understanding that modern slavery is a phenomenon ‘hidden in plain sight’ in the home countries of multinational firms. Yet, business scholarship on modern slavery has so far focussed on product supply chains. To address this, we direct attention to the various institutional pressures on the UK construction industry, and managers of firms within it, around modern slavery risk for on-site labour. Based on a unique data set of 30 in-depth interviews with construction firm managers and directors, we identify two institutional logics as being integral to explaining how these companies have responded to the Modern Slavery Act: a market logic and a state logic. While the institutional logics literature largely assumes that institutional complexity will lead to a conciliation of multiple logics, we find both complementarity and continued conflict in the logics in our study. Though we identify conciliation between aspects of the market logic and the state logic, conflict remains as engagement with actions which could potentially address modern slavery is limited by the trade-offs between the two logics.&quot;,&quot;publisher&quot;:&quot;Springer Science and Business Media B.V.&quot;,&quot;issue&quot;:&quot;1&quot;,&quot;volume&quot;:&quot;191&quot;,&quot;container-title-short&quot;:&quot;&quot;},&quot;isTemporary&quot;:false},{&quot;id&quot;:&quot;709b94a2-509d-3cc5-a114-2fde0e14fa5d&quot;,&quot;itemData&quot;:{&quot;type&quot;:&quot;article-journal&quot;,&quot;id&quot;:&quot;709b94a2-509d-3cc5-a114-2fde0e14fa5d&quot;,&quot;title&quot;:&quot;Workplace Bullying and Intensification of Labour Controls in the Clothing Supply Chain: Post-Rana Plaza Disaster&quot;,&quot;author&quot;:[{&quot;family&quot;:&quot;Ahmed&quot;,&quot;given&quot;:&quot;Md Shoaib&quot;,&quot;parse-names&quot;:false,&quot;dropping-particle&quot;:&quot;&quot;,&quot;non-dropping-particle&quot;:&quot;&quot;},{&quot;family&quot;:&quot;Uddin&quot;,&quot;given&quot;:&quot;Shahzad&quot;,&quot;parse-names&quot;:false,&quot;dropping-particle&quot;:&quot;&quot;,&quot;non-dropping-particle&quot;:&quot;&quot;}],&quot;container-title&quot;:&quot;Work, Employment and Society&quot;,&quot;ISSN&quot;:&quot;09500170&quot;,&quot;issued&quot;:{&quot;date-parts&quot;:[[2021]]},&quot;abstract&quot;:&quot;This article examines workplace bullying and the intensification of labour controls in the clothing supply chain. It appears that extreme forms of bullying are deployed to intensify labour controls, including locking workers in, frequent wage cuts, setting moveable targets and carrying out intense observations. The context of this study is surplus value-starved clothing factories in Bangladesh. Global supply chains’ production regimes and the absence of state protections and trade unions enable factory managers to systematically deploy bullying tactics to achieve production targets. Drawing on Burawoy’s works, this article advances the debate of how workplace bullying is impacted by wider structural conditions with managerial strategies of coercion in factories. It is argued here that when the state intervenes in the factory only to protect and preserve capitalists’ interests, explicitly and implicitly, coercive strategies of control turn into extreme bullying on the shopfloor.&quot;,&quot;publisher&quot;:&quot;SAGE Publications Ltd&quot;,&quot;container-title-short&quot;:&quot;&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quot;},{&quot;citationID&quot;:&quot;MENDELEY_CITATION_54fc9a59-65ba-47b3-88d4-65716d13afc3&quot;,&quot;properties&quot;:{&quot;noteIndex&quot;:0},&quot;isEdited&quot;:false,&quot;manualOverride&quot;:{&quot;isManuallyOverridden&quot;:false,&quot;citeprocText&quot;:&quot;(DiMaggio and Powell, 1983; Vidal &lt;i&gt;et al.&lt;/i&gt;, 202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NTRmYzlhNTktNjViYS00N2IzLTg4ZDQtNjU3MTZkMTNhZmMzIiwicHJvcGVydGllcyI6eyJub3RlSW5kZXgiOjB9LCJpc0VkaXRlZCI6ZmFsc2UsIm1hbnVhbE92ZXJyaWRlIjp7ImlzTWFudWFsbHlPdmVycmlkZGVuIjpmYWxzZSwiY2l0ZXByb2NUZXh0IjoiKERpTWFnZ2lvIGFuZCBQb3dlbGwsIDE5ODM7IFZpZGFsIDxpPmV0IGFsLjwvaT4sIDIwMj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quot;},{&quot;citationID&quot;:&quot;MENDELEY_CITATION_96d3bdaf-74fc-4411-81df-d88839250fb1&quot;,&quot;properties&quot;:{&quot;noteIndex&quot;:0},&quot;isEdited&quot;:false,&quot;manualOverride&quot;:{&quot;isManuallyOverridden&quot;:true,&quot;citeprocText&quot;:&quot;(Crane &lt;i&gt;et al.&lt;/i&gt;, 2019b; Oyedijo &lt;i&gt;et al.&lt;/i&gt;, 2024)&quot;,&quot;manualOverrideText&quot;:&quot;(Crane et al., 2019; Oyedijo et al., 2024)&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995741ca-9126-3e37-be80-65ed4337deea&quot;,&quot;itemData&quot;:{&quot;type&quot;:&quot;article-journal&quot;,&quot;id&quot;:&quot;995741ca-9126-3e37-be80-65ed4337deea&quot;,&quot;title&quot;:&quot;Multi-tier sustainable supply chain management: a case study of a global food retailer&quot;,&quot;author&quot;:[{&quot;family&quot;:&quot;Oyedijo&quot;,&quot;given&quot;:&quot;Adegboyega&quot;,&quot;parse-names&quot;:false,&quot;dropping-particle&quot;:&quot;&quot;,&quot;non-dropping-particle&quot;:&quot;&quot;},{&quot;family&quot;:&quot;Kusi-Sarpong&quot;,&quot;given&quot;:&quot;Simonov&quot;,&quot;parse-names&quot;:false,&quot;dropping-particle&quot;:&quot;&quot;,&quot;non-dropping-particle&quot;:&quot;&quot;},{&quot;family&quot;:&quot;Mubarik&quot;,&quot;given&quot;:&quot;Muhammad Shujaat&quot;,&quot;parse-names&quot;:false,&quot;dropping-particle&quot;:&quot;&quot;,&quot;non-dropping-particle&quot;:&quot;&quot;},{&quot;family&quot;:&quot;Khan&quot;,&quot;given&quot;:&quot;Sharfuddin Ahmed&quot;,&quot;parse-names&quot;:false,&quot;dropping-particle&quot;:&quot;&quot;,&quot;non-dropping-particle&quot;:&quot;&quot;},{&quot;family&quot;:&quot;Utulu&quot;,&quot;given&quot;:&quot;Kome&quot;,&quot;parse-names&quot;:false,&quot;dropping-particle&quot;:&quot;&quot;,&quot;non-dropping-particle&quot;:&quot;&quot;}],&quot;container-title&quot;:&quot;Supply Chain Management: An International Journal&quot;,&quot;DOI&quot;:&quot;10.1108/SCM-05-2022-0205&quot;,&quot;ISSN&quot;:&quot;13598546&quot;,&quot;issued&quot;:{&quot;date-parts&quot;:[[2024,1,2]]},&quot;page&quot;:&quot;68-97&quot;,&quot;abstract&quot;:&quot;Purpose: Implementing sustainable practices in multi-tier supply chains (MTSCs) is a difficult task. This study aims to investigate why such endeavours fail and how MTSC partners can address them. Design/methodology/approach: A single-case study of a global food retail company was used in this study. Semi-structured interviews with the case firm and its first- and second-tier suppliers were used to collect data, which were then qualitatively analysed using thematic analysis. Findings: Major barriers impeding the implementation of sustainability in multi-tier food supply chains were revealed such as the cost of sustainability, knowledge gap, lack of infrastructure and supply chain complexity. Furthermore, the findings reveal five possible solutions such as multi-tier collaboration and partnership, diffusion of innovation along the chain, supply chain mapping, sustainability performance measurement and capacity building, all of which can aid in the improvement of sustainability practices. Research limitations/implications: Future research should investigate how specific barriers and drivers affect specific aspects of sustainability, pointing practitioners to specific links between the variables that can aid in tailoring sustainability oriented investment. Practical implications: This research supports managerial comprehension of MTSC sustainability, pointing out ways to improve sustainability performance despite the complex multi-tier system of food supply chains. Originality/value: The research on MTSC sustainability is still growing, and this research contributes to the debate about how MTSCs can become more sustainable from the perspective of the triple bottom line, particularly food supply chains which face significant sustainability challenges.&quot;,&quot;publisher&quot;:&quot;Emerald Publishing&quot;,&quot;issue&quot;:&quot;1&quot;,&quot;volume&quot;:&quot;29&quot;,&quot;container-title-short&quot;:&quot;&quot;},&quot;isTemporary&quot;:false}],&quot;citationTag&quot;:&quot;MENDELEY_CITATION_v3_eyJjaXRhdGlvbklEIjoiTUVOREVMRVlfQ0lUQVRJT05fOTZkM2JkYWYtNzRmYy00NDExLTgxZGYtZDg4ODM5MjUwZmIxIiwicHJvcGVydGllcyI6eyJub3RlSW5kZXgiOjB9LCJpc0VkaXRlZCI6ZmFsc2UsIm1hbnVhbE92ZXJyaWRlIjp7ImlzTWFudWFsbHlPdmVycmlkZGVuIjp0cnVlLCJjaXRlcHJvY1RleHQiOiIoQ3JhbmUgPGk+ZXQgYWwuPC9pPiwgMjAxOWI7IE95ZWRpam8gPGk+ZXQgYWwuPC9pPiwgMjAyNCkiLCJtYW51YWxPdmVycmlkZVRleHQiOiIoQ3JhbmUgZXQgYWwuLCAyMDE5OyBPeWVkaWpvIGV0IGFsLiwgMjAyNCkifSwiY2l0YXRpb25JdGVtcyI6W3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Y29udGFpbmVyLXRpdGxlLXNob3J0IjoiUmVndWwgR292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&quot;},{&quot;citationID&quot;:&quot;MENDELEY_CITATION_ff384aad-1d03-4ef2-ad86-29088b245c15&quot;,&quot;properties&quot;:{&quot;noteIndex&quot;:0},&quot;isEdited&quot;:false,&quot;manualOverride&quot;:{&quot;isManuallyOverridden&quot;:false,&quot;citeprocText&quot;:&quot;(BBC News, 2021; Siddiqui and Uddin, 2016)&quot;,&quot;manualOverrideText&quot;:&quot;&quot;},&quot;citationItems&quot;:[{&quot;id&quot;:&quot;6e8e37ae-1d98-3450-ad11-fbe1d0b9bd5d&quot;,&quot;itemData&quot;:{&quot;type&quot;:&quot;article-journal&quot;,&quot;id&quot;:&quot;6e8e37ae-1d98-3450-ad11-fbe1d0b9bd5d&quot;,&quot;title&quot;:&quot;Human rights disasters, corporate accountability and the state: Lessons learned from Rana Plaza&quot;,&quot;author&quot;:[{&quot;family&quot;:&quot;Siddiqui&quot;,&quot;given&quot;:&quot;Javed&quot;,&quot;parse-names&quot;:false,&quot;dropping-particle&quot;:&quot;&quot;,&quot;non-dropping-particle&quot;:&quot;&quot;},{&quot;family&quot;:&quot;Uddin&quot;,&quot;given&quot;:&quot;Shahzad&quot;,&quot;parse-names&quot;:false,&quot;dropping-particle&quot;:&quot;&quot;,&quot;non-dropping-particle&quot;:&quot;&quot;}],&quot;container-title&quot;:&quot;Accounting, Auditing and Accountability Journal&quot;,&quot;ISSN&quot;:&quot;09513574&quot;,&quot;issued&quot;:{&quot;date-parts&quot;:[[2016,5,16]]},&quot;page&quot;:&quot;679-704&quot;,&quot;abstract&quot;:&quot;Purpose – The purpose of this paper is to examine the state-business nexus in responses to human rights violations in businesses and questions the efficacy of the UN guiding principles on human rights in businesses, in particular in the ready-made garments (RMG) industry in Bangladesh. Drawing on Cohen’s notion of “denial” and Black’s (2008) legitimacy and accountability relationships of state and non-state actors, the study seeks to explain why such “soft” global regulations remain inadequate. Design/methodology/approach – The empirical work for this paper is based on the authors’ participation in two multiple-stakeholder advisory consultation meetings for the RMG sector in Bangladesh and 11 follow-up interviews. This is supplemented by documentary evidence on human rights disasters, responses of the state and non-state actors and human rights reports published in national and international newspapers. Findings – The paper provides clear evidence that the state-business nexus perpetuates human rights disasters. The study also shows that the Bangladeshi state, ruled by family-led political parties, is more inclined to protect businesses that cause human rights disasters than to ensure human rights in businesses. The economic conditions of the RMG industry and accountability and legitimacy relationships between state and non-state actors have provided the necessary background for RMG owners to continue to violate the safety and security of the workplace and maintain inhumane working conditions. Research limitations/implications – Complex state politics, including family, kinship and wealthy supporters, and economic circumstances have serious implications for the efficacy of the UN guiding principle on human rights for business. This paper calls for broader political and economic changes, nationally and internationally. Originality/value – The study highlights the perpetuation of corporate human rights abuses by the state-business nexus, and indicates that human rights issues continue to be ignored through a discourse of denial. This is explained in terms of legitimacy and accountability relationships between state and non-state actors, bounded by complex political and economic conditions.&quot;,&quot;publisher&quot;:&quot;Emerald Group Publishing Ltd.&quot;,&quot;issue&quot;:&quot;4&quot;,&quot;volume&quot;:&quot;29&quot;,&quot;container-title-short&quot;:&quot;&quot;},&quot;isTemporary&quot;:false},{&quot;id&quot;:&quot;f75d5e9f-fd53-3905-98ae-45210364a363&quot;,&quot;itemData&quot;:{&quot;type&quot;:&quot;webpage&quot;,&quot;id&quot;:&quot;f75d5e9f-fd53-3905-98ae-45210364a363&quot;,&quot;title&quot;:&quot;Shein suppliers' workers doing 75-hour week, finds probe - BBC News&quot;,&quot;author&quot;:[{&quot;family&quot;:&quot;BBC News&quot;,&quot;given&quot;:&quot;&quot;,&quot;parse-names&quot;:false,&quot;dropping-particle&quot;:&quot;&quot;,&quot;non-dropping-particle&quot;:&quot;&quot;}],&quot;accessed&quot;:{&quot;date-parts&quot;:[[2023,5,18]]},&quot;URL&quot;:&quot;https://www.bbc.co.uk/news/business-59245708&quot;,&quot;issued&quot;:{&quot;date-parts&quot;:[[2021,11,12]]},&quot;container-title-short&quot;:&quot;&quot;},&quot;isTemporary&quot;:false}],&quot;citationTag&quot;:&quot;MENDELEY_CITATION_v3_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&quot;},{&quot;citationID&quot;:&quot;MENDELEY_CITATION_b6453f81-9249-4fb4-adfa-cef78509b0d9&quot;,&quot;properties&quot;:{&quot;noteIndex&quot;:0},&quot;isEdited&quot;:false,&quot;manualOverride&quot;:{&quot;isManuallyOverridden&quot;:false,&quot;citeprocText&quot;:&quot;(Houqe and Khan, 2025)&quot;,&quot;manualOverrideText&quot;:&quot;&quot;},&quot;citationItems&quot;:[{&quot;id&quot;:&quot;36c73eb7-c044-3ca3-9d8f-a7edb5e752c5&quot;,&quot;itemData&quot;:{&quot;type&quot;:&quot;article-journal&quot;,&quot;id&quot;:&quot;36c73eb7-c044-3ca3-9d8f-a7edb5e752c5&quot;,&quot;title&quot;:&quot;Corruption, sustainable development goals performance and modern slavery practices: an international evidence&quot;,&quot;author&quot;:[{&quot;family&quot;:&quot;Houqe&quot;,&quot;given&quot;:&quot;Muhammad Nurul&quot;,&quot;parse-names&quot;:false,&quot;dropping-particle&quot;:&quot;&quot;,&quot;non-dropping-particle&quot;:&quot;&quot;},{&quot;family&quot;:&quot;Khan&quot;,&quot;given&quot;:&quot;Habib Zaman&quot;,&quot;parse-names&quot;:false,&quot;dropping-particle&quot;:&quot;&quot;,&quot;non-dropping-particle&quot;:&quot;&quot;}],&quot;container-title&quot;:&quot;Journal of Accounting Literature&quot;,&quot;DOI&quot;:&quot;10.1108/JAL-03-2024-0045&quot;,&quot;ISSN&quot;:&quot;07374607&quot;,&quot;issued&quot;:{&quot;date-parts&quot;:[[2025]]},&quot;page&quot;:&quot;323-351&quot;,&quot;abstract&quot;:&quot;Purpose: This study examines the two key research question; (1) Does country-level corruption give rise to modern slavery (MS) practices and (2) Does sustainable development goals (SDGs) performance of different jurisdictions reduce MS practices? Design/methodology/approach: Using a sample of 431 country-year observations (for the period of 2016, 2018 and 2023) from 146 countries, the study test hypotheses applying different econometrics analysis and conducts robustness tests. Findings: Our results indicate that country-level corruption practices increase MS practices in different contexts. These results hold when we use alternative measures for MS construct. Our study also reported that MS practices in different jurisdictions are lessened when country-level SDGs performance is higher. Our additional analysis finds that higher country-level debt serves as a channel between corruption and MS practices. Research limitations/implications: Practically, the findings of the study have a take-away message for different global actors, in particular, different countries’ governments, national regulators working to abate corruption and slavery issues. For other actors such as the United Nations, the ILO and others, the findings will have practical value for their new policy development and interventions. Originality/value: To the best of our knowledge, this study is the first that investigated the role of country-level corruption on MS practice at the country level. Similarly, our attempt towards exploring the impact of country-level sustainable development goals (SDGs) performance on the MS practices is also primary in the literature. Lastly, developing a single framework by integrating different countries’ MS practices with corruption and SDGs performance and providing related empirical evidence with global level data is a new initiative in the accounting and sustainability literature.&quot;,&quot;publisher&quot;:&quot;Emerald Publishing&quot;,&quot;issue&quot;:&quot;5&quot;,&quot;volume&quot;:&quot;47&quot;,&quot;container-title-short&quot;:&quot;&quot;},&quot;isTemporary&quot;:false}],&quot;citationTag&quot;:&quot;MENDELEY_CITATION_v3_eyJjaXRhdGlvbklEIjoiTUVOREVMRVlfQ0lUQVRJT05fYjY0NTNmODEtOTI0OS00ZmI0LWFkZmEtY2VmNzg1MDliMGQ5IiwicHJvcGVydGllcyI6eyJub3RlSW5kZXgiOjB9LCJpc0VkaXRlZCI6ZmFsc2UsIm1hbnVhbE92ZXJyaWRlIjp7ImlzTWFudWFsbHlPdmVycmlkZGVuIjpmYWxzZSwiY2l0ZXByb2NUZXh0IjoiKEhvdXFlIGFuZCBLaGFuLCAyMDI1KSIsIm1hbnVhbE92ZXJyaWRlVGV4dCI6Ii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V19&quot;},{&quot;citationID&quot;:&quot;MENDELEY_CITATION_9ccbe582-2826-4704-9ee3-3b5e25eeb35f&quot;,&quot;properties&quot;:{&quot;noteIndex&quot;:0},&quot;isEdited&quot;:false,&quot;manualOverride&quot;:{&quot;isManuallyOverridden&quot;:false,&quot;citeprocText&quot;:&quot;(Helfaya &lt;i&gt;et al.&lt;/i&gt;, 2025;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OWNjYmU1ODItMjgyNi00NzA0LTllZTMtM2I1ZTI1ZWViMzVmIiwicHJvcGVydGllcyI6eyJub3RlSW5kZXgiOjB9LCJpc0VkaXRlZCI6ZmFsc2UsIm1hbnVhbE92ZXJyaWRlIjp7ImlzTWFudWFsbHlPdmVycmlkZGVuIjpmYWxzZSwiY2l0ZXByb2NUZXh0IjoiKEhlbGZheWE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quot;},{&quot;citationID&quot;:&quot;MENDELEY_CITATION_ef3ad350-864d-49f4-a43a-08d2c94ed80f&quot;,&quot;properties&quot;:{&quot;noteIndex&quot;:0},&quot;isEdited&quot;:false,&quot;manualOverride&quot;:{&quot;isManuallyOverridden&quot;:true,&quot;citeprocText&quot;:&quot;(Muchlinski, 2012a)&quot;,&quot;manualOverrideText&quot;:&quot;(Muchlinski, 2012)&quot;},&quot;citationItems&quot;:[{&quot;id&quot;:&quot;6fb3f198-c12e-3614-a88f-522a21c9e2c5&quot;,&quot;itemData&quot;:{&quot;type&quot;:&quot;article-journal&quot;,&quot;id&quot;:&quot;6fb3f198-c12e-3614-a88f-522a21c9e2c5&quot;,&quot;title&quot;:&quot;Implementing the New UN Corporate Human Rights Framework: Implications for Corporate Law, Governance, and Regulation&quot;,&quot;author&quot;:[{&quot;family&quot;:&quot;Muchlinski&quot;,&quot;given&quot;:&quot;Peter&quot;,&quot;parse-names&quot;:false,&quot;dropping-particle&quot;:&quot;&quot;,&quot;non-dropping-particle&quot;:&quot;&quot;}],&quot;container-title&quot;:&quot;Quarterly&quot;,&quot;accessed&quot;:{&quot;date-parts&quot;:[[2023,2,27]]},&quot;DOI&quot;:&quot;10.5840/beq20122218&quot;,&quot;URL&quot;:&quot;https://doi.org/10.5840/beq20122218&quot;,&quot;issued&quot;:{&quot;date-parts&quot;:[[2012]]},&quot;page&quot;:&quot;1&quot;,&quot;abstract&quot;:&quot;the UN Framework on Human Rights and business comprises the State's duty to protect human rights, the corporate responsibility to respect human rights, and the duty to remedy abuses. this paper focuses on the corporate responsibility to respect. It considers how to overcome obstacles, arising out of national and international law, to the development of a legally binding corporate duty to respect human rights. It is argued that the notion of human rights due diligence will lead to the creation of binding legal duties and that principles of corporate and tort law can be adapted to this end. Furthermore, recent legal developments accept an \&quot;enlightened shareholder value\&quot; approach allowing corporate managers to consider human rights issues when making decisions. the responsibility to respect involves adaptation of shareholder based corporate governance towards a more stakeholder oriented approach and could lead to the development of a new, stakeholder based, corporate model.&quot;,&quot;volume&quot;:&quot;22&quot;,&quot;container-title-short&quot;:&quot;&quot;},&quot;isTemporary&quot;:false}],&quot;citationTag&quot;:&quot;MENDELEY_CITATION_v3_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&quot;},{&quot;citationID&quot;:&quot;MENDELEY_CITATION_aca0005e-6cb9-4acc-b240-3e6ab2115538&quot;,&quot;properties&quot;:{&quot;noteIndex&quot;:0},&quot;isEdited&quot;:false,&quot;manualOverride&quot;:{&quot;isManuallyOverridden&quot;:false,&quot;citeprocText&quot;:&quot;(Meyer and Rowan, 1977; Muthuthantrige &lt;i&gt;et al.&lt;/i&gt;, 2026)&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YWNhMDAwNWUtNmNiOS00YWNjLWIyNDAtM2U2YWIyMTE1NTM4IiwicHJvcGVydGllcyI6eyJub3RlSW5kZXgiOjB9LCJpc0VkaXRlZCI6ZmFsc2UsIm1hbnVhbE92ZXJyaWRlIjp7ImlzTWFudWFsbHlPdmVycmlkZGVuIjpmYWxzZSwiY2l0ZXByb2NUZXh0IjoiKE1leWVyIGFuZCBSb3dhbiwgMTk3NzsgTXV0aHV0aGFudHJpZ2UgPGk+ZXQgYWwuPC9pPiwgMjAyNi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quot;},{&quot;citationID&quot;:&quot;MENDELEY_CITATION_d997c57b-8504-4e5d-8b6b-9910a95a5677&quot;,&quot;properties&quot;:{&quot;noteIndex&quot;:0},&quot;isEdited&quot;:false,&quot;manualOverride&quot;:{&quot;isManuallyOverridden&quot;:false,&quot;citeprocText&quot;:&quot;(LeBaron and Rühmkorf, 2017; Ma &lt;i&gt;et al.&lt;/i&gt;, 2016; Muthuthantrige &lt;i&gt;et al.&lt;/i&gt;, 2026)&quot;,&quot;manualOverrideText&quot;:&quot;&quot;},&quot;citationItems&quot;:[{&quot;id&quot;:&quot;ccd151d4-e57f-3654-92b0-e769985c95de&quot;,&quot;itemData&quot;:{&quot;type&quot;:&quot;article-journal&quot;,&quot;id&quot;:&quot;ccd151d4-e57f-3654-92b0-e769985c95de&quot;,&quot;title&quot;:&quot;Steering CSR Through Home State Regulation: A Comparison of the Impact of the UK Bribery Act and Modern Slavery Act on Global Supply Chain Governance&quot;,&quot;author&quot;:[{&quot;family&quot;:&quot;LeBaron&quot;,&quot;given&quot;:&quot;Genevieve&quot;,&quot;parse-names&quot;:false,&quot;dropping-particle&quot;:&quot;&quot;,&quot;non-dropping-particle&quot;:&quot;&quot;},{&quot;family&quot;:&quot;Rühmkorf&quot;,&quot;given&quot;:&quot;Andreas&quot;,&quot;parse-names&quot;:false,&quot;dropping-particle&quot;:&quot;&quot;,&quot;non-dropping-particle&quot;:&quot;&quot;}],&quot;container-title&quot;:&quot;Global Policy&quot;,&quot;container-title-short&quot;:&quot;Glob Policy&quot;,&quot;accessed&quot;:{&quot;date-parts&quot;:[[2023,5,17]]},&quot;DOI&quot;:&quot;10.1111/1758-5899.12398&quot;,&quot;ISSN&quot;:&quot;1758-5899&quot;,&quot;URL&quot;:&quot;https://onlinelibrary.wiley.com/doi/full/10.1111/1758-5899.12398&quot;,&quot;issued&quot;:{&quot;date-parts&quot;:[[2017,5,1]]},&quot;page&quot;:&quot;15-28&quot;,&quot;abstract&quot;:&quot;The home states of multinational enterprises have in recent years sought to use public regulation to fill the gaps left by the absence of a binding labour standards framework in international law. This article examines recent home state initiatives to address forced labour, human trafficking, and slavery in global supply chains, and their interactions with private governance initiatives. Focusing on a case study of the 2015 UK Modern Slavery Act and 2010 UK Bribery Act, we analyse two distinct legislative approaches that policy makers have used to promote corporate accountability within global supply chains and explore the varied impacts that these approaches have on corporate behaviour. Empirically, we analyse codes of conduct, annual CSR reports, and supplier terms and conditions for 25 FTSE 100 companies to shed light into the impact of the legislation on corporate behaviour. We find that legislation that creates criminal corporate liability appears to spur deeper changes to corporate strategy, and argue that in the case of the Modern Slavery Act, the triumph of voluntary reporting over more stringent public labour standards seems to have undermined the effectiveness of recent governance initiatives to address forced labour in global supply chains.&quot;,&quot;publisher&quot;:&quot;John Wiley &amp; Sons, Ltd&quot;,&quot;volume&quot;:&quot;8&quot;},&quot;isTemporary&quot;:false},{&quot;id&quot;:&quot;1979fefc-119e-3d00-8543-140539876dd2&quot;,&quot;itemData&quot;:{&quot;type&quot;:&quot;article-journal&quot;,&quot;id&quot;:&quot;1979fefc-119e-3d00-8543-140539876dd2&quot;,&quot;title&quot;:&quot;Transparency of Global Apparel Supply Chains: Quantitative Analysis of Corporate Disclosures&quot;,&quot;author&quot;:[{&quot;family&quot;:&quot;Ma&quot;,&quot;given&quot;:&quot;Yoon Jin&quot;,&quot;parse-names&quot;:false,&quot;dropping-particle&quot;:&quot;&quot;,&quot;non-dropping-particle&quot;:&quot;&quot;},{&quot;family&quot;:&quot;Lee&quot;,&quot;given&quot;:&quot;Hyun Hwa&quot;,&quot;parse-names&quot;:false,&quot;dropping-particle&quot;:&quot;&quot;,&quot;non-dropping-particle&quot;:&quot;&quot;},{&quot;family&quot;:&quot;Goerlitz&quot;,&quot;given&quot;:&quot;Kylie&quot;,&quot;parse-names&quot;:false,&quot;dropping-particle&quot;:&quot;&quot;,&quot;non-dropping-particle&quot;:&quot;&quot;}],&quot;container-title&quot;:&quot;Corporate Social Responsibility and Environmental Management&quot;,&quot;container-title-short&quot;:&quot;Corp Soc Responsib Environ Manag&quot;,&quot;ISSN&quot;:&quot;15353966&quot;,&quot;issued&quot;:{&quot;date-parts&quot;:[[2016,9,1]]},&quot;page&quot;:&quot;308-318&quot;,&quot;abstract&quot;:&quot;As the globalization of the apparel industry has increased, many issues have emerged regarding the management of supply chains overseas. Significantly low contract prices, which are offered in an effort to remain competitive in global trade, often lead to labor exploitation. The California Transparency in Supply Chains Act went into effect in 2012 to eradicate slavery and human trafficking from supply chains of manufacturing and retail companies. The purpose of this study was to investigate the current status of implementation of this Act in the apparel industry. A quantitative content analysis was conducted to analyze the website disclosures of 204 US-based apparel retail and manufacturing companies, focusing on the presence, type, length, accessibility, and content of their disclosures. The findings of this study provide insights for manufacturers, retailers, and marketers regarding how they can publicize their socially responsible efforts, particularly regarding slavery and human trafficking issues in their supply chains. Copyright © 2015 John Wiley &amp; Sons, Ltd and ERP Environment.&quot;,&quot;publisher&quot;:&quot;John Wiley and Sons Ltd&quot;,&quot;issue&quot;:&quot;5&quot;,&quot;volume&quot;:&quot;23&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ZDk5N2M1N2ItODUwNC00ZTVkLThiNmItOTkxMGE5NWE1Njc3IiwicHJvcGVydGllcyI6eyJub3RlSW5kZXgiOjB9LCJpc0VkaXRlZCI6ZmFsc2UsIm1hbnVhbE92ZXJyaWRlIjp7ImlzTWFudWFsbHlPdmVycmlkZGVuIjpmYWxzZSwiY2l0ZXByb2NUZXh0IjoiKExlQmFyb24gYW5kIFLDvGhta29yZiwgMjAxNzsgTWEgPGk+ZXQgYWwuPC9pPiwgMjAxNjsgTXV0aHV0aGFudHJpZ2UgPGk+ZXQgYWwuPC9pPiwgMjAyNikiLCJtYW51YWxPdmVycmlkZVRleHQiOiIifSwiY2l0YXRpb25JdGVtcyI6W3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quot;},{&quot;citationID&quot;:&quot;MENDELEY_CITATION_3f9326c8-ec4b-4e68-842d-515964fd3c6c&quot;,&quot;properties&quot;:{&quot;noteIndex&quot;:0},&quot;isEdited&quot;:false,&quot;manualOverride&quot;:{&quot;isManuallyOverridden&quot;:false,&quot;citeprocText&quot;:&quot;(Young and Gad, 2022)&quot;,&quot;manualOverrideText&quot;:&quot;&quot;},&quot;citationItems&quot;:[{&quot;id&quot;:&quot;38773d4e-23d1-388d-9c83-5dfd0d8214af&quot;,&quot;itemData&quot;:{&quot;type&quot;:&quot;report&quot;,&quot;id&quot;:&quot;38773d4e-23d1-388d-9c83-5dfd0d8214af&quot;,&quot;title&quot;:&quot;Modern Slavery Reporting\nPractices in the UK: Evidence from Modern Slavery\nStatements and Annual Reports&quot;,&quot;author&quot;:[{&quot;family&quot;:&quot;Young&quot;,&quot;given&quot;:&quot;Steven&quot;,&quot;parse-names&quot;:false,&quot;dropping-particle&quot;:&quot;&quot;,&quot;non-dropping-particle&quot;:&quot;&quot;},{&quot;family&quot;:&quot;Gad&quot;,&quot;given&quot;:&quot;Mahmoud&quot;,&quot;parse-names&quot;:false,&quot;dropping-particle&quot;:&quot;&quot;,&quot;non-dropping-particle&quot;:&quot;&quot;}],&quot;issued&quot;:{&quot;date-parts&quot;:[[2022]]},&quot;number-of-pages&quot;:&quot;1-28&quot;,&quot;container-title-short&quot;:&quot;&quot;},&quot;isTemporary&quot;:false}],&quot;citationTag&quot;:&quot;MENDELEY_CITATION_v3_eyJjaXRhdGlvbklEIjoiTUVOREVMRVlfQ0lUQVRJT05fM2Y5MzI2YzgtZWM0Yi00ZTY4LTg0MmQtNTE1OTY0ZmQzYzZjIiwicHJvcGVydGllcyI6eyJub3RlSW5kZXgiOjB9LCJpc0VkaXRlZCI6ZmFsc2UsIm1hbnVhbE92ZXJyaWRlIjp7ImlzTWFudWFsbHlPdmVycmlkZGVuIjpmYWxzZSwiY2l0ZXByb2NUZXh0IjoiKFlvdW5nIGFuZCBHYWQsIDIwMjIpIiwibWFudWFsT3ZlcnJpZGVUZXh0IjoiIn0sImNpdGF0aW9uSXRlbXMiOlt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XX0=&quot;},{&quot;citationID&quot;:&quot;MENDELEY_CITATION_1bd8e246-e7e7-41b6-a68e-ec9579bd3648&quot;,&quot;properties&quot;:{&quot;noteIndex&quot;:0},&quot;isEdited&quot;:false,&quot;manualOverride&quot;:{&quot;isManuallyOverridden&quot;:false,&quot;citeprocText&quot;:&quot;(Bales, 2009; Daghar &lt;i&gt;et al.&lt;/i&gt;, 2025; Rogerson &lt;i&gt;et al.&lt;/i&gt;, 2025)&quot;,&quot;manualOverrideText&quot;:&quot;&quot;},&quot;citationItems&quot;:[{&quot;id&quot;:&quot;9056be13-ee06-3b9d-9b06-eba6f85c5cd4&quot;,&quot;itemData&quot;:{&quot;type&quot;:&quot;article-journal&quot;,&quot;id&quot;:&quot;9056be13-ee06-3b9d-9b06-eba6f85c5cd4&quot;,&quot;title&quot;:&quot;Theorizing Meta-Organizations' Role in Addressing Societal Problems: Hybridizing Institutional Logics to Tackle Modern Slavery&quot;,&quot;author&quot;:[{&quot;family&quot;:&quot;Rogerson&quot;,&quot;given&quot;:&quot;Michael&quot;,&quot;parse-names&quot;:false,&quot;dropping-particle&quot;:&quot;&quot;,&quot;non-dropping-particle&quot;:&quot;&quot;},{&quot;family&quot;:&quot;Grosvold&quot;,&quot;given&quot;:&quot;Johanne&quot;,&quot;parse-names&quot;:false,&quot;dropping-particle&quot;:&quot;&quot;,&quot;non-dropping-particle&quot;:&quot;&quot;},{&quot;family&quot;:&quot;Crane&quot;,&quot;given&quot;:&quot;Andrew&quot;,&quot;parse-names&quot;:false,&quot;dropping-particle&quot;:&quot;&quot;,&quot;non-dropping-particle&quot;:&quot;&quot;}],&quot;container-title&quot;:&quot;Journal of Supply Chain Management&quot;,&quot;DOI&quot;:&quot;10.1111/jscm.12345&quot;,&quot;ISSN&quot;:&quot;1745493X&quot;,&quot;issued&quot;:{&quot;date-parts&quot;:[[2025,4,1]]},&quot;page&quot;:&quot;53-73&quot;,&quot;abstract&quot;:&quot;Modern slavery is increasingly recognized as a supply chain risk to both workers and firms. Neither corporate efforts nor market-based regulation has adequately addressed the issue. This is largely because they fail to reconcile the conflicting priorities between efficiency and anti-slavery goals inherent in such efforts. Public sector purchasing—often conducted through meta-organizations—offers both the scale and scope needed to change supply chain behaviors. Yet meta-organizations and how they effect change remain underexplored and under-theorized. Through analysis of archival material and 44 interviews with public sector buyers and purchasing consortia managers, we construct two case studies of meta-organizations. These cases reveal rich insights into meta-organizations' capacity both to improve public sector knowledge and compliance around modern slavery and to compel suppliers to enhance their anti-slavery efforts. The findings show that, by adapting purchasing structures and developing expertise, and thereby hybridizing the logics of efficiency and anti-slavery, purchasing consortia can embed accountability within and beyond the bounds of their memberships. The study contributes to theories of meta-organizations and institutional logics in the context of supply chain management and to policy and practice on modern slavery in supply chains.&quot;,&quot;publisher&quot;:&quot;John Wiley and Sons Inc&quot;,&quot;issue&quot;:&quot;2&quot;,&quot;volume&quot;:&quot;61&quot;,&quot;container-title-short&quot;:&quot;&quot;},&quot;isTemporary&quot;:false},{&quot;id&quot;:&quot;55816fdd-7328-3268-9b16-d8d28267dc4e&quot;,&quot;itemData&quot;:{&quot;type&quot;:&quot;article-journal&quot;,&quot;id&quot;:&quot;55816fdd-7328-3268-9b16-d8d28267dc4e&quot;,&quot;title&quot;:&quot;Resilient interorganizational culture in multi-tier supply networks: the “what” and “how”&quot;,&quot;author&quot;:[{&quot;family&quot;:&quot;Daghar&quot;,&quot;given&quot;:&quot;Anis&quot;,&quot;parse-names&quot;:false,&quot;dropping-particle&quot;:&quot;&quot;,&quot;non-dropping-particle&quot;:&quot;&quot;},{&quot;family&quot;:&quot;Alinaghian&quot;,&quot;given&quot;:&quot;Leila&quot;,&quot;parse-names&quot;:false,&quot;dropping-particle&quot;:&quot;&quot;,&quot;non-dropping-particle&quot;:&quot;&quot;},{&quot;family&quot;:&quot;Turner&quot;,&quot;given&quot;:&quot;Neil&quot;,&quot;parse-names&quot;:false,&quot;dropping-particle&quot;:&quot;&quot;,&quot;non-dropping-particle&quot;:&quot;&quot;}],&quot;container-title&quot;:&quot;Supply Chain Management: An International Journal&quot;,&quot;DOI&quot;:&quot;10.1108/SCM-10-2024-0685&quot;,&quot;ISSN&quot;:&quot;1359-8546&quot;,&quot;issued&quot;:{&quot;date-parts&quot;:[[2025,10,7]]},&quot;container-title-short&quot;:&quot;&quot;},&quot;isTemporary&quot;:false},{&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citationTag&quot;:&quot;MENDELEY_CITATION_v3_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V19&quot;},{&quot;citationID&quot;:&quot;MENDELEY_CITATION_56439b30-47f1-4932-98e7-1fb3fedddb2d&quot;,&quot;properties&quot;:{&quot;noteIndex&quot;:0},&quot;isEdited&quot;:false,&quot;manualOverride&quot;:{&quot;isManuallyOverridden&quot;:true,&quot;citeprocText&quot;:&quot;(ILO and UNICEF, 2020)&quot;,&quot;manualOverrideText&quot;:&quot;ILO and UNICEF (2020)&quot;},&quot;citationItems&quot;:[{&quot;id&quot;:&quot;9af3c5ce-bbf4-37ce-a4fc-268b085b7675&quot;,&quot;itemData&quot;:{&quot;type&quot;:&quot;report&quot;,&quot;id&quot;:&quot;9af3c5ce-bbf4-37ce-a4fc-268b085b7675&quot;,&quot;title&quot;:&quot;Child labour: Global estimate 2020, trend and the road forward&quot;,&quot;author&quot;:[{&quot;family&quot;:&quot;ILO&quot;,&quot;given&quot;:&quot;&quot;,&quot;parse-names&quot;:false,&quot;dropping-particle&quot;:&quot;&quot;,&quot;non-dropping-particle&quot;:&quot;&quot;},{&quot;family&quot;:&quot;UNICEF&quot;,&quot;given&quot;:&quot;&quot;,&quot;parse-names&quot;:false,&quot;dropping-particle&quot;:&quot;&quot;,&quot;non-dropping-particle&quot;:&quot;&quot;}],&quot;accessed&quot;:{&quot;date-parts&quot;:[[2023,3,30]]},&quot;URL&quot;:&quot;https://data.unicef.org/resources/child-labour-2020-global-estimates-trends-and-the-road-forward/&quot;,&quot;issued&quot;:{&quot;date-parts&quot;:[[2020]]},&quot;number-of-pages&quot;:&quot;1-88&quot;,&quot;container-title-short&quot;:&quot;&quot;},&quot;isTemporary&quot;:false}],&quot;citationTag&quot;:&quot;MENDELEY_CITATION_v3_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&quot;},{&quot;citationID&quot;:&quot;MENDELEY_CITATION_becd3d08-f2ac-472f-9161-2dc0d1e658cb&quot;,&quot;properties&quot;:{&quot;noteIndex&quot;:0},&quot;isEdited&quot;:false,&quot;manualOverride&quot;:{&quot;isManuallyOverridden&quot;:false,&quot;citeprocText&quot;:&quot;(Allain, 2019)&quot;,&quot;manualOverrideText&quot;:&quot;&quot;},&quot;citationItems&quot;:[{&quot;id&quot;:&quot;4528b1cd-e45d-38a1-8e55-b725c730b86c&quot;,&quot;itemData&quot;:{&quot;type&quot;:&quot;chapter&quot;,&quot;id&quot;:&quot;4528b1cd-e45d-38a1-8e55-b725c730b86c&quot;,&quot;title&quot;:&quot;Conceptualizing the Exploitation of Human Trafficking&quot;,&quot;author&quot;:[{&quot;family&quot;:&quot;Allain&quot;,&quot;given&quot;:&quot;Jean&quot;,&quot;parse-names&quot;:false,&quot;dropping-particle&quot;:&quot;&quot;,&quot;non-dropping-particle&quot;:&quot;&quot;}],&quot;container-title&quot;:&quot;The SAGE Handbook of Human Trafficking and Modern Day Slavery&quot;,&quot;DOI&quot;:&quot;10.4135/9781526436146.n1&quot;,&quot;issued&quot;:{&quot;date-parts&quot;:[[2019]]},&quot;publisher-place&quot;:&quot;1 Oliver's Yard, 55 City Road London EC1Y 1SP &quot;,&quot;page&quot;:&quot;3-17&quot;,&quot;publisher&quot;:&quot;SAGE Publications Ltd&quot;,&quot;container-title-short&quot;:&quot;&quot;},&quot;isTemporary&quot;:false}],&quot;citationTag&quot;:&quot;MENDELEY_CITATION_v3_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&quot;},{&quot;citationID&quot;:&quot;MENDELEY_CITATION_cfc93b99-0a1c-4991-ad99-903fbd1ac03a&quot;,&quot;properties&quot;:{&quot;noteIndex&quot;:0},&quot;isEdited&quot;:false,&quot;manualOverride&quot;:{&quot;isManuallyOverridden&quot;:false,&quot;citeprocText&quot;:&quot;(Human Rights Watch, 2022; Kirton and Trebilcock, 2017; Muthuthantrige &lt;i&gt;et al.&lt;/i&gt;, 2026)&quot;,&quot;manualOverrideText&quot;:&quot;&quot;},&quot;citationItems&quot;:[{&quot;id&quot;:&quot;4b7a9bc9-c5eb-34b9-8b1e-e112f7d0e188&quot;,&quot;itemData&quot;:{&quot;type&quot;:&quot;book&quot;,&quot;id&quot;:&quot;4b7a9bc9-c5eb-34b9-8b1e-e112f7d0e188&quot;,&quot;title&quot;:&quot;Hard choices, soft law: Voluntary standards in global trade, environment and social governance&quot;,&quot;author&quot;:[{&quot;family&quot;:&quot;Kirton&quot;,&quot;given&quot;:&quot;John J.&quot;,&quot;parse-names&quot;:false,&quot;dropping-particle&quot;:&quot;&quot;,&quot;non-dropping-particle&quot;:&quot;&quot;},{&quot;family&quot;:&quot;Trebilcock&quot;,&quot;given&quot;:&quot;Michael J.&quot;,&quot;parse-names&quot;:false,&quot;dropping-particle&quot;:&quot;&quot;,&quot;non-dropping-particle&quot;:&quot;&quot;}],&quot;accessed&quot;:{&quot;date-parts&quot;:[[2022,10,7]]},&quot;editor&quot;:[{&quot;family&quot;:&quot;Routledge&quot;,&quot;given&quot;:&quot;&quot;,&quot;parse-names&quot;:false,&quot;dropping-particle&quot;:&quot;&quot;,&quot;non-dropping-particle&quot;:&quot;&quot;}],&quot;URL&quot;:&quot;https://www.taylorfrancis.com/books/mono/10.4324/9781315253633/hard-choices-soft-law-john-kirton-michael-trebilcock&quot;,&quot;issued&quot;:{&quot;date-parts&quot;:[[2017,1,1]]},&quot;publisher-place&quot;:&quot;London&quot;,&quot;number-of-pages&quot;:&quot;1-372&quot;,&quot;abstract&quot;:&quot;An important read for academics and policy-makers alike, Hard Choices, Soft Law asserts that voluntary standards, or 'soft' law, are an important supplement to international law in a number of areas. This key work firstly outlines the approach taken to combining soft and hard law and trade, environment and labour values in the WTO and NAFTA, and in the prospective Millennium Round. Then, using the forestry sector - a realm where formal international law remains largely absent - the book provides a detailed examination of the role of soft law in action. It demonstrates how soft and hard law can be combined to promote trade, environmental and social cohesion, in ways that also permit sustainable development. The book presents a wealth of knowledge from a range of contributors familiar with the work of the G7/G8, the OECD, the Biodiversity Convention and the Codex Alimentarius.&quot;,&quot;edition&quot;:&quot;1&quot;,&quot;publisher&quot;:&quot;Taylor and Francis&quot;,&quot;container-title-short&quot;:&quot;&quot;},&quot;isTemporary&quot;:false},{&quot;id&quot;:&quot;2581b966-c366-3806-83a7-21869797eeb7&quot;,&quot;itemData&quot;:{&quot;type&quot;:&quot;webpage&quot;,&quot;id&quot;:&quot;2581b966-c366-3806-83a7-21869797eeb7&quot;,&quot;title&quot;:&quot;China: US Law Against Uyghur Forced Labour Takes Effect | Human Rights Watch&quot;,&quot;author&quot;:[{&quot;family&quot;:&quot;Human Rights Watch&quot;,&quot;given&quot;:&quot;&quot;,&quot;parse-names&quot;:false,&quot;dropping-particle&quot;:&quot;&quot;,&quot;non-dropping-particle&quot;:&quot;&quot;}],&quot;accessed&quot;:{&quot;date-parts&quot;:[[2022,9,22]]},&quot;URL&quot;:&quot;https://www.hrw.org/news/2022/06/20/china-us-law-against-uyghur-forced-labor-takes-effect&quot;,&quot;issued&quot;:{&quot;date-parts&quot;:[[2022,6,20]]}},&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quot;},{&quot;citationID&quot;:&quot;MENDELEY_CITATION_e14c0bf5-9955-4509-a08d-2ff250b0bd9c&quot;,&quot;properties&quot;:{&quot;noteIndex&quot;:0},&quot;isEdited&quot;:false,&quot;manualOverride&quot;:{&quot;isManuallyOverridden&quot;:false,&quot;citeprocText&quot;:&quot;(Alexander &lt;i&gt;et al.&lt;/i&gt;, 2022)&quot;,&quot;manualOverrideText&quot;:&quot;&quot;},&quot;citationItems&quot;:[{&quot;id&quot;:&quot;fd102632-d11f-341f-8793-40c55386ce76&quot;,&quot;itemData&quot;:{&quot;type&quot;:&quot;report&quot;,&quot;id&quot;:&quot;fd102632-d11f-341f-8793-40c55386ce76&quot;,&quot;title&quot;:&quot;Addressing modern slavery in long and complex supply chains. Assessing understandings of effective supply chain governance&quot;,&quot;author&quot;:[{&quot;family&quot;:&quot;Alexander&quot;,&quot;given&quot;:&quot;Trautrims&quot;,&quot;parse-names&quot;:false,&quot;dropping-particle&quot;:&quot;&quot;,&quot;non-dropping-particle&quot;:&quot;&quot;},{&quot;family&quot;:&quot;Oana&quot;,&quot;given&quot;:&quot;Burcu&quot;,&quot;parse-names&quot;:false,&quot;dropping-particle&quot;:&quot;&quot;,&quot;non-dropping-particle&quot;:&quot;&quot;},{&quot;family&quot;:&quot;Faiza&quot;,&quot;given&quot;:&quot;Zafar&quot;,&quot;parse-names&quot;:false,&quot;dropping-particle&quot;:&quot;&quot;,&quot;non-dropping-particle&quot;:&quot;&quot;},{&quot;family&quot;:&quot;Charlotte&quot;,&quot;given&quot;:&quot;Lush&quot;,&quot;parse-names&quot;:false,&quot;dropping-particle&quot;:&quot;&quot;,&quot;non-dropping-particle&quot;:&quot;&quot;}],&quot;issued&quot;:{&quot;date-parts&quot;:[[2022]]},&quot;number-of-pages&quot;:&quot;1-26&quot;,&quot;container-title-short&quot;:&quot;&quot;},&quot;isTemporary&quot;:false}],&quot;citationTag&quot;:&quot;MENDELEY_CITATION_v3_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&quot;},{&quot;citationID&quot;:&quot;MENDELEY_CITATION_0028840f-e91b-4d63-aeb5-5bad51f1a447&quot;,&quot;properties&quot;:{&quot;noteIndex&quot;:0},&quot;isEdited&quot;:false,&quot;manualOverride&quot;:{&quot;isManuallyOverridden&quot;:false,&quot;citeprocText&quot;:&quot;(BBC News, 2021)&quot;,&quot;manualOverrideText&quot;:&quot;&quot;},&quot;citationItems&quot;:[{&quot;id&quot;:&quot;f75d5e9f-fd53-3905-98ae-45210364a363&quot;,&quot;itemData&quot;:{&quot;type&quot;:&quot;webpage&quot;,&quot;id&quot;:&quot;f75d5e9f-fd53-3905-98ae-45210364a363&quot;,&quot;title&quot;:&quot;Shein suppliers' workers doing 75-hour week, finds probe&quot;,&quot;author&quot;:[{&quot;family&quot;:&quot;BBC News&quot;,&quot;given&quot;:&quot;&quot;,&quot;parse-names&quot;:false,&quot;dropping-particle&quot;:&quot;&quot;,&quot;non-dropping-particle&quot;:&quot;&quot;}],&quot;accessed&quot;:{&quot;date-parts&quot;:[[2023,5,18]]},&quot;URL&quot;:&quot;https://www.bbc.co.uk/news/business-59245708&quot;,&quot;issued&quot;:{&quot;date-parts&quot;:[[2021,11,12]]},&quot;container-title-short&quot;:&quot;&quot;},&quot;isTemporary&quot;:false}],&quot;citationTag&quot;:&quot;MENDELEY_CITATION_v3_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&quot;},{&quot;citationID&quot;:&quot;MENDELEY_CITATION_455226a4-b2ca-441e-b545-024c326a7488&quot;,&quot;properties&quot;:{&quot;noteIndex&quot;:0},&quot;isEdited&quot;:false,&quot;manualOverride&quot;:{&quot;isManuallyOverridden&quot;:true,&quot;citeprocText&quot;:&quot;(DiMaggio and Powell, 1983; Obayi and Ebrahimi, 2021)&quot;,&quot;manualOverrideText&quot;:&quot;(Dimaggio and Powell, 1983; Obayi and Ebrahimi, 2021a)&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0328897a-b571-31e2-aa19-b00f3c00c109&quot;,&quot;itemData&quot;:{&quot;type&quot;:&quot;article-journal&quot;,&quot;id&quot;:&quot;0328897a-b571-31e2-aa19-b00f3c00c109&quot;,&quot;title&quot;:&quot;A neo-institutional view of the transaction cost drivers of construction supply chain risk management&quot;,&quot;author&quot;:[{&quot;family&quot;:&quot;Obayi&quot;,&quot;given&quot;:&quot;Raymond&quot;,&quot;parse-names&quot;:false,&quot;dropping-particle&quot;:&quot;&quot;,&quot;non-dropping-particle&quot;:&quot;&quot;},{&quot;family&quot;:&quot;Ebrahimi&quot;,&quot;given&quot;:&quot;Seyed Nasrollah&quot;,&quot;parse-names&quot;:false,&quot;dropping-particle&quot;:&quot;&quot;,&quot;non-dropping-particle&quot;:&quot;&quot;}],&quot;container-title&quot;:&quot;Supply Chain Management: An International Journal&quot;,&quot;DOI&quot;:&quot;10.1108/SCM-09-2019-0350&quot;,&quot;ISSN&quot;:&quot;1359-8546&quot;,&quot;issued&quot;:{&quot;date-parts&quot;:[[2021,7,13]]},&quot;page&quot;:&quot;592-609&quot;,&quot;issue&quot;:&quot;5&quot;,&quot;volume&quot;:&quot;26&quot;,&quot;container-title-short&quot;:&quot;&quot;},&quot;isTemporary&quot;:false}],&quot;citationTag&quot;:&quot;MENDELEY_CITATION_v3_eyJjaXRhdGlvbklEIjoiTUVOREVMRVlfQ0lUQVRJT05fNDU1MjI2YTQtYjJjYS00NDFlLWI1NDUtMDI0YzMyNmE3NDg4IiwicHJvcGVydGllcyI6eyJub3RlSW5kZXgiOjB9LCJpc0VkaXRlZCI6ZmFsc2UsIm1hbnVhbE92ZXJyaWRlIjp7ImlzTWFudWFsbHlPdmVycmlkZGVuIjp0cnVlLCJjaXRlcHJvY1RleHQiOiIoRGlNYWdnaW8gYW5kIFBvd2VsbCwgMTk4MzsgT2JheWkgYW5kIEVicmFoaW1pLCAyMDIxKSIsIm1hbnVhbE92ZXJyaWRlVGV4dCI6IihEaW1hZ2dpbyBhbmQgUG93ZWxsLCAxOTgzOyBPYmF5aSBhbmQgRWJyYWhpbWksIDIwMjFhKS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&quot;},{&quot;citationID&quot;:&quot;MENDELEY_CITATION_af3513d5-548e-461d-9acd-b17443873f25&quot;,&quot;properties&quot;:{&quot;noteIndex&quot;:0},&quot;isEdited&quot;:false,&quot;manualOverride&quot;:{&quot;isManuallyOverridden&quot;:false,&quot;citeprocText&quot;:&quot;(Benstead &lt;i&gt;et al.&lt;/i&gt;, 2021; Vidal &lt;i&gt;et al.&lt;/i&gt;, 2023)&quot;,&quot;manualOverrideText&quot;:&quot;&quot;},&quot;citationItems&quot;:[{&quot;id&quot;:&quot;520d9443-759b-38ff-9aeb-d929c1ec9acb&quot;,&quot;itemData&quot;:{&quot;type&quot;:&quot;article-journal&quot;,&quot;id&quot;:&quot;520d9443-759b-38ff-9aeb-d929c1ec9acb&quot;,&quot;title&quot;:&quot;Detecting and remediating modern slavery in supply chains: a targeted audit approach&quot;,&quot;author&quot;:[{&quot;family&quot;:&quot;Benstead&quot;,&quot;given&quot;:&quot;Amy&quot;,&quot;parse-names&quot;:false,&quot;dropping-particle&quot;:&quot;V.&quot;,&quot;non-dropping-particle&quot;:&quot;&quot;},{&quot;family&quot;:&quot;Hendry&quot;,&quot;given&quot;:&quot;Linda C.&quot;,&quot;parse-names&quot;:false,&quot;dropping-particle&quot;:&quot;&quot;,&quot;non-dropping-particle&quot;:&quot;&quot;},{&quot;family&quot;:&quot;Stevenson&quot;,&quot;given&quot;:&quot;Mark&quot;,&quot;parse-names&quot;:false,&quot;dropping-particle&quot;:&quot;&quot;,&quot;non-dropping-particle&quot;:&quot;&quot;}],&quot;container-title&quot;:&quot;Production Planning and Control&quot;,&quot;DOI&quot;:&quot;10.1080/09537287.2020.1795290&quot;,&quot;ISSN&quot;:&quot;13665871&quot;,&quot;issued&quot;:{&quot;date-parts&quot;:[[2021,7,20]]},&quot;page&quot;:&quot;1136-1157&quot;,&quot;abstract&quot;:&quot;This paper investigates modern slavery detection and remediation. Action research has been conducted in the textiles and fashion industry, with the primary engagement involving a multi-billion pound (GBP) turnover company and their modern slavery investigation at a high-risk supplier in South East Asia. This paper responds to calls from the literature to investigate the modern slavery detection process and provides empirical evidence involving collaboration with a large multinational NGO and another of the audited supplier’s customers. Findings are presented from a first-hand account of the detection process and suggest that a targeted audit is more likely to identify key indicators of modern slavery. This type of audit includes investigating the end-to-end recruitment process by using a parallel structure of management and worker interviews and documentation review. Evidence is also provided of the company’s remediation process, which includes partnering with a local NGO to empower workers and collaboratively develop suppliers.&quot;,&quot;publisher&quot;:&quot;Taylor and Francis Ltd.&quot;,&quot;issue&quot;:&quot;13&quot;,&quot;volume&quot;:&quot;32&quot;,&quot;container-title-short&quot;:&quot;&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1dfQ==&quot;},{&quot;citationID&quot;:&quot;MENDELEY_CITATION_9b9b7c80-d674-463f-83db-04240259fff4&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OWI5YjdjODAtZDY3NC00NjNmLTgzZGItMDQyNDAyNTlmZmY0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2160d118-cacd-4004-abde-7770fa6de981&quot;,&quot;properties&quot;:{&quot;noteIndex&quot;:0},&quot;isEdited&quot;:false,&quot;manualOverride&quot;:{&quot;isManuallyOverridden&quot;:false,&quot;citeprocText&quot;:&quot;(Crane, 2013; LeBaron and Lister, 2021)&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container-title-short&quot;:&quot;Manage Rev&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isTemporary&quot;:false},{&quot;id&quot;:&quot;b00c8dd3-fe27-3b3b-8812-f171b9f1dfaf&quot;,&quot;itemData&quot;:{&quot;type&quot;:&quot;article-journal&quot;,&quot;id&quot;:&quot;b00c8dd3-fe27-3b3b-8812-f171b9f1dfaf&quot;,&quot;title&quot;:&quot;The hidden costs of global supply chain solutions&quot;,&quot;author&quot;:[{&quot;family&quot;:&quot;LeBaron&quot;,&quot;given&quot;:&quot;Genevieve&quot;,&quot;parse-names&quot;:false,&quot;dropping-particle&quot;:&quot;&quot;,&quot;non-dropping-particle&quot;:&quot;&quot;},{&quot;family&quot;:&quot;Lister&quot;,&quot;given&quot;:&quot;Jane&quot;,&quot;parse-names&quot;:false,&quot;dropping-particle&quot;:&quot;&quot;,&quot;non-dropping-particle&quot;:&quot;&quot;}],&quot;container-title&quot;:&quot;Review of International Political Economy&quot;,&quot;container-title-short&quot;:&quot;Rev Int Polit Econ&quot;,&quot;DOI&quot;:&quot;10.1080/09692290.2021.1956993&quot;,&quot;ISSN&quot;:&quot;14664526&quot;,&quot;issued&quot;:{&quot;date-parts&quot;:[[2021]]},&quot;page&quot;:&quot;669-695&quot;,&quot;abstract&quot;:&quot;Within the international political economy (IPE) literature on global supply chains, there is growing debate about the effectiveness of private global supply chain solutions to address social and environmental problems. Most scholarship takes supply chain solutions at face value, investigating the circumstances under which they are effective, lacking, and how effectiveness could be incrementally improved. These studies have helpfully investigated operational and procedural issues associated with private governance and relationships between stakeholders in standard-setting processes. But the literature often loses sight of broader and more fundamental questions about whether or not private governance initiatives are actually working to solve the problems they’ve been established to address, like pollution, modern slavery, and global North and South inequalities. In this introduction to the Review of International Political Economy special issue on the hidden costs of global supply chains, we analyse key trends in the effectiveness of private governance solutions, drawing on our literature review of 290 academic journal articles and contributions within this collection. We argue that not only are global supply chain solutions falling short when it comes to many of the indicators that matter most, but they come with hidden costs–including unintended consequences, perverse effects, and unacknowledged impacts.&quot;,&quot;publisher&quot;:&quot;Routledge&quot;,&quot;issue&quot;:&quot;3&quot;,&quot;volume&quot;:&quot;29&quot;},&quot;isTemporary&quot;:false}],&quot;citationTag&quot;:&quot;MENDELEY_CITATION_v3_eyJjaXRhdGlvbklEIjoiTUVOREVMRVlfQ0lUQVRJT05fMjE2MGQxMTgtY2FjZC00MDA0LWFiZGUtNzc3MGZhNmRlOTgxIiwicHJvcGVydGllcyI6eyJub3RlSW5kZXgiOjB9LCJpc0VkaXRlZCI6ZmFsc2UsIm1hbnVhbE92ZXJyaWRlIjp7ImlzTWFudWFsbHlPdmVycmlkZGVuIjpmYWxzZSwiY2l0ZXByb2NUZXh0IjoiKENyYW5lLCAyMDEzOyBMZUJhcm9uIGFuZCBMaXN0ZXIsIDIwMjEpIiwibWFudWFsT3ZlcnJpZGVUZXh0IjoiIn0sImNpdGF0aW9uSXRlbXMiOlt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mNvbnRhaW5lci10aXRsZS1zaG9ydCI6Ik1hbmFnZSBSZXY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J9LCJpc1RlbXBvcmFyeSI6ZmFsc2V9LH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&quot;},{&quot;citationID&quot;:&quot;MENDELEY_CITATION_4657eae4-b169-4137-9795-2c988e7f58ab&quot;,&quot;properties&quot;:{&quot;noteIndex&quot;:0},&quot;isEdited&quot;:false,&quot;manualOverride&quot;:{&quot;isManuallyOverridden&quot;:true,&quot;citeprocText&quot;:&quot;(Mezzadri, 2016; New, 2015)&quot;,&quot;manualOverrideText&quot;:&quot;(Mezzadri, 2016; New, 2015a)&quot;},&quot;citationItems&quot;:[{&quot;id&quot;:&quot;96bc26cd-022e-34b1-b9c6-30e3cb0b70aa&quot;,&quot;itemData&quot;:{&quot;type&quot;:&quot;article-journal&quot;,&quot;id&quot;:&quot;96bc26cd-022e-34b1-b9c6-30e3cb0b70aa&quot;,&quot;title&quot;:&quot;Modern slavery and the supply chain: the limits of corporate social responsibility?&quot;,&quot;author&quot;:[{&quot;family&quot;:&quot;New&quot;,&quot;given&quot;:&quot;Stephen John&quot;,&quot;parse-names&quot;:false,&quot;dropping-particle&quot;:&quot;&quot;,&quot;non-dropping-particle&quot;:&quot;&quot;}],&quot;container-title&quot;:&quot;Supply Chain Management: An International Journal&quot;,&quot;DOI&quot;:&quot;10.1108/SCM-06-2015-0201&quot;,&quot;ISSN&quot;:&quot;13598546&quot;,&quot;issued&quot;:{&quot;date-parts&quot;:[[2015,9,14]]},&quot;page&quot;:&quot;697-707&quot;,&quot;abstract&quot;:&quot;Purpose – This conceptual paper aims to examine modern slavery in the supply chain, showing how the issue challenges conventional thinking and practice in corporate social responsibility (CSR). Design/methodology/approach – The paper considers the differences between modern slavery and other concerns within CSR. It examines legal attempts to encourage supply chain transparency and the use of corporate CSR methods. An example of forced labour in UK agriculture is used to develop a critique of these approaches. The paper examines the challenges facing research in this important area. Findings – The paper shows that the distinctive characteristics of modern slavery may make conventional supply chain CSR practices relatively ineffective. A holistic perspective may be needed in future research. Research limitations/implications – Researchers need to focus less on the espoused policies of corporations, and more on the enacted practice. Social implications – Modern slavery is universally accepted as a shameful blight on society; firms’ supply chain practices may be part of the problem. Originality/value – The paper’s contribution is to point to the potential differences between modern slavery and other CSR-related issues and to highlight the paradox that firms’ approaches to the issue may run in parallel with actions that foster the problem in the first place.&quot;,&quot;publisher&quot;:&quot;Emerald Group Holdings Ltd.&quot;,&quot;issue&quot;:&quot;6&quot;,&quot;volume&quot;:&quot;20&quot;,&quot;container-title-short&quot;:&quot;&quot;},&quot;isTemporary&quot;:false},{&quot;id&quot;:&quot;a0b09d7a-c287-396b-8433-be8205743a1d&quot;,&quot;itemData&quot;:{&quot;type&quot;:&quot;book&quot;,&quot;id&quot;:&quot;a0b09d7a-c287-396b-8433-be8205743a1d&quot;,&quot;title&quot;:&quot;The sweatshop regime: Labouring bodies, exploitation, and garments made in India&quot;,&quot;author&quot;:[{&quot;family&quot;:&quot;Mezzadri&quot;,&quot;given&quot;:&quot;A.&quot;,&quot;parse-names&quot;:false,&quot;dropping-particle&quot;:&quot;&quot;,&quot;non-dropping-particle&quot;:&quot;&quot;}],&quot;issued&quot;:{&quot;date-parts&quot;:[[2016]]},&quot;publisher-place&quot;:&quot;Cambridge&quot;,&quot;publisher&quot;:&quot;Cambridge University Press.&quot;,&quot;volume&quot;:&quot;.&quot;,&quot;container-title-short&quot;:&quot;&quot;},&quot;isTemporary&quot;:false}],&quot;citationTag&quot;:&quot;MENDELEY_CITATION_v3_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&quot;},{&quot;citationID&quot;:&quot;MENDELEY_CITATION_4c6ce125-d3a1-444d-97ca-bbe5a408c69e&quot;,&quot;properties&quot;:{&quot;noteIndex&quot;:0},&quot;isEdited&quot;:false,&quot;manualOverride&quot;:{&quot;isManuallyOverridden&quot;:false,&quot;citeprocText&quot;:&quot;(Islam and Van Staden, 2022; Muthuthantrige &lt;i&gt;et al.&lt;/i&gt;, 2026)&quot;,&quot;manualOverrideText&quot;:&quot;&quot;},&quot;citationItems&quot;:[{&quot;id&quot;:&quot;82b24819-91de-3dcf-a528-5b420cd933ab&quot;,&quot;itemData&quot;:{&quot;type&quot;:&quot;article-journal&quot;,&quot;id&quot;:&quot;82b24819-91de-3dcf-a528-5b420cd933ab&quot;,&quot;title&quot;:&quot;Modern Slavery Disclosure Regulation and Global Supply Chains: Insights from Stakeholder Narratives on the UK Modern Slavery Act&quot;,&quot;author&quot;:[{&quot;family&quot;:&quot;Islam&quot;,&quot;given&quot;:&quot;Muhammad  Azizul&quot;,&quot;parse-names&quot;:false,&quot;dropping-particle&quot;:&quot;&quot;,&quot;non-dropping-particle&quot;:&quot;&quot;},{&quot;family&quot;:&quot;Staden&quot;,&quot;given&quot;:&quot;C J&quot;,&quot;parse-names&quot;:false,&quot;dropping-particle&quot;:&quot;&quot;,&quot;non-dropping-particle&quot;:&quot;Van&quot;}],&quot;container-title&quot;:&quot;Journal of Business Ethics&quot;,&quot;DOI&quot;:&quot;10.1007/s10551-021-04878-1&quot;,&quot;ISSN&quot;:&quot;15730697&quot;,&quot;issued&quot;:{&quot;date-parts&quot;:[[2022,10,1]]},&quot;page&quot;:&quot;455-479&quot;,&quot;abstract&quot;:&quot;The purpose of this article is to problematise a particular social transparency and disclosure regulation in the UK, that transcend national boundaries in order to control (modern) slavery in supply chains operating in the developing world. Drawing on notions from the regulatory and sociology literature, i.e. transparency and normativity, and by interviewing anti-slavery activists and experts, this study explores the limitations of the disclosure and transparency requirements of the UK Modern Slavery Act and, more specifically, how anti-slavery activists experience and interpret the new regulations and the regulators’ implementation of the regulation. This research found limited confidence among anti-slavery activists regarding the Act’s call for transparency in relation to the elimination of slavery from global supply chains. The research also found that the limits of the transparency provisions within the Act appear to hinder the attainment of normativity. This study provides new and unique insights into the critical role that social activists play in exposing the lack of corporate transparency and failures of responsibility to protect workers within global supply chains.&quot;,&quot;publisher&quot;:&quot;Springer Science and Business Media B.V.&quot;,&quot;issue&quot;:&quot;2&quot;,&quot;volume&quot;:&quot;180&quot;,&quot;container-title-short&quot;:&quot;&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quot;},{&quot;citationID&quot;:&quot;MENDELEY_CITATION_b63f05c7-bf82-4531-9287-24120402fbe1&quot;,&quot;properties&quot;:{&quot;noteIndex&quot;:0},&quot;isEdited&quot;:false,&quot;manualOverride&quot;:{&quot;isManuallyOverridden&quot;:false,&quot;citeprocText&quot;:&quot;(Goodman and Tréhu, 2022)&quot;,&quot;manualOverrideText&quot;:&quot;&quot;},&quot;citationItems&quot;:[{&quot;id&quot;:&quot;7dfd56f7-ef5c-3fc9-bef9-c1fea9e3ee2f&quot;,&quot;itemData&quot;:{&quot;type&quot;:&quot;report&quot;,&quot;id&quot;:&quot;7dfd56f7-ef5c-3fc9-bef9-c1fea9e3ee2f&quot;,&quot;title&quot;:&quot;AI Audit-Washing and Accountability&quot;,&quot;author&quot;:[{&quot;family&quot;:&quot;Goodman&quot;,&quot;given&quot;:&quot;Ellen P&quot;,&quot;parse-names&quot;:false,&quot;dropping-particle&quot;:&quot;&quot;,&quot;non-dropping-particle&quot;:&quot;&quot;},{&quot;family&quot;:&quot;Tréhu&quot;,&quot;given&quot;:&quot;Julia&quot;,&quot;parse-names&quot;:false,&quot;dropping-particle&quot;:&quot;&quot;,&quot;non-dropping-particle&quot;:&quot;&quot;}],&quot;URL&quot;:&quot;www.htlj.org&quot;,&quot;issued&quot;:{&quot;date-parts&quot;:[[2022,11]]},&quot;number-of-pages&quot;:&quot;1-26&quot;,&quot;abstract&quot;:&quot;We are still some distance from a worldwide robot takeover, but artificial intelligence (AI)-the training of computer systems with large data sets to make decisions and solve problems-is revolutionizing the way governments and societies function. AI has enormous potential: accelerating innovation, unlocking new value from data, and increasing productivity by freeing us from mundane tasks. AI can draw new inferences from health data to foster breakthroughs in cancer screening or improve climate modeling and early-warning systems for extreme weather or emergency situations. As we seek solutions to today's vexing problems climate disruption, social inequality, health crises-AI will be central. Its centrality requires that stakeholders exercise greater governance over AI and hold AI systems accountable for their potential harms, including discriminatory impact, opacity, error, insecurity, privacy violations, and disempowerment. In this context, calls for audits to assess the impact of algorithmic decision-making systems and expose and mitigate related harms are proliferating, accompanied by the rise of an algorithmic auditing industry and legal codification. These are welcome developments. Audits can provide a flexible co-regulatory solution, allowing necessary innovation in AI while increasing transparency and accountability. AI is a crucial element of the growing tech competition between authoritarian and democratic states-and ensuring that AI is accountable and trusted is a key part of ensuring democratic advantage. Clear standards for trustworthy AI will help the United States remain a center of innovation and shape technology to democratic values.&quot;,&quot;container-title-short&quot;:&quot;&quot;},&quot;isTemporary&quot;:false}],&quot;citationTag&quot;:&quot;MENDELEY_CITATION_v3_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&quot;},{&quot;citationID&quot;:&quot;MENDELEY_CITATION_13e10253-1706-4e72-ac3b-60b9038d1cb8&quot;,&quot;properties&quot;:{&quot;noteIndex&quot;:0},&quot;isEdited&quot;:false,&quot;manualOverride&quot;:{&quot;isManuallyOverridden&quot;:false,&quot;citeprocText&quot;:&quot;(Bales, 2009)&quot;,&quot;manualOverrideText&quot;:&quot;&quot;},&quot;citationItems&quot;:[{&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citationTag&quot;:&quot;MENDELEY_CITATION_v3_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&quot;},{&quot;citationID&quot;:&quot;MENDELEY_CITATION_9eaa8ad8-472b-4062-a6b7-5f452e68a3ca&quot;,&quot;properties&quot;:{&quot;noteIndex&quot;:0},&quot;isEdited&quot;:false,&quot;manualOverride&quot;:{&quot;isManuallyOverridden&quot;:false,&quot;citeprocText&quot;:&quot;(Bales, 2009; Drescher, 2002; Mehmood &lt;i&gt;et al.&lt;/i&gt;, 2022)&quot;,&quot;manualOverrideText&quot;:&quot;&quot;},&quot;citationItems&quot;:[{&quot;id&quot;:&quot;2a5d43f9-bc01-37ce-9bc5-63056e52c97b&quot;,&quot;itemData&quot;:{&quot;type&quot;:&quot;book&quot;,&quot;id&quot;:&quot;2a5d43f9-bc01-37ce-9bc5-63056e52c97b&quot;,&quot;title&quot;:&quot;The mighty experiment: free labour versus slavery in British emancipation&quot;,&quot;author&quot;:[{&quot;family&quot;:&quot;Drescher&quot;,&quot;given&quot;:&quot;S.&quot;,&quot;parse-names&quot;:false,&quot;dropping-particle&quot;:&quot;&quot;,&quot;non-dropping-particle&quot;:&quot;&quot;}],&quot;issued&quot;:{&quot;date-parts&quot;:[[2002]]},&quot;number-of-pages&quot;:&quot;1-299&quot;,&quot;publisher&quot;:&quot;Oxford University Press.&quot;,&quot;container-title-short&quot;:&quot;&quot;},&quot;isTemporary&quot;:false},{&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id&quot;:&quot;c432dc6c-fa71-3211-abde-e79cfecead85&quot;,&quot;itemData&quot;:{&quot;type&quot;:&quot;article-journal&quot;,&quot;id&quot;:&quot;c432dc6c-fa71-3211-abde-e79cfecead85&quot;,&quot;title&quot;:&quot;Modern slavery: A literature review using bibliometric analysis and the nexus of governance&quot;,&quot;author&quot;:[{&quot;family&quot;:&quot;Mehmood&quot;,&quot;given&quot;:&quot;Waqas&quot;,&quot;parse-names&quot;:false,&quot;dropping-particle&quot;:&quot;&quot;,&quot;non-dropping-particle&quot;:&quot;&quot;},{&quot;family&quot;:&quot;Ahmad&quot;,&quot;given&quot;:&quot;Adura&quot;,&quot;parse-names&quot;:false,&quot;dropping-particle&quot;:&quot;&quot;,&quot;non-dropping-particle&quot;:&quot;&quot;},{&quot;family&quot;:&quot;Aman-Ullah&quot;,&quot;given&quot;:&quot;Attia&quot;,&quot;parse-names&quot;:false,&quot;dropping-particle&quot;:&quot;&quot;,&quot;non-dropping-particle&quot;:&quot;&quot;},{&quot;family&quot;:&quot;Mohd-Rashid&quot;,&quot;given&quot;:&quot;Rasidah&quot;,&quot;parse-names&quot;:false,&quot;dropping-particle&quot;:&quot;&quot;,&quot;non-dropping-particle&quot;:&quot;&quot;},{&quot;family&quot;:&quot;Malaysia&quot;,&quot;given&quot;:&quot;Utara&quot;,&quot;parse-names&quot;:false,&quot;dropping-particle&quot;:&quot;&quot;,&quot;non-dropping-particle&quot;:&quot;&quot;}],&quot;container-title&quot;:&quot; Journal of Public Affairs&quot;,&quot;accessed&quot;:{&quot;date-parts&quot;:[[2023,3,15]]},&quot;DOI&quot;:&quot;10.1002/pa.2832&quot;,&quot;URL&quot;:&quot;https://onlinelibrary.wiley.com/doi/10.1002/pa.2832&quot;,&quot;issued&quot;:{&quot;date-parts&quot;:[[2022]]},&quot;container-title-short&quot;:&quot;&quot;},&quot;isTemporary&quot;:false}],&quot;citationTag&quot;:&quot;MENDELEY_CITATION_v3_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&quot;},{&quot;citationID&quot;:&quot;MENDELEY_CITATION_b54ca94e-1d5a-4b89-8cfd-075f0fd84032&quot;,&quot;properties&quot;:{&quot;noteIndex&quot;:0},&quot;isEdited&quot;:false,&quot;manualOverride&quot;:{&quot;isManuallyOverridden&quot;:false,&quot;citeprocText&quot;:&quot;(Drescher, 2002)&quot;,&quot;manualOverrideText&quot;:&quot;&quot;},&quot;citationItems&quot;:[{&quot;id&quot;:&quot;2a5d43f9-bc01-37ce-9bc5-63056e52c97b&quot;,&quot;itemData&quot;:{&quot;type&quot;:&quot;book&quot;,&quot;id&quot;:&quot;2a5d43f9-bc01-37ce-9bc5-63056e52c97b&quot;,&quot;title&quot;:&quot;The mighty experiment: free labour versus slavery in British emancipation&quot;,&quot;author&quot;:[{&quot;family&quot;:&quot;Drescher&quot;,&quot;given&quot;:&quot;S.&quot;,&quot;parse-names&quot;:false,&quot;dropping-particle&quot;:&quot;&quot;,&quot;non-dropping-particle&quot;:&quot;&quot;}],&quot;issued&quot;:{&quot;date-parts&quot;:[[2002]]},&quot;number-of-pages&quot;:&quot;1-299&quot;,&quot;publisher&quot;:&quot;Oxford University Press.&quot;,&quot;container-title-short&quot;:&quot;&quot;},&quot;isTemporary&quot;:false}],&quot;citationTag&quot;:&quot;MENDELEY_CITATION_v3_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&quot;},{&quot;citationID&quot;:&quot;MENDELEY_CITATION_222733fa-d0e7-46a0-b0cf-7caab75bb0ce&quot;,&quot;properties&quot;:{&quot;noteIndex&quot;:0},&quot;isEdited&quot;:false,&quot;manualOverride&quot;:{&quot;isManuallyOverridden&quot;:false,&quot;citeprocText&quot;:&quot;(Christ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Islam&quot;,&quot;given&quot;:&quot;Muhammad Azizul&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MjIyNzMzZmEtZDBlNy00NmEwLWIwY2YtN2NhYWI3NWJiMGNl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Jc2xhbSIsImdpdmVuIjoiTXVoYW1tYWQgQXppenVs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quot;},{&quot;citationID&quot;:&quot;MENDELEY_CITATION_6298ab97-b7c5-4fce-9ae9-60018e20407f&quot;,&quot;properties&quot;:{&quot;noteIndex&quot;:0},&quot;isEdited&quot;:false,&quot;manualOverride&quot;:{&quot;isManuallyOverridden&quot;:false,&quot;citeprocText&quot;:&quot;(Bales, 2007; Crane, 2013)&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id&quot;:&quot;ddc97eac-b550-3c5e-937f-7c014f07fe22&quot;,&quot;itemData&quot;:{&quot;type&quot;:&quot;book&quot;,&quot;id&quot;:&quot;ddc97eac-b550-3c5e-937f-7c014f07fe22&quot;,&quot;title&quot;:&quot;Ending Slavery: How We Free Today’s Slaves&quot;,&quot;author&quot;:[{&quot;family&quot;:&quot;Bales&quot;,&quot;given&quot;:&quot;K&quot;,&quot;parse-names&quot;:false,&quot;dropping-particle&quot;:&quot;&quot;,&quot;non-dropping-particle&quot;:&quot;&quot;}],&quot;issued&quot;:{&quot;date-parts&quot;:[[2007]]},&quot;number-of-pages&quot;:&quot;1-274&quot;,&quot;edition&quot;:&quot;1&quot;,&quot;publisher&quot;:&quot;University of California Press&quot;,&quot;container-title-short&quot;:&quot;&quot;},&quot;isTemporary&quot;:false}],&quot;citationTag&quot;:&quot;MENDELEY_CITATION_v3_eyJjaXRhdGlvbklEIjoiTUVOREVMRVlfQ0lUQVRJT05fNjI5OGFiOTctYjdjNS00ZmNlLTlhZTktNjAwMThlMjA0MDdmIiwicHJvcGVydGllcyI6eyJub3RlSW5kZXgiOjB9LCJpc0VkaXRlZCI6ZmFsc2UsIm1hbnVhbE92ZXJyaWRlIjp7ImlzTWFudWFsbHlPdmVycmlkZGVuIjpmYWxzZSwiY2l0ZXByb2NUZXh0IjoiKEJhbGVzLCAyMDA3OyBDcmFuZSwgMjAxMykiLCJtYW51YWxPdmVycmlkZVRleHQiOiI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&quot;},{&quot;citationID&quot;:&quot;MENDELEY_CITATION_b1a4112c-679a-4c1e-bc05-a70625e0cccf&quot;,&quot;properties&quot;:{&quot;noteIndex&quot;:0},&quot;isEdited&quot;:false,&quot;manualOverride&quot;:{&quot;isManuallyOverridden&quot;:true,&quot;citeprocText&quot;:&quot;(LeBaron, 2020b)&quot;,&quot;manualOverrideText&quot;:&quot;LeBaron (2020)&quot;},&quot;citationItems&quot;:[{&quot;id&quot;:&quot;f5bfe226-c891-3d7d-8527-ae80ded30f72&quot;,&quot;itemData&quot;:{&quot;type&quot;:&quot;book&quot;,&quot;id&quot;:&quot;f5bfe226-c891-3d7d-8527-ae80ded30f72&quot;,&quot;title&quot;:&quot;Combatting Modern Slavery: Why Labour Governance is Failing and What We Can Do About It&quot;,&quot;author&quot;:[{&quot;family&quot;:&quot;LeBaron&quot;,&quot;given&quot;:&quot;Genevieve.&quot;,&quot;parse-names&quot;:false,&quot;dropping-particle&quot;:&quot;&quot;,&quot;non-dropping-particle&quot;:&quot;&quot;}],&quot;accessed&quot;:{&quot;date-parts&quot;:[[2023,2,4]]},&quot;editor&quot;:[{&quot;family&quot;:&quot;John Wiley &amp; Sons&quot;,&quot;given&quot;:&quot;&quot;,&quot;parse-names&quot;:false,&quot;dropping-particle&quot;:&quot;&quot;,&quot;non-dropping-particle&quot;:&quot;&quot;}],&quot;issued&quot;:{&quot;date-parts&quot;:[[2020]]},&quot;container-title-short&quot;:&quot;&quot;},&quot;isTemporary&quot;:false}],&quot;citationTag&quot;:&quot;MENDELEY_CITATION_v3_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&quot;},{&quot;citationID&quot;:&quot;MENDELEY_CITATION_9754d6d2-bce5-4b53-bb50-81ed9916471d&quot;,&quot;properties&quot;:{&quot;noteIndex&quot;:0},&quot;isEdited&quot;:false,&quot;manualOverride&quot;:{&quot;isManuallyOverridden&quot;:false,&quot;citeprocText&quot;:&quot;(Daghar &lt;i&gt;et al.&lt;/i&gt;, 2025; Emberson &lt;i&gt;et al.&lt;/i&gt;, 2022)&quot;,&quot;manualOverrideText&quot;:&quot;&quot;},&quot;citationItems&quot;:[{&quot;id&quot;:&quot;4030ecfa-f09d-35ca-9561-946c03e4f9f1&quot;,&quot;itemData&quot;:{&quot;type&quot;:&quot;article-journal&quot;,&quot;id&quot;:&quot;4030ecfa-f09d-35ca-9561-946c03e4f9f1&quot;,&quot;title&quot;:&quot;Adaptations to first-tier suppliers’ relational anti-slavery capabilities&quot;,&quot;author&quot;:[{&quot;family&quot;:&quot;Emberson&quot;,&quot;given&quot;:&quot;Caroline&quot;,&quot;parse-names&quot;:false,&quot;dropping-particle&quot;:&quot;&quot;,&quot;non-dropping-particle&quot;:&quot;&quot;},{&quot;family&quot;:&quot;Pinheiro&quot;,&quot;given&quot;:&quot;Silvia Maria&quot;,&quot;parse-names&quot;:false,&quot;dropping-particle&quot;:&quot;&quot;,&quot;non-dropping-particle&quot;:&quot;&quot;},{&quot;family&quot;:&quot;Trautrims&quot;,&quot;given&quot;:&quot;Alexander&quot;,&quot;parse-names&quot;:false,&quot;dropping-particle&quot;:&quot;&quot;,&quot;non-dropping-particle&quot;:&quot;&quot;}],&quot;container-title&quot;:&quot;Supply Chain Management: An International Journal&quot;,&quot;DOI&quot;:&quot;10.1108/SCM-10-2020-0505&quot;,&quot;ISSN&quot;:&quot;13598546&quot;,&quot;issued&quot;:{&quot;date-parts&quot;:[[2022,5,6]]},&quot;page&quot;:&quot;575-593&quot;,&quot;abstract&quot;:&quot;Purpose: The purpose of this paper is to examine how first-tier suppliers in multi-tier supply chains adapt their vertical and horizontal relationships to reduce the risk of slavery-like practices. Design/methodology/approach: Using Archer’s morphogenetic theory as an analytical lens, this paper presents case analyses adduced from primary and secondary data related to the development of relational anti-slavery supply capabilities in Brazilian–UK beef and timber supply chains. Findings: Four distinct types of adaptation were found among first-tier suppliers: horizontal systemisation, vertical systemisation, horizontal transformation and vertical differentiation. Research limitations/implications: This study draws attention to the socially situated nature of corporate action, moving beyond the rationalistic discourse that underpins existing research studies of multi-tier, socially sustainable, supply chain management. Cross-sector comparison highlights sub-country and intra-sectoral differences in both institutional setting and the approaches and outcomes of individual corporate actors’ initiatives. Sustainable supply chain management theorists would do well to seek out those institutional entrepreneurs who actively reshape the institutional conditions within which they find themselves situated. Practical implications: Practitioners may benefit from adopting a structured approach to the analysis of the necessary or contingent complementarities between their, primarily economic, objectives and the social sustainability goals of other, potential, organizational partners. Social implications: A range of interventions that may serve to reduce the risk of slavery-like practices in global commodity chains are presented. Originality/value: This paper presents a novel analysis of qualitative empirical data and extends understanding of the agential role played by first-tier suppliers in global, multi-tier, commodity, supply chains.&quot;,&quot;publisher&quot;:&quot;Emerald Group Holdings Ltd.&quot;,&quot;issue&quot;:&quot;4&quot;,&quot;volume&quot;:&quot;27&quot;,&quot;container-title-short&quot;:&quot;&quot;},&quot;isTemporary&quot;:false},{&quot;id&quot;:&quot;55816fdd-7328-3268-9b16-d8d28267dc4e&quot;,&quot;itemData&quot;:{&quot;type&quot;:&quot;article-journal&quot;,&quot;id&quot;:&quot;55816fdd-7328-3268-9b16-d8d28267dc4e&quot;,&quot;title&quot;:&quot;Resilient interorganizational culture in multi-tier supply networks: the “what” and “how”&quot;,&quot;author&quot;:[{&quot;family&quot;:&quot;Daghar&quot;,&quot;given&quot;:&quot;Anis&quot;,&quot;parse-names&quot;:false,&quot;dropping-particle&quot;:&quot;&quot;,&quot;non-dropping-particle&quot;:&quot;&quot;},{&quot;family&quot;:&quot;Alinaghian&quot;,&quot;given&quot;:&quot;Leila&quot;,&quot;parse-names&quot;:false,&quot;dropping-particle&quot;:&quot;&quot;,&quot;non-dropping-particle&quot;:&quot;&quot;},{&quot;family&quot;:&quot;Turner&quot;,&quot;given&quot;:&quot;Neil&quot;,&quot;parse-names&quot;:false,&quot;dropping-particle&quot;:&quot;&quot;,&quot;non-dropping-particle&quot;:&quot;&quot;}],&quot;container-title&quot;:&quot;Supply Chain Management: An International Journal&quot;,&quot;DOI&quot;:&quot;10.1108/SCM-10-2024-0685&quot;,&quot;ISSN&quot;:&quot;1359-8546&quot;,&quot;issued&quot;:{&quot;date-parts&quot;:[[2025,10,7]]},&quot;container-title-short&quot;:&quot;&quot;},&quot;isTemporary&quot;:false}],&quot;citationTag&quot;:&quot;MENDELEY_CITATION_v3_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&quot;},{&quot;citationID&quot;:&quot;MENDELEY_CITATION_d853aec3-7d0a-4fdc-9ee5-ccc7ff0e2dc6&quot;,&quot;properties&quot;:{&quot;noteIndex&quot;:0},&quot;isEdited&quot;:false,&quot;manualOverride&quot;:{&quot;isManuallyOverridden&quot;:false,&quot;citeprocText&quot;:&quot;(Barrientos, 2013a; Islam and Jain, 2013)&quot;,&quot;manualOverrideText&quot;:&quot;&quot;},&quot;citationItems&quot;:[{&quot;id&quot;:&quot;5b1a51ba-e657-3587-92d2-dd05275c913b&quot;,&quot;itemData&quot;:{&quot;type&quot;:&quot;article-journal&quot;,&quot;id&quot;:&quot;5b1a51ba-e657-3587-92d2-dd05275c913b&quot;,&quot;title&quot;:&quot;'Labour Chains': Analysing the Role of Labour Contractors in Global Production Networks&quot;,&quot;author&quot;:[{&quot;family&quot;:&quot;Barrientos&quot;,&quot;given&quot;:&quot;Stephanie Ware&quot;,&quot;parse-names&quot;:false,&quot;dropping-particle&quot;:&quot;&quot;,&quot;non-dropping-particle&quot;:&quot;&quot;}],&quot;container-title&quot;:&quot;Journal of Development Studies&quot;,&quot;DOI&quot;:&quot;10.1080/00220388.2013.780040&quot;,&quot;ISSN&quot;:&quot;00220388&quot;,&quot;issued&quot;:{&quot;date-parts&quot;:[[2013,8]]},&quot;page&quot;:&quot;1058-1071&quot;,&quot;abstract&quot;:&quot;Third party labour contractors are increasingly prevalent in global production networks (GPNs), and can provide a channel for new forms of unfree labour. Review of case study evidence from South African and UK horticulture suggests this often emerges off-site through labour intermediaries. Analytical approaches to labour in GPNs and value chains are examined. The article argues that labour contracting is driven by the commercial dynamics of global outsourcing. A 'cascade system' allows unscrupulous intermediaries to coerce vulnerable workers. We examine strategies of civil society alliances, and regulatory reform, and argue for extending liability of all commercial actors across global boundaries. © 2013 Copyright Taylor and Francis Group, LLC.&quot;,&quot;issue&quot;:&quot;8&quot;,&quot;volume&quot;:&quot;49&quot;,&quot;container-title-short&quot;:&quot;&quot;},&quot;isTemporary&quot;:false},{&quot;id&quot;:&quot;19a01e05-025a-30cc-8cf6-999eba536d04&quot;,&quot;itemData&quot;:{&quot;type&quot;:&quot;article&quot;,&quot;id&quot;:&quot;19a01e05-025a-30cc-8cf6-999eba536d04&quot;,&quot;title&quot;:&quot;Workplace human rights reporting: A study of Australian garment and retail companies&quot;,&quot;author&quot;:[{&quot;family&quot;:&quot;Islam&quot;,&quot;given&quot;:&quot;Muhammad  Azizul&quot;,&quot;parse-names&quot;:false,&quot;dropping-particle&quot;:&quot;&quot;,&quot;non-dropping-particle&quot;:&quot;&quot;},{&quot;family&quot;:&quot;Jain&quot;,&quot;given&quot;:&quot;Ameeta&quot;,&quot;parse-names&quot;:false,&quot;dropping-particle&quot;:&quot;&quot;,&quot;non-dropping-particle&quot;:&quot;&quot;}],&quot;container-title&quot;:&quot;Australian Accounting Review&quot;,&quot;issued&quot;:{&quot;date-parts&quot;:[[2013,6]]},&quot;page&quot;:&quot;102-116&quot;,&quot;abstract&quot;:&quot;The opening of the Australian economy in a globalised world has led to Australian garment and retail corporations moving their manufacturing overseas and acquiring goods from overseas providers. This is usually better for the corporations' bottom-line, as they can purchase goods overseas at a fraction of their local cost, partly due to cheap labour. Australia is one of the many OECD countries not to have a well regulated environment for workplace human rights. This study examines 18 major Australian retail and garment manufacturing corporations and finds that workplace human rights reporting is poor, based on content analysis of their annual reports, corporate social responsibility reports and websites. This is probably due to the failure of the Australian Government to provide adequate oversight by promulgating mandatory reporting standards for both local and overseas operations of Australian companies. This permits corporations to avoid reporting their workplace human rights standards and breaches.© 2013 CPA Australia.&quot;,&quot;issue&quot;:&quot;2&quot;,&quot;volume&quot;:&quot;23&quot;,&quot;container-title-short&quot;:&quot;&quot;},&quot;isTemporary&quot;:false}],&quot;citationTag&quot;:&quot;MENDELEY_CITATION_v3_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&quot;},{&quot;citationID&quot;:&quot;MENDELEY_CITATION_21d80fc5-9db9-4d2a-80d7-c5f57a1b0823&quot;,&quot;properties&quot;:{&quot;noteIndex&quot;:0},&quot;isEdited&quot;:false,&quot;manualOverride&quot;:{&quot;isManuallyOverridden&quot;:false,&quot;citeprocText&quot;:&quot;(Ahmed and Uddin, 2021; Siddiqui and Uddin, 2016)&quot;,&quot;manualOverrideText&quot;:&quot;&quot;},&quot;citationItems&quot;:[{&quot;id&quot;:&quot;6e8e37ae-1d98-3450-ad11-fbe1d0b9bd5d&quot;,&quot;itemData&quot;:{&quot;type&quot;:&quot;article-journal&quot;,&quot;id&quot;:&quot;6e8e37ae-1d98-3450-ad11-fbe1d0b9bd5d&quot;,&quot;title&quot;:&quot;Human rights disasters, corporate accountability and the state: Lessons learned from Rana Plaza&quot;,&quot;author&quot;:[{&quot;family&quot;:&quot;Siddiqui&quot;,&quot;given&quot;:&quot;Javed&quot;,&quot;parse-names&quot;:false,&quot;dropping-particle&quot;:&quot;&quot;,&quot;non-dropping-particle&quot;:&quot;&quot;},{&quot;family&quot;:&quot;Uddin&quot;,&quot;given&quot;:&quot;Shahzad&quot;,&quot;parse-names&quot;:false,&quot;dropping-particle&quot;:&quot;&quot;,&quot;non-dropping-particle&quot;:&quot;&quot;}],&quot;container-title&quot;:&quot;Accounting, Auditing and Accountability Journal&quot;,&quot;ISSN&quot;:&quot;09513574&quot;,&quot;issued&quot;:{&quot;date-parts&quot;:[[2016,5,16]]},&quot;page&quot;:&quot;679-704&quot;,&quot;abstract&quot;:&quot;Purpose – The purpose of this paper is to examine the state-business nexus in responses to human rights violations in businesses and questions the efficacy of the UN guiding principles on human rights in businesses, in particular in the ready-made garments (RMG) industry in Bangladesh. Drawing on Cohen’s notion of “denial” and Black’s (2008) legitimacy and accountability relationships of state and non-state actors, the study seeks to explain why such “soft” global regulations remain inadequate. Design/methodology/approach – The empirical work for this paper is based on the authors’ participation in two multiple-stakeholder advisory consultation meetings for the RMG sector in Bangladesh and 11 follow-up interviews. This is supplemented by documentary evidence on human rights disasters, responses of the state and non-state actors and human rights reports published in national and international newspapers. Findings – The paper provides clear evidence that the state-business nexus perpetuates human rights disasters. The study also shows that the Bangladeshi state, ruled by family-led political parties, is more inclined to protect businesses that cause human rights disasters than to ensure human rights in businesses. The economic conditions of the RMG industry and accountability and legitimacy relationships between state and non-state actors have provided the necessary background for RMG owners to continue to violate the safety and security of the workplace and maintain inhumane working conditions. Research limitations/implications – Complex state politics, including family, kinship and wealthy supporters, and economic circumstances have serious implications for the efficacy of the UN guiding principle on human rights for business. This paper calls for broader political and economic changes, nationally and internationally. Originality/value – The study highlights the perpetuation of corporate human rights abuses by the state-business nexus, and indicates that human rights issues continue to be ignored through a discourse of denial. This is explained in terms of legitimacy and accountability relationships between state and non-state actors, bounded by complex political and economic conditions.&quot;,&quot;publisher&quot;:&quot;Emerald Group Publishing Ltd.&quot;,&quot;issue&quot;:&quot;4&quot;,&quot;volume&quot;:&quot;29&quot;,&quot;container-title-short&quot;:&quot;&quot;},&quot;isTemporary&quot;:false},{&quot;id&quot;:&quot;709b94a2-509d-3cc5-a114-2fde0e14fa5d&quot;,&quot;itemData&quot;:{&quot;type&quot;:&quot;article-journal&quot;,&quot;id&quot;:&quot;709b94a2-509d-3cc5-a114-2fde0e14fa5d&quot;,&quot;title&quot;:&quot;Workplace Bullying and Intensification of Labour Controls in the Clothing Supply Chain: Post-Rana Plaza Disaster&quot;,&quot;author&quot;:[{&quot;family&quot;:&quot;Ahmed&quot;,&quot;given&quot;:&quot;Md Shoaib&quot;,&quot;parse-names&quot;:false,&quot;dropping-particle&quot;:&quot;&quot;,&quot;non-dropping-particle&quot;:&quot;&quot;},{&quot;family&quot;:&quot;Uddin&quot;,&quot;given&quot;:&quot;Shahzad&quot;,&quot;parse-names&quot;:false,&quot;dropping-particle&quot;:&quot;&quot;,&quot;non-dropping-particle&quot;:&quot;&quot;}],&quot;container-title&quot;:&quot;Work, Employment and Society&quot;,&quot;ISSN&quot;:&quot;09500170&quot;,&quot;issued&quot;:{&quot;date-parts&quot;:[[2021]]},&quot;abstract&quot;:&quot;This article examines workplace bullying and the intensification of labour controls in the clothing supply chain. It appears that extreme forms of bullying are deployed to intensify labour controls, including locking workers in, frequent wage cuts, setting moveable targets and carrying out intense observations. The context of this study is surplus value-starved clothing factories in Bangladesh. Global supply chains’ production regimes and the absence of state protections and trade unions enable factory managers to systematically deploy bullying tactics to achieve production targets. Drawing on Burawoy’s works, this article advances the debate of how workplace bullying is impacted by wider structural conditions with managerial strategies of coercion in factories. It is argued here that when the state intervenes in the factory only to protect and preserve capitalists’ interests, explicitly and implicitly, coercive strategies of control turn into extreme bullying on the shopfloor.&quot;,&quot;publisher&quot;:&quot;SAGE Publications Ltd&quot;,&quot;container-title-short&quot;:&quot;&quot;},&quot;isTemporary&quot;:false}],&quot;citationTag&quot;:&quot;MENDELEY_CITATION_v3_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&quot;},{&quot;citationID&quot;:&quot;MENDELEY_CITATION_b78aff17-e660-4c17-b02b-7f45344b15d5&quot;,&quot;properties&quot;:{&quot;noteIndex&quot;:0},&quot;isEdited&quot;:false,&quot;manualOverride&quot;:{&quot;isManuallyOverridden&quot;:false,&quot;citeprocText&quot;:&quot;(ILO, 1930)&quot;,&quot;manualOverrideText&quot;:&quot;&quot;},&quot;citationItems&quot;:[{&quot;id&quot;:&quot;f5b47c91-301a-39e8-9e11-3113b2651651&quot;,&quot;itemData&quot;:{&quot;type&quot;:&quot;webpage&quot;,&quot;id&quot;:&quot;f5b47c91-301a-39e8-9e11-3113b2651651&quot;,&quot;title&quot;:&quot;Convention C029 - Forced Labour Convention, 1930 (No. 29)&quot;,&quot;author&quot;:[{&quot;family&quot;:&quot;ILO&quot;,&quot;given&quot;:&quot;&quot;,&quot;parse-names&quot;:false,&quot;dropping-particle&quot;:&quot;&quot;,&quot;non-dropping-particle&quot;:&quot;&quot;}],&quot;accessed&quot;:{&quot;date-parts&quot;:[[2023,5,16]]},&quot;URL&quot;:&quot;https://www.ilo.org/dyn/normlex/en/f?p=NORMLEXPUB:12100:0::NO::P12100_ILO_CODE:C029&quot;,&quot;issued&quot;:{&quot;date-parts&quot;:[[1930]]},&quot;container-title-short&quot;:&quot;&quot;},&quot;isTemporary&quot;:false}],&quot;citationTag&quot;:&quot;MENDELEY_CITATION_v3_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&quot;},{&quot;citationID&quot;:&quot;MENDELEY_CITATION_e149f5b6-8ff1-4e56-9615-ef35f7c81ce6&quot;,&quot;properties&quot;:{&quot;noteIndex&quot;:0},&quot;isEdited&quot;:false,&quot;manualOverride&quot;:{&quot;isManuallyOverridden&quot;:false,&quot;citeprocText&quot;:&quot;(ILO, 1957)&quot;,&quot;manualOverrideText&quot;:&quot;&quot;},&quot;citationItems&quot;:[{&quot;id&quot;:&quot;f2ae7a9b-ccd8-3caa-8b91-c9248e14e726&quot;,&quot;itemData&quot;:{&quot;type&quot;:&quot;webpage&quot;,&quot;id&quot;:&quot;f2ae7a9b-ccd8-3caa-8b91-c9248e14e726&quot;,&quot;title&quot;:&quot;Convention C105 - Abolition of Forced Labour Convention, 1957 (No. 105)&quot;,&quot;author&quot;:[{&quot;family&quot;:&quot;ILO&quot;,&quot;given&quot;:&quot;&quot;,&quot;parse-names&quot;:false,&quot;dropping-particle&quot;:&quot;&quot;,&quot;non-dropping-particle&quot;:&quot;&quot;}],&quot;accessed&quot;:{&quot;date-parts&quot;:[[2025,11,7]]},&quot;URL&quot;:&quot;https://normlex.ilo.org/dyn/nrmlx_en/f?p=NORMLEXPUB:12100:0::NO::P12100_ILO_CODE:C105&quot;,&quot;issued&quot;:{&quot;date-parts&quot;:[[1957]]},&quot;container-title-short&quot;:&quot;&quot;},&quot;isTemporary&quot;:false}],&quot;citationTag&quot;:&quot;MENDELEY_CITATION_v3_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&quot;},{&quot;citationID&quot;:&quot;MENDELEY_CITATION_8372c7af-e6e0-4c77-9122-41858fc1f67d&quot;,&quot;properties&quot;:{&quot;noteIndex&quot;:0},&quot;isEdited&quot;:false,&quot;manualOverride&quot;:{&quot;isManuallyOverridden&quot;:false,&quot;citeprocText&quot;:&quot;(ILO, 1998)&quot;,&quot;manualOverrideText&quot;:&quot;&quot;},&quot;citationItems&quot;:[{&quot;id&quot;:&quot;980eb5da-d6e5-373f-b89e-b6391b640e5b&quot;,&quot;itemData&quot;:{&quot;type&quot;:&quot;webpage&quot;,&quot;id&quot;:&quot;980eb5da-d6e5-373f-b89e-b6391b640e5b&quot;,&quot;title&quot;:&quot;ILO Declaration on Fundamental Principles and Rights at Work&quot;,&quot;author&quot;:[{&quot;family&quot;:&quot;ILO&quot;,&quot;given&quot;:&quot;&quot;,&quot;parse-names&quot;:false,&quot;dropping-particle&quot;:&quot;&quot;,&quot;non-dropping-particle&quot;:&quot;&quot;}],&quot;accessed&quot;:{&quot;date-parts&quot;:[[2022,8,9]]},&quot;URL&quot;:&quot;https://www.ilo.org/declaration/lang--en/index.htm&quot;,&quot;issued&quot;:{&quot;date-parts&quot;:[[1998]]},&quot;container-title-short&quot;:&quot;&quot;},&quot;isTemporary&quot;:false}],&quot;citationTag&quot;:&quot;MENDELEY_CITATION_v3_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&quot;},{&quot;citationID&quot;:&quot;MENDELEY_CITATION_9bc9b72e-100b-41e4-b4d9-7bf1ef9607e2&quot;,&quot;properties&quot;:{&quot;noteIndex&quot;:0},&quot;isEdited&quot;:false,&quot;manualOverride&quot;:{&quot;isManuallyOverridden&quot;:false,&quot;citeprocText&quot;:&quot;(ILO, 2022c)&quot;,&quot;manualOverrideText&quot;:&quot;&quot;},&quot;citationItems&quot;:[{&quot;id&quot;:&quot;d9985c41-eedb-31e9-bfd9-dec36b9ace0c&quot;,&quot;itemData&quot;:{&quot;type&quot;:&quot;report&quot;,&quot;id&quot;:&quot;d9985c41-eedb-31e9-bfd9-dec36b9ace0c&quot;,&quot;title&quot;:&quot;ILO Declaration on Fundamental Principles and Rights at Work and its Follow-up&quot;,&quot;author&quot;:[{&quot;family&quot;:&quot;ILO&quot;,&quot;given&quot;:&quot;&quot;,&quot;parse-names&quot;:false,&quot;dropping-particle&quot;:&quot;&quot;,&quot;non-dropping-particle&quot;:&quot;&quot;}],&quot;accessed&quot;:{&quot;date-parts&quot;:[[2022,12,8]]},&quot;ISBN&quot;:&quot;9789220372531&quot;,&quot;URL&quot;:&quot;www.ilo.org/publns.&quot;,&quot;issued&quot;:{&quot;date-parts&quot;:[[2022]]},&quot;number-of-pages&quot;:&quot;1-18&quot;,&quot;container-title-short&quot;:&quot;&quot;},&quot;isTemporary&quot;:false}],&quot;citationTag&quot;:&quot;MENDELEY_CITATION_v3_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&quot;},{&quot;citationID&quot;:&quot;MENDELEY_CITATION_6d9b3543-6161-4674-918a-36e2cb1fe9de&quot;,&quot;properties&quot;:{&quot;noteIndex&quot;:0},&quot;isEdited&quot;:false,&quot;manualOverride&quot;:{&quot;isManuallyOverridden&quot;:false,&quot;citeprocText&quot;:&quot;(Ramasastry, 2015; Wettstein, 2012)&quot;,&quot;manualOverrideText&quot;:&quot;&quot;},&quot;citationItems&quot;:[{&quot;id&quot;:&quot;c57a9af0-c0fc-3835-adb3-2b934bd950ac&quot;,&quot;itemData&quot;:{&quot;type&quot;:&quot;article-journal&quot;,&quot;id&quot;:&quot;c57a9af0-c0fc-3835-adb3-2b934bd950ac&quot;,&quot;title&quot;:&quot;CSR and the Debate on Business and Human Rights: Bridging the Great Divide&quot;,&quot;author&quot;:[{&quot;family&quot;:&quot;Wettstein&quot;,&quot;given&quot;:&quot;Florian&quot;,&quot;parse-names&quot;:false,&quot;dropping-particle&quot;:&quot;&quot;,&quot;non-dropping-particle&quot;:&quot;&quot;}],&quot;container-title&quot;:&quot; Business Ethics Quarterly&quot;,&quot;issued&quot;:{&quot;date-parts&quot;:[[2012]]},&quot;page&quot;:&quot;739-770&quot;,&quot;abstract&quot;:&quot;Human rights have not played an overwhelmingly prominent role in CSR in the past. Similarly, CSR has had relatively little influence on what is now called the \&quot;business and human rights debate.\&quot; This contribution uncovers some of the reasons for the rather peculiar disconnect between these two debates and, based on it, presents some apparent synergies and complementarities between the two. A closer integration of the two debates, as it argues, would allow for the formulation of an expansive and demanding conception of corporate human rights obligations. Such a conception does not stop with corporate obligations \&quot;merely\&quot; to respect human rights, but includes an extended focus on proactive company involvement in the protection and realization of human rights. In other words, the integration of the two debates provides the space within which to formulate positive human rights obligations for corporations.&quot;,&quot;issue&quot;:&quot;4&quot;,&quot;volume&quot;:&quot;22&quot;,&quot;container-title-short&quot;:&quot;&quot;},&quot;isTemporary&quot;:false},{&quot;id&quot;:&quot;34d46bab-1d9a-3671-96b2-e2b51f2188ba&quot;,&quot;itemData&quot;:{&quot;type&quot;:&quot;article-journal&quot;,&quot;id&quot;:&quot;34d46bab-1d9a-3671-96b2-e2b51f2188ba&quot;,&quot;title&quot;:&quot;Corporate Social Responsibility Versus Business and Human Rights: Bridging the Gap Between Responsibility and Accountability&quot;,&quot;author&quot;:[{&quot;family&quot;:&quot;Ramasastry&quot;,&quot;given&quot;:&quot;Anita&quot;,&quot;parse-names&quot;:false,&quot;dropping-particle&quot;:&quot;&quot;,&quot;non-dropping-particle&quot;:&quot;&quot;}],&quot;container-title&quot;:&quot;Journal of human rights&quot;,&quot;container-title-short&quot;:&quot;J Hum Rights&quot;,&quot;DOI&quot;:&quot;https://doi.org/10.1080/14754835.2015.1037953&quot;,&quot;ISSN&quot;:&quot;14754843&quot;,&quot;issued&quot;:{&quot;date-parts&quot;:[[2015,4,3]]},&quot;page&quot;:&quot;237-259&quot;,&quot;abstract&quot;:&quot;This article explores the evolution of business and human rights (BHR) from a lawyer's perspective and examines how it is contextually and conceptually different from corporate social responsibilit...&quot;,&quot;publisher&quot;:&quot;Routledge&quot;,&quot;issue&quot;:&quot;2&quot;,&quot;volume&quot;:&quot;14&quot;},&quot;isTemporary&quot;:false}],&quot;citationTag&quot;:&quot;MENDELEY_CITATION_v3_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&quot;},{&quot;citationID&quot;:&quot;MENDELEY_CITATION_3efec5ae-6073-42e9-82cb-984fb157499a&quot;,&quot;properties&quot;:{&quot;noteIndex&quot;:0},&quot;isEdited&quot;:false,&quot;manualOverride&quot;:{&quot;isManuallyOverridden&quot;:false,&quot;citeprocText&quot;:&quot;(OECD, 2011)&quot;,&quot;manualOverrideText&quot;:&quot;&quot;},&quot;citationItems&quot;:[{&quot;id&quot;:&quot;ddc3e9b2-e57e-3868-b579-de8d9c1d211d&quot;,&quot;itemData&quot;:{&quot;type&quot;:&quot;book&quot;,&quot;id&quot;:&quot;ddc3e9b2-e57e-3868-b579-de8d9c1d211d&quot;,&quot;title&quot;:&quot;OECD Guidelines for Multinational Enterprises&quot;,&quot;author&quot;:[{&quot;family&quot;:&quot;OECD&quot;,&quot;given&quot;:&quot;&quot;,&quot;parse-names&quot;:false,&quot;dropping-particle&quot;:&quot;&quot;,&quot;non-dropping-particle&quot;:&quot;&quot;}],&quot;DOI&quot;:&quot;10.1787/9789264115415-en&quot;,&quot;ISBN&quot;:&quot;9789264115286&quot;,&quot;issued&quot;:{&quot;date-parts&quot;:[[2011,9,29]]},&quot;publisher&quot;:&quot;OECD&quot;,&quot;container-title-short&quot;:&quot;&quot;},&quot;isTemporary&quot;:false}],&quot;citationTag&quot;:&quot;MENDELEY_CITATION_v3_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&quot;},{&quot;citationID&quot;:&quot;MENDELEY_CITATION_b1b995e6-87c2-4530-8bc0-a74265ee7bdf&quot;,&quot;properties&quot;:{&quot;noteIndex&quot;:0},&quot;isEdited&quot;:false,&quot;manualOverride&quot;:{&quot;isManuallyOverridden&quot;:false,&quot;citeprocText&quot;:&quot;(OECD, 2023)&quot;,&quot;manualOverrideText&quot;:&quot;&quot;},&quot;citationItems&quot;:[{&quot;id&quot;:&quot;92cc39c1-12fd-332e-a4b1-e0fb72e48972&quot;,&quot;itemData&quot;:{&quot;type&quot;:&quot;book&quot;,&quot;id&quot;:&quot;92cc39c1-12fd-332e-a4b1-e0fb72e48972&quot;,&quot;title&quot;:&quot;Guidelines for Multinational Enterprises on Responsible Business Conduct&quot;,&quot;author&quot;:[{&quot;family&quot;:&quot;OECD&quot;,&quot;given&quot;:&quot;&quot;,&quot;parse-names&quot;:false,&quot;dropping-particle&quot;:&quot;&quot;,&quot;non-dropping-particle&quot;:&quot;&quot;}],&quot;DOI&quot;:&quot;10.1787/81f92357-en&quot;,&quot;ISBN&quot;:&quot;9789264605985&quot;,&quot;issued&quot;:{&quot;date-parts&quot;:[[2023,6,8]]},&quot;publisher&quot;:&quot;OECD&quot;,&quot;container-title-short&quot;:&quot;&quot;},&quot;isTemporary&quot;:false}],&quot;citationTag&quot;:&quot;MENDELEY_CITATION_v3_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&quot;},{&quot;citationID&quot;:&quot;MENDELEY_CITATION_c98e1ad6-0411-4f41-9fe2-44cd8dc54ad9&quot;,&quot;properties&quot;:{&quot;noteIndex&quot;:0},&quot;isEdited&quot;:false,&quot;manualOverride&quot;:{&quot;isManuallyOverridden&quot;:true,&quot;citeprocText&quot;:&quot;(Islam and McPhail, 2011b; Ntim and Soobaroyen, 2013)&quot;,&quot;manualOverrideText&quot;:&quot;(Islam and McPhail, 2011; Ntim and Soobaroyen, 2013)&quot;},&quot;citationItems&quot;:[{&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id&quot;:&quot;d9fa4c91-5b5f-3da1-86d3-73c794ce750d&quot;,&quot;itemData&quot;:{&quot;type&quot;:&quot;article-journal&quot;,&quot;id&quot;:&quot;d9fa4c91-5b5f-3da1-86d3-73c794ce750d&quot;,&quot;title&quot;:&quot;Regulating for corporate human rights abuses: The emergence of corporate reporting on the ILO's human rights standards within the global garment manufacturing and retail industry&quot;,&quot;author&quot;:[{&quot;family&quot;:&quot;Islam&quot;,&quot;given&quot;:&quot;Muhammad Azizul&quot;,&quot;parse-names&quot;:false,&quot;dropping-particle&quot;:&quot;&quot;,&quot;non-dropping-particle&quot;:&quot;&quot;},{&quot;family&quot;:&quot;McPhail&quot;,&quot;given&quot;:&quot;Ken&quot;,&quot;parse-names&quot;:false,&quot;dropping-particle&quot;:&quot;&quot;,&quot;non-dropping-particle&quot;:&quot;&quot;}],&quot;container-title&quot;:&quot;Critical Perspectives on Accounting&quot;,&quot;DOI&quot;:&quot;10.1016/j.cpa.2011.07.003&quot;,&quot;ISSN&quot;:&quot;10452354&quot;,&quot;issued&quot;:{&quot;date-parts&quot;:[[2011,11]]},&quot;page&quot;:&quot;790-810&quot;,&quot;abstract&quot;:&quot;Despite the ubiquitous nature of the discourse on human rights there is currently little research on the emergence of disclosure by multinational corporations on their human rights obligations or the regulatory dynamic that may lie behind this trend. In an attempt to begin to explore the extent to which, if any, the language of human rights has entered the discourse of corporate accountability, this paper investigates the adoption of the International Labour Organisation's (ILO) human rights standards by major multinational garment retail companies that source products from developing countries, as disclosed through their reporting media. The paper has three objectives. Firstly, to empirically explore the extent to which a group of multinational garment retailers invoke the language of human rights when disclosing their corporate responsibilities. The paper reviews corporate reporting media including social responsibility codes of conduct, annual reports and stand-alone social responsibility reports released by 18 major global clothing and retail companies during a period from 1990 to 2007. We find that the number of companies adopting and disclosing on the ILO's workplace human rights standards has significantly increased since 1998 - the year in which the ILO's standards were endorsed and accepted by the global community (ILO, 1998). Secondly, drawing on a combination of Responsive Regulation theory and neo-institutional theory, we tentatively seek to understand the regulatory space that may have influenced these large corporations to adopt the language of human rights obligations. In particular, we study the role that International Governmental Organisation's (IGO) such as ILO may have played in these disclosures. Finally, we provide some critical reflections on the power and potential within the corporate adoption of the language of human rights. © 2011 Elsevier Ltd.&quot;,&quot;issue&quot;:&quot;8&quot;,&quot;volume&quot;:&quot;22&quot;,&quot;container-title-short&quot;:&quot;&quot;},&quot;isTemporary&quot;:false}],&quot;citationTag&quot;:&quot;MENDELEY_CITATION_v3_eyJjaXRhdGlvbklEIjoiTUVOREVMRVlfQ0lUQVRJT05fYzk4ZTFhZDYtMDQxMS00ZjQxLTlmZTItNDRjZDhkYzU0YWQ5IiwicHJvcGVydGllcyI6eyJub3RlSW5kZXgiOjB9LCJpc0VkaXRlZCI6ZmFsc2UsIm1hbnVhbE92ZXJyaWRlIjp7ImlzTWFudWFsbHlPdmVycmlkZGVuIjp0cnVlLCJjaXRlcHJvY1RleHQiOiIoSXNsYW0gYW5kIE1jUGhhaWwsIDIwMTFiOyBOdGltIGFuZCBTb29iYXJveWVuLCAyMDEzKSIsIm1hbnVhbE92ZXJyaWRlVGV4dCI6IihJc2xhbSBhbmQgTWNQaGFpbCwgMjAxMTsgTnRpbSBhbmQgU29vYmFyb3llbiwgMjAxMykifSwiY2l0YXRpb25JdGVtcyI6W3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LHsiaWQiOiJkOWZhNGM5MS01YjVmLTNkYTEtODZkMy03M2M3OTRjZTc1MGQiLCJpdGVtRGF0YSI6eyJ0eXBlIjoiYXJ0aWNsZS1qb3VybmFsIiwiaWQiOiJkOWZhNGM5MS01YjVmLTNkYTEtODZkMy03M2M3OTRjZTc1MGQ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&quot;},{&quot;citationID&quot;:&quot;MENDELEY_CITATION_49621b57-d8c3-414b-b8f9-5b19addeb1aa&quot;,&quot;properties&quot;:{&quot;noteIndex&quot;:0},&quot;isEdited&quot;:false,&quot;manualOverride&quot;:{&quot;isManuallyOverridden&quot;:false,&quot;citeprocText&quot;:&quot;(Christ &lt;i&gt;et al.&lt;/i&gt;, 2020; Craig &lt;i&gt;et al.&lt;/i&gt;, 2019)&quot;,&quot;manualOverrideText&quot;:&quot;&quot;},&quot;citationItems&quot;:[{&quot;id&quot;:&quot;1f881f16-32bf-3eec-b941-e6b96284ca26&quot;,&quot;itemData&quot;:{&quot;type&quot;:&quot;book&quot;,&quot;id&quot;:&quot;1f881f16-32bf-3eec-b941-e6b96284ca26&quot;,&quot;title&quot;:&quot;The Modern Slavery Agenda: Policy, Politics and Practice  in the UK&quot;,&quot;author&quot;:[{&quot;family&quot;:&quot;Craig&quot;,&quot;given&quot;:&quot;Gary&quot;,&quot;parse-names&quot;:false,&quot;dropping-particle&quot;:&quot;&quot;,&quot;non-dropping-particle&quot;:&quot;&quot;},{&quot;family&quot;:&quot;Balch&quot;,&quot;given&quot;:&quot;A&quot;,&quot;parse-names&quot;:false,&quot;dropping-particle&quot;:&quot;&quot;,&quot;non-dropping-particle&quot;:&quot;&quot;},{&quot;family&quot;:&quot;Hannah&quot;,&quot;given&quot;:&quot;Lewis&quot;,&quot;parse-names&quot;:false,&quot;dropping-particle&quot;:&quot;&quot;,&quot;non-dropping-particle&quot;:&quot;&quot;},{&quot;family&quot;:&quot;Louise&quot;,&quot;given&quot;:&quot;Waite&quot;,&quot;parse-names&quot;:false,&quot;dropping-particle&quot;:&quot;&quot;,&quot;non-dropping-particle&quot;:&quot;&quot;}],&quot;accessed&quot;:{&quot;date-parts&quot;:[[2023,3,15]]},&quot;URL&quot;:&quot;https://books.google.co.uk/books?hl=en&amp;lr=&amp;id=nfeCDwAAQBAJ&amp;oi=fnd&amp;pg=PR1&amp;dq=modern+slavery+Craig,+G.&amp;ots=sq_MR8yYE_&amp;sig=JCYscWcUZvxqFvFP1bdkP4DaiT0&amp;redir_esc=y#v=onepage&amp;q=modern%20slavery%20Craig%2C%20G.&amp;f=false&quot;,&quot;issued&quot;:{&quot;date-parts&quot;:[[2019]]},&quot;publisher-place&quot;:&quot;Bristol&quot;,&quot;number-of-pages&quot;:&quot;1-117&quot;,&quot;publisher&quot;:&quot;Policy Press&quot;,&quot;container-title-short&quot;:&quot;&quot;},&quot;isTemporary&quot;:false},{&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citationTag&quot;:&quot;MENDELEY_CITATION_v3_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&quot;},{&quot;citationID&quot;:&quot;MENDELEY_CITATION_d994b1c6-77b6-4d45-b347-207618315a83&quot;,&quot;properties&quot;:{&quot;noteIndex&quot;:0},&quot;isEdited&quot;:false,&quot;manualOverride&quot;:{&quot;isManuallyOverridden&quot;:false,&quot;citeprocText&quot;:&quot;(Albitar &lt;i&gt;et al.&lt;/i&gt;, 2025; Gutierrez-Huerter O &lt;i&gt;et al.&lt;/i&gt;, 2023;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id&quot;:&quot;6059944d-3417-3b41-9468-fa0d76112ede&quot;,&quot;itemData&quot;:{&quot;type&quot;:&quot;article-journal&quot;,&quot;id&quot;:&quot;6059944d-3417-3b41-9468-fa0d76112ede&quot;,&quot;title&quot;:&quot;Change in Rhetoric but not in Action? Framing of the Ethical Issue of Modern Slavery in a UK Sector at High Risk of Labor Exploitation&quot;,&quot;author&quot;:[{&quot;family&quot;:&quot;Gutierrez-Huerter O&quot;,&quot;given&quot;:&quot;Gabriela&quot;,&quot;parse-names&quot;:false,&quot;dropping-particle&quot;:&quot;&quot;,&quot;non-dropping-particle&quot;:&quot;&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container-title&quot;:&quot;Journal of Business Ethics&quot;,&quot;DOI&quot;:&quot;10.1007/s10551-021-05013-w&quot;,&quot;ISSN&quot;:&quot;15730697&quot;,&quot;issued&quot;:{&quot;date-parts&quot;:[[2023,1,1]]},&quot;page&quot;:&quot;35-58&quot;,&quot;abstract&quot;:&quot;This article shows how the ethical framing of the contemporary issue of modern slavery has evolved in UK construction, a sector in which there is a high risk of labor exploitation. It also examines how these framing dynamics have inhibited the emergence of a common framework of action to deal with the issue. We draw on both framing theory and the literature on the discursive construction of moral legitimacy. Our longitudinal analysis reveals that actors seeking to shape the debate bring their own moral schemes to justify and construct the legitimacy of their frames. Actors cluster their views around five evolving frames: human rights issue (later shifting to hidden crime), moral issue, management issue (later shifting to human moral obligation), social justice issue, and decent work issue—which promote particular normative evaluations of what the issue is, who is responsible, and recommendations for action. Our study contributes to a dynamic and political understanding of the meaning making of modern slavery. We identify the antecedents and conditions that have forestalled the emergence of new patterns of action to tackle modern slavery in the UK construction sector thereby evidencing the effects of the interplay of morally competing frames on field-level change.&quot;,&quot;publisher&quot;:&quot;Springer Science and Business Media B.V.&quot;,&quot;issue&quot;:&quot;1&quot;,&quot;volume&quot;:&quot;182&quot;,&quot;container-title-short&quot;:&quot;&quot;},&quot;isTemporary&quot;:false}],&quot;citationTag&quot;:&quot;MENDELEY_CITATION_v3_eyJjaXRhdGlvbklEIjoiTUVOREVMRVlfQ0lUQVRJT05fZDk5NGIxYzYtNzdiNi00ZDQ1LWIzNDctMjA3NjE4MzE1YTgzIiwicHJvcGVydGllcyI6eyJub3RlSW5kZXgiOjB9LCJpc0VkaXRlZCI6ZmFsc2UsIm1hbnVhbE92ZXJyaWRlIjp7ImlzTWFudWFsbHlPdmVycmlkZGVuIjpmYWxzZSwiY2l0ZXByb2NUZXh0IjoiKEFsYml0YXIgPGk+ZXQgYWwuPC9pPiwgMjAyNTsgR3V0aWVycmV6LUh1ZXJ0ZXIgTyA8aT5ldCBhbC48L2k+LCAyMDIz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&quot;},{&quot;citationID&quot;:&quot;MENDELEY_CITATION_c36a1980-b335-4c5b-bbd5-2c27ba945712&quot;,&quot;properties&quot;:{&quot;noteIndex&quot;:0},&quot;isEdited&quot;:false,&quot;manualOverride&quot;:{&quot;isManuallyOverridden&quot;:false,&quot;citeprocText&quot;:&quot;(Helfaya &lt;i&gt;et al.&lt;/i&gt;, 2025; Ntim and Soobaroyen, 2013)&quot;,&quot;manualOverrideText&quot;:&quot;&quot;},&quot;citationItems&quot;:[{&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YzM2YTE5ODAtYjMzNS00YzViLWJiZDUtMmMyN2JhOTQ1NzEyIiwicHJvcGVydGllcyI6eyJub3RlSW5kZXgiOjB9LCJpc0VkaXRlZCI6ZmFsc2UsIm1hbnVhbE92ZXJyaWRlIjp7ImlzTWFudWFsbHlPdmVycmlkZGVuIjpmYWxzZSwiY2l0ZXByb2NUZXh0IjoiKEhlbGZheWEgPGk+ZXQgYWwuPC9pPiwgMjAyNTsgTnRpbSBhbmQgU29vYmFyb3llbiwgMjAxMykiLCJtYW51YWxPdmVycmlkZVRleHQiOiIifSwiY2l0YXRpb25JdGVtcyI6W3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quot;},{&quot;citationID&quot;:&quot;MENDELEY_CITATION_4451f777-b96d-4b5c-b111-3dd0ddfcd1c2&quot;,&quot;properties&quot;:{&quot;noteIndex&quot;:0},&quot;isEdited&quot;:false,&quot;manualOverride&quot;:{&quot;isManuallyOverridden&quot;:false,&quot;citeprocText&quot;:&quot;(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issued&quot;:{&quot;date-parts&quot;:[[2022]]},&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container-title-short&quot;:&quot;Bus Strategy Environ&quot;},&quot;isTemporary&quot;:false}],&quot;citationTag&quot;:&quot;MENDELEY_CITATION_v3_eyJjaXRhdGlvbklEIjoiTUVOREVMRVlfQ0lUQVRJT05fNDQ1MWY3NzctYjk2ZC00YjVjLWIxMTEtM2RkMGRkZmNkMWMy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lzc3VlZCI6eyJkYXRlLXBhcnRzIjpbWzIwMjJdXX0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NvbnRhaW5lci10aXRsZS1zaG9ydCI6IkJ1cyBTdHJhdGVneSBFbnZpcm9uIn0sImlzVGVtcG9yYXJ5IjpmYWxzZX1dfQ==&quot;},{&quot;citationID&quot;:&quot;MENDELEY_CITATION_e4bbeace-c875-446a-ab99-b3445e87a820&quot;,&quot;properties&quot;:{&quot;noteIndex&quot;:0},&quot;isEdited&quot;:false,&quot;manualOverride&quot;:{&quot;isManuallyOverridden&quot;:false,&quot;citeprocText&quot;:&quot;(Moussa &lt;i&gt;et al.&lt;/i&gt;, 2022; United Nations, 2015b)&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issued&quot;:{&quot;date-parts&quot;:[[2022]]},&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container-title-short&quot;:&quot;Bus Strategy Environ&quot;},&quot;isTemporary&quot;:false},{&quot;id&quot;:&quot;17c06be1-91e6-3a3d-ac20-5b6fd8403068&quot;,&quot;itemData&quot;:{&quot;type&quot;:&quot;report&quot;,&quot;id&quot;:&quot;17c06be1-91e6-3a3d-ac20-5b6fd8403068&quot;,&quot;title&quot;:&quot;The UN Sustainability Development Goals&quot;,&quot;author&quot;:[{&quot;family&quot;:&quot;United Nations&quot;,&quot;given&quot;:&quot;&quot;,&quot;parse-names&quot;:false,&quot;dropping-particle&quot;:&quot;&quot;,&quot;non-dropping-particle&quot;:&quot;&quot;}],&quot;accessed&quot;:{&quot;date-parts&quot;:[[2023,1,16]]},&quot;URL&quot;:&quot;https://www.un.org/sites/un2.un.org/files/sdg_tg_email_updated.pdf&quot;,&quot;issued&quot;:{&quot;date-parts&quot;:[[2015]]},&quot;number-of-pages&quot;:&quot;1-27&quot;,&quot;container-title-short&quot;:&quot;&quot;},&quot;isTemporary&quot;:false}],&quot;citationTag&quot;:&quot;MENDELEY_CITATION_v3_eyJjaXRhdGlvbklEIjoiTUVOREVMRVlfQ0lUQVRJT05fZTRiYmVhY2UtYzg3NS00NDZhLWFiOTktYjM0NDVlODdhODIwIiwicHJvcGVydGllcyI6eyJub3RlSW5kZXgiOjB9LCJpc0VkaXRlZCI6ZmFsc2UsIm1hbnVhbE92ZXJyaWRlIjp7ImlzTWFudWFsbHlPdmVycmlkZGVuIjpmYWxzZSwiY2l0ZXByb2NUZXh0IjoiKE1vdXNzYSA8aT5ldCBhbC48L2k+LCAyMDIyOyBVbml0ZWQgTmF0aW9ucywgMjAxNW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aXNzdWVkIjp7ImRhdGUtcGFydHMiOltbMjAyMl1dfS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&quot;},{&quot;citationID&quot;:&quot;MENDELEY_CITATION_c9bdde43-c3fc-4587-addd-81ceff7a3d5c&quot;,&quot;properties&quot;:{&quot;noteIndex&quot;:0},&quot;isEdited&quot;:false,&quot;manualOverride&quot;:{&quot;isManuallyOverridden&quot;:false,&quot;citeprocText&quot;:&quot;(Schaper and Pollach, 2021)&quot;,&quot;manualOverrideText&quot;:&quot;&quot;},&quot;citationItems&quot;:[{&quot;id&quot;:&quot;692593f6-d091-38f5-bdfc-0bc30057259a&quot;,&quot;itemData&quot;:{&quot;type&quot;:&quot;article-journal&quot;,&quot;id&quot;:&quot;692593f6-d091-38f5-bdfc-0bc30057259a&quot;,&quot;title&quot;:&quot;Modern slavery statements: From regulation to substantive supply chain reporting&quot;,&quot;author&quot;:[{&quot;family&quot;:&quot;Schaper&quot;,&quot;given&quot;:&quot;Stefan&quot;,&quot;parse-names&quot;:false,&quot;dropping-particle&quot;:&quot;&quot;,&quot;non-dropping-particle&quot;:&quot;&quot;},{&quot;family&quot;:&quot;Pollach&quot;,&quot;given&quot;:&quot;Irene&quot;,&quot;parse-names&quot;:false,&quot;dropping-particle&quot;:&quot;&quot;,&quot;non-dropping-particle&quot;:&quot;&quot;}],&quot;container-title&quot;:&quot;Journal of Cleaner Production&quot;,&quot;accessed&quot;:{&quot;date-parts&quot;:[[2023,3,15]]},&quot;DOI&quot;:&quot;10.1016/J.JCLEPRO.2021.127872&quot;,&quot;ISSN&quot;:&quot;09596526&quot;,&quot;issued&quot;:{&quot;date-parts&quot;:[[2021,9,1]]},&quot;abstract&quot;:&quot;Recent years have seen a renewed focus on labor standards in the supply chain, prompted by legislation that requires firms to provide an account of their efforts to combat modern slavery. However, as a common problem of non-financial disclosure regulation, companies can decide the extent and content of their reporting, which could potentially result in merely symbolic disclosures with little substance. We examine the disclosure of substantive actions in modern slavery statements, defined as those disclosures of corporate actions that can positively affect working conditions in supply chains. We examine the corporate disclosure of these actions over time in order to evaluate whether legally mandated disclosure requirements could lead to progress in combatting modern slavery. For this purpose, we collected modern slavery statements from companies that had issued such statements for at least two different years after the introduction of the regulatory requirement in the United Kingdom and performed a content analysis with a coding instrument that captures substantive actions against modern slavery. Our analysis uncovers extremely heterogeneous reporting practices, especially regarding the disclosure of the effectiveness of actions against modern slavery. Based on our analysis, we identify best practices of substantive disclosures to offer a benchmark for corporate self-reports of modern slavery and inform policymaking on modern slavery reporting.&quot;,&quot;publisher&quot;:&quot;Elsevier Ltd&quot;,&quot;volume&quot;:&quot;313&quot;,&quot;container-title-short&quot;:&quot;J Clean Prod&quot;},&quot;isTemporary&quot;:false}],&quot;citationTag&quot;:&quot;MENDELEY_CITATION_v3_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&quot;},{&quot;citationID&quot;:&quot;MENDELEY_CITATION_b5cd97aa-72b4-4ce1-a2ac-297eaca1bd52&quot;,&quot;properties&quot;:{&quot;noteIndex&quot;:0},&quot;isEdited&quot;:false,&quot;manualOverride&quot;:{&quot;isManuallyOverridden&quot;:false,&quot;citeprocText&quot;:&quot;(United Nations, 2015b)&quot;,&quot;manualOverrideText&quot;:&quot;&quot;},&quot;citationItems&quot;:[{&quot;id&quot;:&quot;17c06be1-91e6-3a3d-ac20-5b6fd8403068&quot;,&quot;itemData&quot;:{&quot;type&quot;:&quot;report&quot;,&quot;id&quot;:&quot;17c06be1-91e6-3a3d-ac20-5b6fd8403068&quot;,&quot;title&quot;:&quot;The UN Sustainability Development Goals&quot;,&quot;author&quot;:[{&quot;family&quot;:&quot;United Nations&quot;,&quot;given&quot;:&quot;&quot;,&quot;parse-names&quot;:false,&quot;dropping-particle&quot;:&quot;&quot;,&quot;non-dropping-particle&quot;:&quot;&quot;}],&quot;accessed&quot;:{&quot;date-parts&quot;:[[2023,1,16]]},&quot;URL&quot;:&quot;https://www.un.org/sites/un2.un.org/files/sdg_tg_email_updated.pdf&quot;,&quot;issued&quot;:{&quot;date-parts&quot;:[[2015]]},&quot;number-of-pages&quot;:&quot;1-27&quot;,&quot;container-title-short&quot;:&quot;&quot;},&quot;isTemporary&quot;:false}],&quot;citationTag&quot;:&quot;MENDELEY_CITATION_v3_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&quot;},{&quot;citationID&quot;:&quot;MENDELEY_CITATION_b2d06cb2-8a8e-4f2b-9e0c-0918726ee4fe&quot;,&quot;properties&quot;:{&quot;noteIndex&quot;:0},&quot;isEdited&quot;:false,&quot;manualOverride&quot;:{&quot;isManuallyOverridden&quot;:true,&quot;citeprocText&quot;:&quot;(ILO, 2016)&quot;,&quot;manualOverrideText&quot;:&quot;(ILO, 2016, p. 2)&quot;},&quot;citationItems&quot;:[{&quot;id&quot;:&quot;cc6b0b25-f82b-300a-9d1e-ed955e71d76b&quot;,&quot;itemData&quot;:{&quot;type&quot;:&quot;report&quot;,&quot;id&quot;:&quot;cc6b0b25-f82b-300a-9d1e-ed955e71d76b&quot;,&quot;title&quot;:&quot;SDG Alliance 8.7 Joining forces globally to end child labour, forced labour, modern slavery and human trafficking&quot;,&quot;author&quot;:[{&quot;family&quot;:&quot;International Labour Organization&quot;,&quot;given&quot;:&quot;&quot;,&quot;parse-names&quot;:false,&quot;dropping-particle&quot;:&quot;&quot;,&quot;non-dropping-particle&quot;:&quot;&quot;}],&quot;accessed&quot;:{&quot;date-parts&quot;:[[2023,1,17]]},&quot;URL&quot;:&quot;https://www.ilo.org/wcmsp5/groups/public/---ed_norm/---declaration/documents/publication/wcms_450718.pdf&quot;,&quot;issued&quot;:{&quot;date-parts&quot;:[[2016]]},&quot;number-of-pages&quot;:&quot;1-8&quot;,&quot;container-title-short&quot;:&quot;&quot;},&quot;isTemporary&quot;:false}],&quot;citationTag&quot;:&quot;MENDELEY_CITATION_v3_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&quot;},{&quot;citationID&quot;:&quot;MENDELEY_CITATION_660f7ffb-1d9b-4883-81e4-90225f120a28&quot;,&quot;properties&quot;:{&quot;noteIndex&quot;:0},&quot;isEdited&quot;:false,&quot;manualOverride&quot;:{&quot;isManuallyOverridden&quot;:false,&quot;citeprocText&quot;:&quot;(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issued&quot;:{&quot;date-parts&quot;:[[2022]]},&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container-title-short&quot;:&quot;Bus Strategy Environ&quot;},&quot;isTemporary&quot;:false}],&quot;citationTag&quot;:&quot;MENDELEY_CITATION_v3_eyJjaXRhdGlvbklEIjoiTUVOREVMRVlfQ0lUQVRJT05fNjYwZjdmZmItMWQ5Yi00ODgzLTgxZTQtOTAyMjVmMTIwYTI4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lzc3VlZCI6eyJkYXRlLXBhcnRzIjpbWzIwMjJdXX0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NvbnRhaW5lci10aXRsZS1zaG9ydCI6IkJ1cyBTdHJhdGVneSBFbnZpcm9uIn0sImlzVGVtcG9yYXJ5IjpmYWxzZX1dfQ==&quot;},{&quot;citationID&quot;:&quot;MENDELEY_CITATION_73d3ddcd-06a1-4b6d-82f0-4d9190bc3df1&quot;,&quot;properties&quot;:{&quot;noteIndex&quot;:0},&quot;isEdited&quot;:false,&quot;manualOverride&quot;:{&quot;isManuallyOverridden&quot;:true,&quot;citeprocText&quot;:&quot;(United Nations, 2015b)&quot;,&quot;manualOverrideText&quot;:&quot;(United Nations, 2015, p. 20)&quot;},&quot;citationItems&quot;:[{&quot;id&quot;:&quot;17c06be1-91e6-3a3d-ac20-5b6fd8403068&quot;,&quot;itemData&quot;:{&quot;type&quot;:&quot;report&quot;,&quot;id&quot;:&quot;17c06be1-91e6-3a3d-ac20-5b6fd8403068&quot;,&quot;title&quot;:&quot;The UN Sustainability Development Goals&quot;,&quot;author&quot;:[{&quot;family&quot;:&quot;United Nations&quot;,&quot;given&quot;:&quot;&quot;,&quot;parse-names&quot;:false,&quot;dropping-particle&quot;:&quot;&quot;,&quot;non-dropping-particle&quot;:&quot;&quot;}],&quot;accessed&quot;:{&quot;date-parts&quot;:[[2023,1,16]]},&quot;URL&quot;:&quot;https://www.un.org/sites/un2.un.org/files/sdg_tg_email_updated.pdf&quot;,&quot;issued&quot;:{&quot;date-parts&quot;:[[2015]]},&quot;number-of-pages&quot;:&quot;1-27&quot;,&quot;container-title-short&quot;:&quot;&quot;},&quot;isTemporary&quot;:false}],&quot;citationTag&quot;:&quot;MENDELEY_CITATION_v3_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&quot;},{&quot;citationID&quot;:&quot;MENDELEY_CITATION_7818ef66-06a8-4d9d-a325-34d601a35826&quot;,&quot;properties&quot;:{&quot;noteIndex&quot;:0},&quot;isEdited&quot;:false,&quot;manualOverride&quot;:{&quot;isManuallyOverridden&quot;:false,&quot;citeprocText&quot;:&quot;(Christ &lt;i&gt;et al.&lt;/i&gt;, 2019)&quot;,&quot;manualOverrideText&quot;:&quot;&quot;},&quot;citationItems&quot;:[{&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citationTag&quot;:&quot;MENDELEY_CITATION_v3_eyJjaXRhdGlvbklEIjoiTUVOREVMRVlfQ0lUQVRJT05fNzgxOGVmNjYtMDZhOC00ZDlkLWEzMjUtMzRkNjAxYTM1ODI2IiwicHJvcGVydGllcyI6eyJub3RlSW5kZXgiOjB9LCJpc0VkaXRlZCI6ZmFsc2UsIm1hbnVhbE92ZXJyaWRlIjp7ImlzTWFudWFsbHlPdmVycmlkZGVuIjpmYWxzZSwiY2l0ZXByb2NUZXh0IjoiKENocmlzdCA8aT5ldCBhbC48L2k+LCAyMDE5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quot;},{&quot;citationID&quot;:&quot;MENDELEY_CITATION_1a6b460d-c83a-4e61-9030-3fc550336239&quot;,&quot;properties&quot;:{&quot;noteIndex&quot;:0},&quot;isEdited&quot;:false,&quot;manualOverride&quot;:{&quot;isManuallyOverridden&quot;:false,&quot;citeprocText&quot;:&quot;(Burritt and Christ, 2021; Voss &lt;i&gt;et al.&lt;/i&gt;, 2019)&quot;,&quot;manualOverrideText&quot;:&quot;&quot;},&quot;citationItems&quot;:[{&quot;id&quot;:&quot;f8ea0c0d-9691-3d82-9d7f-4561d5202dfe&quot;,&quot;itemData&quot;:{&quot;type&quot;:&quot;article-journal&quot;,&quot;id&quot;:&quot;f8ea0c0d-9691-3d82-9d7f-4561d5202dfe&quot;,&quot;title&quot;:&quot;Exploring effectiveness of entity actions to eliminate modern slavery risk – Early Australian evidence&quot;,&quot;author&quot;:[{&quot;family&quot;:&quot;Burritt&quot;,&quot;given&quot;:&quot;R L.&quot;,&quot;parse-names&quot;:false,&quot;dropping-particle&quot;:&quot;&quot;,&quot;non-dropping-particle&quot;:&quot;&quot;},{&quot;family&quot;:&quot;Christ&quot;,&quot;given&quot;:&quot;K L.&quot;,&quot;parse-names&quot;:false,&quot;dropping-particle&quot;:&quot;&quot;,&quot;non-dropping-particle&quot;:&quot;&quot;}],&quot;container-title&quot;:&quot; The British Accounting Review&quot;,&quot;ISSN&quot;:&quot;10958347&quot;,&quot;issued&quot;:{&quot;date-parts&quot;:[[2021]]},&quot;abstract&quot;:&quot;The need for entities to eliminate the unethical and illegal practice of modern slavery in their operations and supply chains has led different jurisdictions to require large entities to report on how they assess the effectiveness of actions taken. In Australia, to build awareness of practices for internal and external stakeholders, the Australian Modern Slavery Act 2018 (Cth) mandates annual reporting in modern slavery statements and provides guidance as to how effectiveness of actions might be reported on. Based on theories/frameworks/models from literature addressing organisational effectiveness, an inductive analysis is conducted on the first 255 modern slavery statements published on the Australian Modern Slavery Register. Results indicate great diversity in approaches to reporting on effectiveness of actions, ranging from a total lack of reporting, through basic compliance, to going beyond compliance. The observations are used to develop a comprehensive framework for assessment of organisational effectiveness and an assessment of the extent to which current effectiveness theories/frameworks/models can guide future developments. The paper suggests adoption of the proposed framework can lead entities to improved transparency and validation of the effectiveness of their actions, as an important first step towards elimination of modern slavery in their supply chains.&quot;,&quot;publisher&quot;:&quot;Academic Press&quot;,&quot;container-title-short&quot;:&quot;&quot;},&quot;isTemporary&quot;:false},{&quot;id&quot;:&quot;18e62d04-277b-3062-a8db-8c7a6d015a0c&quot;,&quot;itemData&quot;:{&quot;type&quot;:&quot;article-journal&quot;,&quot;id&quot;:&quot;18e62d04-277b-3062-a8db-8c7a6d015a0c&quot;,&quot;title&quot;:&quot;International supply chains: compliance and engagement with the Modern Slavery Act&quot;,&quot;author&quot;:[{&quot;family&quot;:&quot;Voss&quot;,&quot;given&quot;:&quot;Hinrich&quot;,&quot;parse-names&quot;:false,&quot;dropping-particle&quot;:&quot;&quot;,&quot;non-dropping-particle&quot;:&quot;&quot;},{&quot;family&quot;:&quot;Davis&quot;,&quot;given&quot;:&quot;Matthew&quot;,&quot;parse-names&quot;:false,&quot;dropping-particle&quot;:&quot;&quot;,&quot;non-dropping-particle&quot;:&quot;&quot;},{&quot;family&quot;:&quot;Sumner&quot;,&quot;given&quot;:&quot;Mark&quot;,&quot;parse-names&quot;:false,&quot;dropping-particle&quot;:&quot;&quot;,&quot;non-dropping-particle&quot;:&quot;&quot;},{&quot;family&quot;:&quot;Waite&quot;,&quot;given&quot;:&quot;Louise&quot;,&quot;parse-names&quot;:false,&quot;dropping-particle&quot;:&quot;&quot;,&quot;non-dropping-particle&quot;:&quot;&quot;},{&quot;family&quot;:&quot;Ras&quot;,&quot;given&quot;:&quot;Ilse A&quot;,&quot;parse-names&quot;:false,&quot;dropping-particle&quot;:&quot;&quot;,&quot;non-dropping-particle&quot;:&quot;&quot;},{&quot;family&quot;:&quot;Singhal&quot;,&quot;given&quot;:&quot;Divya&quot;,&quot;parse-names&quot;:false,&quot;dropping-particle&quot;:&quot;&quot;,&quot;non-dropping-particle&quot;:&quot;&quot;},{&quot;family&quot;:&quot;Jog&quot;,&quot;given&quot;:&quot;Deepti&quot;,&quot;parse-names&quot;:false,&quot;dropping-particle&quot;:&quot;&quot;,&quot;non-dropping-particle&quot;:&quot;&quot;}],&quot;container-title&quot;:&quot; Journal of the British Academy&quot;,&quot;accessed&quot;:{&quot;date-parts&quot;:[[2023,1,19]]},&quot;DOI&quot;:&quot;10.5871/jba/007s1.061&quot;,&quot;URL&quot;:&quot;https://doi.org/10.5871/jba/007s1.061&quot;,&quot;issued&quot;:{&quot;date-parts&quot;:[[2019]]},&quot;page&quot;:&quot;61-76&quot;,&quot;abstract&quot;:&quot;The UK Modern Slavery Act aims to reduce and eradicate various forms of exploitation and is in this respect in line with the Sustainability Development Goal (SDG) 8.7. Section 54 of the act focusses on modern slavery in the international supply chain of organisations and obligates organisations to report on the actions they have taken to identify and address exploitation vulnerabilities. In order to understand how effective the current provisions in the act are, we analyse how businesses in the fashion and textile industry engage with the reporting requirements of Section 54. While we find increasing compliance with the act, a significant share of fashion and textile businesses have not reported on their actions or have only filed a statement once.&quot;,&quot;issue&quot;:&quot;15&quot;,&quot;volume&quot;:&quot;7&quot;,&quot;container-title-short&quot;:&quot;&quot;},&quot;isTemporary&quot;:false}],&quot;citationTag&quot;:&quot;MENDELEY_CITATION_v3_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&quot;},{&quot;citationID&quot;:&quot;MENDELEY_CITATION_807e9f41-2ea1-463f-9d19-1412ea0d85c3&quot;,&quot;properties&quot;:{&quot;noteIndex&quot;:0},&quot;isEdited&quot;:false,&quot;manualOverride&quot;:{&quot;isManuallyOverridden&quot;:true,&quot;citeprocText&quot;:&quot;(United Nations, 2022b; United Nations- Economic and Social Council, 2022)&quot;,&quot;manualOverrideText&quot;:&quot;(United Nations, 2022c; United Nations- Economic and Social Council, 2022).&quot;},&quot;citationItems&quot;:[{&quot;id&quot;:&quot;409a5ad1-803d-3c7a-b3ce-f3c31bb7fb67&quot;,&quot;itemData&quot;:{&quot;type&quot;:&quot;report&quot;,&quot;id&quot;:&quot;409a5ad1-803d-3c7a-b3ce-f3c31bb7fb67&quot;,&quot;title&quot;:&quot;Bringing Data to Life: SDG human impact stories from across the Globe&quot;,&quot;author&quot;:[{&quot;family&quot;:&quot;United Nations&quot;,&quot;given&quot;:&quot;&quot;,&quot;parse-names&quot;:false,&quot;dropping-particle&quot;:&quot;&quot;,&quot;non-dropping-particle&quot;:&quot;&quot;}],&quot;accessed&quot;:{&quot;date-parts&quot;:[[2022,8,14]]},&quot;issued&quot;:{&quot;date-parts&quot;:[[2022]]},&quot;number-of-pages&quot;:&quot;2-80&quot;,&quot;container-title-short&quot;:&quot;&quot;},&quot;isTemporary&quot;:false},{&quot;id&quot;:&quot;3a33afdf-31c8-3b31-827e-615a3758ca81&quot;,&quot;itemData&quot;:{&quot;type&quot;:&quot;report&quot;,&quot;id&quot;:&quot;3a33afdf-31c8-3b31-827e-615a3758ca81&quot;,&quot;title&quot;:&quot;Progress towards the Sustainable Development Goals&quot;,&quot;author&quot;:[{&quot;family&quot;:&quot;United Nations- Economic and Social Council&quot;,&quot;given&quot;:&quot;&quot;,&quot;parse-names&quot;:false,&quot;dropping-particle&quot;:&quot;&quot;,&quot;non-dropping-particle&quot;:&quot;&quot;}],&quot;accessed&quot;:{&quot;date-parts&quot;:[[2023,1,16]]},&quot;URL&quot;:&quot;https://unstats.un.org/sdgs/.&quot;,&quot;issued&quot;:{&quot;date-parts&quot;:[[2022,7,23]]},&quot;number-of-pages&quot;:&quot;1-25&quot;,&quot;container-title-short&quot;:&quot;&quot;},&quot;isTemporary&quot;:false}],&quot;citationTag&quot;:&quot;MENDELEY_CITATION_v3_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&quot;},{&quot;citationID&quot;:&quot;MENDELEY_CITATION_0b8d6467-ac8c-42ea-a4fe-6e51fb4521f1&quot;,&quot;properties&quot;:{&quot;noteIndex&quot;:0},&quot;isEdited&quot;:false,&quot;manualOverride&quot;:{&quot;isManuallyOverridden&quot;:false,&quot;citeprocText&quot;:&quot;(ILO, 2025)&quot;,&quot;manualOverrideText&quot;:&quot;&quot;},&quot;citationItems&quot;:[{&quot;id&quot;:&quot;b29622d0-16e9-3e60-8d70-09d5681c0c10&quot;,&quot;itemData&quot;:{&quot;type&quot;:&quot;book&quot;,&quot;id&quot;:&quot;b29622d0-16e9-3e60-8d70-09d5681c0c10&quot;,&quot;title&quot;:&quot;Child labour: Global estimates 2024, trends and the road forward&quot;,&quot;author&quot;:[{&quot;family&quot;:&quot;ILO&quot;,&quot;given&quot;:&quot;&quot;,&quot;parse-names&quot;:false,&quot;dropping-particle&quot;:&quot;&quot;,&quot;non-dropping-particle&quot;:&quot;&quot;}],&quot;ISBN&quot;:&quot;9789220422472&quot;,&quot;issued&quot;:{&quot;date-parts&quot;:[[2025]]},&quot;number-of-pages&quot;:&quot;1-62&quot;,&quot;publisher&quot;:&quot;International Labour Organization and United Nations Children’s Fund&quot;,&quot;container-title-short&quot;:&quot;&quot;},&quot;isTemporary&quot;:false}],&quot;citationTag&quot;:&quot;MENDELEY_CITATION_v3_eyJjaXRhdGlvbklEIjoiTUVOREVMRVlfQ0lUQVRJT05fMGI4ZDY0NjctYWM4Yy00MmVhLWE0ZmUtNmU1MWZiNDUyMWYxIiwicHJvcGVydGllcyI6eyJub3RlSW5kZXgiOjB9LCJpc0VkaXRlZCI6ZmFsc2UsIm1hbnVhbE92ZXJyaWRlIjp7ImlzTWFudWFsbHlPdmVycmlkZGVuIjpmYWxzZSwiY2l0ZXByb2NUZXh0IjoiKElMTywgMjAyNSkiLCJtYW51YWxPdmVycmlkZVRleHQiOiI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quot;},{&quot;citationID&quot;:&quot;MENDELEY_CITATION_7ea0f0f4-09d9-4e10-aa25-21b5903cbfec&quot;,&quot;properties&quot;:{&quot;noteIndex&quot;:0},&quot;isEdited&quot;:false,&quot;manualOverride&quot;:{&quot;isManuallyOverridden&quot;:false,&quot;citeprocText&quot;:&quot;(ILO, 2025)&quot;,&quot;manualOverrideText&quot;:&quot;&quot;},&quot;citationItems&quot;:[{&quot;id&quot;:&quot;b29622d0-16e9-3e60-8d70-09d5681c0c10&quot;,&quot;itemData&quot;:{&quot;type&quot;:&quot;book&quot;,&quot;id&quot;:&quot;b29622d0-16e9-3e60-8d70-09d5681c0c10&quot;,&quot;title&quot;:&quot;Child labour: Global estimates 2024, trends and the road forward&quot;,&quot;author&quot;:[{&quot;family&quot;:&quot;ILO&quot;,&quot;given&quot;:&quot;&quot;,&quot;parse-names&quot;:false,&quot;dropping-particle&quot;:&quot;&quot;,&quot;non-dropping-particle&quot;:&quot;&quot;}],&quot;ISBN&quot;:&quot;9789220422472&quot;,&quot;issued&quot;:{&quot;date-parts&quot;:[[2025]]},&quot;number-of-pages&quot;:&quot;1-62&quot;,&quot;publisher&quot;:&quot;International Labour Organization and United Nations Children’s Fund&quot;,&quot;container-title-short&quot;:&quot;&quot;},&quot;isTemporary&quot;:false}],&quot;citationTag&quot;:&quot;MENDELEY_CITATION_v3_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&quot;},{&quot;citationID&quot;:&quot;MENDELEY_CITATION_66297dfd-22a9-4f92-8c2b-f959d0ad563e&quot;,&quot;properties&quot;:{&quot;noteIndex&quot;:0},&quot;isEdited&quot;:false,&quot;manualOverride&quot;:{&quot;isManuallyOverridden&quot;:false,&quot;citeprocText&quot;:&quot;(Albitar &lt;i&gt;et al.&lt;/i&gt;, 2025; Moussa &lt;i&gt;et al.&lt;/i&gt;, 2022)&quot;,&quot;manualOverrideText&quot;:&quot;&quot;},&quot;citationItems&quot;:[{&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NjYyOTdkZmQtMjJhOS00ZjkyLThjMmItZjk1OWQwYWQ1NjNlIiwicHJvcGVydGllcyI6eyJub3RlSW5kZXgiOjB9LCJpc0VkaXRlZCI6ZmFsc2UsIm1hbnVhbE92ZXJyaWRlIjp7ImlzTWFudWFsbHlPdmVycmlkZGVuIjpmYWxzZSwiY2l0ZXByb2NUZXh0IjoiKEFsYml0YXIgPGk+ZXQgYWwuPC9pPiwgMjAyNTsgTW91c3NhIDxpPmV0IGFsLjwvaT4sIDIwMjIpIiwibWFudWFsT3ZlcnJpZGVUZXh0IjoiIn0sImNpdGF0aW9uSXRlbXMiOlt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quot;},{&quot;citationID&quot;:&quot;MENDELEY_CITATION_36ea9b89-8e7f-48ab-9039-a0b8ba4844ac&quot;,&quot;properties&quot;:{&quot;noteIndex&quot;:0},&quot;isEdited&quot;:false,&quot;manualOverride&quot;:{&quot;isManuallyOverridden&quot;:false,&quot;citeprocText&quot;:&quot;(Crane &lt;i&gt;et al.&lt;/i&gt;, 2022; LeBaron, 2021a)&quot;,&quot;manualOverrideText&quot;:&quot;&quot;},&quot;citationItems&quot;:[{&quot;id&quot;:&quot;7c9e40cb-f257-3538-acd3-432a5808e9e8&quot;,&quot;itemData&quot;:{&quot;type&quot;:&quot;article-journal&quot;,&quot;id&quot;:&quot;7c9e40cb-f257-3538-acd3-432a5808e9e8&quot;,&quot;title&quot;:&quot;Confronting the Business Models of Modern Slavery&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Phung&quot;,&quot;given&quot;:&quot;Kam&quot;,&quot;parse-names&quot;:false,&quot;dropping-particle&quot;:&quot;&quot;,&quot;non-dropping-particle&quot;:&quot;&quot;},{&quot;family&quot;:&quot;Behbahani&quot;,&quot;given&quot;:&quot;Laya&quot;,&quot;parse-names&quot;:false,&quot;dropping-particle&quot;:&quot;&quot;,&quot;non-dropping-particle&quot;:&quot;&quot;},{&quot;family&quot;:&quot;Allain&quot;,&quot;given&quot;:&quot;Jean&quot;,&quot;parse-names&quot;:false,&quot;dropping-particle&quot;:&quot;&quot;,&quot;non-dropping-particle&quot;:&quot;&quot;}],&quot;container-title&quot;:&quot;Journal of Management Inquiry&quot;,&quot;DOI&quot;:&quot;10.1177/1056492621994904&quot;,&quot;ISSN&quot;:&quot;15526542&quot;,&quot;issued&quot;:{&quot;date-parts&quot;:[[2022,7,1]]},&quot;page&quot;:&quot;264-285&quot;,&quot;abstract&quot;:&quot;Despite growing attention from companies and regulators looking to eradicate modern slavery, we know little about how slavery works from a business perspective. We address this gap by empirically examining innovations in the business models of modern slavery, focusing on how the business models of slavery in advanced economies have evolved since slavery was legally abolished. While continuities exist, novel business models have emerged based on new actors, activities, and linkages. We categorize these as four innovative models per actors involved (producer/intermediary) and how value is created and captured (revenue generation/cost reduction), and discuss implications for research, policy, and practice.&quot;,&quot;publisher&quot;:&quot;SAGE Publications Inc.&quot;,&quot;issue&quot;:&quot;3&quot;,&quot;volume&quot;:&quot;31&quot;,&quot;container-title-short&quot;:&quot;&quot;},&quot;isTemporary&quot;:false},{&quot;id&quot;:&quot;3b62a73a-1601-388e-88f0-83c9832b4edb&quot;,&quot;itemData&quot;:{&quot;type&quot;:&quot;article-journal&quot;,&quot;id&quot;:&quot;3b62a73a-1601-388e-88f0-83c9832b4edb&quot;,&quot;title&quot;:&quot;The Role of Supply Chains in the Global Business of Forced Labour&quot;,&quot;author&quot;:[{&quot;family&quot;:&quot;LeBaron&quot;,&quot;given&quot;:&quot;Genevieve&quot;,&quot;parse-names&quot;:false,&quot;dropping-particle&quot;:&quot;&quot;,&quot;non-dropping-particle&quot;:&quot;&quot;}],&quot;container-title&quot;:&quot;Journal of Supply Chain Management&quot;,&quot;accessed&quot;:{&quot;date-parts&quot;:[[2022,9,1]]},&quot;issued&quot;:{&quot;date-parts&quot;:[[2021,4,1]]},&quot;page&quot;:&quot;29-42&quot;,&quot;abstract&quot;:&quot;Supply chains are fundamental to whether decent work flourishes or not. Not only do supply chain dynamics shape employment practices and working conditions, but they also influence business models and capabilities which structure opportunities for decent work. As scholars and policymakers race to strengthen labor standards in supply chains and confront barriers to their effective implementation, management scholars can both benefit from and advance an understanding of the role of supply chains in giving rise to indecent work, especially the business practices commonly described as forced labor and modern slavery. To help realize this potential, this article draws from my research on the business of forced labor to emphasize three points. First, there are clear and discernible patterns with respect to the root causes of forced labor in supply chains. Second, forced labor in supply chains cannot be understood in isolation of broader dynamics of work and employment, since low-waged workers tend to move in and out of conditions of forced labor in relatively short periods of time. Third, on-the-ground studies of the effectiveness of buyer-centric governance programs reveal serious gaps between corporate social responsibility standards and business practices when it comes to indicators most relevant to forced labor. I conclude with a discussion of future directions in this research agenda and highlight the potential for business scholars to make a contribution.&quot;,&quot;publisher&quot;:&quot;John Wiley &amp; Sons, Ltd&quot;,&quot;issue&quot;:&quot;2&quot;,&quot;volume&quot;:&quot;57&quot;,&quot;container-title-short&quot;:&quot;&quot;},&quot;isTemporary&quot;:false}],&quot;citationTag&quot;:&quot;MENDELEY_CITATION_v3_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&quot;},{&quot;citationID&quot;:&quot;MENDELEY_CITATION_abc0412f-3cdf-43ec-a488-17ca8f911ba8&quot;,&quot;properties&quot;:{&quot;noteIndex&quot;:0},&quot;isEdited&quot;:false,&quot;manualOverride&quot;:{&quot;isManuallyOverridden&quot;:true,&quot;citeprocText&quot;:&quot;(Gold &lt;i&gt;et al.&lt;/i&gt;, 2015; New, 2015)&quot;,&quot;manualOverrideText&quot;:&quot;(Gold et al., 2015a; New, 2015)&quot;},&quot;citationItems&quot;:[{&quot;id&quot;:&quot;9fd63b9d-cce2-3c92-b69a-27202a3255d1&quot;,&quot;itemData&quot;:{&quot;type&quot;:&quot;article-journal&quot;,&quot;id&quot;:&quot;9fd63b9d-cce2-3c92-b69a-27202a3255d1&quot;,&quot;title&quot;:&quot;Modern slavery challenges to supply chain management&quot;,&quot;author&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family&quot;:&quot;Trodd&quot;,&quot;given&quot;:&quot;Zoe&quot;,&quot;parse-names&quot;:false,&quot;dropping-particle&quot;:&quot;&quot;,&quot;non-dropping-particle&quot;:&quot;&quot;}],&quot;container-title&quot;:&quot;Supply Chain Management&quot;,&quot;DOI&quot;:&quot;10.1108/SCM-02-2015-0046&quot;,&quot;ISSN&quot;:&quot;13598546&quot;,&quot;issued&quot;:{&quot;date-parts&quot;:[[2015,8,10]]},&quot;page&quot;:&quot;485-494&quot;,&quot;abstract&quot;:&quot;Purpose – This paper aims to draw attention to the challenges modern slavery poses to supply chain management. Although many international supply chains are (most often unknowingly) connected to slave labour activities, supply chain managers and researchers have so far neglected the issue. This will most likely change as soon as civil society lobbying and new legislation impose increasing litigation and reputational risks on companies operating international supply chains. Design/methodology/approach – The paper provides a definition of slavery; explores potentials for knowledge exchange with other disciplines; discusses management tools for detecting slavery, as well as suitable company responses after its detection; and outlines avenues for future research. Findings – Due to a lack of effective indicators, new tools and indicator systems need to be developed that consider the specific social, cultural and geographical context of supply regions. After detection of slavery, multi-stakeholder partnerships, community-centred approaches and supplier development appear to be effective responses. Research limitations/implications – New theory development in supply chain management (SCM) is urgently needed to facilitate the understanding, avoidance and elimination of slavery in supply chains. As a starting point for future research, the challenges of slavery to SCM are conceptualised, focussing on capabilities and specific institutional context. Practical implications – The paper provides a starting point for the development of practices and tools for identifying and removing slave labour from supply chains. Originality/value – Although representing a substantial threat to current supply chain models, slavery has so far not been addressed in SCM research.&quot;,&quot;publisher&quot;:&quot;Emerald Group Holdings Ltd.&quot;,&quot;issue&quot;:&quot;5&quot;,&quot;volume&quot;:&quot;20&quot;,&quot;container-title-short&quot;:&quot;&quot;},&quot;isTemporary&quot;:false},{&quot;id&quot;:&quot;96bc26cd-022e-34b1-b9c6-30e3cb0b70aa&quot;,&quot;itemData&quot;:{&quot;type&quot;:&quot;article-journal&quot;,&quot;id&quot;:&quot;96bc26cd-022e-34b1-b9c6-30e3cb0b70aa&quot;,&quot;title&quot;:&quot;Modern slavery and the supply chain: the limits of corporate social responsibility?&quot;,&quot;author&quot;:[{&quot;family&quot;:&quot;New&quot;,&quot;given&quot;:&quot;Stephen John&quot;,&quot;parse-names&quot;:false,&quot;dropping-particle&quot;:&quot;&quot;,&quot;non-dropping-particle&quot;:&quot;&quot;}],&quot;container-title&quot;:&quot;Supply Chain Management: An International Journal&quot;,&quot;DOI&quot;:&quot;10.1108/SCM-06-2015-0201&quot;,&quot;ISSN&quot;:&quot;13598546&quot;,&quot;issued&quot;:{&quot;date-parts&quot;:[[2015,9,14]]},&quot;page&quot;:&quot;697-707&quot;,&quot;abstract&quot;:&quot;Purpose – This conceptual paper aims to examine modern slavery in the supply chain, showing how the issue challenges conventional thinking and practice in corporate social responsibility (CSR). Design/methodology/approach – The paper considers the differences between modern slavery and other concerns within CSR. It examines legal attempts to encourage supply chain transparency and the use of corporate CSR methods. An example of forced labour in UK agriculture is used to develop a critique of these approaches. The paper examines the challenges facing research in this important area. Findings – The paper shows that the distinctive characteristics of modern slavery may make conventional supply chain CSR practices relatively ineffective. A holistic perspective may be needed in future research. Research limitations/implications – Researchers need to focus less on the espoused policies of corporations, and more on the enacted practice. Social implications – Modern slavery is universally accepted as a shameful blight on society; firms’ supply chain practices may be part of the problem. Originality/value – The paper’s contribution is to point to the potential differences between modern slavery and other CSR-related issues and to highlight the paradox that firms’ approaches to the issue may run in parallel with actions that foster the problem in the first place.&quot;,&quot;publisher&quot;:&quot;Emerald Group Holdings Ltd.&quot;,&quot;issue&quot;:&quot;6&quot;,&quot;volume&quot;:&quot;20&quot;,&quot;container-title-short&quot;:&quot;&quot;},&quot;isTemporary&quot;:false}],&quot;citationTag&quot;:&quot;MENDELEY_CITATION_v3_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&quot;},{&quot;citationID&quot;:&quot;MENDELEY_CITATION_86cc18fe-7eaf-4c4d-8302-bd476720dc4b&quot;,&quot;properties&quot;:{&quot;noteIndex&quot;:0},&quot;isEdited&quot;:false,&quot;manualOverride&quot;:{&quot;isManuallyOverridden&quot;:false,&quot;citeprocText&quot;:&quot;(DiMaggio and Powell, 1983; Scott, 201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ODZjYzE4ZmUtN2VhZi00YzRkLTgzMDItYmQ0NzY3MjBkYzRi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quot;},{&quot;citationID&quot;:&quot;MENDELEY_CITATION_37fa78cd-6062-460e-8896-ac9b66096b31&quot;,&quot;properties&quot;:{&quot;noteIndex&quot;:0},&quot;isEdited&quot;:false,&quot;manualOverride&quot;:{&quot;isManuallyOverridden&quot;:false,&quot;citeprocText&quot;:&quot;(Albitar &lt;i&gt;et al.&lt;/i&gt;, 2025; Brammer &lt;i&gt;et al.&lt;/i&gt;, 2012)&quot;,&quot;manualOverrideText&quot;:&quot;&quot;},&quot;citationItems&quot;:[{&quot;id&quot;:&quot;950d3dcf-4b13-35ba-80ed-bee87bdd142e&quot;,&quot;itemData&quot;:{&quot;type&quot;:&quot;article-journal&quot;,&quot;id&quot;:&quot;950d3dcf-4b13-35ba-80ed-bee87bdd142e&quot;,&quot;title&quot;:&quot;Corporate Social Responsibility and institutional theory: new perspectives on private governance&quot;,&quot;author&quot;:[{&quot;family&quot;:&quot;Brammer&quot;,&quot;given&quot;:&quot;S.&quot;,&quot;parse-names&quot;:false,&quot;dropping-particle&quot;:&quot;&quot;,&quot;non-dropping-particle&quot;:&quot;&quot;},{&quot;family&quot;:&quot;Jackson&quot;,&quot;given&quot;:&quot;G.&quot;,&quot;parse-names&quot;:false,&quot;dropping-particle&quot;:&quot;&quot;,&quot;non-dropping-particle&quot;:&quot;&quot;},{&quot;family&quot;:&quot;Matten&quot;,&quot;given&quot;:&quot;D.&quot;,&quot;parse-names&quot;:false,&quot;dropping-particle&quot;:&quot;&quot;,&quot;non-dropping-particle&quot;:&quot;&quot;}],&quot;container-title&quot;:&quot;Socio-Economic Review&quot;,&quot;container-title-short&quot;:&quot;Socioecon Rev&quot;,&quot;DOI&quot;:&quot;10.1093/ser/mwr030&quot;,&quot;ISSN&quot;:&quot;1475-1461&quot;,&quot;issued&quot;:{&quot;date-parts&quot;:[[2012,1,1]]},&quot;page&quot;:&quot;3-28&quot;,&quot;issue&quot;:&quot;1&quot;,&quot;volume&quot;:&quot;10&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quot;},{&quot;citationID&quot;:&quot;MENDELEY_CITATION_2a792083-fef9-48aa-b93d-100d72e7891e&quot;,&quot;properties&quot;:{&quot;noteIndex&quot;:0},&quot;isEdited&quot;:false,&quot;manualOverride&quot;:{&quot;isManuallyOverridden&quot;:false,&quot;citeprocText&quot;:&quot;(LeBaron, 2021a; Sustainable Stock Exchanges &lt;i&gt;et al.&lt;/i&gt;, 2023)&quot;,&quot;manualOverrideText&quot;:&quot;&quot;},&quot;citationItems&quot;:[{&quot;id&quot;:&quot;3b62a73a-1601-388e-88f0-83c9832b4edb&quot;,&quot;itemData&quot;:{&quot;type&quot;:&quot;article-journal&quot;,&quot;id&quot;:&quot;3b62a73a-1601-388e-88f0-83c9832b4edb&quot;,&quot;title&quot;:&quot;The Role of Supply Chains in the Global Business of Forced Labour&quot;,&quot;author&quot;:[{&quot;family&quot;:&quot;LeBaron&quot;,&quot;given&quot;:&quot;Genevieve&quot;,&quot;parse-names&quot;:false,&quot;dropping-particle&quot;:&quot;&quot;,&quot;non-dropping-particle&quot;:&quot;&quot;}],&quot;container-title&quot;:&quot;Journal of Supply Chain Management&quot;,&quot;accessed&quot;:{&quot;date-parts&quot;:[[2022,9,1]]},&quot;issued&quot;:{&quot;date-parts&quot;:[[2021,4,1]]},&quot;page&quot;:&quot;29-42&quot;,&quot;abstract&quot;:&quot;Supply chains are fundamental to whether decent work flourishes or not. Not only do supply chain dynamics shape employment practices and working conditions, but they also influence business models and capabilities which structure opportunities for decent work. As scholars and policymakers race to strengthen labor standards in supply chains and confront barriers to their effective implementation, management scholars can both benefit from and advance an understanding of the role of supply chains in giving rise to indecent work, especially the business practices commonly described as forced labor and modern slavery. To help realize this potential, this article draws from my research on the business of forced labor to emphasize three points. First, there are clear and discernible patterns with respect to the root causes of forced labor in supply chains. Second, forced labor in supply chains cannot be understood in isolation of broader dynamics of work and employment, since low-waged workers tend to move in and out of conditions of forced labor in relatively short periods of time. Third, on-the-ground studies of the effectiveness of buyer-centric governance programs reveal serious gaps between corporate social responsibility standards and business practices when it comes to indicators most relevant to forced labor. I conclude with a discussion of future directions in this research agenda and highlight the potential for business scholars to make a contribution.&quot;,&quot;publisher&quot;:&quot;John Wiley &amp; Sons, Ltd&quot;,&quot;issue&quot;:&quot;2&quot;,&quot;volume&quot;:&quot;57&quot;,&quot;container-title-short&quot;:&quot;&quot;},&quot;isTemporary&quot;:false},{&quot;id&quot;:&quot;cfad50bb-0765-3bed-9e80-0fe80ca3903c&quot;,&quot;itemData&quot;:{&quot;type&quot;:&quot;report&quot;,&quot;id&quot;:&quot;cfad50bb-0765-3bed-9e80-0fe80ca3903c&quot;,&quot;title&quot;:&quot;Modern Slavery: Analysis of Coverage in Exchange ESG Disclosure Guidance&quot;,&quot;author&quot;:[{&quot;family&quot;:&quot;Sustainable Stock Exchanges&quot;,&quot;given&quot;:&quot;&quot;,&quot;parse-names&quot;:false,&quot;dropping-particle&quot;:&quot;&quot;,&quot;non-dropping-particle&quot;:&quot;&quot;},{&quot;family&quot;:&quot;FAST&quot;,&quot;given&quot;:&quot;&quot;,&quot;parse-names&quot;:false,&quot;dropping-particle&quot;:&quot;&quot;,&quot;non-dropping-particle&quot;:&quot;&quot;},{&quot;family&quot;:&quot;Walk Free&quot;,&quot;given&quot;:&quot;&quot;,&quot;parse-names&quot;:false,&quot;dropping-particle&quot;:&quot;&quot;,&quot;non-dropping-particle&quot;:&quot;&quot;}],&quot;issued&quot;:{&quot;date-parts&quot;:[[2023]]},&quot;number-of-pages&quot;:&quot;1-10&quot;,&quot;container-title-short&quot;:&quot;&quot;},&quot;isTemporary&quot;:false}],&quot;citationTag&quot;:&quot;MENDELEY_CITATION_v3_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&quot;},{&quot;citationID&quot;:&quot;MENDELEY_CITATION_659ebbe5-4029-414b-b283-2da59375af82&quot;,&quot;properties&quot;:{&quot;noteIndex&quot;:0},&quot;isEdited&quot;:false,&quot;manualOverride&quot;:{&quot;isManuallyOverridden&quot;:false,&quot;citeprocText&quot;:&quot;(Walk Free, 2023)&quot;,&quot;manualOverrideText&quot;:&quot;&quot;},&quot;citationItems&quot;:[{&quot;id&quot;:&quot;47b9b193-1e21-3051-a13f-e2f48fd0e14b&quot;,&quot;itemData&quot;:{&quot;type&quot;:&quot;report&quot;,&quot;id&quot;:&quot;47b9b193-1e21-3051-a13f-e2f48fd0e14b&quot;,&quot;title&quot;:&quot;Global-Slavery-Index-2023&quot;,&quot;author&quot;:[{&quot;family&quot;:&quot;Walk Free Foundation&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NjU5ZWJiZTUtNDAyOS00MTRiLWIyODMtMmRhNTkzNzVhZjgy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quot;},{&quot;citationID&quot;:&quot;MENDELEY_CITATION_a47baf3e-2462-46a2-8c89-8a68e80ce974&quot;,&quot;properties&quot;:{&quot;noteIndex&quot;:0},&quot;isEdited&quot;:false,&quot;manualOverride&quot;:{&quot;isManuallyOverridden&quot;:false,&quot;citeprocText&quot;:&quot;(Wilhelm &lt;i&gt;et al.&lt;/i&gt;, 2020)&quot;,&quot;manualOverrideText&quot;:&quot;&quot;},&quot;citationItems&quot;:[{&quot;id&quot;:&quot;fcdc8bf5-9462-36fe-8ab9-5ebe82a2af3f&quot;,&quot;itemData&quot;:{&quot;type&quot;:&quot;article-journal&quot;,&quot;id&quot;:&quot;fcdc8bf5-9462-36fe-8ab9-5ebe82a2af3f&quot;,&quot;title&quot;:&quot;Private governance of human and labour rights in seafood supply chains – The case of the modern slavery crisis in Thailand&quot;,&quot;author&quot;:[{&quot;family&quot;:&quot;Wilhelm&quot;,&quot;given&quot;:&quot;Miriam&quot;,&quot;parse-names&quot;:false,&quot;dropping-particle&quot;:&quot;&quot;,&quot;non-dropping-particle&quot;:&quot;&quot;},{&quot;family&quot;:&quot;Kadfak&quot;,&quot;given&quot;:&quot;Alin&quot;,&quot;parse-names&quot;:false,&quot;dropping-particle&quot;:&quot;&quot;,&quot;non-dropping-particle&quot;:&quot;&quot;},{&quot;family&quot;:&quot;Bhakoo&quot;,&quot;given&quot;:&quot;Vikram&quot;,&quot;parse-names&quot;:false,&quot;dropping-particle&quot;:&quot;&quot;,&quot;non-dropping-particle&quot;:&quot;&quot;},{&quot;family&quot;:&quot;Skattang&quot;,&quot;given&quot;:&quot;Kate&quot;,&quot;parse-names&quot;:false,&quot;dropping-particle&quot;:&quot;&quot;,&quot;non-dropping-particle&quot;:&quot;&quot;}],&quot;container-title&quot;:&quot;Marine Policy&quot;,&quot;accessed&quot;:{&quot;date-parts&quot;:[[2023,5,17]]},&quot;DOI&quot;:&quot;10.1016/J.MARPOL.2020.103833&quot;,&quot;ISSN&quot;:&quot;0308-597X&quot;,&quot;issued&quot;:{&quot;date-parts&quot;:[[2020,5,1]]},&quot;abstract&quot;:&quot;A growing recognition of human rights in business has shed light on labor violations and abusive practices that prevail in many global supply chains. The recent ‘modern slavery’ crisis in the Thai fishing industry not only brings the question of government's responsibility to the fore but also increasingly highlights the role of private governance in global supply chains. This paper provides an updated analysis on the state of labor rights protection in the Thai fishing industry by analyzing responses from private business and civil society to the modern slavery scandal. We focus on three responses in particular: ethical recruitment policies, worker grievance mechanisms and worker associations. We analyse the effectiveness of these responses and delineate the potential of private governance as well as the limits that need to be overcome to ensure the protection of human and labor rights in global seafood supply chains.&quot;,&quot;publisher&quot;:&quot;Pergamon&quot;,&quot;volume&quot;:&quot;115&quot;,&quot;container-title-short&quot;:&quot;Mar Policy&quot;},&quot;isTemporary&quot;:false}],&quot;citationTag&quot;:&quot;MENDELEY_CITATION_v3_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&quot;},{&quot;citationID&quot;:&quot;MENDELEY_CITATION_455a5a9f-a8e0-43ef-ac79-2b6a5f2e51e2&quot;,&quot;properties&quot;:{&quot;noteIndex&quot;:0},&quot;isEdited&quot;:false,&quot;manualOverride&quot;:{&quot;isManuallyOverridden&quot;:false,&quot;citeprocText&quot;:&quot;(Siddiqui and Uddin, 2016)&quot;,&quot;manualOverrideText&quot;:&quot;&quot;},&quot;citationItems&quot;:[{&quot;id&quot;:&quot;6e8e37ae-1d98-3450-ad11-fbe1d0b9bd5d&quot;,&quot;itemData&quot;:{&quot;type&quot;:&quot;article-journal&quot;,&quot;id&quot;:&quot;6e8e37ae-1d98-3450-ad11-fbe1d0b9bd5d&quot;,&quot;title&quot;:&quot;Human rights disasters, corporate accountability and the state: Lessons learned from Rana Plaza&quot;,&quot;author&quot;:[{&quot;family&quot;:&quot;Siddiqui&quot;,&quot;given&quot;:&quot;Javed&quot;,&quot;parse-names&quot;:false,&quot;dropping-particle&quot;:&quot;&quot;,&quot;non-dropping-particle&quot;:&quot;&quot;},{&quot;family&quot;:&quot;Uddin&quot;,&quot;given&quot;:&quot;Shahzad&quot;,&quot;parse-names&quot;:false,&quot;dropping-particle&quot;:&quot;&quot;,&quot;non-dropping-particle&quot;:&quot;&quot;}],&quot;container-title&quot;:&quot;Accounting, Auditing and Accountability Journal&quot;,&quot;ISSN&quot;:&quot;09513574&quot;,&quot;issued&quot;:{&quot;date-parts&quot;:[[2016,5,16]]},&quot;page&quot;:&quot;679-704&quot;,&quot;abstract&quot;:&quot;Purpose – The purpose of this paper is to examine the state-business nexus in responses to human rights violations in businesses and questions the efficacy of the UN guiding principles on human rights in businesses, in particular in the ready-made garments (RMG) industry in Bangladesh. Drawing on Cohen’s notion of “denial” and Black’s (2008) legitimacy and accountability relationships of state and non-state actors, the study seeks to explain why such “soft” global regulations remain inadequate. Design/methodology/approach – The empirical work for this paper is based on the authors’ participation in two multiple-stakeholder advisory consultation meetings for the RMG sector in Bangladesh and 11 follow-up interviews. This is supplemented by documentary evidence on human rights disasters, responses of the state and non-state actors and human rights reports published in national and international newspapers. Findings – The paper provides clear evidence that the state-business nexus perpetuates human rights disasters. The study also shows that the Bangladeshi state, ruled by family-led political parties, is more inclined to protect businesses that cause human rights disasters than to ensure human rights in businesses. The economic conditions of the RMG industry and accountability and legitimacy relationships between state and non-state actors have provided the necessary background for RMG owners to continue to violate the safety and security of the workplace and maintain inhumane working conditions. Research limitations/implications – Complex state politics, including family, kinship and wealthy supporters, and economic circumstances have serious implications for the efficacy of the UN guiding principle on human rights for business. This paper calls for broader political and economic changes, nationally and internationally. Originality/value – The study highlights the perpetuation of corporate human rights abuses by the state-business nexus, and indicates that human rights issues continue to be ignored through a discourse of denial. This is explained in terms of legitimacy and accountability relationships between state and non-state actors, bounded by complex political and economic conditions.&quot;,&quot;publisher&quot;:&quot;Emerald Group Publishing Ltd.&quot;,&quot;issue&quot;:&quot;4&quot;,&quot;volume&quot;:&quot;29&quot;,&quot;container-title-short&quot;:&quot;&quot;},&quot;isTemporary&quot;:false}],&quot;citationTag&quot;:&quot;MENDELEY_CITATION_v3_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&quot;},{&quot;citationID&quot;:&quot;MENDELEY_CITATION_d990988b-a8fc-4a2b-a825-e395c8feb33e&quot;,&quot;properties&quot;:{&quot;noteIndex&quot;:0},&quot;isEdited&quot;:false,&quot;manualOverride&quot;:{&quot;isManuallyOverridden&quot;:false,&quot;citeprocText&quot;:&quot;(Garcia-Sanchez &lt;i&gt;et al.&lt;/i&gt;, 2013)&quot;,&quot;manualOverrideText&quot;:&quot;&quot;},&quot;citationItems&quot;:[{&quot;id&quot;:&quot;f7c881bc-47c9-332c-b5dd-040a945e72f3&quot;,&quot;itemData&quot;:{&quot;type&quot;:&quot;article-journal&quot;,&quot;id&quot;:&quot;f7c881bc-47c9-332c-b5dd-040a945e72f3&quot;,&quot;title&quot;:&quot;Determinants of Government Effectiveness&quot;,&quot;author&quot;:[{&quot;family&quot;:&quot;Garcia-Sanchez&quot;,&quot;given&quot;:&quot;Isabel Maria&quot;,&quot;parse-names&quot;:false,&quot;dropping-particle&quot;:&quot;&quot;,&quot;non-dropping-particle&quot;:&quot;&quot;},{&quot;family&quot;:&quot;Cuadrado-Ballesteros&quot;,&quot;given&quot;:&quot;Beatriz&quot;,&quot;parse-names&quot;:false,&quot;dropping-particle&quot;:&quot;&quot;,&quot;non-dropping-particle&quot;:&quot;&quot;},{&quot;family&quot;:&quot;Frias-Aceituno&quot;,&quot;given&quot;:&quot;Jose&quot;,&quot;parse-names&quot;:false,&quot;dropping-particle&quot;:&quot;&quot;,&quot;non-dropping-particle&quot;:&quot;&quot;}],&quot;container-title&quot;:&quot;http://dx.doi.org/10.1080/01900692.2013.772630&quot;,&quot;accessed&quot;:{&quot;date-parts&quot;:[[2023,4,20]]},&quot;DOI&quot;:&quot;10.1080/01900692.2013.772630&quot;,&quot;ISSN&quot;:&quot;01900692&quot;,&quot;URL&quot;:&quot;https://www.tandfonline.com/doi/abs/10.1080/01900692.2013.772630&quot;,&quot;issued&quot;:{&quot;date-parts&quot;:[[2013]]},&quot;page&quot;:&quot;567-577&quot;,&quot;abstract&quot;:&quot;The direct relationship between government effectiveness and the population's well-being has generated a growing interest about the explanatory factors of governance quality. Thus, the aim of this ...&quot;,&quot;publisher&quot;:&quot; Routledge &quot;,&quot;issue&quot;:&quot;8&quot;,&quot;volume&quot;:&quot;36&quot;,&quot;container-title-short&quot;:&quot;&quot;},&quot;isTemporary&quot;:false}],&quot;citationTag&quot;:&quot;MENDELEY_CITATION_v3_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&quot;},{&quot;citationID&quot;:&quot;MENDELEY_CITATION_bde8e300-e8b8-4cd1-8881-f5e1d9e8e3b2&quot;,&quot;properties&quot;:{&quot;noteIndex&quot;:0},&quot;isEdited&quot;:false,&quot;manualOverride&quot;:{&quot;isManuallyOverridden&quot;:false,&quot;citeprocText&quot;:&quot;(Kaufmann, 2021; Mastruzzi &lt;i&gt;et al.&lt;/i&gt;, 2007; Mooneeapen &lt;i&gt;et al.&lt;/i&gt;, 2022)&quot;,&quot;manualOverrideText&quot;:&quot;&quot;},&quot;citationItems&quot;:[{&quot;id&quot;:&quot;5447ee69-9f2f-3b85-93c8-0c96fbeb11f0&quot;,&quot;itemData&quot;:{&quot;type&quot;:&quot;book&quot;,&quot;id&quot;:&quot;5447ee69-9f2f-3b85-93c8-0c96fbeb11f0&quot;,&quot;title&quot;:&quot;Governance Matters VI: Aggregate and Individual Governance Indicators, 1996-2006&quot;,&quot;author&quot;:[{&quot;family&quot;:&quot;Mastruzzi&quot;,&quot;given&quot;:&quot;Massimo&quot;,&quot;parse-names&quot;:false,&quot;dropping-particle&quot;:&quot;&quot;,&quot;non-dropping-particle&quot;:&quot;&quot;},{&quot;family&quot;:&quot;Kraay&quot;,&quot;given&quot;:&quot;Aart&quot;,&quot;parse-names&quot;:false,&quot;dropping-particle&quot;:&quot;&quot;,&quot;non-dropping-particle&quot;:&quot;&quot;},{&quot;family&quot;:&quot;Kaufmann&quot;,&quot;given&quot;:&quot;Daniel&quot;,&quot;parse-names&quot;:false,&quot;dropping-particle&quot;:&quot;&quot;,&quot;non-dropping-particle&quot;:&quot;&quot;}],&quot;collection-title&quot;:&quot;Policy Research Working Papers&quot;,&quot;accessed&quot;:{&quot;date-parts&quot;:[[2023,5,18]]},&quot;DOI&quot;:&quot;10.1596/1813-9450-4280&quot;,&quot;URL&quot;:&quot;http://elibrary.worldbank.org/doi/book/10.1596/1813-9450-4280&quot;,&quot;issued&quot;:{&quot;date-parts&quot;:[[2007,8,6]]},&quot;publisher&quot;:&quot;The World Bank&quot;,&quot;container-title-short&quot;:&quot;&quot;},&quot;isTemporary&quot;:false},{&quot;id&quot;:&quot;49f8aa7a-2b2f-3976-9f71-a8c5b6f7c587&quot;,&quot;itemData&quot;:{&quot;type&quot;:&quot;webpage&quot;,&quot;id&quot;:&quot;49f8aa7a-2b2f-3976-9f71-a8c5b6f7c587&quot;,&quot;title&quot;:&quot;Worldwide Governance indicators&quot;,&quot;author&quot;:[{&quot;family&quot;:&quot;Kaufmann&quot;,&quot;given&quot;:&quot;Daniel&quot;,&quot;parse-names&quot;:false,&quot;dropping-particle&quot;:&quot;&quot;,&quot;non-dropping-particle&quot;:&quot;&quot;}],&quot;accessed&quot;:{&quot;date-parts&quot;:[[2023,4,20]]},&quot;URL&quot;:&quot;https://info.worldbank.org/governance/wgi/Home/Documents&quot;,&quot;issued&quot;:{&quot;date-parts&quot;:[[2021]]},&quot;container-title-short&quot;:&quot;&quot;},&quot;isTemporary&quot;:false},{&quot;id&quot;:&quot;6588b9d6-116f-37aa-95f1-e35adaa9b52d&quot;,&quot;itemData&quot;:{&quot;type&quot;:&quot;article-journal&quot;,&quot;id&quot;:&quot;6588b9d6-116f-37aa-95f1-e35adaa9b52d&quot;,&quot;title&quot;:&quot;The influence of the country governance environment on corporate environmental, social and governance (ESG) performance&quot;,&quot;author&quot;:[{&quot;family&quot;:&quot;Mooneeapen&quot;,&quot;given&quot;:&quot;Oren&quot;,&quot;parse-names&quot;:false,&quot;dropping-particle&quot;:&quot;&quot;,&quot;non-dropping-particle&quot;:&quot;&quot;},{&quot;family&quot;:&quot;Abhayawansa&quot;,&quot;given&quot;:&quot;Subhash&quot;,&quot;parse-names&quot;:false,&quot;dropping-particle&quot;:&quot;&quot;,&quot;non-dropping-particle&quot;:&quot;&quot;},{&quot;family&quot;:&quot;Khan&quot;,&quot;given&quot;:&quot;Naushad Mamode&quot;,&quot;parse-names&quot;:false,&quot;dropping-particle&quot;:&quot;&quot;,&quot;non-dropping-particle&quot;:&quot;&quot;}],&quot;container-title&quot;:&quot;Sustainability Accounting, Management and Policy Journal&quot;,&quot;accessed&quot;:{&quot;date-parts&quot;:[[2022,8,4]]},&quot;issued&quot;:{&quot;date-parts&quot;:[[2022]]},&quot;page&quot;:&quot;953-985&quot;,&quot;abstract&quot;:&quot;Purpose-The purpose of this study is to investigate whether the corporate environmental, social and governance (ESG) performance of companies is influenced by the barriers and opportunities created by three factors characterising a country's governance landscape: democracy, political stability and regulatory quality. Additionally, this study separately explains the influence of the three country governance factors on the ESG performance of companies and how they are affected by the profitability of the company. Design/methodology/approach-Fixed effects multiple linear regression is performed on 6,035 firm-year observations drawn from 27 countries relating to 1,207 unique constituents of the S&amp;P Global 1200 index for a five-year period from 2015 to 2019. Clustered standard errors robust to heteroscedasticity and serial correlation are estimated for a specification that includes Refinitiv ESG scores as the dependent variable, selected Worldwide Governance Indicators as the independent variables and several country-and firm-level controls. Findings-The study finds that companies' ESG performance is higher in countries with a lower level of democracy and political stability, and corporate governance performance is higher in countries with higher regulatory quality. A component-level analysis finds significant variation in the results across the different ESG pillars. Firm profitability moderates the relationship between country-level governance factors and companies' ESG performance. Practical implications-The study reveals that national governments can prompt companies to enhance their governance performance, invariably leading to greater engagement in sustainability by improving their regulatory environment and enforcement mechanisms. Thus, the implementation of regulations targeting corporate environmental and social performance is not always needed to prompt better corporate ESG performance. Social implications-This study shows that internationalised companies proactively work towards achieving sustainability in countries where the country governance landscape is ineffective and inadequate to enable it. The authors thank the associate editor and the reviewers for helpful feedback. Country governance environment 953 The current issue and full text archive of this journal is available on Emerald Insight at: https://www.emerald.com/insight/2040-8021.htm Originality/value-This study addresses the association between country-level governance and firm-level ESG performance, in contrast to firm-level corporate social responsibility disclosure that has been the focus of prior research. As disclosures can be symbolic and may not reflect actual ESG performance, the results of prior studies examining the relationship between country-level governance performance and corporate social responsibility disclosure is inappropriate to explain the factors affecting the ESG performance of companies.&quot;,&quot;issue&quot;:&quot;4&quot;,&quot;volume&quot;:&quot;13&quot;,&quot;container-title-short&quot;:&quot;&quot;},&quot;isTemporary&quot;:false}],&quot;citationTag&quot;:&quot;MENDELEY_CITATION_v3_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&quot;},{&quot;citationID&quot;:&quot;MENDELEY_CITATION_270151ed-c089-4221-a7ed-1e61177bf6b6&quot;,&quot;properties&quot;:{&quot;noteIndex&quot;:0},&quot;isEdited&quot;:false,&quot;manualOverride&quot;:{&quot;isManuallyOverridden&quot;:true,&quot;citeprocText&quot;:&quot;(Crane &lt;i&gt;et al.&lt;/i&gt;, 2019a; LeBaron and Rühmkorf, 2017)&quot;,&quot;manualOverrideText&quot;:&quot;(Crane et al., 2019; LeBaron and Rühmkorf, 2017)&quot;},&quot;citationItems&quot;:[{&quot;id&quot;:&quot;ddafc742-0174-3eef-b9e6-1f608181f185&quot;,&quot;itemData&quot;:{&quot;type&quot;:&quot;article-journal&quot;,&quot;id&quot;:&quot;ddafc742-0174-3eef-b9e6-1f608181f185&quot;,&quot;title&quot;:&quot;Governance gaps in eradicating forced labou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mp; Governance&quot;,&quot;container-title-short&quot;:&quot;Regul Gov&quot;,&quot;accessed&quot;:{&quot;date-parts&quot;:[[2023,2,4]]},&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John Wiley &amp; Sons, Ltd&quot;,&quot;issue&quot;:&quot;1&quot;,&quot;volume&quot;:&quot;13&quot;},&quot;isTemporary&quot;:false},{&quot;id&quot;:&quot;ccd151d4-e57f-3654-92b0-e769985c95de&quot;,&quot;itemData&quot;:{&quot;type&quot;:&quot;article-journal&quot;,&quot;id&quot;:&quot;ccd151d4-e57f-3654-92b0-e769985c95de&quot;,&quot;title&quot;:&quot;Steering CSR Through Home State Regulation: A Comparison of the Impact of the UK Bribery Act and Modern Slavery Act on Global Supply Chain Governance&quot;,&quot;author&quot;:[{&quot;family&quot;:&quot;LeBaron&quot;,&quot;given&quot;:&quot;Genevieve&quot;,&quot;parse-names&quot;:false,&quot;dropping-particle&quot;:&quot;&quot;,&quot;non-dropping-particle&quot;:&quot;&quot;},{&quot;family&quot;:&quot;Rühmkorf&quot;,&quot;given&quot;:&quot;Andreas&quot;,&quot;parse-names&quot;:false,&quot;dropping-particle&quot;:&quot;&quot;,&quot;non-dropping-particle&quot;:&quot;&quot;}],&quot;container-title&quot;:&quot;Global Policy&quot;,&quot;container-title-short&quot;:&quot;Glob Policy&quot;,&quot;accessed&quot;:{&quot;date-parts&quot;:[[2023,5,17]]},&quot;DOI&quot;:&quot;10.1111/1758-5899.12398&quot;,&quot;ISSN&quot;:&quot;1758-5899&quot;,&quot;URL&quot;:&quot;https://onlinelibrary.wiley.com/doi/full/10.1111/1758-5899.12398&quot;,&quot;issued&quot;:{&quot;date-parts&quot;:[[2017,5,1]]},&quot;page&quot;:&quot;15-28&quot;,&quot;abstract&quot;:&quot;The home states of multinational enterprises have in recent years sought to use public regulation to fill the gaps left by the absence of a binding labour standards framework in international law. This article examines recent home state initiatives to address forced labour, human trafficking, and slavery in global supply chains, and their interactions with private governance initiatives. Focusing on a case study of the 2015 UK Modern Slavery Act and 2010 UK Bribery Act, we analyse two distinct legislative approaches that policy makers have used to promote corporate accountability within global supply chains and explore the varied impacts that these approaches have on corporate behaviour. Empirically, we analyse codes of conduct, annual CSR reports, and supplier terms and conditions for 25 FTSE 100 companies to shed light into the impact of the legislation on corporate behaviour. We find that legislation that creates criminal corporate liability appears to spur deeper changes to corporate strategy, and argue that in the case of the Modern Slavery Act, the triumph of voluntary reporting over more stringent public labour standards seems to have undermined the effectiveness of recent governance initiatives to address forced labour in global supply chains.&quot;,&quot;publisher&quot;:&quot;John Wiley &amp; Sons, Ltd&quot;,&quot;volume&quot;:&quot;8&quot;},&quot;isTemporary&quot;:false}],&quot;citationTag&quot;:&quot;MENDELEY_CITATION_v3_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JiBHb3Zlcm5hbmNlIiwiY29udGFpbmVyLXRpdGxlLXNob3J0IjoiUmVndWwgR292IiwiYWNjZXNzZWQiOnsiZGF0ZS1wYXJ0cyI6W1syMDIzLDIsNF1dfS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pvaG4gV2lsZXkgJiBTb25zLCBMdGQiLCJpc3N1ZSI6IjEiLCJ2b2x1bWUiOiIxMyJ9LCJpc1RlbXBvcmFyeSI6ZmFsc2V9LH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&quot;},{&quot;citationID&quot;:&quot;MENDELEY_CITATION_53598b8d-9694-493d-b460-0ab5825f1a9a&quot;,&quot;properties&quot;:{&quot;noteIndex&quot;:0},&quot;isEdited&quot;:false,&quot;manualOverride&quot;:{&quot;isManuallyOverridden&quot;:false,&quot;citeprocText&quot;:&quot;(Jain &lt;i&gt;et al.&lt;/i&gt;, 2017; Mooneeapen &lt;i&gt;et al.&lt;/i&gt;, 2022; Pyng &lt;i&gt;et al.&lt;/i&gt;, 2021)&quot;,&quot;manualOverrideText&quot;:&quot;&quot;},&quot;citationItems&quot;:[{&quot;id&quot;:&quot;2444d137-606f-3b05-adbb-edb413bcfcc5&quot;,&quot;itemData&quot;:{&quot;type&quot;:&quot;article-journal&quot;,&quot;id&quot;:&quot;2444d137-606f-3b05-adbb-edb413bcfcc5&quot;,&quot;title&quot;:&quot;Political institutions and the control of corruption: a cross-country evidence&quot;,&quot;author&quot;:[{&quot;family&quot;:&quot;Pyng&quot;,&quot;given&quot;:&quot;Siew&quot;,&quot;parse-names&quot;:false,&quot;dropping-particle&quot;:&quot;&quot;,&quot;non-dropping-particle&quot;:&quot;&quot;},{&quot;family&quot;:&quot;Chong&quot;,&quot;given&quot;:&quot;Christine&quot;,&quot;parse-names&quot;:false,&quot;dropping-particle&quot;:&quot;&quot;,&quot;non-dropping-particle&quot;:&quot;&quot;},{&quot;family&quot;:&quot;Tee&quot;,&quot;given&quot;:&quot;Ming&quot;,&quot;parse-names&quot;:false,&quot;dropping-particle&quot;:&quot;&quot;,&quot;non-dropping-particle&quot;:&quot;&quot;},{&quot;family&quot;:&quot;Cheng&quot;,&quot;given&quot;:&quot;Seow Voon&quot;,&quot;parse-names&quot;:false,&quot;dropping-particle&quot;:&quot;&quot;,&quot;non-dropping-particle&quot;:&quot;&quot;}],&quot;container-title&quot;:&quot;Journal of Financial Crime&quot;,&quot;accessed&quot;:{&quot;date-parts&quot;:[[2023,4,20]]},&quot;DOI&quot;:&quot;10.1108/JFC-05-2020-0094&quot;,&quot;URL&quot;:&quot;https://www.emerald.com/insight/1359-0790.htm&quot;,&quot;issued&quot;:{&quot;date-parts&quot;:[[2021]]},&quot;page&quot;:&quot;26-48&quot;,&quot;abstract&quot;:&quot;Purpose-The purpose of this paper is to examine the significant association between political institutions and the control of corruption. Design/methodology/approach-This study uses ordinary least squares model to examine the following: quality of political institutions; the association between the strength of democratic institutions and control of corruption; the association between government effectiveness and control of corruption; and the association between legal institutions and control of corruption. Findings-The result shows that there is positive association between democratic institutions, government bureaucracy and rule of law with the control of corruption. From the political perspective, stronger democratic institutions are found to be associated with higher ability to control corruption in a country. When viewed from country's economic and social well-being perspective, highly effective government bureaucracy is positively associated with ability to control corruption. Finally, rule of law is also associated with the control of corruption. Originality/value-This study points toward clear priorities for reform as stronger democratic institutions, efficient government bureaucracy and adherence to the rule of law improve the control of corruption. The results show that stronger democratic institutions, highly effective government bureaucracy and rule of law are associated with higher control of corruption. This supports the theory that quality political institutions reduce corruption in the long-run. In addition, this study shows that press freedom, regulatory quality and political stability further enhance the capacity of such institutions to combat corruption. Conversely, crony capitalism systems undermine this positive association.&quot;,&quot;issue&quot;:&quot;1&quot;,&quot;volume&quot;:&quot;28&quot;,&quot;container-title-short&quot;:&quot;J Financ Crime&quot;},&quot;isTemporary&quot;:false},{&quot;id&quot;:&quot;71fc2b07-861e-324b-bb40-411016deeabd&quot;,&quot;itemData&quot;:{&quot;type&quot;:&quot;article-journal&quot;,&quot;id&quot;:&quot;71fc2b07-861e-324b-bb40-411016deeabd&quot;,&quot;title&quot;:&quot;Corporate Stakeholder Orientation in an Emerging Country Context: A Longitudinal Cross Industry Analysis&quot;,&quot;author&quot;:[{&quot;family&quot;:&quot;Jain&quot;,&quot;given&quot;:&quot;Tanusree&quot;,&quot;parse-names&quot;:false,&quot;dropping-particle&quot;:&quot;&quot;,&quot;non-dropping-particle&quot;:&quot;&quot;},{&quot;family&quot;:&quot;Aguilera&quot;,&quot;given&quot;:&quot;Ruth&quot;,&quot;parse-names&quot;:false,&quot;dropping-particle&quot;:&quot;V&quot;,&quot;non-dropping-particle&quot;:&quot;&quot;},{&quot;family&quot;:&quot;Jamali&quot;,&quot;given&quot;:&quot;Dima&quot;,&quot;parse-names&quot;:false,&quot;dropping-particle&quot;:&quot;&quot;,&quot;non-dropping-particle&quot;:&quot;&quot;}],&quot;container-title&quot;:&quot;Journal of Business Ethics&quot;,&quot;accessed&quot;:{&quot;date-parts&quot;:[[2022,9,25]]},&quot;issued&quot;:{&quot;date-parts&quot;:[[2017]]},&quot;page&quot;:&quot;701-7019&quot;,&quot;abstract&quot;:&quot;This study examines corporate stakeholder orientation (CSO) across industries and over time prior to the introduction of mandatory CSR. We argue that CSO is a legitimacy signal consciously employed by firms to demonstrate their shareholder and specific non-shareholder orientations in the midst of institutional pressures emerging from country and industry contexts. Using a 7-code index of CSO on CEO-shareholder communications from India, we find that in general large firms in India exhibit a predominant , significant and rising trend of pro-shareholder orientation in the six-year period immediately preceding the CSR law. Yet, we uncover significant industry differences in CSO potentially driven by four key factors: the degree of competitive dynamics, nature of products and services, extent of negative externalities and social acti-vism, and exposure to international markets. Our findings support the view that while some minimum threshold of regulatory intervention is required to balance the interests of business with society, legislation raises questions in relation to the usefulness of a uniform one-size-fits-all CSR across all industries.&quot;,&quot;volume&quot;:&quot;143&quot;,&quot;container-title-short&quot;:&quot;&quot;},&quot;isTemporary&quot;:false},{&quot;id&quot;:&quot;6588b9d6-116f-37aa-95f1-e35adaa9b52d&quot;,&quot;itemData&quot;:{&quot;type&quot;:&quot;article-journal&quot;,&quot;id&quot;:&quot;6588b9d6-116f-37aa-95f1-e35adaa9b52d&quot;,&quot;title&quot;:&quot;The influence of the country governance environment on corporate environmental, social and governance (ESG) performance&quot;,&quot;author&quot;:[{&quot;family&quot;:&quot;Mooneeapen&quot;,&quot;given&quot;:&quot;Oren&quot;,&quot;parse-names&quot;:false,&quot;dropping-particle&quot;:&quot;&quot;,&quot;non-dropping-particle&quot;:&quot;&quot;},{&quot;family&quot;:&quot;Abhayawansa&quot;,&quot;given&quot;:&quot;Subhash&quot;,&quot;parse-names&quot;:false,&quot;dropping-particle&quot;:&quot;&quot;,&quot;non-dropping-particle&quot;:&quot;&quot;},{&quot;family&quot;:&quot;Khan&quot;,&quot;given&quot;:&quot;Naushad Mamode&quot;,&quot;parse-names&quot;:false,&quot;dropping-particle&quot;:&quot;&quot;,&quot;non-dropping-particle&quot;:&quot;&quot;}],&quot;container-title&quot;:&quot;Sustainability Accounting, Management and Policy Journal&quot;,&quot;accessed&quot;:{&quot;date-parts&quot;:[[2022,8,4]]},&quot;issued&quot;:{&quot;date-parts&quot;:[[2022]]},&quot;page&quot;:&quot;953-985&quot;,&quot;abstract&quot;:&quot;Purpose-The purpose of this study is to investigate whether the corporate environmental, social and governance (ESG) performance of companies is influenced by the barriers and opportunities created by three factors characterising a country's governance landscape: democracy, political stability and regulatory quality. Additionally, this study separately explains the influence of the three country governance factors on the ESG performance of companies and how they are affected by the profitability of the company. Design/methodology/approach-Fixed effects multiple linear regression is performed on 6,035 firm-year observations drawn from 27 countries relating to 1,207 unique constituents of the S&amp;P Global 1200 index for a five-year period from 2015 to 2019. Clustered standard errors robust to heteroscedasticity and serial correlation are estimated for a specification that includes Refinitiv ESG scores as the dependent variable, selected Worldwide Governance Indicators as the independent variables and several country-and firm-level controls. Findings-The study finds that companies' ESG performance is higher in countries with a lower level of democracy and political stability, and corporate governance performance is higher in countries with higher regulatory quality. A component-level analysis finds significant variation in the results across the different ESG pillars. Firm profitability moderates the relationship between country-level governance factors and companies' ESG performance. Practical implications-The study reveals that national governments can prompt companies to enhance their governance performance, invariably leading to greater engagement in sustainability by improving their regulatory environment and enforcement mechanisms. Thus, the implementation of regulations targeting corporate environmental and social performance is not always needed to prompt better corporate ESG performance. Social implications-This study shows that internationalised companies proactively work towards achieving sustainability in countries where the country governance landscape is ineffective and inadequate to enable it. The authors thank the associate editor and the reviewers for helpful feedback. Country governance environment 953 The current issue and full text archive of this journal is available on Emerald Insight at: https://www.emerald.com/insight/2040-8021.htm Originality/value-This study addresses the association between country-level governance and firm-level ESG performance, in contrast to firm-level corporate social responsibility disclosure that has been the focus of prior research. As disclosures can be symbolic and may not reflect actual ESG performance, the results of prior studies examining the relationship between country-level governance performance and corporate social responsibility disclosure is inappropriate to explain the factors affecting the ESG performance of companies.&quot;,&quot;issue&quot;:&quot;4&quot;,&quot;volume&quot;:&quot;13&quot;,&quot;container-title-short&quot;:&quot;&quot;},&quot;isTemporary&quot;:false}],&quot;citationTag&quot;:&quot;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&quot;},{&quot;citationID&quot;:&quot;MENDELEY_CITATION_a05ab43b-67f2-46a1-a1b7-7c48e57a889f&quot;,&quot;properties&quot;:{&quot;noteIndex&quot;:0},&quot;isEdited&quot;:false,&quot;manualOverride&quot;:{&quot;isManuallyOverridden&quot;:false,&quot;citeprocText&quot;:&quot;(Brown, 1996; International Council on Human Rights Policy, 2002; LeBaron and Rühmkorf, 2017)&quot;,&quot;manualOverrideText&quot;:&quot;&quot;},&quot;citationItems&quot;:[{&quot;id&quot;:&quot;ccd151d4-e57f-3654-92b0-e769985c95de&quot;,&quot;itemData&quot;:{&quot;type&quot;:&quot;article-journal&quot;,&quot;id&quot;:&quot;ccd151d4-e57f-3654-92b0-e769985c95de&quot;,&quot;title&quot;:&quot;Steering CSR Through Home State Regulation: A Comparison of the Impact of the UK Bribery Act and Modern Slavery Act on Global Supply Chain Governance&quot;,&quot;author&quot;:[{&quot;family&quot;:&quot;LeBaron&quot;,&quot;given&quot;:&quot;Genevieve&quot;,&quot;parse-names&quot;:false,&quot;dropping-particle&quot;:&quot;&quot;,&quot;non-dropping-particle&quot;:&quot;&quot;},{&quot;family&quot;:&quot;Rühmkorf&quot;,&quot;given&quot;:&quot;Andreas&quot;,&quot;parse-names&quot;:false,&quot;dropping-particle&quot;:&quot;&quot;,&quot;non-dropping-particle&quot;:&quot;&quot;}],&quot;container-title&quot;:&quot;Global Policy&quot;,&quot;container-title-short&quot;:&quot;Glob Policy&quot;,&quot;accessed&quot;:{&quot;date-parts&quot;:[[2023,5,17]]},&quot;DOI&quot;:&quot;10.1111/1758-5899.12398&quot;,&quot;ISSN&quot;:&quot;1758-5899&quot;,&quot;URL&quot;:&quot;https://onlinelibrary.wiley.com/doi/full/10.1111/1758-5899.12398&quot;,&quot;issued&quot;:{&quot;date-parts&quot;:[[2017,5,1]]},&quot;page&quot;:&quot;15-28&quot;,&quot;abstract&quot;:&quot;The home states of multinational enterprises have in recent years sought to use public regulation to fill the gaps left by the absence of a binding labour standards framework in international law. This article examines recent home state initiatives to address forced labour, human trafficking, and slavery in global supply chains, and their interactions with private governance initiatives. Focusing on a case study of the 2015 UK Modern Slavery Act and 2010 UK Bribery Act, we analyse two distinct legislative approaches that policy makers have used to promote corporate accountability within global supply chains and explore the varied impacts that these approaches have on corporate behaviour. Empirically, we analyse codes of conduct, annual CSR reports, and supplier terms and conditions for 25 FTSE 100 companies to shed light into the impact of the legislation on corporate behaviour. We find that legislation that creates criminal corporate liability appears to spur deeper changes to corporate strategy, and argue that in the case of the Modern Slavery Act, the triumph of voluntary reporting over more stringent public labour standards seems to have undermined the effectiveness of recent governance initiatives to address forced labour in global supply chains.&quot;,&quot;publisher&quot;:&quot;John Wiley &amp; Sons, Ltd&quot;,&quot;volume&quot;:&quot;8&quot;},&quot;isTemporary&quot;:false},{&quot;id&quot;:&quot;2c9808e7-302b-38e8-a673-6e037b25e113&quot;,&quot;itemData&quot;:{&quot;type&quot;:&quot;webpage&quot;,&quot;id&quot;:&quot;2c9808e7-302b-38e8-a673-6e037b25e113&quot;,&quot;title&quot;:&quot;International Council on Human Rights Policy: Beyond the voluntarism&quot;,&quot;author&quot;:[{&quot;family&quot;:&quot;International Council on Human Rights Policy&quot;,&quot;given&quot;:&quot;&quot;,&quot;parse-names&quot;:false,&quot;dropping-particle&quot;:&quot;&quot;,&quot;non-dropping-particle&quot;:&quot;&quot;}],&quot;accessed&quot;:{&quot;date-parts&quot;:[[2022,5,24]]},&quot;URL&quot;:&quot;https://scholar.google.com/scholar_lookup?title=Beyond%20voluntarism%3A%20human%20rights%20and%20the%20developing%20international%20legal%20obligations%20of%20companies&amp;publication_year=2002&amp;author=International%20Council%20on%20Human%20Rights%20Policy&quot;,&quot;issued&quot;:{&quot;date-parts&quot;:[[2002]]},&quot;container-title-short&quot;:&quot;&quot;},&quot;isTemporary&quot;:false},{&quot;id&quot;:&quot;be50d8e0-53c8-3b79-9db7-0abc5024e939&quot;,&quot;itemData&quot;:{&quot;type&quot;:&quot;book&quot;,&quot;id&quot;:&quot;be50d8e0-53c8-3b79-9db7-0abc5024e939&quot;,&quot;title&quot;:&quot;International Labour Standards and Trade: A Theoretical Analysis&quot;,&quot;author&quot;:[{&quot;family&quot;:&quot;Brown&quot;,&quot;given&quot;:&quot;Drusilla K&quot;,&quot;parse-names&quot;:false,&quot;dropping-particle&quot;:&quot;&quot;,&quot;non-dropping-particle&quot;:&quot;&quot;}],&quot;container-title&quot;:&quot;Brown, D. K., Deardorff, A. V., &amp; Stern, R. M. (1996). International labor standards and trade: a theoretical analysis. In J. Bhagwati &amp; R. Hudec (Eds.), Eco- nomic analysis (Vol. 1). Fair trade and harmonization: prerequisites for free trade? (pp. 227–2…&quot;,&quot;accessed&quot;:{&quot;date-parts&quot;:[[2023,4,13]]},&quot;editor&quot;:[{&quot;family&quot;:&quot;J. Bhagwati&quot;,&quot;given&quot;:&quot;&quot;,&quot;parse-names&quot;:false,&quot;dropping-particle&quot;:&quot;&quot;,&quot;non-dropping-particle&quot;:&quot;&quot;},{&quot;family&quot;:&quot;R. Hudec&quot;,&quot;given&quot;:&quot;&quot;,&quot;parse-names&quot;:false,&quot;dropping-particle&quot;:&quot;&quot;,&quot;non-dropping-particle&quot;:&quot;&quot;}],&quot;URL&quot;:&quot;https://www.researchgate.net/publication/5174783&quot;,&quot;issued&quot;:{&quot;date-parts&quot;:[[1996]]},&quot;publisher-place&quot;:&quot;Cam- bridge, MA&quot;,&quot;number-of-pages&quot;:&quot;227-280&quot;,&quot;publisher&quot;:&quot;Cambridge University Pres&quot;,&quot;volume&quot;:&quot;1&quot;,&quot;container-title-short&quot;:&quot;&quot;},&quot;isTemporary&quot;:false}],&quot;citationTag&quot;:&quot;MENDELEY_CITATION_v3_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&quot;},{&quot;citationID&quot;:&quot;MENDELEY_CITATION_fa13c0e0-e47d-4c8a-bfe1-3d8aca053184&quot;,&quot;properties&quot;:{&quot;noteIndex&quot;:0},&quot;isEdited&quot;:false,&quot;manualOverride&quot;:{&quot;isManuallyOverridden&quot;:false,&quot;citeprocText&quot;:&quot;(Wettstein &lt;i&gt;et al.&lt;/i&gt;, 2019)&quot;,&quot;manualOverrideText&quot;:&quot;&quot;},&quot;citationItems&quot;:[{&quot;id&quot;:&quot;4cee1078-5593-36e1-b9f8-479b908b0aa9&quot;,&quot;itemData&quot;:{&quot;type&quot;:&quot;article-journal&quot;,&quot;id&quot;:&quot;4cee1078-5593-36e1-b9f8-479b908b0aa9&quot;,&quot;title&quot;:&quot;International business and human rights: A research agenda&quot;,&quot;author&quot;:[{&quot;family&quot;:&quot;Wettstein&quot;,&quot;given&quot;:&quot;Florian&quot;,&quot;parse-names&quot;:false,&quot;dropping-particle&quot;:&quot;&quot;,&quot;non-dropping-particle&quot;:&quot;&quot;},{&quot;family&quot;:&quot;Giuliani&quot;,&quot;given&quot;:&quot;Elisa&quot;,&quot;parse-names&quot;:false,&quot;dropping-particle&quot;:&quot;&quot;,&quot;non-dropping-particle&quot;:&quot;&quot;},{&quot;family&quot;:&quot;Santangelo&quot;,&quot;given&quot;:&quot;Grazia D.&quot;,&quot;parse-names&quot;:false,&quot;dropping-particle&quot;:&quot;&quot;,&quot;non-dropping-particle&quot;:&quot;&quot;},{&quot;family&quot;:&quot;Stahl&quot;,&quot;given&quot;:&quot;Günter K.&quot;,&quot;parse-names&quot;:false,&quot;dropping-particle&quot;:&quot;&quot;,&quot;non-dropping-particle&quot;:&quot;&quot;}],&quot;container-title&quot;:&quot;Journal of World Business&quot;,&quot;accessed&quot;:{&quot;date-parts&quot;:[[2023,4,2]]},&quot;DOI&quot;:&quot;10.1016/J.JWB.2018.10.004&quot;,&quot;ISSN&quot;:&quot;1090-9516&quot;,&quot;issued&quot;:{&quot;date-parts&quot;:[[2019,1,1]]},&quot;page&quot;:&quot;54-65&quot;,&quot;abstract&quot;:&quot;The discussion on business responsibilities for human rights is thriving – although, surprisingly, predominantly outside of the International Business (IB) field. This article introduces business and human rights (BHR) as a research area with great potential for IB scholars. IB scholarship has much to offer when it comes to better understanding the relation between multinational enterprises (MNEs) and human rights. BHR, on the other hand, is a field that can no longer be ignored by IB research if the field is to remain at the forefront of scholarship in globalization-related issues concerning MNEs. Therefore, this perspective article aims at providing guidance to IB scholars interested in engaging in BHR research by tracing common themes and overlaps, and outlining a research agenda that addresses some of the research gaps and open questions in both fields.&quot;,&quot;publisher&quot;:&quot;JAI&quot;,&quot;issue&quot;:&quot;1&quot;,&quot;volume&quot;:&quot;54&quot;,&quot;container-title-short&quot;:&quot;&quot;},&quot;isTemporary&quot;:false}],&quot;citationTag&quot;:&quot;MENDELEY_CITATION_v3_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&quot;},{&quot;citationID&quot;:&quot;MENDELEY_CITATION_1e8880ef-73ed-4bab-8222-c3cf7a756f9f&quot;,&quot;properties&quot;:{&quot;noteIndex&quot;:0},&quot;isEdited&quot;:false,&quot;manualOverride&quot;:{&quot;isManuallyOverridden&quot;:false,&quot;citeprocText&quot;:&quot;(Mardini and Lahyani, 2021)&quot;,&quot;manualOverrideText&quot;:&quot;&quot;},&quot;citationItems&quot;:[{&quot;id&quot;:&quot;3c1f82a6-c33b-38be-add6-789a4727b359&quot;,&quot;itemData&quot;:{&quot;type&quot;:&quot;article-journal&quot;,&quot;id&quot;:&quot;3c1f82a6-c33b-38be-add6-789a4727b359&quot;,&quot;title&quot;:&quot;Impact of foreign directors on carbon emissions performance and disclosure: empirical evidence from France&quot;,&quot;author&quot;:[{&quot;family&quot;:&quot;Mardini&quot;,&quot;given&quot;:&quot;Ghassan H.&quot;,&quot;parse-names&quot;:false,&quot;dropping-particle&quot;:&quot;&quot;,&quot;non-dropping-particle&quot;:&quot;&quot;},{&quot;family&quot;:&quot;Elleuch Lahyani&quot;,&quot;given&quot;:&quot;Fathia&quot;,&quot;parse-names&quot;:false,&quot;dropping-particle&quot;:&quot;&quot;,&quot;non-dropping-particle&quot;:&quot;&quot;}],&quot;container-title&quot;:&quot;Sustainability Accounting, Management and Policy Journal&quot;,&quot;ISSN&quot;:&quot;2040803X&quot;,&quot;issued&quot;:{&quot;date-parts&quot;:[[2021]]},&quot;page&quot;:&quot;221-246&quot;,&quot;abstract&quot;:&quot;Purpose: Drawing on multiple theoretical approaches, this study aims to investigate whether the presence of foreign directors on the board is associated with a company’s carbon emissions performance (CP) and carbon disclosure (CD). Design/methodology/approach: The sample comprises 67 non-financial listed firms from the Société des Bourses Françaises 120 index for the period 2010–2018 and the analysis relies on carbon reports from the carbon disclosure project, using a panel data analysis based on random-effects regression. Findings: The paper finds that having foreign directors has a positive significant impact on both aspects of carbon emissions (CE), namely, CP and CD. Foreign directors’ incentives to reveal extensive sustainability information depend on the volume of CE. The findings also indicate that foreign directors are more engaged in enhancing environmental transparency and lowering information asymmetry to maintain/ improve corporate legitimacy. Practical implications: The findings show that foreign directors play a vital role as one of the main pillars of a carbon model for sustainable carbon activities and disclosure. The evidence has important insights for the managers of French listed firms, shareholders and regulators. Social implications: The evidence underlines the value of foreign directors as a critical resource that enhances CE strategic decisions. Thus, the findings are valuable to managers, as they may consider balancing between foreign and local directors to benefit from a rich heterogeneous resource encompassing the diverse merits of both types of directors, with particular emphasis on foreign directors’ international exposure and experience. Originality/value: This study offers significant insights, as it examines the relationship between foreign directors and both the CP and CD in the French context, which is characterized by a non-English civil law system and the issuing of many environmental, climate and emission control laws.&quot;,&quot;publisher&quot;:&quot;Emerald Group Holdings Ltd.&quot;,&quot;issue&quot;:&quot;1&quot;,&quot;volume&quot;:&quot;13&quot;,&quot;container-title-short&quot;:&quot;&quot;},&quot;isTemporary&quot;:false}],&quot;citationTag&quot;:&quot;MENDELEY_CITATION_v3_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&quot;},{&quot;citationID&quot;:&quot;MENDELEY_CITATION_222ea83e-1dc9-4b1e-8a21-f99f4bbea4bd&quot;,&quot;properties&quot;:{&quot;noteIndex&quot;:0},&quot;isEdited&quot;:false,&quot;manualOverride&quot;:{&quot;isManuallyOverridden&quot;:true,&quot;citeprocText&quot;:&quot;(Islam and McPhail, 2011a)&quot;,&quot;manualOverrideText&quot;:&quot;(Islam and McPhail, 2011)&quot;},&quot;citationItems&quot;:[{&quot;id&quot;:&quot;58d18ab2-6471-366b-b126-c64194de8630&quot;,&quot;itemData&quot;:{&quot;type&quot;:&quot;article-journal&quot;,&quot;id&quot;:&quot;58d18ab2-6471-366b-b126-c64194de8630&quot;,&quot;title&quot;:&quot;Regulating for corporate human rights abuses: The emergence of corporate reporting on the ILO's human rights standards within the global garment manufacturing and retail industry&quot;,&quot;author&quot;:[{&quot;family&quot;:&quot;Islam&quot;,&quot;given&quot;:&quot;Muhammad Azizul&quot;,&quot;parse-names&quot;:false,&quot;dropping-particle&quot;:&quot;&quot;,&quot;non-dropping-particle&quot;:&quot;&quot;},{&quot;family&quot;:&quot;McPhail&quot;,&quot;given&quot;:&quot;Ken&quot;,&quot;parse-names&quot;:false,&quot;dropping-particle&quot;:&quot;&quot;,&quot;non-dropping-particle&quot;:&quot;&quot;}],&quot;container-title&quot;:&quot;Critical Perspectives on Accounting&quot;,&quot;issued&quot;:{&quot;date-parts&quot;:[[2011,11]]},&quot;page&quot;:&quot;790-810&quot;,&quot;abstract&quot;:&quot;Despite the ubiquitous nature of the discourse on human rights there is currently little research on the emergence of disclosure by multinational corporations on their human rights obligations or the regulatory dynamic that may lie behind this trend. In an attempt to begin to explore the extent to which, if any, the language of human rights has entered the discourse of corporate accountability, this paper investigates the adoption of the International Labour Organisation's (ILO) human rights standards by major multinational garment retail companies that source products from developing countries, as disclosed through their reporting media. The paper has three objectives. Firstly, to empirically explore the extent to which a group of multinational garment retailers invoke the language of human rights when disclosing their corporate responsibilities. The paper reviews corporate reporting media including social responsibility codes of conduct, annual reports and stand-alone social responsibility reports released by 18 major global clothing and retail companies during a period from 1990 to 2007. We find that the number of companies adopting and disclosing on the ILO's workplace human rights standards has significantly increased since 1998 - the year in which the ILO's standards were endorsed and accepted by the global community (ILO, 1998). Secondly, drawing on a combination of Responsive Regulation theory and neo-institutional theory, we tentatively seek to understand the regulatory space that may have influenced these large corporations to adopt the language of human rights obligations. In particular, we study the role that International Governmental Organisation's (IGO) such as ILO may have played in these disclosures. Finally, we provide some critical reflections on the power and potential within the corporate adoption of the language of human rights. © 2011 Elsevier Ltd.&quot;,&quot;issue&quot;:&quot;8&quot;,&quot;volume&quot;:&quot;22&quot;,&quot;container-title-short&quot;:&quot;&quot;},&quot;isTemporary&quot;:false}],&quot;citationTag&quot;:&quot;MENDELEY_CITATION_v3_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&quot;},{&quot;citationID&quot;:&quot;MENDELEY_CITATION_ab0ca05d-7897-4364-9daf-562cb241ec35&quot;,&quot;properties&quot;:{&quot;noteIndex&quot;:0},&quot;isEdited&quot;:false,&quot;manualOverride&quot;:{&quot;isManuallyOverridden&quot;:false,&quot;citeprocText&quot;:&quot;(Ball &lt;i&gt;et al.&lt;/i&gt;, 2000)&quot;,&quot;manualOverrideText&quot;:&quot;&quot;},&quot;citationItems&quot;:[{&quot;id&quot;:&quot;850191b8-7a7c-37ac-b1f8-797484cb3cd1&quot;,&quot;itemData&quot;:{&quot;type&quot;:&quot;article-journal&quot;,&quot;id&quot;:&quot;850191b8-7a7c-37ac-b1f8-797484cb3cd1&quot;,&quot;title&quot;:&quot;External transparency or internal capture? The role of third‐party statements in adding value to corporate environmental reports&quot;,&quot;author&quot;:[{&quot;family&quot;:&quot;Ball&quot;,&quot;given&quot;:&quot;A.&quot;,&quot;parse-names&quot;:false,&quot;dropping-particle&quot;:&quot;&quot;,&quot;non-dropping-particle&quot;:&quot;&quot;},{&quot;family&quot;:&quot;David&quot;,&quot;given&quot;:&quot;L. Owen&quot;,&quot;parse-names&quot;:false,&quot;dropping-particle&quot;:&quot;&quot;,&quot;non-dropping-particle&quot;:&quot;&quot;},{&quot;family&quot;:&quot;Rob&quot;,&quot;given&quot;:&quot;Gray&quot;,&quot;parse-names&quot;:false,&quot;dropping-particle&quot;:&quot;&quot;,&quot;non-dropping-particle&quot;:&quot;&quot;}],&quot;container-title&quot;:&quot;Business Strategy and the Environment&quot;,&quot;accessed&quot;:{&quot;date-parts&quot;:[[2022,9,29]]},&quot;URL&quot;:&quot;https://onlinelibrary.wiley.com/doi/pdf/10.1002/%28SICI%291099-0836%28200001/02%299%3A1%3C1%3A%3AAID-BSE227%3E3.0.CO%3B2-H&quot;,&quot;issued&quot;:{&quot;date-parts&quot;:[[2000]]},&quot;page&quot;:&quot;1-23&quot;,&quot;issue&quot;:&quot;1&quot;,&quot;volume&quot;:&quot;9&quot;,&quot;container-title-short&quot;:&quot;Bus Strategy Environ&quot;},&quot;isTemporary&quot;:false}],&quot;citationTag&quot;:&quot;MENDELEY_CITATION_v3_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&quot;},{&quot;citationID&quot;:&quot;MENDELEY_CITATION_80c11495-f8f8-4c13-83dc-2ea7475a263f&quot;,&quot;properties&quot;:{&quot;noteIndex&quot;:0},&quot;isEdited&quot;:false,&quot;manualOverride&quot;:{&quot;isManuallyOverridden&quot;:true,&quot;citeprocText&quot;:&quot;(La Porta &lt;i&gt;et al.&lt;/i&gt;, 1999)&quot;,&quot;manualOverrideText&quot;:&quot;La Porta et al. (1999)&quot;},&quot;citationItems&quot;:[{&quot;id&quot;:&quot;dbafc0ec-8a87-3e31-a883-78177d1ee5b1&quot;,&quot;itemData&quot;:{&quot;type&quot;:&quot;article-journal&quot;,&quot;id&quot;:&quot;dbafc0ec-8a87-3e31-a883-78177d1ee5b1&quot;,&quot;title&quot;:&quot;Corporate Ownership Around the World&quot;,&quot;author&quot;:[{&quot;family&quot;:&quot;Porta&quot;,&quot;given&quot;:&quot;Rafael&quot;,&quot;parse-names&quot;:false,&quot;dropping-particle&quot;:&quot;&quot;,&quot;non-dropping-particle&quot;:&quot;La&quot;},{&quot;family&quot;:&quot;Lopez-De-Silanes&quot;,&quot;given&quot;:&quot;Florencio&quot;,&quot;parse-names&quot;:false,&quot;dropping-particle&quot;:&quot;&quot;,&quot;non-dropping-particle&quot;:&quot;&quot;},{&quot;family&quot;:&quot;Shleifer&quot;,&quot;given&quot;:&quot;Andrei&quot;,&quot;parse-names&quot;:false,&quot;dropping-particle&quot;:&quot;&quot;,&quot;non-dropping-particle&quot;:&quot;&quot;}],&quot;container-title&quot;:&quot;journal of finace&quot;,&quot;issued&quot;:{&quot;date-parts&quot;:[[1999]]},&quot;page&quot;:&quot;470-517&quot;,&quot;abstract&quot;:&quot;ABSTRACT We use data on ownership structures of large corporations in 27 wealthy economies to identify the ultimate controlling shareholders of these firms. We find that, ex- cept in economies with very good shareholder protection, relatively few of these firms are widely held, in contrast to Berle and Means’s image of ownership of the modern corporation. Rather, these firms are typically controlled by families or the State. Equity control by financial institutions is far less common. The con- trolling shareholders typically have power over firms significantly in excess of their cash flow rights, primarily through the use of pyramids and participation in management. IN&quot;,&quot;volume&quot;:&quot;LIV, NO 2&quot;,&quot;container-title-short&quot;:&quot;&quot;},&quot;isTemporary&quot;:false}],&quot;citationTag&quot;:&quot;MENDELEY_CITATION_v3_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&quot;},{&quot;citationID&quot;:&quot;MENDELEY_CITATION_daa2af07-1cb7-4773-8480-d11873822881&quot;,&quot;properties&quot;:{&quot;noteIndex&quot;:0},&quot;isEdited&quot;:false,&quot;manualOverride&quot;:{&quot;isManuallyOverridden&quot;:false,&quot;citeprocText&quot;:&quot;(Islam &lt;i&gt;et al.&lt;/i&gt;, 2021)&quot;,&quot;manualOverrideText&quot;:&quot;&quot;},&quot;citationItems&quot;:[{&quot;id&quot;:&quot;f756380b-1b6c-38cb-8a55-80fec27f7cf1&quot;,&quot;itemData&quot;:{&quot;type&quot;:&quot;article-journal&quot;,&quot;id&quot;:&quot;f756380b-1b6c-38cb-8a55-80fec27f7cf1&quot;,&quot;title&quot;:&quot;Corporate human rights performance and moral power: A study of retail MNCs’ supply chains in Bangladesh&quot;,&quot;author&quot;:[{&quot;family&quot;:&quot;Islam&quot;,&quot;given&quot;:&quot;Muhammad Azizul&quot;,&quot;parse-names&quot;:false,&quot;dropping-particle&quot;:&quot;&quot;,&quot;non-dropping-particle&quot;:&quot;&quot;},{&quot;family&quot;:&quot;Deegan&quot;,&quot;given&quot;:&quot;Craig&quot;,&quot;parse-names&quot;:false,&quot;dropping-particle&quot;:&quot;&quot;,&quot;non-dropping-particle&quot;:&quot;&quot;},{&quot;family&quot;:&quot;Haque&quot;,&quot;given&quot;:&quot;Shamima&quot;,&quot;parse-names&quot;:false,&quot;dropping-particle&quot;:&quot;&quot;,&quot;non-dropping-particle&quot;:&quot;&quot;}],&quot;container-title&quot;:&quot;Critical Perspectives on Accounting&quot;,&quot;issued&quot;:{&quot;date-parts&quot;:[[2021,1,1]]},&quot;page&quot;:&quot;102163&quot;,&quot;abstract&quot;:&quot;This paper investigates how particular stakeholder groups, such as labor rights non-governmental organizations (NGOs), question and even challenge the moral power of multinational companies (MNCs) to maintain human rights in their supply chains in Bangladesh. Around the time of two major factory disasters in Bangladesh (the Tarzeen fire and the Rana Plaza collapse in 2012 and 2013, respectively) we conducted a series of interviews (between 2012 and 2014) and reviewed articles in news media and NGO documents to understand how labor rights NGOs’ narratives challenge MNCs and their suppliers’ actual human rights performance and associated moral power within clothing supply chains. The findings show that MNCs’ and their suppliers’ workplace human rights performance in Bangladesh, as perceived by labor rights NGOs, is inconsistent with MNCs’ public disclosures on human rights. The NGOs’ counter-narratives testify to MNCs’ and their suppliers’ abuses of human rights and the associated moral deficit. This study draws on the notion of moral power in line with Aristotle's view of the moral actor and adds to Mehta and Winship (2010) three essential aspects of moral power – moral intention, moral capability and moral standing – by providing a new insight that suggests that MNCs and their suppliers in the developing nation context of Bangladesh lack the moral intention, moral capability and moral standing to uphold workplace human rights. We note that gaining these richer insights are possible because we directly solicit the views of NGOs and social movement organizations. The paper fills a research gap by looking at whether the adoption of the language of human rights obligations by MNCs creates any change in their moral power and human rights performance, as perceived by workers’ rights NGOs.&quot;,&quot;publisher&quot;:&quot;Elsevier Ltd&quot;,&quot;volume&quot;:&quot;74&quot;,&quot;container-title-short&quot;:&quot;&quot;},&quot;isTemporary&quot;:false}],&quot;citationTag&quot;:&quot;MENDELEY_CITATION_v3_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&quot;},{&quot;citationID&quot;:&quot;MENDELEY_CITATION_28d30d9b-ee55-4a5f-945d-277acf6304ac&quot;,&quot;properties&quot;:{&quot;noteIndex&quot;:0},&quot;isEdited&quot;:false,&quot;manualOverride&quot;:{&quot;isManuallyOverridden&quot;:true,&quot;citeprocText&quot;:&quot;(ILO, 2014b)&quot;,&quot;manualOverrideText&quot;:&quot;ILO (2014)&quot;},&quot;citationItems&quot;:[{&quot;id&quot;:&quot;e68c0e76-16e7-3cf3-9800-db699c55d163&quot;,&quot;itemData&quot;:{&quot;type&quot;:&quot;webpage&quot;,&quot;id&quot;:&quot;e68c0e76-16e7-3cf3-9800-db699c55d163&quot;,&quot;title&quot;:&quot;ILO says forced labour generates annual profits of US$ 150 billion&quot;,&quot;author&quot;:[{&quot;family&quot;:&quot;ILO&quot;,&quot;given&quot;:&quot;&quot;,&quot;parse-names&quot;:false,&quot;dropping-particle&quot;:&quot;&quot;,&quot;non-dropping-particle&quot;:&quot;&quot;}],&quot;accessed&quot;:{&quot;date-parts&quot;:[[2023,5,2]]},&quot;URL&quot;:&quot;http://www.ilo.org/global/about-the-ilo/newsroom/news/WCMS_243201/lang--en/index.htm&quot;,&quot;issued&quot;:{&quot;date-parts&quot;:[[2014,5,20]]},&quot;container-title-short&quot;:&quot;&quot;},&quot;isTemporary&quot;:false}],&quot;citationTag&quot;:&quot;MENDELEY_CITATION_v3_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&quot;},{&quot;citationID&quot;:&quot;MENDELEY_CITATION_256971fc-9dcb-4518-aa59-c543c126665e&quot;,&quot;properties&quot;:{&quot;noteIndex&quot;:0},&quot;isEdited&quot;:false,&quot;manualOverride&quot;:{&quot;isManuallyOverridden&quot;:false,&quot;citeprocText&quot;:&quot;(McCorquodale and Simons, 2009; Sikka, 2011; Smit &lt;i&gt;et al.&lt;/i&gt;, 2021)&quot;,&quot;manualOverrideText&quot;:&quot;&quot;},&quot;citationItems&quot;:[{&quot;id&quot;:&quot;ab56da3c-6399-30df-a24a-170d17fb2738&quot;,&quot;itemData&quot;:{&quot;type&quot;:&quot;article-journal&quot;,&quot;id&quot;:&quot;ab56da3c-6399-30df-a24a-170d17fb2738&quot;,&quot;title&quot;:&quot;Human rights due diligence in global supply chains: evidence of corporate practices to inform a legal standard&quot;,&quot;author&quot;:[{&quot;family&quot;:&quot;Smit&quot;,&quot;given&quot;:&quot;Lise&quot;,&quot;parse-names&quot;:false,&quot;dropping-particle&quot;:&quot;&quot;,&quot;non-dropping-particle&quot;:&quot;&quot;},{&quot;family&quot;:&quot;Holly&quot;,&quot;given&quot;:&quot;Gabrielle&quot;,&quot;parse-names&quot;:false,&quot;dropping-particle&quot;:&quot;&quot;,&quot;non-dropping-particle&quot;:&quot;&quot;},{&quot;family&quot;:&quot;McCorquodale&quot;,&quot;given&quot;:&quot;Robert&quot;,&quot;parse-names&quot;:false,&quot;dropping-particle&quot;:&quot;&quot;,&quot;non-dropping-particle&quot;:&quot;&quot;},{&quot;family&quot;:&quot;Neely&quot;,&quot;given&quot;:&quot;Stuart&quot;,&quot;parse-names&quot;:false,&quot;dropping-particle&quot;:&quot;&quot;,&quot;non-dropping-particle&quot;:&quot;&quot;}],&quot;container-title&quot;:&quot;International Journal of Human Rights&quot;,&quot;DOI&quot;:&quot;10.1080/13642987.2020.1799196&quot;,&quot;ISSN&quot;:&quot;1744053X&quot;,&quot;issued&quot;:{&quot;date-parts&quot;:[[2021]]},&quot;page&quot;:&quot;945-973&quot;,&quot;abstract&quot;:&quot;Human rights due diligence in supply chains is increasingly important for companies, as mandatory due diligence standards are being drafted and considered in domestic jurisdictions, at the European Union level and in an international treaty negotiation process. In applying a legal standard of care for human rights due diligence, a core consideration will be what can reasonably be required of a company in a supply chain. Yet evidence of companies’ actual practices in this area remains rare. This article remedies this by exploring some specific examples of what companies do in this area, in order to assist in an assessment of what is possible, what is challenging, and what is already being done in terms of human rights due diligence in supply chains. It analyses how companies have identified human rights impacts, what actions have been taken to prevent and respond to impacts, to track and monitor actions taken, and to communicate this. This article identifies key themes and clarifies the relevant applicable standard of human rights due diligence in practice, which is relevant for judges, regulators and claimants. This analysis will assist all companies in understanding what is expected of them and in formulating good practices.&quot;,&quot;publisher&quot;:&quot;Routledge&quot;,&quot;issue&quot;:&quot;6&quot;,&quot;volume&quot;:&quot;25&quot;,&quot;container-title-short&quot;:&quot;&quot;},&quot;isTemporary&quot;:false},{&quot;id&quot;:&quot;167bb417-e96f-35cd-b1af-64229aef7c1f&quot;,&quot;itemData&quot;:{&quot;type&quot;:&quot;chapter&quot;,&quot;id&quot;:&quot;167bb417-e96f-35cd-b1af-64229aef7c1f&quot;,&quot;title&quot;:&quot;Responsibility Beyond Borders: State Responsibility for Extraterritorial Violations by Corporations of International Human Rights Law&quot;,&quot;author&quot;:[{&quot;family&quot;:&quot;McCorquodale&quot;,&quot;given&quot;:&quot;Robert&quot;,&quot;parse-names&quot;:false,&quot;dropping-particle&quot;:&quot;&quot;,&quot;non-dropping-particle&quot;:&quot;&quot;},{&quot;family&quot;:&quot;Simons&quot;,&quot;given&quot;:&quot;Penelope&quot;,&quot;parse-names&quot;:false,&quot;dropping-particle&quot;:&quot;&quot;,&quot;non-dropping-particle&quot;:&quot;&quot;}],&quot;container-title&quot;:&quot;Non-State Actors and International Law&quot;,&quot;DOI&quot;:&quot;10.1111/j.1468-2230.2007.00654.x&quot;,&quot;ISBN&quot;:&quot;9781351914390&quot;,&quot;ISSN&quot;:&quot;0026-7961&quot;,&quot;issued&quot;:{&quot;date-parts&quot;:[[2009,1,1]]},&quot;page&quot;:&quot;505-532&quot;,&quot;abstract&quot;:&quot;States routinely provide support and assistance to their corporate nationals in their global tradeand investment ventures. While states may not intend to allow corporate nationals to violate human rights in their extraterritorial operations, by their actions or omissions, states may facilitate, or otherwise contribute to, a situation in which such violations by a corporation occur. This article investigates the extent to which the extraterritorial activities of transnational corporations (TNCs) that violate international human rights law can give rise to home state responsibility. The analysis shows that home states of TNCs have obligations under international law in certain situations to regulate the extraterritorial activities of corporate nationals or the latter's foreign subsidiaries and can incur international responsibility where they fail to do so.&quot;,&quot;publisher&quot;:&quot;Taylor and Francis&quot;,&quot;container-title-short&quot;:&quot;&quot;},&quot;isTemporary&quot;:false},{&quot;id&quot;:&quot;dc3184c9-2417-3a8a-a658-96985d1c0688&quot;,&quot;itemData&quot;:{&quot;type&quot;:&quot;article-journal&quot;,&quot;id&quot;:&quot;dc3184c9-2417-3a8a-a658-96985d1c0688&quot;,&quot;title&quot;:&quot;Accounting for human rights: The challenge of globalization and foreign investment agreements&quot;,&quot;author&quot;:[{&quot;family&quot;:&quot;Sikka&quot;,&quot;given&quot;:&quot;Prem&quot;,&quot;parse-names&quot;:false,&quot;dropping-particle&quot;:&quot;&quot;,&quot;non-dropping-particle&quot;:&quot;&quot;}],&quot;container-title&quot;:&quot;Critical Perspectives on Accounting&quot;,&quot;ISSN&quot;:&quot;10452354&quot;,&quot;issued&quot;:{&quot;date-parts&quot;:[[2011,11]]},&quot;page&quot;:&quot;811-827&quot;,&quot;abstract&quot;:&quot;The triumph of neoliberalism has promoted trade and investment as the dominant routes to economic and social development. This has further enhanced the power of transnational corporations. Developing countries are increasingly expected to secure foreign investment to stimulate their economies and lift the local population out of poverty. However, foreign investment also has implications for protection and enjoyment of human rights. Transnational corporations manage their risks by imposing stabilization clauses on host countries that constrain their ability to protect and enhance human rights. Conventional accounting and corporate social responsibility reports seem to be unable to respond to the emerging agenda on human rights. This paper seeks to stimulate debates about the protection and enjoyment of human rights by drawing attention to the way corporations constrain governments and people through clauses in investment agreements. Some evidence is provided through an examination of an investment agreement relating to the Chad-Cameroon oil and pipeline project. The paper calls for the production of counter accounts to challenge the hegemony of corporations and create spaces for the enjoyment of human rights. © 2011 Elsevier Ltd.&quot;,&quot;issue&quot;:&quot;8&quot;,&quot;volume&quot;:&quot;22&quot;,&quot;container-title-short&quot;:&quot;&quot;},&quot;isTemporary&quot;:false}],&quot;citationTag&quot;:&quot;MENDELEY_CITATION_v3_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&quot;},{&quot;citationID&quot;:&quot;MENDELEY_CITATION_6f62d4fb-bc54-447f-8a27-f7cee5499c3d&quot;,&quot;properties&quot;:{&quot;noteIndex&quot;:0},&quot;isEdited&quot;:false,&quot;manualOverride&quot;:{&quot;isManuallyOverridden&quot;:true,&quot;citeprocText&quot;:&quot;(United Nations, 2017)&quot;,&quot;manualOverrideText&quot;:&quot;United Nations, 2017)&quot;},&quot;citationItems&quot;:[{&quot;id&quot;:&quot;ac1ecff5-921c-3a80-8ada-61f40a2e5e94&quot;,&quot;itemData&quot;:{&quot;type&quot;:&quot;webpage&quot;,&quot;id&quot;:&quot;ac1ecff5-921c-3a80-8ada-61f40a2e5e94&quot;,&quot;title&quot;:&quot;UN Global Plan of Action to Combat Trafficking in Persons | General Assembly of the United Nations&quot;,&quot;author&quot;:[{&quot;family&quot;:&quot;United Nations&quot;,&quot;given&quot;:&quot;&quot;,&quot;parse-names&quot;:false,&quot;dropping-particle&quot;:&quot;&quot;,&quot;non-dropping-particle&quot;:&quot;&quot;}],&quot;accessed&quot;:{&quot;date-parts&quot;:[[2023,6,3]]},&quot;URL&quot;:&quot;https://www.un.org/pga/71/from-the-president/letters-to-member-states/united-nations-global-plan-of-action-to-combat-trafficking-in-persons/&quot;,&quot;issued&quot;:{&quot;date-parts&quot;:[[2017,4,5]]},&quot;page&quot;:&quot;1-6&quot;},&quot;isTemporary&quot;:false}],&quot;citationTag&quot;:&quot;MENDELEY_CITATION_v3_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&quot;},{&quot;citationID&quot;:&quot;MENDELEY_CITATION_18a289ba-8f27-494c-a913-a7c887e96aba&quot;,&quot;properties&quot;:{&quot;noteIndex&quot;:0},&quot;isEdited&quot;:false,&quot;manualOverride&quot;:{&quot;isManuallyOverridden&quot;:false,&quot;citeprocText&quot;:&quot;(United Nations Global Compact, 2017)&quot;,&quot;manualOverrideText&quot;:&quot;&quot;},&quot;citationItems&quot;:[{&quot;id&quot;:&quot;e23a9bc2-7bc8-3f50-a46d-54f88e66e694&quot;,&quot;itemData&quot;:{&quot;type&quot;:&quot;report&quot;,&quot;id&quot;:&quot;e23a9bc2-7bc8-3f50-a46d-54f88e66e694&quot;,&quot;title&quot;:&quot;Making Global Goals Local Business: Responsible business in the era of the Sustainable Development Goals&quot;,&quot;author&quot;:[{&quot;family&quot;:&quot;United Nations Global Compact&quot;,&quot;given&quot;:&quot;&quot;,&quot;parse-names&quot;:false,&quot;dropping-particle&quot;:&quot;&quot;,&quot;non-dropping-particle&quot;:&quot;&quot;}],&quot;accessed&quot;:{&quot;date-parts&quot;:[[2023,6,3]]},&quot;issued&quot;:{&quot;date-parts&quot;:[[2017]]},&quot;number-of-pages&quot;:&quot;1-17&quot;,&quot;container-title-short&quot;:&quot;&quot;},&quot;isTemporary&quot;:false}],&quot;citationTag&quot;:&quot;MENDELEY_CITATION_v3_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&quot;},{&quot;citationID&quot;:&quot;MENDELEY_CITATION_ddc11727-aac2-4d38-988f-163819a9f60e&quot;,&quot;properties&quot;:{&quot;noteIndex&quot;:0},&quot;isEdited&quot;:false,&quot;manualOverride&quot;:{&quot;isManuallyOverridden&quot;:false,&quot;citeprocText&quot;:&quot;(Bodendorf &lt;i&gt;et al.&lt;/i&gt;, 2022; Crane, 2013)&quot;,&quot;manualOverrideText&quot;:&quot;&quot;},&quot;citationItems&quot;:[{&quot;id&quot;:&quot;4188e19e-5c81-3d7f-8e04-9204a8a81d75&quot;,&quot;itemData&quot;:{&quot;type&quot;:&quot;article-journal&quot;,&quot;id&quot;:&quot;4188e19e-5c81-3d7f-8e04-9204a8a81d75&quot;,&quot;title&quot;:&quot;Indicators and countermeasures of modern slavery in global supply chains: Pathway to a social supply chain management framework&quot;,&quot;author&quot;:[{&quot;family&quot;:&quot;Bodendorf&quot;,&quot;given&quot;:&quot;Frank&quot;,&quot;parse-names&quot;:false,&quot;dropping-particle&quot;:&quot;&quot;,&quot;non-dropping-particle&quot;:&quot;&quot;},{&quot;family&quot;:&quot;Wonn&quot;,&quot;given&quot;:&quot;Fabian&quot;,&quot;parse-names&quot;:false,&quot;dropping-particle&quot;:&quot;&quot;,&quot;non-dropping-particle&quot;:&quot;&quot;},{&quot;family&quot;:&quot;Simon&quot;,&quot;given&quot;:&quot;Kristin&quot;,&quot;parse-names&quot;:false,&quot;dropping-particle&quot;:&quot;&quot;,&quot;non-dropping-particle&quot;:&quot;&quot;},{&quot;family&quot;:&quot;Franke&quot;,&quot;given&quot;:&quot;Jörg&quot;,&quot;parse-names&quot;:false,&quot;dropping-particle&quot;:&quot;&quot;,&quot;non-dropping-particle&quot;:&quot;&quot;}],&quot;container-title&quot;:&quot;Business Strategy and the Environment&quot;,&quot;accessed&quot;:{&quot;date-parts&quot;:[[2022,11,13]]},&quot;ISSN&quot;:&quot;1099-0836&quot;,&quot;URL&quot;:&quot;https://onlinelibrary.wiley.com/doi/full/10.1002/bse.3236&quot;,&quot;issued&quot;:{&quot;date-parts&quot;:[[2022]]},&quot;page&quot;:&quot;1-29&quot;,&quot;abstract&quot;:&quot;Even though global supply chains are (usually unintentionally) tied to slave labor, research and practice have largely ignored the issue. This is expected to change as civil society activism and new legislation increase the risk of litigation and reputational damage to supply chain partners. To deal with and combat modern slavery in the supply chain, a theory inspired social supply chain management framework consisting of indicators and countermeasures of modern slavery in the supply chain is developed. The framework is refined in a qualitative expert interview study. The theoretical framework is then evaluated by a multimethod empirical analysis that includes a multicase study based on publicly available supply chain data from 6000 media articles and company websites as well as a quantitative empirical study based on survey data from 280 corporate sustainability experts operating in global supply networks. The results show that economic, political-legal, social, and environmental factors have a significant impact on contemporary slavery in the supply chain. The study also motivates supply chain partners to use preventative and detective measures to reduce the probability of encountering modern slavery actions in their supply chain. Theoretical and managerial implications are drawn from the findings, pointing to a holistic approach to combatting modern slavery in the supply chain.&quot;,&quot;publisher&quot;:&quot;John Wiley &amp; Sons, Ltd&quot;,&quot;container-title-short&quot;:&quot;Bus Strategy Environ&quot;},&quot;isTemporary&quot;:false},{&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citationTag&quot;:&quot;MENDELEY_CITATION_v3_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V19&quot;},{&quot;citationID&quot;:&quot;MENDELEY_CITATION_915d1f7a-cfc7-4a60-96ef-e0d6b209cc3d&quot;,&quot;properties&quot;:{&quot;noteIndex&quot;:0},&quot;isEdited&quot;:false,&quot;manualOverride&quot;:{&quot;isManuallyOverridden&quot;:true,&quot;citeprocText&quot;:&quot;(Mehmood &lt;i&gt;et al.&lt;/i&gt;, 2022)&quot;,&quot;manualOverrideText&quot;:&quot;Mehmood et al. (2022)&quot;},&quot;citationItems&quot;:[{&quot;id&quot;:&quot;c432dc6c-fa71-3211-abde-e79cfecead85&quot;,&quot;itemData&quot;:{&quot;type&quot;:&quot;article-journal&quot;,&quot;id&quot;:&quot;c432dc6c-fa71-3211-abde-e79cfecead85&quot;,&quot;title&quot;:&quot;Modern slavery: A literature review using bibliometric analysis and the nexus of governance&quot;,&quot;author&quot;:[{&quot;family&quot;:&quot;Mehmood&quot;,&quot;given&quot;:&quot;Waqas&quot;,&quot;parse-names&quot;:false,&quot;dropping-particle&quot;:&quot;&quot;,&quot;non-dropping-particle&quot;:&quot;&quot;},{&quot;family&quot;:&quot;Ahmad&quot;,&quot;given&quot;:&quot;Adura&quot;,&quot;parse-names&quot;:false,&quot;dropping-particle&quot;:&quot;&quot;,&quot;non-dropping-particle&quot;:&quot;&quot;},{&quot;family&quot;:&quot;Aman-Ullah&quot;,&quot;given&quot;:&quot;Attia&quot;,&quot;parse-names&quot;:false,&quot;dropping-particle&quot;:&quot;&quot;,&quot;non-dropping-particle&quot;:&quot;&quot;},{&quot;family&quot;:&quot;Mohd-Rashid&quot;,&quot;given&quot;:&quot;Rasidah&quot;,&quot;parse-names&quot;:false,&quot;dropping-particle&quot;:&quot;&quot;,&quot;non-dropping-particle&quot;:&quot;&quot;},{&quot;family&quot;:&quot;Malaysia&quot;,&quot;given&quot;:&quot;Utara&quot;,&quot;parse-names&quot;:false,&quot;dropping-particle&quot;:&quot;&quot;,&quot;non-dropping-particle&quot;:&quot;&quot;}],&quot;container-title&quot;:&quot; Journal of Public Affairs&quot;,&quot;accessed&quot;:{&quot;date-parts&quot;:[[2023,3,15]]},&quot;DOI&quot;:&quot;10.1002/pa.2832&quot;,&quot;URL&quot;:&quot;https://onlinelibrary.wiley.com/doi/10.1002/pa.2832&quot;,&quot;issued&quot;:{&quot;date-parts&quot;:[[2022]]},&quot;container-title-short&quot;:&quot;&quot;},&quot;isTemporary&quot;:false}],&quot;citationTag&quot;:&quot;MENDELEY_CITATION_v3_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&quot;},{&quot;citationID&quot;:&quot;MENDELEY_CITATION_f2a55c7a-1b6e-4a6d-9c35-0b47c61f0c6e&quot;,&quot;properties&quot;:{&quot;noteIndex&quot;:0},&quot;isEdited&quot;:false,&quot;manualOverride&quot;:{&quot;isManuallyOverridden&quot;:false,&quot;citeprocText&quot;:&quot;(Mehmood &lt;i&gt;et al.&lt;/i&gt;, 2022)&quot;,&quot;manualOverrideText&quot;:&quot;&quot;},&quot;citationItems&quot;:[{&quot;id&quot;:&quot;c432dc6c-fa71-3211-abde-e79cfecead85&quot;,&quot;itemData&quot;:{&quot;type&quot;:&quot;article-journal&quot;,&quot;id&quot;:&quot;c432dc6c-fa71-3211-abde-e79cfecead85&quot;,&quot;title&quot;:&quot;Modern slavery: A literature review using bibliometric analysis and the nexus of governance&quot;,&quot;author&quot;:[{&quot;family&quot;:&quot;Mehmood&quot;,&quot;given&quot;:&quot;Waqas&quot;,&quot;parse-names&quot;:false,&quot;dropping-particle&quot;:&quot;&quot;,&quot;non-dropping-particle&quot;:&quot;&quot;},{&quot;family&quot;:&quot;Ahmad&quot;,&quot;given&quot;:&quot;Adura&quot;,&quot;parse-names&quot;:false,&quot;dropping-particle&quot;:&quot;&quot;,&quot;non-dropping-particle&quot;:&quot;&quot;},{&quot;family&quot;:&quot;Aman-Ullah&quot;,&quot;given&quot;:&quot;Attia&quot;,&quot;parse-names&quot;:false,&quot;dropping-particle&quot;:&quot;&quot;,&quot;non-dropping-particle&quot;:&quot;&quot;},{&quot;family&quot;:&quot;Mohd-Rashid&quot;,&quot;given&quot;:&quot;Rasidah&quot;,&quot;parse-names&quot;:false,&quot;dropping-particle&quot;:&quot;&quot;,&quot;non-dropping-particle&quot;:&quot;&quot;},{&quot;family&quot;:&quot;Malaysia&quot;,&quot;given&quot;:&quot;Utara&quot;,&quot;parse-names&quot;:false,&quot;dropping-particle&quot;:&quot;&quot;,&quot;non-dropping-particle&quot;:&quot;&quot;}],&quot;container-title&quot;:&quot; Journal of Public Affairs&quot;,&quot;accessed&quot;:{&quot;date-parts&quot;:[[2023,3,15]]},&quot;DOI&quot;:&quot;10.1002/pa.2832&quot;,&quot;URL&quot;:&quot;https://onlinelibrary.wiley.com/doi/10.1002/pa.2832&quot;,&quot;issued&quot;:{&quot;date-parts&quot;:[[2022]]},&quot;container-title-short&quot;:&quot;&quot;},&quot;isTemporary&quot;:false}],&quot;citationTag&quot;:&quot;MENDELEY_CITATION_v3_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&quot;},{&quot;citationID&quot;:&quot;MENDELEY_CITATION_93a08f2f-9f3a-406a-befe-708646caf9e3&quot;,&quot;properties&quot;:{&quot;noteIndex&quot;:0},&quot;isEdited&quot;:false,&quot;manualOverride&quot;:{&quot;isManuallyOverridden&quot;:true,&quot;citeprocText&quot;:&quot;(Crane &lt;i&gt;et al.&lt;/i&gt;, 2019a; Mooneeapen &lt;i&gt;et al.&lt;/i&gt;, 2022; La Porta &lt;i&gt;et al.&lt;/i&gt;, 1999)&quot;,&quot;manualOverrideText&quot;:&quot;(La Porta et al., 1999; Crane et al., 2019; Mooneeapen et al., 2022)&quot;},&quot;citationItems&quot;:[{&quot;id&quot;:&quot;dbafc0ec-8a87-3e31-a883-78177d1ee5b1&quot;,&quot;itemData&quot;:{&quot;type&quot;:&quot;article-journal&quot;,&quot;id&quot;:&quot;dbafc0ec-8a87-3e31-a883-78177d1ee5b1&quot;,&quot;title&quot;:&quot;Corporate Ownership Around the World&quot;,&quot;author&quot;:[{&quot;family&quot;:&quot;Porta&quot;,&quot;given&quot;:&quot;Rafael&quot;,&quot;parse-names&quot;:false,&quot;dropping-particle&quot;:&quot;&quot;,&quot;non-dropping-particle&quot;:&quot;La&quot;},{&quot;family&quot;:&quot;Lopez-De-Silanes&quot;,&quot;given&quot;:&quot;Florencio&quot;,&quot;parse-names&quot;:false,&quot;dropping-particle&quot;:&quot;&quot;,&quot;non-dropping-particle&quot;:&quot;&quot;},{&quot;family&quot;:&quot;Shleifer&quot;,&quot;given&quot;:&quot;Andrei&quot;,&quot;parse-names&quot;:false,&quot;dropping-particle&quot;:&quot;&quot;,&quot;non-dropping-particle&quot;:&quot;&quot;}],&quot;container-title&quot;:&quot;journal of finace&quot;,&quot;issued&quot;:{&quot;date-parts&quot;:[[1999]]},&quot;page&quot;:&quot;470-517&quot;,&quot;abstract&quot;:&quot;ABSTRACT We use data on ownership structures of large corporations in 27 wealthy economies to identify the ultimate controlling shareholders of these firms. We find that, ex- cept in economies with very good shareholder protection, relatively few of these firms are widely held, in contrast to Berle and Means’s image of ownership of the modern corporation. Rather, these firms are typically controlled by families or the State. Equity control by financial institutions is far less common. The con- trolling shareholders typically have power over firms significantly in excess of their cash flow rights, primarily through the use of pyramids and participation in management. IN&quot;,&quot;volume&quot;:&quot;LIV, NO 2&quot;,&quot;container-title-short&quot;:&quot;&quot;},&quot;isTemporary&quot;:false},{&quot;id&quot;:&quot;ddafc742-0174-3eef-b9e6-1f608181f185&quot;,&quot;itemData&quot;:{&quot;type&quot;:&quot;article-journal&quot;,&quot;id&quot;:&quot;ddafc742-0174-3eef-b9e6-1f608181f185&quot;,&quot;title&quot;:&quot;Governance gaps in eradicating forced labou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mp; Governance&quot;,&quot;container-title-short&quot;:&quot;Regul Gov&quot;,&quot;accessed&quot;:{&quot;date-parts&quot;:[[2023,2,4]]},&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John Wiley &amp; Sons, Ltd&quot;,&quot;issue&quot;:&quot;1&quot;,&quot;volume&quot;:&quot;13&quot;},&quot;isTemporary&quot;:false},{&quot;id&quot;:&quot;6588b9d6-116f-37aa-95f1-e35adaa9b52d&quot;,&quot;itemData&quot;:{&quot;type&quot;:&quot;article-journal&quot;,&quot;id&quot;:&quot;6588b9d6-116f-37aa-95f1-e35adaa9b52d&quot;,&quot;title&quot;:&quot;The influence of the country governance environment on corporate environmental, social and governance (ESG) performance&quot;,&quot;author&quot;:[{&quot;family&quot;:&quot;Mooneeapen&quot;,&quot;given&quot;:&quot;Oren&quot;,&quot;parse-names&quot;:false,&quot;dropping-particle&quot;:&quot;&quot;,&quot;non-dropping-particle&quot;:&quot;&quot;},{&quot;family&quot;:&quot;Abhayawansa&quot;,&quot;given&quot;:&quot;Subhash&quot;,&quot;parse-names&quot;:false,&quot;dropping-particle&quot;:&quot;&quot;,&quot;non-dropping-particle&quot;:&quot;&quot;},{&quot;family&quot;:&quot;Khan&quot;,&quot;given&quot;:&quot;Naushad Mamode&quot;,&quot;parse-names&quot;:false,&quot;dropping-particle&quot;:&quot;&quot;,&quot;non-dropping-particle&quot;:&quot;&quot;}],&quot;container-title&quot;:&quot;Sustainability Accounting, Management and Policy Journal&quot;,&quot;accessed&quot;:{&quot;date-parts&quot;:[[2022,8,4]]},&quot;issued&quot;:{&quot;date-parts&quot;:[[2022]]},&quot;page&quot;:&quot;953-985&quot;,&quot;abstract&quot;:&quot;Purpose-The purpose of this study is to investigate whether the corporate environmental, social and governance (ESG) performance of companies is influenced by the barriers and opportunities created by three factors characterising a country's governance landscape: democracy, political stability and regulatory quality. Additionally, this study separately explains the influence of the three country governance factors on the ESG performance of companies and how they are affected by the profitability of the company. Design/methodology/approach-Fixed effects multiple linear regression is performed on 6,035 firm-year observations drawn from 27 countries relating to 1,207 unique constituents of the S&amp;P Global 1200 index for a five-year period from 2015 to 2019. Clustered standard errors robust to heteroscedasticity and serial correlation are estimated for a specification that includes Refinitiv ESG scores as the dependent variable, selected Worldwide Governance Indicators as the independent variables and several country-and firm-level controls. Findings-The study finds that companies' ESG performance is higher in countries with a lower level of democracy and political stability, and corporate governance performance is higher in countries with higher regulatory quality. A component-level analysis finds significant variation in the results across the different ESG pillars. Firm profitability moderates the relationship between country-level governance factors and companies' ESG performance. Practical implications-The study reveals that national governments can prompt companies to enhance their governance performance, invariably leading to greater engagement in sustainability by improving their regulatory environment and enforcement mechanisms. Thus, the implementation of regulations targeting corporate environmental and social performance is not always needed to prompt better corporate ESG performance. Social implications-This study shows that internationalised companies proactively work towards achieving sustainability in countries where the country governance landscape is ineffective and inadequate to enable it. The authors thank the associate editor and the reviewers for helpful feedback. Country governance environment 953 The current issue and full text archive of this journal is available on Emerald Insight at: https://www.emerald.com/insight/2040-8021.htm Originality/value-This study addresses the association between country-level governance and firm-level ESG performance, in contrast to firm-level corporate social responsibility disclosure that has been the focus of prior research. As disclosures can be symbolic and may not reflect actual ESG performance, the results of prior studies examining the relationship between country-level governance performance and corporate social responsibility disclosure is inappropriate to explain the factors affecting the ESG performance of companies.&quot;,&quot;issue&quot;:&quot;4&quot;,&quot;volume&quot;:&quot;13&quot;,&quot;container-title-short&quot;:&quot;&quot;},&quot;isTemporary&quot;:false}],&quot;citationTag&quot;:&quot;MENDELEY_CITATION_v3_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AmIEdvdmVybmFuY2UiLCJjb250YWluZXItdGl0bGUtc2hvcnQiOiJSZWd1bCBHb3YiLCJhY2Nlc3NlZCI6eyJkYXRlLXBhcnRzIjpbWzIwMjMsMiw0XV19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&quot;},{&quot;citationID&quot;:&quot;MENDELEY_CITATION_20fed3a2-7a68-441b-b098-105ec1c4a5f2&quot;,&quot;properties&quot;:{&quot;noteIndex&quot;:0},&quot;isEdited&quot;:false,&quot;manualOverride&quot;:{&quot;isManuallyOverridden&quot;:false,&quot;citeprocText&quot;:&quot;(Mooneeapen &lt;i&gt;et al.&lt;/i&gt;, 2022)&quot;,&quot;manualOverrideText&quot;:&quot;&quot;},&quot;citationItems&quot;:[{&quot;id&quot;:&quot;6588b9d6-116f-37aa-95f1-e35adaa9b52d&quot;,&quot;itemData&quot;:{&quot;type&quot;:&quot;article-journal&quot;,&quot;id&quot;:&quot;6588b9d6-116f-37aa-95f1-e35adaa9b52d&quot;,&quot;title&quot;:&quot;The influence of the country governance environment on corporate environmental, social and governance (ESG) performance&quot;,&quot;author&quot;:[{&quot;family&quot;:&quot;Mooneeapen&quot;,&quot;given&quot;:&quot;Oren&quot;,&quot;parse-names&quot;:false,&quot;dropping-particle&quot;:&quot;&quot;,&quot;non-dropping-particle&quot;:&quot;&quot;},{&quot;family&quot;:&quot;Abhayawansa&quot;,&quot;given&quot;:&quot;Subhash&quot;,&quot;parse-names&quot;:false,&quot;dropping-particle&quot;:&quot;&quot;,&quot;non-dropping-particle&quot;:&quot;&quot;},{&quot;family&quot;:&quot;Khan&quot;,&quot;given&quot;:&quot;Naushad Mamode&quot;,&quot;parse-names&quot;:false,&quot;dropping-particle&quot;:&quot;&quot;,&quot;non-dropping-particle&quot;:&quot;&quot;}],&quot;container-title&quot;:&quot;Sustainability Accounting, Management and Policy Journal&quot;,&quot;accessed&quot;:{&quot;date-parts&quot;:[[2022,8,4]]},&quot;issued&quot;:{&quot;date-parts&quot;:[[2022]]},&quot;page&quot;:&quot;953-985&quot;,&quot;abstract&quot;:&quot;Purpose-The purpose of this study is to investigate whether the corporate environmental, social and governance (ESG) performance of companies is influenced by the barriers and opportunities created by three factors characterising a country's governance landscape: democracy, political stability and regulatory quality. Additionally, this study separately explains the influence of the three country governance factors on the ESG performance of companies and how they are affected by the profitability of the company. Design/methodology/approach-Fixed effects multiple linear regression is performed on 6,035 firm-year observations drawn from 27 countries relating to 1,207 unique constituents of the S&amp;P Global 1200 index for a five-year period from 2015 to 2019. Clustered standard errors robust to heteroscedasticity and serial correlation are estimated for a specification that includes Refinitiv ESG scores as the dependent variable, selected Worldwide Governance Indicators as the independent variables and several country-and firm-level controls. Findings-The study finds that companies' ESG performance is higher in countries with a lower level of democracy and political stability, and corporate governance performance is higher in countries with higher regulatory quality. A component-level analysis finds significant variation in the results across the different ESG pillars. Firm profitability moderates the relationship between country-level governance factors and companies' ESG performance. Practical implications-The study reveals that national governments can prompt companies to enhance their governance performance, invariably leading to greater engagement in sustainability by improving their regulatory environment and enforcement mechanisms. Thus, the implementation of regulations targeting corporate environmental and social performance is not always needed to prompt better corporate ESG performance. Social implications-This study shows that internationalised companies proactively work towards achieving sustainability in countries where the country governance landscape is ineffective and inadequate to enable it. The authors thank the associate editor and the reviewers for helpful feedback. Country governance environment 953 The current issue and full text archive of this journal is available on Emerald Insight at: https://www.emerald.com/insight/2040-8021.htm Originality/value-This study addresses the association between country-level governance and firm-level ESG performance, in contrast to firm-level corporate social responsibility disclosure that has been the focus of prior research. As disclosures can be symbolic and may not reflect actual ESG performance, the results of prior studies examining the relationship between country-level governance performance and corporate social responsibility disclosure is inappropriate to explain the factors affecting the ESG performance of companies.&quot;,&quot;issue&quot;:&quot;4&quot;,&quot;volume&quot;:&quot;13&quot;,&quot;container-title-short&quot;:&quot;&quot;},&quot;isTemporary&quot;:false}],&quot;citationTag&quot;:&quot;MENDELEY_CITATION_v3_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&quot;},{&quot;citationID&quot;:&quot;MENDELEY_CITATION_21b965f8-de82-4bc2-ad06-bd91ad63ffe0&quot;,&quot;properties&quot;:{&quot;noteIndex&quot;:0},&quot;isEdited&quot;:false,&quot;manualOverride&quot;:{&quot;isManuallyOverridden&quot;:true,&quot;citeprocText&quot;:&quot;(Kaufmann &lt;i&gt;et al.&lt;/i&gt;, 2011)&quot;,&quot;manualOverrideText&quot;:&quot;(Kaufmann et al., 2011, p.222)&quot;},&quot;citationItems&quot;:[{&quot;id&quot;:&quot;d54ee7b6-aa59-392d-9ca5-f3497acaca83&quot;,&quot;itemData&quot;:{&quot;type&quot;:&quot;article-journal&quot;,&quot;id&quot;:&quot;d54ee7b6-aa59-392d-9ca5-f3497acaca83&quot;,&quot;title&quot;:&quot;The worldwide governance indicators: Methodology and analytical issues&quot;,&quot;author&quot;:[{&quot;family&quot;:&quot;Kaufmann&quot;,&quot;given&quot;:&quot;Daniel&quot;,&quot;parse-names&quot;:false,&quot;dropping-particle&quot;:&quot;&quot;,&quot;non-dropping-particle&quot;:&quot;&quot;},{&quot;family&quot;:&quot;Kraay&quot;,&quot;given&quot;:&quot;Aart&quot;,&quot;parse-names&quot;:false,&quot;dropping-particle&quot;:&quot;&quot;,&quot;non-dropping-particle&quot;:&quot;&quot;},{&quot;family&quot;:&quot;Mastruzzi&quot;,&quot;given&quot;:&quot;Massimo&quot;,&quot;parse-names&quot;:false,&quot;dropping-particle&quot;:&quot;&quot;,&quot;non-dropping-particle&quot;:&quot;&quot;}],&quot;container-title&quot;:&quot;Hague Journal on the Rule of Law&quot;,&quot;DOI&quot;:&quot;10.1017/S1876404511200046&quot;,&quot;ISSN&quot;:&quot;18764053&quot;,&quot;issued&quot;:{&quot;date-parts&quot;:[[2011,6,4]]},&quot;page&quot;:&quot;220-246&quot;,&quot;abstract&quot;:&quot;This paper summarizes the methodology of the Worldwide Governance Indicators (WGI) project, and related analytical issues. The WGI has covered over two hundred countries and territories, measuring six dimensions of governance starting in 1996: Voice and Accountability, Political Stability and Absence of Violence/Terrorism, Government Effectiveness, Regulatory Quality, Rule of Law, and Control of Corruption. The aggregate indicators are based on several hundred individual underlying variables, taken from a wide variety of existing data sources. The data reflect the views on governance of survey respondents and public, private, and NGO sector experts worldwide. We also explicitly report margins of error accompanying each country estimate. These reflect the inherent difficulties in measuring governance using any kind of data. We find that even after taking margins of error into account, the WGI permit meaningful cross-country and over-time comparisons. The aggregate indicators, together with the disaggregated underlying source data, are available at www.govindicators.org.&quot;,&quot;publisher&quot;:&quot;Springer Science and Business Media B.V.&quot;,&quot;issue&quot;:&quot;2&quot;,&quot;volume&quot;:&quot;3&quot;,&quot;container-title-short&quot;:&quot;&quot;},&quot;isTemporary&quot;:false}],&quot;citationTag&quot;:&quot;MENDELEY_CITATION_v3_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&quot;},{&quot;citationID&quot;:&quot;MENDELEY_CITATION_ce43fa7d-28df-4ef2-a72f-744a016e0b73&quot;,&quot;properties&quot;:{&quot;noteIndex&quot;:0},&quot;isEdited&quot;:false,&quot;manualOverride&quot;:{&quot;isManuallyOverridden&quot;:true,&quot;citeprocText&quot;:&quot;(Muchlinski, 2012b)&quot;,&quot;manualOverrideText&quot;:&quot;(Muchlinski, 2012)&quot;},&quot;citationItems&quot;:[{&quot;id&quot;:&quot;c2280f9c-f9cb-38be-946b-92ff6fa25eaf&quot;,&quot;itemData&quot;:{&quot;type&quot;:&quot;article-journal&quot;,&quot;id&quot;:&quot;c2280f9c-f9cb-38be-946b-92ff6fa25eaf&quot;,&quot;title&quot;:&quot;Implementing the New UN Corporate Human Rights Framework: Implications for Corporate Law, Governance, and Regulation&quot;,&quot;author&quot;:[{&quot;family&quot;:&quot;Muchlinski&quot;,&quot;given&quot;:&quot;Peter&quot;,&quot;parse-names&quot;:false,&quot;dropping-particle&quot;:&quot;&quot;,&quot;non-dropping-particle&quot;:&quot;&quot;}],&quot;container-title&quot;:&quot;Quarterly&quot;,&quot;URL&quot;:&quot;https://doi.org/10.5840/beq20122218&quot;,&quot;issued&quot;:{&quot;date-parts&quot;:[[2012]]},&quot;page&quot;:&quot;1&quot;,&quot;abstract&quot;:&quot;the UN Framework on Human Rights and business comprises the State's duty to protect human rights, the corporate responsibility to respect human rights, and the duty to remedy abuses. this paper focuses on the corporate responsibility to respect. It considers how to overcome obstacles, arising out of national and international law, to the development of a legally binding corporate duty to respect human rights. It is argued that the notion of human rights due diligence will lead to the creation of binding legal duties and that principles of corporate and tort law can be adapted to this end. Furthermore, recent legal developments accept an \&quot;enlightened shareholder value\&quot; approach allowing corporate managers to consider human rights issues when making decisions. the responsibility to respect involves adaptation of shareholder based corporate governance towards a more stakeholder oriented approach and could lead to the development of a new, stakeholder based, corporate model.&quot;,&quot;volume&quot;:&quot;22&quot;,&quot;container-title-short&quot;:&quot;&quot;},&quot;isTemporary&quot;:false}],&quot;citationTag&quot;:&quot;MENDELEY_CITATION_v3_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&quot;},{&quot;citationID&quot;:&quot;MENDELEY_CITATION_d5e80f3d-2ee1-45b8-a2a6-2edf41f3acc1&quot;,&quot;properties&quot;:{&quot;noteIndex&quot;:0},&quot;isEdited&quot;:false,&quot;manualOverride&quot;:{&quot;isManuallyOverridden&quot;:false,&quot;citeprocText&quot;:&quot;(Kaufmann, 2021)&quot;,&quot;manualOverrideText&quot;:&quot;&quot;},&quot;citationItems&quot;:[{&quot;id&quot;:&quot;49f8aa7a-2b2f-3976-9f71-a8c5b6f7c587&quot;,&quot;itemData&quot;:{&quot;type&quot;:&quot;webpage&quot;,&quot;id&quot;:&quot;49f8aa7a-2b2f-3976-9f71-a8c5b6f7c587&quot;,&quot;title&quot;:&quot;Worldwide Governance indicators&quot;,&quot;author&quot;:[{&quot;family&quot;:&quot;Kaufmann&quot;,&quot;given&quot;:&quot;Daniel&quot;,&quot;parse-names&quot;:false,&quot;dropping-particle&quot;:&quot;&quot;,&quot;non-dropping-particle&quot;:&quot;&quot;}],&quot;accessed&quot;:{&quot;date-parts&quot;:[[2023,4,20]]},&quot;URL&quot;:&quot;https://info.worldbank.org/governance/wgi/Home/Documents&quot;,&quot;issued&quot;:{&quot;date-parts&quot;:[[2021]]},&quot;container-title-short&quot;:&quot;&quot;},&quot;isTemporary&quot;:false}],&quot;citationTag&quot;:&quot;MENDELEY_CITATION_v3_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&quot;},{&quot;citationID&quot;:&quot;MENDELEY_CITATION_9dd09765-66f8-4934-8aaa-26e6414ab2f3&quot;,&quot;properties&quot;:{&quot;noteIndex&quot;:0},&quot;isEdited&quot;:false,&quot;manualOverride&quot;:{&quot;isManuallyOverridden&quot;:false,&quot;citeprocText&quot;:&quot;(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issued&quot;:{&quot;date-parts&quot;:[[2022]]},&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container-title-short&quot;:&quot;Bus Strategy Environ&quot;},&quot;isTemporary&quot;:false}],&quot;citationTag&quot;:&quot;MENDELEY_CITATION_v3_eyJjaXRhdGlvbklEIjoiTUVOREVMRVlfQ0lUQVRJT05fOWRkMDk3NjUtNjZmOC00OTM0LThhYWEtMjZlNjQxNGFiMmYz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lzc3VlZCI6eyJkYXRlLXBhcnRzIjpbWzIwMjJdXX0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NvbnRhaW5lci10aXRsZS1zaG9ydCI6IkJ1cyBTdHJhdGVneSBFbnZpcm9uIn0sImlzVGVtcG9yYXJ5IjpmYWxzZX1dfQ==&quot;},{&quot;citationID&quot;:&quot;MENDELEY_CITATION_fc11f1e8-9802-4ec1-9c7a-f4616116c87f&quot;,&quot;properties&quot;:{&quot;noteIndex&quot;:0},&quot;isEdited&quot;:false,&quot;manualOverride&quot;:{&quot;isManuallyOverridden&quot;:false,&quot;citeprocText&quot;:&quot;(Martínez-Ferrero and García-Sánchez, 2016)&quot;,&quot;manualOverrideText&quot;:&quot;&quot;},&quot;citationItems&quot;:[{&quot;id&quot;:&quot;1b6f484d-37ae-33c1-8e4c-4cc32793a8f2&quot;,&quot;itemData&quot;:{&quot;type&quot;:&quot;article-journal&quot;,&quot;id&quot;:&quot;1b6f484d-37ae-33c1-8e4c-4cc32793a8f2&quot;,&quot;title&quot;:&quot;Sustainability assurance and assurance providers: Corporate governance determinants in stakeholder-oriented countries&quot;,&quot;author&quot;:[{&quot;family&quot;:&quot;Martínez-Ferrero&quot;,&quot;given&quot;:&quot;Jennifer&quot;,&quot;parse-names&quot;:false,&quot;dropping-particle&quot;:&quot;&quot;,&quot;non-dropping-particle&quot;:&quot;&quot;},{&quot;family&quot;:&quot;García-Sánchez&quot;,&quot;given&quot;:&quot;Isabel-María&quot;,&quot;parse-names&quot;:false,&quot;dropping-particle&quot;:&quot;&quot;,&quot;non-dropping-particle&quot;:&quot;&quot;}],&quot;container-title&quot;:&quot;Journal of Management &amp; Organization&quot;,&quot;accessed&quot;:{&quot;date-parts&quot;:[[2023,4,2]]},&quot;DOI&quot;:&quot;10.1017/jmo.2016.65&quot;,&quot;URL&quot;:&quot;https://doi.org/10.1017/jmo.2016.65&quot;,&quot;issued&quot;:{&quot;date-parts&quot;:[[2016]]},&quot;page&quot;:&quot;647-670&quot;,&quot;abstract&quot;:&quot;This paper examines the effect of corporate governance mechanisms on companies' decision to assure their sustainability reports and their choice of assurance provider in countries with a greater stakeholder orientation. The corporate governance factors analyzed are related to the strength of the board's monitoring function, which is determined by the size, independence and activity of the sustainability committee. The international sample consists of 610 companies operating in countries that are more stakeholder oriented from the period 2007-2014. We propose alternative logit models of analysis using the random effects estimator. Consistently with our propositions, our results provide evidence that a firm's sustainability assurance and its choice of the accounting profession are positively associated with board independence and the activity of the sustainability committee. In addition, the empirical evidence obtained shows a U-shaped relationship between the board size and assurance issues.&quot;,&quot;volume&quot;:&quot;23&quot;,&quot;container-title-short&quot;:&quot;&quot;},&quot;isTemporary&quot;:false}],&quot;citationTag&quot;:&quot;MENDELEY_CITATION_v3_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&quot;},{&quot;citationID&quot;:&quot;MENDELEY_CITATION_090a2f13-2a04-4598-813f-b3a107c5cdc1&quot;,&quot;properties&quot;:{&quot;noteIndex&quot;:0},&quot;isEdited&quot;:false,&quot;manualOverride&quot;:{&quot;isManuallyOverridden&quot;:false,&quot;citeprocText&quot;:&quot;(Wettstein &lt;i&gt;et al.&lt;/i&gt;, 2019; Whitley, 1999)&quot;,&quot;manualOverrideText&quot;:&quot;&quot;},&quot;citationItems&quot;:[{&quot;id&quot;:&quot;08ceff57-e2bb-3f2a-a85f-0f8f371a2443&quot;,&quot;itemData&quot;:{&quot;type&quot;:&quot;book&quot;,&quot;id&quot;:&quot;08ceff57-e2bb-3f2a-a85f-0f8f371a2443&quot;,&quot;title&quot;:&quot;Divergent capitalisms: the social structuring and change of business systems&quot;,&quot;author&quot;:[{&quot;family&quot;:&quot;Whitley&quot;,&quot;given&quot;:&quot;R.&quot;,&quot;parse-names&quot;:false,&quot;dropping-particle&quot;:&quot;&quot;,&quot;non-dropping-particle&quot;:&quot;&quot;}],&quot;container-title&quot;:&quot;Oxford University Press&quot;,&quot;accessed&quot;:{&quot;date-parts&quot;:[[2023,3,13]]},&quot;URL&quot;:&quot;https://research.manchester.ac.uk/en/publications/divergent-capitalisms-the-social-structuring-and-change-of-busine&quot;,&quot;issued&quot;:{&quot;date-parts&quot;:[[1999]]},&quot;publisher&quot;:&quot;Oxford University Press&quot;,&quot;container-title-short&quot;:&quot;&quot;},&quot;isTemporary&quot;:false},{&quot;id&quot;:&quot;4cee1078-5593-36e1-b9f8-479b908b0aa9&quot;,&quot;itemData&quot;:{&quot;type&quot;:&quot;article-journal&quot;,&quot;id&quot;:&quot;4cee1078-5593-36e1-b9f8-479b908b0aa9&quot;,&quot;title&quot;:&quot;International business and human rights: A research agenda&quot;,&quot;author&quot;:[{&quot;family&quot;:&quot;Wettstein&quot;,&quot;given&quot;:&quot;Florian&quot;,&quot;parse-names&quot;:false,&quot;dropping-particle&quot;:&quot;&quot;,&quot;non-dropping-particle&quot;:&quot;&quot;},{&quot;family&quot;:&quot;Giuliani&quot;,&quot;given&quot;:&quot;Elisa&quot;,&quot;parse-names&quot;:false,&quot;dropping-particle&quot;:&quot;&quot;,&quot;non-dropping-particle&quot;:&quot;&quot;},{&quot;family&quot;:&quot;Santangelo&quot;,&quot;given&quot;:&quot;Grazia D.&quot;,&quot;parse-names&quot;:false,&quot;dropping-particle&quot;:&quot;&quot;,&quot;non-dropping-particle&quot;:&quot;&quot;},{&quot;family&quot;:&quot;Stahl&quot;,&quot;given&quot;:&quot;Günter K.&quot;,&quot;parse-names&quot;:false,&quot;dropping-particle&quot;:&quot;&quot;,&quot;non-dropping-particle&quot;:&quot;&quot;}],&quot;container-title&quot;:&quot;Journal of World Business&quot;,&quot;accessed&quot;:{&quot;date-parts&quot;:[[2023,4,2]]},&quot;DOI&quot;:&quot;10.1016/J.JWB.2018.10.004&quot;,&quot;ISSN&quot;:&quot;1090-9516&quot;,&quot;issued&quot;:{&quot;date-parts&quot;:[[2019,1,1]]},&quot;page&quot;:&quot;54-65&quot;,&quot;abstract&quot;:&quot;The discussion on business responsibilities for human rights is thriving – although, surprisingly, predominantly outside of the International Business (IB) field. This article introduces business and human rights (BHR) as a research area with great potential for IB scholars. IB scholarship has much to offer when it comes to better understanding the relation between multinational enterprises (MNEs) and human rights. BHR, on the other hand, is a field that can no longer be ignored by IB research if the field is to remain at the forefront of scholarship in globalization-related issues concerning MNEs. Therefore, this perspective article aims at providing guidance to IB scholars interested in engaging in BHR research by tracing common themes and overlaps, and outlining a research agenda that addresses some of the research gaps and open questions in both fields.&quot;,&quot;publisher&quot;:&quot;JAI&quot;,&quot;issue&quot;:&quot;1&quot;,&quot;volume&quot;:&quot;54&quot;,&quot;container-title-short&quot;:&quot;&quot;},&quot;isTemporary&quot;:false}],&quot;citationTag&quot;:&quot;MENDELEY_CITATION_v3_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&quot;},{&quot;citationID&quot;:&quot;MENDELEY_CITATION_2b6f712e-6c28-462e-8476-7206a375d0a6&quot;,&quot;properties&quot;:{&quot;noteIndex&quot;:0},&quot;isEdited&quot;:false,&quot;manualOverride&quot;:{&quot;isManuallyOverridden&quot;:true,&quot;citeprocText&quot;:&quot;(Ioannou and Serafeim, 2012a)&quot;,&quot;manualOverrideText&quot;:&quot;Ioannis Ioannou and Serafeim (2012)&quot;},&quot;citationItems&quot;:[{&quot;id&quot;:&quot;0b164d69-e281-3ae1-8316-2044f742c6ea&quot;,&quot;itemData&quot;:{&quot;type&quot;:&quot;article-journal&quot;,&quot;id&quot;:&quot;0b164d69-e281-3ae1-8316-2044f742c6ea&quot;,&quot;title&quot;:&quot;What drives corporate social performance? The role of nation-level institutions&quot;,&quot;author&quot;:[{&quot;family&quot;:&quot;Ioannou&quot;,&quot;given&quot;:&quot;Ioannis&quot;,&quot;parse-names&quot;:false,&quot;dropping-particle&quot;:&quot;&quot;,&quot;non-dropping-particle&quot;:&quot;&quot;},{&quot;family&quot;:&quot;Serafeim&quot;,&quot;given&quot;:&quot;George&quot;,&quot;parse-names&quot;:false,&quot;dropping-particle&quot;:&quot;&quot;,&quot;non-dropping-particle&quot;:&quot;&quot;}],&quot;container-title&quot;:&quot;Journal of International Business Studies&quot;,&quot;container-title-short&quot;:&quot;J Int Bus Stud&quot;,&quot;accessed&quot;:{&quot;date-parts&quot;:[[2022,7,23]]},&quot;URL&quot;:&quot;www.jibs.net&quot;,&quot;issued&quot;:{&quot;date-parts&quot;:[[2012]]},&quot;page&quot;:&quot;834-864&quot;,&quot;abstract&quot;:&quot;Based on Whitley's \&quot;national business systems\&quot; (NBS) institutional framework, we theorize about and empirically investigate the impact of nation-level institutions on firms' corporate social performance (CSP). Using a sample of firms from 42 countries spanning seven years, we construct an annual composite CSP index for each firm, based on social and environmental metrics. We find that the political system, followed by the labor and education system, and the cultural system are the most important NBS categories of institutions that impact CSP. Interestingly, the financial system appears to have a relatively less significant impact. We discuss implications for research, practice and policymaking.&quot;,&quot;volume&quot;:&quot;43&quot;},&quot;isTemporary&quot;:false}],&quot;citationTag&quot;:&quot;MENDELEY_CITATION_v3_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&quot;},{&quot;citationID&quot;:&quot;MENDELEY_CITATION_80d30188-1003-4224-9d91-e0c3c2ca15a2&quot;,&quot;properties&quot;:{&quot;noteIndex&quot;:0},&quot;isEdited&quot;:false,&quot;manualOverride&quot;:{&quot;isManuallyOverridden&quot;:false,&quot;citeprocText&quot;:&quot;(Mooneeapen &lt;i&gt;et al.&lt;/i&gt;, 2022)&quot;,&quot;manualOverrideText&quot;:&quot;&quot;},&quot;citationItems&quot;:[{&quot;id&quot;:&quot;6588b9d6-116f-37aa-95f1-e35adaa9b52d&quot;,&quot;itemData&quot;:{&quot;type&quot;:&quot;article-journal&quot;,&quot;id&quot;:&quot;6588b9d6-116f-37aa-95f1-e35adaa9b52d&quot;,&quot;title&quot;:&quot;The influence of the country governance environment on corporate environmental, social and governance (ESG) performance&quot;,&quot;author&quot;:[{&quot;family&quot;:&quot;Mooneeapen&quot;,&quot;given&quot;:&quot;Oren&quot;,&quot;parse-names&quot;:false,&quot;dropping-particle&quot;:&quot;&quot;,&quot;non-dropping-particle&quot;:&quot;&quot;},{&quot;family&quot;:&quot;Abhayawansa&quot;,&quot;given&quot;:&quot;Subhash&quot;,&quot;parse-names&quot;:false,&quot;dropping-particle&quot;:&quot;&quot;,&quot;non-dropping-particle&quot;:&quot;&quot;},{&quot;family&quot;:&quot;Khan&quot;,&quot;given&quot;:&quot;Naushad Mamode&quot;,&quot;parse-names&quot;:false,&quot;dropping-particle&quot;:&quot;&quot;,&quot;non-dropping-particle&quot;:&quot;&quot;}],&quot;container-title&quot;:&quot;Sustainability Accounting, Management and Policy Journal&quot;,&quot;accessed&quot;:{&quot;date-parts&quot;:[[2022,8,4]]},&quot;issued&quot;:{&quot;date-parts&quot;:[[2022]]},&quot;page&quot;:&quot;953-985&quot;,&quot;abstract&quot;:&quot;Purpose-The purpose of this study is to investigate whether the corporate environmental, social and governance (ESG) performance of companies is influenced by the barriers and opportunities created by three factors characterising a country's governance landscape: democracy, political stability and regulatory quality. Additionally, this study separately explains the influence of the three country governance factors on the ESG performance of companies and how they are affected by the profitability of the company. Design/methodology/approach-Fixed effects multiple linear regression is performed on 6,035 firm-year observations drawn from 27 countries relating to 1,207 unique constituents of the S&amp;P Global 1200 index for a five-year period from 2015 to 2019. Clustered standard errors robust to heteroscedasticity and serial correlation are estimated for a specification that includes Refinitiv ESG scores as the dependent variable, selected Worldwide Governance Indicators as the independent variables and several country-and firm-level controls. Findings-The study finds that companies' ESG performance is higher in countries with a lower level of democracy and political stability, and corporate governance performance is higher in countries with higher regulatory quality. A component-level analysis finds significant variation in the results across the different ESG pillars. Firm profitability moderates the relationship between country-level governance factors and companies' ESG performance. Practical implications-The study reveals that national governments can prompt companies to enhance their governance performance, invariably leading to greater engagement in sustainability by improving their regulatory environment and enforcement mechanisms. Thus, the implementation of regulations targeting corporate environmental and social performance is not always needed to prompt better corporate ESG performance. Social implications-This study shows that internationalised companies proactively work towards achieving sustainability in countries where the country governance landscape is ineffective and inadequate to enable it. The authors thank the associate editor and the reviewers for helpful feedback. Country governance environment 953 The current issue and full text archive of this journal is available on Emerald Insight at: https://www.emerald.com/insight/2040-8021.htm Originality/value-This study addresses the association between country-level governance and firm-level ESG performance, in contrast to firm-level corporate social responsibility disclosure that has been the focus of prior research. As disclosures can be symbolic and may not reflect actual ESG performance, the results of prior studies examining the relationship between country-level governance performance and corporate social responsibility disclosure is inappropriate to explain the factors affecting the ESG performance of companies.&quot;,&quot;issue&quot;:&quot;4&quot;,&quot;volume&quot;:&quot;13&quot;,&quot;container-title-short&quot;:&quot;&quot;},&quot;isTemporary&quot;:false}],&quot;citationTag&quot;:&quot;MENDELEY_CITATION_v3_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&quot;},{&quot;citationID&quot;:&quot;MENDELEY_CITATION_7b0f1ecd-4aae-47fa-aae3-59c8cc535930&quot;,&quot;properties&quot;:{&quot;noteIndex&quot;:0},&quot;isEdited&quot;:false,&quot;manualOverride&quot;:{&quot;isManuallyOverridden&quot;:false,&quot;citeprocText&quot;:&quot;(Abeysekara &lt;i&gt;et al.&lt;/i&gt;, 2019; Alexander &lt;i&gt;et al.&lt;/i&gt;, 2022)&quot;,&quot;manualOverrideText&quot;:&quot;&quot;},&quot;citationItems&quot;:[{&quot;id&quot;:&quot;fd102632-d11f-341f-8793-40c55386ce76&quot;,&quot;itemData&quot;:{&quot;type&quot;:&quot;report&quot;,&quot;id&quot;:&quot;fd102632-d11f-341f-8793-40c55386ce76&quot;,&quot;title&quot;:&quot;Addressing modern slavery in long and complex supply chains. Assessing understandings of effective supply chain governance&quot;,&quot;author&quot;:[{&quot;family&quot;:&quot;Alexander&quot;,&quot;given&quot;:&quot;Trautrims&quot;,&quot;parse-names&quot;:false,&quot;dropping-particle&quot;:&quot;&quot;,&quot;non-dropping-particle&quot;:&quot;&quot;},{&quot;family&quot;:&quot;Oana&quot;,&quot;given&quot;:&quot;Burcu&quot;,&quot;parse-names&quot;:false,&quot;dropping-particle&quot;:&quot;&quot;,&quot;non-dropping-particle&quot;:&quot;&quot;},{&quot;family&quot;:&quot;Faiza&quot;,&quot;given&quot;:&quot;Zafar&quot;,&quot;parse-names&quot;:false,&quot;dropping-particle&quot;:&quot;&quot;,&quot;non-dropping-particle&quot;:&quot;&quot;},{&quot;family&quot;:&quot;Charlotte&quot;,&quot;given&quot;:&quot;Lush&quot;,&quot;parse-names&quot;:false,&quot;dropping-particle&quot;:&quot;&quot;,&quot;non-dropping-particle&quot;:&quot;&quot;}],&quot;issued&quot;:{&quot;date-parts&quot;:[[2022]]},&quot;number-of-pages&quot;:&quot;1-26&quot;,&quot;container-title-short&quot;:&quot;&quot;},&quot;isTemporary&quot;:false},{&quot;id&quot;:&quot;bdda5e0e-657b-3a59-831d-87ddcab1af1c&quot;,&quot;itemData&quot;:{&quot;type&quot;:&quot;article-journal&quot;,&quot;id&quot;:&quot;bdda5e0e-657b-3a59-831d-87ddcab1af1c&quot;,&quot;title&quot;:&quot;Effect of supply-chain resilience on firm performance and competitive advantage: A study of the Sri Lankan apparel industry&quot;,&quot;author&quot;:[{&quot;family&quot;:&quot;Abeysekara&quot;,&quot;given&quot;:&quot;Nadeesha&quot;,&quot;parse-names&quot;:false,&quot;dropping-particle&quot;:&quot;&quot;,&quot;non-dropping-particle&quot;:&quot;&quot;},{&quot;family&quot;:&quot;Wang&quot;,&quot;given&quot;:&quot;Haijun&quot;,&quot;parse-names&quot;:false,&quot;dropping-particle&quot;:&quot;&quot;,&quot;non-dropping-particle&quot;:&quot;&quot;},{&quot;family&quot;:&quot;Kuruppuarachchi&quot;,&quot;given&quot;:&quot;Duminda&quot;,&quot;parse-names&quot;:false,&quot;dropping-particle&quot;:&quot;&quot;,&quot;non-dropping-particle&quot;:&quot;&quot;}],&quot;container-title&quot;:&quot;Business Process Management Journal&quot;,&quot;ISSN&quot;:&quot;14637154&quot;,&quot;issued&quot;:{&quot;date-parts&quot;:[[2019,10,2]]},&quot;page&quot;:&quot;1673-1695&quot;,&quot;abstract&quot;:&quot;Purpose: The purpose of this paper is to investigate the extent to which firms in the Sri Lankan apparel industry practice supply-chain-resilience (SCRes) capabilities and examine whether SCRes practices affect the performance and competitive advantage of those firms. Design/methodology/approach: Uses a conceptual framework to assess SCRes capabilities and to investigate their impact on firm performance and competitive advantage. Uses partial least squares structural equation modeling (PLS-SEM) to quantitatively analyze questionnaire data collected from 89 Sri Lankan apparel manufacturers. Findings: In the presence of SCRes capabilities in the apparel industry, this study finds that supply-chain risk-management culture positively affects SCRes capabilities, namely re-engineering, agility and collaboration. Agility shows the greatest influence on firm performance and competitive advantage. Research limitations/implications: This study is limited to the apparel industry sector (a manufacturing sector) in Sri Lanka to maintain the uniformity of the research constructs. Practical implications: Results imply that management should pay more attention to enhancing SCRMC and prioritizing their SCRes capabilities. Originality/value: This study is the first to assess SCRes capabilities in the apparel-manufacturing sector and examine the impact of SCRes capabilities on firm performance and competitive advantage.&quot;,&quot;publisher&quot;:&quot;Emerald Group Holdings Ltd.&quot;,&quot;issue&quot;:&quot;7&quot;,&quot;volume&quot;:&quot;25&quot;,&quot;container-title-short&quot;:&quot;&quot;},&quot;isTemporary&quot;:false}],&quot;citationTag&quot;:&quot;MENDELEY_CITATION_v3_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&quot;},{&quot;citationID&quot;:&quot;MENDELEY_CITATION_35d52217-33ce-4e1d-9e55-b1bf069bd069&quot;,&quot;properties&quot;:{&quot;noteIndex&quot;:0},&quot;isEdited&quot;:false,&quot;manualOverride&quot;:{&quot;isManuallyOverridden&quot;:false,&quot;citeprocText&quot;:&quot;(Sikka, 2011; Uddin and Hopper, 2001)&quot;,&quot;manualOverrideText&quot;:&quot;&quot;},&quot;citationItems&quot;:[{&quot;id&quot;:&quot;dc3184c9-2417-3a8a-a658-96985d1c0688&quot;,&quot;itemData&quot;:{&quot;type&quot;:&quot;article-journal&quot;,&quot;id&quot;:&quot;dc3184c9-2417-3a8a-a658-96985d1c0688&quot;,&quot;title&quot;:&quot;Accounting for human rights: The challenge of globalization and foreign investment agreements&quot;,&quot;author&quot;:[{&quot;family&quot;:&quot;Sikka&quot;,&quot;given&quot;:&quot;Prem&quot;,&quot;parse-names&quot;:false,&quot;dropping-particle&quot;:&quot;&quot;,&quot;non-dropping-particle&quot;:&quot;&quot;}],&quot;container-title&quot;:&quot;Critical Perspectives on Accounting&quot;,&quot;ISSN&quot;:&quot;10452354&quot;,&quot;issued&quot;:{&quot;date-parts&quot;:[[2011,11]]},&quot;page&quot;:&quot;811-827&quot;,&quot;abstract&quot;:&quot;The triumph of neoliberalism has promoted trade and investment as the dominant routes to economic and social development. This has further enhanced the power of transnational corporations. Developing countries are increasingly expected to secure foreign investment to stimulate their economies and lift the local population out of poverty. However, foreign investment also has implications for protection and enjoyment of human rights. Transnational corporations manage their risks by imposing stabilization clauses on host countries that constrain their ability to protect and enhance human rights. Conventional accounting and corporate social responsibility reports seem to be unable to respond to the emerging agenda on human rights. This paper seeks to stimulate debates about the protection and enjoyment of human rights by drawing attention to the way corporations constrain governments and people through clauses in investment agreements. Some evidence is provided through an examination of an investment agreement relating to the Chad-Cameroon oil and pipeline project. The paper calls for the production of counter accounts to challenge the hegemony of corporations and create spaces for the enjoyment of human rights. © 2011 Elsevier Ltd.&quot;,&quot;issue&quot;:&quot;8&quot;,&quot;volume&quot;:&quot;22&quot;,&quot;container-title-short&quot;:&quot;&quot;},&quot;isTemporary&quot;:false},{&quot;id&quot;:&quot;a3934f44-d709-3500-8f4c-ad160df9e186&quot;,&quot;itemData&quot;:{&quot;type&quot;:&quot;article-journal&quot;,&quot;id&quot;:&quot;a3934f44-d709-3500-8f4c-ad160df9e186&quot;,&quot;title&quot;:&quot;A Bangladesh soap opera: privatisation, accounting, and regimes of control in a less developed country&quot;,&quot;author&quot;:[{&quot;family&quot;:&quot;Uddin&quot;,&quot;given&quot;:&quot;Shahzad&quot;,&quot;parse-names&quot;:false,&quot;dropping-particle&quot;:&quot;&quot;,&quot;non-dropping-particle&quot;:&quot;&quot;},{&quot;family&quot;:&quot;Hopper&quot;,&quot;given&quot;:&quot;Trevor&quot;,&quot;parse-names&quot;:false,&quot;dropping-particle&quot;:&quot;&quot;,&quot;non-dropping-particle&quot;:&quot;&quot;}],&quot;container-title&quot;:&quot;Accounting, Organizations and Society&quot;,&quot;accessed&quot;:{&quot;date-parts&quot;:[[2023,12,29]]},&quot;DOI&quot;:&quot;10.1016/S0361-3682(01)00019-8&quot;,&quot;ISSN&quot;:&quot;0361-3682&quot;,&quot;issued&quot;:{&quot;date-parts&quot;:[[2001,10,1]]},&quot;page&quot;:&quot;643-672&quot;,&quot;abstract&quot;:&quot;This paper reports an intensive case study of a soap manufacturing company in Bangladesh that was nationalised upon Bangladesh's independence in 1971 and privatised in 1993. Theoretically it is informed by Burawoy's contributions to labour process theory, especially how the consent of labour is manufactured through internal states, internal labour markets and games, and how regimes of control in less developed ex-colonial countries are transformed by state and production politics. How the role of accounting systems may shape and be shaped by these processes is traced. Nationalisation brought state attempts to manufacture consent by the methods described in Burawoy's depiction of hegemonic regimes. However, idealistic attempts to secure accountability, rational planning and control, and consent through bureaucratic means were subverted and transformed into a regime of political hegemony. Here control was secured by political interventions, often at the behest of trade unions, for party political rather than commercial ends. Detailed systems of accounting for control and accountability were maintained but became marginal, ritualistic, and de-coupled from operations. Privatisation brought changes consistent with Burawoy's prediction of coercive controls within a new despotic regime. New owners destroyed the internal state and internal labour markets and, following widespread redundancies, most workers were hired through internal subcontracting. The changes heightened worker divisions and rendered workers powerless to resist. Gaming was observed but this relieved the pressures of work intensification and proved functional to management. Significant changes to accounting controls were made. External reporting ceased in violation of legal requirements - financial accounting became the preserve of the owning family and was beset with irregularities. Budgets became more market oriented and were transmitted downwards in a physical form to reinforce coercive pressures upon managers and thence the shop floor. The paper concludes by relating the findings to a revised model of transformation of control regimes in Bangladesh © 2001 Elsevier Science Ltd. All rights reserved.&quot;,&quot;publisher&quot;:&quot;Pergamon&quot;,&quot;issue&quot;:&quot;7-8&quot;,&quot;volume&quot;:&quot;26&quot;,&quot;container-title-short&quot;:&quot;&quot;},&quot;isTemporary&quot;:false}],&quot;citationTag&quot;:&quot;MENDELEY_CITATION_v3_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&quot;},{&quot;citationID&quot;:&quot;MENDELEY_CITATION_d887cc5d-25ae-4171-becc-ff53030e9dc1&quot;,&quot;properties&quot;:{&quot;noteIndex&quot;:0},&quot;isEdited&quot;:false,&quot;manualOverride&quot;:{&quot;isManuallyOverridden&quot;:false,&quot;citeprocText&quot;:&quot;(Ahmed and Uddin, 2021)&quot;,&quot;manualOverrideText&quot;:&quot;&quot;},&quot;citationItems&quot;:[{&quot;id&quot;:&quot;709b94a2-509d-3cc5-a114-2fde0e14fa5d&quot;,&quot;itemData&quot;:{&quot;type&quot;:&quot;article-journal&quot;,&quot;id&quot;:&quot;709b94a2-509d-3cc5-a114-2fde0e14fa5d&quot;,&quot;title&quot;:&quot;Workplace Bullying and Intensification of Labour Controls in the Clothing Supply Chain: Post-Rana Plaza Disaster&quot;,&quot;author&quot;:[{&quot;family&quot;:&quot;Ahmed&quot;,&quot;given&quot;:&quot;Md Shoaib&quot;,&quot;parse-names&quot;:false,&quot;dropping-particle&quot;:&quot;&quot;,&quot;non-dropping-particle&quot;:&quot;&quot;},{&quot;family&quot;:&quot;Uddin&quot;,&quot;given&quot;:&quot;Shahzad&quot;,&quot;parse-names&quot;:false,&quot;dropping-particle&quot;:&quot;&quot;,&quot;non-dropping-particle&quot;:&quot;&quot;}],&quot;container-title&quot;:&quot;Work, Employment and Society&quot;,&quot;ISSN&quot;:&quot;09500170&quot;,&quot;issued&quot;:{&quot;date-parts&quot;:[[2021]]},&quot;abstract&quot;:&quot;This article examines workplace bullying and the intensification of labour controls in the clothing supply chain. It appears that extreme forms of bullying are deployed to intensify labour controls, including locking workers in, frequent wage cuts, setting moveable targets and carrying out intense observations. The context of this study is surplus value-starved clothing factories in Bangladesh. Global supply chains’ production regimes and the absence of state protections and trade unions enable factory managers to systematically deploy bullying tactics to achieve production targets. Drawing on Burawoy’s works, this article advances the debate of how workplace bullying is impacted by wider structural conditions with managerial strategies of coercion in factories. It is argued here that when the state intervenes in the factory only to protect and preserve capitalists’ interests, explicitly and implicitly, coercive strategies of control turn into extreme bullying on the shopfloor.&quot;,&quot;publisher&quot;:&quot;SAGE Publications Ltd&quot;,&quot;container-title-short&quot;:&quot;&quot;},&quot;isTemporary&quot;:false}],&quot;citationTag&quot;:&quot;MENDELEY_CITATION_v3_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&quot;},{&quot;citationID&quot;:&quot;MENDELEY_CITATION_51dd9b00-bc41-4994-a189-5e8a5dad9080&quot;,&quot;properties&quot;:{&quot;noteIndex&quot;:0},&quot;isEdited&quot;:false,&quot;manualOverride&quot;:{&quot;isManuallyOverridden&quot;:false,&quot;citeprocText&quot;:&quot;(UNDP, 2022)&quot;,&quot;manualOverrideText&quot;:&quot;&quot;},&quot;citationItems&quot;:[{&quot;id&quot;:&quot;d259085a-598a-3535-a603-b00cce972f74&quot;,&quot;itemData&quot;:{&quot;type&quot;:&quot;report&quot;,&quot;id&quot;:&quot;d259085a-598a-3535-a603-b00cce972f74&quot;,&quot;title&quot;:&quot;Human development report 2021/2022 : uncertain times, unsettled lives : shaping our future in a transforming world.&quot;,&quot;author&quot;:[{&quot;family&quot;:&quot;UNDP&quot;,&quot;given&quot;:&quot;&quot;,&quot;parse-names&quot;:false,&quot;dropping-particle&quot;:&quot;&quot;,&quot;non-dropping-particle&quot;:&quot;&quot;}],&quot;accessed&quot;:{&quot;date-parts&quot;:[[2023,5,7]]},&quot;ISBN&quot;:&quot;9789211264517&quot;,&quot;URL&quot;:&quot;https://hdr.undp.org/system/files/documents/global-report-document/hdr2021-22pdf_1.pdf&quot;,&quot;issued&quot;:{&quot;date-parts&quot;:[[2022]]},&quot;number-of-pages&quot;:&quot;1-320&quot;,&quot;abstract&quot;:&quot;\&quot;Uncertainty is not new, but is dimensions are taking ominous new forms today. A new \&quot;uncertainty complex\&quot; is emerging, never before seen in human history. Constituting it are three volatile and interacting strands: the destabilizing planetary pressures and inequalities of the Anthropocene, the pursuit of sweeping societal transformations to ease those pressures and the widespread and intensifying polarization. This new uncertainty complex and each new crisis it spawns are impeding human development and unsettling lives the world over. In the wake of the pandemic, and for the first time ever, the global Human Development Index (HDI) value declined -- for two years straight. Many countries experienced ongoing declines on the HDI in 2021. Even before the pandemic, feelings of insecurity were on the rise nearly everywhere. Many people feel alienated from their political systems, and in another reversal, democratic backsliding has worsened. There is peril in new uncertainties, in the insecurity, polarization and demagoguery that grip many countries. But there is promise, too -- an opportunity to reimagine our futures, to renew and adapt our institutions and to craft new stories about who we are and what we value. This is the hopeful path forward, the path to follow if we wish to thrive in a world in flux.\&quot;--Back cover. A new uncertainty complex -- Unsettled minds in uncertain times: mental distress: an obstacle to human development -- Harnessing human development to navigate uncertain times -- What's standing in the way of our acting together? -- Advancing human development in uncertain times -- Charting paths to transformation: navigating uncertainty to expand human development.&quot;,&quot;container-title-short&quot;:&quot;&quot;},&quot;isTemporary&quot;:false}],&quot;citationTag&quot;:&quot;MENDELEY_CITATION_v3_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&quot;},{&quot;citationID&quot;:&quot;MENDELEY_CITATION_21f70ebf-88a1-4115-975f-4347bc876708&quot;,&quot;properties&quot;:{&quot;noteIndex&quot;:0},&quot;isEdited&quot;:false,&quot;manualOverride&quot;:{&quot;isManuallyOverridden&quot;:false,&quot;citeprocText&quot;:&quot;(Moussa &lt;i&gt;et al.&lt;/i&gt;, 2022; Ranis &lt;i&gt;et al.&lt;/i&gt;, 2011; UNDP, 2022)&quot;,&quot;manualOverrideText&quot;:&quot;&quot;},&quot;citationItems&quot;:[{&quot;id&quot;:&quot;d259085a-598a-3535-a603-b00cce972f74&quot;,&quot;itemData&quot;:{&quot;type&quot;:&quot;report&quot;,&quot;id&quot;:&quot;d259085a-598a-3535-a603-b00cce972f74&quot;,&quot;title&quot;:&quot;Human development report 2021/2022 : uncertain times, unsettled lives : shaping our future in a transforming world.&quot;,&quot;author&quot;:[{&quot;family&quot;:&quot;UNDP&quot;,&quot;given&quot;:&quot;&quot;,&quot;parse-names&quot;:false,&quot;dropping-particle&quot;:&quot;&quot;,&quot;non-dropping-particle&quot;:&quot;&quot;}],&quot;accessed&quot;:{&quot;date-parts&quot;:[[2023,5,7]]},&quot;ISBN&quot;:&quot;9789211264517&quot;,&quot;URL&quot;:&quot;https://hdr.undp.org/system/files/documents/global-report-document/hdr2021-22pdf_1.pdf&quot;,&quot;issued&quot;:{&quot;date-parts&quot;:[[2022]]},&quot;number-of-pages&quot;:&quot;1-320&quot;,&quot;abstract&quot;:&quot;\&quot;Uncertainty is not new, but is dimensions are taking ominous new forms today. A new \&quot;uncertainty complex\&quot; is emerging, never before seen in human history. Constituting it are three volatile and interacting strands: the destabilizing planetary pressures and inequalities of the Anthropocene, the pursuit of sweeping societal transformations to ease those pressures and the widespread and intensifying polarization. This new uncertainty complex and each new crisis it spawns are impeding human development and unsettling lives the world over. In the wake of the pandemic, and for the first time ever, the global Human Development Index (HDI) value declined -- for two years straight. Many countries experienced ongoing declines on the HDI in 2021. Even before the pandemic, feelings of insecurity were on the rise nearly everywhere. Many people feel alienated from their political systems, and in another reversal, democratic backsliding has worsened. There is peril in new uncertainties, in the insecurity, polarization and demagoguery that grip many countries. But there is promise, too -- an opportunity to reimagine our futures, to renew and adapt our institutions and to craft new stories about who we are and what we value. This is the hopeful path forward, the path to follow if we wish to thrive in a world in flux.\&quot;--Back cover. A new uncertainty complex -- Unsettled minds in uncertain times: mental distress: an obstacle to human development -- Harnessing human development to navigate uncertain times -- What's standing in the way of our acting together? -- Advancing human development in uncertain times -- Charting paths to transformation: navigating uncertainty to expand human development.&quot;,&quot;container-title-short&quot;:&quot;&quot;},&quot;isTemporary&quot;:false},{&quot;id&quot;:&quot;ed00c871-f988-3afe-8942-29ccfbc3976e&quot;,&quot;itemData&quot;:{&quot;type&quot;:&quot;article-journal&quot;,&quot;id&quot;:&quot;ed00c871-f988-3afe-8942-29ccfbc3976e&quot;,&quot;title&quot;:&quot;Human Development: Beyond the Human Development Index&quot;,&quot;author&quot;:[{&quot;family&quot;:&quot;Ranis&quot;,&quot;given&quot;:&quot;Gustav&quot;,&quot;parse-names&quot;:false,&quot;dropping-particle&quot;:&quot;&quot;,&quot;non-dropping-particle&quot;:&quot;&quot;},{&quot;family&quot;:&quot;Stewart&quot;,&quot;given&quot;:&quot;Frances&quot;,&quot;parse-names&quot;:false,&quot;dropping-particle&quot;:&quot;&quot;,&quot;non-dropping-particle&quot;:&quot;&quot;},{&quot;family&quot;:&quot;Samman&quot;,&quot;given&quot;:&quot;Emma&quot;,&quot;parse-names&quot;:false,&quot;dropping-particle&quot;:&quot;&quot;,&quot;non-dropping-particle&quot;:&quot;&quot;}],&quot;container-title&quot;:&quot;Journal of human development&quot;,&quot;accessed&quot;:{&quot;date-parts&quot;:[[2023,4,25]]},&quot;DOI&quot;:&quot;10.1080/14649880600815917&quot;,&quot;ISSN&quot;:&quot;14699516&quot;,&quot;URL&quot;:&quot;https://www.tandfonline.com/doi/abs/10.1080/14649880600815917&quot;,&quot;issued&quot;:{&quot;date-parts&quot;:[[2011,11,1]]},&quot;page&quot;:&quot;323-358&quot;,&quot;abstract&quot;:&quot;The well‐known Human Development Index (HDI) encompasses only three rather basic aspects of human welfare. This paper aims to go beyond this, by identifying 11 categories of human development. We n...&quot;,&quot;publisher&quot;:&quot; Routledge &quot;,&quot;issue&quot;:&quot;3&quot;,&quot;volume&quot;:&quot;7&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issued&quot;:{&quot;date-parts&quot;:[[2022]]},&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container-title-short&quot;:&quot;Bus Strategy Environ&quot;},&quot;isTemporary&quot;:false}],&quot;citationTag&quot;:&quot;MENDELEY_CITATION_v3_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aXNzdWVkIjp7ImRhdGUtcGFydHMiOltbMjAyMl1dfS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Y29udGFpbmVyLXRpdGxlLXNob3J0IjoiQnVzIFN0cmF0ZWd5IEVudmlyb24ifSwiaXNUZW1wb3JhcnkiOmZhbHNlfV19&quot;},{&quot;citationID&quot;:&quot;MENDELEY_CITATION_831d9c5e-7723-4c31-96da-86b5e2528322&quot;,&quot;properties&quot;:{&quot;noteIndex&quot;:0},&quot;isEdited&quot;:false,&quot;manualOverride&quot;:{&quot;isManuallyOverridden&quot;:false,&quot;citeprocText&quot;:&quot;(Christ and Burritt, 2021)&quot;,&quot;manualOverrideText&quot;:&quot;&quot;},&quot;citationItems&quot;:[{&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ODMxZDljNWUtNzcyMy00YzMxLTk2ZGEtODZiNWUyNTI4MzIy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quot;},{&quot;citationID&quot;:&quot;MENDELEY_CITATION_d99eb418-6a10-4351-83dc-3fc75d9af2c9&quot;,&quot;properties&quot;:{&quot;noteIndex&quot;:0},&quot;isEdited&quot;:false,&quot;manualOverride&quot;:{&quot;isManuallyOverridden&quot;:false,&quot;citeprocText&quot;:&quot;(Anner, 2020; ILO, 2020b)&quot;,&quot;manualOverrideText&quot;:&quot;&quot;},&quot;citationItems&quot;:[{&quot;id&quot;:&quot;70302ec1-284e-341a-aa7c-e336289e1c49&quot;,&quot;itemData&quot;:{&quot;type&quot;:&quot;webpage&quot;,&quot;id&quot;:&quot;70302ec1-284e-341a-aa7c-e336289e1c49&quot;,&quot;title&quot;:&quot;COVID-19: Protecting workers in the workplace; Almost 25 million jobs could be lost worldwide as a result of COVID-19, says ILO&quot;,&quot;author&quot;:[{&quot;family&quot;:&quot;ILO&quot;,&quot;given&quot;:&quot;&quot;,&quot;parse-names&quot;:false,&quot;dropping-particle&quot;:&quot;&quot;,&quot;non-dropping-particle&quot;:&quot;&quot;}],&quot;accessed&quot;:{&quot;date-parts&quot;:[[2023,5,8]]},&quot;URL&quot;:&quot;https://www.ilo.org/global/about-the-ilo/newsroom/news/WCMS_738742/lang--en/index.htm.&quot;,&quot;issued&quot;:{&quot;date-parts&quot;:[[2020,3,18]]},&quot;container-title-short&quot;:&quot;&quot;},&quot;isTemporary&quot;:false},{&quot;id&quot;:&quot;0890c099-c15c-310e-b536-e2863b8bc94c&quot;,&quot;itemData&quot;:{&quot;type&quot;:&quot;report&quot;,&quot;id&quot;:&quot;0890c099-c15c-310e-b536-e2863b8bc94c&quot;,&quot;title&quot;:&quot;Abandoned? e Impact of Covid-19 on Workers and Businesses at the Boom of Global Garment Supply Chains&quot;,&quot;author&quot;:[{&quot;family&quot;:&quot;Anner&quot;,&quot;given&quot;:&quot;Mark&quot;,&quot;parse-names&quot;:false,&quot;dropping-particle&quot;:&quot;&quot;,&quot;non-dropping-particle&quot;:&quot;&quot;}],&quot;URL&quot;:&quot;www.ilo.org/global/about-the-ilo/newsroom/news/WCMS_738742/lang--en/index.htm.&quot;,&quot;issued&quot;:{&quot;date-parts&quot;:[[2020]]},&quot;abstract&quot;:&quot;Executive Summary e global Covid-19 pandemic has had a devastating impact on global garment supply chains, and the situation will get far worse before it gets beer. As clothing outlets have been shut by lockdowns in developed market economies , sinking demand for apparel, brands and retailers have moved quickly to cancel or postpone production orders-refusing, in many cases, to pay for clothing their supplier factories have already produced. e result has been the partial or complete shutdown of thousands of factories in producing countries. As a result, millions of factory workers have been sent home, oen without legally-mandated pay or severance. is Research Brief draws from responses from an online survey of Bangladesh employers, administered between March 21 and March 25, 2020, to document these trends. It reveals the devastating impact order cancellations have had on businesses and on workers. Crucially, it illustrates the extreme fragility of a system based on decades of buyers squeezing down on prices paid to suppliers: factory closures, unpaid workers with no savings to survive the hard times ahead, and a government with such a low tax revenue that it has very limited ability to provide meaningful support to workers and the industry. 1. Since the coronavirus pandemic took hold, more than half of Bangladesh suppliers have had the bulk of their in-process, or already completed, production canceled (45.8% of suppliers report that 'a lot' to 'most' of their nearly completed or entirely completed orders have been canceled by their buyers; 5.9% had all of these orders canceled). is is despite the fact that buyers have a contractual obligation to pay for these orders. But many are making dubious use of general force majeure clauses to justify their violations of the terms of the contract. 2. When orders were canceled, 72.1% of buyers refused to pay for raw materials (fabric, etc.) already purchased by the supplier, and 91.3% of buyers refused to pay for the cut-make-trim cost (production cost) of the supplier. As a result of order cancellations and lack of payment, 58% of factories surveyed report having to shutdown most or all of their operations.&quot;,&quot;container-title-short&quot;:&quot;&quot;},&quot;isTemporary&quot;:false}],&quot;citationTag&quot;:&quot;MENDELEY_CITATION_v3_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&quot;},{&quot;citationID&quot;:&quot;MENDELEY_CITATION_01a8052e-b138-48a6-9c33-4b9117a2f57a&quot;,&quot;properties&quot;:{&quot;noteIndex&quot;:0},&quot;isEdited&quot;:false,&quot;manualOverride&quot;:{&quot;isManuallyOverridden&quot;:false,&quot;citeprocText&quot;:&quot;(Walk Free, 2023)&quot;,&quot;manualOverrideText&quot;:&quot;&quot;},&quot;citationItems&quot;:[{&quot;id&quot;:&quot;47b9b193-1e21-3051-a13f-e2f48fd0e14b&quot;,&quot;itemData&quot;:{&quot;type&quot;:&quot;report&quot;,&quot;id&quot;:&quot;47b9b193-1e21-3051-a13f-e2f48fd0e14b&quot;,&quot;title&quot;:&quot;Global-Slavery-Index-2023&quot;,&quot;author&quot;:[{&quot;family&quot;:&quot;Walk Free Foundation&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MDFhODA1MmUtYjEzOC00OGE2LTljMzMtNGI5MTE3YTJmNTdh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quot;},{&quot;citationID&quot;:&quot;MENDELEY_CITATION_d66a6e4a-e8e7-4210-92f5-ee2a93dafe61&quot;,&quot;properties&quot;:{&quot;noteIndex&quot;:0},&quot;isEdited&quot;:false,&quot;manualOverride&quot;:{&quot;isManuallyOverridden&quot;:true,&quot;citeprocText&quot;:&quot;(Walk Free, 2023)&quot;,&quot;manualOverrideText&quot;:&quot;(Walk Free, 2023, p. 29)&quot;},&quot;citationItems&quot;:[{&quot;id&quot;:&quot;47b9b193-1e21-3051-a13f-e2f48fd0e14b&quot;,&quot;itemData&quot;:{&quot;type&quot;:&quot;report&quot;,&quot;id&quot;:&quot;47b9b193-1e21-3051-a13f-e2f48fd0e14b&quot;,&quot;title&quot;:&quot;Global-Slavery-Index-2023&quot;,&quot;author&quot;:[{&quot;family&quot;:&quot;Walk Free Foundation&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V19&quot;},{&quot;citationID&quot;:&quot;MENDELEY_CITATION_00ab6597-afde-4af2-8f68-f28c87c1219c&quot;,&quot;properties&quot;:{&quot;noteIndex&quot;:0},&quot;isEdited&quot;:false,&quot;manualOverride&quot;:{&quot;isManuallyOverridden&quot;:false,&quot;citeprocText&quot;:&quot;(ILO, 2016)&quot;,&quot;manualOverrideText&quot;:&quot;&quot;},&quot;citationItems&quot;:[{&quot;id&quot;:&quot;cc6b0b25-f82b-300a-9d1e-ed955e71d76b&quot;,&quot;itemData&quot;:{&quot;type&quot;:&quot;report&quot;,&quot;id&quot;:&quot;cc6b0b25-f82b-300a-9d1e-ed955e71d76b&quot;,&quot;title&quot;:&quot;SDG Alliance 8.7 Joining forces globally to end child labour, forced labour, modern slavery and human trafficking&quot;,&quot;author&quot;:[{&quot;family&quot;:&quot;International Labour Organization&quot;,&quot;given&quot;:&quot;&quot;,&quot;parse-names&quot;:false,&quot;dropping-particle&quot;:&quot;&quot;,&quot;non-dropping-particle&quot;:&quot;&quot;}],&quot;accessed&quot;:{&quot;date-parts&quot;:[[2023,1,17]]},&quot;URL&quot;:&quot;https://www.ilo.org/wcmsp5/groups/public/---ed_norm/---declaration/documents/publication/wcms_450718.pdf&quot;,&quot;issued&quot;:{&quot;date-parts&quot;:[[2016]]},&quot;number-of-pages&quot;:&quot;1-8&quot;,&quot;container-title-short&quot;:&quot;&quot;},&quot;isTemporary&quot;:false}],&quot;citationTag&quot;:&quot;MENDELEY_CITATION_v3_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&quot;},{&quot;citationID&quot;:&quot;MENDELEY_CITATION_fc5567f4-d0f4-4451-94ca-2671afa5a2cc&quot;,&quot;properties&quot;:{&quot;noteIndex&quot;:0},&quot;isEdited&quot;:false,&quot;manualOverride&quot;:{&quot;isManuallyOverridden&quot;:true,&quot;citeprocText&quot;:&quot;(Walk Free Foundation, 2018)&quot;,&quot;manualOverrideText&quot;:&quot;(Walk Free, 2018b)&quot;},&quot;citationItems&quot;:[{&quot;id&quot;:&quot;5d6d5e53-c11e-37a9-b3b5-721909e7763f&quot;,&quot;itemData&quot;:{&quot;type&quot;:&quot;report&quot;,&quot;id&quot;:&quot;5d6d5e53-c11e-37a9-b3b5-721909e7763f&quot;,&quot;title&quot;:&quot;The global slavery index&quot;,&quot;author&quot;:[{&quot;family&quot;:&quot;Walk Free Foundation&quot;,&quot;given&quot;:&quot;&quot;,&quot;parse-names&quot;:false,&quot;dropping-particle&quot;:&quot;&quot;,&quot;non-dropping-particle&quot;:&quot;&quot;}],&quot;accessed&quot;:{&quot;date-parts&quot;:[[2022,8,8]]},&quot;URL&quot;:&quot;https://www.walkfree.org/projects/the-global-slavery-index/&quot;,&quot;issued&quot;:{&quot;date-parts&quot;:[[2018]]},&quot;container-title-short&quot;:&quot;&quot;},&quot;isTemporary&quot;:false}],&quot;citationTag&quot;:&quot;MENDELEY_CITATION_v3_eyJjaXRhdGlvbklEIjoiTUVOREVMRVlfQ0lUQVRJT05fZmM1NTY3ZjQtZDBmNC00NDUxLTk0Y2EtMjY3MWFmYTVhMmNjIiwicHJvcGVydGllcyI6eyJub3RlSW5kZXgiOjB9LCJpc0VkaXRlZCI6ZmFsc2UsIm1hbnVhbE92ZXJyaWRlIjp7ImlzTWFudWFsbHlPdmVycmlkZGVuIjp0cnVlLCJjaXRlcHJvY1RleHQiOiIoV2FsayBGcmVlIEZvdW5kYXRpb24sIDIwMTgpIiwibWFudWFsT3ZlcnJpZGVUZXh0IjoiKFdhbGsgRnJlZSwgMjAxOGIpIn0sImNpdGF0aW9uSXRlbXMiOlt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quot;},{&quot;citationID&quot;:&quot;MENDELEY_CITATION_216169a4-27cb-4ed5-bda2-b36e396635ec&quot;,&quot;properties&quot;:{&quot;noteIndex&quot;:0},&quot;isEdited&quot;:false,&quot;manualOverride&quot;:{&quot;isManuallyOverridden&quot;:true,&quot;citeprocText&quot;:&quot;(ILO, 2014a)&quot;,&quot;manualOverrideText&quot;:&quot;ILO (2014)&quot;},&quot;citationItems&quot;:[{&quot;id&quot;:&quot;2f87ffe8-e17c-3a56-80ac-e3f93ec50699&quot;,&quot;itemData&quot;:{&quot;type&quot;:&quot;report&quot;,&quot;id&quot;:&quot;2f87ffe8-e17c-3a56-80ac-e3f93ec50699&quot;,&quot;title&quot;:&quot;Profits and Poverty: The Economics of Forced Labour&quot;,&quot;author&quot;:[{&quot;family&quot;:&quot;ILO&quot;,&quot;given&quot;:&quot;&quot;,&quot;parse-names&quot;:false,&quot;dropping-particle&quot;:&quot;&quot;,&quot;non-dropping-particle&quot;:&quot;&quot;}],&quot;accessed&quot;:{&quot;date-parts&quot;:[[2023,5,10]]},&quot;ISBN&quot;:&quot;9789221287810&quot;,&quot;URL&quot;:&quot;www.ilo.org/publns&quot;,&quot;issued&quot;:{&quot;date-parts&quot;:[[2014]]},&quot;number-of-pages&quot;:&quot;1-66&quot;,&quot;container-title-short&quot;:&quot;&quot;},&quot;isTemporary&quot;:false}],&quot;citationTag&quot;:&quot;MENDELEY_CITATION_v3_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&quot;},{&quot;citationID&quot;:&quot;MENDELEY_CITATION_6b51bf07-5b8f-43cf-8fa0-012e293f730c&quot;,&quot;properties&quot;:{&quot;noteIndex&quot;:0},&quot;isEdited&quot;:false,&quot;manualOverride&quot;:{&quot;isManuallyOverridden&quot;:true,&quot;citeprocText&quot;:&quot;(Walk Free and Minderoo, 2018)&quot;,&quot;manualOverrideText&quot;:&quot;Walk Free and Minderoo (2018)&quot;},&quot;citationItems&quot;:[{&quot;id&quot;:&quot;70addc1e-7888-3306-957d-c3c3e6c6cd4d&quot;,&quot;itemData&quot;:{&quot;type&quot;:&quot;report&quot;,&quot;id&quot;:&quot;70addc1e-7888-3306-957d-c3c3e6c6cd4d&quot;,&quot;title&quot;:&quot;Understanding Modern Slavery: What is modern slavery?&quot;,&quot;author&quot;:[{&quot;family&quot;:&quot;Walk Free&quot;,&quot;given&quot;:&quot;&quot;,&quot;parse-names&quot;:false,&quot;dropping-particle&quot;:&quot;&quot;,&quot;non-dropping-particle&quot;:&quot;&quot;},{&quot;family&quot;:&quot;Minderoo&quot;,&quot;given&quot;:&quot;&quot;,&quot;parse-names&quot;:false,&quot;dropping-particle&quot;:&quot;&quot;,&quot;non-dropping-particle&quot;:&quot;&quot;}],&quot;accessed&quot;:{&quot;date-parts&quot;:[[2023,1,20]]},&quot;URL&quot;:&quot;www.minderoo.org.au/walk-free&quot;,&quot;issued&quot;:{&quot;date-parts&quot;:[[2018]]},&quot;container-title-short&quot;:&quot;&quot;},&quot;isTemporary&quot;:false}],&quot;citationTag&quot;:&quot;MENDELEY_CITATION_v3_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&quot;},{&quot;citationID&quot;:&quot;MENDELEY_CITATION_24fac416-94fd-4b12-a66c-2056fac6cb74&quot;,&quot;properties&quot;:{&quot;noteIndex&quot;:0},&quot;isEdited&quot;:false,&quot;manualOverride&quot;:{&quot;isManuallyOverridden&quot;:true,&quot;citeprocText&quot;:&quot;(Walk Free Foundation, 2018)&quot;,&quot;manualOverrideText&quot;:&quot;(Walk Free, 2018b)&quot;},&quot;citationItems&quot;:[{&quot;id&quot;:&quot;5d6d5e53-c11e-37a9-b3b5-721909e7763f&quot;,&quot;itemData&quot;:{&quot;type&quot;:&quot;report&quot;,&quot;id&quot;:&quot;5d6d5e53-c11e-37a9-b3b5-721909e7763f&quot;,&quot;title&quot;:&quot;The global slavery index&quot;,&quot;author&quot;:[{&quot;family&quot;:&quot;Walk Free Foundation&quot;,&quot;given&quot;:&quot;&quot;,&quot;parse-names&quot;:false,&quot;dropping-particle&quot;:&quot;&quot;,&quot;non-dropping-particle&quot;:&quot;&quot;}],&quot;accessed&quot;:{&quot;date-parts&quot;:[[2022,8,8]]},&quot;URL&quot;:&quot;https://www.walkfree.org/projects/the-global-slavery-index/&quot;,&quot;issued&quot;:{&quot;date-parts&quot;:[[2018]]},&quot;container-title-short&quot;:&quot;&quot;},&quot;isTemporary&quot;:false}],&quot;citationTag&quot;:&quot;MENDELEY_CITATION_v3_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&quot;},{&quot;citationID&quot;:&quot;MENDELEY_CITATION_ffb9caea-3976-4afd-b5a4-2f948ca4ac4b&quot;,&quot;properties&quot;:{&quot;noteIndex&quot;:0},&quot;isEdited&quot;:false,&quot;manualOverride&quot;:{&quot;isManuallyOverridden&quot;:true,&quot;citeprocText&quot;:&quot;(Australian Border Force, 2018)&quot;,&quot;manualOverrideText&quot;:&quot;(Australian Border Force, 2018, p.54)&quot;},&quot;citationItems&quot;:[{&quot;id&quot;:&quot;603c2fd6-146f-37ab-8006-82b97f8427dd&quot;,&quot;itemData&quot;:{&quot;type&quot;:&quot;report&quot;,&quot;id&quot;:&quot;603c2fd6-146f-37ab-8006-82b97f8427dd&quot;,&quot;title&quot;:&quot;Commonwealth Modern Slavery Act 2018 Guidance for Reporting Entities&quot;,&quot;author&quot;:[{&quot;family&quot;:&quot;Australian Boarder Force&quot;,&quot;given&quot;:&quot;&quot;,&quot;parse-names&quot;:false,&quot;dropping-particle&quot;:&quot;&quot;,&quot;non-dropping-particle&quot;:&quot;&quot;}],&quot;issued&quot;:{&quot;date-parts&quot;:[[2018]]},&quot;container-title-short&quot;:&quot;&quot;},&quot;isTemporary&quot;:false}],&quot;citationTag&quot;:&quot;MENDELEY_CITATION_v3_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&quot;},{&quot;citationID&quot;:&quot;MENDELEY_CITATION_1a2066a6-bce5-42c7-b8c5-10b77dfea3f4&quot;,&quot;properties&quot;:{&quot;noteIndex&quot;:0},&quot;isEdited&quot;:false,&quot;manualOverride&quot;:{&quot;isManuallyOverridden&quot;:true,&quot;citeprocText&quot;:&quot;(Delta 8.7, 2017; Global Reporting Initiative (GRI) and Responsible Labour Initiative (RLI), 2019)&quot;,&quot;manualOverrideText&quot;:&quot;(Delta 8.7, 2017; Global Reporting Initiative (GRI) and RLI, 2019)&quot;},&quot;citationItems&quot;:[{&quot;id&quot;:&quot;6965598b-b91e-35d7-8c91-0351a9535c4a&quot;,&quot;itemData&quot;:{&quot;type&quot;:&quot;report&quot;,&quot;id&quot;:&quot;6965598b-b91e-35d7-8c91-0351a9535c4a&quot;,&quot;title&quot;:&quot;Advancing modern slavery reporting to meet stakeholder expectations&quot;,&quot;author&quot;:[{&quot;family&quot;:&quot;Global Reporting Initiative (GRI)&quot;,&quot;given&quot;:&quot;&quot;,&quot;parse-names&quot;:false,&quot;dropping-particle&quot;:&quot;&quot;,&quot;non-dropping-particle&quot;:&quot;&quot;},{&quot;family&quot;:&quot;Responsible Labour Initiative (RLI)&quot;,&quot;given&quot;:&quot;&quot;,&quot;parse-names&quot;:false,&quot;dropping-particle&quot;:&quot;&quot;,&quot;non-dropping-particle&quot;:&quot;&quot;}],&quot;issued&quot;:{&quot;date-parts&quot;:[[2019]]},&quot;number-of-pages&quot;:&quot;1-36&quot;,&quot;container-title-short&quot;:&quot;&quot;},&quot;isTemporary&quot;:false},{&quot;id&quot;:&quot;fc1bfca1-85c1-3157-8700-7cb5f732edb9&quot;,&quot;itemData&quot;:{&quot;type&quot;:&quot;webpage&quot;,&quot;id&quot;:&quot;fc1bfca1-85c1-3157-8700-7cb5f732edb9&quot;,&quot;title&quot;:&quot;Call to Action : Explore the efforts of countries that have endorsed the Call to Action to end Forced Labour, Modern Slavery and Human Trafficking.&quot;,&quot;author&quot;:[{&quot;family&quot;:&quot;Delta 8.7&quot;,&quot;given&quot;:&quot;&quot;,&quot;parse-names&quot;:false,&quot;dropping-particle&quot;:&quot;&quot;,&quot;non-dropping-particle&quot;:&quot;&quot;}],&quot;container-title&quot;:&quot;United Nations University Centre for Policy Research to Alliance 8.7&quot;,&quot;accessed&quot;:{&quot;date-parts&quot;:[[2023,1,24]]},&quot;URL&quot;:&quot;https://delta87.org/call-to-action/&quot;,&quot;issued&quot;:{&quot;date-parts&quot;:[[2017,9,19]]},&quot;container-title-short&quot;:&quot;&quot;},&quot;isTemporary&quot;:false}],&quot;citationTag&quot;:&quot;MENDELEY_CITATION_v3_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&quot;},{&quot;citationID&quot;:&quot;MENDELEY_CITATION_c99de407-e6a4-4e0d-8db1-1766d47d7b8e&quot;,&quot;properties&quot;:{&quot;noteIndex&quot;:0},&quot;isEdited&quot;:false,&quot;manualOverride&quot;:{&quot;isManuallyOverridden&quot;:true,&quot;citeprocText&quot;:&quot;(Deloitte, 2020)&quot;,&quot;manualOverrideText&quot;:&quot;Deloitte (2020)&quot;},&quot;citationItems&quot;:[{&quot;id&quot;:&quot;1e53a09d-d0df-31c6-82b2-df42d3b27b23&quot;,&quot;itemData&quot;:{&quot;type&quot;:&quot;report&quot;,&quot;id&quot;:&quot;1e53a09d-d0df-31c6-82b2-df42d3b27b23&quot;,&quot;title&quot;:&quot;Proposed international trade rule: No tariffs on child labour free products&quot;,&quot;author&quot;:[{&quot;family&quot;:&quot;Deloitte&quot;,&quot;given&quot;:&quot;&quot;,&quot;parse-names&quot;:false,&quot;dropping-particle&quot;:&quot;&quot;,&quot;non-dropping-particle&quot;:&quot;&quot;}],&quot;issued&quot;:{&quot;date-parts&quot;:[[2020]]},&quot;container-title-short&quot;:&quot;&quot;},&quot;isTemporary&quot;:false}],&quot;citationTag&quot;:&quot;MENDELEY_CITATION_v3_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&quot;},{&quot;citationID&quot;:&quot;MENDELEY_CITATION_b7a13766-aac4-4fcf-840d-bb9b358fc8d8&quot;,&quot;properties&quot;:{&quot;noteIndex&quot;:0},&quot;isEdited&quot;:false,&quot;manualOverride&quot;:{&quot;isManuallyOverridden&quot;:true,&quot;citeprocText&quot;:&quot;(Business &amp;#38; Human rights resource centre, 2023; Garcia-Torres &lt;i&gt;et al.&lt;/i&gt;, 2017; Kirton and Trebilcock, 2017; Knudsen, 2018; Rogerson &lt;i&gt;et al.&lt;/i&gt;, 2020a)&quot;,&quot;manualOverrideText&quot;:&quot;(Garcia-Torres, Rey-Garcia and Albareda-Vivo, 2017; Kirton and Trebilcock, 2017; Knudsen, 2018; Rogerson et al., 2020; BHRRC, 2023)&quot;},&quot;citationItems&quot;:[{&quot;id&quot;:&quot;4b7a9bc9-c5eb-34b9-8b1e-e112f7d0e188&quot;,&quot;itemData&quot;:{&quot;type&quot;:&quot;book&quot;,&quot;id&quot;:&quot;4b7a9bc9-c5eb-34b9-8b1e-e112f7d0e188&quot;,&quot;title&quot;:&quot;Hard choices, soft law: Voluntary standards in global trade, environment and social governance&quot;,&quot;author&quot;:[{&quot;family&quot;:&quot;Kirton&quot;,&quot;given&quot;:&quot;John J.&quot;,&quot;parse-names&quot;:false,&quot;dropping-particle&quot;:&quot;&quot;,&quot;non-dropping-particle&quot;:&quot;&quot;},{&quot;family&quot;:&quot;Trebilcock&quot;,&quot;given&quot;:&quot;Michael J.&quot;,&quot;parse-names&quot;:false,&quot;dropping-particle&quot;:&quot;&quot;,&quot;non-dropping-particle&quot;:&quot;&quot;}],&quot;accessed&quot;:{&quot;date-parts&quot;:[[2022,10,7]]},&quot;editor&quot;:[{&quot;family&quot;:&quot;Routledge&quot;,&quot;given&quot;:&quot;&quot;,&quot;parse-names&quot;:false,&quot;dropping-particle&quot;:&quot;&quot;,&quot;non-dropping-particle&quot;:&quot;&quot;}],&quot;URL&quot;:&quot;https://www.taylorfrancis.com/books/mono/10.4324/9781315253633/hard-choices-soft-law-john-kirton-michael-trebilcock&quot;,&quot;issued&quot;:{&quot;date-parts&quot;:[[2017,1,1]]},&quot;publisher-place&quot;:&quot;London&quot;,&quot;number-of-pages&quot;:&quot;1-372&quot;,&quot;abstract&quot;:&quot;An important read for academics and policy-makers alike, Hard Choices, Soft Law asserts that voluntary standards, or 'soft' law, are an important supplement to international law in a number of areas. This key work firstly outlines the approach taken to combining soft and hard law and trade, environment and labour values in the WTO and NAFTA, and in the prospective Millennium Round. Then, using the forestry sector - a realm where formal international law remains largely absent - the book provides a detailed examination of the role of soft law in action. It demonstrates how soft and hard law can be combined to promote trade, environmental and social cohesion, in ways that also permit sustainable development. The book presents a wealth of knowledge from a range of contributors familiar with the work of the G7/G8, the OECD, the Biodiversity Convention and the Codex Alimentarius.&quot;,&quot;edition&quot;:&quot;1&quot;,&quot;publisher&quot;:&quot;Taylor and Francis&quot;,&quot;container-title-short&quot;:&quot;&quot;},&quot;isTemporary&quot;:false},{&quot;id&quot;:&quot;e077c6a1-1c45-3cfb-92d5-1c87e0247fd8&quot;,&quot;itemData&quot;:{&quot;type&quot;:&quot;article-journal&quot;,&quot;id&quot;:&quot;e077c6a1-1c45-3cfb-92d5-1c87e0247fd8&quot;,&quot;title&quot;:&quot;Effective disclosure in the fast-fashion industry: From sustainability reporting to action&quot;,&quot;author&quot;:[{&quot;family&quot;:&quot;Garcia-Torres&quot;,&quot;given&quot;:&quot;Sofia&quot;,&quot;parse-names&quot;:false,&quot;dropping-particle&quot;:&quot;&quot;,&quot;non-dropping-particle&quot;:&quot;&quot;},{&quot;family&quot;:&quot;Rey-Garcia&quot;,&quot;given&quot;:&quot;Marta&quot;,&quot;parse-names&quot;:false,&quot;dropping-particle&quot;:&quot;&quot;,&quot;non-dropping-particle&quot;:&quot;&quot;},{&quot;family&quot;:&quot;Albareda-Vivo&quot;,&quot;given&quot;:&quot;Laura&quot;,&quot;parse-names&quot;:false,&quot;dropping-particle&quot;:&quot;&quot;,&quot;non-dropping-particle&quot;:&quot;&quot;}],&quot;container-title&quot;:&quot;Sustainability (Switzerland)&quot;,&quot;ISSN&quot;:&quot;20711050&quot;,&quot;issued&quot;:{&quot;date-parts&quot;:[[2017,12,6]]},&quot;abstract&quot;:&quot;This work, set in the context of the apparel industry, proposes an action-oriented disclosure tool to help solve the sustainability challenges of complex fast-fashion supply chains (SCs). In a search for effective disclosure, it focusses on actions towards sustainability instead of the measurements and indicators of its impacts. We applied qualitative and quantitative content analysis to the sustainability reporting of the world's two largest fast-fashion companies in three phases. First, we searched for the challenges that the organisations report they are currently facing. Second, we introduced the United Nations' Sustainable Development Goals (SDGs) framework to overcome the voluntary reporting drawback of 'choosing what to disclose', and revealed orphan issues. This broadened the scope from internal corporate challenges to issues impacting the ecosystems in which companies operate. Third, we analysed the reported sustainability actions and decomposed them into topics, instruments, and actors. The results showed that fast-fashion reporting has a broadly developed analysis base, but lacks action orientation. This has led us to propose the 'Fast-Fashion Sustainability Scorecard' as a universal disclosure framework that shifts the focus from (i) reporting towards action; (ii) financial performance towards sustainable value creation; and (iii) corporate boundaries towards value creation for the broader SC ecosystem.&quot;,&quot;publisher&quot;:&quot;MDPI&quot;,&quot;issue&quot;:&quot;12&quot;,&quot;volume&quot;:&quot;9&quot;,&quot;container-title-short&quot;:&quot;&quot;},&quot;isTemporary&quot;:false},{&quot;id&quot;:&quot;539c779b-785e-3e9e-82a2-e1bb5edd02ba&quot;,&quot;itemData&quot;:{&quot;type&quot;:&quot;article-journal&quot;,&quot;id&quot;:&quot;539c779b-785e-3e9e-82a2-e1bb5edd02ba&quot;,&quot;title&quot;:&quot;Organisational responses to mandatory modern slavery disclosure legislation: a failure of experimentalist governance?&quot;,&quot;author&quot;:[{&quot;family&quot;:&quot;Rogerson&quot;,&quot;given&quot;:&quot;Michael&quot;,&quot;parse-names&quot;:false,&quot;dropping-particle&quot;:&quot;&quot;,&quot;non-dropping-particle&quot;:&quot;&quot;},{&quot;family&quot;:&quot;Crane&quot;,&quot;given&quot;:&quot;Andrew&quot;,&quot;parse-names&quot;:false,&quot;dropping-particle&quot;:&quot;&quot;,&quot;non-dropping-particle&quot;:&quot;&quot;},{&quot;family&quot;:&quot;Soundararajan&quot;,&quot;given&quot;:&quot;Vivek&quot;,&quot;parse-names&quot;:false,&quot;dropping-particle&quot;:&quot;&quot;,&quot;non-dropping-particle&quot;:&quot;&quot;},{&quot;family&quot;:&quot;Grosvold&quot;,&quot;given&quot;:&quot;Johanne&quot;,&quot;parse-names&quot;:false,&quot;dropping-particle&quot;:&quot;&quot;,&quot;non-dropping-particle&quot;:&quot;&quot;},{&quot;family&quot;:&quot;Cho&quot;,&quot;given&quot;:&quot;Charles H.&quot;,&quot;parse-names&quot;:false,&quot;dropping-particle&quot;:&quot;&quot;,&quot;non-dropping-particle&quot;:&quot;&quot;}],&quot;container-title&quot;:&quot;Accounting, Auditing and Accountability Journal&quot;,&quot;DOI&quot;:&quot;10.1108/AAAJ-12-2019-4297&quot;,&quot;ISSN&quot;:&quot;09513574&quot;,&quot;issued&quot;:{&quot;date-parts&quot;:[[2020,10,20]]},&quot;page&quot;:&quot;1505-1534&quot;,&quot;abstract&quot;:&quot;Purpose: This paper investigates how organisations are responding to mandatory modern slavery disclosure legislation. Experimentalist governance suggests that organisations faced with disclosure requirements such as those contained in the UK Modern Slavery Act 2015 will compete with one another, and in doing so, improve compliance. The authors seek to understand whether this is the case. Design/methodology/approach: This study is set in the UK public sector. The authors conduct interviews with over 25% of UK universities that are within the scope of the UK Modern Slavery Act 2015 and examine their reporting and disclosure under that legislation. Findings: The authors find that, contrary to the logic of experimentalist governance, universities' disclosures as reflected in their modern slavery statements are persistently poor on detail, lack variation and have led to little meaningful action to tackle modern slavery. They show that this is due to a herding effect that results in universities responding as a sector rather than independently; a built-in incapacity to effectively manage supply chains; and insufficient attention to the issue at the board level. The authors also identity important boundary conditions of experimentalist governance. Research limitations/implications: The generalisability of the authors’ findings is restricted to the public sector. Practical implications: In contexts where disclosure under the UK Modern Slavery Act 2015 is not a core offering of the sector, and where competition is limited, there is little incentive to engage in a “race to the top” in terms of disclosure. As such, pro-forma compliance prevails and the effectiveness of disclosure as a tool to drive change in supply chains to safeguard workers is relatively ineffective. Instead, organisations must develop better knowledge of their supply chains and executives and a more critical eye for modern slavery to be combatted effectively. Accountants and their systems and skills can facilitate this development. Originality/value: This is the first investigation of the organisational processes and activities which underpin disclosures related to modern slavery disclosure legislation. This paper contributes to the accounting and disclosure modern slavery literature by investigating public sector organisations' processes, activities and responses to mandatory reporting legislation on modern slavery.&quot;,&quot;publisher&quot;:&quot;Emerald Group Holdings Ltd.&quot;,&quot;issue&quot;:&quot;7&quot;,&quot;volume&quot;:&quot;33&quot;,&quot;container-title-short&quot;:&quot;&quot;},&quot;isTemporary&quot;:false},{&quot;id&quot;:&quot;52a860ee-800c-3e92-809b-b28d3676f667&quot;,&quot;itemData&quot;:{&quot;type&quot;:&quot;webpage&quot;,&quot;id&quot;:&quot;52a860ee-800c-3e92-809b-b28d3676f667&quot;,&quot;title&quot;:&quot;German parliament passes mandatory human rights due diligence law - Business &amp; Human Rights Resource Centre&quot;,&quot;author&quot;:[{&quot;family&quot;:&quot;Business &amp; Human rights resource centre&quot;,&quot;given&quot;:&quot;&quot;,&quot;parse-names&quot;:false,&quot;dropping-particle&quot;:&quot;&quot;,&quot;non-dropping-particle&quot;:&quot;&quot;}],&quot;accessed&quot;:{&quot;date-parts&quot;:[[2023,1,19]]},&quot;URL&quot;:&quot;https://www.business-humanrights.org/en/latest-news/german-due-diligence-law/&quot;,&quot;issued&quot;:{&quot;date-parts&quot;:[[2023]]},&quot;container-title-short&quot;:&quot;&quot;},&quot;isTemporary&quot;:false},{&quot;id&quot;:&quot;b76e474c-fb38-343a-bcea-f1e4094870fc&quot;,&quot;itemData&quot;:{&quot;type&quot;:&quot;article-journal&quot;,&quot;id&quot;:&quot;b76e474c-fb38-343a-bcea-f1e4094870fc&quot;,&quot;title&quot;:&quot;Government Regulation of International Corporate Social Responsibility in the US and the UK: How Domestic Institutions Shape Mandatory and Supportive Initiatives&quot;,&quot;author&quot;:[{&quot;family&quot;:&quot;Knudsen&quot;,&quot;given&quot;:&quot;Jette Steen&quot;,&quot;parse-names&quot;:false,&quot;dropping-particle&quot;:&quot;&quot;,&quot;non-dropping-particle&quot;:&quot;&quot;}],&quot;container-title&quot;:&quot;British Journal of Industrial Relations&quot;,&quot;container-title-short&quot;:&quot;Br J Ind Relat&quot;,&quot;DOI&quot;:&quot;10.1111/bjir.12253&quot;,&quot;ISSN&quot;:&quot;14678543&quot;,&quot;issued&quot;:{&quot;date-parts&quot;:[[2018,3,1]]},&quot;page&quot;:&quot;164-188&quot;,&quot;abstract&quot;:&quot;While most scholarship on corporate social responsibility (CSR) focuses on company-level CSR initiatives, it increasingly also examines government programs for CSR. However, research on how governments contribute to CSR has mainly focused on domestic and not international CSR challenges. This literature also does not specify whether governments shape CSR through mandatory regulation or supportive initiatives. This article adopts a process-tracing approach to determine how governments regulate international CSR. It demonstrates that the legal and political systems in the liberal market economies of the UK and the US lead to different forms of public CSR regulation — notably in the areas of labour standards in apparel and tax transparency in extractives. The UK government has been more likely to support bottom-up collaborative multi-stakeholder initiatives, whereas the US government has favoured top-down mandatory regulation.&quot;,&quot;publisher&quot;:&quot;Blackwell Publishing Ltd&quot;,&quot;issue&quot;:&quot;1&quot;,&quot;volume&quot;:&quot;56&quot;},&quot;isTemporary&quot;:false}],&quot;citationTag&quot;:&quot;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&quot;},{&quot;citationID&quot;:&quot;MENDELEY_CITATION_fe7e8ac4-15b5-4780-b4de-c42caa8a90f6&quot;,&quot;properties&quot;:{&quot;noteIndex&quot;:0},&quot;isEdited&quot;:false,&quot;manualOverride&quot;:{&quot;isManuallyOverridden&quot;:true,&quot;citeprocText&quot;:&quot;(Walk Free, 2016; Walk Free Foundation, 2018)&quot;,&quot;manualOverrideText&quot;:&quot;(Walk Free, 2016, 2018b)&quot;},&quot;citationItems&quot;:[{&quot;id&quot;:&quot;94a75878-c583-38cd-8838-0919ba0c670a&quot;,&quot;itemData&quot;:{&quot;type&quot;:&quot;report&quot;,&quot;id&quot;:&quot;94a75878-c583-38cd-8838-0919ba0c670a&quot;,&quot;title&quot;:&quot;The global slavery index&quot;,&quot;author&quot;:[{&quot;family&quot;:&quot;Walk Free Foundation&quot;,&quot;given&quot;:&quot;&quot;,&quot;parse-names&quot;:false,&quot;dropping-particle&quot;:&quot;&quot;,&quot;non-dropping-particle&quot;:&quot;&quot;}],&quot;accessed&quot;:{&quot;date-parts&quot;:[[2022,6,19]]},&quot;URL&quot;:&quot;https://www.globalslaveryindex.org/&quot;,&quot;issued&quot;:{&quot;date-parts&quot;:[[2016]]},&quot;container-title-short&quot;:&quot;&quot;},&quot;isTemporary&quot;:false},{&quot;id&quot;:&quot;5d6d5e53-c11e-37a9-b3b5-721909e7763f&quot;,&quot;itemData&quot;:{&quot;type&quot;:&quot;report&quot;,&quot;id&quot;:&quot;5d6d5e53-c11e-37a9-b3b5-721909e7763f&quot;,&quot;title&quot;:&quot;The global slavery index&quot;,&quot;author&quot;:[{&quot;family&quot;:&quot;Walk Free Foundation&quot;,&quot;given&quot;:&quot;&quot;,&quot;parse-names&quot;:false,&quot;dropping-particle&quot;:&quot;&quot;,&quot;non-dropping-particle&quot;:&quot;&quot;}],&quot;accessed&quot;:{&quot;date-parts&quot;:[[2022,8,8]]},&quot;URL&quot;:&quot;https://www.walkfree.org/projects/the-global-slavery-index/&quot;,&quot;issued&quot;:{&quot;date-parts&quot;:[[2018]]},&quot;container-title-short&quot;:&quot;&quot;},&quot;isTemporary&quot;:false}],&quot;citationTag&quot;:&quot;MENDELEY_CITATION_v3_eyJjaXRhdGlvbklEIjoiTUVOREVMRVlfQ0lUQVRJT05fZmU3ZThhYzQtMTViNS00NzgwLWI0ZGUtYzQyY2FhOGE5MGY2IiwicHJvcGVydGllcyI6eyJub3RlSW5kZXgiOjB9LCJpc0VkaXRlZCI6ZmFsc2UsIm1hbnVhbE92ZXJyaWRlIjp7ImlzTWFudWFsbHlPdmVycmlkZGVuIjp0cnVlLCJjaXRlcHJvY1RleHQiOiIoV2FsayBGcmVlLCAyMDE2OyBXYWxrIEZyZWUgRm91bmRhdGlvbiwgMjAxOCkiLCJtYW51YWxPdmVycmlkZVRleHQiOiIoV2FsayBGcmVlLCAyMDE2LCAyMDE4Yik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LHsiaWQiOiI1ZDZkNWU1My1jMTFlLTM3YTktYjNiNS03MjE5MDllNzc2M2YiLCJpdGVtRGF0YSI6eyJ0eXBlIjoicmVwb3J0IiwiaWQiOiI1ZDZkNWU1My1jMTFlLTM3YTktYjNiNS03MjE5MDllNzc2M2YiLCJ0aXRsZSI6IlRoZSBnbG9iYWwgc2xhdmVyeSBpbmRleCIsImF1dGhvciI6W3siZmFtaWx5IjoiV2FsayBGcmVlIEZvdW5kYXRpb24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Y29udGFpbmVyLXRpdGxlLXNob3J0IjoiIn0sImlzVGVtcG9yYXJ5IjpmYWxzZX1dfQ==&quot;},{&quot;citationID&quot;:&quot;MENDELEY_CITATION_0caf1e8b-c9a8-4215-b437-ec59d344e327&quot;,&quot;properties&quot;:{&quot;noteIndex&quot;:0},&quot;isEdited&quot;:false,&quot;manualOverride&quot;:{&quot;isManuallyOverridden&quot;:false,&quot;citeprocText&quot;:&quot;(Patrinos and Psacharopoulos, 1997)&quot;,&quot;manualOverrideText&quot;:&quot;&quot;},&quot;citationItems&quot;:[{&quot;id&quot;:&quot;a81d3a62-0f52-3ad9-bf06-d947c9e12bc4&quot;,&quot;itemData&quot;:{&quot;type&quot;:&quot;article-journal&quot;,&quot;id&quot;:&quot;a81d3a62-0f52-3ad9-bf06-d947c9e12bc4&quot;,&quot;title&quot;:&quot;Family size, schooling and child labour in Peru-An empirical analysis&quot;,&quot;author&quot;:[{&quot;family&quot;:&quot;Patrinos&quot;,&quot;given&quot;:&quot;Harry Anthony&quot;,&quot;parse-names&quot;:false,&quot;dropping-particle&quot;:&quot;&quot;,&quot;non-dropping-particle&quot;:&quot;&quot;},{&quot;family&quot;:&quot;Psacharopoulos&quot;,&quot;given&quot;:&quot;George&quot;,&quot;parse-names&quot;:false,&quot;dropping-particle&quot;:&quot;&quot;,&quot;non-dropping-particle&quot;:&quot;&quot;}],&quot;container-title&quot;:&quot;J Popul Econ&quot;,&quot;accessed&quot;:{&quot;date-parts&quot;:[[2023,4,13]]},&quot;issued&quot;:{&quot;date-parts&quot;:[[1997]]},&quot;page&quot;:&quot;387-405&quot;,&quot;abstract&quot;:&quot;This paper analyzes the effects of being indigenous, number of siblings, sibling activities and sibling age structure on child schooling progress and child non-school activity. The analysis is based on the Peru 1991 Living Standards Survey. The analysis shows that family size is important. However, the analysis also demonstrates the importance of taking into consideration the activities of siblings. The number of siblings not entrolled in school proves to be an important control variable in at least one specification of the empirical model. However, more research is needed on the interactions between siblings, their activities and their age structure. In other words, an attempt must be made to find ways of taking into account the \&quot;life cycle effects\&quot; of one's siblings on their schooling performance and labor force activity. The analysis also shows that the age structure of siblings is important, but in conjunction with their activities. That is, having a greater number of younger siblings implies less schooling, more age-grade distortion in the classroom and more child labor. JEL classification: J 22, J 23, I 21&quot;,&quot;volume&quot;:&quot;10&quot;,&quot;container-title-short&quot;:&quot;&quot;},&quot;isTemporary&quot;:false}],&quot;citationTag&quot;:&quot;MENDELEY_CITATION_v3_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&quot;},{&quot;citationID&quot;:&quot;MENDELEY_CITATION_c85d90fe-961e-4527-a4af-b5a54a462d9b&quot;,&quot;properties&quot;:{&quot;noteIndex&quot;:0},&quot;isEdited&quot;:false,&quot;manualOverride&quot;:{&quot;isManuallyOverridden&quot;:false,&quot;citeprocText&quot;:&quot;(Brown, 1996)&quot;,&quot;manualOverrideText&quot;:&quot;&quot;},&quot;citationItems&quot;:[{&quot;id&quot;:&quot;be50d8e0-53c8-3b79-9db7-0abc5024e939&quot;,&quot;itemData&quot;:{&quot;type&quot;:&quot;book&quot;,&quot;id&quot;:&quot;be50d8e0-53c8-3b79-9db7-0abc5024e939&quot;,&quot;title&quot;:&quot;International Labour Standards and Trade: A Theoretical Analysis&quot;,&quot;author&quot;:[{&quot;family&quot;:&quot;Brown&quot;,&quot;given&quot;:&quot;Drusilla K&quot;,&quot;parse-names&quot;:false,&quot;dropping-particle&quot;:&quot;&quot;,&quot;non-dropping-particle&quot;:&quot;&quot;}],&quot;container-title&quot;:&quot;Brown, D. K., Deardorff, A. V., &amp; Stern, R. M. (1996). International labor standards and trade: a theoretical analysis. In J. Bhagwati &amp; R. Hudec (Eds.), Eco- nomic analysis (Vol. 1). Fair trade and harmonization: prerequisites for free trade? (pp. 227–2…&quot;,&quot;accessed&quot;:{&quot;date-parts&quot;:[[2023,4,13]]},&quot;editor&quot;:[{&quot;family&quot;:&quot;J. Bhagwati&quot;,&quot;given&quot;:&quot;&quot;,&quot;parse-names&quot;:false,&quot;dropping-particle&quot;:&quot;&quot;,&quot;non-dropping-particle&quot;:&quot;&quot;},{&quot;family&quot;:&quot;R. Hudec&quot;,&quot;given&quot;:&quot;&quot;,&quot;parse-names&quot;:false,&quot;dropping-particle&quot;:&quot;&quot;,&quot;non-dropping-particle&quot;:&quot;&quot;}],&quot;URL&quot;:&quot;https://www.researchgate.net/publication/5174783&quot;,&quot;issued&quot;:{&quot;date-parts&quot;:[[1996]]},&quot;publisher-place&quot;:&quot;Cam- bridge, MA&quot;,&quot;number-of-pages&quot;:&quot;227-280&quot;,&quot;publisher&quot;:&quot;Cambridge University Pres&quot;,&quot;volume&quot;:&quot;1&quot;,&quot;container-title-short&quot;:&quot;&quot;},&quot;isTemporary&quot;:false}],&quot;citationTag&quot;:&quot;MENDELEY_CITATION_v3_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&quot;},{&quot;citationID&quot;:&quot;MENDELEY_CITATION_6c0da84e-5d02-4a7c-a8b8-50bdd605c77b&quot;,&quot;properties&quot;:{&quot;noteIndex&quot;:0},&quot;isEdited&quot;:false,&quot;manualOverride&quot;:{&quot;isManuallyOverridden&quot;:false,&quot;citeprocText&quot;:&quot;(Global Reporting Initiative (GRI) and Responsible Labour Initiative (RLI), 2019)&quot;,&quot;manualOverrideText&quot;:&quot;&quot;},&quot;citationItems&quot;:[{&quot;id&quot;:&quot;6965598b-b91e-35d7-8c91-0351a9535c4a&quot;,&quot;itemData&quot;:{&quot;type&quot;:&quot;report&quot;,&quot;id&quot;:&quot;6965598b-b91e-35d7-8c91-0351a9535c4a&quot;,&quot;title&quot;:&quot;Advancing modern slavery reporting to meet stakeholder expectations&quot;,&quot;author&quot;:[{&quot;family&quot;:&quot;Global Reporting Initiative (GRI)&quot;,&quot;given&quot;:&quot;&quot;,&quot;parse-names&quot;:false,&quot;dropping-particle&quot;:&quot;&quot;,&quot;non-dropping-particle&quot;:&quot;&quot;},{&quot;family&quot;:&quot;Responsible Labour Initiative (RLI)&quot;,&quot;given&quot;:&quot;&quot;,&quot;parse-names&quot;:false,&quot;dropping-particle&quot;:&quot;&quot;,&quot;non-dropping-particle&quot;:&quot;&quot;}],&quot;issued&quot;:{&quot;date-parts&quot;:[[2019]]},&quot;number-of-pages&quot;:&quot;1-36&quot;,&quot;container-title-short&quot;:&quot;&quot;},&quot;isTemporary&quot;:false}],&quot;citationTag&quot;:&quot;MENDELEY_CITATION_v3_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&quot;},{&quot;citationID&quot;:&quot;MENDELEY_CITATION_904f22bc-6cea-4784-9e16-41ff415e98c4&quot;,&quot;properties&quot;:{&quot;noteIndex&quot;:0},&quot;isEdited&quot;:false,&quot;manualOverride&quot;:{&quot;isManuallyOverridden&quot;:false,&quot;citeprocText&quot;:&quot;(Schneider and Scherer, 2019)&quot;,&quot;manualOverrideText&quot;:&quot;&quot;},&quot;citationItems&quot;:[{&quot;id&quot;:&quot;03908ef2-024f-396b-a325-7d19a2c2edf1&quot;,&quot;itemData&quot;:{&quot;type&quot;:&quot;article-journal&quot;,&quot;id&quot;:&quot;03908ef2-024f-396b-a325-7d19a2c2edf1&quot;,&quot;title&quot;:&quot;State Governance Beyond the ‘Shadow of Hierarchy’: A social mechanisms perspective on governmental CSR policies&quot;,&quot;author&quot;:[{&quot;family&quot;:&quot;Schneider&quot;,&quot;given&quot;:&quot;Anselm&quot;,&quot;parse-names&quot;:false,&quot;dropping-particle&quot;:&quot;&quot;,&quot;non-dropping-particle&quot;:&quot;&quot;},{&quot;family&quot;:&quot;Scherer&quot;,&quot;given&quot;:&quot;Andreas Georg&quot;,&quot;parse-names&quot;:false,&quot;dropping-particle&quot;:&quot;&quot;,&quot;non-dropping-particle&quot;:&quot;&quot;}],&quot;container-title&quot;:&quot;Organization Studies&quot;,&quot;ISSN&quot;:&quot;17413044&quot;,&quot;issued&quot;:{&quot;date-parts&quot;:[[2019]]},&quot;page&quot;:&quot;1147-1168&quot;,&quot;abstract&quot;:&quot;The extent to which state authorities can regulate the externalities and the behaviour of multinational corporations (MNCs) is limited. This is especially true when MNCs operate in or do business with fragile states that lack the willingness and/or resources to effectively and legitimately regulate businesses. However, MNCs often engage in private regulation to remedy some of the problems that unregulated business behaviour creates. In this article we examine what limits the effectiveness and legitimacy of the contributions made by MNCs to global governance. We explore the mechanisms that state authorities in functioning states can use to overcome these barriers as well as the boundary conditions of these mechanisms at both company and government levels. We provide a framework for governmental CSR policies and describe the ways in which functioning states engage in governance beyond the ‘shadow of hierarchy’ and directly or indirectly influence business conduct beyond the territory in which their legal regulations can be enforced.&quot;,&quot;issue&quot;:&quot;8&quot;,&quot;volume&quot;:&quot;40&quot;,&quot;container-title-short&quot;:&quot;&quot;},&quot;isTemporary&quot;:false}],&quot;citationTag&quot;:&quot;MENDELEY_CITATION_v3_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&quot;},{&quot;citationID&quot;:&quot;MENDELEY_CITATION_2d4ed481-ff36-458e-9af8-5934dbd4ced8&quot;,&quot;properties&quot;:{&quot;noteIndex&quot;:0},&quot;isEdited&quot;:false,&quot;manualOverride&quot;:{&quot;isManuallyOverridden&quot;:false,&quot;citeprocText&quot;:&quot;(Clarke and Boersma, 2017)&quot;,&quot;manualOverrideText&quot;:&quot;&quot;},&quot;citationItems&quot;:[{&quot;id&quot;:&quot;b03dccf8-87cf-3942-ba95-91c1892cd0ae&quot;,&quot;itemData&quot;:{&quot;type&quot;:&quot;article-journal&quot;,&quot;id&quot;:&quot;b03dccf8-87cf-3942-ba95-91c1892cd0ae&quot;,&quot;title&quot;:&quot;The Governance of Global Value Chains: Unresolved Human Rights, Environmental and Ethical Dilemmas in the Apple Supply Chain&quot;,&quot;author&quot;:[{&quot;family&quot;:&quot;Clarke&quot;,&quot;given&quot;:&quot;Thomas&quot;,&quot;parse-names&quot;:false,&quot;dropping-particle&quot;:&quot;&quot;,&quot;non-dropping-particle&quot;:&quot;&quot;},{&quot;family&quot;:&quot;Boersma&quot;,&quot;given&quot;:&quot;Martijn&quot;,&quot;parse-names&quot;:false,&quot;dropping-particle&quot;:&quot;&quot;,&quot;non-dropping-particle&quot;:&quot;&quot;}],&quot;container-title&quot;:&quot;Journal of Business Ethics&quot;,&quot;issued&quot;:{&quot;date-parts&quot;:[[2017]]},&quot;page&quot;:&quot;111-131&quot;,&quot;abstract&quot;:&quot;The continued advance of global value chains as the mode of production for an increasing number of goods and services has impacted considerably on the economies and societies both of the developed world and the emerging economies. Although there have been many efforts at reform there is evidence of unresolved dilemmas of human rights, environmental issues and ethical dilemmas in the operation of the global value chain. This paper focuses on the role and performance of Apple Inc in the global value chain in Asia. Apple is the most successful corporation on earth measured in financial terms and yet has failed to find a solution to recurrent employment and environmental problems occurring in plants manufacturing Apple components. This analysis informs the current theoretical debate on the development of the global value chain and the continuing institutional failure that leaves employees vulnerable and the environment neglected.&quot;,&quot;issue&quot;:&quot;1&quot;,&quot;volume&quot;:&quot;143&quot;,&quot;container-title-short&quot;:&quot;&quot;},&quot;isTemporary&quot;:false}],&quot;citationTag&quot;:&quot;MENDELEY_CITATION_v3_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&quot;},{&quot;citationID&quot;:&quot;MENDELEY_CITATION_a49ca5fd-8f4b-4845-b40a-596820f34c04&quot;,&quot;properties&quot;:{&quot;noteIndex&quot;:0},&quot;isEdited&quot;:false,&quot;manualOverride&quot;:{&quot;isManuallyOverridden&quot;:true,&quot;citeprocText&quot;:&quot;(Islam &lt;i&gt;et al.&lt;/i&gt;, 2021)&quot;,&quot;manualOverrideText&quot;:&quot;Islam, Deegan and Haque, 2021)&quot;},&quot;citationItems&quot;:[{&quot;id&quot;:&quot;f756380b-1b6c-38cb-8a55-80fec27f7cf1&quot;,&quot;itemData&quot;:{&quot;type&quot;:&quot;article-journal&quot;,&quot;id&quot;:&quot;f756380b-1b6c-38cb-8a55-80fec27f7cf1&quot;,&quot;title&quot;:&quot;Corporate human rights performance and moral power: A study of retail MNCs’ supply chains in Bangladesh&quot;,&quot;author&quot;:[{&quot;family&quot;:&quot;Islam&quot;,&quot;given&quot;:&quot;Muhammad Azizul&quot;,&quot;parse-names&quot;:false,&quot;dropping-particle&quot;:&quot;&quot;,&quot;non-dropping-particle&quot;:&quot;&quot;},{&quot;family&quot;:&quot;Deegan&quot;,&quot;given&quot;:&quot;Craig&quot;,&quot;parse-names&quot;:false,&quot;dropping-particle&quot;:&quot;&quot;,&quot;non-dropping-particle&quot;:&quot;&quot;},{&quot;family&quot;:&quot;Haque&quot;,&quot;given&quot;:&quot;Shamima&quot;,&quot;parse-names&quot;:false,&quot;dropping-particle&quot;:&quot;&quot;,&quot;non-dropping-particle&quot;:&quot;&quot;}],&quot;container-title&quot;:&quot;Critical Perspectives on Accounting&quot;,&quot;issued&quot;:{&quot;date-parts&quot;:[[2021,1,1]]},&quot;page&quot;:&quot;102163&quot;,&quot;abstract&quot;:&quot;This paper investigates how particular stakeholder groups, such as labor rights non-governmental organizations (NGOs), question and even challenge the moral power of multinational companies (MNCs) to maintain human rights in their supply chains in Bangladesh. Around the time of two major factory disasters in Bangladesh (the Tarzeen fire and the Rana Plaza collapse in 2012 and 2013, respectively) we conducted a series of interviews (between 2012 and 2014) and reviewed articles in news media and NGO documents to understand how labor rights NGOs’ narratives challenge MNCs and their suppliers’ actual human rights performance and associated moral power within clothing supply chains. The findings show that MNCs’ and their suppliers’ workplace human rights performance in Bangladesh, as perceived by labor rights NGOs, is inconsistent with MNCs’ public disclosures on human rights. The NGOs’ counter-narratives testify to MNCs’ and their suppliers’ abuses of human rights and the associated moral deficit. This study draws on the notion of moral power in line with Aristotle's view of the moral actor and adds to Mehta and Winship (2010) three essential aspects of moral power – moral intention, moral capability and moral standing – by providing a new insight that suggests that MNCs and their suppliers in the developing nation context of Bangladesh lack the moral intention, moral capability and moral standing to uphold workplace human rights. We note that gaining these richer insights are possible because we directly solicit the views of NGOs and social movement organizations. The paper fills a research gap by looking at whether the adoption of the language of human rights obligations by MNCs creates any change in their moral power and human rights performance, as perceived by workers’ rights NGOs.&quot;,&quot;publisher&quot;:&quot;Elsevier Ltd&quot;,&quot;volume&quot;:&quot;74&quot;,&quot;container-title-short&quot;:&quot;&quot;},&quot;isTemporary&quot;:false}],&quot;citationTag&quot;:&quot;MENDELEY_CITATION_v3_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&quot;},{&quot;citationID&quot;:&quot;MENDELEY_CITATION_0d8381b9-9378-4957-8a05-e447f112d0bf&quot;,&quot;properties&quot;:{&quot;noteIndex&quot;:0},&quot;isEdited&quot;:false,&quot;manualOverride&quot;:{&quot;isManuallyOverridden&quot;:true,&quot;citeprocText&quot;:&quot;(Ahmad &lt;i&gt;et al.&lt;/i&gt;, 2023)&quot;,&quot;manualOverrideText&quot;:&quot;Ahmad et al. (2023)&quot;},&quot;citationItems&quot;:[{&quot;id&quot;:&quot;2434b3b7-2e5c-3ae6-8b89-6c65b6219c2e&quot;,&quot;itemData&quot;:{&quot;type&quot;:&quot;article-journal&quot;,&quot;id&quot;:&quot;2434b3b7-2e5c-3ae6-8b89-6c65b6219c2e&quot;,&quot;title&quot;:&quot;Modern slavery disclosure regulations in the global supply Chain: A world-systems perspective&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Muhammad Azizul&quot;,&quot;parse-names&quot;:false,&quot;dropping-particle&quot;:&quot;&quot;,&quot;non-dropping-particle&quot;:&quot;&quot;}],&quot;container-title&quot;:&quot;Critical Perspectives on Accounting&quot;,&quot;DOI&quot;:&quot;10.1016/j.cpa.2023.102677&quot;,&quot;ISSN&quot;:&quot;10959955&quot;,&quot;issued&quot;:{&quot;date-parts&quot;:[[2023]]},&quot;abstract&quot;:&quot;This study provides a linguistic analysis of three modern slavery disclosure regulations, the California Transparency in the Supply Chain Act (CTSCA) 2010, section 54 of the UK Modern Slavery Act 2015 and the Australian Modern Slavery Act 2018. These regulations require companies to report their actions to tackle labour exploitation within global supply chains. Based on World-System Theory (WST: Wallerstein, 1975, 1979, 2015) and by relying on Critical Discourse Analysis (CDA), we examined the disclosure regulations and found that the texts of and discourses around the regulations are not neutral and allow social wrongs to continue in global supply chains. Although regulators claim modern slavery disclosure regulations to be a step in the right direction, our investigation reveals a different picture: the linguistic features of the regulations support the perpetuating risk of modern slavery in global supply chains based in the periphery countries. We argue that changing the current global power structure/system is necessary to address the grand challenges of regulating modern slavery. There is a need for disclosure regime that can protect vulnerable communities, including workers in the global supply chains.&quot;,&quot;publisher&quot;:&quot;Academic Press&quot;,&quot;container-title-short&quot;:&quot;&quot;},&quot;isTemporary&quot;:false}],&quot;citationTag&quot;:&quot;MENDELEY_CITATION_v3_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&quot;},{&quot;citationID&quot;:&quot;MENDELEY_CITATION_d7f16b64-3a41-476c-8caf-2a0c518e747f&quot;,&quot;properties&quot;:{&quot;noteIndex&quot;:0},&quot;isEdited&quot;:false,&quot;manualOverride&quot;:{&quot;isManuallyOverridden&quot;:false,&quot;citeprocText&quot;:&quot;(Albitar &lt;i&gt;et al.&lt;/i&gt;, 2025; Crane &lt;i&gt;et al.&lt;/i&gt;, 2022; Muthuthantrige &lt;i&gt;et al.&lt;/i&gt;, 2026)&quot;,&quot;manualOverrideText&quot;:&quot;&quot;},&quot;citationItems&quot;:[{&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id&quot;:&quot;7c9e40cb-f257-3538-acd3-432a5808e9e8&quot;,&quot;itemData&quot;:{&quot;type&quot;:&quot;article-journal&quot;,&quot;id&quot;:&quot;7c9e40cb-f257-3538-acd3-432a5808e9e8&quot;,&quot;title&quot;:&quot;Confronting the Business Models of Modern Slavery&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Phung&quot;,&quot;given&quot;:&quot;Kam&quot;,&quot;parse-names&quot;:false,&quot;dropping-particle&quot;:&quot;&quot;,&quot;non-dropping-particle&quot;:&quot;&quot;},{&quot;family&quot;:&quot;Behbahani&quot;,&quot;given&quot;:&quot;Laya&quot;,&quot;parse-names&quot;:false,&quot;dropping-particle&quot;:&quot;&quot;,&quot;non-dropping-particle&quot;:&quot;&quot;},{&quot;family&quot;:&quot;Allain&quot;,&quot;given&quot;:&quot;Jean&quot;,&quot;parse-names&quot;:false,&quot;dropping-particle&quot;:&quot;&quot;,&quot;non-dropping-particle&quot;:&quot;&quot;}],&quot;container-title&quot;:&quot;Journal of Management Inquiry&quot;,&quot;DOI&quot;:&quot;10.1177/1056492621994904&quot;,&quot;ISSN&quot;:&quot;15526542&quot;,&quot;issued&quot;:{&quot;date-parts&quot;:[[2022,7,1]]},&quot;page&quot;:&quot;264-285&quot;,&quot;abstract&quot;:&quot;Despite growing attention from companies and regulators looking to eradicate modern slavery, we know little about how slavery works from a business perspective. We address this gap by empirically examining innovations in the business models of modern slavery, focusing on how the business models of slavery in advanced economies have evolved since slavery was legally abolished. While continuities exist, novel business models have emerged based on new actors, activities, and linkages. We categorize these as four innovative models per actors involved (producer/intermediary) and how value is created and captured (revenue generation/cost reduction), and discuss implications for research, policy, and practice.&quot;,&quot;publisher&quot;:&quot;SAGE Publications Inc.&quot;,&quot;issue&quot;:&quot;3&quot;,&quot;volume&quot;:&quot;31&quot;,&quot;container-title-short&quot;:&quot;&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ZDdmMTZiNjQtM2E0MS00NzZjLThjYWYtMmEwYzUxOGU3NDdmIiwicHJvcGVydGllcyI6eyJub3RlSW5kZXgiOjB9LCJpc0VkaXRlZCI6ZmFsc2UsIm1hbnVhbE92ZXJyaWRlIjp7ImlzTWFudWFsbHlPdmVycmlkZGVuIjpmYWxzZSwiY2l0ZXByb2NUZXh0IjoiKEFsYml0YXIgPGk+ZXQgYWwuPC9pPiwgMjAyNTsgQ3JhbmUgPGk+ZXQgYWwuPC9pPiwgMjAyMjsgTXV0aHV0aGFudHJpZ2UgPGk+ZXQgYWwuPC9pPiwgMjAyNi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I3YzllNDBjYi1mMjU3LTM1MzgtYWNkMy00MzJhNTgwOGU5ZTgiLCJpdGVtRGF0YSI6eyJ0eXBlIjoiYXJ0aWNsZS1qb3VybmFsIiwiaWQiOiI3YzllNDBjYi1mMjU3LTM1MzgtYWNkMy00MzJhNTgwOGU5ZTgiLCJ0aXRsZSI6IkNvbmZyb250aW5nIHRoZSBCdXNpbmVzcyBNb2RlbHMgb2YgTW9kZXJuIFNsYXZlcnk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38602b9f-a07d-4219-ad9c-b076f34a1389&quot;,&quot;properties&quot;:{&quot;noteIndex&quot;:0},&quot;isEdited&quot;:false,&quot;manualOverride&quot;:{&quot;isManuallyOverridden&quot;:false,&quot;citeprocText&quot;:&quot;(Alkhadra &lt;i&gt;et al.&lt;/i&gt;, 2023; Allam &lt;i&gt;et al.&lt;/i&gt;, 2024; Moussa &lt;i&gt;et al.&lt;/i&gt;, 2022)&quot;,&quot;manualOverrideText&quot;:&quot;&quot;},&quot;citationItems&quot;:[{&quot;id&quot;:&quot;f5a9a8fc-7ab6-3de2-89bd-bc7b28f356d4&quot;,&quot;itemData&quot;:{&quot;type&quot;:&quot;article-journal&quot;,&quot;id&quot;:&quot;f5a9a8fc-7ab6-3de2-89bd-bc7b28f356d4&quot;,&quot;title&quot;:&quot;Relationship of ethical leadership, organizational culture, corporate social responsibility and organizational performance: a test of two mediation models&quot;,&quot;author&quot;:[{&quot;family&quot;:&quot;Alkhadra&quot;,&quot;given&quot;:&quot;Wafa Awni&quot;,&quot;parse-names&quot;:false,&quot;dropping-particle&quot;:&quot;&quot;,&quot;non-dropping-particle&quot;:&quot;&quot;},{&quot;family&quot;:&quot;Khawaldeh&quot;,&quot;given&quot;:&quot;Sadam&quot;,&quot;parse-names&quot;:false,&quot;dropping-particle&quot;:&quot;&quot;,&quot;non-dropping-particle&quot;:&quot;&quot;},{&quot;family&quot;:&quot;Aldehayyat&quot;,&quot;given&quot;:&quot;Jehad&quot;,&quot;parse-names&quot;:false,&quot;dropping-particle&quot;:&quot;&quot;,&quot;non-dropping-particle&quot;:&quot;&quot;}],&quot;container-title&quot;:&quot;International Journal of Ethics and Systems&quot;,&quot;DOI&quot;:&quot;10.1108/IJOES-05-2022-0092&quot;,&quot;ISSN&quot;:&quot;2514-9369&quot;,&quot;issued&quot;:{&quot;date-parts&quot;:[[2023,10,31]]},&quot;page&quot;:&quot;737-760&quot;,&quot;issue&quot;:&quot;4&quot;,&quot;volume&quot;:&quot;39&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2de4fa4d-f39d-3557-a984-028d685abebb&quot;,&quot;itemData&quot;:{&quot;type&quot;:&quot;article-journal&quot;,&quot;id&quot;:&quot;2de4fa4d-f39d-3557-a984-028d685abebb&quot;,&quot;title&quot;:&quot;Examining the relationship between CEO power and modern slavery disclosures: The moderating role of board gender diversity in UK companies&quot;,&quot;author&quot;:[{&quot;family&quot;:&quot;Allam&quot;,&quot;given&quot;:&quot;Amir&quot;,&quot;parse-names&quot;:false,&quot;dropping-particle&quot;:&quot;&quot;,&quot;non-dropping-particle&quot;:&quot;&quot;},{&quot;family&quot;:&quot;Moussa&quot;,&quot;given&quot;:&quot;Tantawy&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DOI&quot;:&quot;10.1002/bse.3910&quot;,&quot;ISSN&quot;:&quot;0964-4733&quot;,&quot;URL&quot;:&quot;https://onlinelibrary.wiley.com/doi/10.1002/bse.3910&quot;,&quot;issued&quot;:{&quot;date-parts&quot;:[[2024,8,11]]},&quot;abstract&quot;:&quot;&lt;p&gt;Drawing on agency and gender socialisation theories, this study examines the effect of Chief Executive Officer (CEO) power on corporate modern slavery disclosures (MSD) and investigates whether board gender diversity might influence this relationship. Based on a sample comprising the Financial Times Stock Exchange (FTSE) 100 companies from 2016 to 2020, the findings indicate that, although there has been progress in corporate transparency concerning modern slavery, a significant gap persists in the reporting on the measurement and monitoring of the effectiveness of their policies. This may stem from powerful CEOs' desires to maintain a positive corporate image, leading to minimal disclosure of potentially damaging information. The fixed effects panel regression analysis reveals a negative relationship between CEO power (CEOP) and the extent of modern slavery disclosures (MSD), with a significant moderating effect observed when female board representation is substantial. This evidence suggests that female board members may challenge groupthink and introduce diverse perspectives that can alter the board's dynamics, potentially mitigating the negative impact of CEOP on issues like modern slavery disclosure by encouraging more ethical and collective decision‐making. This research underscores the need for greater transparency and accountability in addressing modern slavery and promoting more responsible business practices.&lt;/p&gt;&quot;},&quot;isTemporary&quot;:false}],&quot;citationTag&quot;:&quot;MENDELEY_CITATION_v3_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V19&quot;},{&quot;citationID&quot;:&quot;MENDELEY_CITATION_94501c33-5eb6-45e5-a143-168a66f3a98f&quot;,&quot;properties&quot;:{&quot;noteIndex&quot;:0},&quot;isEdited&quot;:false,&quot;manualOverride&quot;:{&quot;isManuallyOverridden&quot;:false,&quot;citeprocText&quot;:&quot;(Crane &lt;i&gt;et al.&lt;/i&gt;, 2019b; Gold &lt;i&gt;et al.&lt;/i&gt;, 2015)&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9fd63b9d-cce2-3c92-b69a-27202a3255d1&quot;,&quot;itemData&quot;:{&quot;type&quot;:&quot;article-journal&quot;,&quot;id&quot;:&quot;9fd63b9d-cce2-3c92-b69a-27202a3255d1&quot;,&quot;title&quot;:&quot;Modern slavery challenges to supply chain management&quot;,&quot;author&quot;:[{&quot;family&quot;:&quot;Gold&quot;,&quot;given&quot;:&quot;Stefan&quot;,&quot;parse-names&quot;:false,&quot;dropping-particle&quot;:&quot;&quot;,&quot;non-dropping-particle&quot;:&quot;&quot;},{&quot;family&quot;:&quot;Trautrims&quot;,&quot;given&quot;:&quot;Alexander&quot;,&quot;parse-names&quot;:false,&quot;dropping-particle&quot;:&quot;&quot;,&quot;non-dropping-particle&quot;:&quot;&quot;},{&quot;family&quot;:&quot;Trodd&quot;,&quot;given&quot;:&quot;Zoe&quot;,&quot;parse-names&quot;:false,&quot;dropping-particle&quot;:&quot;&quot;,&quot;non-dropping-particle&quot;:&quot;&quot;}],&quot;container-title&quot;:&quot;Supply Chain Management&quot;,&quot;DOI&quot;:&quot;10.1108/SCM-02-2015-0046&quot;,&quot;ISSN&quot;:&quot;13598546&quot;,&quot;issued&quot;:{&quot;date-parts&quot;:[[2015,8,10]]},&quot;page&quot;:&quot;485-494&quot;,&quot;abstract&quot;:&quot;Purpose – This paper aims to draw attention to the challenges modern slavery poses to supply chain management. Although many international supply chains are (most often unknowingly) connected to slave labour activities, supply chain managers and researchers have so far neglected the issue. This will most likely change as soon as civil society lobbying and new legislation impose increasing litigation and reputational risks on companies operating international supply chains. Design/methodology/approach – The paper provides a definition of slavery; explores potentials for knowledge exchange with other disciplines; discusses management tools for detecting slavery, as well as suitable company responses after its detection; and outlines avenues for future research. Findings – Due to a lack of effective indicators, new tools and indicator systems need to be developed that consider the specific social, cultural and geographical context of supply regions. After detection of slavery, multi-stakeholder partnerships, community-centred approaches and supplier development appear to be effective responses. Research limitations/implications – New theory development in supply chain management (SCM) is urgently needed to facilitate the understanding, avoidance and elimination of slavery in supply chains. As a starting point for future research, the challenges of slavery to SCM are conceptualised, focussing on capabilities and specific institutional context. Practical implications – The paper provides a starting point for the development of practices and tools for identifying and removing slave labour from supply chains. Originality/value – Although representing a substantial threat to current supply chain models, slavery has so far not been addressed in SCM research.&quot;,&quot;publisher&quot;:&quot;Emerald Group Holdings Ltd.&quot;,&quot;issue&quot;:&quot;5&quot;,&quot;volume&quot;:&quot;20&quot;,&quot;container-title-short&quot;:&quot;&quot;},&quot;isTemporary&quot;:false}],&quot;citationTag&quot;:&quot;MENDELEY_CITATION_v3_eyJjaXRhdGlvbklEIjoiTUVOREVMRVlfQ0lUQVRJT05fOTQ1MDFjMzMtNWViNi00NWU1LWExNDMtMTY4YTY2ZjNhOThmIiwicHJvcGVydGllcyI6eyJub3RlSW5kZXgiOjB9LCJpc0VkaXRlZCI6ZmFsc2UsIm1hbnVhbE92ZXJyaWRlIjp7ImlzTWFudWFsbHlPdmVycmlkZGVuIjpmYWxzZSwiY2l0ZXByb2NUZXh0IjoiKENyYW5lIDxpPmV0IGFsLjwvaT4sIDIwMTliOyBHb2xkIDxpPmV0IGFsLjwvaT4sIDIwMTU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&quot;},{&quot;citationID&quot;:&quot;MENDELEY_CITATION_8ad052f6-915e-46e6-bd58-e354c5034ac6&quot;,&quot;properties&quot;:{&quot;noteIndex&quot;:0},&quot;isEdited&quot;:false,&quot;manualOverride&quot;:{&quot;isManuallyOverridden&quot;:true,&quot;citeprocText&quot;:&quot;(LeBaron, 2021a; Oyedijo &lt;i&gt;et al.&lt;/i&gt;, 2024; Pesterfield and Rogerson, 2024)&quot;,&quot;manualOverrideText&quot;:&quot;(LeBaron, 2021a; Pesterfield and Rogerson, 2024)&quot;},&quot;citationItems&quot;:[{&quot;id&quot;:&quot;98652407-819c-3ecc-8802-3200dece5106&quot;,&quot;itemData&quot;:{&quot;type&quot;:&quot;article-journal&quot;,&quot;id&quot;:&quot;98652407-819c-3ecc-8802-3200dece5106&quot;,&quot;title&quot;:&quot;Institutional Logics in the UK Construction Industry’s Response to Modern Slavery Risk: Complementarity and Conflict&quot;,&quot;author&quot;:[{&quot;family&quot;:&quot;Pesterfield&quot;,&quot;given&quot;:&quot;Christopher&quot;,&quot;parse-names&quot;:false,&quot;dropping-particle&quot;:&quot;&quot;,&quot;non-dropping-particle&quot;:&quot;&quot;},{&quot;family&quot;:&quot;Rogerson&quot;,&quot;given&quot;:&quot;Michael&quot;,&quot;parse-names&quot;:false,&quot;dropping-particle&quot;:&quot;&quot;,&quot;non-dropping-particle&quot;:&quot;&quot;}],&quot;container-title&quot;:&quot;Journal of Business Ethics&quot;,&quot;DOI&quot;:&quot;10.1007/s10551-023-05455-4&quot;,&quot;ISSN&quot;:&quot;15730697&quot;,&quot;issued&quot;:{&quot;date-parts&quot;:[[2024,4,1]]},&quot;page&quot;:&quot;59-75&quot;,&quot;abstract&quot;:&quot;There is a growing understanding that modern slavery is a phenomenon ‘hidden in plain sight’ in the home countries of multinational firms. Yet, business scholarship on modern slavery has so far focussed on product supply chains. To address this, we direct attention to the various institutional pressures on the UK construction industry, and managers of firms within it, around modern slavery risk for on-site labour. Based on a unique data set of 30 in-depth interviews with construction firm managers and directors, we identify two institutional logics as being integral to explaining how these companies have responded to the Modern Slavery Act: a market logic and a state logic. While the institutional logics literature largely assumes that institutional complexity will lead to a conciliation of multiple logics, we find both complementarity and continued conflict in the logics in our study. Though we identify conciliation between aspects of the market logic and the state logic, conflict remains as engagement with actions which could potentially address modern slavery is limited by the trade-offs between the two logics.&quot;,&quot;publisher&quot;:&quot;Springer Science and Business Media B.V.&quot;,&quot;issue&quot;:&quot;1&quot;,&quot;volume&quot;:&quot;191&quot;,&quot;container-title-short&quot;:&quot;&quot;},&quot;isTemporary&quot;:false},{&quot;id&quot;:&quot;3b62a73a-1601-388e-88f0-83c9832b4edb&quot;,&quot;itemData&quot;:{&quot;type&quot;:&quot;article-journal&quot;,&quot;id&quot;:&quot;3b62a73a-1601-388e-88f0-83c9832b4edb&quot;,&quot;title&quot;:&quot;The Role of Supply Chains in the Global Business of Forced Labour&quot;,&quot;author&quot;:[{&quot;family&quot;:&quot;LeBaron&quot;,&quot;given&quot;:&quot;Genevieve&quot;,&quot;parse-names&quot;:false,&quot;dropping-particle&quot;:&quot;&quot;,&quot;non-dropping-particle&quot;:&quot;&quot;}],&quot;container-title&quot;:&quot;Journal of Supply Chain Management&quot;,&quot;accessed&quot;:{&quot;date-parts&quot;:[[2022,9,1]]},&quot;issued&quot;:{&quot;date-parts&quot;:[[2021,4,1]]},&quot;page&quot;:&quot;29-42&quot;,&quot;abstract&quot;:&quot;Supply chains are fundamental to whether decent work flourishes or not. Not only do supply chain dynamics shape employment practices and working conditions, but they also influence business models and capabilities which structure opportunities for decent work. As scholars and policymakers race to strengthen labor standards in supply chains and confront barriers to their effective implementation, management scholars can both benefit from and advance an understanding of the role of supply chains in giving rise to indecent work, especially the business practices commonly described as forced labor and modern slavery. To help realize this potential, this article draws from my research on the business of forced labor to emphasize three points. First, there are clear and discernible patterns with respect to the root causes of forced labor in supply chains. Second, forced labor in supply chains cannot be understood in isolation of broader dynamics of work and employment, since low-waged workers tend to move in and out of conditions of forced labor in relatively short periods of time. Third, on-the-ground studies of the effectiveness of buyer-centric governance programs reveal serious gaps between corporate social responsibility standards and business practices when it comes to indicators most relevant to forced labor. I conclude with a discussion of future directions in this research agenda and highlight the potential for business scholars to make a contribution.&quot;,&quot;publisher&quot;:&quot;John Wiley &amp; Sons, Ltd&quot;,&quot;issue&quot;:&quot;2&quot;,&quot;volume&quot;:&quot;57&quot;,&quot;container-title-short&quot;:&quot;&quot;},&quot;isTemporary&quot;:false},{&quot;id&quot;:&quot;995741ca-9126-3e37-be80-65ed4337deea&quot;,&quot;itemData&quot;:{&quot;type&quot;:&quot;article-journal&quot;,&quot;id&quot;:&quot;995741ca-9126-3e37-be80-65ed4337deea&quot;,&quot;title&quot;:&quot;Multi-tier sustainable supply chain management: a case study of a global food retailer&quot;,&quot;author&quot;:[{&quot;family&quot;:&quot;Oyedijo&quot;,&quot;given&quot;:&quot;Adegboyega&quot;,&quot;parse-names&quot;:false,&quot;dropping-particle&quot;:&quot;&quot;,&quot;non-dropping-particle&quot;:&quot;&quot;},{&quot;family&quot;:&quot;Kusi-Sarpong&quot;,&quot;given&quot;:&quot;Simonov&quot;,&quot;parse-names&quot;:false,&quot;dropping-particle&quot;:&quot;&quot;,&quot;non-dropping-particle&quot;:&quot;&quot;},{&quot;family&quot;:&quot;Mubarik&quot;,&quot;given&quot;:&quot;Muhammad Shujaat&quot;,&quot;parse-names&quot;:false,&quot;dropping-particle&quot;:&quot;&quot;,&quot;non-dropping-particle&quot;:&quot;&quot;},{&quot;family&quot;:&quot;Khan&quot;,&quot;given&quot;:&quot;Sharfuddin Ahmed&quot;,&quot;parse-names&quot;:false,&quot;dropping-particle&quot;:&quot;&quot;,&quot;non-dropping-particle&quot;:&quot;&quot;},{&quot;family&quot;:&quot;Utulu&quot;,&quot;given&quot;:&quot;Kome&quot;,&quot;parse-names&quot;:false,&quot;dropping-particle&quot;:&quot;&quot;,&quot;non-dropping-particle&quot;:&quot;&quot;}],&quot;container-title&quot;:&quot;Supply Chain Management: An International Journal&quot;,&quot;DOI&quot;:&quot;10.1108/SCM-05-2022-0205&quot;,&quot;ISSN&quot;:&quot;13598546&quot;,&quot;issued&quot;:{&quot;date-parts&quot;:[[2024,1,2]]},&quot;page&quot;:&quot;68-97&quot;,&quot;abstract&quot;:&quot;Purpose: Implementing sustainable practices in multi-tier supply chains (MTSCs) is a difficult task. This study aims to investigate why such endeavours fail and how MTSC partners can address them. Design/methodology/approach: A single-case study of a global food retail company was used in this study. Semi-structured interviews with the case firm and its first- and second-tier suppliers were used to collect data, which were then qualitatively analysed using thematic analysis. Findings: Major barriers impeding the implementation of sustainability in multi-tier food supply chains were revealed such as the cost of sustainability, knowledge gap, lack of infrastructure and supply chain complexity. Furthermore, the findings reveal five possible solutions such as multi-tier collaboration and partnership, diffusion of innovation along the chain, supply chain mapping, sustainability performance measurement and capacity building, all of which can aid in the improvement of sustainability practices. Research limitations/implications: Future research should investigate how specific barriers and drivers affect specific aspects of sustainability, pointing practitioners to specific links between the variables that can aid in tailoring sustainability oriented investment. Practical implications: This research supports managerial comprehension of MTSC sustainability, pointing out ways to improve sustainability performance despite the complex multi-tier system of food supply chains. Originality/value: The research on MTSC sustainability is still growing, and this research contributes to the debate about how MTSCs can become more sustainable from the perspective of the triple bottom line, particularly food supply chains which face significant sustainability challenges.&quot;,&quot;publisher&quot;:&quot;Emerald Publishing&quot;,&quot;issue&quot;:&quot;1&quot;,&quot;volume&quot;:&quot;29&quot;,&quot;container-title-short&quot;:&quot;&quot;},&quot;isTemporary&quot;:false}],&quot;citationTag&quot;:&quot;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&quot;},{&quot;citationID&quot;:&quot;MENDELEY_CITATION_684fdc3a-2c3a-484f-af64-a071fed4dbb2&quot;,&quot;properties&quot;:{&quot;noteIndex&quot;:0},&quot;isEdited&quot;:false,&quot;manualOverride&quot;:{&quot;isManuallyOverridden&quot;:true,&quot;citeprocText&quot;:&quot;(Meyer and Rowan, 1977)&quot;,&quot;manualOverrideText&quot;:&quot;(Meyer and Rowan, 1977; Muthuthantrige et al., 2026)&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citationTag&quot;:&quot;MENDELEY_CITATION_v3_eyJjaXRhdGlvbklEIjoiTUVOREVMRVlfQ0lUQVRJT05fNjg0ZmRjM2EtMmMzYS00ODRmLWFmNjQtYTA3MWZlZDRkYmIyIiwicHJvcGVydGllcyI6eyJub3RlSW5kZXgiOjB9LCJpc0VkaXRlZCI6ZmFsc2UsIm1hbnVhbE92ZXJyaWRlIjp7ImlzTWFudWFsbHlPdmVycmlkZGVuIjp0cnVlLCJjaXRlcHJvY1RleHQiOiIoTWV5ZXIgYW5kIFJvd2FuLCAxOTc3KSIsIm1hbnVhbE92ZXJyaWRlVGV4dCI6IihNZXllciBhbmQgUm93YW4sIDE5Nzc7IE11dGh1dGhhbnRyaWdlIGV0IGFsLiwgMjAyNik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quot;},{&quot;citationID&quot;:&quot;MENDELEY_CITATION_6f6e4264-7fdb-452c-ab3a-a2439bc63753&quot;,&quot;properties&quot;:{&quot;noteIndex&quot;:0},&quot;isEdited&quot;:false,&quot;manualOverride&quot;:{&quot;isManuallyOverridden&quot;:true,&quot;citeprocText&quot;:&quot;(Maher &lt;i&gt;et al.&lt;/i&gt;, 2022; Michelon &lt;i&gt;et al.&lt;/i&gt;, 2015)&quot;,&quot;manualOverrideText&quot;:&quot;(Michelon et al., 2015; Maher, Neumann and Slot Lykke, 2022)&quot;},&quot;citationItems&quot;:[{&quot;id&quot;:&quot;3dedb42f-e163-3214-90b9-dba4f8d555bf&quot;,&quot;itemData&quot;:{&quot;type&quot;:&quot;article-journal&quot;,&quot;id&quot;:&quot;3dedb42f-e163-3214-90b9-dba4f8d555bf&quot;,&quot;title&quot;:&quot;CSR reporting practices and the quality of disclosure: An empirical analysis&quot;,&quot;author&quot;:[{&quot;family&quot;:&quot;Michelon&quot;,&quot;given&quot;:&quot;Giovanna&quot;,&quot;parse-names&quot;:false,&quot;dropping-particle&quot;:&quot;&quot;,&quot;non-dropping-particle&quot;:&quot;&quot;},{&quot;family&quot;:&quot;Pilonato&quot;,&quot;given&quot;:&quot;Silvia&quot;,&quot;parse-names&quot;:false,&quot;dropping-particle&quot;:&quot;&quot;,&quot;non-dropping-particle&quot;:&quot;&quot;},{&quot;family&quot;:&quot;Ricceri&quot;,&quot;given&quot;:&quot;Federica&quot;,&quot;parse-names&quot;:false,&quot;dropping-particle&quot;:&quot;&quot;,&quot;non-dropping-particle&quot;:&quot;&quot;}],&quot;container-title&quot;:&quot;Critical Perspectives on Accounting&quot;,&quot;accessed&quot;:{&quot;date-parts&quot;:[[2022,7,23]]},&quot;URL&quot;:&quot;http://dx.doi.org/10.1016/j.cpa.2014.10.003&quot;,&quot;issued&quot;:{&quot;date-parts&quot;:[[2015]]},&quot;page&quot;:&quot;.59-78&quot;,&quot;volume&quot;:&quot;33&quot;,&quot;container-title-short&quot;:&quot;&quot;},&quot;isTemporary&quot;:false},{&quot;id&quot;:&quot;75dd27a4-4e28-3006-a5da-964a522a0779&quot;,&quot;itemData&quot;:{&quot;type&quot;:&quot;article-journal&quot;,&quot;id&quot;:&quot;75dd27a4-4e28-3006-a5da-964a522a0779&quot;,&quot;title&quot;:&quot;Extracting Legitimacy: An Analysis of Corporate Responses to Accusations of Human Rights Abuses&quot;,&quot;author&quot;:[{&quot;family&quot;:&quot;Maher&quot;,&quot;given&quot;:&quot;Rajiv&quot;,&quot;parse-names&quot;:false,&quot;dropping-particle&quot;:&quot;&quot;,&quot;non-dropping-particle&quot;:&quot;&quot;},{&quot;family&quot;:&quot;Neumann&quot;,&quot;given&quot;:&quot;Moritz&quot;,&quot;parse-names&quot;:false,&quot;dropping-particle&quot;:&quot;&quot;,&quot;non-dropping-particle&quot;:&quot;&quot;},{&quot;family&quot;:&quot;Mette&quot;,&quot;given&quot;:&quot;Slot Lykke&quot;,&quot;parse-names&quot;:false,&quot;dropping-particle&quot;:&quot;&quot;,&quot;non-dropping-particle&quot;:&quot;&quot;}],&quot;container-title&quot;:&quot;Journal of Business Ethics&quot;,&quot;accessed&quot;:{&quot;date-parts&quot;:[[2022,7,24]]},&quot;ISSN&quot;:&quot;15730697&quot;,&quot;issued&quot;:{&quot;date-parts&quot;:[[2022,4,1]]},&quot;page&quot;:&quot;609-628&quot;,&quot;abstract&quot;:&quot;We ask what type of neutralization techniques corporations apply to allegations of human rights abuses. We proceed by undertaking a Qualitative Content Analysis (QCA) of 162 responses by ten extractives-sector firms over a period of 14 years. The firms were responding to accusations of human rights impacts documented by the Business and Human Rights Resource Centre. We use Garrett et al.’s (J Bus Ethics 8(7):507–520, 1989) framework of neutralization techniques consisting of denial, justification, concession and excuse to examine the responses. During our QCA, we observed emerging themes around self-promotion and evasive tactics. We contribute to existing literature by proposing ‘evasion’ as a novel neutralization technique, particularly in circumstances of corporate responses to accusations of wrongdoing. We argue that evasion occurs when firms refuse to engage in the debate brought forward in an accusation. In addition, we enrich our understanding of neutralization techniques by proposing subneutralization techniques in our analysis to diverge from that of other studies. We conclude by discussing the implications of the predominance of corporate narcissism and evasive neutralization techniques to the business and human rights movement and other international corporate responsibility standards.&quot;,&quot;publisher&quot;:&quot;Springer Science and Business Media B.V.&quot;,&quot;issue&quot;:&quot;4&quot;,&quot;volume&quot;:&quot;176&quot;,&quot;container-title-short&quot;:&quot;&quot;},&quot;isTemporary&quot;:false}],&quot;citationTag&quot;:&quot;MENDELEY_CITATION_v3_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&quot;},{&quot;citationID&quot;:&quot;MENDELEY_CITATION_b859cf33-88e2-4ee9-8abe-b87e93dd5f17&quot;,&quot;properties&quot;:{&quot;noteIndex&quot;:0},&quot;isEdited&quot;:false,&quot;manualOverride&quot;:{&quot;isManuallyOverridden&quot;:false,&quot;citeprocText&quot;:&quot;(Burritt and Christ, 2023; Crane &lt;i&gt;et al.&lt;/i&gt;, 2022; Lee Park &lt;i&gt;et al.&lt;/i&gt;, 2023)&quot;,&quot;manualOverrideText&quot;:&quot;&quot;},&quot;citationItems&quot;:[{&quot;id&quot;:&quot;c701e25b-9387-3bdf-abd8-5731b77bc71a&quot;,&quot;itemData&quot;:{&quot;type&quot;:&quot;article-journal&quot;,&quot;id&quot;:&quot;c701e25b-9387-3bdf-abd8-5731b77bc71a&quot;,&quot;title&quot;:&quot;End-to-end sustainability: trade-offs, consumers’ perceptions and decisions beyond B2C interfaces&quot;,&quot;author&quot;:[{&quot;family&quot;:&quot;Lee Park&quot;,&quot;given&quot;:&quot;Camila&quot;,&quot;parse-names&quot;:false,&quot;dropping-particle&quot;:&quot;&quot;,&quot;non-dropping-particle&quot;:&quot;&quot;},{&quot;family&quot;:&quot;Fracarolli Nunes&quot;,&quot;given&quot;:&quot;Mauro&quot;,&quot;parse-names&quot;:false,&quot;dropping-particle&quot;:&quot;&quot;,&quot;non-dropping-particle&quot;:&quot;&quot;},{&quot;family&quot;:&quot;Ishizaka&quot;,&quot;given&quot;:&quot;Alessio&quot;,&quot;parse-names&quot;:false,&quot;dropping-particle&quot;:&quot;&quot;,&quot;non-dropping-particle&quot;:&quot;&quot;}],&quot;container-title&quot;:&quot;Supply Chain Management: An International Journal&quot;,&quot;DOI&quot;:&quot;10.1108/SCM-05-2021-0240&quot;,&quot;ISSN&quot;:&quot;13598546&quot;,&quot;issued&quot;:{&quot;date-parts&quot;:[[2023,3,6]]},&quot;page&quot;:&quot;225-241&quot;,&quot;abstract&quot;:&quot;Purpose: This study aims to examine the extended effects of corporate (ir)responsibilities in supply chains. More specifically, the authors compare the impact of social and environmental initiatives and failures in the reputational capital of supply chain partners. The authors investigate how (and if) companies’ decisions to prioritize different sustainability dimensions in their supplier selection processes (i.e. sustainability trade-offs) affect consumers’ perception of corporate image, corporate credibility-expertise, attitude towards the firm and word-of-mouth. Design/methodology/approach: The authors conducted three behavioural vignette-based experiments with 562 participants from the USA, relying on analysis of variance and t-tests analyses. Findings: Results show that consumers perceive social irresponsibility cases as more severe than environmental ones in suppliers’ operations, penalizing buyers’ corporate image, corporate credibility-expertise and word-of-mouth. Corporate image, attitude towards the firm and word-of-mouth also have significant differences between social and environmental trade-offs. Statistically significant differences were also found between scenarios that portrayed the discovery of an irresponsible action and ones that reinforced the previous irresponsible practice in companies’ suppliers. Practical implications: When types of irresponsibility practices are presented, the discovery of child labour and modern slavery conditions in suppliers damage how consumers perceive the company on corporate image and their attitude towards the organization and how they will spread word-of-mouth, reinforcing the importance of considering sustainability issues when making supplier selection decisions. Originality/value: The study contributes to the understanding of how companies are perceived by their consumers regarding irresponsible practices and their impact on firms’ supplier selection decisions. Furthermore, data suggests that consumers might hierarchize sustainability dimensions, perceiving social irresponsibility cases as more severe than environmental irresponsibility ones.&quot;,&quot;publisher&quot;:&quot;Emerald Publishing&quot;,&quot;issue&quot;:&quot;2&quot;,&quot;volume&quot;:&quot;28&quot;,&quot;container-title-short&quot;:&quot;&quot;},&quot;isTemporary&quot;:false},{&quot;id&quot;:&quot;7c9e40cb-f257-3538-acd3-432a5808e9e8&quot;,&quot;itemData&quot;:{&quot;type&quot;:&quot;article-journal&quot;,&quot;id&quot;:&quot;7c9e40cb-f257-3538-acd3-432a5808e9e8&quot;,&quot;title&quot;:&quot;Confronting the Business Models of Modern Slavery&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Phung&quot;,&quot;given&quot;:&quot;Kam&quot;,&quot;parse-names&quot;:false,&quot;dropping-particle&quot;:&quot;&quot;,&quot;non-dropping-particle&quot;:&quot;&quot;},{&quot;family&quot;:&quot;Behbahani&quot;,&quot;given&quot;:&quot;Laya&quot;,&quot;parse-names&quot;:false,&quot;dropping-particle&quot;:&quot;&quot;,&quot;non-dropping-particle&quot;:&quot;&quot;},{&quot;family&quot;:&quot;Allain&quot;,&quot;given&quot;:&quot;Jean&quot;,&quot;parse-names&quot;:false,&quot;dropping-particle&quot;:&quot;&quot;,&quot;non-dropping-particle&quot;:&quot;&quot;}],&quot;container-title&quot;:&quot;Journal of Management Inquiry&quot;,&quot;DOI&quot;:&quot;10.1177/1056492621994904&quot;,&quot;ISSN&quot;:&quot;15526542&quot;,&quot;issued&quot;:{&quot;date-parts&quot;:[[2022,7,1]]},&quot;page&quot;:&quot;264-285&quot;,&quot;abstract&quot;:&quot;Despite growing attention from companies and regulators looking to eradicate modern slavery, we know little about how slavery works from a business perspective. We address this gap by empirically examining innovations in the business models of modern slavery, focusing on how the business models of slavery in advanced economies have evolved since slavery was legally abolished. While continuities exist, novel business models have emerged based on new actors, activities, and linkages. We categorize these as four innovative models per actors involved (producer/intermediary) and how value is created and captured (revenue generation/cost reduction), and discuss implications for research, policy, and practice.&quot;,&quot;publisher&quot;:&quot;SAGE Publications Inc.&quot;,&quot;issue&quot;:&quot;3&quot;,&quot;volume&quot;:&quot;31&quot;,&quot;container-title-short&quot;:&quot;&quot;},&quot;isTemporary&quot;:false},{&quot;id&quot;:&quot;e66d1b4c-6b82-31e9-bfb2-f573be087ae9&quot;,&quot;itemData&quot;:{&quot;type&quot;:&quot;article-journal&quot;,&quot;id&quot;:&quot;e66d1b4c-6b82-31e9-bfb2-f573be087ae9&quot;,&quot;title&quot;:&quot;Modern slavery and the Global Reporting Initiative – A bridge too far?&quot;,&quot;author&quot;:[{&quot;family&quot;:&quot;Burritt&quot;,&quot;given&quot;:&quot;Roger Leonard&quot;,&quot;parse-names&quot;:false,&quot;dropping-particle&quot;:&quot;&quot;,&quot;non-dropping-particle&quot;:&quot;&quot;},{&quot;family&quot;:&quot;Christ&quot;,&quot;given&quot;:&quot;Katherine Leanne&quot;,&quot;parse-names&quot;:false,&quot;dropping-particle&quot;:&quot;&quot;,&quot;non-dropping-particle&quot;:&quot;&quot;}],&quot;container-title&quot;:&quot;Business Strategy &amp; Development&quot;,&quot;DOI&quot;:&quot;10.1002/bsd2.239&quot;,&quot;ISSN&quot;:&quot;2572-3170&quot;,&quot;URL&quot;:&quot;https://onlinelibrary.wiley.com/doi/10.1002/bsd2.239&quot;,&quot;issued&quot;:{&quot;date-parts&quot;:[[2023,3,11]]},&quot;container-title-short&quot;:&quot;&quot;},&quot;isTemporary&quot;:false}],&quot;citationTag&quot;:&quot;MENDELEY_CITATION_v3_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&quot;},{&quot;citationID&quot;:&quot;MENDELEY_CITATION_8288bccc-f85d-4f80-9f96-a0ba85756ccb&quot;,&quot;properties&quot;:{&quot;noteIndex&quot;:0},&quot;isEdited&quot;:false,&quot;manualOverride&quot;:{&quot;isManuallyOverridden&quot;:false,&quot;citeprocText&quot;:&quot;(Deloitte Global, 2022; Mechkova &lt;i&gt;et al.&lt;/i&gt;, 2024)&quot;,&quot;manualOverrideText&quot;:&quot;&quot;},&quot;citationItems&quot;:[{&quot;id&quot;:&quot;86c2e657-670b-3591-98cc-a85785598b9f&quot;,&quot;itemData&quot;:{&quot;type&quot;:&quot;article-journal&quot;,&quot;id&quot;:&quot;86c2e657-670b-3591-98cc-a85785598b9f&quot;,&quot;title&quot;:&quot;Women's political representation, good governance and human development&quot;,&quot;author&quot;:[{&quot;family&quot;:&quot;Mechkova&quot;,&quot;given&quot;:&quot;Valeriya&quot;,&quot;parse-names&quot;:false,&quot;dropping-particle&quot;:&quot;&quot;,&quot;non-dropping-particle&quot;:&quot;&quot;},{&quot;family&quot;:&quot;Dahlum&quot;,&quot;given&quot;:&quot;Sirianne&quot;,&quot;parse-names&quot;:false,&quot;dropping-particle&quot;:&quot;&quot;,&quot;non-dropping-particle&quot;:&quot;&quot;},{&quot;family&quot;:&quot;Petrarca&quot;,&quot;given&quot;:&quot;Constanza Sanhueza&quot;,&quot;parse-names&quot;:false,&quot;dropping-particle&quot;:&quot;&quot;,&quot;non-dropping-particle&quot;:&quot;&quot;}],&quot;container-title&quot;:&quot;Governance&quot;,&quot;DOI&quot;:&quot;10.1111/gove.12742&quot;,&quot;ISSN&quot;:&quot;14680491&quot;,&quot;issued&quot;:{&quot;date-parts&quot;:[[2024,1,1]]},&quot;page&quot;:&quot;19-38&quot;,&quot;abstract&quot;:&quot;As women's political inclusion has become the international norm, many countries have implemented gender quotas or actively tried to increase women's political representation. Women's inclusion is also expected to bring positive development outcomes, as women, both as voters and politicians, may prioritize policies conducive to development. Yet, previous research has shown that descriptive representation does not automatically improve governance, and that various contextual factors influence (female) politicians' ability to shape policy outcomes. In this article, we examine how political corruption affects the dynamics of women's representation. We argue that while the presence of women in politics has the potential to increase development, it can also be used as “window-dressing” to legitimize rule where in reality male patrons continue to dominate policy decisions. Thus, women representatives recruited from the same corrupt networks as these male patrons may be used to perpetuate the status-quo or even decrease development outcomes. Building on previous research, we argue that patriarchal gender norms and relatively weaker standing of women in corrupt environments can explain why women in these societies may support policy decisions that go against their preferences and interests as a group. We conduct a quantitative analysis drawing on time-series cross-sectional data on 182 countries from 1900 to 2014 to shed light on the linkage between women empowerment, corruption, and development. We find that women's representation only promotes human development if corruption is at low levels, while under high level of corruption women's inclusion is associated with worsened development outcomes. This finding suggests that women political empowerment might not always be a silver bullet to increasing substantive representation, and especially not under very poor levels of governance and prevalent corruption.&quot;,&quot;publisher&quot;:&quot;John Wiley and Sons Inc&quot;,&quot;issue&quot;:&quot;1&quot;,&quot;volume&quot;:&quot;37&quot;,&quot;container-title-short&quot;:&quot;&quot;},&quot;isTemporary&quot;:false},{&quot;id&quot;:&quot;0c5b03b3-3d59-3b31-9c51-4424cc6178d1&quot;,&quot;itemData&quot;:{&quot;type&quot;:&quot;book&quot;,&quot;id&quot;:&quot;0c5b03b3-3d59-3b31-9c51-4424cc6178d1&quot;,&quot;title&quot;:&quot;Progress at a snail's pace women in the boardroom: A global perspective&quot;,&quot;author&quot;:[{&quot;family&quot;:&quot;Deloitte Global&quot;,&quot;given&quot;:&quot;&quot;,&quot;parse-names&quot;:false,&quot;dropping-particle&quot;:&quot;&quot;,&quot;non-dropping-particle&quot;:&quot;&quot;}],&quot;container-title&quot;:&quot;Deloitte&quot;,&quot;ISSN&quot;:&quot;00130613&quot;,&quot;URL&quot;:&quot;https://www2.deloitte.com/content/dam/Deloitte/ar/Documents/risk/2022/arg-2022-Women-in-the-boardroom.pdf&quot;,&quot;issued&quot;:{&quot;date-parts&quot;:[[2022]]},&quot;number-of-pages&quot;:&quot;1-162&quot;,&quot;edition&quot;:&quot;7&quot;,&quot;container-title-short&quot;:&quot;&quot;},&quot;isTemporary&quot;:false}],&quot;citationTag&quot;:&quot;MENDELEY_CITATION_v3_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&quot;},{&quot;citationID&quot;:&quot;MENDELEY_CITATION_afb65798-a3b0-4307-a1ad-26f728e6ffcd&quot;,&quot;properties&quot;:{&quot;noteIndex&quot;:0},&quot;isEdited&quot;:false,&quot;manualOverride&quot;:{&quot;isManuallyOverridden&quot;:true,&quot;citeprocText&quot;:&quot;(Bebbington &lt;i&gt;et al.&lt;/i&gt;, 2014; Gray &lt;i&gt;et al.&lt;/i&gt;, 1996; Islam, 2018)&quot;,&quot;manualOverrideText&quot;:&quot;(Gray et al., 1996; Islam, 2018)&quot;},&quot;citationItems&quot;:[{&quot;id&quot;:&quot;7a73a621-5078-3466-91ae-f6fcfbdd4efa&quot;,&quot;itemData&quot;:{&quot;type&quot;:&quot;book&quot;,&quot;id&quot;:&quot;7a73a621-5078-3466-91ae-f6fcfbdd4efa&quot;,&quot;title&quot;:&quot;Sustainability Accounting and Accountability&quot;,&quot;author&quot;:[{&quot;family&quot;:&quot;Bebbington&quot;,&quot;given&quot;:&quot;J.&quot;,&quot;parse-names&quot;:false,&quot;dropping-particle&quot;:&quot;&quot;,&quot;non-dropping-particle&quot;:&quot;&quot;},{&quot;family&quot;:&quot;Unerman&quot;,&quot;given&quot;:&quot;J&quot;,&quot;parse-names&quot;:false,&quot;dropping-particle&quot;:&quot;&quot;,&quot;non-dropping-particle&quot;:&quot;&quot;},{&quot;family&quot;:&quot;O'Dwyer&quot;,&quot;given&quot;:&quot;B.&quot;,&quot;parse-names&quot;:false,&quot;dropping-particle&quot;:&quot;&quot;,&quot;non-dropping-particle&quot;:&quot;&quot;}],&quot;accessed&quot;:{&quot;date-parts&quot;:[[2023,5,17]]},&quot;URL&quot;:&quot;https://www.taylorfrancis.com/pdfviewer/&quot;,&quot;issued&quot;:{&quot;date-parts&quot;:[[2014]]},&quot;publisher-place&quot;:&quot;London and New York&quot;,&quot;number-of-pages&quot;:&quot;1-319&quot;,&quot;edition&quot;:&quot;2&quot;,&quot;publisher&quot;:&quot;Routledge&quot;,&quot;container-title-short&quot;:&quot;&quot;},&quot;isTemporary&quot;:false},{&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id&quot;:&quot;50be5003-e9c7-3ac0-ab8b-d06e29f35983&quot;,&quot;itemData&quot;:{&quot;type&quot;:&quot;article-journal&quot;,&quot;id&quot;:&quot;50be5003-e9c7-3ac0-ab8b-d06e29f35983&quot;,&quot;title&quot;:&quot;Accounting and accountability: Social and environmental accounting in a changing world.&quot;,&quot;author&quot;:[{&quot;family&quot;:&quot;Gray&quot;,&quot;given&quot;:&quot;R.,&quot;,&quot;parse-names&quot;:false,&quot;dropping-particle&quot;:&quot;&quot;,&quot;non-dropping-particle&quot;:&quot;&quot;},{&quot;family&quot;:&quot;Owen&quot;,&quot;given&quot;:&quot;D.&quot;,&quot;parse-names&quot;:false,&quot;dropping-particle&quot;:&quot;&quot;,&quot;non-dropping-particle&quot;:&quot;&quot;},{&quot;family&quot;:&quot;Adams&quot;,&quot;given&quot;:&quot;C.&quot;,&quot;parse-names&quot;:false,&quot;dropping-particle&quot;:&quot;&quot;,&quot;non-dropping-particle&quot;:&quot;&quot;}],&quot;container-title&quot;:&quot;Accounting, Auditing &amp; Accountability Journal&quot;,&quot;issued&quot;:{&quot;date-parts&quot;:[[1996]]},&quot;page&quot;:&quot;325-364&quot;,&quot;volume&quot;:&quot;10&quot;,&quot;container-title-short&quot;:&quot;&quot;},&quot;isTemporary&quot;:false}],&quot;citationTag&quot;:&quot;MENDELEY_CITATION_v3_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&quot;},{&quot;citationID&quot;:&quot;MENDELEY_CITATION_3a16a4c0-e5e9-4ae9-9c39-3be630001b87&quot;,&quot;properties&quot;:{&quot;noteIndex&quot;:0},&quot;isEdited&quot;:false,&quot;manualOverride&quot;:{&quot;isManuallyOverridden&quot;:false,&quot;citeprocText&quot;:&quot;(Kolk, 2016)&quot;,&quot;manualOverrideText&quot;:&quot;&quot;},&quot;citationItems&quot;:[{&quot;id&quot;:&quot;1c800eab-7799-3b33-b061-b66c2cc41377&quot;,&quot;itemData&quot;:{&quot;type&quot;:&quot;article-journal&quot;,&quot;id&quot;:&quot;1c800eab-7799-3b33-b061-b66c2cc41377&quot;,&quot;title&quot;:&quot;The social responsibility of international business: From ethics and the environment to CSR and sustainable development&quot;,&quot;author&quot;:[{&quot;family&quot;:&quot;Kolk&quot;,&quot;given&quot;:&quot;Ans&quot;,&quot;parse-names&quot;:false,&quot;dropping-particle&quot;:&quot;&quot;,&quot;non-dropping-particle&quot;:&quot;&quot;}],&quot;container-title&quot;:&quot;Journal of World Business&quot;,&quot;issued&quot;:{&quot;date-parts&quot;:[[2016,1,1]]},&quot;page&quot;:&quot;23-34&quot;,&quot;abstract&quot;:&quot;This article examines how the international business (IB) literature has addressed social responsibility issues in the past 50 years, highlighting key developments and implications from a historical perspective. Specific attention is paid to the Journal of World Business (JWB), which has covered the whole period and published relevant articles related to these issues, in comparison to the Journal of International Business Studies (JIBS), the other long-standing IB journal. The article outlines that they illustrate different conceptualizations of IB and social responsibility. The 50-year review shows three subthemes: the (green) environment; ethics, rights and responsibilities; poverty and (sustainable) development. These are discussed consecutively, including main contributions and promising areas to further the field.&quot;,&quot;publisher&quot;:&quot;Elsevier Inc.&quot;,&quot;issue&quot;:&quot;1&quot;,&quot;volume&quot;:&quot;51&quot;,&quot;container-title-short&quot;:&quot;&quot;},&quot;isTemporary&quot;:false}],&quot;citationTag&quot;:&quot;MENDELEY_CITATION_v3_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&quot;},{&quot;citationID&quot;:&quot;MENDELEY_CITATION_dc04a390-64e5-4250-ad35-9c13e635a811&quot;,&quot;properties&quot;:{&quot;noteIndex&quot;:0},&quot;isEdited&quot;:false,&quot;manualOverride&quot;:{&quot;isManuallyOverridden&quot;:false,&quot;citeprocText&quot;:&quot;(Alexander &lt;i&gt;et al.&lt;/i&gt;, 2022; LeBaron &lt;i&gt;et al.&lt;/i&gt;, 2018)&quot;,&quot;manualOverrideText&quot;:&quot;&quot;},&quot;citationItems&quot;:[{&quot;id&quot;:&quot;fd102632-d11f-341f-8793-40c55386ce76&quot;,&quot;itemData&quot;:{&quot;type&quot;:&quot;report&quot;,&quot;id&quot;:&quot;fd102632-d11f-341f-8793-40c55386ce76&quot;,&quot;title&quot;:&quot;Addressing modern slavery in long and complex supply chains. Assessing understandings of effective supply chain governance&quot;,&quot;author&quot;:[{&quot;family&quot;:&quot;Alexander&quot;,&quot;given&quot;:&quot;Trautrims&quot;,&quot;parse-names&quot;:false,&quot;dropping-particle&quot;:&quot;&quot;,&quot;non-dropping-particle&quot;:&quot;&quot;},{&quot;family&quot;:&quot;Oana&quot;,&quot;given&quot;:&quot;Burcu&quot;,&quot;parse-names&quot;:false,&quot;dropping-particle&quot;:&quot;&quot;,&quot;non-dropping-particle&quot;:&quot;&quot;},{&quot;family&quot;:&quot;Faiza&quot;,&quot;given&quot;:&quot;Zafar&quot;,&quot;parse-names&quot;:false,&quot;dropping-particle&quot;:&quot;&quot;,&quot;non-dropping-particle&quot;:&quot;&quot;},{&quot;family&quot;:&quot;Charlotte&quot;,&quot;given&quot;:&quot;Lush&quot;,&quot;parse-names&quot;:false,&quot;dropping-particle&quot;:&quot;&quot;,&quot;non-dropping-particle&quot;:&quot;&quot;}],&quot;issued&quot;:{&quot;date-parts&quot;:[[2022]]},&quot;number-of-pages&quot;:&quot;1-26&quot;,&quot;container-title-short&quot;:&quot;&quot;},&quot;isTemporary&quot;:false},{&quot;id&quot;:&quot;d54ceb23-c2d4-3d26-b463-fc50c5f56200&quot;,&quot;itemData&quot;:{&quot;type&quot;:&quot;report&quot;,&quot;id&quot;:&quot;d54ceb23-c2d4-3d26-b463-fc50c5f56200&quot;,&quot;title&quot;:&quot;Confronting root causes: forced labour in global supply chains&quot;,&quot;author&quot;:[{&quot;family&quot;:&quot;LeBaron&quot;,&quot;given&quot;:&quot;Genevieve&quot;,&quot;parse-names&quot;:false,&quot;dropping-particle&quot;:&quot;&quot;,&quot;non-dropping-particle&quot;:&quot;&quot;},{&quot;family&quot;:&quot;Howard&quot;,&quot;given&quot;:&quot;Neil&quot;,&quot;parse-names&quot;:false,&quot;dropping-particle&quot;:&quot;&quot;,&quot;non-dropping-particle&quot;:&quot;&quot;},{&quot;family&quot;:&quot;Thibos&quot;,&quot;given&quot;:&quot;Cameron&quot;,&quot;parse-names&quot;:false,&quot;dropping-particle&quot;:&quot;&quot;,&quot;non-dropping-particle&quot;:&quot;&quot;},{&quot;family&quot;:&quot;Kyritsis&quot;,&quot;given&quot;:&quot;Penelope&quot;,&quot;parse-names&quot;:false,&quot;dropping-particle&quot;:&quot;&quot;,&quot;non-dropping-particle&quot;:&quot;&quot;}],&quot;issued&quot;:{&quot;date-parts&quot;:[[2018]]},&quot;number-of-pages&quot;:&quot;1-100&quot;,&quot;container-title-short&quot;:&quot;&quot;},&quot;isTemporary&quot;:false}],&quot;citationTag&quot;:&quot;MENDELEY_CITATION_v3_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&quot;},{&quot;citationID&quot;:&quot;MENDELEY_CITATION_c383d3fe-7a7f-40bc-aff8-0e02d85e440e&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YzM4M2QzZmUtN2E3Zi00MGJjLWFmZjgtMGUwMmQ4NWU0NDBl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02580ce1-38d7-4a8b-8a3d-821146f49077&quot;,&quot;properties&quot;:{&quot;noteIndex&quot;:0},&quot;isEdited&quot;:false,&quot;manualOverride&quot;:{&quot;isManuallyOverridden&quot;:false,&quot;citeprocText&quot;:&quot;(Christ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MDI1ODBjZTEtMzhkNy00YThiLThhM2QtODIxMTQ2ZjQ5MDc3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quot;},{&quot;citationID&quot;:&quot;MENDELEY_CITATION_76b28b52-2d82-49b2-9311-6145b197b1f9&quot;,&quot;properties&quot;:{&quot;noteIndex&quot;:0},&quot;isEdited&quot;:false,&quot;manualOverride&quot;:{&quot;isManuallyOverridden&quot;:false,&quot;citeprocText&quot;:&quot;(LeBaron and Rühmkorf, 2017; Lu and Wang, 2021)&quot;,&quot;manualOverrideText&quot;:&quot;&quot;},&quot;citationItems&quot;:[{&quot;id&quot;:&quot;8cd998a6-7872-32b3-be55-eaa1624d8fb8&quot;,&quot;itemData&quot;:{&quot;type&quot;:&quot;article-journal&quot;,&quot;id&quot;:&quot;8cd998a6-7872-32b3-be55-eaa1624d8fb8&quot;,&quot;title&quot;:&quot;Corporate governance, law, culture, environmental performance and CSR disclosure: A global perspective&quot;,&quot;author&quot;:[{&quot;family&quot;:&quot;Lu&quot;,&quot;given&quot;:&quot;Jing&quot;,&quot;parse-names&quot;:false,&quot;dropping-particle&quot;:&quot;&quot;,&quot;non-dropping-particle&quot;:&quot;&quot;},{&quot;family&quot;:&quot;Wang&quot;,&quot;given&quot;:&quot;Jun&quot;,&quot;parse-names&quot;:false,&quot;dropping-particle&quot;:&quot;&quot;,&quot;non-dropping-particle&quot;:&quot;&quot;}],&quot;container-title&quot;:&quot;Journal of International Financial Markets, Institutions and Money&quot;,&quot;ISSN&quot;:&quot;10424431&quot;,&quot;issued&quot;:{&quot;date-parts&quot;:[[2021,1,1]]},&quot;abstract&quot;:&quot;This paper investigates the impact of corporate governance and culture background on firms’ environmental performance and CSR disclosure from a global perspective. It provides evidence of a positive relationship between environmental performance and CSR disclosure, supporting the voluntary disclosure theory. We find that common internal corporate governance best practices (such as CEO non-duality, ESG committees and gender diversified boards) are associated with better environmental performance and more disclosure of CSR related information. Debt is an effective internal governance vehicle and positively affects firms’ environmental performance and CSR disclosure. Cross-listed firms perform better environmentally and disclose more CSR information. Firms residing in countries with stronger legal systems have less voluntary CSR disclosure, implying that external governance is functional and may partially serve as a substitute for internal governance. In terms of culture influence, we find that firms in countries with low power distance, individualism, femininity, high uncertainty avoidance, and long-term orientation perform better environmentally. Firms in low power distance, collectivistic, feminine, long-term oriented, high uncertainty avoidance and restrained countries disclose more CSR information.&quot;,&quot;publisher&quot;:&quot;Elsevier Ltd&quot;,&quot;volume&quot;:&quot;70&quot;,&quot;container-title-short&quot;:&quot;&quot;},&quot;isTemporary&quot;:false},{&quot;id&quot;:&quot;ccd151d4-e57f-3654-92b0-e769985c95de&quot;,&quot;itemData&quot;:{&quot;type&quot;:&quot;article-journal&quot;,&quot;id&quot;:&quot;ccd151d4-e57f-3654-92b0-e769985c95de&quot;,&quot;title&quot;:&quot;Steering CSR Through Home State Regulation: A Comparison of the Impact of the UK Bribery Act and Modern Slavery Act on Global Supply Chain Governance&quot;,&quot;author&quot;:[{&quot;family&quot;:&quot;LeBaron&quot;,&quot;given&quot;:&quot;Genevieve&quot;,&quot;parse-names&quot;:false,&quot;dropping-particle&quot;:&quot;&quot;,&quot;non-dropping-particle&quot;:&quot;&quot;},{&quot;family&quot;:&quot;Rühmkorf&quot;,&quot;given&quot;:&quot;Andreas&quot;,&quot;parse-names&quot;:false,&quot;dropping-particle&quot;:&quot;&quot;,&quot;non-dropping-particle&quot;:&quot;&quot;}],&quot;container-title&quot;:&quot;Global Policy&quot;,&quot;container-title-short&quot;:&quot;Glob Policy&quot;,&quot;accessed&quot;:{&quot;date-parts&quot;:[[2023,5,17]]},&quot;DOI&quot;:&quot;10.1111/1758-5899.12398&quot;,&quot;ISSN&quot;:&quot;1758-5899&quot;,&quot;URL&quot;:&quot;https://onlinelibrary.wiley.com/doi/full/10.1111/1758-5899.12398&quot;,&quot;issued&quot;:{&quot;date-parts&quot;:[[2017,5,1]]},&quot;page&quot;:&quot;15-28&quot;,&quot;abstract&quot;:&quot;The home states of multinational enterprises have in recent years sought to use public regulation to fill the gaps left by the absence of a binding labour standards framework in international law. This article examines recent home state initiatives to address forced labour, human trafficking, and slavery in global supply chains, and their interactions with private governance initiatives. Focusing on a case study of the 2015 UK Modern Slavery Act and 2010 UK Bribery Act, we analyse two distinct legislative approaches that policy makers have used to promote corporate accountability within global supply chains and explore the varied impacts that these approaches have on corporate behaviour. Empirically, we analyse codes of conduct, annual CSR reports, and supplier terms and conditions for 25 FTSE 100 companies to shed light into the impact of the legislation on corporate behaviour. We find that legislation that creates criminal corporate liability appears to spur deeper changes to corporate strategy, and argue that in the case of the Modern Slavery Act, the triumph of voluntary reporting over more stringent public labour standards seems to have undermined the effectiveness of recent governance initiatives to address forced labour in global supply chains.&quot;,&quot;publisher&quot;:&quot;John Wiley &amp; Sons, Ltd&quot;,&quot;volume&quot;:&quot;8&quot;},&quot;isTemporary&quot;:false}],&quot;citationTag&quot;:&quot;MENDELEY_CITATION_v3_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&quot;},{&quot;citationID&quot;:&quot;MENDELEY_CITATION_50cd42e1-bfda-4793-b184-f4009ff430c1&quot;,&quot;properties&quot;:{&quot;noteIndex&quot;:0},&quot;isEdited&quot;:false,&quot;manualOverride&quot;:{&quot;isManuallyOverridden&quot;:false,&quot;citeprocText&quot;:&quot;(Christ &lt;i&gt;et al.&lt;/i&gt;, 2020)&quot;,&quot;manualOverrideText&quot;:&quot;&quot;},&quot;citationItems&quot;:[{&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citationTag&quot;:&quot;MENDELEY_CITATION_v3_eyJjaXRhdGlvbklEIjoiTUVOREVMRVlfQ0lUQVRJT05fNTBjZDQyZTEtYmZkYS00NzkzLWIxODQtZjQwMDlmZjQzMGMx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quot;},{&quot;citationID&quot;:&quot;MENDELEY_CITATION_b3f630fa-7520-4b2a-8f5c-bc3b990f1f7e&quot;,&quot;properties&quot;:{&quot;noteIndex&quot;:0},&quot;isEdited&quot;:false,&quot;manualOverride&quot;:{&quot;isManuallyOverridden&quot;:true,&quot;citeprocText&quot;:&quot;(Kuruvilla and Li, 2021)&quot;,&quot;manualOverrideText&quot;:&quot;Kuruvilla and Li, 2021)&quot;},&quot;citationItems&quot;:[{&quot;id&quot;:&quot;116ba409-ff7b-32d0-bfe8-d02cd50370eb&quot;,&quot;itemData&quot;:{&quot;type&quot;:&quot;article-journal&quot;,&quot;id&quot;:&quot;116ba409-ff7b-32d0-bfe8-d02cd50370eb&quot;,&quot;title&quot;:&quot;Freedom of Association and Collective Bargaining in Global Supply Chains: A Research Agenda&quot;,&quot;author&quot;:[{&quot;family&quot;:&quot;Kuruvilla&quot;,&quot;given&quot;:&quot;Sarosh&quot;,&quot;parse-names&quot;:false,&quot;dropping-particle&quot;:&quot;&quot;,&quot;non-dropping-particle&quot;:&quot;&quot;},{&quot;family&quot;:&quot;Li&quot;,&quot;given&quot;:&quot;Chunyun&quot;,&quot;parse-names&quot;:false,&quot;dropping-particle&quot;:&quot;&quot;,&quot;non-dropping-particle&quot;:&quot;&quot;}],&quot;container-title&quot;:&quot;Journal of Supply Chain Management&quot;,&quot;accessed&quot;:{&quot;date-parts&quot;:[[2023,5,17]]},&quot;DOI&quot;:&quot;10.1111/JSCM.12259&quot;,&quot;ISSN&quot;:&quot;1745-493X&quot;,&quot;URL&quot;:&quot;https://onlinelibrary.wiley.com/doi/full/10.1111/jscm.12259&quot;,&quot;issued&quot;:{&quot;date-parts&quot;:[[2021,4,1]]},&quot;page&quot;:&quot;43-57&quot;,&quot;abstract&quot;:&quot;This article outlines a research agenda for Freedom of Association and Collective Bargaining, two fundamental labor rights essential to the achievement of “Decent Work” for workers in global supply chains. The authors argue that SCM scholars are uniquely positioned to address how workers’ freedom of association and collective bargaining rights in global supply chains could be improved. This stems, in part, from the fact that SCM researchers and industry practitioners share a common “logic of efficiency” in the analysis of supply chains. The authors suggest three broad areas of research on freedom of association and collective bargaining, with their attendant methodological implications.&quot;,&quot;publisher&quot;:&quot;John Wiley &amp; Sons, Ltd&quot;,&quot;issue&quot;:&quot;2&quot;,&quot;volume&quot;:&quot;57&quot;,&quot;container-title-short&quot;:&quot;&quot;},&quot;isTemporary&quot;:false}],&quot;citationTag&quot;:&quot;MENDELEY_CITATION_v3_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&quot;},{&quot;citationID&quot;:&quot;MENDELEY_CITATION_627859c2-db3d-409e-9d6b-bd02c61ce58a&quot;,&quot;properties&quot;:{&quot;noteIndex&quot;:0},&quot;isEdited&quot;:false,&quot;manualOverride&quot;:{&quot;isManuallyOverridden&quot;:false,&quot;citeprocText&quot;:&quot;(Kuruvilla and Li, 2021)&quot;,&quot;manualOverrideText&quot;:&quot;&quot;},&quot;citationItems&quot;:[{&quot;id&quot;:&quot;116ba409-ff7b-32d0-bfe8-d02cd50370eb&quot;,&quot;itemData&quot;:{&quot;type&quot;:&quot;article-journal&quot;,&quot;id&quot;:&quot;116ba409-ff7b-32d0-bfe8-d02cd50370eb&quot;,&quot;title&quot;:&quot;Freedom of Association and Collective Bargaining in Global Supply Chains: A Research Agenda&quot;,&quot;author&quot;:[{&quot;family&quot;:&quot;Kuruvilla&quot;,&quot;given&quot;:&quot;Sarosh&quot;,&quot;parse-names&quot;:false,&quot;dropping-particle&quot;:&quot;&quot;,&quot;non-dropping-particle&quot;:&quot;&quot;},{&quot;family&quot;:&quot;Li&quot;,&quot;given&quot;:&quot;Chunyun&quot;,&quot;parse-names&quot;:false,&quot;dropping-particle&quot;:&quot;&quot;,&quot;non-dropping-particle&quot;:&quot;&quot;}],&quot;container-title&quot;:&quot;Journal of Supply Chain Management&quot;,&quot;accessed&quot;:{&quot;date-parts&quot;:[[2023,5,17]]},&quot;DOI&quot;:&quot;10.1111/JSCM.12259&quot;,&quot;ISSN&quot;:&quot;1745-493X&quot;,&quot;URL&quot;:&quot;https://onlinelibrary.wiley.com/doi/full/10.1111/jscm.12259&quot;,&quot;issued&quot;:{&quot;date-parts&quot;:[[2021,4,1]]},&quot;page&quot;:&quot;43-57&quot;,&quot;abstract&quot;:&quot;This article outlines a research agenda for Freedom of Association and Collective Bargaining, two fundamental labor rights essential to the achievement of “Decent Work” for workers in global supply chains. The authors argue that SCM scholars are uniquely positioned to address how workers’ freedom of association and collective bargaining rights in global supply chains could be improved. This stems, in part, from the fact that SCM researchers and industry practitioners share a common “logic of efficiency” in the analysis of supply chains. The authors suggest three broad areas of research on freedom of association and collective bargaining, with their attendant methodological implications.&quot;,&quot;publisher&quot;:&quot;John Wiley &amp; Sons, Ltd&quot;,&quot;issue&quot;:&quot;2&quot;,&quot;volume&quot;:&quot;57&quot;,&quot;container-title-short&quot;:&quot;&quot;},&quot;isTemporary&quot;:false}],&quot;citationTag&quot;:&quot;MENDELEY_CITATION_v3_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&quot;},{&quot;citationID&quot;:&quot;MENDELEY_CITATION_b93bcd3c-062d-4b84-8eba-0e14e096e984&quot;,&quot;properties&quot;:{&quot;noteIndex&quot;:0},&quot;isEdited&quot;:false,&quot;manualOverride&quot;:{&quot;isManuallyOverridden&quot;:false,&quot;citeprocText&quot;:&quot;(International Trade Union Confederation (ITUC), 2022)&quot;,&quot;manualOverrideText&quot;:&quot;&quot;},&quot;citationItems&quot;:[{&quot;id&quot;:&quot;27911a0c-85cc-307f-880b-aa7deab70491&quot;,&quot;itemData&quot;:{&quot;type&quot;:&quot;report&quot;,&quot;id&quot;:&quot;27911a0c-85cc-307f-880b-aa7deab70491&quot;,&quot;title&quot;:&quot;ITUC Global Rights Index&quot;,&quot;author&quot;:[{&quot;family&quot;:&quot;International Trade Union Confederation (ITUC)&quot;,&quot;given&quot;:&quot;&quot;,&quot;parse-names&quot;:false,&quot;dropping-particle&quot;:&quot;&quot;,&quot;non-dropping-particle&quot;:&quot;&quot;}],&quot;issued&quot;:{&quot;date-parts&quot;:[[2022]]},&quot;container-title-short&quot;:&quot;&quot;},&quot;isTemporary&quot;:false}],&quot;citationTag&quot;:&quot;MENDELEY_CITATION_v3_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&quot;},{&quot;citationID&quot;:&quot;MENDELEY_CITATION_e042dc21-928b-4a8f-b99d-fda53ac67bbc&quot;,&quot;properties&quot;:{&quot;noteIndex&quot;:0},&quot;isEdited&quot;:false,&quot;manualOverride&quot;:{&quot;isManuallyOverridden&quot;:false,&quot;citeprocText&quot;:&quot;(Crane, 2013)&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citationTag&quot;:&quot;MENDELEY_CITATION_v3_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IsImNvbnRhaW5lci10aXRsZS1zaG9ydCI6Ik1hbmFnZSBSZXYifSwiaXNUZW1wb3JhcnkiOmZhbHNlfV19&quot;},{&quot;citationID&quot;:&quot;MENDELEY_CITATION_86df3ee0-1436-48af-993d-1770cdce2e68&quot;,&quot;properties&quot;:{&quot;noteIndex&quot;:0},&quot;isEdited&quot;:false,&quot;manualOverride&quot;:{&quot;isManuallyOverridden&quot;:false,&quot;citeprocText&quot;:&quot;(Adams, 2016; Deloitte Global, 2022)&quot;,&quot;manualOverrideText&quot;:&quot;&quot;},&quot;citationItems&quot;:[{&quot;id&quot;:&quot;0c5b03b3-3d59-3b31-9c51-4424cc6178d1&quot;,&quot;itemData&quot;:{&quot;type&quot;:&quot;book&quot;,&quot;id&quot;:&quot;0c5b03b3-3d59-3b31-9c51-4424cc6178d1&quot;,&quot;title&quot;:&quot;Progress at a snail's pace women in the boardroom: A global perspective&quot;,&quot;author&quot;:[{&quot;family&quot;:&quot;Deloitte Global&quot;,&quot;given&quot;:&quot;&quot;,&quot;parse-names&quot;:false,&quot;dropping-particle&quot;:&quot;&quot;,&quot;non-dropping-particle&quot;:&quot;&quot;}],&quot;container-title&quot;:&quot;Deloitte&quot;,&quot;ISSN&quot;:&quot;00130613&quot;,&quot;URL&quot;:&quot;https://www2.deloitte.com/content/dam/Deloitte/ar/Documents/risk/2022/arg-2022-Women-in-the-boardroom.pdf&quot;,&quot;issued&quot;:{&quot;date-parts&quot;:[[2022]]},&quot;number-of-pages&quot;:&quot;1-162&quot;,&quot;edition&quot;:&quot;7&quot;,&quot;container-title-short&quot;:&quot;&quot;},&quot;isTemporary&quot;:false},{&quot;id&quot;:&quot;f6b2e018-79cd-309a-9c48-eda09b82e1af&quot;,&quot;itemData&quot;:{&quot;type&quot;:&quot;article-journal&quot;,&quot;id&quot;:&quot;f6b2e018-79cd-309a-9c48-eda09b82e1af&quot;,&quot;title&quot;:&quot;Women on boards: The superheroes of tomorrow?&quot;,&quot;author&quot;:[{&quot;family&quot;:&quot;Adams&quot;,&quot;given&quot;:&quot;Renée B.&quot;,&quot;parse-names&quot;:false,&quot;dropping-particle&quot;:&quot;&quot;,&quot;non-dropping-particle&quot;:&quot;&quot;}],&quot;container-title&quot;:&quot;Leadership Quarterly&quot;,&quot;issued&quot;:{&quot;date-parts&quot;:[[2016]]},&quot;page&quot;:&quot;371-386&quot;,&quot;abstract&quot;:&quot;Can female directors help save economies and the firms on whose boards they sit? Policy-makers seem to think so. Numerous countries have implemented boardroom gender policies because of business case arguments. While women may be the key to healthy economies, I argue that more research needs to be done to understand the benefits of board diversity. The literature faces three main challenges: data limitations, selection and causal inference. Recognizing and dealing with these challenges is important for developing informed research and policy. Negative stereotypes may be one reason women are underrepresented in management. It is not clear that promoting them on the basis of positive stereotypes does them, or society, a service.&quot;,&quot;publisher&quot;:&quot;Elsevier Inc.&quot;,&quot;issue&quot;:&quot;3&quot;,&quot;volume&quot;:&quot;27&quot;,&quot;container-title-short&quot;:&quot;&quot;},&quot;isTemporary&quot;:false}],&quot;citationTag&quot;:&quot;MENDELEY_CITATION_v3_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&quot;},{&quot;citationID&quot;:&quot;MENDELEY_CITATION_6a6ffe7d-7c29-4130-af3c-9e164176035b&quot;,&quot;properties&quot;:{&quot;noteIndex&quot;:0},&quot;isEdited&quot;:false,&quot;manualOverride&quot;:{&quot;isManuallyOverridden&quot;:false,&quot;citeprocText&quot;:&quot;(European Union, 2022; Kyaw &lt;i&gt;et al.&lt;/i&gt;, 2022; Pini &lt;i&gt;et al.&lt;/i&gt;, 2010; Villesèche and Sinani Evis, 2021)&quot;,&quot;manualOverrideText&quot;:&quot;&quot;},&quot;citationItems&quot;:[{&quot;id&quot;:&quot;434ac9c2-21f3-3c02-9d48-7e356029a893&quot;,&quot;itemData&quot;:{&quot;type&quot;:&quot;article-journal&quot;,&quot;id&quot;:&quot;434ac9c2-21f3-3c02-9d48-7e356029a893&quot;,&quot;title&quot;:&quot;From Presence to Influence:  Gender, Nationality and  Network Centrality of  Corporate Directors&quot;,&quot;author&quot;:[{&quot;family&quot;:&quot;Villesèche&quot;,&quot;given&quot;:&quot;F.&quot;,&quot;parse-names&quot;:false,&quot;dropping-particle&quot;:&quot;&quot;,&quot;non-dropping-particle&quot;:&quot;&quot;},{&quot;family&quot;:&quot;Sinani Evis&quot;,&quot;given&quot;:&quot;&quot;,&quot;parse-names&quot;:false,&quot;dropping-particle&quot;:&quot;&quot;,&quot;non-dropping-particle&quot;:&quot;&quot;}],&quot;container-title&quot;:&quot;Work, Employment and Society Journal&quot;,&quot;accessed&quot;:{&quot;date-parts&quot;:[[2023,3,3]]},&quot;URL&quot;:&quot;https://journals.sagepub.com/doi/pdf/10.1177/09500170211018579?casa_token=huU8_0gZDBUAAAAA:2cnOAhzB-4RyoxpqKTrh-ORymmyTeXrvVHpIm_D7sGdLePztoouPbGtpFH29ZblgyRzERVDXFDpgPQ&quot;,&quot;issued&quot;:{&quot;date-parts&quot;:[[2021]]},&quot;page&quot;:&quot;1-19&quot;,&quot;container-title-short&quot;:&quot;&quot;},&quot;isTemporary&quot;:false},{&quot;id&quot;:&quot;7d049de1-fae5-332f-8611-b3449bd320f9&quot;,&quot;itemData&quot;:{&quot;type&quot;:&quot;article-journal&quot;,&quot;id&quot;:&quot;7d049de1-fae5-332f-8611-b3449bd320f9&quot;,&quot;title&quot;:&quot;Board gender diversity and environmental emissions&quot;,&quot;author&quot;:[{&quot;family&quot;:&quot;Kyaw&quot;,&quot;given&quot;:&quot;Khine&quot;,&quot;parse-names&quot;:false,&quot;dropping-particle&quot;:&quot;&quot;,&quot;non-dropping-particle&quot;:&quot;&quot;},{&quot;family&quot;:&quot;Treepongkaruna&quot;,&quot;given&quot;:&quot;Sirimon&quot;,&quot;parse-names&quot;:false,&quot;dropping-particle&quot;:&quot;&quot;,&quot;non-dropping-particle&quot;:&quot;&quot;},{&quot;family&quot;:&quot;Jiraporn&quot;,&quot;given&quot;:&quot;Pornsit&quot;,&quot;parse-names&quot;:false,&quot;dropping-particle&quot;:&quot;&quot;,&quot;non-dropping-particle&quot;:&quot;&quot;}],&quot;container-title&quot;:&quot;Business Strategy and the Environment&quot;,&quot;container-title-short&quot;:&quot;Bus Strategy Environ&quot;,&quot;ISSN&quot;:&quot;0964-4733&quot;,&quot;issued&quot;:{&quot;date-parts&quot;:[[2022,3,25]]},&quot;abstract&quot;:&quot;The recent climate emergency declaration by many nations around the world signifies the severity of the impact of climate change. As an entity which consumes a large quantity of resources ranging from material to human, corporations have a responsibility to seriously tackle climate change. As a company's board of directors is typically responsible for developing business strategies, including environmental strategies, this paper explores whether gender diversity on corporate boards affect firms' emission performance. Consistent with diversity theory, we find that board gender diversity is positively associated with firms' emission reduction performance. The likelihood that a firm with a gender diverse board reduces environmental emission is 9% higher than its industry peers. To ensure that our results are robust to endogeneity, we conduct additional analyses including propensity score matching (PSM), entropy balancing, and instrumental-variable analysis. K E Y W O R D S emission, environment, gender diversity&quot;,&quot;publisher&quot;:&quot;Wiley&quot;},&quot;isTemporary&quot;:false},{&quot;id&quot;:&quot;e565494f-028c-3c52-9ded-720c155bdeb8&quot;,&quot;itemData&quot;:{&quot;type&quot;:&quot;article-journal&quot;,&quot;id&quot;:&quot;e565494f-028c-3c52-9ded-720c155bdeb8&quot;,&quot;title&quot;:&quot;Gender Equality in the EU&quot;,&quot;author&quot;:[{&quot;family&quot;:&quot;European Union&quot;,&quot;given&quot;:&quot;&quot;,&quot;parse-names&quot;:false,&quot;dropping-particle&quot;:&quot;&quot;,&quot;non-dropping-particle&quot;:&quot;&quot;}],&quot;container-title&quot;:&quot;Justice and Consumers&quot;,&quot;issued&quot;:{&quot;date-parts&quot;:[[2022]]},&quot;page&quot;:&quot;xvii-xviii&quot;,&quot;issue&quot;:&quot;March&quot;,&quot;container-title-short&quot;:&quot;&quot;},&quot;isTemporary&quot;:false},{&quot;id&quot;:&quot;2615d66f-6a27-313c-98a9-3c107be0d3d0&quot;,&quot;itemData&quot;:{&quot;type&quot;:&quot;article-journal&quot;,&quot;id&quot;:&quot;2615d66f-6a27-313c-98a9-3c107be0d3d0&quot;,&quot;title&quot;:&quot;Transnational business masculinities: media representations of gender and management in global mining corporations&quot;,&quot;author&quot;:[{&quot;family&quot;:&quot;Pini&quot;,&quot;given&quot;:&quot;B.&quot;,&quot;parse-names&quot;:false,&quot;dropping-particle&quot;:&quot;&quot;,&quot;non-dropping-particle&quot;:&quot;&quot;},{&quot;family&quot;:&quot;Mayes&quot;,&quot;given&quot;:&quot;R.&quot;,&quot;parse-names&quot;:false,&quot;dropping-particle&quot;:&quot;&quot;,&quot;non-dropping-particle&quot;:&quot;&quot;},{&quot;family&quot;:&quot;McDonald&quot;,&quot;given&quot;:&quot;P.&quot;,&quot;parse-names&quot;:false,&quot;dropping-particle&quot;:&quot;&quot;,&quot;non-dropping-particle&quot;:&quot;&quot;}],&quot;container-title&quot;:&quot;Gender, Work and Organisation Conference &quot;,&quot;accessed&quot;:{&quot;date-parts&quot;:[[2023,4,2]]},&quot;URL&quot;:&quot;https://eprints.qut.edu.au/38830/1/c38830.pdf&quot;,&quot;issued&quot;:{&quot;date-parts&quot;:[[2010]]},&quot;page&quot;:&quot;1-24&quot;,&quot;container-title-short&quot;:&quot;&quot;},&quot;isTemporary&quot;:false}],&quot;citationTag&quot;:&quot;MENDELEY_CITATION_v3_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&quot;},{&quot;citationID&quot;:&quot;MENDELEY_CITATION_62fd6205-faf9-4558-92e1-4a10d0ebd8a5&quot;,&quot;properties&quot;:{&quot;noteIndex&quot;:0},&quot;isEdited&quot;:false,&quot;manualOverride&quot;:{&quot;isManuallyOverridden&quot;:false,&quot;citeprocText&quot;:&quot;(Beji &lt;i&gt;et al.&lt;/i&gt;, 2021)&quot;,&quot;manualOverrideText&quot;:&quot;&quot;},&quot;citationItems&quot;:[{&quot;id&quot;:&quot;c62ee665-7807-3616-9ace-7abb61cd058e&quot;,&quot;itemData&quot;:{&quot;type&quot;:&quot;article-journal&quot;,&quot;id&quot;:&quot;c62ee665-7807-3616-9ace-7abb61cd058e&quot;,&quot;title&quot;:&quot;Board Diversity and Corporate Social Responsibility: Empirical Evidence from France&quot;,&quot;author&quot;:[{&quot;family&quot;:&quot;Beji&quot;,&quot;given&quot;:&quot;Rania&quot;,&quot;parse-names&quot;:false,&quot;dropping-particle&quot;:&quot;&quot;,&quot;non-dropping-particle&quot;:&quot;&quot;},{&quot;family&quot;:&quot;Yousfi&quot;,&quot;given&quot;:&quot;Ouidad&quot;,&quot;parse-names&quot;:false,&quot;dropping-particle&quot;:&quot;&quot;,&quot;non-dropping-particle&quot;:&quot;&quot;},{&quot;family&quot;:&quot;Loukil&quot;,&quot;given&quot;:&quot;Nadia&quot;,&quot;parse-names&quot;:false,&quot;dropping-particle&quot;:&quot;&quot;,&quot;non-dropping-particle&quot;:&quot;&quot;},{&quot;family&quot;:&quot;Omri&quot;,&quot;given&quot;:&quot;Abdelwahed&quot;,&quot;parse-names&quot;:false,&quot;dropping-particle&quot;:&quot;&quot;,&quot;non-dropping-particle&quot;:&quot;&quot;}],&quot;container-title&quot;:&quot;Journal of Business Ethics&quot;,&quot;accessed&quot;:{&quot;date-parts&quot;:[[2022,8,10]]},&quot;ISBN&quot;:&quot;0123456789&quot;,&quot;issued&quot;:{&quot;date-parts&quot;:[[2021]]},&quot;page&quot;:&quot;133-155&quot;,&quot;abstract&quot;:&quot;This study analyzes how the board's characteristics could be associated with globally corporate social responsibility CSR and specific areas of CSR. It is drawn on all listed firms, in 2016, on the SBF120 between 2003 and 2016. Our results provide strong evidence that diversity in boards and diversity of boards globally are positively associated with corporate social performance. However, they influence differently specific dimensions of CSR performance. First, we show that large boards are positively associated with all areas of CSR performance, while specific and overall CSR scores are negatively associated with CEO-chair structures. Second, board gender diversity is positively associated with human rights and corporate governance dimensions. Third, age diversity is positively associated with corporate governance, human resources, human rights, and environmental activities. Also, our results provide evidence that outside directors care about CSR performance. Specifically, the presence of foreign directors is positively associated with environmental performance and community involvement, whereas CSR-Governance dimension is positively associated with the presence of independent directors. Regarding the director's educational level, post-graduated directors are positively and significantly associated with overall CSR score and all CSR sub-scores, except the corporate governance one. When directors have multiple directorships, they are more concerned about human resources, environmental performance, and business ethics. Finally, our findings are robust only in non-family firms. In fact, family boards are less diverse than non-family ones; specifically, they have a lower number of independent, foreign, and high-educated directors.&quot;,&quot;volume&quot;:&quot;173&quot;,&quot;container-title-short&quot;:&quot;&quot;},&quot;isTemporary&quot;:false}],&quot;citationTag&quot;:&quot;MENDELEY_CITATION_v3_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&quot;},{&quot;citationID&quot;:&quot;MENDELEY_CITATION_7411b75e-8337-46ba-8b40-044442671a69&quot;,&quot;properties&quot;:{&quot;noteIndex&quot;:0},&quot;isEdited&quot;:false,&quot;manualOverride&quot;:{&quot;isManuallyOverridden&quot;:true,&quot;citeprocText&quot;:&quot;(Deloitte Global, 2022)&quot;,&quot;manualOverrideText&quot;:&quot;Deloitte Global (2022)&quot;},&quot;citationItems&quot;:[{&quot;id&quot;:&quot;0c5b03b3-3d59-3b31-9c51-4424cc6178d1&quot;,&quot;itemData&quot;:{&quot;type&quot;:&quot;book&quot;,&quot;id&quot;:&quot;0c5b03b3-3d59-3b31-9c51-4424cc6178d1&quot;,&quot;title&quot;:&quot;Progress at a snail's pace women in the boardroom: A global perspective&quot;,&quot;author&quot;:[{&quot;family&quot;:&quot;Deloitte Global&quot;,&quot;given&quot;:&quot;&quot;,&quot;parse-names&quot;:false,&quot;dropping-particle&quot;:&quot;&quot;,&quot;non-dropping-particle&quot;:&quot;&quot;}],&quot;container-title&quot;:&quot;Deloitte&quot;,&quot;ISSN&quot;:&quot;00130613&quot;,&quot;URL&quot;:&quot;https://www2.deloitte.com/content/dam/Deloitte/ar/Documents/risk/2022/arg-2022-Women-in-the-boardroom.pdf&quot;,&quot;issued&quot;:{&quot;date-parts&quot;:[[2022]]},&quot;number-of-pages&quot;:&quot;1-162&quot;,&quot;edition&quot;:&quot;7&quot;,&quot;container-title-short&quot;:&quot;&quot;},&quot;isTemporary&quot;:false}],&quot;citationTag&quot;:&quot;MENDELEY_CITATION_v3_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&quot;},{&quot;citationID&quot;:&quot;MENDELEY_CITATION_d3d96057-e611-42e4-8b74-1726dcc4c44b&quot;,&quot;properties&quot;:{&quot;noteIndex&quot;:0},&quot;isEdited&quot;:false,&quot;manualOverride&quot;:{&quot;isManuallyOverridden&quot;:false,&quot;citeprocText&quot;:&quot;(Kuzey &lt;i&gt;et al.&lt;/i&gt;, 2022; Nadeem &lt;i&gt;et al.&lt;/i&gt;, 2017; S&amp;#38;P Global, 2021; Yadav and Prashar, 2022)&quot;,&quot;manualOverrideText&quot;:&quot;&quot;},&quot;citationItems&quot;:[{&quot;id&quot;:&quot;ec731b70-d0cc-34da-b342-9855f8522fd4&quot;,&quot;itemData&quot;:{&quot;type&quot;:&quot;webpage&quot;,&quot;id&quot;:&quot;ec731b70-d0cc-34da-b342-9855f8522fd4&quot;,&quot;title&quot;:&quot;The sustainability yearbook: Gender equality in the workplace: going beyond women on the board&quot;,&quot;author&quot;:[{&quot;family&quot;:&quot;S&amp;P Global&quot;,&quot;given&quot;:&quot;&quot;,&quot;parse-names&quot;:false,&quot;dropping-particle&quot;:&quot;&quot;,&quot;non-dropping-particle&quot;:&quot;&quot;}],&quot;issued&quot;:{&quot;date-parts&quot;:[[2021]]},&quot;page&quot;:&quot;38-57&quot;,&quot;container-title-short&quot;:&quot;&quot;},&quot;isTemporary&quot;:false},{&quot;id&quot;:&quot;4433bfce-28e3-364e-b881-d8ec8f07b0aa&quot;,&quot;itemData&quot;:{&quot;type&quot;:&quot;article-journal&quot;,&quot;id&quot;:&quot;4433bfce-28e3-364e-b881-d8ec8f07b0aa&quot;,&quot;title&quot;:&quot;Board gender diversity: implications for environment, social, and governance (ESG) performance of Indian firms&quot;,&quot;author&quot;:[{&quot;family&quot;:&quot;Yadav&quot;,&quot;given&quot;:&quot;Priti&quot;,&quot;parse-names&quot;:false,&quot;dropping-particle&quot;:&quot;&quot;,&quot;non-dropping-particle&quot;:&quot;&quot;},{&quot;family&quot;:&quot;Prashar&quot;,&quot;given&quot;:&quot;Anupama&quot;,&quot;parse-names&quot;:false,&quot;dropping-particle&quot;:&quot;&quot;,&quot;non-dropping-particle&quot;:&quot;&quot;}],&quot;container-title&quot;:&quot;International Journal of Productivity and Performance Management&quot;,&quot;issued&quot;:{&quot;date-parts&quot;:[[2022,5,31]]},&quot;page&quot;:&quot;1-20&quot;,&quot;container-title-short&quot;:&quot;&quot;},&quot;isTemporary&quot;:false},{&quot;id&quot;:&quot;482d58af-095d-3a5d-a7da-b87ffe308c08&quot;,&quot;itemData&quot;:{&quot;type&quot;:&quot;article-journal&quot;,&quot;id&quot;:&quot;482d58af-095d-3a5d-a7da-b87ffe308c08&quot;,&quot;title&quot;:&quot;Boardroom gender diversity and corporate sustainability practices: Evidence from Australian Securities Exchange listed firms&quot;,&quot;author&quot;:[{&quot;family&quot;:&quot;Nadeem&quot;,&quot;given&quot;:&quot;Muhammd&quot;,&quot;parse-names&quot;:false,&quot;dropping-particle&quot;:&quot;&quot;,&quot;non-dropping-particle&quot;:&quot;&quot;},{&quot;family&quot;:&quot;Zaman&quot;,&quot;given&quot;:&quot;Rashid&quot;,&quot;parse-names&quot;:false,&quot;dropping-particle&quot;:&quot;&quot;,&quot;non-dropping-particle&quot;:&quot;&quot;},{&quot;family&quot;:&quot;Saleem&quot;,&quot;given&quot;:&quot;Irfan&quot;,&quot;parse-names&quot;:false,&quot;dropping-particle&quot;:&quot;&quot;,&quot;non-dropping-particle&quot;:&quot;&quot;}],&quot;container-title&quot;:&quot;Journal of Cleaner Production&quot;,&quot;container-title-short&quot;:&quot;J Clean Prod&quot;,&quot;issued&quot;:{&quot;date-parts&quot;:[[2017]]},&quot;page&quot;:&quot;874-885&quot;,&quot;abstract&quot;:&quot;Recent regulatory changes in Australia require listed companies to implement policies for increasing board diversity and corporate sustainability practices and to report thereon. In this study the impact of boardroom gender diversity on corporate sustainability practices is investigated, by applying a well-developed dynamic panel generalized method of moments (GMM) estimator to control for endogeneity, on a sample of all Australian Securities Exchange (ASX) listed firms over the period of 2010–2014. The study findings reveal a significant positive relationship between women's representation on boards and corporate sustainability practices. The findings remained robust when two alternative proxies for gender diversity (Blau Index, women dummy) were employed. The findings highlight that corporate sustainability practices with the presence of female directors on board remarkably increased between 2010, when ASX amended principles came into effect, and 2014. These findings are important for two aspects. The first is for firms’ management, the regulators and for policy implications in promoting gender diversity and corporate sustainability practices. Secondly the policy debate is informed by providing empirical evidence supporting a board diversity case for corporate sustainability performance.&quot;,&quot;publisher&quot;:&quot;Elsevier Ltd&quot;,&quot;volume&quot;:&quot;149&quot;},&quot;isTemporary&quot;:false},{&quot;id&quot;:&quot;a3e19abf-6b15-3051-8fda-c67bf4ca81d8&quot;,&quot;itemData&quot;:{&quot;type&quot;:&quot;article-journal&quot;,&quot;id&quot;:&quot;a3e19abf-6b15-3051-8fda-c67bf4ca81d8&quot;,&quot;title&quot;:&quot;Board gender diversity, CSR strategy, and eco-friendly initiatives in the transportation and logistics sector&quot;,&quot;author&quot;:[{&quot;family&quot;:&quot;Kuzey&quot;,&quot;given&quot;:&quot;Cemil&quot;,&quot;parse-names&quot;:false,&quot;dropping-particle&quot;:&quot;&quot;,&quot;non-dropping-particle&quot;:&quot;&quot;},{&quot;family&quot;:&quot;Fritz&quot;,&quot;given&quot;:&quot;Morgane M.C.&quot;,&quot;parse-names&quot;:false,&quot;dropping-particle&quot;:&quot;&quot;,&quot;non-dropping-particle&quot;:&quot;&quot;},{&quot;family&quot;:&quot;Uyar&quot;,&quot;given&quot;:&quot;Ali&quot;,&quot;parse-names&quot;:false,&quot;dropping-particle&quot;:&quot;&quot;,&quot;non-dropping-particle&quot;:&quot;&quot;},{&quot;family&quot;:&quot;Karaman&quot;,&quot;given&quot;:&quot;Abdullah S.&quot;,&quot;parse-names&quot;:false,&quot;dropping-particle&quot;:&quot;&quot;,&quot;non-dropping-particle&quot;:&quot;&quot;}],&quot;container-title&quot;:&quot;International Journal of Production Economics&quot;,&quot;container-title-short&quot;:&quot;Int J Prod Econ&quot;,&quot;issued&quot;:{&quot;date-parts&quot;:[[2022]]},&quot;page&quot;:&quot;108436-10854&quot;,&quot;abstract&quot;:&quot;The criticism concerning environmental externalities of the transportation and logistics sector is mounting; hence, the purpose of this study is to investigate whether board gender diversity stimulates eco-friendly practices and to test whether a CSR strategy moderates this relationship in this sector. The data for the study were retrieved from the Thomson Reuters Eikon database between 2002 and 2019 and fixed-effects regression analysis was executed. The results indicate that female directors are influential in all aspects of eco-friendly practices while they have the greatest impact on eco-innovation. Furthermore, pursuing a CSR strategy fosters the sector's commitment to eco-friendly practices. Moreover, moderation analysis revealed that while CSR strategy moderates the association between board gender diversity and eco-innovation, moderation is not significant for resource use and emission reduction. However, when we use Shannon and Blau indices, we found stronger evidence of the moderating effect of CSR strategy between board gender diversity and eco-friendly practices. In addition, further tests indicated the existence of some quadratic relationships between test variables and eco-friendly practices. The originality of the study is arising from several aspects such as focusing exclusively on the transportation and logistics sector, adopting three proxies of board gender diversity (i.e., female proportion on board, Shannon Index, and Blau Index), exploring the interaction effect of two governance mechanisms on eco-friendly practices, and testing quadratic relationships between gender diversity and CSR strategy and eco-friendly practices. Furthermore, it investigates very specific environmental topics (i.e., eco-innovation, resource usage, and emissions) rather than CSR performance in general.&quot;,&quot;publisher&quot;:&quot;Elsevier B.V.&quot;,&quot;volume&quot;:&quot;247&quot;},&quot;isTemporary&quot;:false}],&quot;citationTag&quot;:&quot;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&quot;},{&quot;citationID&quot;:&quot;MENDELEY_CITATION_13cbdbc1-f94c-44f6-9977-29300b2138ba&quot;,&quot;properties&quot;:{&quot;noteIndex&quot;:0},&quot;isEdited&quot;:false,&quot;manualOverride&quot;:{&quot;isManuallyOverridden&quot;:false,&quot;citeprocText&quot;:&quot;(Kuzey &lt;i&gt;et al.&lt;/i&gt;, 2022; Nadeem &lt;i&gt;et al.&lt;/i&gt;, 2017)&quot;,&quot;manualOverrideText&quot;:&quot;&quot;},&quot;citationItems&quot;:[{&quot;id&quot;:&quot;a3e19abf-6b15-3051-8fda-c67bf4ca81d8&quot;,&quot;itemData&quot;:{&quot;type&quot;:&quot;article-journal&quot;,&quot;id&quot;:&quot;a3e19abf-6b15-3051-8fda-c67bf4ca81d8&quot;,&quot;title&quot;:&quot;Board gender diversity, CSR strategy, and eco-friendly initiatives in the transportation and logistics sector&quot;,&quot;author&quot;:[{&quot;family&quot;:&quot;Kuzey&quot;,&quot;given&quot;:&quot;Cemil&quot;,&quot;parse-names&quot;:false,&quot;dropping-particle&quot;:&quot;&quot;,&quot;non-dropping-particle&quot;:&quot;&quot;},{&quot;family&quot;:&quot;Fritz&quot;,&quot;given&quot;:&quot;Morgane M.C.&quot;,&quot;parse-names&quot;:false,&quot;dropping-particle&quot;:&quot;&quot;,&quot;non-dropping-particle&quot;:&quot;&quot;},{&quot;family&quot;:&quot;Uyar&quot;,&quot;given&quot;:&quot;Ali&quot;,&quot;parse-names&quot;:false,&quot;dropping-particle&quot;:&quot;&quot;,&quot;non-dropping-particle&quot;:&quot;&quot;},{&quot;family&quot;:&quot;Karaman&quot;,&quot;given&quot;:&quot;Abdullah S.&quot;,&quot;parse-names&quot;:false,&quot;dropping-particle&quot;:&quot;&quot;,&quot;non-dropping-particle&quot;:&quot;&quot;}],&quot;container-title&quot;:&quot;International Journal of Production Economics&quot;,&quot;container-title-short&quot;:&quot;Int J Prod Econ&quot;,&quot;issued&quot;:{&quot;date-parts&quot;:[[2022]]},&quot;page&quot;:&quot;108436-10854&quot;,&quot;abstract&quot;:&quot;The criticism concerning environmental externalities of the transportation and logistics sector is mounting; hence, the purpose of this study is to investigate whether board gender diversity stimulates eco-friendly practices and to test whether a CSR strategy moderates this relationship in this sector. The data for the study were retrieved from the Thomson Reuters Eikon database between 2002 and 2019 and fixed-effects regression analysis was executed. The results indicate that female directors are influential in all aspects of eco-friendly practices while they have the greatest impact on eco-innovation. Furthermore, pursuing a CSR strategy fosters the sector's commitment to eco-friendly practices. Moreover, moderation analysis revealed that while CSR strategy moderates the association between board gender diversity and eco-innovation, moderation is not significant for resource use and emission reduction. However, when we use Shannon and Blau indices, we found stronger evidence of the moderating effect of CSR strategy between board gender diversity and eco-friendly practices. In addition, further tests indicated the existence of some quadratic relationships between test variables and eco-friendly practices. The originality of the study is arising from several aspects such as focusing exclusively on the transportation and logistics sector, adopting three proxies of board gender diversity (i.e., female proportion on board, Shannon Index, and Blau Index), exploring the interaction effect of two governance mechanisms on eco-friendly practices, and testing quadratic relationships between gender diversity and CSR strategy and eco-friendly practices. Furthermore, it investigates very specific environmental topics (i.e., eco-innovation, resource usage, and emissions) rather than CSR performance in general.&quot;,&quot;publisher&quot;:&quot;Elsevier B.V.&quot;,&quot;volume&quot;:&quot;247&quot;},&quot;isTemporary&quot;:false},{&quot;id&quot;:&quot;482d58af-095d-3a5d-a7da-b87ffe308c08&quot;,&quot;itemData&quot;:{&quot;type&quot;:&quot;article-journal&quot;,&quot;id&quot;:&quot;482d58af-095d-3a5d-a7da-b87ffe308c08&quot;,&quot;title&quot;:&quot;Boardroom gender diversity and corporate sustainability practices: Evidence from Australian Securities Exchange listed firms&quot;,&quot;author&quot;:[{&quot;family&quot;:&quot;Nadeem&quot;,&quot;given&quot;:&quot;Muhammd&quot;,&quot;parse-names&quot;:false,&quot;dropping-particle&quot;:&quot;&quot;,&quot;non-dropping-particle&quot;:&quot;&quot;},{&quot;family&quot;:&quot;Zaman&quot;,&quot;given&quot;:&quot;Rashid&quot;,&quot;parse-names&quot;:false,&quot;dropping-particle&quot;:&quot;&quot;,&quot;non-dropping-particle&quot;:&quot;&quot;},{&quot;family&quot;:&quot;Saleem&quot;,&quot;given&quot;:&quot;Irfan&quot;,&quot;parse-names&quot;:false,&quot;dropping-particle&quot;:&quot;&quot;,&quot;non-dropping-particle&quot;:&quot;&quot;}],&quot;container-title&quot;:&quot;Journal of Cleaner Production&quot;,&quot;container-title-short&quot;:&quot;J Clean Prod&quot;,&quot;issued&quot;:{&quot;date-parts&quot;:[[2017]]},&quot;page&quot;:&quot;874-885&quot;,&quot;abstract&quot;:&quot;Recent regulatory changes in Australia require listed companies to implement policies for increasing board diversity and corporate sustainability practices and to report thereon. In this study the impact of boardroom gender diversity on corporate sustainability practices is investigated, by applying a well-developed dynamic panel generalized method of moments (GMM) estimator to control for endogeneity, on a sample of all Australian Securities Exchange (ASX) listed firms over the period of 2010–2014. The study findings reveal a significant positive relationship between women's representation on boards and corporate sustainability practices. The findings remained robust when two alternative proxies for gender diversity (Blau Index, women dummy) were employed. The findings highlight that corporate sustainability practices with the presence of female directors on board remarkably increased between 2010, when ASX amended principles came into effect, and 2014. These findings are important for two aspects. The first is for firms’ management, the regulators and for policy implications in promoting gender diversity and corporate sustainability practices. Secondly the policy debate is informed by providing empirical evidence supporting a board diversity case for corporate sustainability performance.&quot;,&quot;publisher&quot;:&quot;Elsevier Ltd&quot;,&quot;volume&quot;:&quot;149&quot;},&quot;isTemporary&quot;:false}],&quot;citationTag&quot;:&quot;MENDELEY_CITATION_v3_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&quot;},{&quot;citationID&quot;:&quot;MENDELEY_CITATION_1622adb4-066b-4c44-805d-c5b5ccbf94e3&quot;,&quot;properties&quot;:{&quot;noteIndex&quot;:0},&quot;isEdited&quot;:false,&quot;manualOverride&quot;:{&quot;isManuallyOverridden&quot;:false,&quot;citeprocText&quot;:&quot;(Flynn, 2020; LeBaron and Rühmkorf, 2017; New, 2015)&quot;,&quot;manualOverrideText&quot;:&quot;&quot;},&quot;citationItems&quot;:[{&quot;id&quot;:&quot;96bc26cd-022e-34b1-b9c6-30e3cb0b70aa&quot;,&quot;itemData&quot;:{&quot;type&quot;:&quot;article-journal&quot;,&quot;id&quot;:&quot;96bc26cd-022e-34b1-b9c6-30e3cb0b70aa&quot;,&quot;title&quot;:&quot;Modern slavery and the supply chain: the limits of corporate social responsibility?&quot;,&quot;author&quot;:[{&quot;family&quot;:&quot;New&quot;,&quot;given&quot;:&quot;Stephen John&quot;,&quot;parse-names&quot;:false,&quot;dropping-particle&quot;:&quot;&quot;,&quot;non-dropping-particle&quot;:&quot;&quot;}],&quot;container-title&quot;:&quot;Supply Chain Management: An International Journal&quot;,&quot;DOI&quot;:&quot;10.1108/SCM-06-2015-0201&quot;,&quot;ISSN&quot;:&quot;13598546&quot;,&quot;issued&quot;:{&quot;date-parts&quot;:[[2015,9,14]]},&quot;page&quot;:&quot;697-707&quot;,&quot;abstract&quot;:&quot;Purpose – This conceptual paper aims to examine modern slavery in the supply chain, showing how the issue challenges conventional thinking and practice in corporate social responsibility (CSR). Design/methodology/approach – The paper considers the differences between modern slavery and other concerns within CSR. It examines legal attempts to encourage supply chain transparency and the use of corporate CSR methods. An example of forced labour in UK agriculture is used to develop a critique of these approaches. The paper examines the challenges facing research in this important area. Findings – The paper shows that the distinctive characteristics of modern slavery may make conventional supply chain CSR practices relatively ineffective. A holistic perspective may be needed in future research. Research limitations/implications – Researchers need to focus less on the espoused policies of corporations, and more on the enacted practice. Social implications – Modern slavery is universally accepted as a shameful blight on society; firms’ supply chain practices may be part of the problem. Originality/value – The paper’s contribution is to point to the potential differences between modern slavery and other CSR-related issues and to highlight the paradox that firms’ approaches to the issue may run in parallel with actions that foster the problem in the first place.&quot;,&quot;publisher&quot;:&quot;Emerald Group Holdings Ltd.&quot;,&quot;issue&quot;:&quot;6&quot;,&quot;volume&quot;:&quot;20&quot;,&quot;container-title-short&quot;:&quot;&quot;},&quot;isTemporary&quot;:false},{&quot;id&quot;:&quot;ccd151d4-e57f-3654-92b0-e769985c95de&quot;,&quot;itemData&quot;:{&quot;type&quot;:&quot;article-journal&quot;,&quot;id&quot;:&quot;ccd151d4-e57f-3654-92b0-e769985c95de&quot;,&quot;title&quot;:&quot;Steering CSR Through Home State Regulation: A Comparison of the Impact of the UK Bribery Act and Modern Slavery Act on Global Supply Chain Governance&quot;,&quot;author&quot;:[{&quot;family&quot;:&quot;LeBaron&quot;,&quot;given&quot;:&quot;Genevieve&quot;,&quot;parse-names&quot;:false,&quot;dropping-particle&quot;:&quot;&quot;,&quot;non-dropping-particle&quot;:&quot;&quot;},{&quot;family&quot;:&quot;Rühmkorf&quot;,&quot;given&quot;:&quot;Andreas&quot;,&quot;parse-names&quot;:false,&quot;dropping-particle&quot;:&quot;&quot;,&quot;non-dropping-particle&quot;:&quot;&quot;}],&quot;container-title&quot;:&quot;Global Policy&quot;,&quot;container-title-short&quot;:&quot;Glob Policy&quot;,&quot;accessed&quot;:{&quot;date-parts&quot;:[[2023,5,17]]},&quot;DOI&quot;:&quot;10.1111/1758-5899.12398&quot;,&quot;ISSN&quot;:&quot;1758-5899&quot;,&quot;URL&quot;:&quot;https://onlinelibrary.wiley.com/doi/full/10.1111/1758-5899.12398&quot;,&quot;issued&quot;:{&quot;date-parts&quot;:[[2017,5,1]]},&quot;page&quot;:&quot;15-28&quot;,&quot;abstract&quot;:&quot;The home states of multinational enterprises have in recent years sought to use public regulation to fill the gaps left by the absence of a binding labour standards framework in international law. This article examines recent home state initiatives to address forced labour, human trafficking, and slavery in global supply chains, and their interactions with private governance initiatives. Focusing on a case study of the 2015 UK Modern Slavery Act and 2010 UK Bribery Act, we analyse two distinct legislative approaches that policy makers have used to promote corporate accountability within global supply chains and explore the varied impacts that these approaches have on corporate behaviour. Empirically, we analyse codes of conduct, annual CSR reports, and supplier terms and conditions for 25 FTSE 100 companies to shed light into the impact of the legislation on corporate behaviour. We find that legislation that creates criminal corporate liability appears to spur deeper changes to corporate strategy, and argue that in the case of the Modern Slavery Act, the triumph of voluntary reporting over more stringent public labour standards seems to have undermined the effectiveness of recent governance initiatives to address forced labour in global supply chains.&quot;,&quot;publisher&quot;:&quot;John Wiley &amp; Sons, Ltd&quot;,&quot;volume&quot;:&quot;8&quot;},&quot;isTemporary&quot;:false},{&quot;id&quot;:&quot;cd59f1b1-ff78-351f-a538-4aa969232ac0&quot;,&quot;itemData&quot;:{&quot;type&quot;:&quot;article-journal&quot;,&quot;id&quot;:&quot;cd59f1b1-ff78-351f-a538-4aa969232ac0&quot;,&quot;title&quot;:&quot;Determinants of corporate compliance with modern slavery reporting&quot;,&quot;author&quot;:[{&quot;family&quot;:&quot;Flynn&quot;,&quot;given&quot;:&quot;Anthony&quot;,&quot;parse-names&quot;:false,&quot;dropping-particle&quot;:&quot;&quot;,&quot;non-dropping-particle&quot;:&quot;&quot;}],&quot;container-title&quot;:&quot;Supply Chain Management: An International Journal&quot;,&quot;DOI&quot;:&quot;10.1108/SCM-10-2018-0369&quot;,&quot;ISSN&quot;:&quot;13598546&quot;,&quot;issued&quot;:{&quot;date-parts&quot;:[[2020,1,16]]},&quot;page&quot;:&quot;1-16&quot;,&quot;abstract&quot;:&quot;Purpose: This paper aims to investigate the determinants of corporate compliance with the transparency in supply chains provision of the UK Modern Slavery Act. While recent scholarship has described what firms are doing to comply with this Act, no attempt has been made to explain their behaviour. Design/methodology/approach: A predictive model of corporate compliance with modern slavery reporting is tested using secondary data from Financial Times Stock Exchange 350 firms. The model is informed by institutional theory and, in particular, by Oliver’s (1991) insights into the conditions under, which firms respond to institutional pressures. Findings: Compliance with modern slavery reporting is found to be significantly related to firm size, prior social responsibility commitment, network involvement, industry and headquarter base (UK versus non-UK). Other predictors such as media exposure, shareholder concentration and profitability are found to be non-significant. Research limitations/implications: The focus is on the 350 largest publicly listed companies in the UK. The stances that firms outside of this cohort are taking on modern slavery reporting still need to be investigated. Practical implications: Compliance with the UK Modern Slavery Act varies by industry. Regulators should consider this as a part of risk profiling strategies and follow-up inspection of firms. Originality/value: This paper provides the first theoretically grounded examination of the organisational and environmental factors that determine corporate compliance with modern slavery reporting.&quot;,&quot;publisher&quot;:&quot;Emerald Group Holdings Ltd.&quot;,&quot;issue&quot;:&quot;1&quot;,&quot;volume&quot;:&quot;25&quot;,&quot;container-title-short&quot;:&quot;&quot;},&quot;isTemporary&quot;:false}],&quot;citationTag&quot;:&quot;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&quot;},{&quot;citationID&quot;:&quot;MENDELEY_CITATION_487a5e6c-f4bb-47da-9dcb-adf12eba1518&quot;,&quot;properties&quot;:{&quot;noteIndex&quot;:0},&quot;isEdited&quot;:false,&quot;manualOverride&quot;:{&quot;isManuallyOverridden&quot;:false,&quot;citeprocText&quot;:&quot;(Helfaya and Moussa, 2017; Qiu &lt;i&gt;et al.&lt;/i&gt;, 2016; Shaukat &lt;i&gt;et al.&lt;/i&gt;, 2016)&quot;,&quot;manualOverrideText&quot;:&quot;&quot;},&quot;citationItems&quot;:[{&quot;id&quot;:&quot;19df8b13-8bb0-3029-8918-5827c0f859a2&quot;,&quot;itemData&quot;:{&quot;type&quot;:&quot;article-journal&quot;,&quot;id&quot;:&quot;19df8b13-8bb0-3029-8918-5827c0f859a2&quot;,&quot;title&quot;:&quot;Do Board's Corporate Social Responsibility Strategy and Orientation Influence Environmental Sustainability Disclosure? UK Evidence&quot;,&quot;author&quot;:[{&quot;family&quot;:&quot;Helfaya&quot;,&quot;given&quot;:&quot;Akrum&quot;,&quot;parse-names&quot;:false,&quot;dropping-particle&quot;:&quot;&quot;,&quot;non-dropping-particle&quot;:&quot;&quot;},{&quot;family&quot;:&quot;Moussa&quot;,&quot;given&quot;:&quot;Tantawy&quot;,&quot;parse-names&quot;:false,&quot;dropping-particle&quot;:&quot;&quot;,&quot;non-dropping-particle&quot;:&quot;&quot;}],&quot;container-title&quot;:&quot;Business Strategy and the Environment&quot;,&quot;container-title-short&quot;:&quot;Bus Strategy Environ&quot;,&quot;issued&quot;:{&quot;date-parts&quot;:[[2017,12,1]]},&quot;page&quot;:&quot;1061-1077&quot;,&quot;abstract&quot;:&quot;The environmental implications of corporate economic activities have led to growing demands for firms and their boards to adopt sustainable strategies and to disseminate more useful information about their activities and impacts on environment. This paper investigates the impact of board's corporate social responsibility (CSR) strategy and orientation on the quantity and quality of environmental sustainability disclosure in UK listed firms. We find that effective board CSR strategy and CSR-oriented directors have a positive and significant impact on the quality of environmental sustainability disclosure, but not on the quantity. Our findings also suggest that the existence of a CSR committee and issuance of a stand-alone CSR report are positively and significantly related to environmental sustainability disclosure. When we distinguish between firms with high and low environmental risk, we find that the board CSR/sustainability practices that affect the quantity (quality) of environmental sustainability disclosure appear to be driven more by highly (lowly) environmentally sensitive firms. These results suggest that the board CSR/sustainability practices play an important role in ensuring a firm's legitimacy and accountability towards stakeholders. Our findings shed new light on this under-researched area and could be of interest to companies, policy-makers and other stakeholders. Copyright © 2017 John Wiley &amp; Sons, Ltd and ERP Environment.&quot;,&quot;publisher&quot;:&quot;John Wiley and Sons Ltd&quot;,&quot;issue&quot;:&quot;8&quot;,&quot;volume&quot;:&quot;26&quot;},&quot;isTemporary&quot;:false},{&quot;id&quot;:&quot;a44fa5e0-9915-38b9-9ac3-6c6a699f725a&quot;,&quot;itemData&quot;:{&quot;type&quot;:&quot;article-journal&quot;,&quot;id&quot;:&quot;a44fa5e0-9915-38b9-9ac3-6c6a699f725a&quot;,&quot;title&quot;:&quot;Environmental and social disclosures: Link with corporate financial performance&quot;,&quot;author&quot;:[{&quot;family&quot;:&quot;Qiu&quot;,&quot;given&quot;:&quot;Yan&quot;,&quot;parse-names&quot;:false,&quot;dropping-particle&quot;:&quot;&quot;,&quot;non-dropping-particle&quot;:&quot;&quot;},{&quot;family&quot;:&quot;Shaukat&quot;,&quot;given&quot;:&quot;Amama&quot;,&quot;parse-names&quot;:false,&quot;dropping-particle&quot;:&quot;&quot;,&quot;non-dropping-particle&quot;:&quot;&quot;},{&quot;family&quot;:&quot;Tharyan&quot;,&quot;given&quot;:&quot;Rajesh&quot;,&quot;parse-names&quot;:false,&quot;dropping-particle&quot;:&quot;&quot;,&quot;non-dropping-particle&quot;:&quot;&quot;}],&quot;container-title&quot;:&quot;British Accounting Review&quot;,&quot;accessed&quot;:{&quot;date-parts&quot;:[[2022,11,24]]},&quot;ISSN&quot;:&quot;10958347&quot;,&quot;issued&quot;:{&quot;date-parts&quot;:[[2016,3,1]]},&quot;page&quot;:&quot;102-116&quot;,&quot;abstract&quot;:&quot;Environmental and social disclosures entail costs, yet increasingly, large listed firms are making higher and better quality disclosures. In this paper we examine the link between a firm's environmental and social disclosures and its profitability and market value. We find that past profitability drives current social disclosures. However, consistent with the existing evidence, we do not find any relation between environmental disclosures and profitability. Further, while prior literature has largely focussed on environmental disclosure, we find that it is the social disclosures that matter to investors. We find that firms that make higher social disclosures have higher market values. Further analysis reveals that this link is driven by higher expected growth rates in the cash flows of such companies. Overall our findings are consistent with the resource based view of the firm and the voluntary disclosure theory, suggesting that firms with greater economic resources make more extensive disclosures which yield net positive economic benefits.&quot;,&quot;publisher&quot;:&quot;Academic Press&quot;,&quot;issue&quot;:&quot;1&quot;,&quot;volume&quot;:&quot;48&quot;,&quot;container-title-short&quot;:&quot;&quot;},&quot;isTemporary&quot;:false},{&quot;id&quot;:&quot;27acae37-8bfd-3dd0-a6ff-a103be838eda&quot;,&quot;itemData&quot;:{&quot;type&quot;:&quot;article-journal&quot;,&quot;id&quot;:&quot;27acae37-8bfd-3dd0-a6ff-a103be838eda&quot;,&quot;title&quot;:&quot;Board Attributes, Corporate Social Responsibility Strategy, and Corporate Environmental and Social Performance&quot;,&quot;author&quot;:[{&quot;family&quot;:&quot;Shaukat&quot;,&quot;given&quot;:&quot;Amama&quot;,&quot;parse-names&quot;:false,&quot;dropping-particle&quot;:&quot;&quot;,&quot;non-dropping-particle&quot;:&quot;&quot;},{&quot;family&quot;:&quot;Qiu&quot;,&quot;given&quot;:&quot;Yan&quot;,&quot;parse-names&quot;:false,&quot;dropping-particle&quot;:&quot;&quot;,&quot;non-dropping-particle&quot;:&quot;&quot;},{&quot;family&quot;:&quot;Trojanowski&quot;,&quot;given&quot;:&quot;Grzegorz&quot;,&quot;parse-names&quot;:false,&quot;dropping-particle&quot;:&quot;&quot;,&quot;non-dropping-particle&quot;:&quot;&quot;}],&quot;container-title&quot;:&quot; Journal of Business Ethics&quot;,&quot;accessed&quot;:{&quot;date-parts&quot;:[[2022,7,26]]},&quot;issued&quot;:{&quot;date-parts&quot;:[[2016]]},&quot;page&quot;:&quot;569-585&quot;,&quot;abstract&quot;:&quot;In this paper, we draw on insights from theories in the management and corporate governance literature to develop a theoretical model that makes explicit the links between a firm's corporate social responsibility (CSR) related board attributes, its board CSR strategy, and its environmental and social performance. We then test the model using structural equation modeling approach. We find that the greater the CSR orientation of the board (as measured by the board's independence, gender diversity, and financial expertise on audit committee), the more proactive and comprehensive the firm's CSR strategy, and the higher its environmental and social performance. Moreover, we find this link to be endogenous and self-reinforcing, with superior CSR performers tending to further strengthen their board CSR orientation. This result while positive is also suggestive of the widening of the gap between the leads and laggards in CSR. Therefore, the question arises as to how 'leaders' are using their superior CSR competencies seen by many scholars as a source of corporate (at times unfair) competitive advantage. Stake-holders of corporations therefore need to be cognizant of this aspect of CSR when evaluating a firm's CSR activities. Policy makers also need to be cognizant of these concerns when designing regulation in this field. Keywords Board of directors Á Corporate governance Á Corporate social responsibility (CSR) Á Resource based view (RBV) Á Resource dependence theory (RDT) Á Structural equation modeling (SEM)&quot;,&quot;issue&quot;:&quot;3&quot;,&quot;volume&quot;:&quot;135&quot;,&quot;container-title-short&quot;:&quot;&quot;},&quot;isTemporary&quot;:false}],&quot;citationTag&quot;:&quot;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&quot;},{&quot;citationID&quot;:&quot;MENDELEY_CITATION_5d702338-a857-4c8f-9054-d526dc71df10&quot;,&quot;properties&quot;:{&quot;noteIndex&quot;:0},&quot;isEdited&quot;:false,&quot;manualOverride&quot;:{&quot;isManuallyOverridden&quot;:true,&quot;citeprocText&quot;:&quot;(Shaukat &lt;i&gt;et al.&lt;/i&gt;, 2016)&quot;,&quot;manualOverrideText&quot;:&quot;Shaukat et al  (2016)&quot;},&quot;citationItems&quot;:[{&quot;id&quot;:&quot;27acae37-8bfd-3dd0-a6ff-a103be838eda&quot;,&quot;itemData&quot;:{&quot;type&quot;:&quot;article-journal&quot;,&quot;id&quot;:&quot;27acae37-8bfd-3dd0-a6ff-a103be838eda&quot;,&quot;title&quot;:&quot;Board Attributes, Corporate Social Responsibility Strategy, and Corporate Environmental and Social Performance&quot;,&quot;author&quot;:[{&quot;family&quot;:&quot;Shaukat&quot;,&quot;given&quot;:&quot;Amama&quot;,&quot;parse-names&quot;:false,&quot;dropping-particle&quot;:&quot;&quot;,&quot;non-dropping-particle&quot;:&quot;&quot;},{&quot;family&quot;:&quot;Qiu&quot;,&quot;given&quot;:&quot;Yan&quot;,&quot;parse-names&quot;:false,&quot;dropping-particle&quot;:&quot;&quot;,&quot;non-dropping-particle&quot;:&quot;&quot;},{&quot;family&quot;:&quot;Trojanowski&quot;,&quot;given&quot;:&quot;Grzegorz&quot;,&quot;parse-names&quot;:false,&quot;dropping-particle&quot;:&quot;&quot;,&quot;non-dropping-particle&quot;:&quot;&quot;}],&quot;container-title&quot;:&quot; Journal of Business Ethics&quot;,&quot;accessed&quot;:{&quot;date-parts&quot;:[[2022,7,26]]},&quot;issued&quot;:{&quot;date-parts&quot;:[[2016]]},&quot;page&quot;:&quot;569-585&quot;,&quot;abstract&quot;:&quot;In this paper, we draw on insights from theories in the management and corporate governance literature to develop a theoretical model that makes explicit the links between a firm's corporate social responsibility (CSR) related board attributes, its board CSR strategy, and its environmental and social performance. We then test the model using structural equation modeling approach. We find that the greater the CSR orientation of the board (as measured by the board's independence, gender diversity, and financial expertise on audit committee), the more proactive and comprehensive the firm's CSR strategy, and the higher its environmental and social performance. Moreover, we find this link to be endogenous and self-reinforcing, with superior CSR performers tending to further strengthen their board CSR orientation. This result while positive is also suggestive of the widening of the gap between the leads and laggards in CSR. Therefore, the question arises as to how 'leaders' are using their superior CSR competencies seen by many scholars as a source of corporate (at times unfair) competitive advantage. Stake-holders of corporations therefore need to be cognizant of this aspect of CSR when evaluating a firm's CSR activities. Policy makers also need to be cognizant of these concerns when designing regulation in this field. Keywords Board of directors Á Corporate governance Á Corporate social responsibility (CSR) Á Resource based view (RBV) Á Resource dependence theory (RDT) Á Structural equation modeling (SEM)&quot;,&quot;issue&quot;:&quot;3&quot;,&quot;volume&quot;:&quot;135&quot;,&quot;container-title-short&quot;:&quot;&quot;},&quot;isTemporary&quot;:false}],&quot;citationTag&quot;:&quot;MENDELEY_CITATION_v3_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&quot;},{&quot;citationID&quot;:&quot;MENDELEY_CITATION_5afbad60-a1a8-4ba9-9a58-2ca2faf73978&quot;,&quot;properties&quot;:{&quot;noteIndex&quot;:0},&quot;isEdited&quot;:false,&quot;manualOverride&quot;:{&quot;isManuallyOverridden&quot;:false,&quot;citeprocText&quot;:&quot;(Cuadrado-Ballesteros &lt;i&gt;et al.&lt;/i&gt;, 2015; Helfaya and Moussa, 2017)&quot;,&quot;manualOverrideText&quot;:&quot;&quot;},&quot;citationItems&quot;:[{&quot;id&quot;:&quot;19df8b13-8bb0-3029-8918-5827c0f859a2&quot;,&quot;itemData&quot;:{&quot;type&quot;:&quot;article-journal&quot;,&quot;id&quot;:&quot;19df8b13-8bb0-3029-8918-5827c0f859a2&quot;,&quot;title&quot;:&quot;Do Board's Corporate Social Responsibility Strategy and Orientation Influence Environmental Sustainability Disclosure? UK Evidence&quot;,&quot;author&quot;:[{&quot;family&quot;:&quot;Helfaya&quot;,&quot;given&quot;:&quot;Akrum&quot;,&quot;parse-names&quot;:false,&quot;dropping-particle&quot;:&quot;&quot;,&quot;non-dropping-particle&quot;:&quot;&quot;},{&quot;family&quot;:&quot;Moussa&quot;,&quot;given&quot;:&quot;Tantawy&quot;,&quot;parse-names&quot;:false,&quot;dropping-particle&quot;:&quot;&quot;,&quot;non-dropping-particle&quot;:&quot;&quot;}],&quot;container-title&quot;:&quot;Business Strategy and the Environment&quot;,&quot;container-title-short&quot;:&quot;Bus Strategy Environ&quot;,&quot;issued&quot;:{&quot;date-parts&quot;:[[2017,12,1]]},&quot;page&quot;:&quot;1061-1077&quot;,&quot;abstract&quot;:&quot;The environmental implications of corporate economic activities have led to growing demands for firms and their boards to adopt sustainable strategies and to disseminate more useful information about their activities and impacts on environment. This paper investigates the impact of board's corporate social responsibility (CSR) strategy and orientation on the quantity and quality of environmental sustainability disclosure in UK listed firms. We find that effective board CSR strategy and CSR-oriented directors have a positive and significant impact on the quality of environmental sustainability disclosure, but not on the quantity. Our findings also suggest that the existence of a CSR committee and issuance of a stand-alone CSR report are positively and significantly related to environmental sustainability disclosure. When we distinguish between firms with high and low environmental risk, we find that the board CSR/sustainability practices that affect the quantity (quality) of environmental sustainability disclosure appear to be driven more by highly (lowly) environmentally sensitive firms. These results suggest that the board CSR/sustainability practices play an important role in ensuring a firm's legitimacy and accountability towards stakeholders. Our findings shed new light on this under-researched area and could be of interest to companies, policy-makers and other stakeholders. Copyright © 2017 John Wiley &amp; Sons, Ltd and ERP Environment.&quot;,&quot;publisher&quot;:&quot;John Wiley and Sons Ltd&quot;,&quot;issue&quot;:&quot;8&quot;,&quot;volume&quot;:&quot;26&quot;},&quot;isTemporary&quot;:false},{&quot;id&quot;:&quot;a95761b6-eff0-3e01-838e-31dc2bf82991&quot;,&quot;itemData&quot;:{&quot;type&quot;:&quot;article-journal&quot;,&quot;id&quot;:&quot;a95761b6-eff0-3e01-838e-31dc2bf82991&quot;,&quot;title&quot;:&quot;The role of independent directors at family firms in relation to corporate social responsibility disclosures&quot;,&quot;author&quot;:[{&quot;family&quot;:&quot;Cuadrado-Ballesteros&quot;,&quot;given&quot;:&quot;Beatriz&quot;,&quot;parse-names&quot;:false,&quot;dropping-particle&quot;:&quot;&quot;,&quot;non-dropping-particle&quot;:&quot;&quot;},{&quot;family&quot;:&quot;Rodríguez-Ariza&quot;,&quot;given&quot;:&quot;Lázaro&quot;,&quot;parse-names&quot;:false,&quot;dropping-particle&quot;:&quot;&quot;,&quot;non-dropping-particle&quot;:&quot;&quot;},{&quot;family&quot;:&quot;García-Sánchez&quot;,&quot;given&quot;:&quot;Isabel María&quot;,&quot;parse-names&quot;:false,&quot;dropping-particle&quot;:&quot;&quot;,&quot;non-dropping-particle&quot;:&quot;&quot;}],&quot;container-title&quot;:&quot;International Business Review&quot;,&quot;accessed&quot;:{&quot;date-parts&quot;:[[2022,8,30]]},&quot;ISSN&quot;:&quot;0969-5931&quot;,&quot;issued&quot;:{&quot;date-parts&quot;:[[2015,10,1]]},&quot;page&quot;:&quot;890-901&quot;,&quot;abstract&quot;:&quot;In the last few decades, interest in family firms has increased. There are several analyses in relation to leadership, ownership and succession-related topics, but they omit issues related to stakeholders and corporate social responsibility (CSR). This study broadens empirical evidence in this respect. Using a sample composed of internationally listed companies for the period 2003-2009, we analyse CSR information disclosures in family businesses, as well as the fundamental role of the independence of the board in this regard. Our results show that, in general, the higher the proportion of independent directors, the higher the level of CSR information disclosures; but, in the concrete case of family firms, the \&quot;independence\&quot; of these directors disappeared, thereby reducing the positive association with information disclosure; this was because independent directors may be strongly influenced by family owners, and even by personal or familiar ties.&quot;,&quot;publisher&quot;:&quot;Pergamon&quot;,&quot;issue&quot;:&quot;5&quot;,&quot;volume&quot;:&quot;24&quot;,&quot;container-title-short&quot;:&quot;&quot;},&quot;isTemporary&quot;:false}],&quot;citationTag&quot;:&quot;MENDELEY_CITATION_v3_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&quot;},{&quot;citationID&quot;:&quot;MENDELEY_CITATION_655f4734-0efe-417e-bb8a-090d55fb3502&quot;,&quot;properties&quot;:{&quot;noteIndex&quot;:0},&quot;isEdited&quot;:false,&quot;manualOverride&quot;:{&quot;isManuallyOverridden&quot;:true,&quot;citeprocText&quot;:&quot;(Islam and McPhail, 2011a; Obara and Peattie, 2018)&quot;,&quot;manualOverrideText&quot;:&quot;(Islam and McPhail, 2011; Obara and Peattie, 2018)&quot;},&quot;citationItems&quot;:[{&quot;id&quot;:&quot;58d18ab2-6471-366b-b126-c64194de8630&quot;,&quot;itemData&quot;:{&quot;type&quot;:&quot;article-journal&quot;,&quot;id&quot;:&quot;58d18ab2-6471-366b-b126-c64194de8630&quot;,&quot;title&quot;:&quot;Regulating for corporate human rights abuses: The emergence of corporate reporting on the ILO's human rights standards within the global garment manufacturing and retail industry&quot;,&quot;author&quot;:[{&quot;family&quot;:&quot;Islam&quot;,&quot;given&quot;:&quot;Muhammad Azizul&quot;,&quot;parse-names&quot;:false,&quot;dropping-particle&quot;:&quot;&quot;,&quot;non-dropping-particle&quot;:&quot;&quot;},{&quot;family&quot;:&quot;McPhail&quot;,&quot;given&quot;:&quot;Ken&quot;,&quot;parse-names&quot;:false,&quot;dropping-particle&quot;:&quot;&quot;,&quot;non-dropping-particle&quot;:&quot;&quot;}],&quot;container-title&quot;:&quot;Critical Perspectives on Accounting&quot;,&quot;issued&quot;:{&quot;date-parts&quot;:[[2011,11]]},&quot;page&quot;:&quot;790-810&quot;,&quot;abstract&quot;:&quot;Despite the ubiquitous nature of the discourse on human rights there is currently little research on the emergence of disclosure by multinational corporations on their human rights obligations or the regulatory dynamic that may lie behind this trend. In an attempt to begin to explore the extent to which, if any, the language of human rights has entered the discourse of corporate accountability, this paper investigates the adoption of the International Labour Organisation's (ILO) human rights standards by major multinational garment retail companies that source products from developing countries, as disclosed through their reporting media. The paper has three objectives. Firstly, to empirically explore the extent to which a group of multinational garment retailers invoke the language of human rights when disclosing their corporate responsibilities. The paper reviews corporate reporting media including social responsibility codes of conduct, annual reports and stand-alone social responsibility reports released by 18 major global clothing and retail companies during a period from 1990 to 2007. We find that the number of companies adopting and disclosing on the ILO's workplace human rights standards has significantly increased since 1998 - the year in which the ILO's standards were endorsed and accepted by the global community (ILO, 1998). Secondly, drawing on a combination of Responsive Regulation theory and neo-institutional theory, we tentatively seek to understand the regulatory space that may have influenced these large corporations to adopt the language of human rights obligations. In particular, we study the role that International Governmental Organisation's (IGO) such as ILO may have played in these disclosures. Finally, we provide some critical reflections on the power and potential within the corporate adoption of the language of human rights. © 2011 Elsevier Ltd.&quot;,&quot;issue&quot;:&quot;8&quot;,&quot;volume&quot;:&quot;22&quot;,&quot;container-title-short&quot;:&quot;&quot;},&quot;isTemporary&quot;:false},{&quot;id&quot;:&quot;64a7ac8e-ec83-359d-a226-23f991e8ccaf&quot;,&quot;itemData&quot;:{&quot;type&quot;:&quot;article-journal&quot;,&quot;id&quot;:&quot;64a7ac8e-ec83-359d-a226-23f991e8ccaf&quot;,&quot;title&quot;:&quot;Bridging the great divide? Making sense of the human rights-CSR relationship in UK multinational companies&quot;,&quot;author&quot;:[{&quot;family&quot;:&quot;Obara&quot;,&quot;given&quot;:&quot;Louise J.&quot;,&quot;parse-names&quot;:false,&quot;dropping-particle&quot;:&quot;&quot;,&quot;non-dropping-particle&quot;:&quot;&quot;},{&quot;family&quot;:&quot;Peattie&quot;,&quot;given&quot;:&quot;Ken&quot;,&quot;parse-names&quot;:false,&quot;dropping-particle&quot;:&quot;&quot;,&quot;non-dropping-particle&quot;:&quot;&quot;}],&quot;container-title&quot;:&quot;Journal of World Business&quot;,&quot;issued&quot;:{&quot;date-parts&quot;:[[2018]]},&quot;page&quot;:&quot;781-793&quot;,&quot;abstract&quot;:&quot;Human rights (HR) and corporate social responsibility (CSR) are both fields of knowledge and research that have been shaped by, and examine, the role of multi-national enterprises in society. Whilst scholars have highlighted the overlapping nature of CSR and HR, our understanding of this relationship within business practice remains vague and under-researched. To explore the interface between CSR and HR, this paper presents empirical data from a qualitative study involving 22 international businesses based in the UK. Through an analysis based on sensemaking, the paper examines how and where CSR and HR overlap, contrast and shape one another, and the role that companies’ international operations has on this relationship. The findings reveal a complex and multi-layered relationship between the two, and concludes that in contrast to management theory, companies have bridged the ‘great divide’ in varying degrees most notably in their implementation strategies.&quot;,&quot;publisher&quot;:&quot;Elsevier&quot;,&quot;issue&quot;:&quot;6&quot;,&quot;volume&quot;:&quot;53&quot;,&quot;container-title-short&quot;:&quot;&quot;},&quot;isTemporary&quot;:false}],&quot;citationTag&quot;:&quot;MENDELEY_CITATION_v3_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&quot;},{&quot;citationID&quot;:&quot;MENDELEY_CITATION_7054a751-6908-4896-9917-ac869e85bd4c&quot;,&quot;properties&quot;:{&quot;noteIndex&quot;:0},&quot;isEdited&quot;:false,&quot;manualOverride&quot;:{&quot;isManuallyOverridden&quot;:false,&quot;citeprocText&quot;:&quot;(Emeseh and Songi, 2014; Lu and Wang, 2021; Wettstein, 2012)&quot;,&quot;manualOverrideText&quot;:&quot;&quot;},&quot;citationItems&quot;:[{&quot;id&quot;:&quot;83d5148d-c08d-31f1-a9e4-26c237b98f74&quot;,&quot;itemData&quot;:{&quot;type&quot;:&quot;article-journal&quot;,&quot;id&quot;:&quot;83d5148d-c08d-31f1-a9e4-26c237b98f74&quot;,&quot;title&quot;:&quot;CSR, human rights abuse and sustainability report accountability&quot;,&quot;author&quot;:[{&quot;family&quot;:&quot;Emeseh&quot;,&quot;given&quot;:&quot;Engobo&quot;,&quot;parse-names&quot;:false,&quot;dropping-particle&quot;:&quot;&quot;,&quot;non-dropping-particle&quot;:&quot;&quot;},{&quot;family&quot;:&quot;Songi&quot;,&quot;given&quot;:&quot;Ondotimi&quot;,&quot;parse-names&quot;:false,&quot;dropping-particle&quot;:&quot;&quot;,&quot;non-dropping-particle&quot;:&quot;&quot;}],&quot;container-title&quot;:&quot;International Journal of Law and Management&quot;,&quot;URL&quot;:&quot;www.emeraldinsight.com/1754-243X.htm&quot;,&quot;issued&quot;:{&quot;date-parts&quot;:[[2014]]},&quot;page&quot;:&quot;136-151&quot;,&quot;abstract&quot;:&quot;Purpose-CSR within a purely voluntary context has so far not made meaningful contributions to the problem of corporate environmental and human rights abuses in Africa. The paper therefore aims to improve the effectiveness of CSR in the continent by making companies accountable for the veracity of statements they have voluntarily put out in the public domain. Design/methodology/approach-The paper adopts the stakeholder and legitimacy theories and information regulation as its framework of analysis. Following a discourse on the developments in and limitations of sustainability, the paper constructs an argument in line with these theories how these reports can still be utilised to make meaningful contribution towards strengthening CSR through accountability for false and misleading statements. Findings-Corporations have a stake in information in sustainability reports with regard to their corporate image and reputation. Therefore, under the appropriate framework, utilising corporate accountability for false and misleading statements by companies has promise for making CSR more effective. Research limitations/implications-The main limitations of this research is the political will of national governments in Africa to undertake such an exercise and the relative ability of civil society groups in light of the power of corporations to effectively hold them to account through the models proposed. Originality/value-The paper is interdisciplinary, drawing upon both management and legal theories. A significant contribution of this research is its pragmatic approach which goes beyond calling for legal platform for CSR by recommending a model for accountability within the existing voluntary CSR framework.&quot;,&quot;issue&quot;:&quot;2&quot;,&quot;volume&quot;:&quot;56&quot;,&quot;container-title-short&quot;:&quot;&quot;},&quot;isTemporary&quot;:false},{&quot;id&quot;:&quot;8cd998a6-7872-32b3-be55-eaa1624d8fb8&quot;,&quot;itemData&quot;:{&quot;type&quot;:&quot;article-journal&quot;,&quot;id&quot;:&quot;8cd998a6-7872-32b3-be55-eaa1624d8fb8&quot;,&quot;title&quot;:&quot;Corporate governance, law, culture, environmental performance and CSR disclosure: A global perspective&quot;,&quot;author&quot;:[{&quot;family&quot;:&quot;Lu&quot;,&quot;given&quot;:&quot;Jing&quot;,&quot;parse-names&quot;:false,&quot;dropping-particle&quot;:&quot;&quot;,&quot;non-dropping-particle&quot;:&quot;&quot;},{&quot;family&quot;:&quot;Wang&quot;,&quot;given&quot;:&quot;Jun&quot;,&quot;parse-names&quot;:false,&quot;dropping-particle&quot;:&quot;&quot;,&quot;non-dropping-particle&quot;:&quot;&quot;}],&quot;container-title&quot;:&quot;Journal of International Financial Markets, Institutions and Money&quot;,&quot;ISSN&quot;:&quot;10424431&quot;,&quot;issued&quot;:{&quot;date-parts&quot;:[[2021,1,1]]},&quot;abstract&quot;:&quot;This paper investigates the impact of corporate governance and culture background on firms’ environmental performance and CSR disclosure from a global perspective. It provides evidence of a positive relationship between environmental performance and CSR disclosure, supporting the voluntary disclosure theory. We find that common internal corporate governance best practices (such as CEO non-duality, ESG committees and gender diversified boards) are associated with better environmental performance and more disclosure of CSR related information. Debt is an effective internal governance vehicle and positively affects firms’ environmental performance and CSR disclosure. Cross-listed firms perform better environmentally and disclose more CSR information. Firms residing in countries with stronger legal systems have less voluntary CSR disclosure, implying that external governance is functional and may partially serve as a substitute for internal governance. In terms of culture influence, we find that firms in countries with low power distance, individualism, femininity, high uncertainty avoidance, and long-term orientation perform better environmentally. Firms in low power distance, collectivistic, feminine, long-term oriented, high uncertainty avoidance and restrained countries disclose more CSR information.&quot;,&quot;publisher&quot;:&quot;Elsevier Ltd&quot;,&quot;volume&quot;:&quot;70&quot;,&quot;container-title-short&quot;:&quot;&quot;},&quot;isTemporary&quot;:false},{&quot;id&quot;:&quot;c57a9af0-c0fc-3835-adb3-2b934bd950ac&quot;,&quot;itemData&quot;:{&quot;type&quot;:&quot;article-journal&quot;,&quot;id&quot;:&quot;c57a9af0-c0fc-3835-adb3-2b934bd950ac&quot;,&quot;title&quot;:&quot;CSR and the Debate on Business and Human Rights: Bridging the Great Divide&quot;,&quot;author&quot;:[{&quot;family&quot;:&quot;Wettstein&quot;,&quot;given&quot;:&quot;Florian&quot;,&quot;parse-names&quot;:false,&quot;dropping-particle&quot;:&quot;&quot;,&quot;non-dropping-particle&quot;:&quot;&quot;}],&quot;container-title&quot;:&quot; Business Ethics Quarterly&quot;,&quot;issued&quot;:{&quot;date-parts&quot;:[[2012]]},&quot;page&quot;:&quot;739-770&quot;,&quot;abstract&quot;:&quot;Human rights have not played an overwhelmingly prominent role in CSR in the past. Similarly, CSR has had relatively little influence on what is now called the \&quot;business and human rights debate.\&quot; This contribution uncovers some of the reasons for the rather peculiar disconnect between these two debates and, based on it, presents some apparent synergies and complementarities between the two. A closer integration of the two debates, as it argues, would allow for the formulation of an expansive and demanding conception of corporate human rights obligations. Such a conception does not stop with corporate obligations \&quot;merely\&quot; to respect human rights, but includes an extended focus on proactive company involvement in the protection and realization of human rights. In other words, the integration of the two debates provides the space within which to formulate positive human rights obligations for corporations.&quot;,&quot;issue&quot;:&quot;4&quot;,&quot;volume&quot;:&quot;22&quot;,&quot;container-title-short&quot;:&quot;&quot;},&quot;isTemporary&quot;:false}],&quot;citationTag&quot;:&quot;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&quot;},{&quot;citationID&quot;:&quot;MENDELEY_CITATION_ddaec724-61a3-4de5-80cf-d185bf4f8ece&quot;,&quot;properties&quot;:{&quot;noteIndex&quot;:0},&quot;isEdited&quot;:false,&quot;manualOverride&quot;:{&quot;isManuallyOverridden&quot;:true,&quot;citeprocText&quot;:&quot;(Gillan &lt;i&gt;et al.&lt;/i&gt;, 2021; Hamed &lt;i&gt;et al.&lt;/i&gt;, 2022; Helfaya and Moussa, 2017)&quot;,&quot;manualOverrideText&quot;:&quot;(Helfaya and Moussa, 2017; Gillan, Koch, and Starks, 2021; Hamed et al., 2022)&quot;},&quot;citationItems&quot;:[{&quot;id&quot;:&quot;19df8b13-8bb0-3029-8918-5827c0f859a2&quot;,&quot;itemData&quot;:{&quot;type&quot;:&quot;article-journal&quot;,&quot;id&quot;:&quot;19df8b13-8bb0-3029-8918-5827c0f859a2&quot;,&quot;title&quot;:&quot;Do Board's Corporate Social Responsibility Strategy and Orientation Influence Environmental Sustainability Disclosure? UK Evidence&quot;,&quot;author&quot;:[{&quot;family&quot;:&quot;Helfaya&quot;,&quot;given&quot;:&quot;Akrum&quot;,&quot;parse-names&quot;:false,&quot;dropping-particle&quot;:&quot;&quot;,&quot;non-dropping-particle&quot;:&quot;&quot;},{&quot;family&quot;:&quot;Moussa&quot;,&quot;given&quot;:&quot;Tantawy&quot;,&quot;parse-names&quot;:false,&quot;dropping-particle&quot;:&quot;&quot;,&quot;non-dropping-particle&quot;:&quot;&quot;}],&quot;container-title&quot;:&quot;Business Strategy and the Environment&quot;,&quot;issued&quot;:{&quot;date-parts&quot;:[[2017,12,1]]},&quot;page&quot;:&quot;1061-1077&quot;,&quot;abstract&quot;:&quot;The environmental implications of corporate economic activities have led to growing demands for firms and their boards to adopt sustainable strategies and to disseminate more useful information about their activities and impacts on environment. This paper investigates the impact of board's corporate social responsibility (CSR) strategy and orientation on the quantity and quality of environmental sustainability disclosure in UK listed firms. We find that effective board CSR strategy and CSR-oriented directors have a positive and significant impact on the quality of environmental sustainability disclosure, but not on the quantity. Our findings also suggest that the existence of a CSR committee and issuance of a stand-alone CSR report are positively and significantly related to environmental sustainability disclosure. When we distinguish between firms with high and low environmental risk, we find that the board CSR/sustainability practices that affect the quantity (quality) of environmental sustainability disclosure appear to be driven more by highly (lowly) environmentally sensitive firms. These results suggest that the board CSR/sustainability practices play an important role in ensuring a firm's legitimacy and accountability towards stakeholders. Our findings shed new light on this under-researched area and could be of interest to companies, policy-makers and other stakeholders. Copyright © 2017 John Wiley &amp; Sons, Ltd and ERP Environment.&quot;,&quot;publisher&quot;:&quot;John Wiley and Sons Ltd&quot;,&quot;issue&quot;:&quot;8&quot;,&quot;volume&quot;:&quot;26&quot;,&quot;container-title-short&quot;:&quot;Bus Strategy Environ&quot;},&quot;isTemporary&quot;:false},{&quot;id&quot;:&quot;ee4ddf3c-465f-354b-8d11-051ed8ec04fc&quot;,&quot;itemData&quot;:{&quot;type&quot;:&quot;article-journal&quot;,&quot;id&quot;:&quot;ee4ddf3c-465f-354b-8d11-051ed8ec04fc&quot;,&quot;title&quot;:&quot;Firms and social responsibility: A review of ESG and CSR research in corporate finance&quot;,&quot;author&quot;:[{&quot;family&quot;:&quot;Gillan&quot;,&quot;given&quot;:&quot;Stuart L&quot;,&quot;parse-names&quot;:false,&quot;dropping-particle&quot;:&quot;&quot;,&quot;non-dropping-particle&quot;:&quot;&quot;},{&quot;family&quot;:&quot;Koch&quot;,&quot;given&quot;:&quot;Andrew&quot;,&quot;parse-names&quot;:false,&quot;dropping-particle&quot;:&quot;&quot;,&quot;non-dropping-particle&quot;:&quot;&quot;},{&quot;family&quot;:&quot;Starks&quot;,&quot;given&quot;:&quot;Laura T&quot;,&quot;parse-names&quot;:false,&quot;dropping-particle&quot;:&quot;&quot;,&quot;non-dropping-particle&quot;:&quot;&quot;}],&quot;container-title&quot;:&quot;Journal of Corporate Finance&quot;,&quot;accessed&quot;:{&quot;date-parts&quot;:[[2022,7,20]]},&quot;issued&quot;:{&quot;date-parts&quot;:[[2021]]},&quot;abstract&quot;:&quot;We review the financial economics-based research on Environmental, Social, and Governance (ESG) and Corporate Social Responsibility (CSR) with an emphasis on corporate finance. In doing so we focus on the most debated and researched issues. Although a firm's ESG/CSR profile and activities are shown to be strongly related to the firm's market, leadership and owner characteristics as well its risk, performance and value, there still exist conflicting hypotheses and results that we show are not resolved, leading to continued questions and a need for more research.&quot;,&quot;volume&quot;:&quot;66&quot;,&quot;container-title-short&quot;:&quot;&quot;},&quot;isTemporary&quot;:false},{&quot;id&quot;:&quot;f1ee9f45-b472-391d-be65-da878dd121a6&quot;,&quot;itemData&quot;:{&quot;type&quot;:&quot;article-journal&quot;,&quot;id&quot;:&quot;f1ee9f45-b472-391d-be65-da878dd121a6&quot;,&quot;title&quot;:&quot;The impact of introducing new regulations on the quality of CSR reporting: Evidence from the UK&quot;,&quot;author&quot;:[{&quot;family&quot;:&quot;Hamed&quot;,&quot;given&quot;:&quot;Ruba Subhi&quot;,&quot;parse-names&quot;:false,&quot;dropping-particle&quot;:&quot;&quot;,&quot;non-dropping-particle&quot;:&quot;&quot;},{&quot;family&quot;:&quot;Al-Shattarat&quot;,&quot;given&quot;:&quot;Basiem Khalil&quot;,&quot;parse-names&quot;:false,&quot;dropping-particle&quot;:&quot;&quot;,&quot;non-dropping-particle&quot;:&quot;&quot;},{&quot;family&quot;:&quot;Al-Shattarat&quot;,&quot;given&quot;:&quot;Wasim Khalil&quot;,&quot;parse-names&quot;:false,&quot;dropping-particle&quot;:&quot;&quot;,&quot;non-dropping-particle&quot;:&quot;&quot;},{&quot;family&quot;:&quot;Hussainey&quot;,&quot;given&quot;:&quot;Khaled&quot;,&quot;parse-names&quot;:false,&quot;dropping-particle&quot;:&quot;&quot;,&quot;non-dropping-particle&quot;:&quot;&quot;}],&quot;container-title&quot;:&quot;Journal of International Accounting, Auditing and Taxation&quot;,&quot;issued&quot;:{&quot;date-parts&quot;:[[2022,3,1]]},&quot;abstract&quot;:&quot;This study examines the adoption of mandatory corporate social responsibility (CSR) regulation in the United Kingdom (UK). Specifically, we investigate whether adopting new CSR regulations impacts the quality of firms’ CSR reporting and explore whether that quality depends on a firms’ characteristics. Our empirical results suggest that the UK's mandatory CSR reporting regulation significantly enhances CSR reporting quality. We further find that firms’ characteristics, particularly corporate governance and firm size, improve mandatory CSR reporting quality. Our results are robust to the use of an alternative proxy of CSR quality assessment and testing for endogeneity. These findings suggest that committing to CSR can substantially benefit stakeholders, who will be better informed regarding the firms’ CSR performance through improved reporting quality. This factor can influence investors’ beliefs and market valuations, which may subsequently guide firms’ investment decisions.&quot;,&quot;publisher&quot;:&quot;Elsevier Ltd&quot;,&quot;volume&quot;:&quot;46&quot;,&quot;container-title-short&quot;:&quot;&quot;},&quot;isTemporary&quot;:false}],&quot;citationTag&quot;:&quot;MENDELEY_CITATION_v3_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&quot;},{&quot;citationID&quot;:&quot;MENDELEY_CITATION_1a2c6a11-d5e4-4c24-b8da-76930bd51f62&quot;,&quot;properties&quot;:{&quot;noteIndex&quot;:0},&quot;isEdited&quot;:false,&quot;manualOverride&quot;:{&quot;isManuallyOverridden&quot;:true,&quot;citeprocText&quot;:&quot;(Hamed &lt;i&gt;et al.&lt;/i&gt;, 2022)&quot;,&quot;manualOverrideText&quot;:&quot;Hamed et al. (2022)found that mandatory CSR reporting significantly improved its quality&quot;},&quot;citationItems&quot;:[{&quot;id&quot;:&quot;f1ee9f45-b472-391d-be65-da878dd121a6&quot;,&quot;itemData&quot;:{&quot;type&quot;:&quot;article-journal&quot;,&quot;id&quot;:&quot;f1ee9f45-b472-391d-be65-da878dd121a6&quot;,&quot;title&quot;:&quot;The impact of introducing new regulations on the quality of CSR reporting: Evidence from the UK&quot;,&quot;author&quot;:[{&quot;family&quot;:&quot;Hamed&quot;,&quot;given&quot;:&quot;Ruba Subhi&quot;,&quot;parse-names&quot;:false,&quot;dropping-particle&quot;:&quot;&quot;,&quot;non-dropping-particle&quot;:&quot;&quot;},{&quot;family&quot;:&quot;Al-Shattarat&quot;,&quot;given&quot;:&quot;Basiem Khalil&quot;,&quot;parse-names&quot;:false,&quot;dropping-particle&quot;:&quot;&quot;,&quot;non-dropping-particle&quot;:&quot;&quot;},{&quot;family&quot;:&quot;Al-Shattarat&quot;,&quot;given&quot;:&quot;Wasim Khalil&quot;,&quot;parse-names&quot;:false,&quot;dropping-particle&quot;:&quot;&quot;,&quot;non-dropping-particle&quot;:&quot;&quot;},{&quot;family&quot;:&quot;Hussainey&quot;,&quot;given&quot;:&quot;Khaled&quot;,&quot;parse-names&quot;:false,&quot;dropping-particle&quot;:&quot;&quot;,&quot;non-dropping-particle&quot;:&quot;&quot;}],&quot;container-title&quot;:&quot;Journal of International Accounting, Auditing and Taxation&quot;,&quot;issued&quot;:{&quot;date-parts&quot;:[[2022,3,1]]},&quot;abstract&quot;:&quot;This study examines the adoption of mandatory corporate social responsibility (CSR) regulation in the United Kingdom (UK). Specifically, we investigate whether adopting new CSR regulations impacts the quality of firms’ CSR reporting and explore whether that quality depends on a firms’ characteristics. Our empirical results suggest that the UK's mandatory CSR reporting regulation significantly enhances CSR reporting quality. We further find that firms’ characteristics, particularly corporate governance and firm size, improve mandatory CSR reporting quality. Our results are robust to the use of an alternative proxy of CSR quality assessment and testing for endogeneity. These findings suggest that committing to CSR can substantially benefit stakeholders, who will be better informed regarding the firms’ CSR performance through improved reporting quality. This factor can influence investors’ beliefs and market valuations, which may subsequently guide firms’ investment decisions.&quot;,&quot;publisher&quot;:&quot;Elsevier Ltd&quot;,&quot;volume&quot;:&quot;46&quot;,&quot;container-title-short&quot;:&quot;&quot;},&quot;isTemporary&quot;:false}],&quot;citationTag&quot;:&quot;MENDELEY_CITATION_v3_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&quot;},{&quot;citationID&quot;:&quot;MENDELEY_CITATION_8273c71c-4657-4bf8-a6ef-0c31340cf9f8&quot;,&quot;properties&quot;:{&quot;noteIndex&quot;:0},&quot;isEdited&quot;:false,&quot;manualOverride&quot;:{&quot;isManuallyOverridden&quot;:true,&quot;citeprocText&quot;:&quot;(Brammer &lt;i&gt;et al.&lt;/i&gt;, 2021; Nardella &lt;i&gt;et al.&lt;/i&gt;, 2020)&quot;,&quot;manualOverrideText&quot;:&quot;(Nardella, Brammer and Surdu, 2020; Brammer, Nardella and Surdu, 2021).&quot;},&quot;citationItems&quot;:[{&quot;id&quot;:&quot;01744309-16bf-327c-98e6-cfde89f09473&quot;,&quot;itemData&quot;:{&quot;type&quot;:&quot;article-journal&quot;,&quot;id&quot;:&quot;01744309-16bf-327c-98e6-cfde89f09473&quot;,&quot;title&quot;:&quot;Shame on Who? The Effects of Corporate Irresponsibility and Social Performance on Organizational Reputation&quot;,&quot;author&quot;:[{&quot;family&quot;:&quot;Nardella&quot;,&quot;given&quot;:&quot;Giulio&quot;,&quot;parse-names&quot;:false,&quot;dropping-particle&quot;:&quot;&quot;,&quot;non-dropping-particle&quot;:&quot;&quot;},{&quot;family&quot;:&quot;Brammer&quot;,&quot;given&quot;:&quot;Stephen&quot;,&quot;parse-names&quot;:false,&quot;dropping-particle&quot;:&quot;&quot;,&quot;non-dropping-particle&quot;:&quot;&quot;},{&quot;family&quot;:&quot;Surdu&quot;,&quot;given&quot;:&quot;Irina&quot;,&quot;parse-names&quot;:false,&quot;dropping-particle&quot;:&quot;&quot;,&quot;non-dropping-particle&quot;:&quot;&quot;}],&quot;container-title&quot;:&quot;British Journal of Management&quot;,&quot;accessed&quot;:{&quot;date-parts&quot;:[[2022,7,24]]},&quot;ISSN&quot;:&quot;14678551&quot;,&quot;issued&quot;:{&quot;date-parts&quot;:[[2020,1,1]]},&quot;page&quot;:&quot;5-23&quot;,&quot;abstract&quot;:&quot;This study examines the relationship between corporate irresponsibility, corporate social performance and changes in organizational reputation. By combining attribution theory with expectancy violations theory, we provide the first systematic analysis of how organizational reputations are influenced by attributions of corporate irresponsibility in the context of social expectations. Drawing on a comprehensive and unique corporate irresponsibility dataset, this study reveals that firms previously believed to be most socially responsible are penalized by evaluators when corporate culpability is verified by a court of law. Conversely, firms perceived as least socially responsible were more likely to suffer reputation penalties when accused of irresponsibility, without their culpability established through litigation. Overall, the results of our study suggest that organizational reputations are mostly stable in light of irresponsibility, in that evaluators only penalize certain firms, in certain circumstances. Specifically, reputation penalties occur when highly responsible firms are perceived as hypocritical and least responsible firms were not found culpable by a court of law. Upon reflection on these findings, our study reveals that the mechanisms of social sanction previously assumed to regulate irresponsibility are weaker than currently understood. The theoretical and policy implications of this study are discussed, along with directions for future research on social evaluations.&quot;,&quot;publisher&quot;:&quot;Blackwell Publishing Ltd&quot;,&quot;issue&quot;:&quot;1&quot;,&quot;volume&quot;:&quot;31&quot;,&quot;container-title-short&quot;:&quot;&quot;},&quot;isTemporary&quot;:false},{&quot;id&quot;:&quot;08757fc3-7d70-3e69-a344-66a1c894e151&quot;,&quot;itemData&quot;:{&quot;type&quot;:&quot;article-journal&quot;,&quot;id&quot;:&quot;08757fc3-7d70-3e69-a344-66a1c894e151&quot;,&quot;title&quot;:&quot;Defining and deterring corporate social irresponsibility: embracing the institutional complexity of international business&quot;,&quot;author&quot;:[{&quot;family&quot;:&quot;Brammer&quot;,&quot;given&quot;:&quot;Stephen&quot;,&quot;parse-names&quot;:false,&quot;dropping-particle&quot;:&quot;&quot;,&quot;non-dropping-particle&quot;:&quot;&quot;},{&quot;family&quot;:&quot;Nardella&quot;,&quot;given&quot;:&quot;Giulio&quot;,&quot;parse-names&quot;:false,&quot;dropping-particle&quot;:&quot;&quot;,&quot;non-dropping-particle&quot;:&quot;&quot;},{&quot;family&quot;:&quot;Surdu&quot;,&quot;given&quot;:&quot;Irina&quot;,&quot;parse-names&quot;:false,&quot;dropping-particle&quot;:&quot;&quot;,&quot;non-dropping-particle&quot;:&quot;&quot;}],&quot;container-title&quot;:&quot;Multinational Business Review&quot;,&quot;issued&quot;:{&quot;date-parts&quot;:[[2021]]},&quot;page&quot;:&quot;301-320&quot;,&quot;abstract&quot;:&quot;Purpose-This paper aims to put forward a definition of corporate social irresponsibility (CSI) which is relevant to the study of complex organizations and in particular, the multinational enterprise (MNE). This paper then offers a framework as a foundation to discuss the institutional complexity of CSI to aid international business (IB) scholars, practitioners and policymakers achieve a clearer understanding of the mechanisms that may penalize and subsequently deter MNE irresponsibility. Design/methodology/approach-In presenting the approaches taken by social regulation researchers and IB policy scholars to understand MNE irresponsibility, this paper proposes a definition of CSI and explicates the various mechanisms associated with deterring MNEs from behaving irresponsibly. Findings-Therefore, how can MNEs be deterred from behaving irresponsibly? To further the research agenda concerning CSI in IB, far less common are a definition of CSI relevant to the complex IB context; and a framework that explicates both the legal and social components of CSI, particularly as they unfold in a complex, diverse and often divergent institutional landscape. Overcoming these two primary obstacles is important because when complexities associated with CSI emerge, researchers need to be able to ascertain and expound upon what they are observing so that comparisons can be made and more MNE CSI research can be accrued over time. Research limitations/implications-To help the development of future research, we offered a more precise definition of CSI, one which is more relevant to the study of the MNE and the complex contemporary IB environment. By embracing complexities, this paper also outlines an institutional complexity approach, one which highlights both the role of formal and informal regulatory institutions. Though IB has traditionally focused on the role of formal regulation, there is much more to be unearthed by exploring the additional and concurrent influence of social regulatory institutions. Practical implications-There is a high level of heterogeneity in the motivations and modes used by MNEs to enter international markets, which likely influence efforts made by these firms to adapt to different types of formal and social institutional pressures. When firms invest significantly in a market, they have a greater economic dependence in that market and institutions have a greater opportunity to exert pressures. For instance, foreign direct investment requires a higher level of (longer-term) commitment, transfer of capital, exchange of expertise and learning, meaning that firms depend much more on local authorities to perform in the market and accomplish their goals. Social implications-Enabled by new technologies and, particularly, social media platforms, stakeholders can now engage in organized forms of regulatory activities, as is evident in the lesbian, gay, bisexual, transgender, queer, black lives matter and gender equality social activist movements. Through Complexity of international business 301&quot;,&quot;issue&quot;:&quot;3&quot;,&quot;volume&quot;:&quot;29&quot;,&quot;container-title-short&quot;:&quot;&quot;},&quot;isTemporary&quot;:false}],&quot;citationTag&quot;:&quot;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&quot;},{&quot;citationID&quot;:&quot;MENDELEY_CITATION_87c487be-19fe-45a0-ad5e-75885b1cd705&quot;,&quot;properties&quot;:{&quot;noteIndex&quot;:0},&quot;isEdited&quot;:false,&quot;manualOverride&quot;:{&quot;isManuallyOverridden&quot;:false,&quot;citeprocText&quot;:&quot;(Bailey and Bonifield, 2010; Brammer &lt;i&gt;et al.&lt;/i&gt;, 2021; Kolk, 2016)&quot;,&quot;manualOverrideText&quot;:&quot;&quot;},&quot;citationItems&quot;:[{&quot;id&quot;:&quot;d9237788-8ac7-371e-8778-8d47d84b0d18&quot;,&quot;itemData&quot;:{&quot;type&quot;:&quot;article-journal&quot;,&quot;id&quot;:&quot;d9237788-8ac7-371e-8778-8d47d84b0d18&quot;,&quot;title&quot;:&quot;Journal of Marketing Communications Broken (promotional) promises: The impact of firm reputation and blame&quot;,&quot;author&quot;:[{&quot;family&quot;:&quot;Bailey&quot;,&quot;given&quot;:&quot;A.A.&quot;,&quot;parse-names&quot;:false,&quot;dropping-particle&quot;:&quot;&quot;,&quot;non-dropping-particle&quot;:&quot;&quot;},{&quot;family&quot;:&quot;Bonifield&quot;,&quot;given&quot;:&quot;C. M&quot;,&quot;parse-names&quot;:false,&quot;dropping-particle&quot;:&quot;&quot;,&quot;non-dropping-particle&quot;:&quot;&quot;}],&quot;container-title&quot;:&quot;Journal of Marketing Communications&quot;,&quot;accessed&quot;:{&quot;date-parts&quot;:[[2022,7,24]]},&quot;ISSN&quot;:&quot;1466-4445&quot;,&quot;URL&quot;:&quot;https://www.tandfonline.com/action/journalInformation?journalCode=rjmc20&quot;,&quot;issued&quot;:{&quot;date-parts&quot;:[[2010]]},&quot;page&quot;:&quot;287-306&quot;,&quot;issue&quot;:&quot;5&quot;,&quot;volume&quot;:&quot;16&quot;,&quot;container-title-short&quot;:&quot;&quot;},&quot;isTemporary&quot;:false},{&quot;id&quot;:&quot;1c800eab-7799-3b33-b061-b66c2cc41377&quot;,&quot;itemData&quot;:{&quot;type&quot;:&quot;article-journal&quot;,&quot;id&quot;:&quot;1c800eab-7799-3b33-b061-b66c2cc41377&quot;,&quot;title&quot;:&quot;The social responsibility of international business: From ethics and the environment to CSR and sustainable development&quot;,&quot;author&quot;:[{&quot;family&quot;:&quot;Kolk&quot;,&quot;given&quot;:&quot;Ans&quot;,&quot;parse-names&quot;:false,&quot;dropping-particle&quot;:&quot;&quot;,&quot;non-dropping-particle&quot;:&quot;&quot;}],&quot;container-title&quot;:&quot;Journal of World Business&quot;,&quot;issued&quot;:{&quot;date-parts&quot;:[[2016,1,1]]},&quot;page&quot;:&quot;23-34&quot;,&quot;abstract&quot;:&quot;This article examines how the international business (IB) literature has addressed social responsibility issues in the past 50 years, highlighting key developments and implications from a historical perspective. Specific attention is paid to the Journal of World Business (JWB), which has covered the whole period and published relevant articles related to these issues, in comparison to the Journal of International Business Studies (JIBS), the other long-standing IB journal. The article outlines that they illustrate different conceptualizations of IB and social responsibility. The 50-year review shows three subthemes: the (green) environment; ethics, rights and responsibilities; poverty and (sustainable) development. These are discussed consecutively, including main contributions and promising areas to further the field.&quot;,&quot;publisher&quot;:&quot;Elsevier Inc.&quot;,&quot;issue&quot;:&quot;1&quot;,&quot;volume&quot;:&quot;51&quot;,&quot;container-title-short&quot;:&quot;&quot;},&quot;isTemporary&quot;:false},{&quot;id&quot;:&quot;08757fc3-7d70-3e69-a344-66a1c894e151&quot;,&quot;itemData&quot;:{&quot;type&quot;:&quot;article-journal&quot;,&quot;id&quot;:&quot;08757fc3-7d70-3e69-a344-66a1c894e151&quot;,&quot;title&quot;:&quot;Defining and deterring corporate social irresponsibility: embracing the institutional complexity of international business&quot;,&quot;author&quot;:[{&quot;family&quot;:&quot;Brammer&quot;,&quot;given&quot;:&quot;Stephen&quot;,&quot;parse-names&quot;:false,&quot;dropping-particle&quot;:&quot;&quot;,&quot;non-dropping-particle&quot;:&quot;&quot;},{&quot;family&quot;:&quot;Nardella&quot;,&quot;given&quot;:&quot;Giulio&quot;,&quot;parse-names&quot;:false,&quot;dropping-particle&quot;:&quot;&quot;,&quot;non-dropping-particle&quot;:&quot;&quot;},{&quot;family&quot;:&quot;Surdu&quot;,&quot;given&quot;:&quot;Irina&quot;,&quot;parse-names&quot;:false,&quot;dropping-particle&quot;:&quot;&quot;,&quot;non-dropping-particle&quot;:&quot;&quot;}],&quot;container-title&quot;:&quot;Multinational Business Review&quot;,&quot;issued&quot;:{&quot;date-parts&quot;:[[2021]]},&quot;page&quot;:&quot;301-320&quot;,&quot;abstract&quot;:&quot;Purpose-This paper aims to put forward a definition of corporate social irresponsibility (CSI) which is relevant to the study of complex organizations and in particular, the multinational enterprise (MNE). This paper then offers a framework as a foundation to discuss the institutional complexity of CSI to aid international business (IB) scholars, practitioners and policymakers achieve a clearer understanding of the mechanisms that may penalize and subsequently deter MNE irresponsibility. Design/methodology/approach-In presenting the approaches taken by social regulation researchers and IB policy scholars to understand MNE irresponsibility, this paper proposes a definition of CSI and explicates the various mechanisms associated with deterring MNEs from behaving irresponsibly. Findings-Therefore, how can MNEs be deterred from behaving irresponsibly? To further the research agenda concerning CSI in IB, far less common are a definition of CSI relevant to the complex IB context; and a framework that explicates both the legal and social components of CSI, particularly as they unfold in a complex, diverse and often divergent institutional landscape. Overcoming these two primary obstacles is important because when complexities associated with CSI emerge, researchers need to be able to ascertain and expound upon what they are observing so that comparisons can be made and more MNE CSI research can be accrued over time. Research limitations/implications-To help the development of future research, we offered a more precise definition of CSI, one which is more relevant to the study of the MNE and the complex contemporary IB environment. By embracing complexities, this paper also outlines an institutional complexity approach, one which highlights both the role of formal and informal regulatory institutions. Though IB has traditionally focused on the role of formal regulation, there is much more to be unearthed by exploring the additional and concurrent influence of social regulatory institutions. Practical implications-There is a high level of heterogeneity in the motivations and modes used by MNEs to enter international markets, which likely influence efforts made by these firms to adapt to different types of formal and social institutional pressures. When firms invest significantly in a market, they have a greater economic dependence in that market and institutions have a greater opportunity to exert pressures. For instance, foreign direct investment requires a higher level of (longer-term) commitment, transfer of capital, exchange of expertise and learning, meaning that firms depend much more on local authorities to perform in the market and accomplish their goals. Social implications-Enabled by new technologies and, particularly, social media platforms, stakeholders can now engage in organized forms of regulatory activities, as is evident in the lesbian, gay, bisexual, transgender, queer, black lives matter and gender equality social activist movements. Through Complexity of international business 301&quot;,&quot;issue&quot;:&quot;3&quot;,&quot;volume&quot;:&quot;29&quot;,&quot;container-title-short&quot;:&quot;&quot;},&quot;isTemporary&quot;:false}],&quot;citationTag&quot;:&quot;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&quot;},{&quot;citationID&quot;:&quot;MENDELEY_CITATION_df8d179a-0102-4832-a74a-5cea1346323e&quot;,&quot;properties&quot;:{&quot;noteIndex&quot;:0},&quot;isEdited&quot;:false,&quot;manualOverride&quot;:{&quot;isManuallyOverridden&quot;:true,&quot;citeprocText&quot;:&quot;(Ahmed and Uddin, 2021; Islam and McPhail, 2011a; McPhail and McKernan, 2011)&quot;,&quot;manualOverrideText&quot;:&quot;(Islam and McPhail, 2011; McPhail and McKernan, 2011; Ahmed and Uddin, 2021)&quot;},&quot;citationItems&quot;:[{&quot;id&quot;:&quot;58d18ab2-6471-366b-b126-c64194de8630&quot;,&quot;itemData&quot;:{&quot;type&quot;:&quot;article-journal&quot;,&quot;id&quot;:&quot;58d18ab2-6471-366b-b126-c64194de8630&quot;,&quot;title&quot;:&quot;Regulating for corporate human rights abuses: The emergence of corporate reporting on the ILO's human rights standards within the global garment manufacturing and retail industry&quot;,&quot;author&quot;:[{&quot;family&quot;:&quot;Islam&quot;,&quot;given&quot;:&quot;Muhammad Azizul&quot;,&quot;parse-names&quot;:false,&quot;dropping-particle&quot;:&quot;&quot;,&quot;non-dropping-particle&quot;:&quot;&quot;},{&quot;family&quot;:&quot;McPhail&quot;,&quot;given&quot;:&quot;Ken&quot;,&quot;parse-names&quot;:false,&quot;dropping-particle&quot;:&quot;&quot;,&quot;non-dropping-particle&quot;:&quot;&quot;}],&quot;container-title&quot;:&quot;Critical Perspectives on Accounting&quot;,&quot;issued&quot;:{&quot;date-parts&quot;:[[2011,11]]},&quot;page&quot;:&quot;790-810&quot;,&quot;abstract&quot;:&quot;Despite the ubiquitous nature of the discourse on human rights there is currently little research on the emergence of disclosure by multinational corporations on their human rights obligations or the regulatory dynamic that may lie behind this trend. In an attempt to begin to explore the extent to which, if any, the language of human rights has entered the discourse of corporate accountability, this paper investigates the adoption of the International Labour Organisation's (ILO) human rights standards by major multinational garment retail companies that source products from developing countries, as disclosed through their reporting media. The paper has three objectives. Firstly, to empirically explore the extent to which a group of multinational garment retailers invoke the language of human rights when disclosing their corporate responsibilities. The paper reviews corporate reporting media including social responsibility codes of conduct, annual reports and stand-alone social responsibility reports released by 18 major global clothing and retail companies during a period from 1990 to 2007. We find that the number of companies adopting and disclosing on the ILO's workplace human rights standards has significantly increased since 1998 - the year in which the ILO's standards were endorsed and accepted by the global community (ILO, 1998). Secondly, drawing on a combination of Responsive Regulation theory and neo-institutional theory, we tentatively seek to understand the regulatory space that may have influenced these large corporations to adopt the language of human rights obligations. In particular, we study the role that International Governmental Organisation's (IGO) such as ILO may have played in these disclosures. Finally, we provide some critical reflections on the power and potential within the corporate adoption of the language of human rights. © 2011 Elsevier Ltd.&quot;,&quot;issue&quot;:&quot;8&quot;,&quot;volume&quot;:&quot;22&quot;,&quot;container-title-short&quot;:&quot;&quot;},&quot;isTemporary&quot;:false},{&quot;id&quot;:&quot;919377b5-543c-3f2d-86ee-76630c5be4a4&quot;,&quot;itemData&quot;:{&quot;type&quot;:&quot;article&quot;,&quot;id&quot;:&quot;919377b5-543c-3f2d-86ee-76630c5be4a4&quot;,&quot;title&quot;:&quot;Accounting for human rights: An overview and introduction&quot;,&quot;author&quot;:[{&quot;family&quot;:&quot;McPhail&quot;,&quot;given&quot;:&quot;Ken&quot;,&quot;parse-names&quot;:false,&quot;dropping-particle&quot;:&quot;&quot;,&quot;non-dropping-particle&quot;:&quot;&quot;},{&quot;family&quot;:&quot;McKernan&quot;,&quot;given&quot;:&quot;John&quot;,&quot;parse-names&quot;:false,&quot;dropping-particle&quot;:&quot;&quot;,&quot;non-dropping-particle&quot;:&quot;&quot;}],&quot;container-title&quot;:&quot;Critical Perspectives on Accounting&quot;,&quot;issued&quot;:{&quot;date-parts&quot;:[[2011,11]]},&quot;page&quot;:&quot;733-737&quot;,&quot;issue&quot;:&quot;8&quot;,&quot;volume&quot;:&quot;22&quot;,&quot;container-title-short&quot;:&quot;&quot;},&quot;isTemporary&quot;:false},{&quot;id&quot;:&quot;709b94a2-509d-3cc5-a114-2fde0e14fa5d&quot;,&quot;itemData&quot;:{&quot;type&quot;:&quot;article-journal&quot;,&quot;id&quot;:&quot;709b94a2-509d-3cc5-a114-2fde0e14fa5d&quot;,&quot;title&quot;:&quot;Workplace Bullying and Intensification of Labour Controls in the Clothing Supply Chain: Post-Rana Plaza Disaster&quot;,&quot;author&quot;:[{&quot;family&quot;:&quot;Ahmed&quot;,&quot;given&quot;:&quot;Md Shoaib&quot;,&quot;parse-names&quot;:false,&quot;dropping-particle&quot;:&quot;&quot;,&quot;non-dropping-particle&quot;:&quot;&quot;},{&quot;family&quot;:&quot;Uddin&quot;,&quot;given&quot;:&quot;Shahzad&quot;,&quot;parse-names&quot;:false,&quot;dropping-particle&quot;:&quot;&quot;,&quot;non-dropping-particle&quot;:&quot;&quot;}],&quot;container-title&quot;:&quot;Work, Employment and Society&quot;,&quot;ISSN&quot;:&quot;09500170&quot;,&quot;issued&quot;:{&quot;date-parts&quot;:[[2021]]},&quot;abstract&quot;:&quot;This article examines workplace bullying and the intensification of labour controls in the clothing supply chain. It appears that extreme forms of bullying are deployed to intensify labour controls, including locking workers in, frequent wage cuts, setting moveable targets and carrying out intense observations. The context of this study is surplus value-starved clothing factories in Bangladesh. Global supply chains’ production regimes and the absence of state protections and trade unions enable factory managers to systematically deploy bullying tactics to achieve production targets. Drawing on Burawoy’s works, this article advances the debate of how workplace bullying is impacted by wider structural conditions with managerial strategies of coercion in factories. It is argued here that when the state intervenes in the factory only to protect and preserve capitalists’ interests, explicitly and implicitly, coercive strategies of control turn into extreme bullying on the shopfloor.&quot;,&quot;publisher&quot;:&quot;SAGE Publications Ltd&quot;,&quot;container-title-short&quot;:&quot;&quot;},&quot;isTemporary&quot;:false}],&quot;citationTag&quot;:&quot;MENDELEY_CITATION_v3_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&quot;},{&quot;citationID&quot;:&quot;MENDELEY_CITATION_52fed7e4-9382-45b8-948e-c8200b0b2146&quot;,&quot;properties&quot;:{&quot;noteIndex&quot;:0},&quot;isEdited&quot;:false,&quot;manualOverride&quot;:{&quot;isManuallyOverridden&quot;:true,&quot;citeprocText&quot;:&quot;(Ullah &lt;i&gt;et al.&lt;/i&gt;, 2021)&quot;,&quot;manualOverrideText&quot;:&quot;(Ullah et al., 2021).&quot;},&quot;citationItems&quot;:[{&quot;id&quot;:&quot;65369d26-61e9-382d-b5b0-3f642c85fd4c&quot;,&quot;itemData&quot;:{&quot;type&quot;:&quot;article-journal&quot;,&quot;id&quot;:&quot;65369d26-61e9-382d-b5b0-3f642c85fd4c&quot;,&quot;title&quot;:&quot;Multinational corporations and human right violations in emerging economies: Do commitment to social and environmental responsibility matter?&quot;,&quot;author&quot;:[{&quot;family&quot;:&quot;Ullah&quot;,&quot;given&quot;:&quot;Subhan&quot;,&quot;parse-names&quot;:false,&quot;dropping-particle&quot;:&quot;&quot;,&quot;non-dropping-particle&quot;:&quot;&quot;},{&quot;family&quot;:&quot;Adams&quot;,&quot;given&quot;:&quot;Kweku&quot;,&quot;parse-names&quot;:false,&quot;dropping-particle&quot;:&quot;&quot;,&quot;non-dropping-particle&quot;:&quot;&quot;},{&quot;family&quot;:&quot;Adams&quot;,&quot;given&quot;:&quot;Dawda&quot;,&quot;parse-names&quot;:false,&quot;dropping-particle&quot;:&quot;&quot;,&quot;non-dropping-particle&quot;:&quot;&quot;},{&quot;family&quot;:&quot;Attah-Boakye&quot;,&quot;given&quot;:&quot;Rexford&quot;,&quot;parse-names&quot;:false,&quot;dropping-particle&quot;:&quot;&quot;,&quot;non-dropping-particle&quot;:&quot;&quot;}],&quot;container-title&quot;:&quot;Journal of Environmental Management&quot;,&quot;issued&quot;:{&quot;date-parts&quot;:[[2021,2,15]]},&quot;abstract&quot;:&quot;With the surge in economic growth in the global-north vis-a-vis social and economic inequalities in the global-south (north-south dichotomy), there is an increasing requirement for critical research and an examination of the policy implications with respect to human rights in emerging economies. This paper draws on the concept of convergence and institutional theories to enhance our understanding of how multinational corporations (MNCs) fulfil their profit maximisation agendas using capitalist principles; and the extent to which these ideologies produce human rights violations in emerging economies. Using multiple data sources from the Human Rights Watch, our study provides a comprehensive list of various human rights violations perpetrated by MNCs from 2002 to 2017. We verified 273 violations by 160 MNCs mostly from developed countries. More than 90% of our sample firms have CSR/sustainability committees, are signatories to the UN Global Compact and have reported compliance with the International Labour Organisation (ILO). This raises questions about the effectiveness of these programmes for CSR compliance. We contribute to the CSR/sustainability literature by providing new insights into the nature and location of human rights violations committed by MNCs.&quot;,&quot;publisher&quot;:&quot;Academic Press&quot;,&quot;volume&quot;:&quot;280&quot;,&quot;container-title-short&quot;:&quot;J Environ Manage&quot;},&quot;isTemporary&quot;:false}],&quot;citationTag&quot;:&quot;MENDELEY_CITATION_v3_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&quot;},{&quot;citationID&quot;:&quot;MENDELEY_CITATION_b789a98c-6311-4f0e-96ed-59d5d40114dc&quot;,&quot;properties&quot;:{&quot;noteIndex&quot;:0},&quot;isEdited&quot;:false,&quot;manualOverride&quot;:{&quot;isManuallyOverridden&quot;:false,&quot;citeprocText&quot;:&quot;(Nardella &lt;i&gt;et al.&lt;/i&gt;, 2020)&quot;,&quot;manualOverrideText&quot;:&quot;&quot;},&quot;citationItems&quot;:[{&quot;id&quot;:&quot;01744309-16bf-327c-98e6-cfde89f09473&quot;,&quot;itemData&quot;:{&quot;type&quot;:&quot;article-journal&quot;,&quot;id&quot;:&quot;01744309-16bf-327c-98e6-cfde89f09473&quot;,&quot;title&quot;:&quot;Shame on Who? The Effects of Corporate Irresponsibility and Social Performance on Organizational Reputation&quot;,&quot;author&quot;:[{&quot;family&quot;:&quot;Nardella&quot;,&quot;given&quot;:&quot;Giulio&quot;,&quot;parse-names&quot;:false,&quot;dropping-particle&quot;:&quot;&quot;,&quot;non-dropping-particle&quot;:&quot;&quot;},{&quot;family&quot;:&quot;Brammer&quot;,&quot;given&quot;:&quot;Stephen&quot;,&quot;parse-names&quot;:false,&quot;dropping-particle&quot;:&quot;&quot;,&quot;non-dropping-particle&quot;:&quot;&quot;},{&quot;family&quot;:&quot;Surdu&quot;,&quot;given&quot;:&quot;Irina&quot;,&quot;parse-names&quot;:false,&quot;dropping-particle&quot;:&quot;&quot;,&quot;non-dropping-particle&quot;:&quot;&quot;}],&quot;container-title&quot;:&quot;British Journal of Management&quot;,&quot;accessed&quot;:{&quot;date-parts&quot;:[[2022,7,24]]},&quot;ISSN&quot;:&quot;14678551&quot;,&quot;issued&quot;:{&quot;date-parts&quot;:[[2020,1,1]]},&quot;page&quot;:&quot;5-23&quot;,&quot;abstract&quot;:&quot;This study examines the relationship between corporate irresponsibility, corporate social performance and changes in organizational reputation. By combining attribution theory with expectancy violations theory, we provide the first systematic analysis of how organizational reputations are influenced by attributions of corporate irresponsibility in the context of social expectations. Drawing on a comprehensive and unique corporate irresponsibility dataset, this study reveals that firms previously believed to be most socially responsible are penalized by evaluators when corporate culpability is verified by a court of law. Conversely, firms perceived as least socially responsible were more likely to suffer reputation penalties when accused of irresponsibility, without their culpability established through litigation. Overall, the results of our study suggest that organizational reputations are mostly stable in light of irresponsibility, in that evaluators only penalize certain firms, in certain circumstances. Specifically, reputation penalties occur when highly responsible firms are perceived as hypocritical and least responsible firms were not found culpable by a court of law. Upon reflection on these findings, our study reveals that the mechanisms of social sanction previously assumed to regulate irresponsibility are weaker than currently understood. The theoretical and policy implications of this study are discussed, along with directions for future research on social evaluations.&quot;,&quot;publisher&quot;:&quot;Blackwell Publishing Ltd&quot;,&quot;issue&quot;:&quot;1&quot;,&quot;volume&quot;:&quot;31&quot;,&quot;container-title-short&quot;:&quot;&quot;},&quot;isTemporary&quot;:false}],&quot;citationTag&quot;:&quot;MENDELEY_CITATION_v3_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&quot;},{&quot;citationID&quot;:&quot;MENDELEY_CITATION_7360f0b1-5c1c-4bae-9b0e-2df181d11a94&quot;,&quot;properties&quot;:{&quot;noteIndex&quot;:0},&quot;isEdited&quot;:false,&quot;manualOverride&quot;:{&quot;isManuallyOverridden&quot;:true,&quot;citeprocText&quot;:&quot;(Gillan &lt;i&gt;et al.&lt;/i&gt;, 2021)&quot;,&quot;manualOverrideText&quot;:&quot;Gillan et al. (2021)&quot;},&quot;citationItems&quot;:[{&quot;id&quot;:&quot;ee4ddf3c-465f-354b-8d11-051ed8ec04fc&quot;,&quot;itemData&quot;:{&quot;type&quot;:&quot;article-journal&quot;,&quot;id&quot;:&quot;ee4ddf3c-465f-354b-8d11-051ed8ec04fc&quot;,&quot;title&quot;:&quot;Firms and social responsibility: A review of ESG and CSR research in corporate finance&quot;,&quot;author&quot;:[{&quot;family&quot;:&quot;Gillan&quot;,&quot;given&quot;:&quot;Stuart L&quot;,&quot;parse-names&quot;:false,&quot;dropping-particle&quot;:&quot;&quot;,&quot;non-dropping-particle&quot;:&quot;&quot;},{&quot;family&quot;:&quot;Koch&quot;,&quot;given&quot;:&quot;Andrew&quot;,&quot;parse-names&quot;:false,&quot;dropping-particle&quot;:&quot;&quot;,&quot;non-dropping-particle&quot;:&quot;&quot;},{&quot;family&quot;:&quot;Starks&quot;,&quot;given&quot;:&quot;Laura T&quot;,&quot;parse-names&quot;:false,&quot;dropping-particle&quot;:&quot;&quot;,&quot;non-dropping-particle&quot;:&quot;&quot;}],&quot;container-title&quot;:&quot;Journal of Corporate Finance&quot;,&quot;accessed&quot;:{&quot;date-parts&quot;:[[2022,7,20]]},&quot;issued&quot;:{&quot;date-parts&quot;:[[2021]]},&quot;abstract&quot;:&quot;We review the financial economics-based research on Environmental, Social, and Governance (ESG) and Corporate Social Responsibility (CSR) with an emphasis on corporate finance. In doing so we focus on the most debated and researched issues. Although a firm's ESG/CSR profile and activities are shown to be strongly related to the firm's market, leadership and owner characteristics as well its risk, performance and value, there still exist conflicting hypotheses and results that we show are not resolved, leading to continued questions and a need for more research.&quot;,&quot;volume&quot;:&quot;66&quot;,&quot;container-title-short&quot;:&quot;&quot;},&quot;isTemporary&quot;:false}],&quot;citationTag&quot;:&quot;MENDELEY_CITATION_v3_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&quot;},{&quot;citationID&quot;:&quot;MENDELEY_CITATION_65587a0e-8cc5-4d43-b4de-0d32e151bd3c&quot;,&quot;properties&quot;:{&quot;noteIndex&quot;:0},&quot;isEdited&quot;:false,&quot;manualOverride&quot;:{&quot;isManuallyOverridden&quot;:true,&quot;citeprocText&quot;:&quot;(Linnenluecke, 2022)&quot;,&quot;manualOverrideText&quot;:&quot;(Linnenluecke, 2022).&quot;},&quot;citationItems&quot;:[{&quot;id&quot;:&quot;256dcdf2-39c3-32ef-ac84-d2b5fc4b2c08&quot;,&quot;itemData&quot;:{&quot;type&quot;:&quot;article-journal&quot;,&quot;id&quot;:&quot;256dcdf2-39c3-32ef-ac84-d2b5fc4b2c08&quot;,&quot;title&quot;:&quot;Environmental, social and governance (ESG) performance in the context of multinational business research&quot;,&quot;author&quot;:[{&quot;family&quot;:&quot;Linnenluecke&quot;,&quot;given&quot;:&quot;Martina K.&quot;,&quot;parse-names&quot;:false,&quot;dropping-particle&quot;:&quot;&quot;,&quot;non-dropping-particle&quot;:&quot;&quot;}],&quot;container-title&quot;:&quot;Multinational Business Review&quot;,&quot;ISSN&quot;:&quot;20541686&quot;,&quot;issued&quot;:{&quot;date-parts&quot;:[[2022,3,23]]},&quot;page&quot;:&quot;1-16&quot;,&quot;abstract&quot;:&quot;Purpose: This paper aims to examine the state of research on environmental, social and governance (ESG) performance in the context of multinational business research. This paper discusses research progress as well as various issues and complexities associated with using ESG ratings in cross-country studies and for assessing the performance of multinational enterprises (MNE) and emerging market multinationals (EMNEs). Design/methodology/approach: The paper identifies emerging literature that focuses on tracking the development and uptake of ESG ratings in the international context. It discusses three emerging research streams: Research examining the ESG-financial performance relationship in emerging markets, research tracking the ESG performance of multinationals in the various countries and regions they are operating, and frameworks for assessing ESG-related risks on a country level. Findings: While the emerging body of work adds an important dimension to the identification and awareness of ESG issues globally, numerous unresolved issues become evident. ESG frameworks have been built to assess corporate sustainability as it relates to firms in their “home” countries (typically with a focus on developed countries), with limited applicability and transferability to emerging markets. International firm activities are often not captured in detail and not comprehensively mapped across firm subsidiaries and a firm’s corporate supply chain where ESG issues are prone to happen, and ESG scores do not comprehensively integrate views and voices from various local stakeholders that are impacted by firm activities, particularly indigenous communities. Research limitations/implications: Research on ESG ratings in the context of multinational business research is generally sparse and fragmented, thus creating opportunities for future research to expand on existing and emerging findings. Practical implications: The paper creates awareness of issues to consider when using ESG ratings in cross-country studies and for assessing the ESG performance of MNEs and EMNEs: ESG scores can be subject to bias and are not weighted by materiality, which can be misleading for portfolio construction and performance measurement purposes. Managers need to be aware that ESG scores are often not capturing ESG issues occurring in supply chains and ESG issues affecting local communities. Originality/value: This study enriches the understanding of ESG in the context of multinational business research practice.&quot;,&quot;publisher&quot;:&quot;Emerald Group Holdings Ltd.&quot;,&quot;issue&quot;:&quot;1&quot;,&quot;volume&quot;:&quot;30&quot;,&quot;container-title-short&quot;:&quot;&quot;},&quot;isTemporary&quot;:false}],&quot;citationTag&quot;:&quot;MENDELEY_CITATION_v3_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&quot;},{&quot;citationID&quot;:&quot;MENDELEY_CITATION_87a0c390-2d0c-4365-8d21-c05066051f3f&quot;,&quot;properties&quot;:{&quot;noteIndex&quot;:0},&quot;isEdited&quot;:false,&quot;manualOverride&quot;:{&quot;isManuallyOverridden&quot;:true,&quot;citeprocText&quot;:&quot;(Business &amp;#38; Human rights Resource Centre, 2020)&quot;,&quot;manualOverrideText&quot;:&quot;(BHRRC, 2020)&quot;},&quot;citationItems&quot;:[{&quot;id&quot;:&quot;c9cbc644-43a6-3729-abb8-a9e73e610d79&quot;,&quot;itemData&quot;:{&quot;type&quot;:&quot;webpage&quot;,&quot;id&quot;:&quot;c9cbc644-43a6-3729-abb8-a9e73e610d79&quot;,&quot;title&quot;:&quot;KnowTheChain: Ranking companies' efforts to address forced labour in their supply chains - Business &amp; Human Rights Resource Centre&quot;,&quot;author&quot;:[{&quot;family&quot;:&quot;Business &amp; Human rights Resource Centre&quot;,&quot;given&quot;:&quot;&quot;,&quot;parse-names&quot;:false,&quot;dropping-particle&quot;:&quot;&quot;,&quot;non-dropping-particle&quot;:&quot;&quot;}],&quot;accessed&quot;:{&quot;date-parts&quot;:[[2023,1,23]]},&quot;URL&quot;:&quot;https://www.business-humanrights.org/en/latest-news/knowthechain-ranking-companies-efforts-to-address-forced-labour-in-their-supply-chains/&quot;,&quot;issued&quot;:{&quot;date-parts&quot;:[[2020,6,9]]},&quot;container-title-short&quot;:&quot;&quot;},&quot;isTemporary&quot;:false}],&quot;citationTag&quot;:&quot;MENDELEY_CITATION_v3_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&quot;},{&quot;citationID&quot;:&quot;MENDELEY_CITATION_a6dd175b-c334-4879-84b7-a04fb4e59114&quot;,&quot;properties&quot;:{&quot;noteIndex&quot;:0},&quot;isEdited&quot;:false,&quot;manualOverride&quot;:{&quot;isManuallyOverridden&quot;:false,&quot;citeprocText&quot;:&quot;(Schneider and Scherer, 2019)&quot;,&quot;manualOverrideText&quot;:&quot;&quot;},&quot;citationItems&quot;:[{&quot;id&quot;:&quot;03908ef2-024f-396b-a325-7d19a2c2edf1&quot;,&quot;itemData&quot;:{&quot;type&quot;:&quot;article-journal&quot;,&quot;id&quot;:&quot;03908ef2-024f-396b-a325-7d19a2c2edf1&quot;,&quot;title&quot;:&quot;State Governance Beyond the ‘Shadow of Hierarchy’: A social mechanisms perspective on governmental CSR policies&quot;,&quot;author&quot;:[{&quot;family&quot;:&quot;Schneider&quot;,&quot;given&quot;:&quot;Anselm&quot;,&quot;parse-names&quot;:false,&quot;dropping-particle&quot;:&quot;&quot;,&quot;non-dropping-particle&quot;:&quot;&quot;},{&quot;family&quot;:&quot;Scherer&quot;,&quot;given&quot;:&quot;Andreas Georg&quot;,&quot;parse-names&quot;:false,&quot;dropping-particle&quot;:&quot;&quot;,&quot;non-dropping-particle&quot;:&quot;&quot;}],&quot;container-title&quot;:&quot;Organization Studies&quot;,&quot;ISSN&quot;:&quot;17413044&quot;,&quot;issued&quot;:{&quot;date-parts&quot;:[[2019]]},&quot;page&quot;:&quot;1147-1168&quot;,&quot;abstract&quot;:&quot;The extent to which state authorities can regulate the externalities and the behaviour of multinational corporations (MNCs) is limited. This is especially true when MNCs operate in or do business with fragile states that lack the willingness and/or resources to effectively and legitimately regulate businesses. However, MNCs often engage in private regulation to remedy some of the problems that unregulated business behaviour creates. In this article we examine what limits the effectiveness and legitimacy of the contributions made by MNCs to global governance. We explore the mechanisms that state authorities in functioning states can use to overcome these barriers as well as the boundary conditions of these mechanisms at both company and government levels. We provide a framework for governmental CSR policies and describe the ways in which functioning states engage in governance beyond the ‘shadow of hierarchy’ and directly or indirectly influence business conduct beyond the territory in which their legal regulations can be enforced.&quot;,&quot;issue&quot;:&quot;8&quot;,&quot;volume&quot;:&quot;40&quot;,&quot;container-title-short&quot;:&quot;&quot;},&quot;isTemporary&quot;:false}],&quot;citationTag&quot;:&quot;MENDELEY_CITATION_v3_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&quot;},{&quot;citationID&quot;:&quot;MENDELEY_CITATION_7b28ea97-a7bd-48aa-9a6b-fd5fb631976e&quot;,&quot;properties&quot;:{&quot;noteIndex&quot;:0},&quot;isEdited&quot;:false,&quot;manualOverride&quot;:{&quot;isManuallyOverridden&quot;:false,&quot;citeprocText&quot;:&quot;(Clarke and Boersma, 2017)&quot;,&quot;manualOverrideText&quot;:&quot;&quot;},&quot;citationItems&quot;:[{&quot;id&quot;:&quot;b03dccf8-87cf-3942-ba95-91c1892cd0ae&quot;,&quot;itemData&quot;:{&quot;type&quot;:&quot;article-journal&quot;,&quot;id&quot;:&quot;b03dccf8-87cf-3942-ba95-91c1892cd0ae&quot;,&quot;title&quot;:&quot;The Governance of Global Value Chains: Unresolved Human Rights, Environmental and Ethical Dilemmas in the Apple Supply Chain&quot;,&quot;author&quot;:[{&quot;family&quot;:&quot;Clarke&quot;,&quot;given&quot;:&quot;Thomas&quot;,&quot;parse-names&quot;:false,&quot;dropping-particle&quot;:&quot;&quot;,&quot;non-dropping-particle&quot;:&quot;&quot;},{&quot;family&quot;:&quot;Boersma&quot;,&quot;given&quot;:&quot;Martijn&quot;,&quot;parse-names&quot;:false,&quot;dropping-particle&quot;:&quot;&quot;,&quot;non-dropping-particle&quot;:&quot;&quot;}],&quot;container-title&quot;:&quot;Journal of Business Ethics&quot;,&quot;issued&quot;:{&quot;date-parts&quot;:[[2017]]},&quot;page&quot;:&quot;111-131&quot;,&quot;abstract&quot;:&quot;The continued advance of global value chains as the mode of production for an increasing number of goods and services has impacted considerably on the economies and societies both of the developed world and the emerging economies. Although there have been many efforts at reform there is evidence of unresolved dilemmas of human rights, environmental issues and ethical dilemmas in the operation of the global value chain. This paper focuses on the role and performance of Apple Inc in the global value chain in Asia. Apple is the most successful corporation on earth measured in financial terms and yet has failed to find a solution to recurrent employment and environmental problems occurring in plants manufacturing Apple components. This analysis informs the current theoretical debate on the development of the global value chain and the continuing institutional failure that leaves employees vulnerable and the environment neglected.&quot;,&quot;issue&quot;:&quot;1&quot;,&quot;volume&quot;:&quot;143&quot;,&quot;container-title-short&quot;:&quot;&quot;},&quot;isTemporary&quot;:false}],&quot;citationTag&quot;:&quot;MENDELEY_CITATION_v3_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&quot;},{&quot;citationID&quot;:&quot;MENDELEY_CITATION_186345e3-f89e-4682-81b5-837ecbd0a7ac&quot;,&quot;properties&quot;:{&quot;noteIndex&quot;:0},&quot;isEdited&quot;:false,&quot;manualOverride&quot;:{&quot;isManuallyOverridden&quot;:true,&quot;citeprocText&quot;:&quot;(Islam &lt;i&gt;et al.&lt;/i&gt;, 2021)&quot;,&quot;manualOverrideText&quot;:&quot;(Islam, Deegan and Haque, 2021).&quot;},&quot;citationItems&quot;:[{&quot;id&quot;:&quot;f756380b-1b6c-38cb-8a55-80fec27f7cf1&quot;,&quot;itemData&quot;:{&quot;type&quot;:&quot;article-journal&quot;,&quot;id&quot;:&quot;f756380b-1b6c-38cb-8a55-80fec27f7cf1&quot;,&quot;title&quot;:&quot;Corporate human rights performance and moral power: A study of retail MNCs’ supply chains in Bangladesh&quot;,&quot;author&quot;:[{&quot;family&quot;:&quot;Islam&quot;,&quot;given&quot;:&quot;Muhammad Azizul&quot;,&quot;parse-names&quot;:false,&quot;dropping-particle&quot;:&quot;&quot;,&quot;non-dropping-particle&quot;:&quot;&quot;},{&quot;family&quot;:&quot;Deegan&quot;,&quot;given&quot;:&quot;Craig&quot;,&quot;parse-names&quot;:false,&quot;dropping-particle&quot;:&quot;&quot;,&quot;non-dropping-particle&quot;:&quot;&quot;},{&quot;family&quot;:&quot;Haque&quot;,&quot;given&quot;:&quot;Shamima&quot;,&quot;parse-names&quot;:false,&quot;dropping-particle&quot;:&quot;&quot;,&quot;non-dropping-particle&quot;:&quot;&quot;}],&quot;container-title&quot;:&quot;Critical Perspectives on Accounting&quot;,&quot;issued&quot;:{&quot;date-parts&quot;:[[2021,1,1]]},&quot;page&quot;:&quot;102163&quot;,&quot;abstract&quot;:&quot;This paper investigates how particular stakeholder groups, such as labor rights non-governmental organizations (NGOs), question and even challenge the moral power of multinational companies (MNCs) to maintain human rights in their supply chains in Bangladesh. Around the time of two major factory disasters in Bangladesh (the Tarzeen fire and the Rana Plaza collapse in 2012 and 2013, respectively) we conducted a series of interviews (between 2012 and 2014) and reviewed articles in news media and NGO documents to understand how labor rights NGOs’ narratives challenge MNCs and their suppliers’ actual human rights performance and associated moral power within clothing supply chains. The findings show that MNCs’ and their suppliers’ workplace human rights performance in Bangladesh, as perceived by labor rights NGOs, is inconsistent with MNCs’ public disclosures on human rights. The NGOs’ counter-narratives testify to MNCs’ and their suppliers’ abuses of human rights and the associated moral deficit. This study draws on the notion of moral power in line with Aristotle's view of the moral actor and adds to Mehta and Winship (2010) three essential aspects of moral power – moral intention, moral capability and moral standing – by providing a new insight that suggests that MNCs and their suppliers in the developing nation context of Bangladesh lack the moral intention, moral capability and moral standing to uphold workplace human rights. We note that gaining these richer insights are possible because we directly solicit the views of NGOs and social movement organizations. The paper fills a research gap by looking at whether the adoption of the language of human rights obligations by MNCs creates any change in their moral power and human rights performance, as perceived by workers’ rights NGOs.&quot;,&quot;publisher&quot;:&quot;Elsevier Ltd&quot;,&quot;volume&quot;:&quot;74&quot;,&quot;container-title-short&quot;:&quot;&quot;},&quot;isTemporary&quot;:false}],&quot;citationTag&quot;:&quot;MENDELEY_CITATION_v3_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&quot;},{&quot;citationID&quot;:&quot;MENDELEY_CITATION_796374ab-1b3d-47c1-b659-2c9632f500bb&quot;,&quot;properties&quot;:{&quot;noteIndex&quot;:0},&quot;isEdited&quot;:false,&quot;manualOverride&quot;:{&quot;isManuallyOverridden&quot;:true,&quot;citeprocText&quot;:&quot;(Crane, 2013)&quot;,&quot;manualOverrideText&quot;:&quot;(Crane, 2013).&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citationTag&quot;:&quot;MENDELEY_CITATION_v3_eyJjaXRhdGlvbklEIjoiTUVOREVMRVlfQ0lUQVRJT05fNzk2Mzc0YWItMWIzZC00N2MxLWI2NTktMmM5NjMyZjUwMGJiIiwicHJvcGVydGllcyI6eyJub3RlSW5kZXgiOjB9LCJpc0VkaXRlZCI6ZmFsc2UsIm1hbnVhbE92ZXJyaWRlIjp7ImlzTWFudWFsbHlPdmVycmlkZGVuIjp0cnVlLCJjaXRlcHJvY1RleHQiOiIoQ3JhbmUsIDIwMTMpIiwibWFudWFsT3ZlcnJpZGVUZXh0IjoiKENyYW5lLCAyMDEzKS4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1dfQ==&quot;},{&quot;citationID&quot;:&quot;MENDELEY_CITATION_28af1e6e-599f-42bd-be91-e05005fd9d2d&quot;,&quot;properties&quot;:{&quot;noteIndex&quot;:0},&quot;isEdited&quot;:false,&quot;manualOverride&quot;:{&quot;isManuallyOverridden&quot;:false,&quot;citeprocText&quot;:&quot;(Gray &lt;i&gt;et al.&lt;/i&gt;, 1996; Parsa &lt;i&gt;et al.&lt;/i&gt;, 2018; Walker, 2021)&quot;,&quot;manualOverrideText&quot;:&quot;&quot;},&quot;citationItems&quot;:[{&quot;id&quot;:&quot;50be5003-e9c7-3ac0-ab8b-d06e29f35983&quot;,&quot;itemData&quot;:{&quot;type&quot;:&quot;article-journal&quot;,&quot;id&quot;:&quot;50be5003-e9c7-3ac0-ab8b-d06e29f35983&quot;,&quot;title&quot;:&quot;Accounting and accountability: Social and environmental accounting in a changing world.&quot;,&quot;author&quot;:[{&quot;family&quot;:&quot;Gray&quot;,&quot;given&quot;:&quot;R.,&quot;,&quot;parse-names&quot;:false,&quot;dropping-particle&quot;:&quot;&quot;,&quot;non-dropping-particle&quot;:&quot;&quot;},{&quot;family&quot;:&quot;Owen&quot;,&quot;given&quot;:&quot;D.&quot;,&quot;parse-names&quot;:false,&quot;dropping-particle&quot;:&quot;&quot;,&quot;non-dropping-particle&quot;:&quot;&quot;},{&quot;family&quot;:&quot;Adams&quot;,&quot;given&quot;:&quot;C.&quot;,&quot;parse-names&quot;:false,&quot;dropping-particle&quot;:&quot;&quot;,&quot;non-dropping-particle&quot;:&quot;&quot;}],&quot;container-title&quot;:&quot;Accounting, Auditing &amp; Accountability Journal&quot;,&quot;issued&quot;:{&quot;date-parts&quot;:[[1996]]},&quot;page&quot;:&quot;325-364&quot;,&quot;volume&quot;:&quot;10&quot;,&quot;container-title-short&quot;:&quot;&quot;},&quot;isTemporary&quot;:false},{&quot;id&quot;:&quot;e48ad0b4-5daf-3489-98c8-32c2ea7b8b8c&quot;,&quot;itemData&quot;:{&quot;type&quot;:&quot;article-journal&quot;,&quot;id&quot;:&quot;e48ad0b4-5daf-3489-98c8-32c2ea7b8b8c&quot;,&quot;title&quot;:&quot;The blindfold witness? An accountant's response to slavery and atrocity in the Devil's Paradise&quot;,&quot;author&quot;:[{&quot;family&quot;:&quot;Walker&quot;,&quot;given&quot;:&quot;Stephen P&quot;,&quot;parse-names&quot;:false,&quot;dropping-particle&quot;:&quot;&quot;,&quot;non-dropping-particle&quot;:&quot;&quot;}],&quot;container-title&quot;:&quot;The British Accounting Review&quot;,&quot;accessed&quot;:{&quot;date-parts&quot;:[[2023,2,9]]},&quot;DOI&quot;:&quot;10.1016/j.bar.2021.101068&quot;,&quot;issued&quot;:{&quot;date-parts&quot;:[[2021]]},&quot;container-title-short&quot;:&quot;&quot;},&quot;isTemporary&quot;:false},{&quot;id&quot;:&quot;4423ce05-aeda-3fda-a556-caf48691b8e4&quot;,&quot;itemData&quot;:{&quot;type&quot;:&quot;article-journal&quot;,&quot;id&quot;:&quot;4423ce05-aeda-3fda-a556-caf48691b8e4&quot;,&quot;title&quot;:&quot;Have labour practices and human rights disclosures enhanced corporate accountability? The case of the GRI framework&quot;,&quot;author&quot;:[{&quot;family&quot;:&quot;Parsa&quot;,&quot;given&quot;:&quot;Sepideh&quot;,&quot;parse-names&quot;:false,&quot;dropping-particle&quot;:&quot;&quot;,&quot;non-dropping-particle&quot;:&quot;&quot;},{&quot;family&quot;:&quot;Roper&quot;,&quot;given&quot;:&quot;Ian&quot;,&quot;parse-names&quot;:false,&quot;dropping-particle&quot;:&quot;&quot;,&quot;non-dropping-particle&quot;:&quot;&quot;},{&quot;family&quot;:&quot;Muller-Camen&quot;,&quot;given&quot;:&quot;Michael&quot;,&quot;parse-names&quot;:false,&quot;dropping-particle&quot;:&quot;&quot;,&quot;non-dropping-particle&quot;:&quot;&quot;},{&quot;family&quot;:&quot;Szigetvari&quot;,&quot;given&quot;:&quot;Eva&quot;,&quot;parse-names&quot;:false,&quot;dropping-particle&quot;:&quot;&quot;,&quot;non-dropping-particle&quot;:&quot;&quot;}],&quot;container-title&quot;:&quot;Accounting Forum&quot;,&quot;ISSN&quot;:&quot;14676303&quot;,&quot;issued&quot;:{&quot;date-parts&quot;:[[2018,3,1]]},&quot;page&quot;:&quot;47-64&quot;,&quot;abstract&quot;:&quot;This paper critically evaluates Transnational Corporations’ (TNCs) claimed adherence to the Global Reporting Initiative (GRI)’s ‘labour’ and ‘human rights’ reporting guidelines and examines how successful the GRI has been in enhancing comparability and transparency. We found limited evidence of TNCs discharging their accountability to their workforce and, rather, we found evidence to suggest that disclosure was motivated more by enhancing their legitimacy. TNCs failed to adhere to the guidelines, which meant that material information items were often missing, rendering comparability of information meaningless. Instead, TNCs reported large volumes of generic/anecdotal information without acknowledging the impediments they faced in practice.&quot;,&quot;publisher&quot;:&quot;Elsevier Ltd&quot;,&quot;issue&quot;:&quot;1&quot;,&quot;volume&quot;:&quot;42&quot;,&quot;container-title-short&quot;:&quot;&quot;},&quot;isTemporary&quot;:false}],&quot;citationTag&quot;:&quot;MENDELEY_CITATION_v3_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&quot;},{&quot;citationID&quot;:&quot;MENDELEY_CITATION_736d42fb-76fd-4179-a72f-c0d82b03cb0f&quot;,&quot;properties&quot;:{&quot;noteIndex&quot;:0},&quot;isEdited&quot;:false,&quot;manualOverride&quot;:{&quot;isManuallyOverridden&quot;:false,&quot;citeprocText&quot;:&quot;(Christ &lt;i&gt;et al.&lt;/i&gt;, 2019; McPhail and McKernan, 2011)&quot;,&quot;manualOverrideText&quot;:&quot;&quot;},&quot;citationItems&quot;:[{&quot;id&quot;:&quot;919377b5-543c-3f2d-86ee-76630c5be4a4&quot;,&quot;itemData&quot;:{&quot;type&quot;:&quot;article&quot;,&quot;id&quot;:&quot;919377b5-543c-3f2d-86ee-76630c5be4a4&quot;,&quot;title&quot;:&quot;Accounting for human rights: An overview and introduction&quot;,&quot;author&quot;:[{&quot;family&quot;:&quot;McPhail&quot;,&quot;given&quot;:&quot;Ken&quot;,&quot;parse-names&quot;:false,&quot;dropping-particle&quot;:&quot;&quot;,&quot;non-dropping-particle&quot;:&quot;&quot;},{&quot;family&quot;:&quot;McKernan&quot;,&quot;given&quot;:&quot;John&quot;,&quot;parse-names&quot;:false,&quot;dropping-particle&quot;:&quot;&quot;,&quot;non-dropping-particle&quot;:&quot;&quot;}],&quot;container-title&quot;:&quot;Critical Perspectives on Accounting&quot;,&quot;issued&quot;:{&quot;date-parts&quot;:[[2011,11]]},&quot;page&quot;:&quot;733-737&quot;,&quot;issue&quot;:&quot;8&quot;,&quot;volume&quot;:&quot;22&quot;,&quot;container-title-short&quot;:&quot;&quot;},&quot;isTemporary&quot;:false},{&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citationTag&quot;:&quot;MENDELEY_CITATION_v3_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quot;},{&quot;citationID&quot;:&quot;MENDELEY_CITATION_41686f56-05a9-4a9c-9caf-676824052307&quot;,&quot;properties&quot;:{&quot;noteIndex&quot;:0},&quot;isEdited&quot;:false,&quot;manualOverride&quot;:{&quot;isManuallyOverridden&quot;:false,&quot;citeprocText&quot;:&quot;(Iswati W, 2020; Owen, 2014)&quot;,&quot;manualOverrideText&quot;:&quot;&quot;},&quot;citationItems&quot;:[{&quot;id&quot;:&quot;56c154d8-9394-3aad-8092-d31b694b370d&quot;,&quot;itemData&quot;:{&quot;type&quot;:&quot;article-journal&quot;,&quot;id&quot;:&quot;56c154d8-9394-3aad-8092-d31b694b370d&quot;,&quot;title&quot;:&quot;The evolution of social reporting: The ‘early days’&quot;,&quot;author&quot;:[{&quot;family&quot;:&quot;Owen&quot;,&quot;given&quot;:&quot;Dave&quot;,&quot;parse-names&quot;:false,&quot;dropping-particle&quot;:&quot;&quot;,&quot;non-dropping-particle&quot;:&quot;&quot;}],&quot;container-title&quot;:&quot;Social and Environmental Accountability Journal&quot;,&quot;ISSN&quot;:&quot;21562245&quot;,&quot;URL&quot;:&quot;http://dx.doi.org/10.1080/0969160X.2014.938470&quot;,&quot;issued&quot;:{&quot;date-parts&quot;:[[2014]]},&quot;page&quot;:&quot;75-80&quot;,&quot;abstract&quot;:&quot;The brief given me is to provide an overview of the ‘early days’ of social (and environmental) reporting whilst also reflecting on the intellectual contribution of Rob Gray towards the development of the field. One initial problem that presents itself here is that social disclosure within the medium of corporate annual reports is far from being a recent phenomenon, and can indeed be traced back to the beginning of the twentieth century. Clearly, notwithstanding his advanced years, Rob was not around to witness, or influence, these early developments! However (and fortunately for the purposes of this paper), the issue of social disclosure did not achieve real prominence until the 1970s, largely as a consequence of the debate, then raging, concerning the role of the corporation in society at a time of rising social expectations and emerging environmental awareness. I will, therefore, take the 1970s as my starting point for the purposes of this analysis and trace developments, of necessity exceedingly sketchily, up to 1992 – the year of the inaugural CSEAR conference. It was arguably at this stage that social and environmental accounting practice and research began its march from an embryonic state to the fully fledged phenomenon we observe today. Of course, the role of CSEAR (with Rob as its driving force) has been absolutely central in bringing about such a development.&quot;,&quot;publisher&quot;:&quot;Taylor &amp; Francis&quot;,&quot;issue&quot;:&quot;2&quot;,&quot;volume&quot;:&quot;34&quot;,&quot;container-title-short&quot;:&quot;&quot;},&quot;isTemporary&quot;:false},{&quot;id&quot;:&quot;9795629c-b080-3139-87fc-1ed276098cf0&quot;,&quot;itemData&quot;:{&quot;type&quot;:&quot;article-journal&quot;,&quot;id&quot;:&quot;9795629c-b080-3139-87fc-1ed276098cf0&quot;,&quot;title&quot;:&quot;The Impact of Disclosure Sustainability Reporting, Influence Corporate Social Responsibilities Towards Corporate Value with Mediation of Financial Performance&quot;,&quot;author&quot;:[{&quot;family&quot;:&quot;Iswati W&quot;,&quot;given&quot;:&quot;&quot;,&quot;parse-names&quot;:false,&quot;dropping-particle&quot;:&quot;&quot;,&quot;non-dropping-particle&quot;:&quot;&quot;}],&quot;container-title&quot;:&quot;International Journal of Managerial Studies and Research&quot;,&quot;issued&quot;:{&quot;date-parts&quot;:[[2020]]},&quot;abstract&quot;:&quot;The purpose of this study is to obtain empirical evidence about the effect of sustainability reporting and corporate social responsibilities on firm value with mediation of financial performance to 132 manufacturing companies listed on Indonesia Stock Exchange (IDX) in 2017-2018. This study is quantitative researh by testing hypotheses because it uses statistical methods to resolve the problem. Data Analyzed using multiple linear regression model to examine the impact of the disclosure of sustainability reporting and the disclosure of corporate social responsibility toward firm value with the mediation of financial performance. The findings of this study indicate that the disclosure of sustainability reporting and corporate social responsibility do not affect financial performance.The disclosure of sustainabilityreporting and corporate social responsibility do not affect firm value.The Firm performance affects firm value. The Firm performance does not mediate the relationship of corporate social responsibility disclosure to firm value and the relationship of disclosure of sustainability reporting to firm value.This study uses stakeholder theory as the basis to explain how to minimize gap between managers who run companies and stakeholders who have high expectation toward corporates performance and legitimacy theory that can be used as a vehicle to construct corporate strategy, especially related to efforts to position themselves in an increasingly advanced society.&quot;,&quot;publisher&quot;:&quot;ARC Publications Pvt Ltd.&quot;,&quot;issue&quot;:&quot;1&quot;,&quot;volume&quot;:&quot;8&quot;,&quot;container-title-short&quot;:&quot;&quot;},&quot;isTemporary&quot;:false}],&quot;citationTag&quot;:&quot;MENDELEY_CITATION_v3_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&quot;},{&quot;citationID&quot;:&quot;MENDELEY_CITATION_e15346f0-9c26-4c02-ad6e-e20115c67e62&quot;,&quot;properties&quot;:{&quot;noteIndex&quot;:0},&quot;isEdited&quot;:false,&quot;manualOverride&quot;:{&quot;isManuallyOverridden&quot;:false,&quot;citeprocText&quot;:&quot;(van der Laan Smith &lt;i&gt;et al.&lt;/i&gt;, 2005)&quot;,&quot;manualOverrideText&quot;:&quot;&quot;},&quot;citationItems&quot;:[{&quot;id&quot;:&quot;c742ae43-16cf-321a-8802-e8f4cbd228ca&quot;,&quot;itemData&quot;:{&quot;type&quot;:&quot;article-journal&quot;,&quot;id&quot;:&quot;c742ae43-16cf-321a-8802-e8f4cbd228ca&quot;,&quot;title&quot;:&quot;Exploring differences in social disclosures internationally: A stakeholder perspective&quot;,&quot;author&quot;:[{&quot;family&quot;:&quot;Laan Smith&quot;,&quot;given&quot;:&quot;Joyce&quot;,&quot;parse-names&quot;:false,&quot;dropping-particle&quot;:&quot;&quot;,&quot;non-dropping-particle&quot;:&quot;van der&quot;},{&quot;family&quot;:&quot;Adhikari&quot;,&quot;given&quot;:&quot;Ajay&quot;,&quot;parse-names&quot;:false,&quot;dropping-particle&quot;:&quot;&quot;,&quot;non-dropping-particle&quot;:&quot;&quot;},{&quot;family&quot;:&quot;Tondkar&quot;,&quot;given&quot;:&quot;Rasoul H.&quot;,&quot;parse-names&quot;:false,&quot;dropping-particle&quot;:&quot;&quot;,&quot;non-dropping-particle&quot;:&quot;&quot;}],&quot;container-title&quot;:&quot;Journal of Accounting and Public Policy&quot;,&quot;accessed&quot;:{&quot;date-parts&quot;:[[2023,3,25]]},&quot;DOI&quot;:&quot;10.1016/J.JACCPUBPOL.2004.12.007&quot;,&quot;ISSN&quot;:&quot;0278-4254&quot;,&quot;issued&quot;:{&quot;date-parts&quot;:[[2005,3,1]]},&quot;page&quot;:&quot;123-151&quot;,&quot;abstract&quot;:&quot;Country of origin is considered to be an important determinant of the level and type of corporate social disclosure. In this paper, we use stakeholder theory to explain differences in social disclosure among countries. We argue that the manner in which the role of a corporation and its stakeholders is defined in a society will affect the extent and quality of corporate social disclosure (CSD) in annual reports. Our findings based on a content analysis of 1998 and 1999 annual reports for 32 Norwegian/Danish companies and 26 US companies in the electric power generation industry, lend support to the stakeholder explanation for observed international differences in CSD. © 2005 Elsevier Inc. All rights reserved.&quot;,&quot;publisher&quot;:&quot;Elsevier&quot;,&quot;issue&quot;:&quot;2&quot;,&quot;volume&quot;:&quot;24&quot;,&quot;container-title-short&quot;:&quot;&quot;},&quot;isTemporary&quot;:false}],&quot;citationTag&quot;:&quot;MENDELEY_CITATION_v3_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&quot;},{&quot;citationID&quot;:&quot;MENDELEY_CITATION_72ec5f86-cda3-4e78-8d8f-199dc0149f2e&quot;,&quot;properties&quot;:{&quot;noteIndex&quot;:0},&quot;isEdited&quot;:false,&quot;manualOverride&quot;:{&quot;isManuallyOverridden&quot;:false,&quot;citeprocText&quot;:&quot;(Caruana &lt;i&gt;et al.&lt;/i&gt;, 2021)&quot;,&quot;manualOverrideText&quot;:&quot;&quot;},&quot;citationItems&quot;:[{&quot;id&quot;:&quot;c77499a4-d2a9-35d3-827d-5c36fa103040&quot;,&quot;itemData&quot;:{&quot;type&quot;:&quot;article-journal&quot;,&quot;id&quot;:&quot;c77499a4-d2a9-35d3-827d-5c36fa103040&quot;,&quot;title&quot;:&quot;Modern Slavery in Business: The Sad and Sorry State of a Non-Field&quot;,&quot;author&quot;:[{&quot;family&quot;:&quot;Caruana&quot;,&quot;given&quot;:&quot;Robert&quot;,&quot;parse-names&quot;:false,&quot;dropping-particle&quot;:&quot;&quot;,&quot;non-dropping-particle&quot;:&quot;&quot;},{&quot;family&quot;:&quot;Crane&quot;,&quot;given&quot;:&quot;Andrew&quot;,&quot;parse-names&quot;:false,&quot;dropping-particle&quot;:&quot;&quot;,&quot;non-dropping-particle&quot;:&quot;&quot;},{&quot;family&quot;:&quot;Gold&quot;,&quot;given&quot;:&quot;Stefan&quot;,&quot;parse-names&quot;:false,&quot;dropping-particle&quot;:&quot;&quot;,&quot;non-dropping-particle&quot;:&quot;&quot;},{&quot;family&quot;:&quot;Lebaron&quot;,&quot;given&quot;:&quot;Genevieve&quot;,&quot;parse-names&quot;:false,&quot;dropping-particle&quot;:&quot;&quot;,&quot;non-dropping-particle&quot;:&quot;&quot;}],&quot;container-title&quot;:&quot;Business &amp; Society&quot;,&quot;accessed&quot;:{&quot;date-parts&quot;:[[2023,3,22]]},&quot;DOI&quot;:&quot;10.1177/0007650320930417&quot;,&quot;URL&quot;:&quot;https://doi.org/10.1177/0007650320930417&quot;,&quot;issued&quot;:{&quot;date-parts&quot;:[[2021]]},&quot;page&quot;:&quot;251-287&quot;,&quot;abstract&quot;:&quot;\&quot;Modern slavery,\&quot; a term used to describe severe forms of labor exploitation, is beginning to spark growing interest within business and society research. As a novel phenomenon, it offers potential for innovative theoretical and empirical pathways to a range of business and management research questions. And yet, development into what we might call a \&quot;field\&quot; of modern slavery research in business and management remains significantly, and disappointingly, underdeveloped. To explore this, we elaborate on the developments to date, the potential drawbacks, and the possible future deviations that might evolve within six subdisciplinary areas of business and management. We also examine the value that nonmanagement disciplines can bring to research on modern slavery and business, examining the connections, critiques, and catalysts evident in research from political science, law, and history. These, we suggest, offer significant potential for building toward a more substantial subfield of research.&quot;,&quot;issue&quot;:&quot;2&quot;,&quot;volume&quot;:&quot;60&quot;,&quot;container-title-short&quot;:&quot;Bus Soc&quot;},&quot;isTemporary&quot;:false}],&quot;citationTag&quot;:&quot;MENDELEY_CITATION_v3_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&quot;},{&quot;citationID&quot;:&quot;MENDELEY_CITATION_e21ecdca-ba56-4aae-bce2-fe864cd5595d&quot;,&quot;properties&quot;:{&quot;noteIndex&quot;:0},&quot;isEdited&quot;:false,&quot;manualOverride&quot;:{&quot;isManuallyOverridden&quot;:true,&quot;citeprocText&quot;:&quot;(Flynn and Walker, 2021)&quot;,&quot;manualOverrideText&quot;:&quot;(Flynn and Walker, 2021b)&quot;},&quot;citationItems&quot;:[{&quot;id&quot;:&quot;336c159a-b55a-33bb-b8a0-14b7a77aeb9d&quot;,&quot;itemData&quot;:{&quot;type&quot;:&quot;article-journal&quot;,&quot;id&quot;:&quot;336c159a-b55a-33bb-b8a0-14b7a77aeb9d&quot;,&quot;title&quot;:&quot;Corporate responses to modern slavery risks: an institutional theory perspective&quot;,&quot;author&quot;:[{&quot;family&quot;:&quot;Flynn&quot;,&quot;given&quot;:&quot;Anthony&quot;,&quot;parse-names&quot;:false,&quot;dropping-particle&quot;:&quot;&quot;,&quot;non-dropping-particle&quot;:&quot;&quot;},{&quot;family&quot;:&quot;Walker&quot;,&quot;given&quot;:&quot;Helen&quot;,&quot;parse-names&quot;:false,&quot;dropping-particle&quot;:&quot;&quot;,&quot;non-dropping-particle&quot;:&quot;&quot;}],&quot;container-title&quot;:&quot;European Business Review&quot;,&quot;DOI&quot;:&quot;10.1108/EBR-05-2019-0092&quot;,&quot;ISSN&quot;:&quot;0955534X&quot;,&quot;issued&quot;:{&quot;date-parts&quot;:[[2021,2,4]]},&quot;page&quot;:&quot;295-315&quot;,&quot;abstract&quot;:&quot;Purpose: Drawing on statements made under the transparency in supply chains provision of the UK Modern Slavery Act, this paper aims to examine how firms are responding to modern slavery risks in their supply chains. Design/methodology/approach: Using an institutional theory lens, a content analysis of modern slavery statements by financial times stock exchange (FTSE) firms is carried out. The analysis focusses on sources of modern slavery institutional pressure and changes that firms have made in their structures, policies and practices in response to modern slavery risks. Findings: Three sources of institutional pressure are inferred from modern slavery statements: international human rights accords (coercive), multi-stakeholder initiatives (mimetic) and professional standards (normative). Changes made by firms in direct response to modern slavery include adopting new policies, strengthening contract terms, establishing working/steering groups and creating new key performance indicators. FTSE 100 firms have been more proactive than FTSE 250 firms in making these changes, as have firms in higher risk industries. Research limitations/implications: The analysis covers FTSE firms only. Responses to modern slavery risks by non-FTSE firms deserve attention. Practical implications: The UK Modern Slavery Act relies on non-government organisations and consumers to hold firms to account over modern slavery. Policymakers should be aware that while this strategy might work with high profile firms, it is less applicable to firms that operate below the public radar. Originality/value: The paper shows that institutional theory has validity for explaining corporate responses to modern slavery risks.&quot;,&quot;publisher&quot;:&quot;Emerald Group Holdings Ltd.&quot;,&quot;issue&quot;:&quot;2&quot;,&quot;volume&quot;:&quot;33&quot;,&quot;container-title-short&quot;:&quot;&quot;},&quot;isTemporary&quot;:false}],&quot;citationTag&quot;:&quot;MENDELEY_CITATION_v3_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XX0=&quot;},{&quot;citationID&quot;:&quot;MENDELEY_CITATION_70506b9f-9efc-49fa-af9e-a2a7a3363dfd&quot;,&quot;properties&quot;:{&quot;noteIndex&quot;:0},&quot;isEdited&quot;:false,&quot;manualOverride&quot;:{&quot;isManuallyOverridden&quot;:false,&quot;citeprocText&quot;:&quot;(Stevenson and Cole, 2018a)&quot;,&quot;manualOverrideText&quot;:&quot;&quot;},&quot;citationItems&quot;:[{&quot;id&quot;:&quot;6a12a5b4-1c85-3736-8c7f-1b0ac42b837c&quot;,&quot;itemData&quot;:{&quot;type&quot;:&quot;article-journal&quot;,&quot;id&quot;:&quot;6a12a5b4-1c85-3736-8c7f-1b0ac42b837c&quot;,&quot;title&quot;:&quot;Modern slavery in supply chains: a secondary data analysis of detection, remediation and disclosure&quot;,&quot;author&quot;:[{&quot;family&quot;:&quot;Stevenson&quot;,&quot;given&quot;:&quot;Mark&quot;,&quot;parse-names&quot;:false,&quot;dropping-particle&quot;:&quot;&quot;,&quot;non-dropping-particle&quot;:&quot;&quot;},{&quot;family&quot;:&quot;Cole&quot;,&quot;given&quot;:&quot;Rosanna&quot;,&quot;parse-names&quot;:false,&quot;dropping-particle&quot;:&quot;&quot;,&quot;non-dropping-particle&quot;:&quot;&quot;}],&quot;container-title&quot;:&quot; Supply Chain Management: An International Journal.&quot;,&quot;accessed&quot;:{&quot;date-parts&quot;:[[2023,1,20]]},&quot;URL&quot;:&quot;www.emeraldinsight.com/1359-8546.htm&quot;,&quot;issued&quot;:{&quot;date-parts&quot;:[[2018]]},&quot;page&quot;:&quot;81-99&quot;,&quot;abstract&quot;:&quot;Purpose-The purpose of this study is to examine how organisations report on the detection and remediation of modern slavery in their operations and supply chains and to understand their approaches to disclosing information in response to modern slavery legislation. Design/methodology/approach-An analysis of secondary data based on the statements is released in response to the 2015 UK Modern Slavery Act by 101 firms in the clothing and textiles sector. Findings-Many firms use the same practices to detect and remediate modern slavery as for other social issues. But the hidden, criminal nature of modern slavery and the involvement of third party labour agencies mean practices need to either be tailored or other more innovative approaches developed, including in collaboration with traditional and non-traditional actors. Although five broad types of disclosure are identified, there is substantial heterogeneity in the statements. It is posited however that firms will converge on a more homogenous set of responses over time. Research limitations/implications-The study is limited to one industry, responses to UK legislation and the information disclosed by focal firms only. Future research could expand the focus to include other industries, country contexts and stakeholders. Practical implications-Managers must consider how their own firm's behaviour contributes to the modern slavery threat, regulates both their stock and non-stock supply chains and ensures modern slavery is elevated from the procurement function to the boardroom. In making disclosures, managers may trade-off the potential competitive gains of transparency against the threat of information leakage and reputational risk should their statements be falsified. The managers should also consider what signals their statements send back up the chain to (sub-)suppliers. Findings also have potential policy implications. Originality/value-The study expands the authors' understanding of: modern slavery from a supply chain perspective, e.g. identifying the importance of standard setting and risk avoidance; and, supply chain information disclosure in response to legislative demands. This is the first academic paper to examine the statements produced by organisations in response to the UK Modern Slavery Act.&quot;,&quot;issue&quot;:&quot;2&quot;,&quot;volume&quot;:&quot;23&quot;,&quot;container-title-short&quot;:&quot;&quot;},&quot;isTemporary&quot;:false}],&quot;citationTag&quot;:&quot;MENDELEY_CITATION_v3_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&quot;},{&quot;citationID&quot;:&quot;MENDELEY_CITATION_36fa7296-c33d-4b1e-9e33-f6929adf5b25&quot;,&quot;properties&quot;:{&quot;noteIndex&quot;:0},&quot;isEdited&quot;:false,&quot;manualOverride&quot;:{&quot;isManuallyOverridden&quot;:false,&quot;citeprocText&quot;:&quot;(Brammer &lt;i&gt;et al.&lt;/i&gt;, 2021)&quot;,&quot;manualOverrideText&quot;:&quot;&quot;},&quot;citationItems&quot;:[{&quot;id&quot;:&quot;08757fc3-7d70-3e69-a344-66a1c894e151&quot;,&quot;itemData&quot;:{&quot;type&quot;:&quot;article-journal&quot;,&quot;id&quot;:&quot;08757fc3-7d70-3e69-a344-66a1c894e151&quot;,&quot;title&quot;:&quot;Defining and deterring corporate social irresponsibility: embracing the institutional complexity of international business&quot;,&quot;author&quot;:[{&quot;family&quot;:&quot;Brammer&quot;,&quot;given&quot;:&quot;Stephen&quot;,&quot;parse-names&quot;:false,&quot;dropping-particle&quot;:&quot;&quot;,&quot;non-dropping-particle&quot;:&quot;&quot;},{&quot;family&quot;:&quot;Nardella&quot;,&quot;given&quot;:&quot;Giulio&quot;,&quot;parse-names&quot;:false,&quot;dropping-particle&quot;:&quot;&quot;,&quot;non-dropping-particle&quot;:&quot;&quot;},{&quot;family&quot;:&quot;Surdu&quot;,&quot;given&quot;:&quot;Irina&quot;,&quot;parse-names&quot;:false,&quot;dropping-particle&quot;:&quot;&quot;,&quot;non-dropping-particle&quot;:&quot;&quot;}],&quot;container-title&quot;:&quot;Multinational Business Review&quot;,&quot;issued&quot;:{&quot;date-parts&quot;:[[2021]]},&quot;page&quot;:&quot;301-320&quot;,&quot;abstract&quot;:&quot;Purpose-This paper aims to put forward a definition of corporate social irresponsibility (CSI) which is relevant to the study of complex organizations and in particular, the multinational enterprise (MNE). This paper then offers a framework as a foundation to discuss the institutional complexity of CSI to aid international business (IB) scholars, practitioners and policymakers achieve a clearer understanding of the mechanisms that may penalize and subsequently deter MNE irresponsibility. Design/methodology/approach-In presenting the approaches taken by social regulation researchers and IB policy scholars to understand MNE irresponsibility, this paper proposes a definition of CSI and explicates the various mechanisms associated with deterring MNEs from behaving irresponsibly. Findings-Therefore, how can MNEs be deterred from behaving irresponsibly? To further the research agenda concerning CSI in IB, far less common are a definition of CSI relevant to the complex IB context; and a framework that explicates both the legal and social components of CSI, particularly as they unfold in a complex, diverse and often divergent institutional landscape. Overcoming these two primary obstacles is important because when complexities associated with CSI emerge, researchers need to be able to ascertain and expound upon what they are observing so that comparisons can be made and more MNE CSI research can be accrued over time. Research limitations/implications-To help the development of future research, we offered a more precise definition of CSI, one which is more relevant to the study of the MNE and the complex contemporary IB environment. By embracing complexities, this paper also outlines an institutional complexity approach, one which highlights both the role of formal and informal regulatory institutions. Though IB has traditionally focused on the role of formal regulation, there is much more to be unearthed by exploring the additional and concurrent influence of social regulatory institutions. Practical implications-There is a high level of heterogeneity in the motivations and modes used by MNEs to enter international markets, which likely influence efforts made by these firms to adapt to different types of formal and social institutional pressures. When firms invest significantly in a market, they have a greater economic dependence in that market and institutions have a greater opportunity to exert pressures. For instance, foreign direct investment requires a higher level of (longer-term) commitment, transfer of capital, exchange of expertise and learning, meaning that firms depend much more on local authorities to perform in the market and accomplish their goals. Social implications-Enabled by new technologies and, particularly, social media platforms, stakeholders can now engage in organized forms of regulatory activities, as is evident in the lesbian, gay, bisexual, transgender, queer, black lives matter and gender equality social activist movements. Through Complexity of international business 301&quot;,&quot;issue&quot;:&quot;3&quot;,&quot;volume&quot;:&quot;29&quot;,&quot;container-title-short&quot;:&quot;&quot;},&quot;isTemporary&quot;:false}],&quot;citationTag&quot;:&quot;MENDELEY_CITATION_v3_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&quot;},{&quot;citationID&quot;:&quot;MENDELEY_CITATION_eca80fb4-37c2-446a-9502-f301102f11c2&quot;,&quot;properties&quot;:{&quot;noteIndex&quot;:0},&quot;isEdited&quot;:false,&quot;manualOverride&quot;:{&quot;isManuallyOverridden&quot;:false,&quot;citeprocText&quot;:&quot;(Christ &lt;i&gt;et al.&lt;/i&gt;, 2019; Christ and Burritt, 2021)&quot;,&quot;manualOverrideText&quot;:&quot;&quot;},&quot;citationItems&quot;:[{&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ZWNhODBmYjQtMzdjMi00NDZhLTk1MDItZjMwMTEwMmYxMWMyIiwicHJvcGVydGllcyI6eyJub3RlSW5kZXgiOjB9LCJpc0VkaXRlZCI6ZmFsc2UsIm1hbnVhbE92ZXJyaWRlIjp7ImlzTWFudWFsbHlPdmVycmlkZGVuIjpmYWxzZSwiY2l0ZXByb2NUZXh0IjoiKENocmlzdCA8aT5ldCBhbC48L2k+LCAyMDE5OyBDaHJpc3QgYW5kIEJ1cnJpdHQsIDIwMjEpIiwibWFudWFsT3ZlcnJpZGVUZXh0Ijoi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quot;},{&quot;citationID&quot;:&quot;MENDELEY_CITATION_6d54f4d9-29b0-49fb-825e-86871fdd6fcf&quot;,&quot;properties&quot;:{&quot;noteIndex&quot;:0},&quot;isEdited&quot;:false,&quot;manualOverride&quot;:{&quot;isManuallyOverridden&quot;:false,&quot;citeprocText&quot;:&quot;(Christ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NmQ1NGY0ZDktMjliMC00OWZiLTgyNWUtODY4NzFmZGQ2ZmNm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quot;},{&quot;citationID&quot;:&quot;MENDELEY_CITATION_4cde48a3-044c-4ce0-afc8-3b00117be0be&quot;,&quot;properties&quot;:{&quot;noteIndex&quot;:0},&quot;isEdited&quot;:false,&quot;manualOverride&quot;:{&quot;isManuallyOverridden&quot;:false,&quot;citeprocText&quot;:&quot;(Christ &lt;i&gt;et al.&lt;/i&gt;, 2019; Christ and Burritt, 2021)&quot;,&quot;manualOverrideText&quot;:&quot;&quot;},&quot;citationItems&quot;:[{&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NGNkZTQ4YTMtMDQ0Yy00Y2UwLWFmYzgtM2IwMDExN2JlMGJlIiwicHJvcGVydGllcyI6eyJub3RlSW5kZXgiOjB9LCJpc0VkaXRlZCI6ZmFsc2UsIm1hbnVhbE92ZXJyaWRlIjp7ImlzTWFudWFsbHlPdmVycmlkZGVuIjpmYWxzZSwiY2l0ZXByb2NUZXh0IjoiKENocmlzdCA8aT5ldCBhbC48L2k+LCAyMDE5OyBDaHJpc3QgYW5kIEJ1cnJpdHQsIDIwMjEpIiwibWFudWFsT3ZlcnJpZGVUZXh0Ijoi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quot;},{&quot;citationID&quot;:&quot;MENDELEY_CITATION_5434ba9c-bb64-4498-be6a-01fa75d054a7&quot;,&quot;properties&quot;:{&quot;noteIndex&quot;:0},&quot;isEdited&quot;:false,&quot;manualOverride&quot;:{&quot;isManuallyOverridden&quot;:false,&quot;citeprocText&quot;:&quot;(Mcphail and Adams, 2016; Obara and Peattie, 2018)&quot;,&quot;manualOverrideText&quot;:&quot;&quot;},&quot;citationItems&quot;:[{&quot;id&quot;:&quot;a436e616-fbc0-35ec-b862-c88d9d9e0f3d&quot;,&quot;itemData&quot;:{&quot;type&quot;:&quot;article-journal&quot;,&quot;id&quot;:&quot;a436e616-fbc0-35ec-b862-c88d9d9e0f3d&quot;,&quot;title&quot;:&quot;Corporate respect for human rights: meaning, scope, and the shifting order of discourse&quot;,&quot;author&quot;:[{&quot;family&quot;:&quot;Mcphail&quot;,&quot;given&quot;:&quot;Ken&quot;,&quot;parse-names&quot;:false,&quot;dropping-particle&quot;:&quot;&quot;,&quot;non-dropping-particle&quot;:&quot;&quot;},{&quot;family&quot;:&quot;Adams&quot;,&quot;given&quot;:&quot;Carol A&quot;,&quot;parse-names&quot;:false,&quot;dropping-particle&quot;:&quot;&quot;,&quot;non-dropping-particle&quot;:&quot;&quot;}],&quot;container-title&quot;:&quot;Accounting, Auditing &amp; Accountability Journal&quot;,&quot;accessed&quot;:{&quot;date-parts&quot;:[[2022,7,18]]},&quot;issued&quot;:{&quot;date-parts&quot;:[[2016]]},&quot;abstract&quot;:&quot;Purpose-Drawing on Fairclough (1989, 2005), the purpose of this paper is to explore how respect for human rights is emerging and being operationalized in the discourse of 30 Fortune 500 companies in the mining, pharmaceutical and chemical industries at two key points in the recent evolution of the UN's business and human rights agenda. Specifically the paper explores the scope of rights for which corporations are accountable and, more specifically, the degree of responsibility a company assumes for enacting these rights. Design/methodology/approach-The authors draw on Fairclough (1992) and Mashaw (2007) in a critical discourse analysis of corporate human rights disclosures of ten companies in each of the chemical, mining and pharmaceutical industries at two points in time coinciding with: first, the publication in 2008 of the Protect, Respect, Remedy policy framework; and second, the endorsement by the UN in 2011, of a set of Guiding Principles designed to implement this framework. Findings-The study finds four grammars of respect and three different scopes of rights within specific corporate accountably disclosures on their responsibility to respect rights. Corporate constructions of human rights are broad: from labour rights, through social and political rights, to the right to health and a clean environment. The corporate discourse is one of promoting, realizing and upholding rights that construct the corporation as an autonomous source of power beyond the state. Practical implications-The paper contends that the structuring of this emerging discourse is important, not only because the meaning and scope of corporate respect for rights affects the lived experience of some of the most vulnerable in society, but also because it reflects a shifting the relationship between the state, business and society (Muchlinski 2012). Originality/value-The authors develop a way of conceptualizing business human rights responsibilities and contend that the corporate human rights discourse of respect reflects a significant reconfiguration of political power.&quot;,&quot;container-title-short&quot;:&quot;&quot;},&quot;isTemporary&quot;:false},{&quot;id&quot;:&quot;64a7ac8e-ec83-359d-a226-23f991e8ccaf&quot;,&quot;itemData&quot;:{&quot;type&quot;:&quot;article-journal&quot;,&quot;id&quot;:&quot;64a7ac8e-ec83-359d-a226-23f991e8ccaf&quot;,&quot;title&quot;:&quot;Bridging the great divide? Making sense of the human rights-CSR relationship in UK multinational companies&quot;,&quot;author&quot;:[{&quot;family&quot;:&quot;Obara&quot;,&quot;given&quot;:&quot;Louise J.&quot;,&quot;parse-names&quot;:false,&quot;dropping-particle&quot;:&quot;&quot;,&quot;non-dropping-particle&quot;:&quot;&quot;},{&quot;family&quot;:&quot;Peattie&quot;,&quot;given&quot;:&quot;Ken&quot;,&quot;parse-names&quot;:false,&quot;dropping-particle&quot;:&quot;&quot;,&quot;non-dropping-particle&quot;:&quot;&quot;}],&quot;container-title&quot;:&quot;Journal of World Business&quot;,&quot;issued&quot;:{&quot;date-parts&quot;:[[2018]]},&quot;page&quot;:&quot;781-793&quot;,&quot;abstract&quot;:&quot;Human rights (HR) and corporate social responsibility (CSR) are both fields of knowledge and research that have been shaped by, and examine, the role of multi-national enterprises in society. Whilst scholars have highlighted the overlapping nature of CSR and HR, our understanding of this relationship within business practice remains vague and under-researched. To explore the interface between CSR and HR, this paper presents empirical data from a qualitative study involving 22 international businesses based in the UK. Through an analysis based on sensemaking, the paper examines how and where CSR and HR overlap, contrast and shape one another, and the role that companies’ international operations has on this relationship. The findings reveal a complex and multi-layered relationship between the two, and concludes that in contrast to management theory, companies have bridged the ‘great divide’ in varying degrees most notably in their implementation strategies.&quot;,&quot;publisher&quot;:&quot;Elsevier&quot;,&quot;issue&quot;:&quot;6&quot;,&quot;volume&quot;:&quot;53&quot;,&quot;container-title-short&quot;:&quot;&quot;},&quot;isTemporary&quot;:false}],&quot;citationTag&quot;:&quot;MENDELEY_CITATION_v3_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&quot;},{&quot;citationID&quot;:&quot;MENDELEY_CITATION_174b721c-c307-427c-b3c6-61c4aa231247&quot;,&quot;properties&quot;:{&quot;noteIndex&quot;:0},&quot;isEdited&quot;:false,&quot;manualOverride&quot;:{&quot;isManuallyOverridden&quot;:false,&quot;citeprocText&quot;:&quot;(Laughlin, 2011)&quot;,&quot;manualOverrideText&quot;:&quot;&quot;},&quot;citationItems&quot;:[{&quot;id&quot;:&quot;29b2e994-5a21-3c7c-996e-2307daf57ab8&quot;,&quot;itemData&quot;:{&quot;type&quot;:&quot;book&quot;,&quot;id&quot;:&quot;29b2e994-5a21-3c7c-996e-2307daf57ab8&quot;,&quot;title&quot;:&quot;Accounting research, policy and practice: Worlds together or worlds apart ?&quot;,&quot;author&quot;:[{&quot;family&quot;:&quot;Laughlin&quot;,&quot;given&quot;:&quot;R&quot;,&quot;parse-names&quot;:false,&quot;dropping-particle&quot;:&quot;&quot;,&quot;non-dropping-particle&quot;:&quot;&quot;}],&quot;container-title&quot;:&quot;unisa.edu.au&quot;,&quot;accessed&quot;:{&quot;date-parts&quot;:[[2023,2,16]]},&quot;editor&quot;:[{&quot;family&quot;:&quot;Elaine Evans&quot;,&quot;given&quot;:&quot;&quot;,&quot;parse-names&quot;:false,&quot;dropping-particle&quot;:&quot;&quot;,&quot;non-dropping-particle&quot;:&quot;&quot;},{&quot;family&quot;:&quot;Roger Burritt&quot;,&quot;given&quot;:&quot;&quot;,&quot;parse-names&quot;:false,&quot;dropping-particle&quot;:&quot;&quot;,&quot;non-dropping-particle&quot;:&quot;&quot;},{&quot;family&quot;:&quot;James Guthrie&quot;,&quot;given&quot;:&quot;&quot;,&quot;parse-names&quot;:false,&quot;dropping-particle&quot;:&quot;&quot;,&quot;non-dropping-particle&quot;:&quot;&quot;}],&quot;URL&quot;:&quot;http://unisa.edu.au/SysSiteAssets/episerver-6-files/global/business/centres/cags/docs/publications_thought-leadership/2011-thought-leadership_0311-53-bridging-the-gap-publication-complete.pdf#page=23&quot;,&quot;issued&quot;:{&quot;date-parts&quot;:[[2011]]},&quot;publisher-place&quot;:&quot;Sydney, Australia&quot;,&quot;number-of-pages&quot;:&quot;21-30&quot;,&quot;publisher&quot;:&quot;The institute of Chartered Accountant in Australia &quot;,&quot;container-title-short&quot;:&quot;&quot;},&quot;isTemporary&quot;:false}],&quot;citationTag&quot;:&quot;MENDELEY_CITATION_v3_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&quot;},{&quot;citationID&quot;:&quot;MENDELEY_CITATION_28b63396-22b6-46ac-9bd4-4bc72738d18c&quot;,&quot;properties&quot;:{&quot;noteIndex&quot;:0},&quot;isEdited&quot;:false,&quot;manualOverride&quot;:{&quot;isManuallyOverridden&quot;:true,&quot;citeprocText&quot;:&quot;(Pinto and West, 2017)&quot;,&quot;manualOverrideText&quot;:&quot;(Pinto and West, 2017, p. 143)&quot;},&quot;citationItems&quot;:[{&quot;id&quot;:&quot;311ab5fd-6a94-316f-99db-9c5c2ef8d2c2&quot;,&quot;itemData&quot;:{&quot;type&quot;:&quot;article-journal&quot;,&quot;id&quot;:&quot;311ab5fd-6a94-316f-99db-9c5c2ef8d2c2&quot;,&quot;title&quot;:&quot;Accounting, slavery and social history: The legacy of an eighteenth-century Portuguese chartered company&quot;,&quot;author&quot;:[{&quot;family&quot;:&quot;Pinto&quot;,&quot;given&quot;:&quot;Ofélia&quot;,&quot;parse-names&quot;:false,&quot;dropping-particle&quot;:&quot;&quot;,&quot;non-dropping-particle&quot;:&quot;&quot;},{&quot;family&quot;:&quot;West&quot;,&quot;given&quot;:&quot;Brian&quot;,&quot;parse-names&quot;:false,&quot;dropping-particle&quot;:&quot;&quot;,&quot;non-dropping-particle&quot;:&quot;&quot;}],&quot;container-title&quot;:&quot;Accounting History&quot;,&quot;DOI&quot;:&quot;10.1177/1032373217696512&quot;,&quot;ISSN&quot;:&quot;17493374&quot;,&quot;issued&quot;:{&quot;date-parts&quot;:[[2017,5,1]]},&quot;page&quot;:&quot;141-166&quot;,&quot;abstract&quot;:&quot;Based on extensive archival research, this study documents and analyses the accounting techniques that the Companhia Geral do Grão Pará e Maranhão applied to its slave trading operations during the second half of the eighteenth century. The surviving accounting records of this Portuguese chartered company reveal – in meticulous detail – the integral role that accounting technology played in enabling the slave trade to flourish. However, and paradoxically, while evidencing this culpability the same accounting records also document the essential humanity of the slaves and preserve details of the bleak circumstances of their existence. Slaves are typically lamented as a lost people consigned to a tragic and an eternal anonymity, but it is from accounting records that many aspects of their lives can be reconstructed. In this way, the accounting records studied are also shown to provide a latent source of social history that constitutes a profound mea culpa.&quot;,&quot;publisher&quot;:&quot;SAGE Publications Ltd&quot;,&quot;issue&quot;:&quot;2&quot;,&quot;volume&quot;:&quot;22&quot;,&quot;container-title-short&quot;:&quot;&quot;},&quot;isTemporary&quot;:false}],&quot;citationTag&quot;:&quot;MENDELEY_CITATION_v3_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&quot;},{&quot;citationID&quot;:&quot;MENDELEY_CITATION_875a7e26-9b9e-4ff9-aba4-699d6b78dbfe&quot;,&quot;properties&quot;:{&quot;noteIndex&quot;:0},&quot;isEdited&quot;:false,&quot;manualOverride&quot;:{&quot;isManuallyOverridden&quot;:false,&quot;citeprocText&quot;:&quot;(Christ &lt;i&gt;et al.&lt;/i&gt;, 2023; Deegan, 2017; Laughlin, 2011; Parsa &lt;i&gt;et al.&lt;/i&gt;, 2018)&quot;,&quot;manualOverrideText&quot;:&quot;&quot;},&quot;citationItems&quot;:[{&quot;id&quot;:&quot;29b2e994-5a21-3c7c-996e-2307daf57ab8&quot;,&quot;itemData&quot;:{&quot;type&quot;:&quot;book&quot;,&quot;id&quot;:&quot;29b2e994-5a21-3c7c-996e-2307daf57ab8&quot;,&quot;title&quot;:&quot;Accounting research, policy and practice: Worlds together or worlds apart ?&quot;,&quot;author&quot;:[{&quot;family&quot;:&quot;Laughlin&quot;,&quot;given&quot;:&quot;R&quot;,&quot;parse-names&quot;:false,&quot;dropping-particle&quot;:&quot;&quot;,&quot;non-dropping-particle&quot;:&quot;&quot;}],&quot;container-title&quot;:&quot;unisa.edu.au&quot;,&quot;accessed&quot;:{&quot;date-parts&quot;:[[2023,2,16]]},&quot;editor&quot;:[{&quot;family&quot;:&quot;Elaine Evans&quot;,&quot;given&quot;:&quot;&quot;,&quot;parse-names&quot;:false,&quot;dropping-particle&quot;:&quot;&quot;,&quot;non-dropping-particle&quot;:&quot;&quot;},{&quot;family&quot;:&quot;Roger Burritt&quot;,&quot;given&quot;:&quot;&quot;,&quot;parse-names&quot;:false,&quot;dropping-particle&quot;:&quot;&quot;,&quot;non-dropping-particle&quot;:&quot;&quot;},{&quot;family&quot;:&quot;James Guthrie&quot;,&quot;given&quot;:&quot;&quot;,&quot;parse-names&quot;:false,&quot;dropping-particle&quot;:&quot;&quot;,&quot;non-dropping-particle&quot;:&quot;&quot;}],&quot;URL&quot;:&quot;http://unisa.edu.au/SysSiteAssets/episerver-6-files/global/business/centres/cags/docs/publications_thought-leadership/2011-thought-leadership_0311-53-bridging-the-gap-publication-complete.pdf#page=23&quot;,&quot;issued&quot;:{&quot;date-parts&quot;:[[2011]]},&quot;publisher-place&quot;:&quot;Sydney, Australia&quot;,&quot;number-of-pages&quot;:&quot;21-30&quot;,&quot;publisher&quot;:&quot;The institute of Chartered Accountant in Australia &quot;,&quot;container-title-short&quot;:&quot;&quot;},&quot;isTemporary&quot;:false},{&quot;id&quot;:&quot;aef2aea3-4c9f-3e41-9c36-e333ec26d522&quot;,&quot;itemData&quot;:{&quot;type&quot;:&quot;article-journal&quot;,&quot;id&quot;:&quot;aef2aea3-4c9f-3e41-9c36-e333ec26d522&quot;,&quot;title&quot;:&quot;Twenty five years of social and environmental accounting research within Critical Perspectives of Accounting: Hits, misses and ways forward&quot;,&quot;author&quot;:[{&quot;family&quot;:&quot;Deegan&quot;,&quot;given&quot;:&quot;Craig&quot;,&quot;parse-names&quot;:false,&quot;dropping-particle&quot;:&quot;&quot;,&quot;non-dropping-particle&quot;:&quot;&quot;}],&quot;container-title&quot;:&quot;Critical Perspectives on Accounting&quot;,&quot;ISSN&quot;:&quot;10959955&quot;,&quot;issued&quot;:{&quot;date-parts&quot;:[[2017,3,1]]},&quot;page&quot;:&quot;65-87&quot;,&quot;abstract&quot;:&quot;This commentary provides a reflection on 25 years of social and environmental accounting (SEA) research within Critical Perspectives of Accounting (CPA). It is shown that CPA has been a major vehicle for disseminating SEA research with the published research coming from a variety of ‘critical’, ‘middle-of-the-road’, and ‘managerial’ perspectives. A number of topic areas attract attention with the most populated topic area relating to ‘new imaginings’ of accounting, with useful insights provided in terms of the use of counter, shadow, and dialogic accounts’ which reflect multiple voices and perspectives. It is emphasised within the commentary that SEA researchers need to examine the political foundations of their work. Important issues associated with SEA researchers’ role with engagement (both in terms of how they are undertaking their research, as well as where they are disseminating their results), in challenging existing practice, and in fostering a more enlightened and balanced form of education are also addressed.&quot;,&quot;publisher&quot;:&quot;Academic Press&quot;,&quot;volume&quot;:&quot;43&quot;,&quot;container-title-short&quot;:&quot;&quot;},&quot;isTemporary&quot;:false},{&quot;id&quot;:&quot;4423ce05-aeda-3fda-a556-caf48691b8e4&quot;,&quot;itemData&quot;:{&quot;type&quot;:&quot;article-journal&quot;,&quot;id&quot;:&quot;4423ce05-aeda-3fda-a556-caf48691b8e4&quot;,&quot;title&quot;:&quot;Have labour practices and human rights disclosures enhanced corporate accountability? The case of the GRI framework&quot;,&quot;author&quot;:[{&quot;family&quot;:&quot;Parsa&quot;,&quot;given&quot;:&quot;Sepideh&quot;,&quot;parse-names&quot;:false,&quot;dropping-particle&quot;:&quot;&quot;,&quot;non-dropping-particle&quot;:&quot;&quot;},{&quot;family&quot;:&quot;Roper&quot;,&quot;given&quot;:&quot;Ian&quot;,&quot;parse-names&quot;:false,&quot;dropping-particle&quot;:&quot;&quot;,&quot;non-dropping-particle&quot;:&quot;&quot;},{&quot;family&quot;:&quot;Muller-Camen&quot;,&quot;given&quot;:&quot;Michael&quot;,&quot;parse-names&quot;:false,&quot;dropping-particle&quot;:&quot;&quot;,&quot;non-dropping-particle&quot;:&quot;&quot;},{&quot;family&quot;:&quot;Szigetvari&quot;,&quot;given&quot;:&quot;Eva&quot;,&quot;parse-names&quot;:false,&quot;dropping-particle&quot;:&quot;&quot;,&quot;non-dropping-particle&quot;:&quot;&quot;}],&quot;container-title&quot;:&quot;Accounting Forum&quot;,&quot;ISSN&quot;:&quot;14676303&quot;,&quot;issued&quot;:{&quot;date-parts&quot;:[[2018,3,1]]},&quot;page&quot;:&quot;47-64&quot;,&quot;abstract&quot;:&quot;This paper critically evaluates Transnational Corporations’ (TNCs) claimed adherence to the Global Reporting Initiative (GRI)’s ‘labour’ and ‘human rights’ reporting guidelines and examines how successful the GRI has been in enhancing comparability and transparency. We found limited evidence of TNCs discharging their accountability to their workforce and, rather, we found evidence to suggest that disclosure was motivated more by enhancing their legitimacy. TNCs failed to adhere to the guidelines, which meant that material information items were often missing, rendering comparability of information meaningless. Instead, TNCs reported large volumes of generic/anecdotal information without acknowledging the impediments they faced in practice.&quot;,&quot;publisher&quot;:&quot;Elsevier Ltd&quot;,&quot;issue&quot;:&quot;1&quot;,&quot;volume&quot;:&quot;42&quot;,&quot;container-title-short&quot;:&quot;&quot;},&quot;isTemporary&quot;:false},{&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1dfQ==&quot;},{&quot;citationID&quot;:&quot;MENDELEY_CITATION_187736e0-e937-4955-802f-9d3746951f35&quot;,&quot;properties&quot;:{&quot;noteIndex&quot;:0},&quot;isEdited&quot;:false,&quot;manualOverride&quot;:{&quot;isManuallyOverridden&quot;:false,&quot;citeprocText&quot;:&quot;(Christ &lt;i&gt;et al.&lt;/i&gt;, 2020)&quot;,&quot;manualOverrideText&quot;:&quot;&quot;},&quot;citationItems&quot;:[{&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citationTag&quot;:&quot;MENDELEY_CITATION_v3_eyJjaXRhdGlvbklEIjoiTUVOREVMRVlfQ0lUQVRJT05fMTg3NzM2ZTAtZTkzNy00OTU1LTgwMmYtOWQzNzQ2OTUxZjM1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quot;},{&quot;citationID&quot;:&quot;MENDELEY_CITATION_39917e9f-bc0e-460e-a17a-2821cde695b0&quot;,&quot;properties&quot;:{&quot;noteIndex&quot;:0},&quot;isEdited&quot;:false,&quot;manualOverride&quot;:{&quot;isManuallyOverridden&quot;:true,&quot;citeprocText&quot;:&quot;(United Nations, 2015b)&quot;,&quot;manualOverrideText&quot;:&quot;(United Nations, 2015);&quot;},&quot;citationItems&quot;:[{&quot;id&quot;:&quot;17c06be1-91e6-3a3d-ac20-5b6fd8403068&quot;,&quot;itemData&quot;:{&quot;type&quot;:&quot;report&quot;,&quot;id&quot;:&quot;17c06be1-91e6-3a3d-ac20-5b6fd8403068&quot;,&quot;title&quot;:&quot;The UN Sustainability Development Goals&quot;,&quot;author&quot;:[{&quot;family&quot;:&quot;United Nations&quot;,&quot;given&quot;:&quot;&quot;,&quot;parse-names&quot;:false,&quot;dropping-particle&quot;:&quot;&quot;,&quot;non-dropping-particle&quot;:&quot;&quot;}],&quot;accessed&quot;:{&quot;date-parts&quot;:[[2023,1,16]]},&quot;URL&quot;:&quot;https://www.un.org/sites/un2.un.org/files/sdg_tg_email_updated.pdf&quot;,&quot;issued&quot;:{&quot;date-parts&quot;:[[2015]]},&quot;number-of-pages&quot;:&quot;1-27&quot;,&quot;container-title-short&quot;:&quot;&quot;},&quot;isTemporary&quot;:false}],&quot;citationTag&quot;:&quot;MENDELEY_CITATION_v3_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&quot;},{&quot;citationID&quot;:&quot;MENDELEY_CITATION_7b603c90-9949-4eb1-b118-b5769bbc187a&quot;,&quot;properties&quot;:{&quot;noteIndex&quot;:0},&quot;isEdited&quot;:false,&quot;manualOverride&quot;:{&quot;isManuallyOverridden&quot;:false,&quot;citeprocText&quot;:&quot;(United Nations SDGs, 2022)&quot;,&quot;manualOverrideText&quot;:&quot;&quot;},&quot;citationItems&quot;:[{&quot;id&quot;:&quot;5a892519-0d61-3301-bf1f-527f05b5747f&quot;,&quot;itemData&quot;:{&quot;type&quot;:&quot;report&quot;,&quot;id&quot;:&quot;5a892519-0d61-3301-bf1f-527f05b5747f&quot;,&quot;title&quot;:&quot;The Sustainable Development Goals Report&quot;,&quot;author&quot;:[{&quot;family&quot;:&quot;United Nations SDGs&quot;,&quot;given&quot;:&quot;&quot;,&quot;parse-names&quot;:false,&quot;dropping-particle&quot;:&quot;&quot;,&quot;non-dropping-particle&quot;:&quot;&quot;}],&quot;ISSN&quot;:&quot;978-921-101448-8&quot;,&quot;issued&quot;:{&quot;date-parts&quot;:[[2022]]},&quot;publisher-place&quot;:&quot;New York&quot;,&quot;number-of-pages&quot;:&quot;2-64&quot;,&quot;container-title-short&quot;:&quot;&quot;},&quot;isTemporary&quot;:false}],&quot;citationTag&quot;:&quot;MENDELEY_CITATION_v3_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&quot;},{&quot;citationID&quot;:&quot;MENDELEY_CITATION_95818ab4-0d8f-4d0c-b889-82caf883b41a&quot;,&quot;properties&quot;:{&quot;noteIndex&quot;:0},&quot;isEdited&quot;:false,&quot;manualOverride&quot;:{&quot;isManuallyOverridden&quot;:false,&quot;citeprocText&quot;:&quot;(United Nations, 2022)&quot;,&quot;manualOverrideText&quot;:&quot;&quot;},&quot;citationItems&quot;:[{&quot;id&quot;:&quot;5a892519-0d61-3301-bf1f-527f05b5747f&quot;,&quot;itemData&quot;:{&quot;type&quot;:&quot;report&quot;,&quot;id&quot;:&quot;5a892519-0d61-3301-bf1f-527f05b5747f&quot;,&quot;title&quot;:&quot;The Sustainable Development Goals Report&quot;,&quot;author&quot;:[{&quot;family&quot;:&quot;United Nations&quot;,&quot;given&quot;:&quot;&quot;,&quot;parse-names&quot;:false,&quot;dropping-particle&quot;:&quot;&quot;,&quot;non-dropping-particle&quot;:&quot;&quot;}],&quot;ISSN&quot;:&quot;978-921-101448-8&quot;,&quot;issued&quot;:{&quot;date-parts&quot;:[[2022]]},&quot;publisher-place&quot;:&quot;New York&quot;,&quot;number-of-pages&quot;:&quot;2-64&quot;,&quot;container-title-short&quot;:&quot;&quot;},&quot;isTemporary&quot;:false}],&quot;citationTag&quot;:&quot;MENDELEY_CITATION_v3_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&quot;},{&quot;citationID&quot;:&quot;MENDELEY_CITATION_95151f13-6a00-495a-9a33-5b5302be27ad&quot;,&quot;properties&quot;:{&quot;noteIndex&quot;:0},&quot;isEdited&quot;:false,&quot;manualOverride&quot;:{&quot;isManuallyOverridden&quot;:false,&quot;citeprocText&quot;:&quot;(Christ &lt;i&gt;et al.&lt;/i&gt;, 2020, 2023; McPhail and McKernan, 2011)&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id&quot;:&quot;919377b5-543c-3f2d-86ee-76630c5be4a4&quot;,&quot;itemData&quot;:{&quot;type&quot;:&quot;article&quot;,&quot;id&quot;:&quot;919377b5-543c-3f2d-86ee-76630c5be4a4&quot;,&quot;title&quot;:&quot;Accounting for human rights: An overview and introduction&quot;,&quot;author&quot;:[{&quot;family&quot;:&quot;McPhail&quot;,&quot;given&quot;:&quot;Ken&quot;,&quot;parse-names&quot;:false,&quot;dropping-particle&quot;:&quot;&quot;,&quot;non-dropping-particle&quot;:&quot;&quot;},{&quot;family&quot;:&quot;McKernan&quot;,&quot;given&quot;:&quot;John&quot;,&quot;parse-names&quot;:false,&quot;dropping-particle&quot;:&quot;&quot;,&quot;non-dropping-particle&quot;:&quot;&quot;}],&quot;container-title&quot;:&quot;Critical Perspectives on Accounting&quot;,&quot;issued&quot;:{&quot;date-parts&quot;:[[2011,11]]},&quot;page&quot;:&quot;733-737&quot;,&quot;issue&quot;:&quot;8&quot;,&quot;volume&quot;:&quot;22&quot;,&quot;container-title-short&quot;:&quot;&quot;},&quot;isTemporary&quot;:false},{&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citationTag&quot;:&quot;MENDELEY_CITATION_v3_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&quot;},{&quot;citationID&quot;:&quot;MENDELEY_CITATION_33286a85-8a2d-4b47-8131-20e7936e6f16&quot;,&quot;properties&quot;:{&quot;noteIndex&quot;:0},&quot;isEdited&quot;:false,&quot;manualOverride&quot;:{&quot;isManuallyOverridden&quot;:false,&quot;citeprocText&quot;:&quot;(Young and Gad, 2022)&quot;,&quot;manualOverrideText&quot;:&quot;&quot;},&quot;citationItems&quot;:[{&quot;id&quot;:&quot;38773d4e-23d1-388d-9c83-5dfd0d8214af&quot;,&quot;itemData&quot;:{&quot;type&quot;:&quot;report&quot;,&quot;id&quot;:&quot;38773d4e-23d1-388d-9c83-5dfd0d8214af&quot;,&quot;title&quot;:&quot;Modern Slavery Reporting\nPractices in the UK: Evidence from Modern Slavery\nStatements and Annual Reports&quot;,&quot;author&quot;:[{&quot;family&quot;:&quot;Young&quot;,&quot;given&quot;:&quot;Steven&quot;,&quot;parse-names&quot;:false,&quot;dropping-particle&quot;:&quot;&quot;,&quot;non-dropping-particle&quot;:&quot;&quot;},{&quot;family&quot;:&quot;Gad&quot;,&quot;given&quot;:&quot;Mahmoud&quot;,&quot;parse-names&quot;:false,&quot;dropping-particle&quot;:&quot;&quot;,&quot;non-dropping-particle&quot;:&quot;&quot;}],&quot;issued&quot;:{&quot;date-parts&quot;:[[2022]]},&quot;number-of-pages&quot;:&quot;1-28&quot;,&quot;container-title-short&quot;:&quot;&quot;},&quot;isTemporary&quot;:false}],&quot;citationTag&quot;:&quot;MENDELEY_CITATION_v3_eyJjaXRhdGlvbklEIjoiTUVOREVMRVlfQ0lUQVRJT05fMzMyODZhODUtOGEyZC00YjQ3LTgxMzEtMjBlNzkzNmU2ZjE2IiwicHJvcGVydGllcyI6eyJub3RlSW5kZXgiOjB9LCJpc0VkaXRlZCI6ZmFsc2UsIm1hbnVhbE92ZXJyaWRlIjp7ImlzTWFudWFsbHlPdmVycmlkZGVuIjpmYWxzZSwiY2l0ZXByb2NUZXh0IjoiKFlvdW5nIGFuZCBHYWQsIDIwMjIpIiwibWFudWFsT3ZlcnJpZGVUZXh0IjoiIn0sImNpdGF0aW9uSXRlbXMiOlt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XX0=&quot;},{&quot;citationID&quot;:&quot;MENDELEY_CITATION_548535d6-0dae-4b43-a0ab-1c5280d2f28a&quot;,&quot;properties&quot;:{&quot;noteIndex&quot;:0},&quot;isEdited&quot;:false,&quot;manualOverride&quot;:{&quot;isManuallyOverridden&quot;:false,&quot;citeprocText&quot;:&quot;(Christ &lt;i&gt;et al.&lt;/i&gt;, 2020)&quot;,&quot;manualOverrideText&quot;:&quot;&quot;},&quot;citationItems&quot;:[{&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citationTag&quot;:&quot;MENDELEY_CITATION_v3_eyJjaXRhdGlvbklEIjoiTUVOREVMRVlfQ0lUQVRJT05fNTQ4NTM1ZDYtMGRhZS00YjQzLWEwYWItMWM1MjgwZDJmMjhh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quot;},{&quot;citationID&quot;:&quot;MENDELEY_CITATION_0b6ab93d-e0c4-4be5-a520-7636529a16e1&quot;,&quot;properties&quot;:{&quot;noteIndex&quot;:0},&quot;isEdited&quot;:false,&quot;manualOverride&quot;:{&quot;isManuallyOverridden&quot;:false,&quot;citeprocText&quot;:&quot;(Katherine, 2022)&quot;,&quot;manualOverrideText&quot;:&quot;&quot;},&quot;citationItems&quot;:[{&quot;id&quot;:&quot;fc52901e-6134-3cd8-a82f-e2ea8465fcd1&quot;,&quot;itemData&quot;:{&quot;type&quot;:&quot;webpage&quot;,&quot;id&quot;:&quot;fc52901e-6134-3cd8-a82f-e2ea8465fcd1&quot;,&quot;title&quot;:&quot;Unions are using drones and secret agents to investigate Amazon's labour practices&quot;,&quot;author&quot;:[{&quot;family&quot;:&quot;Katherine&quot;,&quot;given&quot;:&quot;Long&quot;,&quot;parse-names&quot;:false,&quot;dropping-particle&quot;:&quot;&quot;,&quot;non-dropping-particle&quot;:&quot;&quot;}],&quot;container-title&quot;:&quot;Insider&quot;,&quot;accessed&quot;:{&quot;date-parts&quot;:[[2023,6,11]]},&quot;URL&quot;:&quot;https://www.businessinsider.com/amazon-unions-teamsters-ironworkers-cold-war-drones-spies-2022-10?r=US&amp;IR=T&quot;,&quot;issued&quot;:{&quot;date-parts&quot;:[[2022,10,18]]},&quot;container-title-short&quot;:&quot;&quot;},&quot;isTemporary&quot;:false}],&quot;citationTag&quot;:&quot;MENDELEY_CITATION_v3_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&quot;},{&quot;citationID&quot;:&quot;MENDELEY_CITATION_f2c072aa-b766-4af2-b77f-890ca367c443&quot;,&quot;properties&quot;:{&quot;noteIndex&quot;:0},&quot;isEdited&quot;:false,&quot;manualOverride&quot;:{&quot;isManuallyOverridden&quot;:false,&quot;citeprocText&quot;:&quot;(Christ &lt;i&gt;et al.&lt;/i&gt;, 2019; Rogerson &lt;i&gt;et al.&lt;/i&gt;, 2020a)&quot;,&quot;manualOverrideText&quot;:&quot;&quot;},&quot;citationItems&quot;:[{&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id&quot;:&quot;539c779b-785e-3e9e-82a2-e1bb5edd02ba&quot;,&quot;itemData&quot;:{&quot;type&quot;:&quot;article-journal&quot;,&quot;id&quot;:&quot;539c779b-785e-3e9e-82a2-e1bb5edd02ba&quot;,&quot;title&quot;:&quot;Organisational responses to mandatory modern slavery disclosure legislation: a failure of experimentalist governance?&quot;,&quot;author&quot;:[{&quot;family&quot;:&quot;Rogerson&quot;,&quot;given&quot;:&quot;Michael&quot;,&quot;parse-names&quot;:false,&quot;dropping-particle&quot;:&quot;&quot;,&quot;non-dropping-particle&quot;:&quot;&quot;},{&quot;family&quot;:&quot;Crane&quot;,&quot;given&quot;:&quot;Andrew&quot;,&quot;parse-names&quot;:false,&quot;dropping-particle&quot;:&quot;&quot;,&quot;non-dropping-particle&quot;:&quot;&quot;},{&quot;family&quot;:&quot;Soundararajan&quot;,&quot;given&quot;:&quot;Vivek&quot;,&quot;parse-names&quot;:false,&quot;dropping-particle&quot;:&quot;&quot;,&quot;non-dropping-particle&quot;:&quot;&quot;},{&quot;family&quot;:&quot;Grosvold&quot;,&quot;given&quot;:&quot;Johanne&quot;,&quot;parse-names&quot;:false,&quot;dropping-particle&quot;:&quot;&quot;,&quot;non-dropping-particle&quot;:&quot;&quot;},{&quot;family&quot;:&quot;Cho&quot;,&quot;given&quot;:&quot;Charles H.&quot;,&quot;parse-names&quot;:false,&quot;dropping-particle&quot;:&quot;&quot;,&quot;non-dropping-particle&quot;:&quot;&quot;}],&quot;container-title&quot;:&quot;Accounting, Auditing and Accountability Journal&quot;,&quot;DOI&quot;:&quot;10.1108/AAAJ-12-2019-4297&quot;,&quot;ISSN&quot;:&quot;09513574&quot;,&quot;issued&quot;:{&quot;date-parts&quot;:[[2020,10,20]]},&quot;page&quot;:&quot;1505-1534&quot;,&quot;abstract&quot;:&quot;Purpose: This paper investigates how organisations are responding to mandatory modern slavery disclosure legislation. Experimentalist governance suggests that organisations faced with disclosure requirements such as those contained in the UK Modern Slavery Act 2015 will compete with one another, and in doing so, improve compliance. The authors seek to understand whether this is the case. Design/methodology/approach: This study is set in the UK public sector. The authors conduct interviews with over 25% of UK universities that are within the scope of the UK Modern Slavery Act 2015 and examine their reporting and disclosure under that legislation. Findings: The authors find that, contrary to the logic of experimentalist governance, universities' disclosures as reflected in their modern slavery statements are persistently poor on detail, lack variation and have led to little meaningful action to tackle modern slavery. They show that this is due to a herding effect that results in universities responding as a sector rather than independently; a built-in incapacity to effectively manage supply chains; and insufficient attention to the issue at the board level. The authors also identity important boundary conditions of experimentalist governance. Research limitations/implications: The generalisability of the authors’ findings is restricted to the public sector. Practical implications: In contexts where disclosure under the UK Modern Slavery Act 2015 is not a core offering of the sector, and where competition is limited, there is little incentive to engage in a “race to the top” in terms of disclosure. As such, pro-forma compliance prevails and the effectiveness of disclosure as a tool to drive change in supply chains to safeguard workers is relatively ineffective. Instead, organisations must develop better knowledge of their supply chains and executives and a more critical eye for modern slavery to be combatted effectively. Accountants and their systems and skills can facilitate this development. Originality/value: This is the first investigation of the organisational processes and activities which underpin disclosures related to modern slavery disclosure legislation. This paper contributes to the accounting and disclosure modern slavery literature by investigating public sector organisations' processes, activities and responses to mandatory reporting legislation on modern slavery.&quot;,&quot;publisher&quot;:&quot;Emerald Group Holdings Ltd.&quot;,&quot;issue&quot;:&quot;7&quot;,&quot;volume&quot;:&quot;33&quot;,&quot;container-title-short&quot;:&quot;&quot;},&quot;isTemporary&quot;:false}],&quot;citationTag&quot;:&quot;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&quot;},{&quot;citationID&quot;:&quot;MENDELEY_CITATION_8b9143bf-1cad-4c2f-9a8d-e787250e3384&quot;,&quot;properties&quot;:{&quot;noteIndex&quot;:0},&quot;isEdited&quot;:false,&quot;manualOverride&quot;:{&quot;isManuallyOverridden&quot;:false,&quot;citeprocText&quot;:&quot;(Christ &lt;i&gt;et al.&lt;/i&gt;, 2022)&quot;,&quot;manualOverrideText&quot;:&quot;&quot;},&quot;citationItems&quot;:[{&quot;id&quot;:&quot;85c2bb89-5065-31b6-bd1c-c3441af224c7&quot;,&quot;itemData&quot;:{&quot;type&quot;:&quot;article-journal&quot;,&quot;id&quot;:&quot;85c2bb89-5065-31b6-bd1c-c3441af224c7&quot;,&quot;title&quot;:&quot;Modern Slavery disclosure in mining: A comparison comparison of large UK and Australian compan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Prider&quot;,&quot;given&quot;:&quot;H&quot;,&quot;parse-names&quot;:false,&quot;dropping-particle&quot;:&quot;&quot;,&quot;non-dropping-particle&quot;:&quot;&quot;}],&quot;container-title&quot;:&quot;Jounal of Behavioural economics and social systems&quot;,&quot;URL&quot;:&quot;www.globalaccesspartners.org&quot;,&quot;issued&quot;:{&quot;date-parts&quot;:[[2022]]},&quot;page&quot;:&quot;23-40&quot;,&quot;volume&quot;:&quot;4&quot;,&quot;container-title-short&quot;:&quot;&quot;},&quot;isTemporary&quot;:false}],&quot;citationTag&quot;:&quot;MENDELEY_CITATION_v3_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&quot;},{&quot;citationID&quot;:&quot;MENDELEY_CITATION_28e32182-fc50-4327-a6af-a829d84484f5&quot;,&quot;properties&quot;:{&quot;noteIndex&quot;:0},&quot;isEdited&quot;:false,&quot;manualOverride&quot;:{&quot;isManuallyOverridden&quot;:false,&quot;citeprocText&quot;:&quot;(Christ and Burritt, 2021)&quot;,&quot;manualOverrideText&quot;:&quot;&quot;},&quot;citationItems&quot;:[{&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MjhlMzIxODItZmM1MC00MzI3LWE2YWYtYTgyOWQ4NDQ4NGY1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quot;},{&quot;citationID&quot;:&quot;MENDELEY_CITATION_5b191462-3d19-45e8-b533-371859a20969&quot;,&quot;properties&quot;:{&quot;noteIndex&quot;:0},&quot;isEdited&quot;:false,&quot;manualOverride&quot;:{&quot;isManuallyOverridden&quot;:false,&quot;citeprocText&quot;:&quot;(Rogerson &lt;i&gt;et al.&lt;/i&gt;, 2020a)&quot;,&quot;manualOverrideText&quot;:&quot;&quot;},&quot;citationItems&quot;:[{&quot;id&quot;:&quot;539c779b-785e-3e9e-82a2-e1bb5edd02ba&quot;,&quot;itemData&quot;:{&quot;type&quot;:&quot;article-journal&quot;,&quot;id&quot;:&quot;539c779b-785e-3e9e-82a2-e1bb5edd02ba&quot;,&quot;title&quot;:&quot;Organisational responses to mandatory modern slavery disclosure legislation: a failure of experimentalist governance?&quot;,&quot;author&quot;:[{&quot;family&quot;:&quot;Rogerson&quot;,&quot;given&quot;:&quot;Michael&quot;,&quot;parse-names&quot;:false,&quot;dropping-particle&quot;:&quot;&quot;,&quot;non-dropping-particle&quot;:&quot;&quot;},{&quot;family&quot;:&quot;Crane&quot;,&quot;given&quot;:&quot;Andrew&quot;,&quot;parse-names&quot;:false,&quot;dropping-particle&quot;:&quot;&quot;,&quot;non-dropping-particle&quot;:&quot;&quot;},{&quot;family&quot;:&quot;Soundararajan&quot;,&quot;given&quot;:&quot;Vivek&quot;,&quot;parse-names&quot;:false,&quot;dropping-particle&quot;:&quot;&quot;,&quot;non-dropping-particle&quot;:&quot;&quot;},{&quot;family&quot;:&quot;Grosvold&quot;,&quot;given&quot;:&quot;Johanne&quot;,&quot;parse-names&quot;:false,&quot;dropping-particle&quot;:&quot;&quot;,&quot;non-dropping-particle&quot;:&quot;&quot;},{&quot;family&quot;:&quot;Cho&quot;,&quot;given&quot;:&quot;Charles H.&quot;,&quot;parse-names&quot;:false,&quot;dropping-particle&quot;:&quot;&quot;,&quot;non-dropping-particle&quot;:&quot;&quot;}],&quot;container-title&quot;:&quot;Accounting, Auditing and Accountability Journal&quot;,&quot;DOI&quot;:&quot;10.1108/AAAJ-12-2019-4297&quot;,&quot;ISSN&quot;:&quot;09513574&quot;,&quot;issued&quot;:{&quot;date-parts&quot;:[[2020,10,20]]},&quot;page&quot;:&quot;1505-1534&quot;,&quot;abstract&quot;:&quot;Purpose: This paper investigates how organisations are responding to mandatory modern slavery disclosure legislation. Experimentalist governance suggests that organisations faced with disclosure requirements such as those contained in the UK Modern Slavery Act 2015 will compete with one another, and in doing so, improve compliance. The authors seek to understand whether this is the case. Design/methodology/approach: This study is set in the UK public sector. The authors conduct interviews with over 25% of UK universities that are within the scope of the UK Modern Slavery Act 2015 and examine their reporting and disclosure under that legislation. Findings: The authors find that, contrary to the logic of experimentalist governance, universities' disclosures as reflected in their modern slavery statements are persistently poor on detail, lack variation and have led to little meaningful action to tackle modern slavery. They show that this is due to a herding effect that results in universities responding as a sector rather than independently; a built-in incapacity to effectively manage supply chains; and insufficient attention to the issue at the board level. The authors also identity important boundary conditions of experimentalist governance. Research limitations/implications: The generalisability of the authors’ findings is restricted to the public sector. Practical implications: In contexts where disclosure under the UK Modern Slavery Act 2015 is not a core offering of the sector, and where competition is limited, there is little incentive to engage in a “race to the top” in terms of disclosure. As such, pro-forma compliance prevails and the effectiveness of disclosure as a tool to drive change in supply chains to safeguard workers is relatively ineffective. Instead, organisations must develop better knowledge of their supply chains and executives and a more critical eye for modern slavery to be combatted effectively. Accountants and their systems and skills can facilitate this development. Originality/value: This is the first investigation of the organisational processes and activities which underpin disclosures related to modern slavery disclosure legislation. This paper contributes to the accounting and disclosure modern slavery literature by investigating public sector organisations' processes, activities and responses to mandatory reporting legislation on modern slavery.&quot;,&quot;publisher&quot;:&quot;Emerald Group Holdings Ltd.&quot;,&quot;issue&quot;:&quot;7&quot;,&quot;volume&quot;:&quot;33&quot;,&quot;container-title-short&quot;:&quot;&quot;},&quot;isTemporary&quot;:false}],&quot;citationTag&quot;:&quot;MENDELEY_CITATION_v3_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&quot;},{&quot;citationID&quot;:&quot;MENDELEY_CITATION_f6f8f9d3-2624-4bea-b567-47eab041347d&quot;,&quot;properties&quot;:{&quot;noteIndex&quot;:0},&quot;isEdited&quot;:false,&quot;manualOverride&quot;:{&quot;isManuallyOverridden&quot;:false,&quot;citeprocText&quot;:&quot;(LeBaron &lt;i&gt;et al.&lt;/i&gt;, 2018; Meehan and Pinnington, 2021b)&quot;,&quot;manualOverrideText&quot;:&quot;&quot;},&quot;citationItems&quot;:[{&quot;id&quot;:&quot;7da30ff4-902c-3672-8bbc-a3b44accb4b5&quot;,&quot;itemData&quot;:{&quot;type&quot;:&quot;article-journal&quot;,&quot;id&quot;:&quot;7da30ff4-902c-3672-8bbc-a3b44accb4b5&quot;,&quot;title&quot;:&quot;Modern slavery in supply chains: insights through strategic ambiguity&quot;,&quot;author&quot;:[{&quot;family&quot;:&quot;Meehan&quot;,&quot;given&quot;:&quot;Joanne&quot;,&quot;parse-names&quot;:false,&quot;dropping-particle&quot;:&quot;&quot;,&quot;non-dropping-particle&quot;:&quot;&quot;},{&quot;family&quot;:&quot;Pinnington&quot;,&quot;given&quot;:&quot;Bruce D&quot;,&quot;parse-names&quot;:false,&quot;dropping-particle&quot;:&quot;&quot;,&quot;non-dropping-particle&quot;:&quot;&quot;}],&quot;container-title&quot;:&quot;Journal of Operations &amp; Production Management.&quot;,&quot;accessed&quot;:{&quot;date-parts&quot;:[[2023,1,28]]},&quot;DOI&quot;:&quot;10.1108/IJOPM-05-2020-0292&quot;,&quot;ISBN&quot;:&quot;0520200292&quot;,&quot;URL&quot;:&quot;https://www.emerald.com/insight/0144-3577.htm&quot;,&quot;issued&quot;:{&quot;date-parts&quot;:[[2021]]},&quot;page&quot;:&quot;77-101&quot;,&quot;abstract&quot;:&quot;Purpose-The purpose of this paper is to assess whether firms' transparency in supply chain (TISC) statements indicate that substantive action is being taken on modern slavery in UK government supply chains. Design/methodology/approach-The authors analyse 66 of the UK government's strategic suppliers' TISC statements and 20 key documents related to the policy intent of the UK Parliament, 2015 TISC requirements. Qualitative document analysis identifies what suppliers say they are doing and what they are not saying to provide novel insights into how firms employ ambiguity to avoid timely action on modern slavery in their supply chains A set of propositions are developed. Findings-The authors elaborate the concepts of time and change in socially sustainable supply chains and illustrate how firms use ambiguity in TISC statements as a highly strategic form of action to defend the status quo, reduce accountability and delay action for modern slavery within supply chains. The authors identify three ambiguous techniques: defensive reassurance, transfer responsibility and scope reduction that deviate from the policy intention of collaborative action. Social implications-The results illustrates how ambiguity is preventing firms from taking collaborative action to tackle modern slavery in their supply chains. The lack of action as a result of ambiguity protects firms, rather than potential victims of modern slavery. Originality/value-Prior research focuses on technical compliance rather than the content of firms' TISC statements. This qualitative study provides novel insights into the policy-resistant effects of ambiguity and highlights the dynamic and instrumental role of modern slavery reporting. Theoretically, we identify accountability as an essential concept to address the causes of modern slavery in supply chains and for developing collaborative supply chain environments to tackle the issues.&quot;,&quot;issue&quot;:&quot;2&quot;,&quot;volume&quot;:&quot;41&quot;,&quot;container-title-short&quot;:&quot;&quot;},&quot;isTemporary&quot;:false},{&quot;id&quot;:&quot;d54ceb23-c2d4-3d26-b463-fc50c5f56200&quot;,&quot;itemData&quot;:{&quot;type&quot;:&quot;report&quot;,&quot;id&quot;:&quot;d54ceb23-c2d4-3d26-b463-fc50c5f56200&quot;,&quot;title&quot;:&quot;Confronting root causes: forced labour in global supply chains&quot;,&quot;author&quot;:[{&quot;family&quot;:&quot;LeBaron&quot;,&quot;given&quot;:&quot;Genevieve&quot;,&quot;parse-names&quot;:false,&quot;dropping-particle&quot;:&quot;&quot;,&quot;non-dropping-particle&quot;:&quot;&quot;},{&quot;family&quot;:&quot;Howard&quot;,&quot;given&quot;:&quot;Neil&quot;,&quot;parse-names&quot;:false,&quot;dropping-particle&quot;:&quot;&quot;,&quot;non-dropping-particle&quot;:&quot;&quot;},{&quot;family&quot;:&quot;Thibos&quot;,&quot;given&quot;:&quot;Cameron&quot;,&quot;parse-names&quot;:false,&quot;dropping-particle&quot;:&quot;&quot;,&quot;non-dropping-particle&quot;:&quot;&quot;},{&quot;family&quot;:&quot;Kyritsis&quot;,&quot;given&quot;:&quot;Penelope&quot;,&quot;parse-names&quot;:false,&quot;dropping-particle&quot;:&quot;&quot;,&quot;non-dropping-particle&quot;:&quot;&quot;}],&quot;issued&quot;:{&quot;date-parts&quot;:[[2018]]},&quot;number-of-pages&quot;:&quot;1-100&quot;,&quot;container-title-short&quot;:&quot;&quot;},&quot;isTemporary&quot;:false}],&quot;citationTag&quot;:&quot;MENDELEY_CITATION_v3_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&quot;},{&quot;citationID&quot;:&quot;MENDELEY_CITATION_8ad69cba-9468-4dec-b605-f80adf757cab&quot;,&quot;properties&quot;:{&quot;noteIndex&quot;:0},&quot;isEdited&quot;:false,&quot;manualOverride&quot;:{&quot;isManuallyOverridden&quot;:false,&quot;citeprocText&quot;:&quot;(Ahmad &lt;i&gt;et al.&lt;/i&gt;, 2023)&quot;,&quot;manualOverrideText&quot;:&quot;&quot;},&quot;citationItems&quot;:[{&quot;id&quot;:&quot;2434b3b7-2e5c-3ae6-8b89-6c65b6219c2e&quot;,&quot;itemData&quot;:{&quot;type&quot;:&quot;article-journal&quot;,&quot;id&quot;:&quot;2434b3b7-2e5c-3ae6-8b89-6c65b6219c2e&quot;,&quot;title&quot;:&quot;Modern slavery disclosure regulations in the global supply Chain: A world-systems perspective&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Muhammad Azizul&quot;,&quot;parse-names&quot;:false,&quot;dropping-particle&quot;:&quot;&quot;,&quot;non-dropping-particle&quot;:&quot;&quot;}],&quot;container-title&quot;:&quot;Critical Perspectives on Accounting&quot;,&quot;DOI&quot;:&quot;10.1016/j.cpa.2023.102677&quot;,&quot;ISSN&quot;:&quot;10959955&quot;,&quot;issued&quot;:{&quot;date-parts&quot;:[[2023]]},&quot;abstract&quot;:&quot;This study provides a linguistic analysis of three modern slavery disclosure regulations, the California Transparency in the Supply Chain Act (CTSCA) 2010, section 54 of the UK Modern Slavery Act 2015 and the Australian Modern Slavery Act 2018. These regulations require companies to report their actions to tackle labour exploitation within global supply chains. Based on World-System Theory (WST: Wallerstein, 1975, 1979, 2015) and by relying on Critical Discourse Analysis (CDA), we examined the disclosure regulations and found that the texts of and discourses around the regulations are not neutral and allow social wrongs to continue in global supply chains. Although regulators claim modern slavery disclosure regulations to be a step in the right direction, our investigation reveals a different picture: the linguistic features of the regulations support the perpetuating risk of modern slavery in global supply chains based in the periphery countries. We argue that changing the current global power structure/system is necessary to address the grand challenges of regulating modern slavery. There is a need for disclosure regime that can protect vulnerable communities, including workers in the global supply chains.&quot;,&quot;publisher&quot;:&quot;Academic Press&quot;,&quot;container-title-short&quot;:&quot;&quot;},&quot;isTemporary&quot;:false}],&quot;citationTag&quot;:&quot;MENDELEY_CITATION_v3_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&quot;},{&quot;citationID&quot;:&quot;MENDELEY_CITATION_d0241c2f-b265-49ee-82d3-1bb61dcace62&quot;,&quot;properties&quot;:{&quot;noteIndex&quot;:0},&quot;isEdited&quot;:false,&quot;manualOverride&quot;:{&quot;isManuallyOverridden&quot;:true,&quot;citeprocText&quot;:&quot;(Global Reporting Initiative (GRI) and Responsible Labour Initiative (RLI), 2019; LeBaron, 2021a; Voss &lt;i&gt;et al.&lt;/i&gt;, 2019)&quot;,&quot;manualOverrideText&quot;:&quot;(GRI and RLI, 2019; Voss et al., 2019; LeBaron, 2021a)&quot;},&quot;citationItems&quot;:[{&quot;id&quot;:&quot;6965598b-b91e-35d7-8c91-0351a9535c4a&quot;,&quot;itemData&quot;:{&quot;type&quot;:&quot;report&quot;,&quot;id&quot;:&quot;6965598b-b91e-35d7-8c91-0351a9535c4a&quot;,&quot;title&quot;:&quot;Advancing modern slavery reporting to meet stakeholder expectations&quot;,&quot;author&quot;:[{&quot;family&quot;:&quot;Global Reporting Initiative (GRI)&quot;,&quot;given&quot;:&quot;&quot;,&quot;parse-names&quot;:false,&quot;dropping-particle&quot;:&quot;&quot;,&quot;non-dropping-particle&quot;:&quot;&quot;},{&quot;family&quot;:&quot;Responsible Labour Initiative (RLI)&quot;,&quot;given&quot;:&quot;&quot;,&quot;parse-names&quot;:false,&quot;dropping-particle&quot;:&quot;&quot;,&quot;non-dropping-particle&quot;:&quot;&quot;}],&quot;issued&quot;:{&quot;date-parts&quot;:[[2019]]},&quot;number-of-pages&quot;:&quot;1-36&quot;,&quot;container-title-short&quot;:&quot;&quot;},&quot;isTemporary&quot;:false},{&quot;id&quot;:&quot;18e62d04-277b-3062-a8db-8c7a6d015a0c&quot;,&quot;itemData&quot;:{&quot;type&quot;:&quot;article-journal&quot;,&quot;id&quot;:&quot;18e62d04-277b-3062-a8db-8c7a6d015a0c&quot;,&quot;title&quot;:&quot;International supply chains: compliance and engagement with the Modern Slavery Act&quot;,&quot;author&quot;:[{&quot;family&quot;:&quot;Voss&quot;,&quot;given&quot;:&quot;Hinrich&quot;,&quot;parse-names&quot;:false,&quot;dropping-particle&quot;:&quot;&quot;,&quot;non-dropping-particle&quot;:&quot;&quot;},{&quot;family&quot;:&quot;Davis&quot;,&quot;given&quot;:&quot;Matthew&quot;,&quot;parse-names&quot;:false,&quot;dropping-particle&quot;:&quot;&quot;,&quot;non-dropping-particle&quot;:&quot;&quot;},{&quot;family&quot;:&quot;Sumner&quot;,&quot;given&quot;:&quot;Mark&quot;,&quot;parse-names&quot;:false,&quot;dropping-particle&quot;:&quot;&quot;,&quot;non-dropping-particle&quot;:&quot;&quot;},{&quot;family&quot;:&quot;Waite&quot;,&quot;given&quot;:&quot;Louise&quot;,&quot;parse-names&quot;:false,&quot;dropping-particle&quot;:&quot;&quot;,&quot;non-dropping-particle&quot;:&quot;&quot;},{&quot;family&quot;:&quot;Ras&quot;,&quot;given&quot;:&quot;Ilse A&quot;,&quot;parse-names&quot;:false,&quot;dropping-particle&quot;:&quot;&quot;,&quot;non-dropping-particle&quot;:&quot;&quot;},{&quot;family&quot;:&quot;Singhal&quot;,&quot;given&quot;:&quot;Divya&quot;,&quot;parse-names&quot;:false,&quot;dropping-particle&quot;:&quot;&quot;,&quot;non-dropping-particle&quot;:&quot;&quot;},{&quot;family&quot;:&quot;Jog&quot;,&quot;given&quot;:&quot;Deepti&quot;,&quot;parse-names&quot;:false,&quot;dropping-particle&quot;:&quot;&quot;,&quot;non-dropping-particle&quot;:&quot;&quot;}],&quot;container-title&quot;:&quot; Journal of the British Academy&quot;,&quot;accessed&quot;:{&quot;date-parts&quot;:[[2023,1,19]]},&quot;DOI&quot;:&quot;10.5871/jba/007s1.061&quot;,&quot;URL&quot;:&quot;https://doi.org/10.5871/jba/007s1.061&quot;,&quot;issued&quot;:{&quot;date-parts&quot;:[[2019]]},&quot;page&quot;:&quot;61-76&quot;,&quot;abstract&quot;:&quot;The UK Modern Slavery Act aims to reduce and eradicate various forms of exploitation and is in this respect in line with the Sustainability Development Goal (SDG) 8.7. Section 54 of the act focusses on modern slavery in the international supply chain of organisations and obligates organisations to report on the actions they have taken to identify and address exploitation vulnerabilities. In order to understand how effective the current provisions in the act are, we analyse how businesses in the fashion and textile industry engage with the reporting requirements of Section 54. While we find increasing compliance with the act, a significant share of fashion and textile businesses have not reported on their actions or have only filed a statement once.&quot;,&quot;issue&quot;:&quot;15&quot;,&quot;volume&quot;:&quot;7&quot;,&quot;container-title-short&quot;:&quot;&quot;},&quot;isTemporary&quot;:false},{&quot;id&quot;:&quot;3b62a73a-1601-388e-88f0-83c9832b4edb&quot;,&quot;itemData&quot;:{&quot;type&quot;:&quot;article-journal&quot;,&quot;id&quot;:&quot;3b62a73a-1601-388e-88f0-83c9832b4edb&quot;,&quot;title&quot;:&quot;The Role of Supply Chains in the Global Business of Forced Labour&quot;,&quot;author&quot;:[{&quot;family&quot;:&quot;LeBaron&quot;,&quot;given&quot;:&quot;Genevieve&quot;,&quot;parse-names&quot;:false,&quot;dropping-particle&quot;:&quot;&quot;,&quot;non-dropping-particle&quot;:&quot;&quot;}],&quot;container-title&quot;:&quot;Journal of Supply Chain Management&quot;,&quot;accessed&quot;:{&quot;date-parts&quot;:[[2022,9,1]]},&quot;issued&quot;:{&quot;date-parts&quot;:[[2021,4,1]]},&quot;page&quot;:&quot;29-42&quot;,&quot;abstract&quot;:&quot;Supply chains are fundamental to whether decent work flourishes or not. Not only do supply chain dynamics shape employment practices and working conditions, but they also influence business models and capabilities which structure opportunities for decent work. As scholars and policymakers race to strengthen labor standards in supply chains and confront barriers to their effective implementation, management scholars can both benefit from and advance an understanding of the role of supply chains in giving rise to indecent work, especially the business practices commonly described as forced labor and modern slavery. To help realize this potential, this article draws from my research on the business of forced labor to emphasize three points. First, there are clear and discernible patterns with respect to the root causes of forced labor in supply chains. Second, forced labor in supply chains cannot be understood in isolation of broader dynamics of work and employment, since low-waged workers tend to move in and out of conditions of forced labor in relatively short periods of time. Third, on-the-ground studies of the effectiveness of buyer-centric governance programs reveal serious gaps between corporate social responsibility standards and business practices when it comes to indicators most relevant to forced labor. I conclude with a discussion of future directions in this research agenda and highlight the potential for business scholars to make a contribution.&quot;,&quot;publisher&quot;:&quot;John Wiley &amp; Sons, Ltd&quot;,&quot;issue&quot;:&quot;2&quot;,&quot;volume&quot;:&quot;57&quot;,&quot;container-title-short&quot;:&quot;&quot;},&quot;isTemporary&quot;:false}],&quot;citationTag&quot;:&quot;MENDELEY_CITATION_v3_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&quot;},{&quot;citationID&quot;:&quot;MENDELEY_CITATION_02c89c40-0e37-46b5-87fb-23fb08ae8ed9&quot;,&quot;properties&quot;:{&quot;noteIndex&quot;:0},&quot;isEdited&quot;:false,&quot;manualOverride&quot;:{&quot;isManuallyOverridden&quot;:true,&quot;citeprocText&quot;:&quot;(Schaper and Pollach, 2021; Voss &lt;i&gt;et al.&lt;/i&gt;, 2019)&quot;,&quot;manualOverrideText&quot;:&quot;Voss et al., 2019; Schaper and Pollach, 2021)&quot;},&quot;citationItems&quot;:[{&quot;id&quot;:&quot;692593f6-d091-38f5-bdfc-0bc30057259a&quot;,&quot;itemData&quot;:{&quot;type&quot;:&quot;article-journal&quot;,&quot;id&quot;:&quot;692593f6-d091-38f5-bdfc-0bc30057259a&quot;,&quot;title&quot;:&quot;Modern slavery statements: From regulation to substantive supply chain reporting&quot;,&quot;author&quot;:[{&quot;family&quot;:&quot;Schaper&quot;,&quot;given&quot;:&quot;Stefan&quot;,&quot;parse-names&quot;:false,&quot;dropping-particle&quot;:&quot;&quot;,&quot;non-dropping-particle&quot;:&quot;&quot;},{&quot;family&quot;:&quot;Pollach&quot;,&quot;given&quot;:&quot;Irene&quot;,&quot;parse-names&quot;:false,&quot;dropping-particle&quot;:&quot;&quot;,&quot;non-dropping-particle&quot;:&quot;&quot;}],&quot;container-title&quot;:&quot;Journal of Cleaner Production&quot;,&quot;accessed&quot;:{&quot;date-parts&quot;:[[2023,3,15]]},&quot;DOI&quot;:&quot;10.1016/J.JCLEPRO.2021.127872&quot;,&quot;ISSN&quot;:&quot;09596526&quot;,&quot;issued&quot;:{&quot;date-parts&quot;:[[2021,9,1]]},&quot;abstract&quot;:&quot;Recent years have seen a renewed focus on labor standards in the supply chain, prompted by legislation that requires firms to provide an account of their efforts to combat modern slavery. However, as a common problem of non-financial disclosure regulation, companies can decide the extent and content of their reporting, which could potentially result in merely symbolic disclosures with little substance. We examine the disclosure of substantive actions in modern slavery statements, defined as those disclosures of corporate actions that can positively affect working conditions in supply chains. We examine the corporate disclosure of these actions over time in order to evaluate whether legally mandated disclosure requirements could lead to progress in combatting modern slavery. For this purpose, we collected modern slavery statements from companies that had issued such statements for at least two different years after the introduction of the regulatory requirement in the United Kingdom and performed a content analysis with a coding instrument that captures substantive actions against modern slavery. Our analysis uncovers extremely heterogeneous reporting practices, especially regarding the disclosure of the effectiveness of actions against modern slavery. Based on our analysis, we identify best practices of substantive disclosures to offer a benchmark for corporate self-reports of modern slavery and inform policymaking on modern slavery reporting.&quot;,&quot;publisher&quot;:&quot;Elsevier Ltd&quot;,&quot;volume&quot;:&quot;313&quot;,&quot;container-title-short&quot;:&quot;J Clean Prod&quot;},&quot;isTemporary&quot;:false},{&quot;id&quot;:&quot;18e62d04-277b-3062-a8db-8c7a6d015a0c&quot;,&quot;itemData&quot;:{&quot;type&quot;:&quot;article-journal&quot;,&quot;id&quot;:&quot;18e62d04-277b-3062-a8db-8c7a6d015a0c&quot;,&quot;title&quot;:&quot;International supply chains: compliance and engagement with the Modern Slavery Act&quot;,&quot;author&quot;:[{&quot;family&quot;:&quot;Voss&quot;,&quot;given&quot;:&quot;Hinrich&quot;,&quot;parse-names&quot;:false,&quot;dropping-particle&quot;:&quot;&quot;,&quot;non-dropping-particle&quot;:&quot;&quot;},{&quot;family&quot;:&quot;Davis&quot;,&quot;given&quot;:&quot;Matthew&quot;,&quot;parse-names&quot;:false,&quot;dropping-particle&quot;:&quot;&quot;,&quot;non-dropping-particle&quot;:&quot;&quot;},{&quot;family&quot;:&quot;Sumner&quot;,&quot;given&quot;:&quot;Mark&quot;,&quot;parse-names&quot;:false,&quot;dropping-particle&quot;:&quot;&quot;,&quot;non-dropping-particle&quot;:&quot;&quot;},{&quot;family&quot;:&quot;Waite&quot;,&quot;given&quot;:&quot;Louise&quot;,&quot;parse-names&quot;:false,&quot;dropping-particle&quot;:&quot;&quot;,&quot;non-dropping-particle&quot;:&quot;&quot;},{&quot;family&quot;:&quot;Ras&quot;,&quot;given&quot;:&quot;Ilse A&quot;,&quot;parse-names&quot;:false,&quot;dropping-particle&quot;:&quot;&quot;,&quot;non-dropping-particle&quot;:&quot;&quot;},{&quot;family&quot;:&quot;Singhal&quot;,&quot;given&quot;:&quot;Divya&quot;,&quot;parse-names&quot;:false,&quot;dropping-particle&quot;:&quot;&quot;,&quot;non-dropping-particle&quot;:&quot;&quot;},{&quot;family&quot;:&quot;Jog&quot;,&quot;given&quot;:&quot;Deepti&quot;,&quot;parse-names&quot;:false,&quot;dropping-particle&quot;:&quot;&quot;,&quot;non-dropping-particle&quot;:&quot;&quot;}],&quot;container-title&quot;:&quot; Journal of the British Academy&quot;,&quot;accessed&quot;:{&quot;date-parts&quot;:[[2023,1,19]]},&quot;DOI&quot;:&quot;10.5871/jba/007s1.061&quot;,&quot;URL&quot;:&quot;https://doi.org/10.5871/jba/007s1.061&quot;,&quot;issued&quot;:{&quot;date-parts&quot;:[[2019]]},&quot;page&quot;:&quot;61-76&quot;,&quot;abstract&quot;:&quot;The UK Modern Slavery Act aims to reduce and eradicate various forms of exploitation and is in this respect in line with the Sustainability Development Goal (SDG) 8.7. Section 54 of the act focusses on modern slavery in the international supply chain of organisations and obligates organisations to report on the actions they have taken to identify and address exploitation vulnerabilities. In order to understand how effective the current provisions in the act are, we analyse how businesses in the fashion and textile industry engage with the reporting requirements of Section 54. While we find increasing compliance with the act, a significant share of fashion and textile businesses have not reported on their actions or have only filed a statement once.&quot;,&quot;issue&quot;:&quot;15&quot;,&quot;volume&quot;:&quot;7&quot;,&quot;container-title-short&quot;:&quot;&quot;},&quot;isTemporary&quot;:false}],&quot;citationTag&quot;:&quot;MENDELEY_CITATION_v3_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&quot;},{&quot;citationID&quot;:&quot;MENDELEY_CITATION_068c196d-b1b4-4126-9a56-2b6abb726e70&quot;,&quot;properties&quot;:{&quot;noteIndex&quot;:0},&quot;isEdited&quot;:false,&quot;manualOverride&quot;:{&quot;isManuallyOverridden&quot;:true,&quot;citeprocText&quot;:&quot;(Crane &lt;i&gt;et al.&lt;/i&gt;, 2019a; LeBaron, 2021a)&quot;,&quot;manualOverrideText&quot;:&quot;(Crane et al., 2019b; LeBaron, 2021)&quot;},&quot;citationItems&quot;:[{&quot;id&quot;:&quot;ddafc742-0174-3eef-b9e6-1f608181f185&quot;,&quot;itemData&quot;:{&quot;type&quot;:&quot;article-journal&quot;,&quot;id&quot;:&quot;ddafc742-0174-3eef-b9e6-1f608181f185&quot;,&quot;title&quot;:&quot;Governance gaps in eradicating forced labou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mp; Governance&quot;,&quot;container-title-short&quot;:&quot;Regul Gov&quot;,&quot;accessed&quot;:{&quot;date-parts&quot;:[[2023,2,4]]},&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John Wiley &amp; Sons, Ltd&quot;,&quot;issue&quot;:&quot;1&quot;,&quot;volume&quot;:&quot;13&quot;},&quot;isTemporary&quot;:false},{&quot;id&quot;:&quot;3b62a73a-1601-388e-88f0-83c9832b4edb&quot;,&quot;itemData&quot;:{&quot;type&quot;:&quot;article-journal&quot;,&quot;id&quot;:&quot;3b62a73a-1601-388e-88f0-83c9832b4edb&quot;,&quot;title&quot;:&quot;The Role of Supply Chains in the Global Business of Forced Labour&quot;,&quot;author&quot;:[{&quot;family&quot;:&quot;LeBaron&quot;,&quot;given&quot;:&quot;Genevieve&quot;,&quot;parse-names&quot;:false,&quot;dropping-particle&quot;:&quot;&quot;,&quot;non-dropping-particle&quot;:&quot;&quot;}],&quot;container-title&quot;:&quot;Journal of Supply Chain Management&quot;,&quot;accessed&quot;:{&quot;date-parts&quot;:[[2022,9,1]]},&quot;issued&quot;:{&quot;date-parts&quot;:[[2021,4,1]]},&quot;page&quot;:&quot;29-42&quot;,&quot;abstract&quot;:&quot;Supply chains are fundamental to whether decent work flourishes or not. Not only do supply chain dynamics shape employment practices and working conditions, but they also influence business models and capabilities which structure opportunities for decent work. As scholars and policymakers race to strengthen labor standards in supply chains and confront barriers to their effective implementation, management scholars can both benefit from and advance an understanding of the role of supply chains in giving rise to indecent work, especially the business practices commonly described as forced labor and modern slavery. To help realize this potential, this article draws from my research on the business of forced labor to emphasize three points. First, there are clear and discernible patterns with respect to the root causes of forced labor in supply chains. Second, forced labor in supply chains cannot be understood in isolation of broader dynamics of work and employment, since low-waged workers tend to move in and out of conditions of forced labor in relatively short periods of time. Third, on-the-ground studies of the effectiveness of buyer-centric governance programs reveal serious gaps between corporate social responsibility standards and business practices when it comes to indicators most relevant to forced labor. I conclude with a discussion of future directions in this research agenda and highlight the potential for business scholars to make a contribution.&quot;,&quot;publisher&quot;:&quot;John Wiley &amp; Sons, Ltd&quot;,&quot;issue&quot;:&quot;2&quot;,&quot;volume&quot;:&quot;57&quot;,&quot;container-title-short&quot;:&quot;&quot;},&quot;isTemporary&quot;:false}],&quot;citationTag&quot;:&quot;MENDELEY_CITATION_v3_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CYgR292ZXJuYW5jZSIsImNvbnRhaW5lci10aXRsZS1zaG9ydCI6IlJlZ3VsIEdvdiIsImFjY2Vzc2VkIjp7ImRhdGUtcGFydHMiOltbMjAyMywyLDRdXX0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&quot;},{&quot;citationID&quot;:&quot;MENDELEY_CITATION_27e37fe5-9e72-49db-928a-2d4d777c58d0&quot;,&quot;properties&quot;:{&quot;noteIndex&quot;:0},&quot;isEdited&quot;:false,&quot;manualOverride&quot;:{&quot;isManuallyOverridden&quot;:true,&quot;citeprocText&quot;:&quot;(US Department of labour, 2022)&quot;,&quot;manualOverrideText&quot;:&quot;(US Department of labour, 2022).&quot;},&quot;citationItems&quot;:[{&quot;id&quot;:&quot;5d830435-e23f-3b88-a367-f9c175c1eb3c&quot;,&quot;itemData&quot;:{&quot;type&quot;:&quot;webpage&quot;,&quot;id&quot;:&quot;5d830435-e23f-3b88-a367-f9c175c1eb3c&quot;,&quot;title&quot;:&quot;List of Goods Produced by Child Labour or Forced Labour&quot;,&quot;author&quot;:[{&quot;family&quot;:&quot;US Department of labour&quot;,&quot;given&quot;:&quot;&quot;,&quot;parse-names&quot;:false,&quot;dropping-particle&quot;:&quot;&quot;,&quot;non-dropping-particle&quot;:&quot;&quot;}],&quot;accessed&quot;:{&quot;date-parts&quot;:[[2023,2,10]]},&quot;URL&quot;:&quot;https://www.dol.gov/agencies/ilab/reports/child-labor/list-of-goods&quot;,&quot;issued&quot;:{&quot;date-parts&quot;:[[2022,9]]},&quot;container-title-short&quot;:&quot;&quot;},&quot;isTemporary&quot;:false}],&quot;citationTag&quot;:&quot;MENDELEY_CITATION_v3_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&quot;},{&quot;citationID&quot;:&quot;MENDELEY_CITATION_64e03d05-5a52-43ee-b0ba-3c5ed8ec69d8&quot;,&quot;properties&quot;:{&quot;noteIndex&quot;:0},&quot;isEdited&quot;:false,&quot;manualOverride&quot;:{&quot;isManuallyOverridden&quot;:false,&quot;citeprocText&quot;:&quot;(Thoradeniya &lt;i&gt;et al.&lt;/i&gt;, 2015)&quot;,&quot;manualOverrideText&quot;:&quot;&quot;},&quot;citationItems&quot;:[{&quot;id&quot;:&quot;92b7753c-615c-3a28-861d-679086158327&quot;,&quot;itemData&quot;:{&quot;type&quot;:&quot;article-journal&quot;,&quot;id&quot;:&quot;92b7753c-615c-3a28-861d-679086158327&quot;,&quot;title&quot;:&quot;Sustainability reporting and the theory of planned behaviour reporting&quot;,&quot;author&quot;:[{&quot;family&quot;:&quot;Thoradeniya&quot;,&quot;given&quot;:&quot;Prabanga&quot;,&quot;parse-names&quot;:false,&quot;dropping-particle&quot;:&quot;&quot;,&quot;non-dropping-particle&quot;:&quot;&quot;},{&quot;family&quot;:&quot;Lee&quot;,&quot;given&quot;:&quot;Janet&quot;,&quot;parse-names&quot;:false,&quot;dropping-particle&quot;:&quot;&quot;,&quot;non-dropping-particle&quot;:&quot;&quot;},{&quot;family&quot;:&quot;Tan&quot;,&quot;given&quot;:&quot;Rebecca&quot;,&quot;parse-names&quot;:false,&quot;dropping-particle&quot;:&quot;&quot;,&quot;non-dropping-particle&quot;:&quot;&quot;}],&quot;issued&quot;:{&quot;date-parts&quot;:[[2015]]},&quot;page&quot;:&quot;1099-1137&quot;,&quot;issue&quot;:&quot;7&quot;,&quot;volume&quot;:&quot;28&quot;,&quot;container-title-short&quot;:&quot;&quot;},&quot;isTemporary&quot;:false}],&quot;citationTag&quot;:&quot;MENDELEY_CITATION_v3_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&quot;},{&quot;citationID&quot;:&quot;MENDELEY_CITATION_4b096384-6008-4506-9d8e-59602cc771d8&quot;,&quot;properties&quot;:{&quot;noteIndex&quot;:0},&quot;isEdited&quot;:false,&quot;manualOverride&quot;:{&quot;isManuallyOverridden&quot;:false,&quot;citeprocText&quot;:&quot;(EU Sustainability Developments and EY, 2022; Iswati W, 2020)&quot;,&quot;manualOverrideText&quot;:&quot;&quot;},&quot;citationItems&quot;:[{&quot;id&quot;:&quot;9795629c-b080-3139-87fc-1ed276098cf0&quot;,&quot;itemData&quot;:{&quot;type&quot;:&quot;article-journal&quot;,&quot;id&quot;:&quot;9795629c-b080-3139-87fc-1ed276098cf0&quot;,&quot;title&quot;:&quot;The Impact of Disclosure Sustainability Reporting, Influence Corporate Social Responsibilities Towards Corporate Value with Mediation of Financial Performance&quot;,&quot;author&quot;:[{&quot;family&quot;:&quot;Iswati W&quot;,&quot;given&quot;:&quot;&quot;,&quot;parse-names&quot;:false,&quot;dropping-particle&quot;:&quot;&quot;,&quot;non-dropping-particle&quot;:&quot;&quot;}],&quot;container-title&quot;:&quot;International Journal of Managerial Studies and Research&quot;,&quot;issued&quot;:{&quot;date-parts&quot;:[[2020]]},&quot;abstract&quot;:&quot;The purpose of this study is to obtain empirical evidence about the effect of sustainability reporting and corporate social responsibilities on firm value with mediation of financial performance to 132 manufacturing companies listed on Indonesia Stock Exchange (IDX) in 2017-2018. This study is quantitative researh by testing hypotheses because it uses statistical methods to resolve the problem. Data Analyzed using multiple linear regression model to examine the impact of the disclosure of sustainability reporting and the disclosure of corporate social responsibility toward firm value with the mediation of financial performance. The findings of this study indicate that the disclosure of sustainability reporting and corporate social responsibility do not affect financial performance.The disclosure of sustainabilityreporting and corporate social responsibility do not affect firm value.The Firm performance affects firm value. The Firm performance does not mediate the relationship of corporate social responsibility disclosure to firm value and the relationship of disclosure of sustainability reporting to firm value.This study uses stakeholder theory as the basis to explain how to minimize gap between managers who run companies and stakeholders who have high expectation toward corporates performance and legitimacy theory that can be used as a vehicle to construct corporate strategy, especially related to efforts to position themselves in an increasingly advanced society.&quot;,&quot;publisher&quot;:&quot;ARC Publications Pvt Ltd.&quot;,&quot;issue&quot;:&quot;1&quot;,&quot;volume&quot;:&quot;8&quot;,&quot;container-title-short&quot;:&quot;&quot;},&quot;isTemporary&quot;:false},{&quot;id&quot;:&quot;6831c823-45a3-3265-b7ca-eb8e5bfdfc3b&quot;,&quot;itemData&quot;:{&quot;type&quot;:&quot;report&quot;,&quot;id&quot;:&quot;6831c823-45a3-3265-b7ca-eb8e5bfdfc3b&quot;,&quot;title&quot;:&quot;European Sustainability Reporting Standards (ESRS)&quot;,&quot;author&quot;:[{&quot;family&quot;:&quot;EU Sustainability Developments&quot;,&quot;given&quot;:&quot;&quot;,&quot;parse-names&quot;:false,&quot;dropping-particle&quot;:&quot;&quot;,&quot;non-dropping-particle&quot;:&quot;&quot;},{&quot;family&quot;:&quot;EY&quot;,&quot;given&quot;:&quot;&quot;,&quot;parse-names&quot;:false,&quot;dropping-particle&quot;:&quot;&quot;,&quot;non-dropping-particle&quot;:&quot;&quot;}],&quot;issued&quot;:{&quot;date-parts&quot;:[[2022]]},&quot;container-title-short&quot;:&quot;&quot;},&quot;isTemporary&quot;:false}],&quot;citationTag&quot;:&quot;MENDELEY_CITATION_v3_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&quot;},{&quot;citationID&quot;:&quot;MENDELEY_CITATION_a988c9ba-d4c6-4ff4-b9aa-2772241faf37&quot;,&quot;properties&quot;:{&quot;noteIndex&quot;:0},&quot;isEdited&quot;:false,&quot;manualOverride&quot;:{&quot;isManuallyOverridden&quot;:true,&quot;citeprocText&quot;:&quot;(GRI and GSSB, 2016)&quot;,&quot;manualOverrideText&quot;:&quot;(GRI and GSSB 2016)&quot;},&quot;citationItems&quot;:[{&quot;id&quot;:&quot;c70c8144-89fe-370d-b3bc-7ac23711d179&quot;,&quot;itemData&quot;:{&quot;type&quot;:&quot;report&quot;,&quot;id&quot;:&quot;c70c8144-89fe-370d-b3bc-7ac23711d179&quot;,&quot;title&quot;:&quot;GRI 101&quot;,&quot;author&quot;:[{&quot;family&quot;:&quot;GRI&quot;,&quot;given&quot;:&quot;&quot;,&quot;parse-names&quot;:false,&quot;dropping-particle&quot;:&quot;&quot;,&quot;non-dropping-particle&quot;:&quot;&quot;},{&quot;family&quot;:&quot;GSSB&quot;,&quot;given&quot;:&quot;&quot;,&quot;parse-names&quot;:false,&quot;dropping-particle&quot;:&quot;&quot;,&quot;non-dropping-particle&quot;:&quot;&quot;}],&quot;accessed&quot;:{&quot;date-parts&quot;:[[2023,7,5]]},&quot;URL&quot;:&quot;https://www.globalreporting.org/standards/media/1036/gri-101-foundation-2016.pdf&quot;,&quot;issued&quot;:{&quot;date-parts&quot;:[[2016]]},&quot;container-title-short&quot;:&quot;&quot;},&quot;isTemporary&quot;:false}],&quot;citationTag&quot;:&quot;MENDELEY_CITATION_v3_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&quot;},{&quot;citationID&quot;:&quot;MENDELEY_CITATION_e28a4a4e-81f0-496d-bee4-c0cb6512d956&quot;,&quot;properties&quot;:{&quot;noteIndex&quot;:0},&quot;isEdited&quot;:false,&quot;manualOverride&quot;:{&quot;isManuallyOverridden&quot;:true,&quot;citeprocText&quot;:&quot;(Global Reporting Initiative (GRI) and Responsible Labour Initiative (RLI), 2019)&quot;,&quot;manualOverrideText&quot;:&quot;GRI and RLI (2019),&quot;},&quot;citationItems&quot;:[{&quot;id&quot;:&quot;6965598b-b91e-35d7-8c91-0351a9535c4a&quot;,&quot;itemData&quot;:{&quot;type&quot;:&quot;report&quot;,&quot;id&quot;:&quot;6965598b-b91e-35d7-8c91-0351a9535c4a&quot;,&quot;title&quot;:&quot;Advancing modern slavery reporting to meet stakeholder expectations&quot;,&quot;author&quot;:[{&quot;family&quot;:&quot;Global Reporting Initiative (GRI)&quot;,&quot;given&quot;:&quot;&quot;,&quot;parse-names&quot;:false,&quot;dropping-particle&quot;:&quot;&quot;,&quot;non-dropping-particle&quot;:&quot;&quot;},{&quot;family&quot;:&quot;Responsible Labour Initiative (RLI)&quot;,&quot;given&quot;:&quot;&quot;,&quot;parse-names&quot;:false,&quot;dropping-particle&quot;:&quot;&quot;,&quot;non-dropping-particle&quot;:&quot;&quot;}],&quot;issued&quot;:{&quot;date-parts&quot;:[[2019]]},&quot;number-of-pages&quot;:&quot;1-36&quot;,&quot;container-title-short&quot;:&quot;&quot;},&quot;isTemporary&quot;:false}],&quot;citationTag&quot;:&quot;MENDELEY_CITATION_v3_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&quot;},{&quot;citationID&quot;:&quot;MENDELEY_CITATION_ad2021b1-0e7f-41f8-89db-b1bec817fe70&quot;,&quot;properties&quot;:{&quot;noteIndex&quot;:0},&quot;isEdited&quot;:false,&quot;manualOverride&quot;:{&quot;isManuallyOverridden&quot;:true,&quot;citeprocText&quot;:&quot;(Global Reporting Initiative (GRI) and Responsible Labour Initiative (RLI), 2019; GRI and GSSB, 2016)&quot;,&quot;manualOverrideText&quot;:&quot;(GRI and GSSB, 2016;&quot;},&quot;citationItems&quot;:[{&quot;id&quot;:&quot;c70c8144-89fe-370d-b3bc-7ac23711d179&quot;,&quot;itemData&quot;:{&quot;type&quot;:&quot;report&quot;,&quot;id&quot;:&quot;c70c8144-89fe-370d-b3bc-7ac23711d179&quot;,&quot;title&quot;:&quot;GRI 101&quot;,&quot;author&quot;:[{&quot;family&quot;:&quot;GRI&quot;,&quot;given&quot;:&quot;&quot;,&quot;parse-names&quot;:false,&quot;dropping-particle&quot;:&quot;&quot;,&quot;non-dropping-particle&quot;:&quot;&quot;},{&quot;family&quot;:&quot;GSSB&quot;,&quot;given&quot;:&quot;&quot;,&quot;parse-names&quot;:false,&quot;dropping-particle&quot;:&quot;&quot;,&quot;non-dropping-particle&quot;:&quot;&quot;}],&quot;accessed&quot;:{&quot;date-parts&quot;:[[2023,7,5]]},&quot;URL&quot;:&quot;https://www.globalreporting.org/standards/media/1036/gri-101-foundation-2016.pdf&quot;,&quot;issued&quot;:{&quot;date-parts&quot;:[[2016]]},&quot;container-title-short&quot;:&quot;&quot;},&quot;isTemporary&quot;:false},{&quot;id&quot;:&quot;6965598b-b91e-35d7-8c91-0351a9535c4a&quot;,&quot;itemData&quot;:{&quot;type&quot;:&quot;report&quot;,&quot;id&quot;:&quot;6965598b-b91e-35d7-8c91-0351a9535c4a&quot;,&quot;title&quot;:&quot;Advancing modern slavery reporting to meet stakeholder expectations&quot;,&quot;author&quot;:[{&quot;family&quot;:&quot;Global Reporting Initiative (GRI)&quot;,&quot;given&quot;:&quot;&quot;,&quot;parse-names&quot;:false,&quot;dropping-particle&quot;:&quot;&quot;,&quot;non-dropping-particle&quot;:&quot;&quot;},{&quot;family&quot;:&quot;Responsible Labour Initiative (RLI)&quot;,&quot;given&quot;:&quot;&quot;,&quot;parse-names&quot;:false,&quot;dropping-particle&quot;:&quot;&quot;,&quot;non-dropping-particle&quot;:&quot;&quot;}],&quot;issued&quot;:{&quot;date-parts&quot;:[[2019]]},&quot;number-of-pages&quot;:&quot;1-36&quot;,&quot;container-title-short&quot;:&quot;&quot;},&quot;isTemporary&quot;:false}],&quot;citationTag&quot;:&quot;MENDELEY_CITATION_v3_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&quot;},{&quot;citationID&quot;:&quot;MENDELEY_CITATION_59fdfbac-6664-48e7-9453-1a16f7c183d1&quot;,&quot;properties&quot;:{&quot;noteIndex&quot;:0},&quot;isEdited&quot;:false,&quot;manualOverride&quot;:{&quot;isManuallyOverridden&quot;:true,&quot;citeprocText&quot;:&quot;(Global Reporting Initiative (GRI) and Responsible Labour Initiative (RLI), 2019)&quot;,&quot;manualOverrideText&quot;:&quot;(GRI and RLI, 2019, p 18)&quot;},&quot;citationItems&quot;:[{&quot;id&quot;:&quot;6965598b-b91e-35d7-8c91-0351a9535c4a&quot;,&quot;itemData&quot;:{&quot;type&quot;:&quot;report&quot;,&quot;id&quot;:&quot;6965598b-b91e-35d7-8c91-0351a9535c4a&quot;,&quot;title&quot;:&quot;Advancing modern slavery reporting to meet stakeholder expectations&quot;,&quot;author&quot;:[{&quot;family&quot;:&quot;Global Reporting Initiative (GRI)&quot;,&quot;given&quot;:&quot;&quot;,&quot;parse-names&quot;:false,&quot;dropping-particle&quot;:&quot;&quot;,&quot;non-dropping-particle&quot;:&quot;&quot;},{&quot;family&quot;:&quot;Responsible Labour Initiative (RLI)&quot;,&quot;given&quot;:&quot;&quot;,&quot;parse-names&quot;:false,&quot;dropping-particle&quot;:&quot;&quot;,&quot;non-dropping-particle&quot;:&quot;&quot;}],&quot;issued&quot;:{&quot;date-parts&quot;:[[2019]]},&quot;number-of-pages&quot;:&quot;1-36&quot;,&quot;container-title-short&quot;:&quot;&quot;},&quot;isTemporary&quot;:false}],&quot;citationTag&quot;:&quot;MENDELEY_CITATION_v3_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&quot;},{&quot;citationID&quot;:&quot;MENDELEY_CITATION_6e186a0d-2bb2-41fe-b9ea-27092c42857a&quot;,&quot;properties&quot;:{&quot;noteIndex&quot;:0},&quot;isEdited&quot;:false,&quot;manualOverride&quot;:{&quot;isManuallyOverridden&quot;:true,&quot;citeprocText&quot;:&quot;(GRI and GSSB, 2016)&quot;,&quot;manualOverrideText&quot;:&quot;(GRI and GSSB, 2016, p. 8)&quot;},&quot;citationItems&quot;:[{&quot;id&quot;:&quot;c70c8144-89fe-370d-b3bc-7ac23711d179&quot;,&quot;itemData&quot;:{&quot;type&quot;:&quot;report&quot;,&quot;id&quot;:&quot;c70c8144-89fe-370d-b3bc-7ac23711d179&quot;,&quot;title&quot;:&quot;GRI 101&quot;,&quot;author&quot;:[{&quot;family&quot;:&quot;GRI&quot;,&quot;given&quot;:&quot;&quot;,&quot;parse-names&quot;:false,&quot;dropping-particle&quot;:&quot;&quot;,&quot;non-dropping-particle&quot;:&quot;&quot;},{&quot;family&quot;:&quot;GSSB&quot;,&quot;given&quot;:&quot;&quot;,&quot;parse-names&quot;:false,&quot;dropping-particle&quot;:&quot;&quot;,&quot;non-dropping-particle&quot;:&quot;&quot;}],&quot;accessed&quot;:{&quot;date-parts&quot;:[[2023,7,5]]},&quot;URL&quot;:&quot;https://www.globalreporting.org/standards/media/1036/gri-101-foundation-2016.pdf&quot;,&quot;issued&quot;:{&quot;date-parts&quot;:[[2016]]},&quot;container-title-short&quot;:&quot;&quot;},&quot;isTemporary&quot;:false}],&quot;citationTag&quot;:&quot;MENDELEY_CITATION_v3_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&quot;},{&quot;citationID&quot;:&quot;MENDELEY_CITATION_4fef0504-579c-461c-a3ec-af0cdb05f0a0&quot;,&quot;properties&quot;:{&quot;noteIndex&quot;:0},&quot;isEdited&quot;:false,&quot;manualOverride&quot;:{&quot;isManuallyOverridden&quot;:false,&quot;citeprocText&quot;:&quot;(IFRS, 2018)&quot;,&quot;manualOverrideText&quot;:&quot;&quot;},&quot;citationItems&quot;:[{&quot;id&quot;:&quot;e28a59f6-bbcc-3a62-8a8e-1333859466c9&quot;,&quot;itemData&quot;:{&quot;type&quot;:&quot;webpage&quot;,&quot;id&quot;:&quot;e28a59f6-bbcc-3a62-8a8e-1333859466c9&quot;,&quot;title&quot;:&quot;IFRS - Amendment issued: IASB clarifies its definition of 'material'&quot;,&quot;author&quot;:[{&quot;family&quot;:&quot;IFRS&quot;,&quot;given&quot;:&quot;&quot;,&quot;parse-names&quot;:false,&quot;dropping-particle&quot;:&quot;&quot;,&quot;non-dropping-particle&quot;:&quot;&quot;}],&quot;accessed&quot;:{&quot;date-parts&quot;:[[2023,7,6]]},&quot;URL&quot;:&quot;https://www.ifrs.org/news-and-events/news/2018/10/iasb-clarifies-its-definition-of-material/&quot;,&quot;issued&quot;:{&quot;date-parts&quot;:[[2018,10,31]]},&quot;container-title-short&quot;:&quot;&quot;},&quot;isTemporary&quot;:false}],&quot;citationTag&quot;:&quot;MENDELEY_CITATION_v3_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&quot;},{&quot;citationID&quot;:&quot;MENDELEY_CITATION_c661ee08-b143-4545-9fa4-1736643cdc91&quot;,&quot;properties&quot;:{&quot;noteIndex&quot;:0},&quot;isEdited&quot;:false,&quot;manualOverride&quot;:{&quot;isManuallyOverridden&quot;:true,&quot;citeprocText&quot;:&quot;(Global Reporting Initiative (GRI) and Responsible Labour Initiative (RLI), 2019; GRI and GSSB, 2016)&quot;,&quot;manualOverrideText&quot;:&quot;(GRI and GSSB, 2016; GRI and RLI, 2019)&quot;},&quot;citationItems&quot;:[{&quot;id&quot;:&quot;c70c8144-89fe-370d-b3bc-7ac23711d179&quot;,&quot;itemData&quot;:{&quot;type&quot;:&quot;report&quot;,&quot;id&quot;:&quot;c70c8144-89fe-370d-b3bc-7ac23711d179&quot;,&quot;title&quot;:&quot;GRI 101&quot;,&quot;author&quot;:[{&quot;family&quot;:&quot;GRI&quot;,&quot;given&quot;:&quot;&quot;,&quot;parse-names&quot;:false,&quot;dropping-particle&quot;:&quot;&quot;,&quot;non-dropping-particle&quot;:&quot;&quot;},{&quot;family&quot;:&quot;GSSB&quot;,&quot;given&quot;:&quot;&quot;,&quot;parse-names&quot;:false,&quot;dropping-particle&quot;:&quot;&quot;,&quot;non-dropping-particle&quot;:&quot;&quot;}],&quot;accessed&quot;:{&quot;date-parts&quot;:[[2023,7,5]]},&quot;URL&quot;:&quot;https://www.globalreporting.org/standards/media/1036/gri-101-foundation-2016.pdf&quot;,&quot;issued&quot;:{&quot;date-parts&quot;:[[2016]]},&quot;container-title-short&quot;:&quot;&quot;},&quot;isTemporary&quot;:false},{&quot;id&quot;:&quot;6965598b-b91e-35d7-8c91-0351a9535c4a&quot;,&quot;itemData&quot;:{&quot;type&quot;:&quot;report&quot;,&quot;id&quot;:&quot;6965598b-b91e-35d7-8c91-0351a9535c4a&quot;,&quot;title&quot;:&quot;Advancing modern slavery reporting to meet stakeholder expectations&quot;,&quot;author&quot;:[{&quot;family&quot;:&quot;Global Reporting Initiative (GRI)&quot;,&quot;given&quot;:&quot;&quot;,&quot;parse-names&quot;:false,&quot;dropping-particle&quot;:&quot;&quot;,&quot;non-dropping-particle&quot;:&quot;&quot;},{&quot;family&quot;:&quot;Responsible Labour Initiative (RLI)&quot;,&quot;given&quot;:&quot;&quot;,&quot;parse-names&quot;:false,&quot;dropping-particle&quot;:&quot;&quot;,&quot;non-dropping-particle&quot;:&quot;&quot;}],&quot;issued&quot;:{&quot;date-parts&quot;:[[2019]]},&quot;number-of-pages&quot;:&quot;1-36&quot;,&quot;container-title-short&quot;:&quot;&quot;},&quot;isTemporary&quot;:false}],&quot;citationTag&quot;:&quot;MENDELEY_CITATION_v3_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&quot;},{&quot;citationID&quot;:&quot;MENDELEY_CITATION_3ad49dc7-20ea-4497-b1fe-5da7b8039ae1&quot;,&quot;properties&quot;:{&quot;noteIndex&quot;:0},&quot;isEdited&quot;:false,&quot;manualOverride&quot;:{&quot;isManuallyOverridden&quot;:false,&quot;citeprocText&quot;:&quot;(Walk Free, 2023)&quot;,&quot;manualOverrideText&quot;:&quot;&quot;},&quot;citationItems&quot;:[{&quot;id&quot;:&quot;47b9b193-1e21-3051-a13f-e2f48fd0e14b&quot;,&quot;itemData&quot;:{&quot;type&quot;:&quot;report&quot;,&quot;id&quot;:&quot;47b9b193-1e21-3051-a13f-e2f48fd0e14b&quot;,&quot;title&quot;:&quot;Global-Slavery-Index-2023&quot;,&quot;author&quot;:[{&quot;family&quot;:&quot;Walk Free Foundation&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&quot;},{&quot;citationID&quot;:&quot;MENDELEY_CITATION_505506ce-deea-4d41-9cf7-7feb8bbb0811&quot;,&quot;properties&quot;:{&quot;noteIndex&quot;:0},&quot;isEdited&quot;:false,&quot;manualOverride&quot;:{&quot;isManuallyOverridden&quot;:true,&quot;citeprocText&quot;:&quot;(ILO, 2014b)&quot;,&quot;manualOverrideText&quot;:&quot;(International Labour Organisation, 2014)&quot;},&quot;citationItems&quot;:[{&quot;id&quot;:&quot;e68c0e76-16e7-3cf3-9800-db699c55d163&quot;,&quot;itemData&quot;:{&quot;type&quot;:&quot;webpage&quot;,&quot;id&quot;:&quot;e68c0e76-16e7-3cf3-9800-db699c55d163&quot;,&quot;title&quot;:&quot;ILO says forced labour generates annual profits of US$ 150 billion&quot;,&quot;author&quot;:[{&quot;family&quot;:&quot;International Labour Organisation&quot;,&quot;given&quot;:&quot;&quot;,&quot;parse-names&quot;:false,&quot;dropping-particle&quot;:&quot;&quot;,&quot;non-dropping-particle&quot;:&quot;&quot;}],&quot;accessed&quot;:{&quot;date-parts&quot;:[[2023,5,2]]},&quot;URL&quot;:&quot;http://www.ilo.org/global/about-the-ilo/newsroom/news/WCMS_243201/lang--en/index.htm&quot;,&quot;issued&quot;:{&quot;date-parts&quot;:[[2014,5,20]]},&quot;container-title-short&quot;:&quot;&quot;},&quot;isTemporary&quot;:false}],&quot;citationTag&quot;:&quot;MENDELEY_CITATION_v3_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&quot;},{&quot;citationID&quot;:&quot;MENDELEY_CITATION_23851764-593e-48c8-98fe-4cc34ad74f31&quot;,&quot;properties&quot;:{&quot;noteIndex&quot;:0},&quot;isEdited&quot;:false,&quot;manualOverride&quot;:{&quot;isManuallyOverridden&quot;:false,&quot;citeprocText&quot;:&quot;(ILO, 2014)&quot;,&quot;manualOverrideText&quot;:&quot;&quot;},&quot;citationItems&quot;:[{&quot;id&quot;:&quot;e68c0e76-16e7-3cf3-9800-db699c55d163&quot;,&quot;itemData&quot;:{&quot;type&quot;:&quot;webpage&quot;,&quot;id&quot;:&quot;e68c0e76-16e7-3cf3-9800-db699c55d163&quot;,&quot;title&quot;:&quot;ILO says forced labour generates annual profits of US$ 150 billion&quot;,&quot;author&quot;:[{&quot;family&quot;:&quot;ILO&quot;,&quot;given&quot;:&quot;&quot;,&quot;parse-names&quot;:false,&quot;dropping-particle&quot;:&quot;&quot;,&quot;non-dropping-particle&quot;:&quot;&quot;}],&quot;accessed&quot;:{&quot;date-parts&quot;:[[2023,5,2]]},&quot;URL&quot;:&quot;http://www.ilo.org/global/about-the-ilo/newsroom/news/WCMS_243201/lang--en/index.htm&quot;,&quot;issued&quot;:{&quot;date-parts&quot;:[[2014,5,20]]},&quot;container-title-short&quot;:&quot;&quot;},&quot;isTemporary&quot;:false}],&quot;citationTag&quot;:&quot;MENDELEY_CITATION_v3_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&quot;},{&quot;citationID&quot;:&quot;MENDELEY_CITATION_241945a8-5147-4bd4-872c-eb1329100f5e&quot;,&quot;properties&quot;:{&quot;noteIndex&quot;:0},&quot;isEdited&quot;:false,&quot;manualOverride&quot;:{&quot;isManuallyOverridden&quot;:true,&quot;citeprocText&quot;:&quot;(Coumans, 2017; Islam and McPhail, 2011b; The guardian, 2023)&quot;,&quot;manualOverrideText&quot;:&quot;a(Islam and McPhail, 2011a; Coumans, 2017; The guardian, 2023)&quot;},&quot;citationItems&quot;:[{&quot;id&quot;:&quot;db9dece2-70c1-3c56-b18d-f2da9d3d2707&quot;,&quot;itemData&quot;:{&quot;type&quot;:&quot;article-journal&quot;,&quot;id&quot;:&quot;db9dece2-70c1-3c56-b18d-f2da9d3d2707&quot;,&quot;title&quot;:&quot;Do no harm? Mining industry responds to the responsibility to respect human rights&quot;,&quot;author&quot;:[{&quot;family&quot;:&quot;Coumans&quot;,&quot;given&quot;:&quot;Catherine&quot;,&quot;parse-names&quot;:false,&quot;dropping-particle&quot;:&quot;&quot;,&quot;non-dropping-particle&quot;:&quot;&quot;}],&quot;container-title&quot;:&quot;Canadian Journal of Development Studies&quot;,&quot;accessed&quot;:{&quot;date-parts&quot;:[[2022,8,22]]},&quot;URL&quot;:&quot;https://www.tandfonline.com/action/journalInformation?journalCode=rcjd20&quot;,&quot;issued&quot;:{&quot;date-parts&quot;:[[2017]]},&quot;page&quot;:&quot;272-290&quot;,&quot;issue&quot;:&quot;2&quot;,&quot;volume&quot;:&quot;38&quot;,&quot;container-title-short&quot;:&quot;&quot;},&quot;isTemporary&quot;:false},{&quot;id&quot;:&quot;4709639d-fdc2-3a35-bdf6-30dad91fc18a&quot;,&quot;itemData&quot;:{&quot;type&quot;:&quot;webpage&quot;,&quot;id&quot;:&quot;4709639d-fdc2-3a35-bdf6-30dad91fc18a&quot;,&quot;title&quot;:&quot;Lidl, Zara’s owner, H&amp;M and Next ‘paid Bangladesh suppliers less than production cost’ | Retail industry | The Guardian&quot;,&quot;author&quot;:[{&quot;family&quot;:&quot;The guardian&quot;,&quot;given&quot;:&quot;&quot;,&quot;parse-names&quot;:false,&quot;dropping-particle&quot;:&quot;&quot;,&quot;non-dropping-particle&quot;:&quot;&quot;}],&quot;accessed&quot;:{&quot;date-parts&quot;:[[2023,1,12]]},&quot;URL&quot;:&quot;https://www.theguardian.com/business/2023/jan/11/lidl-zara-owner-hm-next-bangladesh-suppliers?CMP=share_btn_fb&amp;fbclid=IwAR1ND2tIOGrR-RYKNALonF1lAfJ1rzVPX8xh6C42C1Y8CDlxs7PBeeLPbP8&quot;,&quot;issued&quot;:{&quot;date-parts&quot;:[[2023,1,11]]},&quot;container-title-short&quot;:&quot;&quot;},&quot;isTemporary&quot;:false},{&quot;id&quot;:&quot;d9fa4c91-5b5f-3da1-86d3-73c794ce750d&quot;,&quot;itemData&quot;:{&quot;type&quot;:&quot;article-journal&quot;,&quot;id&quot;:&quot;d9fa4c91-5b5f-3da1-86d3-73c794ce750d&quot;,&quot;title&quot;:&quot;Regulating for corporate human rights abuses: The emergence of corporate reporting on the ILO's human rights standards within the global garment manufacturing and retail industry&quot;,&quot;author&quot;:[{&quot;family&quot;:&quot;Islam&quot;,&quot;given&quot;:&quot;Muhammad Azizul&quot;,&quot;parse-names&quot;:false,&quot;dropping-particle&quot;:&quot;&quot;,&quot;non-dropping-particle&quot;:&quot;&quot;},{&quot;family&quot;:&quot;McPhail&quot;,&quot;given&quot;:&quot;Ken&quot;,&quot;parse-names&quot;:false,&quot;dropping-particle&quot;:&quot;&quot;,&quot;non-dropping-particle&quot;:&quot;&quot;}],&quot;container-title&quot;:&quot;Critical Perspectives on Accounting&quot;,&quot;DOI&quot;:&quot;10.1016/j.cpa.2011.07.003&quot;,&quot;ISSN&quot;:&quot;10452354&quot;,&quot;issued&quot;:{&quot;date-parts&quot;:[[2011,11]]},&quot;page&quot;:&quot;790-810&quot;,&quot;abstract&quot;:&quot;Despite the ubiquitous nature of the discourse on human rights there is currently little research on the emergence of disclosure by multinational corporations on their human rights obligations or the regulatory dynamic that may lie behind this trend. In an attempt to begin to explore the extent to which, if any, the language of human rights has entered the discourse of corporate accountability, this paper investigates the adoption of the International Labour Organisation's (ILO) human rights standards by major multinational garment retail companies that source products from developing countries, as disclosed through their reporting media. The paper has three objectives. Firstly, to empirically explore the extent to which a group of multinational garment retailers invoke the language of human rights when disclosing their corporate responsibilities. The paper reviews corporate reporting media including social responsibility codes of conduct, annual reports and stand-alone social responsibility reports released by 18 major global clothing and retail companies during a period from 1990 to 2007. We find that the number of companies adopting and disclosing on the ILO's workplace human rights standards has significantly increased since 1998 - the year in which the ILO's standards were endorsed and accepted by the global community (ILO, 1998). Secondly, drawing on a combination of Responsive Regulation theory and neo-institutional theory, we tentatively seek to understand the regulatory space that may have influenced these large corporations to adopt the language of human rights obligations. In particular, we study the role that International Governmental Organisation's (IGO) such as ILO may have played in these disclosures. Finally, we provide some critical reflections on the power and potential within the corporate adoption of the language of human rights. © 2011 Elsevier Ltd.&quot;,&quot;issue&quot;:&quot;8&quot;,&quot;volume&quot;:&quot;22&quot;,&quot;container-title-short&quot;:&quot;&quot;},&quot;isTemporary&quot;:false}],&quot;citationTag&quot;:&quot;MENDELEY_CITATION_v3_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&quot;},{&quot;citationID&quot;:&quot;MENDELEY_CITATION_2a161b78-1018-40e9-a64c-efc3ee599df4&quot;,&quot;properties&quot;:{&quot;noteIndex&quot;:0},&quot;isEdited&quot;:false,&quot;manualOverride&quot;:{&quot;isManuallyOverridden&quot;:false,&quot;citeprocText&quot;:&quot;(Coumans, 2017; Islam and McPhail, 2011; The guardian, 2023)&quot;,&quot;manualOverrideText&quot;:&quot;&quot;},&quot;citationItems&quot;:[{&quot;id&quot;:&quot;d9fa4c91-5b5f-3da1-86d3-73c794ce750d&quot;,&quot;itemData&quot;:{&quot;type&quot;:&quot;article-journal&quot;,&quot;id&quot;:&quot;d9fa4c91-5b5f-3da1-86d3-73c794ce750d&quot;,&quot;title&quot;:&quot;Regulating for corporate human rights abuses: The emergence of corporate reporting on the ILO's human rights standards within the global garment manufacturing and retail industry&quot;,&quot;author&quot;:[{&quot;family&quot;:&quot;Islam&quot;,&quot;given&quot;:&quot;Muhammad Azizul&quot;,&quot;parse-names&quot;:false,&quot;dropping-particle&quot;:&quot;&quot;,&quot;non-dropping-particle&quot;:&quot;&quot;},{&quot;family&quot;:&quot;McPhail&quot;,&quot;given&quot;:&quot;Ken&quot;,&quot;parse-names&quot;:false,&quot;dropping-particle&quot;:&quot;&quot;,&quot;non-dropping-particle&quot;:&quot;&quot;}],&quot;container-title&quot;:&quot;Critical Perspectives on Accounting&quot;,&quot;DOI&quot;:&quot;10.1016/j.cpa.2011.07.003&quot;,&quot;ISSN&quot;:&quot;10452354&quot;,&quot;issued&quot;:{&quot;date-parts&quot;:[[2011,11]]},&quot;page&quot;:&quot;790-810&quot;,&quot;abstract&quot;:&quot;Despite the ubiquitous nature of the discourse on human rights there is currently little research on the emergence of disclosure by multinational corporations on their human rights obligations or the regulatory dynamic that may lie behind this trend. In an attempt to begin to explore the extent to which, if any, the language of human rights has entered the discourse of corporate accountability, this paper investigates the adoption of the International Labour Organisation's (ILO) human rights standards by major multinational garment retail companies that source products from developing countries, as disclosed through their reporting media. The paper has three objectives. Firstly, to empirically explore the extent to which a group of multinational garment retailers invoke the language of human rights when disclosing their corporate responsibilities. The paper reviews corporate reporting media including social responsibility codes of conduct, annual reports and stand-alone social responsibility reports released by 18 major global clothing and retail companies during a period from 1990 to 2007. We find that the number of companies adopting and disclosing on the ILO's workplace human rights standards has significantly increased since 1998 - the year in which the ILO's standards were endorsed and accepted by the global community (ILO, 1998). Secondly, drawing on a combination of Responsive Regulation theory and neo-institutional theory, we tentatively seek to understand the regulatory space that may have influenced these large corporations to adopt the language of human rights obligations. In particular, we study the role that International Governmental Organisation's (IGO) such as ILO may have played in these disclosures. Finally, we provide some critical reflections on the power and potential within the corporate adoption of the language of human rights. © 2011 Elsevier Ltd.&quot;,&quot;issue&quot;:&quot;8&quot;,&quot;volume&quot;:&quot;22&quot;,&quot;container-title-short&quot;:&quot;&quot;},&quot;isTemporary&quot;:false},{&quot;id&quot;:&quot;4709639d-fdc2-3a35-bdf6-30dad91fc18a&quot;,&quot;itemData&quot;:{&quot;type&quot;:&quot;webpage&quot;,&quot;id&quot;:&quot;4709639d-fdc2-3a35-bdf6-30dad91fc18a&quot;,&quot;title&quot;:&quot;Lidl, Zara’s owner, H&amp;M and Next ‘paid Bangladesh suppliers less than production cost’ | Retail industry | The Guardian&quot;,&quot;author&quot;:[{&quot;family&quot;:&quot;The guardian&quot;,&quot;given&quot;:&quot;&quot;,&quot;parse-names&quot;:false,&quot;dropping-particle&quot;:&quot;&quot;,&quot;non-dropping-particle&quot;:&quot;&quot;}],&quot;accessed&quot;:{&quot;date-parts&quot;:[[2023,1,12]]},&quot;URL&quot;:&quot;https://www.theguardian.com/business/2023/jan/11/lidl-zara-owner-hm-next-bangladesh-suppliers?CMP=share_btn_fb&amp;fbclid=IwAR1ND2tIOGrR-RYKNALonF1lAfJ1rzVPX8xh6C42C1Y8CDlxs7PBeeLPbP8&quot;,&quot;issued&quot;:{&quot;date-parts&quot;:[[2023,1,11]]},&quot;container-title-short&quot;:&quot;&quot;},&quot;isTemporary&quot;:false},{&quot;id&quot;:&quot;db9dece2-70c1-3c56-b18d-f2da9d3d2707&quot;,&quot;itemData&quot;:{&quot;type&quot;:&quot;article-journal&quot;,&quot;id&quot;:&quot;db9dece2-70c1-3c56-b18d-f2da9d3d2707&quot;,&quot;title&quot;:&quot;Do no harm? Mining industry responds to the responsibility to respect human rights&quot;,&quot;author&quot;:[{&quot;family&quot;:&quot;Coumans&quot;,&quot;given&quot;:&quot;Catherine&quot;,&quot;parse-names&quot;:false,&quot;dropping-particle&quot;:&quot;&quot;,&quot;non-dropping-particle&quot;:&quot;&quot;}],&quot;container-title&quot;:&quot;Canadian Journal of Development Studies&quot;,&quot;accessed&quot;:{&quot;date-parts&quot;:[[2022,8,22]]},&quot;URL&quot;:&quot;https://www.tandfonline.com/action/journalInformation?journalCode=rcjd20&quot;,&quot;issued&quot;:{&quot;date-parts&quot;:[[2017]]},&quot;page&quot;:&quot;272-290&quot;,&quot;issue&quot;:&quot;2&quot;,&quot;volume&quot;:&quot;38&quot;},&quot;isTemporary&quot;:false}],&quot;citationTag&quot;:&quot;MENDELEY_CITATION_v3_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&quot;},{&quot;citationID&quot;:&quot;MENDELEY_CITATION_b1c34956-68da-4ebd-b85a-456071155910&quot;,&quot;properties&quot;:{&quot;noteIndex&quot;:0},&quot;isEdited&quot;:false,&quot;manualOverride&quot;:{&quot;isManuallyOverridden&quot;:true,&quot;citeprocText&quot;:&quot;(Ahmad &lt;i&gt;et al.&lt;/i&gt;, 2023)&quot;,&quot;manualOverrideText&quot;:&quot;Ahmad, Haque and Islam (2023)3&quot;},&quot;citationItems&quot;:[{&quot;id&quot;:&quot;2434b3b7-2e5c-3ae6-8b89-6c65b6219c2e&quot;,&quot;itemData&quot;:{&quot;type&quot;:&quot;article-journal&quot;,&quot;id&quot;:&quot;2434b3b7-2e5c-3ae6-8b89-6c65b6219c2e&quot;,&quot;title&quot;:&quot;Modern slavery disclosure regulations in the global supply Chain: A world-systems perspective&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Muhammad Azizul&quot;,&quot;parse-names&quot;:false,&quot;dropping-particle&quot;:&quot;&quot;,&quot;non-dropping-particle&quot;:&quot;&quot;}],&quot;container-title&quot;:&quot;Critical Perspectives on Accounting&quot;,&quot;DOI&quot;:&quot;10.1016/j.cpa.2023.102677&quot;,&quot;ISSN&quot;:&quot;10959955&quot;,&quot;issued&quot;:{&quot;date-parts&quot;:[[2023]]},&quot;abstract&quot;:&quot;This study provides a linguistic analysis of three modern slavery disclosure regulations, the California Transparency in the Supply Chain Act (CTSCA) 2010, section 54 of the UK Modern Slavery Act 2015 and the Australian Modern Slavery Act 2018. These regulations require companies to report their actions to tackle labour exploitation within global supply chains. Based on World-System Theory (WST: Wallerstein, 1975, 1979, 2015) and by relying on Critical Discourse Analysis (CDA), we examined the disclosure regulations and found that the texts of and discourses around the regulations are not neutral and allow social wrongs to continue in global supply chains. Although regulators claim modern slavery disclosure regulations to be a step in the right direction, our investigation reveals a different picture: the linguistic features of the regulations support the perpetuating risk of modern slavery in global supply chains based in the periphery countries. We argue that changing the current global power structure/system is necessary to address the grand challenges of regulating modern slavery. There is a need for disclosure regime that can protect vulnerable communities, including workers in the global supply chains.&quot;,&quot;publisher&quot;:&quot;Academic Press&quot;,&quot;container-title-short&quot;:&quot;&quot;},&quot;isTemporary&quot;:false}],&quot;citationTag&quot;:&quot;MENDELEY_CITATION_v3_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&quot;},{&quot;citationID&quot;:&quot;MENDELEY_CITATION_b1c34956-68da-4ebd-b85a-456071155910&quot;,&quot;properties&quot;:{&quot;noteIndex&quot;:0},&quot;isEdited&quot;:false,&quot;manualOverride&quot;:{&quot;isManuallyOverridden&quot;:true,&quot;citeprocText&quot;:&quot;(Ahmad &lt;i&gt;et al.&lt;/i&gt;, 2023)&quot;,&quot;manualOverrideText&quot;:&quot;Ahmad, Haque and Islam (2023)3&quot;},&quot;citationItems&quot;:[{&quot;id&quot;:&quot;2434b3b7-2e5c-3ae6-8b89-6c65b6219c2e&quot;,&quot;itemData&quot;:{&quot;type&quot;:&quot;article-journal&quot;,&quot;id&quot;:&quot;2434b3b7-2e5c-3ae6-8b89-6c65b6219c2e&quot;,&quot;title&quot;:&quot;Modern slavery disclosure regulations in the global supply Chain: A world-systems perspective&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Muhammad Azizul&quot;,&quot;parse-names&quot;:false,&quot;dropping-particle&quot;:&quot;&quot;,&quot;non-dropping-particle&quot;:&quot;&quot;}],&quot;container-title&quot;:&quot;Critical Perspectives on Accounting&quot;,&quot;DOI&quot;:&quot;10.1016/j.cpa.2023.102677&quot;,&quot;ISSN&quot;:&quot;10959955&quot;,&quot;issued&quot;:{&quot;date-parts&quot;:[[2023]]},&quot;abstract&quot;:&quot;This study provides a linguistic analysis of three modern slavery disclosure regulations, the California Transparency in the Supply Chain Act (CTSCA) 2010, section 54 of the UK Modern Slavery Act 2015 and the Australian Modern Slavery Act 2018. These regulations require companies to report their actions to tackle labour exploitation within global supply chains. Based on World-System Theory (WST: Wallerstein, 1975, 1979, 2015) and by relying on Critical Discourse Analysis (CDA), we examined the disclosure regulations and found that the texts of and discourses around the regulations are not neutral and allow social wrongs to continue in global supply chains. Although regulators claim modern slavery disclosure regulations to be a step in the right direction, our investigation reveals a different picture: the linguistic features of the regulations support the perpetuating risk of modern slavery in global supply chains based in the periphery countries. We argue that changing the current global power structure/system is necessary to address the grand challenges of regulating modern slavery. There is a need for disclosure regime that can protect vulnerable communities, including workers in the global supply chains.&quot;,&quot;publisher&quot;:&quot;Academic Press&quot;,&quot;container-title-short&quot;:&quot;&quot;},&quot;isTemporary&quot;:false}],&quot;citationTag&quot;:&quot;MENDELEY_CITATION_v3_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&quot;},{&quot;citationID&quot;:&quot;MENDELEY_CITATION_cc7d1673-64b0-4e82-961f-5d1542bd366a&quot;,&quot;properties&quot;:{&quot;noteIndex&quot;:0},&quot;isEdited&quot;:false,&quot;manualOverride&quot;:{&quot;isManuallyOverridden&quot;:false,&quot;citeprocText&quot;:&quot;(Ahmad &lt;i&gt;et al.&lt;/i&gt;, 2023)&quot;,&quot;manualOverrideText&quot;:&quot;&quot;},&quot;citationItems&quot;:[{&quot;id&quot;:&quot;2434b3b7-2e5c-3ae6-8b89-6c65b6219c2e&quot;,&quot;itemData&quot;:{&quot;type&quot;:&quot;article-journal&quot;,&quot;id&quot;:&quot;2434b3b7-2e5c-3ae6-8b89-6c65b6219c2e&quot;,&quot;title&quot;:&quot;Modern slavery disclosure regulations in the global supply Chain: A world-systems perspective&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Muhammad Azizul&quot;,&quot;parse-names&quot;:false,&quot;dropping-particle&quot;:&quot;&quot;,&quot;non-dropping-particle&quot;:&quot;&quot;}],&quot;container-title&quot;:&quot;Critical Perspectives on Accounting&quot;,&quot;DOI&quot;:&quot;10.1016/j.cpa.2023.102677&quot;,&quot;ISSN&quot;:&quot;10959955&quot;,&quot;issued&quot;:{&quot;date-parts&quot;:[[2023]]},&quot;abstract&quot;:&quot;This study provides a linguistic analysis of three modern slavery disclosure regulations, the California Transparency in the Supply Chain Act (CTSCA) 2010, section 54 of the UK Modern Slavery Act 2015 and the Australian Modern Slavery Act 2018. These regulations require companies to report their actions to tackle labour exploitation within global supply chains. Based on World-System Theory (WST: Wallerstein, 1975, 1979, 2015) and by relying on Critical Discourse Analysis (CDA), we examined the disclosure regulations and found that the texts of and discourses around the regulations are not neutral and allow social wrongs to continue in global supply chains. Although regulators claim modern slavery disclosure regulations to be a step in the right direction, our investigation reveals a different picture: the linguistic features of the regulations support the perpetuating risk of modern slavery in global supply chains based in the periphery countries. We argue that changing the current global power structure/system is necessary to address the grand challenges of regulating modern slavery. There is a need for disclosure regime that can protect vulnerable communities, including workers in the global supply chains.&quot;,&quot;publisher&quot;:&quot;Academic Press&quot;,&quot;container-title-short&quot;:&quot;&quot;},&quot;isTemporary&quot;:false}],&quot;citationTag&quot;:&quot;MENDELEY_CITATION_v3_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&quot;},{&quot;citationID&quot;:&quot;MENDELEY_CITATION_19926c11-aae4-4c0c-869d-400c897a4be7&quot;,&quot;properties&quot;:{&quot;noteIndex&quot;:0},&quot;isEdited&quot;:false,&quot;manualOverride&quot;:{&quot;isManuallyOverridden&quot;:false,&quot;citeprocText&quot;:&quot;(Burritt and Christ, 2023)&quot;,&quot;manualOverrideText&quot;:&quot;&quot;},&quot;citationItems&quot;:[{&quot;id&quot;:&quot;e66d1b4c-6b82-31e9-bfb2-f573be087ae9&quot;,&quot;itemData&quot;:{&quot;type&quot;:&quot;article-journal&quot;,&quot;id&quot;:&quot;e66d1b4c-6b82-31e9-bfb2-f573be087ae9&quot;,&quot;title&quot;:&quot;Modern slavery and the Global Reporting Initiative – A bridge too far?&quot;,&quot;author&quot;:[{&quot;family&quot;:&quot;Burritt&quot;,&quot;given&quot;:&quot;Roger Leonard&quot;,&quot;parse-names&quot;:false,&quot;dropping-particle&quot;:&quot;&quot;,&quot;non-dropping-particle&quot;:&quot;&quot;},{&quot;family&quot;:&quot;Christ&quot;,&quot;given&quot;:&quot;Katherine Leanne&quot;,&quot;parse-names&quot;:false,&quot;dropping-particle&quot;:&quot;&quot;,&quot;non-dropping-particle&quot;:&quot;&quot;}],&quot;container-title&quot;:&quot;Business Strategy &amp; Development&quot;,&quot;DOI&quot;:&quot;10.1002/bsd2.239&quot;,&quot;ISSN&quot;:&quot;2572-3170&quot;,&quot;URL&quot;:&quot;https://onlinelibrary.wiley.com/doi/10.1002/bsd2.239&quot;,&quot;issued&quot;:{&quot;date-parts&quot;:[[2023,3,11]]},&quot;container-title-short&quot;:&quot;&quot;},&quot;isTemporary&quot;:false}],&quot;citationTag&quot;:&quot;MENDELEY_CITATION_v3_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&quot;},{&quot;citationID&quot;:&quot;MENDELEY_CITATION_486541c2-d654-417a-8cc7-5520bfcefa0a&quot;,&quot;properties&quot;:{&quot;noteIndex&quot;:0},&quot;isEdited&quot;:false,&quot;manualOverride&quot;:{&quot;isManuallyOverridden&quot;:false,&quot;citeprocText&quot;:&quot;(United States of America in Congress, 2010)&quot;,&quot;manualOverrideText&quot;:&quot;&quot;},&quot;citationItems&quot;:[{&quot;id&quot;:&quot;4ff4b8b2-e1cd-3bf4-b035-1351fa82d4f0&quot;,&quot;itemData&quot;:{&quot;type&quot;:&quot;legislation&quot;,&quot;id&quot;:&quot;4ff4b8b2-e1cd-3bf4-b035-1351fa82d4f0&quot;,&quot;title&quot;:&quot;‘Dodd-Frank Wall Street Reform and Consumer Protection Act&quot;,&quot;author&quot;:[{&quot;family&quot;:&quot;United States of America in Congress&quot;,&quot;given&quot;:&quot;&quot;,&quot;parse-names&quot;:false,&quot;dropping-particle&quot;:&quot;&quot;,&quot;non-dropping-particle&quot;:&quot;&quot;}],&quot;number&quot;:&quot;Public Law 111–203&quot;,&quot;accessed&quot;:{&quot;date-parts&quot;:[[2023,3,17]]},&quot;URL&quot;:&quot;https://www.congress.gov/111/plaws/publ203/PLAW-111publ203.pdf&quot;,&quot;issued&quot;:{&quot;date-parts&quot;:[[2010,9,21]]},&quot;container-title-short&quot;:&quot;&quot;},&quot;isTemporary&quot;:false}],&quot;citationTag&quot;:&quot;MENDELEY_CITATION_v3_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&quot;},{&quot;citationID&quot;:&quot;MENDELEY_CITATION_e0042045-d791-48ff-b15b-d97cc3212d93&quot;,&quot;properties&quot;:{&quot;noteIndex&quot;:0},&quot;isEdited&quot;:false,&quot;manualOverride&quot;:{&quot;isManuallyOverridden&quot;:false,&quot;citeprocText&quot;:&quot;(Burritt and Christ, 2023; Meehan and Pinnington, 2021b)&quot;,&quot;manualOverrideText&quot;:&quot;&quot;},&quot;citationItems&quot;:[{&quot;id&quot;:&quot;7da30ff4-902c-3672-8bbc-a3b44accb4b5&quot;,&quot;itemData&quot;:{&quot;type&quot;:&quot;article-journal&quot;,&quot;id&quot;:&quot;7da30ff4-902c-3672-8bbc-a3b44accb4b5&quot;,&quot;title&quot;:&quot;Modern slavery in supply chains: insights through strategic ambiguity&quot;,&quot;author&quot;:[{&quot;family&quot;:&quot;Meehan&quot;,&quot;given&quot;:&quot;Joanne&quot;,&quot;parse-names&quot;:false,&quot;dropping-particle&quot;:&quot;&quot;,&quot;non-dropping-particle&quot;:&quot;&quot;},{&quot;family&quot;:&quot;Pinnington&quot;,&quot;given&quot;:&quot;Bruce D&quot;,&quot;parse-names&quot;:false,&quot;dropping-particle&quot;:&quot;&quot;,&quot;non-dropping-particle&quot;:&quot;&quot;}],&quot;container-title&quot;:&quot;Journal of Operations &amp; Production Management.&quot;,&quot;accessed&quot;:{&quot;date-parts&quot;:[[2023,1,28]]},&quot;DOI&quot;:&quot;10.1108/IJOPM-05-2020-0292&quot;,&quot;ISBN&quot;:&quot;0520200292&quot;,&quot;URL&quot;:&quot;https://www.emerald.com/insight/0144-3577.htm&quot;,&quot;issued&quot;:{&quot;date-parts&quot;:[[2021]]},&quot;page&quot;:&quot;77-101&quot;,&quot;abstract&quot;:&quot;Purpose-The purpose of this paper is to assess whether firms' transparency in supply chain (TISC) statements indicate that substantive action is being taken on modern slavery in UK government supply chains. Design/methodology/approach-The authors analyse 66 of the UK government's strategic suppliers' TISC statements and 20 key documents related to the policy intent of the UK Parliament, 2015 TISC requirements. Qualitative document analysis identifies what suppliers say they are doing and what they are not saying to provide novel insights into how firms employ ambiguity to avoid timely action on modern slavery in their supply chains A set of propositions are developed. Findings-The authors elaborate the concepts of time and change in socially sustainable supply chains and illustrate how firms use ambiguity in TISC statements as a highly strategic form of action to defend the status quo, reduce accountability and delay action for modern slavery within supply chains. The authors identify three ambiguous techniques: defensive reassurance, transfer responsibility and scope reduction that deviate from the policy intention of collaborative action. Social implications-The results illustrates how ambiguity is preventing firms from taking collaborative action to tackle modern slavery in their supply chains. The lack of action as a result of ambiguity protects firms, rather than potential victims of modern slavery. Originality/value-Prior research focuses on technical compliance rather than the content of firms' TISC statements. This qualitative study provides novel insights into the policy-resistant effects of ambiguity and highlights the dynamic and instrumental role of modern slavery reporting. Theoretically, we identify accountability as an essential concept to address the causes of modern slavery in supply chains and for developing collaborative supply chain environments to tackle the issues.&quot;,&quot;issue&quot;:&quot;2&quot;,&quot;volume&quot;:&quot;41&quot;,&quot;container-title-short&quot;:&quot;&quot;},&quot;isTemporary&quot;:false},{&quot;id&quot;:&quot;e66d1b4c-6b82-31e9-bfb2-f573be087ae9&quot;,&quot;itemData&quot;:{&quot;type&quot;:&quot;article-journal&quot;,&quot;id&quot;:&quot;e66d1b4c-6b82-31e9-bfb2-f573be087ae9&quot;,&quot;title&quot;:&quot;Modern slavery and the Global Reporting Initiative – A bridge too far?&quot;,&quot;author&quot;:[{&quot;family&quot;:&quot;Burritt&quot;,&quot;given&quot;:&quot;Roger Leonard&quot;,&quot;parse-names&quot;:false,&quot;dropping-particle&quot;:&quot;&quot;,&quot;non-dropping-particle&quot;:&quot;&quot;},{&quot;family&quot;:&quot;Christ&quot;,&quot;given&quot;:&quot;Katherine Leanne&quot;,&quot;parse-names&quot;:false,&quot;dropping-particle&quot;:&quot;&quot;,&quot;non-dropping-particle&quot;:&quot;&quot;}],&quot;container-title&quot;:&quot;Business Strategy &amp; Development&quot;,&quot;DOI&quot;:&quot;10.1002/bsd2.239&quot;,&quot;ISSN&quot;:&quot;2572-3170&quot;,&quot;URL&quot;:&quot;https://onlinelibrary.wiley.com/doi/10.1002/bsd2.239&quot;,&quot;issued&quot;:{&quot;date-parts&quot;:[[2023,3,11]]},&quot;container-title-short&quot;:&quot;&quot;},&quot;isTemporary&quot;:false}],&quot;citationTag&quot;:&quot;MENDELEY_CITATION_v3_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&quot;},{&quot;citationID&quot;:&quot;MENDELEY_CITATION_a63b9b5b-2962-4384-9967-c73fee0969e0&quot;,&quot;properties&quot;:{&quot;noteIndex&quot;:0},&quot;isEdited&quot;:false,&quot;manualOverride&quot;:{&quot;isManuallyOverridden&quot;:true,&quot;citeprocText&quot;:&quot;(European Parliament, 2018)&quot;,&quot;manualOverrideText&quot;:&quot;(European Parliament, 2018, p. 50)&quot;},&quot;citationItems&quot;:[{&quot;id&quot;:&quot;acd0e3f0-12fe-3ad7-a8d9-51e4d2a6a838&quot;,&quot;itemData&quot;:{&quot;type&quot;:&quot;legislation&quot;,&quot;id&quot;:&quot;acd0e3f0-12fe-3ad7-a8d9-51e4d2a6a838&quot;,&quot;title&quot;:&quot;Contemporary forms of slavery Policy Department for External Relations&quot;,&quot;author&quot;:[{&quot;family&quot;:&quot;European Parliament&quot;,&quot;given&quot;:&quot;&quot;,&quot;parse-names&quot;:false,&quot;dropping-particle&quot;:&quot;&quot;,&quot;non-dropping-particle&quot;:&quot;&quot;}],&quot;accessed&quot;:{&quot;date-parts&quot;:[[2023,3,17]]},&quot;DOI&quot;:&quot;10.2861/976594&quot;,&quot;ISBN&quot;:&quot;9789284644346&quot;,&quot;URL&quot;:&quot;https://www.europarl.europa.eu/RegData/etudes/STUD/2018/603470/EXPO_STU(2018)603470_EN.pdf&quot;,&quot;issued&quot;:{&quot;date-parts&quot;:[[2018]]},&quot;page&quot;:&quot;1-70&quot;,&quot;container-title-short&quot;:&quot;&quot;},&quot;isTemporary&quot;:false}],&quot;citationTag&quot;:&quot;MENDELEY_CITATION_v3_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&quot;},{&quot;citationID&quot;:&quot;MENDELEY_CITATION_bc0b7fc9-7d6c-4f54-afa9-ac36524a9f42&quot;,&quot;properties&quot;:{&quot;noteIndex&quot;:0},&quot;isEdited&quot;:false,&quot;manualOverride&quot;:{&quot;isManuallyOverridden&quot;:true,&quot;citeprocText&quot;:&quot;(Stevenson and Cole, 2018b)&quot;,&quot;manualOverrideText&quot;:&quot;Stevenson and Cole (2018) &quot;},&quot;citationItems&quot;:[{&quot;id&quot;:&quot;abf659b4-82f4-3641-9737-9f0d622b58b0&quot;,&quot;itemData&quot;:{&quot;type&quot;:&quot;article-journal&quot;,&quot;id&quot;:&quot;abf659b4-82f4-3641-9737-9f0d622b58b0&quot;,&quot;title&quot;:&quot;Modern slavery in supply chains: a secondary data analysis of detection, remediation and disclosure&quot;,&quot;author&quot;:[{&quot;family&quot;:&quot;Stevenson&quot;,&quot;given&quot;:&quot;Mark&quot;,&quot;parse-names&quot;:false,&quot;dropping-particle&quot;:&quot;&quot;,&quot;non-dropping-particle&quot;:&quot;&quot;},{&quot;family&quot;:&quot;Cole&quot;,&quot;given&quot;:&quot;Rosanna&quot;,&quot;parse-names&quot;:false,&quot;dropping-particle&quot;:&quot;&quot;,&quot;non-dropping-particle&quot;:&quot;&quot;}],&quot;container-title&quot;:&quot;Supply Chain Management: An International Journal.&quot;,&quot;accessed&quot;:{&quot;date-parts&quot;:[[2023,3,15]]},&quot;DOI&quot;:&quot;10.1108/SCM-11-2017-0382&quot;,&quot;URL&quot;:&quot;www.emeraldinsight.com/1359-8546.htm&quot;,&quot;issued&quot;:{&quot;date-parts&quot;:[[2018]]},&quot;page&quot;:&quot;81-99&quot;,&quot;abstract&quot;:&quot;Purpose-The purpose of this study is to examine how organisations report on the detection and remediation of modern slavery in their operations and supply chains and to understand their approaches to disclosing information in response to modern slavery legislation. Design/methodology/approach-An analysis of secondary data based on the statements is released in response to the 2015 UK Modern Slavery Act by 101 firms in the clothing and textiles sector. Findings-Many firms use the same practices to detect and remediate modern slavery as for other social issues. But the hidden, criminal nature of modern slavery and the involvement of third party labour agencies mean practices need to either be tailored or other more innovative approaches developed, including in collaboration with traditional and non-traditional actors. Although five broad types of disclosure are identified, there is substantial heterogeneity in the statements. It is posited however that firms will converge on a more homogenous set of responses over time. Research limitations/implications-The study is limited to one industry, responses to UK legislation and the information disclosed by focal firms only. Future research could expand the focus to include other industries, country contexts and stakeholders. Practical implications-Managers must consider how their own firm's behaviour contributes to the modern slavery threat, regulates both their stock and non-stock supply chains and ensures modern slavery is elevated from the procurement function to the boardroom. In making disclosures, managers may trade-off the potential competitive gains of transparency against the threat of information leakage and reputational risk should their statements be falsified. The managers should also consider what signals their statements send back up the chain to (sub-)suppliers. Findings also have potential policy implications. Originality/value-The study expands the authors' understanding of: modern slavery from a supply chain perspective, e.g. identifying the importance of standard setting and risk avoidance; and, supply chain information disclosure in response to legislative demands. This is the first academic paper to examine the statements produced by organisations in response to the UK Modern Slavery Act.&quot;,&quot;issue&quot;:&quot;2&quot;,&quot;volume&quot;:&quot;23&quot;,&quot;container-title-short&quot;:&quot;&quot;},&quot;isTemporary&quot;:false}],&quot;citationTag&quot;:&quot;MENDELEY_CITATION_v3_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&quot;},{&quot;citationID&quot;:&quot;MENDELEY_CITATION_9db9d96e-cd3a-42bc-aee5-9a0608ba68cf&quot;,&quot;properties&quot;:{&quot;noteIndex&quot;:0},&quot;isEdited&quot;:false,&quot;manualOverride&quot;:{&quot;isManuallyOverridden&quot;:false,&quot;citeprocText&quot;:&quot;(PWC, 2023)&quot;,&quot;manualOverrideText&quot;:&quot;&quot;},&quot;citationItems&quot;:[{&quot;id&quot;:&quot;76616b2c-431c-3532-a8a4-ecbbce741a9b&quot;,&quot;itemData&quot;:{&quot;type&quot;:&quot;webpage&quot;,&quot;id&quot;:&quot;76616b2c-431c-3532-a8a4-ecbbce741a9b&quot;,&quot;title&quot;:&quot;The regulatory and legal implications of Canada’s Modern Slavery Act | PwC Canada&quot;,&quot;author&quot;:[{&quot;family&quot;:&quot;PWC&quot;,&quot;given&quot;:&quot;&quot;,&quot;parse-names&quot;:false,&quot;dropping-particle&quot;:&quot;&quot;,&quot;non-dropping-particle&quot;:&quot;&quot;}],&quot;accessed&quot;:{&quot;date-parts&quot;:[[2023,5,7]]},&quot;URL&quot;:&quot;https://www.pwc.com/ca/en/today-s-issues/compliance-transformed/modern-slavery-reporting-requirements/legal-implications-of-canadas-modern-slavery-act.html&quot;,&quot;issued&quot;:{&quot;date-parts&quot;:[[2023,5,6]]},&quot;container-title-short&quot;:&quot;&quot;},&quot;isTemporary&quot;:false}],&quot;citationTag&quot;:&quot;MENDELEY_CITATION_v3_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&quot;},{&quot;citationID&quot;:&quot;MENDELEY_CITATION_2ad75ec5-93c0-4f24-9ad3-793039b493ab&quot;,&quot;properties&quot;:{&quot;noteIndex&quot;:0},&quot;isEdited&quot;:false,&quot;manualOverride&quot;:{&quot;isManuallyOverridden&quot;:false,&quot;citeprocText&quot;:&quot;(PWC, 2023)&quot;,&quot;manualOverrideText&quot;:&quot;&quot;},&quot;citationItems&quot;:[{&quot;id&quot;:&quot;76616b2c-431c-3532-a8a4-ecbbce741a9b&quot;,&quot;itemData&quot;:{&quot;type&quot;:&quot;webpage&quot;,&quot;id&quot;:&quot;76616b2c-431c-3532-a8a4-ecbbce741a9b&quot;,&quot;title&quot;:&quot;The regulatory and legal implications of Canada’s Modern Slavery Act | PwC Canada&quot;,&quot;author&quot;:[{&quot;family&quot;:&quot;PWC&quot;,&quot;given&quot;:&quot;&quot;,&quot;parse-names&quot;:false,&quot;dropping-particle&quot;:&quot;&quot;,&quot;non-dropping-particle&quot;:&quot;&quot;}],&quot;accessed&quot;:{&quot;date-parts&quot;:[[2023,5,7]]},&quot;URL&quot;:&quot;https://www.pwc.com/ca/en/today-s-issues/compliance-transformed/modern-slavery-reporting-requirements/legal-implications-of-canadas-modern-slavery-act.html&quot;,&quot;issued&quot;:{&quot;date-parts&quot;:[[2023,5,6]]},&quot;container-title-short&quot;:&quot;&quot;},&quot;isTemporary&quot;:false}],&quot;citationTag&quot;:&quot;MENDELEY_CITATION_v3_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&quot;},{&quot;citationID&quot;:&quot;MENDELEY_CITATION_7571dc3c-4cd8-4c0a-a5b7-ac158e1f5908&quot;,&quot;properties&quot;:{&quot;noteIndex&quot;:0},&quot;isEdited&quot;:false,&quot;manualOverride&quot;:{&quot;isManuallyOverridden&quot;:false,&quot;citeprocText&quot;:&quot;(Christ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NzU3MWRjM2MtNGNkOC00YzBhLWE1YjctYWMxNThlMWY1OTA4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quot;},{&quot;citationID&quot;:&quot;MENDELEY_CITATION_7e42a560-46f8-4616-ad8a-047a2186e5bc&quot;,&quot;properties&quot;:{&quot;noteIndex&quot;:0},&quot;isEdited&quot;:false,&quot;manualOverride&quot;:{&quot;isManuallyOverridden&quot;:false,&quot;citeprocText&quot;:&quot;(Christ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N2U0MmE1NjAtNDZmOC00NjE2LWFkOGEtMDQ3YTIxODZlNWJj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quot;},{&quot;citationID&quot;:&quot;MENDELEY_CITATION_9a749988-ccfa-47ec-a52f-0b65c271814e&quot;,&quot;properties&quot;:{&quot;noteIndex&quot;:0},&quot;isEdited&quot;:false,&quot;manualOverride&quot;:{&quot;isManuallyOverridden&quot;:false,&quot;citeprocText&quot;:&quot;(HM Government, 2020, 2021)&quot;,&quot;manualOverrideText&quot;:&quot;&quot;},&quot;citationItems&quot;:[{&quot;id&quot;:&quot;4db539bd-bc08-37c7-bd44-b657ec163316&quot;,&quot;itemData&quot;:{&quot;type&quot;:&quot;report&quot;,&quot;id&quot;:&quot;4db539bd-bc08-37c7-bd44-b657ec163316&quot;,&quot;title&quot;:&quot;UK government modern slavery statement&quot;,&quot;author&quot;:[{&quot;family&quot;:&quot;HM Government&quot;,&quot;given&quot;:&quot;&quot;,&quot;parse-names&quot;:false,&quot;dropping-particle&quot;:&quot;&quot;,&quot;non-dropping-particle&quot;:&quot;&quot;}],&quot;accessed&quot;:{&quot;date-parts&quot;:[[2022,9,24]]},&quot;issued&quot;:{&quot;date-parts&quot;:[[2020]]},&quot;number-of-pages&quot;:&quot;1-30&quot;,&quot;container-title-short&quot;:&quot;&quot;},&quot;isTemporary&quot;:false},{&quot;id&quot;:&quot;d102609e-5d8a-3903-b09e-56c415934b0c&quot;,&quot;itemData&quot;:{&quot;type&quot;:&quot;webpage&quot;,&quot;id&quot;:&quot;d102609e-5d8a-3903-b09e-56c415934b0c&quot;,&quot;title&quot;:&quot;Transparency in supply chains: a practical guide&quot;,&quot;author&quot;:[{&quot;family&quot;:&quot;HM Government&quot;,&quot;given&quot;:&quot;&quot;,&quot;parse-names&quot;:false,&quot;dropping-particle&quot;:&quot;&quot;,&quot;non-dropping-particle&quot;:&quot;&quot;}],&quot;container-title&quot;:&quot;London&quot;,&quot;accessed&quot;:{&quot;date-parts&quot;:[[2022,9,24]]},&quot;URL&quot;:&quot;https://www.gov.uk/government/publications/transparency-in-supply-chains-a-practical-guide/transparency-in-supply-chains-a-practical-guide&quot;,&quot;issued&quot;:{&quot;date-parts&quot;:[[2021]]},&quot;container-title-short&quot;:&quot;&quot;},&quot;isTemporary&quot;:false}],&quot;citationTag&quot;:&quot;MENDELEY_CITATION_v3_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&quot;},{&quot;citationID&quot;:&quot;MENDELEY_CITATION_74b7ee47-843b-4fb4-a557-b3eaa5d5cd11&quot;,&quot;properties&quot;:{&quot;noteIndex&quot;:0},&quot;isEdited&quot;:false,&quot;manualOverride&quot;:{&quot;isManuallyOverridden&quot;:false,&quot;citeprocText&quot;:&quot;(Christ &lt;i&gt;et al.&lt;/i&gt;, 2019; Crane, 2013)&quot;,&quot;manualOverrideText&quot;:&quot;&quot;},&quot;citationItems&quot;:[{&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container-title-short&quot;:&quot;Manage Rev&quot;},&quot;isTemporary&quot;:false},{&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citationTag&quot;:&quot;MENDELEY_CITATION_v3_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quot;},{&quot;citationID&quot;:&quot;MENDELEY_CITATION_c1ca84d6-8e7f-432f-9db7-f4078660c2cf&quot;,&quot;properties&quot;:{&quot;noteIndex&quot;:0},&quot;isEdited&quot;:false,&quot;manualOverride&quot;:{&quot;isManuallyOverridden&quot;:true,&quot;citeprocText&quot;:&quot;(Pickles and Zhu, 2013)&quot;,&quot;manualOverrideText&quot;:&quot;(Pickles and Zhu, 2013).&quot;},&quot;citationItems&quot;:[{&quot;id&quot;:&quot;670565fb-2410-3ca7-9ba9-7d057abc3a11&quot;,&quot;itemData&quot;:{&quot;type&quot;:&quot;report&quot;,&quot;id&quot;:&quot;670565fb-2410-3ca7-9ba9-7d057abc3a11&quot;,&quot;title&quot;:&quot;economic and social upgrading in global production networks The California Transparency in Supply Chains Act&quot;,&quot;author&quot;:[{&quot;family&quot;:&quot;Pickles&quot;,&quot;given&quot;:&quot;John&quot;,&quot;parse-names&quot;:false,&quot;dropping-particle&quot;:&quot;&quot;,&quot;non-dropping-particle&quot;:&quot;&quot;},{&quot;family&quot;:&quot;Zhu&quot;,&quot;given&quot;:&quot;Shengjun&quot;,&quot;parse-names&quot;:false,&quot;dropping-particle&quot;:&quot;&quot;,&quot;non-dropping-particle&quot;:&quot;&quot;}],&quot;accessed&quot;:{&quot;date-parts&quot;:[[2023,1,19]]},&quot;ISBN&quot;:&quot;978-1-907247-85-9&quot;,&quot;issued&quot;:{&quot;date-parts&quot;:[[2013,2]]},&quot;publisher-place&quot;:&quot;Manchester&quot;,&quot;number-of-pages&quot;:&quot;1-12&quot;,&quot;container-title-short&quot;:&quot;&quot;},&quot;isTemporary&quot;:false}],&quot;citationTag&quot;:&quot;MENDELEY_CITATION_v3_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&quot;},{&quot;citationID&quot;:&quot;MENDELEY_CITATION_ebdbd7ec-2319-430a-8c32-1681fa1ae432&quot;,&quot;properties&quot;:{&quot;noteIndex&quot;:0},&quot;isEdited&quot;:false,&quot;manualOverride&quot;:{&quot;isManuallyOverridden&quot;:false,&quot;citeprocText&quot;:&quot;(Christ and Burritt, 2021; FRC, 2022)&quot;,&quot;manualOverrideText&quot;:&quot;&quot;},&quot;citationItems&quot;:[{&quot;id&quot;:&quot;add0a007-c6de-33e5-9c85-92241358b87f&quot;,&quot;itemData&quot;:{&quot;type&quot;:&quot;report&quot;,&quot;id&quot;:&quot;add0a007-c6de-33e5-9c85-92241358b87f&quot;,&quot;title&quot;:&quot;Research Team The Pentland Centre for Sustainability in Business&quot;,&quot;author&quot;:[{&quot;family&quot;:&quot;FRC&quot;,&quot;given&quot;:&quot;&quot;,&quot;parse-names&quot;:false,&quot;dropping-particle&quot;:&quot;&quot;,&quot;non-dropping-particle&quot;:&quot;&quot;}],&quot;accessed&quot;:{&quot;date-parts&quot;:[[2023,1,26]]},&quot;URL&quot;:&quot;https://www.frc.org.uk/getattachment/77c053d9-fe30-42c6-8236-d9821c8a1e2b/FRC-Modern-Slavery-Reporting-Practices-in-the-UK-2022.pdf&quot;,&quot;issued&quot;:{&quot;date-parts&quot;:[[2022]]},&quot;number-of-pages&quot;:&quot;1-28&quot;,&quot;container-title-short&quot;:&quot;&quot;},&quot;isTemporary&quot;:false},{&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&quot;},{&quot;citationID&quot;:&quot;MENDELEY_CITATION_3a6091b5-1f16-4173-9400-a0c342d9c64d&quot;,&quot;properties&quot;:{&quot;noteIndex&quot;:0},&quot;isEdited&quot;:false,&quot;manualOverride&quot;:{&quot;isManuallyOverridden&quot;:true,&quot;citeprocText&quot;:&quot;(Business &amp;#38; Human rights Resource centre, 2023)&quot;,&quot;manualOverrideText&quot;:&quot;, 202&quot;},&quot;citationItems&quot;:[{&quot;id&quot;:&quot;897d3b96-1ab9-3428-be72-f06a3ab21c21&quot;,&quot;itemData&quot;:{&quot;type&quot;:&quot;webpage&quot;,&quot;id&quot;:&quot;897d3b96-1ab9-3428-be72-f06a3ab21c21&quot;,&quot;title&quot;:&quot;Labour Rights - Business &amp; Human Rights Resource Centre&quot;,&quot;author&quot;:[{&quot;family&quot;:&quot;Business &amp; Human rights Resource centre&quot;,&quot;given&quot;:&quot;&quot;,&quot;parse-names&quot;:false,&quot;dropping-particle&quot;:&quot;&quot;,&quot;non-dropping-particle&quot;:&quot;&quot;}],&quot;accessed&quot;:{&quot;date-parts&quot;:[[2023,1,23]]},&quot;URL&quot;:&quot;https://www.business-humanrights.org/en/big-issues/labour-rights/&quot;,&quot;issued&quot;:{&quot;date-parts&quot;:[[2023,1,23]]},&quot;container-title-short&quot;:&quot;&quot;},&quot;isTemporary&quot;:false}],&quot;citationTag&quot;:&quot;MENDELEY_CITATION_v3_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&quot;},{&quot;citationID&quot;:&quot;MENDELEY_CITATION_c8cf830f-b1fd-4a64-bc01-c3f6f7247754&quot;,&quot;properties&quot;:{&quot;noteIndex&quot;:0},&quot;isEdited&quot;:false,&quot;manualOverride&quot;:{&quot;isManuallyOverridden&quot;:true,&quot;citeprocText&quot;:&quot;(Business &amp;#38; Human rights Resource Centre, 2020)&quot;,&quot;manualOverrideText&quot;:&quot;(BHRRC, 202&quot;},&quot;citationItems&quot;:[{&quot;id&quot;:&quot;c9cbc644-43a6-3729-abb8-a9e73e610d79&quot;,&quot;itemData&quot;:{&quot;type&quot;:&quot;webpage&quot;,&quot;id&quot;:&quot;c9cbc644-43a6-3729-abb8-a9e73e610d79&quot;,&quot;title&quot;:&quot;KnowTheChain: Ranking companies' efforts to address forced labour in their supply chains - Business &amp; Human Rights Resource Centre&quot;,&quot;author&quot;:[{&quot;family&quot;:&quot;Business &amp; Human rights Resource Centre&quot;,&quot;given&quot;:&quot;&quot;,&quot;parse-names&quot;:false,&quot;dropping-particle&quot;:&quot;&quot;,&quot;non-dropping-particle&quot;:&quot;&quot;}],&quot;accessed&quot;:{&quot;date-parts&quot;:[[2023,1,23]]},&quot;URL&quot;:&quot;https://www.business-humanrights.org/en/latest-news/knowthechain-ranking-companies-efforts-to-address-forced-labour-in-their-supply-chains/&quot;,&quot;issued&quot;:{&quot;date-parts&quot;:[[2020,6,9]]},&quot;container-title-short&quot;:&quot;&quot;},&quot;isTemporary&quot;:false}],&quot;citationTag&quot;:&quot;MENDELEY_CITATION_v3_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&quot;},{&quot;citationID&quot;:&quot;MENDELEY_CITATION_c1de8df8-cf22-41ee-82de-2094688d6a8f&quot;,&quot;properties&quot;:{&quot;noteIndex&quot;:0},&quot;isEdited&quot;:false,&quot;manualOverride&quot;:{&quot;isManuallyOverridden&quot;:true,&quot;citeprocText&quot;:&quot;(Business &amp;#38; Human rights Resource Centre, 2020)&quot;,&quot;manualOverrideText&quot;:&quot;(BHRRC, 202&quot;},&quot;citationItems&quot;:[{&quot;id&quot;:&quot;c9cbc644-43a6-3729-abb8-a9e73e610d79&quot;,&quot;itemData&quot;:{&quot;type&quot;:&quot;webpage&quot;,&quot;id&quot;:&quot;c9cbc644-43a6-3729-abb8-a9e73e610d79&quot;,&quot;title&quot;:&quot;KnowTheChain: Ranking companies' efforts to address forced labour in their supply chains - Business &amp; Human Rights Resource Centre&quot;,&quot;author&quot;:[{&quot;family&quot;:&quot;Business &amp; Human rights Resource Centre&quot;,&quot;given&quot;:&quot;&quot;,&quot;parse-names&quot;:false,&quot;dropping-particle&quot;:&quot;&quot;,&quot;non-dropping-particle&quot;:&quot;&quot;}],&quot;accessed&quot;:{&quot;date-parts&quot;:[[2023,1,23]]},&quot;URL&quot;:&quot;https://www.business-humanrights.org/en/latest-news/knowthechain-ranking-companies-efforts-to-address-forced-labour-in-their-supply-chains/&quot;,&quot;issued&quot;:{&quot;date-parts&quot;:[[2020,6,9]]},&quot;container-title-short&quot;:&quot;&quot;},&quot;isTemporary&quot;:false}],&quot;citationTag&quot;:&quot;MENDELEY_CITATION_v3_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&quot;},{&quot;citationID&quot;:&quot;MENDELEY_CITATION_c64dba4e-1a1a-443b-b55d-c8a2d011acc6&quot;,&quot;properties&quot;:{&quot;noteIndex&quot;:0},&quot;isEdited&quot;:false,&quot;manualOverride&quot;:{&quot;isManuallyOverridden&quot;:true,&quot;citeprocText&quot;:&quot;(Business &amp;#38; Human Rights Resource Centre, 2021)&quot;,&quot;manualOverrideText&quot;:&quot;, 2021)&quot;},&quot;citationItems&quot;:[{&quot;id&quot;:&quot;8d37fcc7-d06b-3d9d-a813-35e6220ddfc9&quot;,&quot;itemData&quot;:{&quot;type&quot;:&quot;webpage&quot;,&quot;id&quot;:&quot;8d37fcc7-d06b-3d9d-a813-35e6220ddfc9&quot;,&quot;title&quot;:&quot;KnowTheChain: Ranking of 37 apparel and footwear companies on efforts to address forced labour in supply chains - Business &amp; Human Rights Resource Centre&quot;,&quot;author&quot;:[{&quot;family&quot;:&quot;Business &amp; Human rights resource centre&quot;,&quot;given&quot;:&quot;&quot;,&quot;parse-names&quot;:false,&quot;dropping-particle&quot;:&quot;&quot;,&quot;non-dropping-particle&quot;:&quot;&quot;}],&quot;accessed&quot;:{&quot;date-parts&quot;:[[2023,1,23]]},&quot;URL&quot;:&quot;https://www.business-humanrights.org/en/latest-news/knowthechain-ranking-of-37-apparel-and-footwear-companies-on-efforts-to-address-forced-labour-in-supply-chains/&quot;,&quot;issued&quot;:{&quot;date-parts&quot;:[[2021,5,26]]},&quot;container-title-short&quot;:&quot;&quot;},&quot;isTemporary&quot;:false}],&quot;citationTag&quot;:&quot;MENDELEY_CITATION_v3_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&quot;},{&quot;citationID&quot;:&quot;MENDELEY_CITATION_3710f319-a210-4ea4-ae3c-fd710484a12d&quot;,&quot;properties&quot;:{&quot;noteIndex&quot;:0},&quot;isEdited&quot;:false,&quot;manualOverride&quot;:{&quot;isManuallyOverridden&quot;:true,&quot;citeprocText&quot;:&quot;(Global Reporting Initiative (GRI) and Responsible Labour Initiative (RLI), 2019; GRI, 2022; De Villiers &lt;i&gt;et al.&lt;/i&gt;, 2022)&quot;,&quot;manualOverrideText&quot;:&quot;de Villiers, la Torre and Molinari, 2022; GRI, 2022)&quot;},&quot;citationItems&quot;:[{&quot;id&quot;:&quot;246e397c-cb95-343a-a74c-83e48d3821fc&quot;,&quot;itemData&quot;:{&quot;type&quot;:&quot;report&quot;,&quot;id&quot;:&quot;246e397c-cb95-343a-a74c-83e48d3821fc&quot;,&quot;title&quot;:&quot;The GRI perspective: Better human rights reporting-needed now, but how?&quot;,&quot;author&quot;:[{&quot;family&quot;:&quot;GRI&quot;,&quot;given&quot;:&quot;&quot;,&quot;parse-names&quot;:false,&quot;dropping-particle&quot;:&quot;&quot;,&quot;non-dropping-particle&quot;:&quot;&quot;}],&quot;issued&quot;:{&quot;date-parts&quot;:[[2022,5,4]]},&quot;number-of-pages&quot;:&quot;1-4&quot;,&quot;abstract&quot;:&quot;The recently released 2021 Workforce Disclosure Initiative (WDI) report warns of an incomplete picture being provided to investors. The major issue? Human rights. This annual survey found almost half of firms had not implemented the measures needed to adequately handle and reduce human rights risks, including recourses to remedies and grievance mechanisms. The WDI survey is supported by a 66-strong investor coalition with over $10 trillion under management. Why? Because the more information available, the better job investors can do in working with companies to create value for both shareholders and society. This is about putting into action Larry's Fink of BlackRock's recent comments, that \&quot;access to capital is not a right. It is a privilege\&quot;. As acknowledged by shareholders, many of the questions investors ask of companies about their social and human rights practices could be dealt with by enhanced reporting. The only credible standards for organizations to effectively report on human rights impacts are the GRI Standards. The updated Universal Standards have incorporated human rights into the core of reporting requirements.&quot;,&quot;container-title-short&quot;:&quot;&quot;},&quot;isTemporary&quot;:false},{&quot;id&quot;:&quot;6965598b-b91e-35d7-8c91-0351a9535c4a&quot;,&quot;itemData&quot;:{&quot;type&quot;:&quot;report&quot;,&quot;id&quot;:&quot;6965598b-b91e-35d7-8c91-0351a9535c4a&quot;,&quot;title&quot;:&quot;Advancing modern slavery reporting to meet stakeholder expectations&quot;,&quot;author&quot;:[{&quot;family&quot;:&quot;Global Reporting Initiative (GRI)&quot;,&quot;given&quot;:&quot;&quot;,&quot;parse-names&quot;:false,&quot;dropping-particle&quot;:&quot;&quot;,&quot;non-dropping-particle&quot;:&quot;&quot;},{&quot;family&quot;:&quot;Responsible Labour Initiative (RLI)&quot;,&quot;given&quot;:&quot;&quot;,&quot;parse-names&quot;:false,&quot;dropping-particle&quot;:&quot;&quot;,&quot;non-dropping-particle&quot;:&quot;&quot;}],&quot;issued&quot;:{&quot;date-parts&quot;:[[2019]]},&quot;number-of-pages&quot;:&quot;1-36&quot;,&quot;container-title-short&quot;:&quot;&quot;},&quot;isTemporary&quot;:false},{&quot;id&quot;:&quot;013b03e2-d351-3297-942a-71884d904379&quot;,&quot;itemData&quot;:{&quot;type&quot;:&quot;article-journal&quot;,&quot;id&quot;:&quot;013b03e2-d351-3297-942a-71884d904379&quot;,&quot;title&quot;:&quot;The Global Reporting Initiative’s (GRI) past, present and future: critical reflections and a research agenda on sustainability reporting (standard-setting)&quot;,&quot;author&quot;:[{&quot;family&quot;:&quot;Villiers&quot;,&quot;given&quot;:&quot;Charl&quot;,&quot;parse-names&quot;:false,&quot;dropping-particle&quot;:&quot;&quot;,&quot;non-dropping-particle&quot;:&quot;De&quot;},{&quot;family&quot;:&quot;Torre&quot;,&quot;given&quot;:&quot;Matteo&quot;,&quot;parse-names&quot;:false,&quot;dropping-particle&quot;:&quot;&quot;,&quot;non-dropping-particle&quot;:&quot;La&quot;},{&quot;family&quot;:&quot;Molinari&quot;,&quot;given&quot;:&quot;Matteo&quot;,&quot;parse-names&quot;:false,&quot;dropping-particle&quot;:&quot;&quot;,&quot;non-dropping-particle&quot;:&quot;&quot;}],&quot;container-title&quot;:&quot;Pacific Accounting Review&quot;,&quot;ISSN&quot;:&quot;0114-0582&quot;,&quot;issued&quot;:{&quot;date-parts&quot;:[[2022,5,20]]},&quot;abstract&quot;:&quot;This paper aims to reflect on the future of sustainability reporting standards by examining the current practical initiatives and the Global Reporting Initiative’s (GRI) position in the arena of non-financial and sustainability reporting and identifies avenues for future research.,A critical reflection and analysis of research on the GRI’s achievements and the influence of the International Financial Reporting Standards (IFRS) Foundation’s initiative to develop global sustainability reporting standards.,The GRI has a dominant position in sustainability reporting standard-setting related to the provision of information about the influence of reporting organisations on society and the natural environment. The IFRS Foundation’s initiative to enter the sustainability reporting standard-setting arena, although from the perspective of providing information to investors regarding the influence of society and the environment on the reporting organisation, is an attempt to solidify its own position as the reporting standard setter of choice, not only for financial reporting but for all reporting standards. However, despite its aim to differentiate its role from the GRI by leveraging the financial-oriented ideological side of double materiality, we argue that the IFRS is unlikely to harm the GRI’s global position in producing multi-stakeholder standards for sustainability reporting and accountability. This differentiated position is facilitated by the different sources of legitimacy the GRI and IFRS rely on.,The paper identifies future research opportunities.,Due to the recent initiatives for creating new sustainability reporting standard-setters, to the best of the authors’ knowledge, this paper offers one of the first critical reflections on the past and the likely future of the GRI and its sustainability reporting standards. The paper also identifies several new avenues for future research.&quot;,&quot;publisher&quot;:&quot;Emerald&quot;,&quot;container-title-short&quot;:&quot;&quot;},&quot;isTemporary&quot;:false}],&quot;citationTag&quot;:&quot;MENDELEY_CITATION_v3_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&quot;},{&quot;citationID&quot;:&quot;MENDELEY_CITATION_183e07b4-ecaf-4296-b823-e1491f50755e&quot;,&quot;properties&quot;:{&quot;noteIndex&quot;:0},&quot;isEdited&quot;:false,&quot;manualOverride&quot;:{&quot;isManuallyOverridden&quot;:true,&quot;citeprocText&quot;:&quot;(FRC, 2022)&quot;,&quot;manualOverrideText&quot;:&quot;FRC (2022)&quot;},&quot;citationItems&quot;:[{&quot;id&quot;:&quot;add0a007-c6de-33e5-9c85-92241358b87f&quot;,&quot;itemData&quot;:{&quot;type&quot;:&quot;report&quot;,&quot;id&quot;:&quot;add0a007-c6de-33e5-9c85-92241358b87f&quot;,&quot;title&quot;:&quot;Research Team The Pentland Centre for Sustainability in Business&quot;,&quot;author&quot;:[{&quot;family&quot;:&quot;FRC&quot;,&quot;given&quot;:&quot;&quot;,&quot;parse-names&quot;:false,&quot;dropping-particle&quot;:&quot;&quot;,&quot;non-dropping-particle&quot;:&quot;&quot;}],&quot;accessed&quot;:{&quot;date-parts&quot;:[[2023,1,26]]},&quot;URL&quot;:&quot;https://www.frc.org.uk/getattachment/77c053d9-fe30-42c6-8236-d9821c8a1e2b/FRC-Modern-Slavery-Reporting-Practices-in-the-UK-2022.pdf&quot;,&quot;issued&quot;:{&quot;date-parts&quot;:[[2022]]},&quot;number-of-pages&quot;:&quot;1-28&quot;,&quot;container-title-short&quot;:&quot;&quot;},&quot;isTemporary&quot;:false}],&quot;citationTag&quot;:&quot;MENDELEY_CITATION_v3_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&quot;},{&quot;citationID&quot;:&quot;MENDELEY_CITATION_6fe3929b-eb6a-488e-963b-2d5db4ad61d5&quot;,&quot;properties&quot;:{&quot;noteIndex&quot;:0},&quot;isEdited&quot;:false,&quot;manualOverride&quot;:{&quot;isManuallyOverridden&quot;:false,&quot;citeprocText&quot;:&quot;(Christ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NmZlMzkyOWItZWI2YS00ODhlLTk2M2ItMmQ1ZGI0YWQ2MWQ1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quot;},{&quot;citationID&quot;:&quot;MENDELEY_CITATION_3cc532c7-8c58-480d-88fc-dc5650a2151b&quot;,&quot;properties&quot;:{&quot;noteIndex&quot;:0},&quot;isEdited&quot;:false,&quot;manualOverride&quot;:{&quot;isManuallyOverridden&quot;:false,&quot;citeprocText&quot;:&quot;(Cairns, 2000; Christ &lt;i&gt;et al.&lt;/i&gt;, 2019)&quot;,&quot;manualOverrideText&quot;:&quot;&quot;},&quot;citationItems&quot;:[{&quot;id&quot;:&quot;65e0ff1e-4c1d-33ab-8ec2-3419e90f7337&quot;,&quot;itemData&quot;:{&quot;type&quot;:&quot;article-journal&quot;,&quot;id&quot;:&quot;65e0ff1e-4c1d-33ab-8ec2-3419e90f7337&quot;,&quot;title&quot;:&quot;Sustainability accounting and green accounting&quot;,&quot;author&quot;:[{&quot;family&quot;:&quot;Cairns&quot;,&quot;given&quot;:&quot;Robert D.&quot;,&quot;parse-names&quot;:false,&quot;dropping-particle&quot;:&quot;&quot;,&quot;non-dropping-particle&quot;:&quot;&quot;}],&quot;container-title&quot;:&quot;Environment and Development Economics&quot;,&quot;container-title-short&quot;:&quot;Environ Dev Econ&quot;,&quot;ISSN&quot;:&quot;1355770X&quot;,&quot;issued&quot;:{&quot;date-parts&quot;:[[2000]]},&quot;page&quot;:&quot;49-54&quot;,&quot;abstract&quot;:&quot;Theoretical issues arising in maximin and utilitarian programs are considered in order to shed light on the merits of various concepts of income and types of environmental accounting as guides for environmental policy. The accounting prices for sustaining an economy obey Hartwick's rule but are inconsistent with the principles of national accounting. Moreover, they would be formidably difficult to calculate. Green net national product is an approximate index of welfare in a utilitarian economy which maximises future discounted utility flows. These conclusions hold even if underlying conditions are non-autonomous.&quot;,&quot;publisher&quot;:&quot;Cambridge University Press&quot;,&quot;issue&quot;:&quot;1-2&quot;,&quot;volume&quot;:&quot;5&quot;},&quot;isTemporary&quot;:false},{&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citationTag&quot;:&quot;MENDELEY_CITATION_v3_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quot;},{&quot;citationID&quot;:&quot;MENDELEY_CITATION_b2991424-a5c0-4aa1-aaa9-58ebed714930&quot;,&quot;properties&quot;:{&quot;noteIndex&quot;:0},&quot;isEdited&quot;:false,&quot;manualOverride&quot;:{&quot;isManuallyOverridden&quot;:false,&quot;citeprocText&quot;:&quot;(Christ and Burritt, 2021)&quot;,&quot;manualOverrideText&quot;:&quot;&quot;},&quot;citationItems&quot;:[{&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YjI5OTE0MjQtYTVjMC00YWExLWFhYTktNThlYmVkNzE0OTMw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quot;},{&quot;citationID&quot;:&quot;MENDELEY_CITATION_3702587c-63ce-4445-9255-888c0c241b7e&quot;,&quot;properties&quot;:{&quot;noteIndex&quot;:0},&quot;isEdited&quot;:false,&quot;manualOverride&quot;:{&quot;isManuallyOverridden&quot;:true,&quot;citeprocText&quot;:&quot;(Kolk and Perego, 2010)&quot;,&quot;manualOverrideText&quot;:&quot;(Kolk and Perego)&quot;},&quot;citationItems&quot;:[{&quot;id&quot;:&quot;306c554e-f7cc-3861-99c0-1639ed9e0141&quot;,&quot;itemData&quot;:{&quot;type&quot;:&quot;article-journal&quot;,&quot;id&quot;:&quot;306c554e-f7cc-3861-99c0-1639ed9e0141&quot;,&quot;title&quot;:&quot;Determinants of the adoption of sustainability assurance statements: An international investigation&quot;,&quot;author&quot;:[{&quot;family&quot;:&quot;Kolk&quot;,&quot;given&quot;:&quot;Ans&quot;,&quot;parse-names&quot;:false,&quot;dropping-particle&quot;:&quot;&quot;,&quot;non-dropping-particle&quot;:&quot;&quot;},{&quot;family&quot;:&quot;Perego&quot;,&quot;given&quot;:&quot;Paolo&quot;,&quot;parse-names&quot;:false,&quot;dropping-particle&quot;:&quot;&quot;,&quot;non-dropping-particle&quot;:&quot;&quot;}],&quot;container-title&quot;:&quot;Business Strategy and the Environment&quot;,&quot;issued&quot;:{&quot;date-parts&quot;:[[2010,3]]},&quot;page&quot;:&quot;182-198&quot;,&quot;abstract&quot;:&quot;This paper explores the factors associated with voluntary decisions to assure social, environmental and sustainability reports. Since the market for assurance services in this area is in its formative stages, there is a limited understanding of the demand for this emergent non-fi nancial auditing practice, which is evolving rapidly across different countries. Drawing from extant literature in international auditing and environmental accounting, we focus on a set of country-level institutional factors to explain the adoption of sustainability assurance statements among an international panel of 212 Fortune Global 250 companies for the years 1999, 2002 and 2005. Consistent with our expectations, our results provide evidence that companies operating in countries that are more stakeholder oriented and have a weaker governance enforcement regime are more likely to adopt a sustainability assurance statement. Further, the demand for assurance is higher in countries where sustainable corporate practices are better enabled by market and institutional mechanisms. Our exploratory fi ndings also indicate that the likelihood of choosing a large accounting fi rm as assurance provider increases for companies domiciled in countries that are shareholder oriented and have a lower level of litigation. We conclude the paper by suggesting three directions of research in the area of sustainability assurance that have relevant academic and practical implications. Copyright © 2008 John Wiley &amp; Sons, Ltd and ERP Environment.&quot;,&quot;issue&quot;:&quot;3&quot;,&quot;volume&quot;:&quot;19&quot;,&quot;container-title-short&quot;:&quot;Bus Strategy Environ&quot;},&quot;isTemporary&quot;:false}],&quot;citationTag&quot;:&quot;MENDELEY_CITATION_v3_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&quot;},{&quot;citationID&quot;:&quot;MENDELEY_CITATION_3bb66549-e4ff-4601-979e-96e71a343742&quot;,&quot;properties&quot;:{&quot;noteIndex&quot;:0},&quot;isEdited&quot;:false,&quot;manualOverride&quot;:{&quot;isManuallyOverridden&quot;:false,&quot;citeprocText&quot;:&quot;(Islam, 2018)&quot;,&quot;manualOverrideText&quot;:&quot;&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citationTag&quot;:&quot;MENDELEY_CITATION_v3_eyJjaXRhdGlvbklEIjoiTUVOREVMRVlfQ0lUQVRJT05fM2JiNjY1NDktZTRmZi00NjAxLTk3OWUtOTZlNzFhMzQzNzQy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quot;},{&quot;citationID&quot;:&quot;MENDELEY_CITATION_5798de70-ce29-4b04-a5dc-46f7b3ed64db&quot;,&quot;properties&quot;:{&quot;noteIndex&quot;:0},&quot;isEdited&quot;:false,&quot;manualOverride&quot;:{&quot;isManuallyOverridden&quot;:true,&quot;citeprocText&quot;:&quot;(Islam, 2018; Islam &lt;i&gt;et al.&lt;/i&gt;, 2018)&quot;,&quot;manualOverrideText&quot;:&quot;(Islam, 2018; Islam, Deegan and Gray, 2018).&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id&quot;:&quot;d2f58708-5c02-32e6-8ccd-45c07a6eec80&quot;,&quot;itemData&quot;:{&quot;type&quot;:&quot;article-journal&quot;,&quot;id&quot;:&quot;d2f58708-5c02-32e6-8ccd-45c07a6eec80&quot;,&quot;title&quot;:&quot;Social compliance audits and multinational corporation supply chain: evidence from a study of the rituals of social audits&quot;,&quot;author&quot;:[{&quot;family&quot;:&quot;Islam&quot;,&quot;given&quot;:&quot;Muhammad Azizul&quot;,&quot;parse-names&quot;:false,&quot;dropping-particle&quot;:&quot;&quot;,&quot;non-dropping-particle&quot;:&quot;&quot;},{&quot;family&quot;:&quot;Deegan&quot;,&quot;given&quot;:&quot;Craig&quot;,&quot;parse-names&quot;:false,&quot;dropping-particle&quot;:&quot;&quot;,&quot;non-dropping-particle&quot;:&quot;&quot;},{&quot;family&quot;:&quot;Gray&quot;,&quot;given&quot;:&quot;Rob&quot;,&quot;parse-names&quot;:false,&quot;dropping-particle&quot;:&quot;&quot;,&quot;non-dropping-particle&quot;:&quot;&quot;}],&quot;container-title&quot;:&quot;Accounting and Business Research&quot;,&quot;accessed&quot;:{&quot;date-parts&quot;:[[2023,6,6]]},&quot;DOI&quot;:&quot;10.1080/00014788.2017.1362330&quot;,&quot;ISSN&quot;:&quot;21594260&quot;,&quot;issued&quot;:{&quot;date-parts&quot;:[[2018,2,23]]},&quot;page&quot;:&quot;190-224&quot;,&quot;abstract&quot;:&quot;This study investigates the use of social compliance audits in the supply chain of multinational corporations (MNCs). Particularly, we explore the use of such audits in assessing and managing the working conditions of factory workers in the garment industry in a developing nation. Through a range of interviews with MNCs’ internal auditors, with commissioned external auditors and with representatives of the suppliers in Bangladesh, this study finds that social compliance audits become ritual strategies and are not a primary means of advancing workers’ rights. Drawing on the concept of surrogate accountability, the study suggests that to create real change in workers’ conditions and in order to hold MNCs and their suppliers accountable, some form of surrogate (government, non-governmental organisations or media) intervention is necessary. This is, we argue, preferable to leaving it in the hands of ‘markets’ and simply waiting for another major incident such as Rana Plaza to stir public concern. This study contributes to the literature by investigating how social compliance audits are undertaken by MNCs sourcing products from a developing nation, what motivations drive the adoption of such audits, and what, if anything, are the likely outcomes from the process.&quot;,&quot;publisher&quot;:&quot;Routledge&quot;,&quot;issue&quot;:&quot;2&quot;,&quot;volume&quot;:&quot;48&quot;,&quot;container-title-short&quot;:&quot;&quot;},&quot;isTemporary&quot;:false}],&quot;citationTag&quot;:&quot;MENDELEY_CITATION_v3_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&quot;},{&quot;citationID&quot;:&quot;MENDELEY_CITATION_5798de70-ce29-4b04-a5dc-46f7b3ed64db&quot;,&quot;properties&quot;:{&quot;noteIndex&quot;:0},&quot;isEdited&quot;:false,&quot;manualOverride&quot;:{&quot;isManuallyOverridden&quot;:true,&quot;citeprocText&quot;:&quot;(Islam, 2018; Islam &lt;i&gt;et al.&lt;/i&gt;, 2018)&quot;,&quot;manualOverrideText&quot;:&quot;(Islam, 2018; Islam, Deegan and Gray, 2018).&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id&quot;:&quot;d2f58708-5c02-32e6-8ccd-45c07a6eec80&quot;,&quot;itemData&quot;:{&quot;type&quot;:&quot;article-journal&quot;,&quot;id&quot;:&quot;d2f58708-5c02-32e6-8ccd-45c07a6eec80&quot;,&quot;title&quot;:&quot;Social compliance audits and multinational corporation supply chain: evidence from a study of the rituals of social audits&quot;,&quot;author&quot;:[{&quot;family&quot;:&quot;Islam&quot;,&quot;given&quot;:&quot;Muhammad Azizul&quot;,&quot;parse-names&quot;:false,&quot;dropping-particle&quot;:&quot;&quot;,&quot;non-dropping-particle&quot;:&quot;&quot;},{&quot;family&quot;:&quot;Deegan&quot;,&quot;given&quot;:&quot;Craig&quot;,&quot;parse-names&quot;:false,&quot;dropping-particle&quot;:&quot;&quot;,&quot;non-dropping-particle&quot;:&quot;&quot;},{&quot;family&quot;:&quot;Gray&quot;,&quot;given&quot;:&quot;Rob&quot;,&quot;parse-names&quot;:false,&quot;dropping-particle&quot;:&quot;&quot;,&quot;non-dropping-particle&quot;:&quot;&quot;}],&quot;container-title&quot;:&quot;Accounting and Business Research&quot;,&quot;accessed&quot;:{&quot;date-parts&quot;:[[2023,6,6]]},&quot;DOI&quot;:&quot;10.1080/00014788.2017.1362330&quot;,&quot;ISSN&quot;:&quot;21594260&quot;,&quot;issued&quot;:{&quot;date-parts&quot;:[[2018,2,23]]},&quot;page&quot;:&quot;190-224&quot;,&quot;abstract&quot;:&quot;This study investigates the use of social compliance audits in the supply chain of multinational corporations (MNCs). Particularly, we explore the use of such audits in assessing and managing the working conditions of factory workers in the garment industry in a developing nation. Through a range of interviews with MNCs’ internal auditors, with commissioned external auditors and with representatives of the suppliers in Bangladesh, this study finds that social compliance audits become ritual strategies and are not a primary means of advancing workers’ rights. Drawing on the concept of surrogate accountability, the study suggests that to create real change in workers’ conditions and in order to hold MNCs and their suppliers accountable, some form of surrogate (government, non-governmental organisations or media) intervention is necessary. This is, we argue, preferable to leaving it in the hands of ‘markets’ and simply waiting for another major incident such as Rana Plaza to stir public concern. This study contributes to the literature by investigating how social compliance audits are undertaken by MNCs sourcing products from a developing nation, what motivations drive the adoption of such audits, and what, if anything, are the likely outcomes from the process.&quot;,&quot;publisher&quot;:&quot;Routledge&quot;,&quot;issue&quot;:&quot;2&quot;,&quot;volume&quot;:&quot;48&quot;,&quot;container-title-short&quot;:&quot;&quot;},&quot;isTemporary&quot;:false}],&quot;citationTag&quot;:&quot;MENDELEY_CITATION_v3_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&quot;},{&quot;citationID&quot;:&quot;MENDELEY_CITATION_cc1a5c2e-1bdf-4b4a-b15f-3ea4a09bb311&quot;,&quot;properties&quot;:{&quot;noteIndex&quot;:0},&quot;isEdited&quot;:false,&quot;manualOverride&quot;:{&quot;isManuallyOverridden&quot;:false,&quot;citeprocText&quot;:&quot;(Islam, 2018; Islam &lt;i&gt;et al.&lt;/i&gt;, 2018)&quot;,&quot;manualOverrideText&quot;:&quot;&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id&quot;:&quot;d2f58708-5c02-32e6-8ccd-45c07a6eec80&quot;,&quot;itemData&quot;:{&quot;type&quot;:&quot;article-journal&quot;,&quot;id&quot;:&quot;d2f58708-5c02-32e6-8ccd-45c07a6eec80&quot;,&quot;title&quot;:&quot;Social compliance audits and multinational corporation supply chain: evidence from a study of the rituals of social audits&quot;,&quot;author&quot;:[{&quot;family&quot;:&quot;Islam&quot;,&quot;given&quot;:&quot;Muhammad Azizul&quot;,&quot;parse-names&quot;:false,&quot;dropping-particle&quot;:&quot;&quot;,&quot;non-dropping-particle&quot;:&quot;&quot;},{&quot;family&quot;:&quot;Deegan&quot;,&quot;given&quot;:&quot;Craig&quot;,&quot;parse-names&quot;:false,&quot;dropping-particle&quot;:&quot;&quot;,&quot;non-dropping-particle&quot;:&quot;&quot;},{&quot;family&quot;:&quot;Gray&quot;,&quot;given&quot;:&quot;Rob&quot;,&quot;parse-names&quot;:false,&quot;dropping-particle&quot;:&quot;&quot;,&quot;non-dropping-particle&quot;:&quot;&quot;}],&quot;container-title&quot;:&quot;Accounting and Business Research&quot;,&quot;accessed&quot;:{&quot;date-parts&quot;:[[2023,6,6]]},&quot;DOI&quot;:&quot;10.1080/00014788.2017.1362330&quot;,&quot;ISSN&quot;:&quot;21594260&quot;,&quot;issued&quot;:{&quot;date-parts&quot;:[[2018,2,23]]},&quot;page&quot;:&quot;190-224&quot;,&quot;abstract&quot;:&quot;This study investigates the use of social compliance audits in the supply chain of multinational corporations (MNCs). Particularly, we explore the use of such audits in assessing and managing the working conditions of factory workers in the garment industry in a developing nation. Through a range of interviews with MNCs’ internal auditors, with commissioned external auditors and with representatives of the suppliers in Bangladesh, this study finds that social compliance audits become ritual strategies and are not a primary means of advancing workers’ rights. Drawing on the concept of surrogate accountability, the study suggests that to create real change in workers’ conditions and in order to hold MNCs and their suppliers accountable, some form of surrogate (government, non-governmental organisations or media) intervention is necessary. This is, we argue, preferable to leaving it in the hands of ‘markets’ and simply waiting for another major incident such as Rana Plaza to stir public concern. This study contributes to the literature by investigating how social compliance audits are undertaken by MNCs sourcing products from a developing nation, what motivations drive the adoption of such audits, and what, if anything, are the likely outcomes from the process.&quot;,&quot;publisher&quot;:&quot;Routledge&quot;,&quot;issue&quot;:&quot;2&quot;,&quot;volume&quot;:&quot;48&quot;,&quot;container-title-short&quot;:&quot;&quot;},&quot;isTemporary&quot;:false}],&quot;citationTag&quot;:&quot;MENDELEY_CITATION_v3_eyJjaXRhdGlvbklEIjoiTUVOREVMRVlfQ0lUQVRJT05fY2MxYTVjMmUtMWJkZi00YjRhLWIxNWYtM2VhNGEwOWJiMzExIiwicHJvcGVydGllcyI6eyJub3RlSW5kZXgiOjB9LCJpc0VkaXRlZCI6ZmFsc2UsIm1hbnVhbE92ZXJyaWRlIjp7ImlzTWFudWFsbHlPdmVycmlkZGVuIjpmYWxzZSwiY2l0ZXByb2NUZXh0IjoiKElzbGFtLCAyMDE4OyBJc2xhbSA8aT5ldCBhbC48L2k+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&quot;},{&quot;citationID&quot;:&quot;MENDELEY_CITATION_486f0f67-bff1-4634-a69d-e41621eae612&quot;,&quot;properties&quot;:{&quot;noteIndex&quot;:0},&quot;isEdited&quot;:false,&quot;manualOverride&quot;:{&quot;isManuallyOverridden&quot;:false,&quot;citeprocText&quot;:&quot;(Christ and Burritt, 2021)&quot;,&quot;manualOverrideText&quot;:&quot;&quot;},&quot;citationItems&quot;:[{&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citationTag&quot;:&quot;MENDELEY_CITATION_v3_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&quot;},{&quot;citationID&quot;:&quot;MENDELEY_CITATION_eb2438bb-e620-4830-85dc-9b2de606ab9c&quot;,&quot;properties&quot;:{&quot;noteIndex&quot;:0},&quot;isEdited&quot;:false,&quot;manualOverride&quot;:{&quot;isManuallyOverridden&quot;:false,&quot;citeprocText&quot;:&quot;(GRI standards, 2016)&quot;,&quot;manualOverrideText&quot;:&quot;&quot;},&quot;citationItems&quot;:[{&quot;id&quot;:&quot;9f4c5ce6-6042-34d6-b7f8-54ce6555b620&quot;,&quot;itemData&quot;:{&quot;type&quot;:&quot;report&quot;,&quot;id&quot;:&quot;9f4c5ce6-6042-34d6-b7f8-54ce6555b620&quot;,&quot;title&quot;:&quot;GRI -412-human-rights-assessment&quot;,&quot;author&quot;:[{&quot;family&quot;:&quot;GRI standards&quot;,&quot;given&quot;:&quot;&quot;,&quot;parse-names&quot;:false,&quot;dropping-particle&quot;:&quot;&quot;,&quot;non-dropping-particle&quot;:&quot;&quot;}],&quot;accessed&quot;:{&quot;date-parts&quot;:[[2023,6,3]]},&quot;URL&quot;:&quot;https://www.globalreporting.org/standards/media/1027/gri-412-human-rights-assessment-2016.pdf&quot;,&quot;issued&quot;:{&quot;date-parts&quot;:[[2016]]},&quot;number-of-pages&quot;:&quot;1-13&quot;,&quot;container-title-short&quot;:&quot;&quot;},&quot;isTemporary&quot;:false}],&quot;citationTag&quot;:&quot;MENDELEY_CITATION_v3_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&quot;},{&quot;citationID&quot;:&quot;MENDELEY_CITATION_2b5eaeb4-f6c2-4c71-b513-48ea668223d6&quot;,&quot;properties&quot;:{&quot;noteIndex&quot;:0},&quot;isEdited&quot;:false,&quot;manualOverride&quot;:{&quot;isManuallyOverridden&quot;:false,&quot;citeprocText&quot;:&quot;(Christ &lt;i&gt;et al.&lt;/i&gt;, 2023; Stevenson and Cole, 2018a)&quot;,&quot;manualOverrideText&quot;:&quot;&quot;},&quot;citationItems&quot;:[{&quot;id&quot;:&quot;6a12a5b4-1c85-3736-8c7f-1b0ac42b837c&quot;,&quot;itemData&quot;:{&quot;type&quot;:&quot;article-journal&quot;,&quot;id&quot;:&quot;6a12a5b4-1c85-3736-8c7f-1b0ac42b837c&quot;,&quot;title&quot;:&quot;Modern slavery in supply chains: a secondary data analysis of detection, remediation and disclosure&quot;,&quot;author&quot;:[{&quot;family&quot;:&quot;Stevenson&quot;,&quot;given&quot;:&quot;Mark&quot;,&quot;parse-names&quot;:false,&quot;dropping-particle&quot;:&quot;&quot;,&quot;non-dropping-particle&quot;:&quot;&quot;},{&quot;family&quot;:&quot;Cole&quot;,&quot;given&quot;:&quot;Rosanna&quot;,&quot;parse-names&quot;:false,&quot;dropping-particle&quot;:&quot;&quot;,&quot;non-dropping-particle&quot;:&quot;&quot;}],&quot;container-title&quot;:&quot; Supply Chain Management: An International Journal.&quot;,&quot;accessed&quot;:{&quot;date-parts&quot;:[[2023,1,20]]},&quot;URL&quot;:&quot;www.emeraldinsight.com/1359-8546.htm&quot;,&quot;issued&quot;:{&quot;date-parts&quot;:[[2018]]},&quot;page&quot;:&quot;81-99&quot;,&quot;abstract&quot;:&quot;Purpose-The purpose of this study is to examine how organisations report on the detection and remediation of modern slavery in their operations and supply chains and to understand their approaches to disclosing information in response to modern slavery legislation. Design/methodology/approach-An analysis of secondary data based on the statements is released in response to the 2015 UK Modern Slavery Act by 101 firms in the clothing and textiles sector. Findings-Many firms use the same practices to detect and remediate modern slavery as for other social issues. But the hidden, criminal nature of modern slavery and the involvement of third party labour agencies mean practices need to either be tailored or other more innovative approaches developed, including in collaboration with traditional and non-traditional actors. Although five broad types of disclosure are identified, there is substantial heterogeneity in the statements. It is posited however that firms will converge on a more homogenous set of responses over time. Research limitations/implications-The study is limited to one industry, responses to UK legislation and the information disclosed by focal firms only. Future research could expand the focus to include other industries, country contexts and stakeholders. Practical implications-Managers must consider how their own firm's behaviour contributes to the modern slavery threat, regulates both their stock and non-stock supply chains and ensures modern slavery is elevated from the procurement function to the boardroom. In making disclosures, managers may trade-off the potential competitive gains of transparency against the threat of information leakage and reputational risk should their statements be falsified. The managers should also consider what signals their statements send back up the chain to (sub-)suppliers. Findings also have potential policy implications. Originality/value-The study expands the authors' understanding of: modern slavery from a supply chain perspective, e.g. identifying the importance of standard setting and risk avoidance; and, supply chain information disclosure in response to legislative demands. This is the first academic paper to examine the statements produced by organisations in response to the UK Modern Slavery Act.&quot;,&quot;issue&quot;:&quot;2&quot;,&quot;volume&quot;:&quot;23&quot;,&quot;container-title-short&quot;:&quot;&quot;},&quot;isTemporary&quot;:false},{&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LkwuIiwicGFyc2UtbmFtZXMiOmZhbHNlLCJkcm9wcGluZy1wYXJ0aWNsZSI6IiIsIm5vbi1kcm9wcGluZy1wYXJ0aWNsZSI6IiJ9LHsiZmFtaWx5IjoiQnVycml0dCIsImdpdmVuIjoiUi5MLiIsInBhcnNlLW5hbWVzIjpmYWxzZSwiZHJvcHBpbmctcGFydGljbGUiOiIiLCJub24tZHJvcHBpbmctcGFydGljbGUiOiIifSx7ImZhbWlseSI6IklzbGFtIiwiZ2l2ZW4iOiJNLkEu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XX0=&quot;},{&quot;citationID&quot;:&quot;MENDELEY_CITATION_e95c0808-f795-4c9f-a647-420b9e75f431&quot;,&quot;properties&quot;:{&quot;noteIndex&quot;:0},&quot;isEdited&quot;:false,&quot;manualOverride&quot;:{&quot;isManuallyOverridden&quot;:false,&quot;citeprocText&quot;:&quot;(Islam, 2018)&quot;,&quot;manualOverrideText&quot;:&quot;&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citationTag&quot;:&quot;MENDELEY_CITATION_v3_eyJjaXRhdGlvbklEIjoiTUVOREVMRVlfQ0lUQVRJT05fZTk1YzA4MDgtZjc5NS00YzlmLWE2NDctNDIwYjllNzVmNDMx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quot;},{&quot;citationID&quot;:&quot;MENDELEY_CITATION_b4ef0b70-fbcb-46ab-b3f7-10869ae1a5f0&quot;,&quot;properties&quot;:{&quot;noteIndex&quot;:0},&quot;isEdited&quot;:false,&quot;manualOverride&quot;:{&quot;isManuallyOverridden&quot;:true,&quot;citeprocText&quot;:&quot;(Islam, 2018)&quot;,&quot;manualOverrideText&quot;:&quot;(Islam, 2018, p.2)&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citationTag&quot;:&quot;MENDELEY_CITATION_v3_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&quot;},{&quot;citationID&quot;:&quot;MENDELEY_CITATION_34a1649a-3912-4f0e-9fe6-b690ce1798d8&quot;,&quot;properties&quot;:{&quot;noteIndex&quot;:0},&quot;isEdited&quot;:false,&quot;manualOverride&quot;:{&quot;isManuallyOverridden&quot;:false,&quot;citeprocText&quot;:&quot;(Stevenson and Cole, 2018a)&quot;,&quot;manualOverrideText&quot;:&quot;&quot;},&quot;citationItems&quot;:[{&quot;id&quot;:&quot;6a12a5b4-1c85-3736-8c7f-1b0ac42b837c&quot;,&quot;itemData&quot;:{&quot;type&quot;:&quot;article-journal&quot;,&quot;id&quot;:&quot;6a12a5b4-1c85-3736-8c7f-1b0ac42b837c&quot;,&quot;title&quot;:&quot;Modern slavery in supply chains: a secondary data analysis of detection, remediation and disclosure&quot;,&quot;author&quot;:[{&quot;family&quot;:&quot;Stevenson&quot;,&quot;given&quot;:&quot;Mark&quot;,&quot;parse-names&quot;:false,&quot;dropping-particle&quot;:&quot;&quot;,&quot;non-dropping-particle&quot;:&quot;&quot;},{&quot;family&quot;:&quot;Cole&quot;,&quot;given&quot;:&quot;Rosanna&quot;,&quot;parse-names&quot;:false,&quot;dropping-particle&quot;:&quot;&quot;,&quot;non-dropping-particle&quot;:&quot;&quot;}],&quot;container-title&quot;:&quot; Supply Chain Management: An International Journal.&quot;,&quot;accessed&quot;:{&quot;date-parts&quot;:[[2023,1,20]]},&quot;URL&quot;:&quot;www.emeraldinsight.com/1359-8546.htm&quot;,&quot;issued&quot;:{&quot;date-parts&quot;:[[2018]]},&quot;page&quot;:&quot;81-99&quot;,&quot;abstract&quot;:&quot;Purpose-The purpose of this study is to examine how organisations report on the detection and remediation of modern slavery in their operations and supply chains and to understand their approaches to disclosing information in response to modern slavery legislation. Design/methodology/approach-An analysis of secondary data based on the statements is released in response to the 2015 UK Modern Slavery Act by 101 firms in the clothing and textiles sector. Findings-Many firms use the same practices to detect and remediate modern slavery as for other social issues. But the hidden, criminal nature of modern slavery and the involvement of third party labour agencies mean practices need to either be tailored or other more innovative approaches developed, including in collaboration with traditional and non-traditional actors. Although five broad types of disclosure are identified, there is substantial heterogeneity in the statements. It is posited however that firms will converge on a more homogenous set of responses over time. Research limitations/implications-The study is limited to one industry, responses to UK legislation and the information disclosed by focal firms only. Future research could expand the focus to include other industries, country contexts and stakeholders. Practical implications-Managers must consider how their own firm's behaviour contributes to the modern slavery threat, regulates both their stock and non-stock supply chains and ensures modern slavery is elevated from the procurement function to the boardroom. In making disclosures, managers may trade-off the potential competitive gains of transparency against the threat of information leakage and reputational risk should their statements be falsified. The managers should also consider what signals their statements send back up the chain to (sub-)suppliers. Findings also have potential policy implications. Originality/value-The study expands the authors' understanding of: modern slavery from a supply chain perspective, e.g. identifying the importance of standard setting and risk avoidance; and, supply chain information disclosure in response to legislative demands. This is the first academic paper to examine the statements produced by organisations in response to the UK Modern Slavery Act.&quot;,&quot;issue&quot;:&quot;2&quot;,&quot;volume&quot;:&quot;23&quot;,&quot;container-title-short&quot;:&quot;&quot;},&quot;isTemporary&quot;:false}],&quot;citationTag&quot;:&quot;MENDELEY_CITATION_v3_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&quot;},{&quot;citationID&quot;:&quot;MENDELEY_CITATION_a4675e65-eb58-4baf-9523-decbc4fc1ff8&quot;,&quot;properties&quot;:{&quot;noteIndex&quot;:0},&quot;isEdited&quot;:false,&quot;manualOverride&quot;:{&quot;isManuallyOverridden&quot;:true,&quot;citeprocText&quot;:&quot;(Stevenson and Cole, 2018a)&quot;,&quot;manualOverrideText&quot;:&quot;Stevenson and Cole (2018a)&quot;},&quot;citationItems&quot;:[{&quot;id&quot;:&quot;6a12a5b4-1c85-3736-8c7f-1b0ac42b837c&quot;,&quot;itemData&quot;:{&quot;type&quot;:&quot;article-journal&quot;,&quot;id&quot;:&quot;6a12a5b4-1c85-3736-8c7f-1b0ac42b837c&quot;,&quot;title&quot;:&quot;Modern slavery in supply chains: a secondary data analysis of detection, remediation and disclosure&quot;,&quot;author&quot;:[{&quot;family&quot;:&quot;Stevenson&quot;,&quot;given&quot;:&quot;Mark&quot;,&quot;parse-names&quot;:false,&quot;dropping-particle&quot;:&quot;&quot;,&quot;non-dropping-particle&quot;:&quot;&quot;},{&quot;family&quot;:&quot;Cole&quot;,&quot;given&quot;:&quot;Rosanna&quot;,&quot;parse-names&quot;:false,&quot;dropping-particle&quot;:&quot;&quot;,&quot;non-dropping-particle&quot;:&quot;&quot;}],&quot;container-title&quot;:&quot; Supply Chain Management: An International Journal.&quot;,&quot;accessed&quot;:{&quot;date-parts&quot;:[[2023,1,20]]},&quot;URL&quot;:&quot;www.emeraldinsight.com/1359-8546.htm&quot;,&quot;issued&quot;:{&quot;date-parts&quot;:[[2018]]},&quot;page&quot;:&quot;81-99&quot;,&quot;abstract&quot;:&quot;Purpose-The purpose of this study is to examine how organisations report on the detection and remediation of modern slavery in their operations and supply chains and to understand their approaches to disclosing information in response to modern slavery legislation. Design/methodology/approach-An analysis of secondary data based on the statements is released in response to the 2015 UK Modern Slavery Act by 101 firms in the clothing and textiles sector. Findings-Many firms use the same practices to detect and remediate modern slavery as for other social issues. But the hidden, criminal nature of modern slavery and the involvement of third party labour agencies mean practices need to either be tailored or other more innovative approaches developed, including in collaboration with traditional and non-traditional actors. Although five broad types of disclosure are identified, there is substantial heterogeneity in the statements. It is posited however that firms will converge on a more homogenous set of responses over time. Research limitations/implications-The study is limited to one industry, responses to UK legislation and the information disclosed by focal firms only. Future research could expand the focus to include other industries, country contexts and stakeholders. Practical implications-Managers must consider how their own firm's behaviour contributes to the modern slavery threat, regulates both their stock and non-stock supply chains and ensures modern slavery is elevated from the procurement function to the boardroom. In making disclosures, managers may trade-off the potential competitive gains of transparency against the threat of information leakage and reputational risk should their statements be falsified. The managers should also consider what signals their statements send back up the chain to (sub-)suppliers. Findings also have potential policy implications. Originality/value-The study expands the authors' understanding of: modern slavery from a supply chain perspective, e.g. identifying the importance of standard setting and risk avoidance; and, supply chain information disclosure in response to legislative demands. This is the first academic paper to examine the statements produced by organisations in response to the UK Modern Slavery Act.&quot;,&quot;issue&quot;:&quot;2&quot;,&quot;volume&quot;:&quot;23&quot;,&quot;container-title-short&quot;:&quot;&quot;},&quot;isTemporary&quot;:false}],&quot;citationTag&quot;:&quot;MENDELEY_CITATION_v3_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&quot;},{&quot;citationID&quot;:&quot;MENDELEY_CITATION_e7a652ae-7912-4acf-a262-aaacb23c643b&quot;,&quot;properties&quot;:{&quot;noteIndex&quot;:0},&quot;isEdited&quot;:false,&quot;manualOverride&quot;:{&quot;isManuallyOverridden&quot;:false,&quot;citeprocText&quot;:&quot;(Stevenson and Cole, 2018a)&quot;,&quot;manualOverrideText&quot;:&quot;&quot;},&quot;citationItems&quot;:[{&quot;id&quot;:&quot;6a12a5b4-1c85-3736-8c7f-1b0ac42b837c&quot;,&quot;itemData&quot;:{&quot;type&quot;:&quot;article-journal&quot;,&quot;id&quot;:&quot;6a12a5b4-1c85-3736-8c7f-1b0ac42b837c&quot;,&quot;title&quot;:&quot;Modern slavery in supply chains: a secondary data analysis of detection, remediation and disclosure&quot;,&quot;author&quot;:[{&quot;family&quot;:&quot;Stevenson&quot;,&quot;given&quot;:&quot;Mark&quot;,&quot;parse-names&quot;:false,&quot;dropping-particle&quot;:&quot;&quot;,&quot;non-dropping-particle&quot;:&quot;&quot;},{&quot;family&quot;:&quot;Cole&quot;,&quot;given&quot;:&quot;Rosanna&quot;,&quot;parse-names&quot;:false,&quot;dropping-particle&quot;:&quot;&quot;,&quot;non-dropping-particle&quot;:&quot;&quot;}],&quot;container-title&quot;:&quot; Supply Chain Management: An International Journal.&quot;,&quot;accessed&quot;:{&quot;date-parts&quot;:[[2023,1,20]]},&quot;URL&quot;:&quot;www.emeraldinsight.com/1359-8546.htm&quot;,&quot;issued&quot;:{&quot;date-parts&quot;:[[2018]]},&quot;page&quot;:&quot;81-99&quot;,&quot;abstract&quot;:&quot;Purpose-The purpose of this study is to examine how organisations report on the detection and remediation of modern slavery in their operations and supply chains and to understand their approaches to disclosing information in response to modern slavery legislation. Design/methodology/approach-An analysis of secondary data based on the statements is released in response to the 2015 UK Modern Slavery Act by 101 firms in the clothing and textiles sector. Findings-Many firms use the same practices to detect and remediate modern slavery as for other social issues. But the hidden, criminal nature of modern slavery and the involvement of third party labour agencies mean practices need to either be tailored or other more innovative approaches developed, including in collaboration with traditional and non-traditional actors. Although five broad types of disclosure are identified, there is substantial heterogeneity in the statements. It is posited however that firms will converge on a more homogenous set of responses over time. Research limitations/implications-The study is limited to one industry, responses to UK legislation and the information disclosed by focal firms only. Future research could expand the focus to include other industries, country contexts and stakeholders. Practical implications-Managers must consider how their own firm's behaviour contributes to the modern slavery threat, regulates both their stock and non-stock supply chains and ensures modern slavery is elevated from the procurement function to the boardroom. In making disclosures, managers may trade-off the potential competitive gains of transparency against the threat of information leakage and reputational risk should their statements be falsified. The managers should also consider what signals their statements send back up the chain to (sub-)suppliers. Findings also have potential policy implications. Originality/value-The study expands the authors' understanding of: modern slavery from a supply chain perspective, e.g. identifying the importance of standard setting and risk avoidance; and, supply chain information disclosure in response to legislative demands. This is the first academic paper to examine the statements produced by organisations in response to the UK Modern Slavery Act.&quot;,&quot;issue&quot;:&quot;2&quot;,&quot;volume&quot;:&quot;23&quot;,&quot;container-title-short&quot;:&quot;&quot;},&quot;isTemporary&quot;:false}],&quot;citationTag&quot;:&quot;MENDELEY_CITATION_v3_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&quot;},{&quot;citationID&quot;:&quot;MENDELEY_CITATION_9b3c7737-c6fa-48b9-a12c-1088f077c858&quot;,&quot;properties&quot;:{&quot;noteIndex&quot;:0},&quot;isEdited&quot;:false,&quot;manualOverride&quot;:{&quot;isManuallyOverridden&quot;:false,&quot;citeprocText&quot;:&quot;(Christ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OWIzYzc3MzctYzZmYS00OGI5LWExMmMtMTA4OGYwNzdjODU4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quot;},{&quot;citationID&quot;:&quot;MENDELEY_CITATION_d40b5450-f447-4757-8d11-96c328ac99d9&quot;,&quot;properties&quot;:{&quot;noteIndex&quot;:0},&quot;isEdited&quot;:false,&quot;manualOverride&quot;:{&quot;isManuallyOverridden&quot;:false,&quot;citeprocText&quot;:&quot;(Kolk and Perego, 2010)&quot;,&quot;manualOverrideText&quot;:&quot;&quot;},&quot;citationItems&quot;:[{&quot;id&quot;:&quot;306c554e-f7cc-3861-99c0-1639ed9e0141&quot;,&quot;itemData&quot;:{&quot;type&quot;:&quot;article-journal&quot;,&quot;id&quot;:&quot;306c554e-f7cc-3861-99c0-1639ed9e0141&quot;,&quot;title&quot;:&quot;Determinants of the adoption of sustainability assurance statements: An international investigation&quot;,&quot;author&quot;:[{&quot;family&quot;:&quot;Kolk&quot;,&quot;given&quot;:&quot;Ans&quot;,&quot;parse-names&quot;:false,&quot;dropping-particle&quot;:&quot;&quot;,&quot;non-dropping-particle&quot;:&quot;&quot;},{&quot;family&quot;:&quot;Perego&quot;,&quot;given&quot;:&quot;Paolo&quot;,&quot;parse-names&quot;:false,&quot;dropping-particle&quot;:&quot;&quot;,&quot;non-dropping-particle&quot;:&quot;&quot;}],&quot;container-title&quot;:&quot;Business Strategy and the Environment&quot;,&quot;issued&quot;:{&quot;date-parts&quot;:[[2010,3]]},&quot;page&quot;:&quot;182-198&quot;,&quot;abstract&quot;:&quot;This paper explores the factors associated with voluntary decisions to assure social, environmental and sustainability reports. Since the market for assurance services in this area is in its formative stages, there is a limited understanding of the demand for this emergent non-fi nancial auditing practice, which is evolving rapidly across different countries. Drawing from extant literature in international auditing and environmental accounting, we focus on a set of country-level institutional factors to explain the adoption of sustainability assurance statements among an international panel of 212 Fortune Global 250 companies for the years 1999, 2002 and 2005. Consistent with our expectations, our results provide evidence that companies operating in countries that are more stakeholder oriented and have a weaker governance enforcement regime are more likely to adopt a sustainability assurance statement. Further, the demand for assurance is higher in countries where sustainable corporate practices are better enabled by market and institutional mechanisms. Our exploratory fi ndings also indicate that the likelihood of choosing a large accounting fi rm as assurance provider increases for companies domiciled in countries that are shareholder oriented and have a lower level of litigation. We conclude the paper by suggesting three directions of research in the area of sustainability assurance that have relevant academic and practical implications. Copyright © 2008 John Wiley &amp; Sons, Ltd and ERP Environment.&quot;,&quot;issue&quot;:&quot;3&quot;,&quot;volume&quot;:&quot;19&quot;,&quot;container-title-short&quot;:&quot;Bus Strategy Environ&quot;},&quot;isTemporary&quot;:false}],&quot;citationTag&quot;:&quot;MENDELEY_CITATION_v3_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&quot;},{&quot;citationID&quot;:&quot;MENDELEY_CITATION_9e677dc7-4d33-47d0-bffd-557aca6d3ca3&quot;,&quot;properties&quot;:{&quot;noteIndex&quot;:0},&quot;isEdited&quot;:false,&quot;manualOverride&quot;:{&quot;isManuallyOverridden&quot;:false,&quot;citeprocText&quot;:&quot;(Christ &lt;i&gt;et al.&lt;/i&gt;, 2023)&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quot;},{&quot;citationID&quot;:&quot;MENDELEY_CITATION_6d70e6fa-369a-4e3c-97b0-9d95d372b395&quot;,&quot;properties&quot;:{&quot;noteIndex&quot;:0},&quot;isEdited&quot;:false,&quot;manualOverride&quot;:{&quot;isManuallyOverridden&quot;:true,&quot;citeprocText&quot;:&quot;(Islam, 2018)&quot;,&quot;manualOverrideText&quot;:&quot;Islam (2018)&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citationTag&quot;:&quot;MENDELEY_CITATION_v3_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&quot;},{&quot;citationID&quot;:&quot;MENDELEY_CITATION_d79cf10e-80fe-42c6-8478-c97e100e393e&quot;,&quot;properties&quot;:{&quot;noteIndex&quot;:0},&quot;isEdited&quot;:false,&quot;manualOverride&quot;:{&quot;isManuallyOverridden&quot;:true,&quot;citeprocText&quot;:&quot;(Christ &lt;i&gt;et al.&lt;/i&gt;, 2019; Christ and Burritt, 2021; Mcphail and Adams, 2016)&quot;,&quot;manualOverrideText&quot;:&quot;(Christ et al., 2019; Christ and Burritt, 2021; McPhail and Adams, 2016)&quot;},&quot;citationItems&quot;:[{&quot;id&quot;:&quot;2aa0fa4c-6564-38db-b974-7895e61eff71&quot;,&quot;itemData&quot;:{&quot;type&quot;:&quot;article-journal&quot;,&quot;id&quot;:&quot;2aa0fa4c-6564-38db-b974-7895e61eff71&quot;,&quot;title&quot;:&quot;Accounting for modern slavery risk in the time of COVID-19: challenges and opportunities&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container-title&quot;:&quot;Accounting, Auditing and Accountability Journal&quot;,&quot;ISSN&quot;:&quot;09513574&quot;,&quot;issued&quot;:{&quot;date-parts&quot;:[[2021]]},&quot;abstract&quot;:&quot;Purpose: The purpose of this paper is to examine how the coronavirus disease 2019 (COVID-19) pandemic affects corporate modern slavery accounting, auditing and accountability, and how a business can take advantage of this situation to ensure a more robust and effective modern slavery response in the long-term. Design/methodology/approach: Drawing on recent literature and available statistics about modern slavery in the context of COVID-19 comment is provided on the challenges and opportunities for researchers and business. Findings: Given the additional invisibility of modern slavery in a COVID-19 environment as victims move into unemployment and back into vulnerable positions where they are exploited the challenge is how accounting, auditing and accountability can help business break this cycle. Capabilities for business to track and trace victims of modern slavery will be reduced because of the pandemic. Opportunities exist for gathering data and building internal awareness about the problem of modern slavery in supply chains and to reassess operational risk and investment in modern slavery reduction. With the pause in external reporting opportunity exists to obtain views of external stakeholders. Research limitations/implications: Because of the relatively short period of the COVID-19 pandemic to date, numeric data on impacts are largely unavailable. Originality/value: This is the first paper to consider the challenges and opportunities of COVID-19 on accounting for modern slavery in business. Directions for future research are also considered.&quot;,&quot;publisher&quot;:&quot;Emerald Group Holdings Ltd.&quot;,&quot;issue&quot;:&quot;6&quot;,&quot;volume&quot;:&quot;34&quot;,&quot;container-title-short&quot;:&quot;&quot;},&quot;isTemporary&quot;:false},{&quot;id&quot;:&quot;a436e616-fbc0-35ec-b862-c88d9d9e0f3d&quot;,&quot;itemData&quot;:{&quot;type&quot;:&quot;article-journal&quot;,&quot;id&quot;:&quot;a436e616-fbc0-35ec-b862-c88d9d9e0f3d&quot;,&quot;title&quot;:&quot;Corporate respect for human rights: meaning, scope, and the shifting order of discourse&quot;,&quot;author&quot;:[{&quot;family&quot;:&quot;Mcphail&quot;,&quot;given&quot;:&quot;Ken&quot;,&quot;parse-names&quot;:false,&quot;dropping-particle&quot;:&quot;&quot;,&quot;non-dropping-particle&quot;:&quot;&quot;},{&quot;family&quot;:&quot;Adams&quot;,&quot;given&quot;:&quot;Carol A&quot;,&quot;parse-names&quot;:false,&quot;dropping-particle&quot;:&quot;&quot;,&quot;non-dropping-particle&quot;:&quot;&quot;}],&quot;container-title&quot;:&quot;Accounting, Auditing &amp; Accountability Journal&quot;,&quot;accessed&quot;:{&quot;date-parts&quot;:[[2022,7,18]]},&quot;issued&quot;:{&quot;date-parts&quot;:[[2016]]},&quot;abstract&quot;:&quot;Purpose-Drawing on Fairclough (1989, 2005), the purpose of this paper is to explore how respect for human rights is emerging and being operationalized in the discourse of 30 Fortune 500 companies in the mining, pharmaceutical and chemical industries at two key points in the recent evolution of the UN's business and human rights agenda. Specifically the paper explores the scope of rights for which corporations are accountable and, more specifically, the degree of responsibility a company assumes for enacting these rights. Design/methodology/approach-The authors draw on Fairclough (1992) and Mashaw (2007) in a critical discourse analysis of corporate human rights disclosures of ten companies in each of the chemical, mining and pharmaceutical industries at two points in time coinciding with: first, the publication in 2008 of the Protect, Respect, Remedy policy framework; and second, the endorsement by the UN in 2011, of a set of Guiding Principles designed to implement this framework. Findings-The study finds four grammars of respect and three different scopes of rights within specific corporate accountably disclosures on their responsibility to respect rights. Corporate constructions of human rights are broad: from labour rights, through social and political rights, to the right to health and a clean environment. The corporate discourse is one of promoting, realizing and upholding rights that construct the corporation as an autonomous source of power beyond the state. Practical implications-The paper contends that the structuring of this emerging discourse is important, not only because the meaning and scope of corporate respect for rights affects the lived experience of some of the most vulnerable in society, but also because it reflects a shifting the relationship between the state, business and society (Muchlinski 2012). Originality/value-The authors develop a way of conceptualizing business human rights responsibilities and contend that the corporate human rights discourse of respect reflects a significant reconfiguration of political power.&quot;,&quot;container-title-short&quot;:&quot;&quot;},&quot;isTemporary&quot;:false},{&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citationTag&quot;:&quot;MENDELEY_CITATION_v3_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quot;},{&quot;citationID&quot;:&quot;MENDELEY_CITATION_9029ca32-a3c4-480e-9948-482d017c13c9&quot;,&quot;properties&quot;:{&quot;noteIndex&quot;:0},&quot;isEdited&quot;:false,&quot;manualOverride&quot;:{&quot;isManuallyOverridden&quot;:false,&quot;citeprocText&quot;:&quot;(Islam &lt;i&gt;et al.&lt;/i&gt;, 2018)&quot;,&quot;manualOverrideText&quot;:&quot;&quot;},&quot;citationItems&quot;:[{&quot;id&quot;:&quot;d2f58708-5c02-32e6-8ccd-45c07a6eec80&quot;,&quot;itemData&quot;:{&quot;type&quot;:&quot;article-journal&quot;,&quot;id&quot;:&quot;d2f58708-5c02-32e6-8ccd-45c07a6eec80&quot;,&quot;title&quot;:&quot;Social compliance audits and multinational corporation supply chain: evidence from a study of the rituals of social audits&quot;,&quot;author&quot;:[{&quot;family&quot;:&quot;Islam&quot;,&quot;given&quot;:&quot;Muhammad Azizul&quot;,&quot;parse-names&quot;:false,&quot;dropping-particle&quot;:&quot;&quot;,&quot;non-dropping-particle&quot;:&quot;&quot;},{&quot;family&quot;:&quot;Deegan&quot;,&quot;given&quot;:&quot;Craig&quot;,&quot;parse-names&quot;:false,&quot;dropping-particle&quot;:&quot;&quot;,&quot;non-dropping-particle&quot;:&quot;&quot;},{&quot;family&quot;:&quot;Gray&quot;,&quot;given&quot;:&quot;Rob&quot;,&quot;parse-names&quot;:false,&quot;dropping-particle&quot;:&quot;&quot;,&quot;non-dropping-particle&quot;:&quot;&quot;}],&quot;container-title&quot;:&quot;Accounting and Business Research&quot;,&quot;accessed&quot;:{&quot;date-parts&quot;:[[2023,6,6]]},&quot;DOI&quot;:&quot;10.1080/00014788.2017.1362330&quot;,&quot;ISSN&quot;:&quot;21594260&quot;,&quot;issued&quot;:{&quot;date-parts&quot;:[[2018,2,23]]},&quot;page&quot;:&quot;190-224&quot;,&quot;abstract&quot;:&quot;This study investigates the use of social compliance audits in the supply chain of multinational corporations (MNCs). Particularly, we explore the use of such audits in assessing and managing the working conditions of factory workers in the garment industry in a developing nation. Through a range of interviews with MNCs’ internal auditors, with commissioned external auditors and with representatives of the suppliers in Bangladesh, this study finds that social compliance audits become ritual strategies and are not a primary means of advancing workers’ rights. Drawing on the concept of surrogate accountability, the study suggests that to create real change in workers’ conditions and in order to hold MNCs and their suppliers accountable, some form of surrogate (government, non-governmental organisations or media) intervention is necessary. This is, we argue, preferable to leaving it in the hands of ‘markets’ and simply waiting for another major incident such as Rana Plaza to stir public concern. This study contributes to the literature by investigating how social compliance audits are undertaken by MNCs sourcing products from a developing nation, what motivations drive the adoption of such audits, and what, if anything, are the likely outcomes from the process.&quot;,&quot;publisher&quot;:&quot;Routledge&quot;,&quot;issue&quot;:&quot;2&quot;,&quot;volume&quot;:&quot;48&quot;,&quot;container-title-short&quot;:&quot;&quot;},&quot;isTemporary&quot;:false}],&quot;citationTag&quot;:&quot;MENDELEY_CITATION_v3_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&quot;},{&quot;citationID&quot;:&quot;MENDELEY_CITATION_10f23353-af62-4847-a85d-c1f4da8af95b&quot;,&quot;properties&quot;:{&quot;noteIndex&quot;:0},&quot;isEdited&quot;:false,&quot;manualOverride&quot;:{&quot;isManuallyOverridden&quot;:false,&quot;citeprocText&quot;:&quot;(Islam, 2018)&quot;,&quot;manualOverrideText&quot;:&quot;&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citationTag&quot;:&quot;MENDELEY_CITATION_v3_eyJjaXRhdGlvbklEIjoiTUVOREVMRVlfQ0lUQVRJT05fMTBmMjMzNTMtYWY2Mi00ODQ3LWE4NWQtYzFmNGRhOGFmOTVi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quot;},{&quot;citationID&quot;:&quot;MENDELEY_CITATION_217a0f87-0122-402c-83db-7b621354115c&quot;,&quot;properties&quot;:{&quot;noteIndex&quot;:0},&quot;isEdited&quot;:false,&quot;manualOverride&quot;:{&quot;isManuallyOverridden&quot;:false,&quot;citeprocText&quot;:&quot;(Bebbington &lt;i&gt;et al.&lt;/i&gt;, 2014)&quot;,&quot;manualOverrideText&quot;:&quot;&quot;},&quot;citationItems&quot;:[{&quot;id&quot;:&quot;7a73a621-5078-3466-91ae-f6fcfbdd4efa&quot;,&quot;itemData&quot;:{&quot;type&quot;:&quot;book&quot;,&quot;id&quot;:&quot;7a73a621-5078-3466-91ae-f6fcfbdd4efa&quot;,&quot;title&quot;:&quot;Sustainability Accounting and Accountability&quot;,&quot;author&quot;:[{&quot;family&quot;:&quot;Bebbington&quot;,&quot;given&quot;:&quot;J.&quot;,&quot;parse-names&quot;:false,&quot;dropping-particle&quot;:&quot;&quot;,&quot;non-dropping-particle&quot;:&quot;&quot;},{&quot;family&quot;:&quot;Unerman&quot;,&quot;given&quot;:&quot;J&quot;,&quot;parse-names&quot;:false,&quot;dropping-particle&quot;:&quot;&quot;,&quot;non-dropping-particle&quot;:&quot;&quot;},{&quot;family&quot;:&quot;O'Dwyer&quot;,&quot;given&quot;:&quot;B.&quot;,&quot;parse-names&quot;:false,&quot;dropping-particle&quot;:&quot;&quot;,&quot;non-dropping-particle&quot;:&quot;&quot;}],&quot;accessed&quot;:{&quot;date-parts&quot;:[[2023,5,17]]},&quot;URL&quot;:&quot;https://www.taylorfrancis.com/pdfviewer/&quot;,&quot;issued&quot;:{&quot;date-parts&quot;:[[2014]]},&quot;publisher-place&quot;:&quot;London and New York&quot;,&quot;number-of-pages&quot;:&quot;1-319&quot;,&quot;edition&quot;:&quot;2&quot;,&quot;publisher&quot;:&quot;Routledge&quot;,&quot;container-title-short&quot;:&quot;&quot;},&quot;isTemporary&quot;:false}],&quot;citationTag&quot;:&quot;MENDELEY_CITATION_v3_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&quot;},{&quot;citationID&quot;:&quot;MENDELEY_CITATION_658ccdce-f4d5-43e3-b91b-b61c622b4d60&quot;,&quot;properties&quot;:{&quot;noteIndex&quot;:0},&quot;isEdited&quot;:false,&quot;manualOverride&quot;:{&quot;isManuallyOverridden&quot;:false,&quot;citeprocText&quot;:&quot;(Christ &lt;i&gt;et al.&lt;/i&gt;, 2019, 2020; McPhail and Ferguson, 2016)&quot;,&quot;manualOverrideText&quot;:&quot;&quot;},&quot;citationItems&quot;:[{&quot;id&quot;:&quot;b75c3f02-50b3-3f44-87c0-c19c561baf3a&quot;,&quot;itemData&quot;:{&quot;type&quot;:&quot;article-journal&quot;,&quot;id&quot;:&quot;b75c3f02-50b3-3f44-87c0-c19c561baf3a&quot;,&quot;title&quot;:&quot;The past, the present and the future of accounting for human rights&quot;,&quot;author&quot;:[{&quot;family&quot;:&quot;McPhail&quot;,&quot;given&quot;:&quot;Ken&quot;,&quot;parse-names&quot;:false,&quot;dropping-particle&quot;:&quot;&quot;,&quot;non-dropping-particle&quot;:&quot;&quot;},{&quot;family&quot;:&quot;Ferguson&quot;,&quot;given&quot;:&quot;John&quot;,&quot;parse-names&quot;:false,&quot;dropping-particle&quot;:&quot;&quot;,&quot;non-dropping-particle&quot;:&quot;&quot;}],&quot;container-title&quot;:&quot;Accounting, Auditing and Accountability Journal&quot;,&quot;issued&quot;:{&quot;date-parts&quot;:[[2016,5,16]]},&quot;page&quot;:&quot;526-541&quot;,&quot;abstract&quot;:&quot;Purpose – The purpose of this paper is to discuss a number of important recent developments in the area of business and human rights and considers the impact of these developments for accounting, assurance and reporting. Following the UN endorsement of the Guiding Principles on Business and Human Rights (the Guiding Principles) in June 2011, initiatives related to their implementation have advanced at a rapid pace. Despite the centrality of accounting, assurance and reporting to some of the key initiates – accounting research has, hitherto, lagged behind this growing momentum. In order to address this lacunae, this paper develops an agenda for future research in the area of accounting and human rights. In doing so, the paper provides an overview of the important contributions advanced by the other papers in this special issue of Accounting, Auditing and Accountability Journal (AAAJ). Design/methodology/approach – This paper draws together and identifies key issues and themes related to the rapidly evolving research and policy domain of business and human rights and considers the relevance of these issues to accounting research. Findings – The paper highlights the wide-ranging impact the Guiding Principles and other developments in business and human rights have for accounting practice and draws attention to potential areas of research for accounting scholars. In particular, the paper highlights the emergence of business and human rights due diligence requirements, including their management and reporting. Further, the paper draws attention to the development of business and human rights reporting and assurance practice – which, while still in its infancy, has gathered considerable momentum and support. Research limitations/implications – The paper provides important insights into emerging issues and developments in business and human rights that have clear relevance to accounting research and practice. Originality/value – This paper, and the other contributions to this special issue of AAAJ, provide a basis and a research agenda for accounting scholars seeking to undertake research in this significant and emerging field.&quot;,&quot;publisher&quot;:&quot;Emerald Group Publishing Ltd.&quot;,&quot;issue&quot;:&quot;4&quot;,&quot;volume&quot;:&quot;29&quot;,&quot;container-title-short&quot;:&quot;&quot;},&quot;isTemporary&quot;:false},{&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citationTag&quot;:&quot;MENDELEY_CITATION_v3_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Sx7ImlkIjoiN2Y3MjVjZWMtZGQ5OS0zNWNmLWIwNmUtMGI2N2U3MjRlMzAwIiwiaXRlbURhdGEiOnsidHlwZSI6ImFydGljbGUtam91cm5hbCIsImlkIjoiN2Y3MjVjZWMtZGQ5OS0zNWNmLWIwNmUtMGI2N2U3MjRlMzAwIiwidGl0bGUiOiJBY2NvdW50aW5nIGZvciB3b3JrIGNvbmRpdGlvbnMgZnJvbSBtb2Rlcm4gc2xhdmVyeSB0byBkZWNlbnQgd29yay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&quot;},{&quot;citationID&quot;:&quot;MENDELEY_CITATION_2bee124c-f0ba-4379-8454-48ccc96c287b&quot;,&quot;properties&quot;:{&quot;noteIndex&quot;:0},&quot;isEdited&quot;:false,&quot;manualOverride&quot;:{&quot;isManuallyOverridden&quot;:false,&quot;citeprocText&quot;:&quot;(Islam, 2018)&quot;,&quot;manualOverrideText&quot;:&quot;&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citationTag&quot;:&quot;MENDELEY_CITATION_v3_eyJjaXRhdGlvbklEIjoiTUVOREVMRVlfQ0lUQVRJT05fMmJlZTEyNGMtZjBiYS00Mzc5LTg0NTQtNDhjY2M5NmMyODdi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quot;},{&quot;citationID&quot;:&quot;MENDELEY_CITATION_1ce4842a-33a7-4173-96b9-d6eb86d784c9&quot;,&quot;properties&quot;:{&quot;noteIndex&quot;:0},&quot;isEdited&quot;:false,&quot;manualOverride&quot;:{&quot;isManuallyOverridden&quot;:false,&quot;citeprocText&quot;:&quot;(Islam, 2018)&quot;,&quot;manualOverrideText&quot;:&quot;&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citationTag&quot;:&quot;MENDELEY_CITATION_v3_eyJjaXRhdGlvbklEIjoiTUVOREVMRVlfQ0lUQVRJT05fMWNlNDg0MmEtMzNhNy00MTczLTk2YjktZDZlYjg2ZDc4NGM5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quot;},{&quot;citationID&quot;:&quot;MENDELEY_CITATION_76fdd254-0152-4847-94d7-7cfa78c81dc0&quot;,&quot;properties&quot;:{&quot;noteIndex&quot;:0},&quot;isEdited&quot;:false,&quot;manualOverride&quot;:{&quot;isManuallyOverridden&quot;:false,&quot;citeprocText&quot;:&quot;(Christ &lt;i&gt;et al.&lt;/i&gt;, 2023; Deegan, 2017)&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L.&quot;,&quot;parse-names&quot;:false,&quot;dropping-particle&quot;:&quot;&quot;,&quot;non-dropping-particle&quot;:&quot;&quot;},{&quot;family&quot;:&quot;Burritt&quot;,&quot;given&quot;:&quot;R.L.&quot;,&quot;parse-names&quot;:false,&quot;dropping-particle&quot;:&quot;&quot;,&quot;non-dropping-particle&quot;:&quot;&quot;},{&quot;family&quot;:&quot;Islam&quot;,&quot;given&quot;:&quot;M.A.&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id&quot;:&quot;aef2aea3-4c9f-3e41-9c36-e333ec26d522&quot;,&quot;itemData&quot;:{&quot;type&quot;:&quot;article-journal&quot;,&quot;id&quot;:&quot;aef2aea3-4c9f-3e41-9c36-e333ec26d522&quot;,&quot;title&quot;:&quot;Twenty five years of social and environmental accounting research within Critical Perspectives of Accounting: Hits, misses and ways forward&quot;,&quot;author&quot;:[{&quot;family&quot;:&quot;Deegan&quot;,&quot;given&quot;:&quot;Craig&quot;,&quot;parse-names&quot;:false,&quot;dropping-particle&quot;:&quot;&quot;,&quot;non-dropping-particle&quot;:&quot;&quot;}],&quot;container-title&quot;:&quot;Critical Perspectives on Accounting&quot;,&quot;ISSN&quot;:&quot;10959955&quot;,&quot;issued&quot;:{&quot;date-parts&quot;:[[2017,3,1]]},&quot;page&quot;:&quot;65-87&quot;,&quot;abstract&quot;:&quot;This commentary provides a reflection on 25 years of social and environmental accounting (SEA) research within Critical Perspectives of Accounting (CPA). It is shown that CPA has been a major vehicle for disseminating SEA research with the published research coming from a variety of ‘critical’, ‘middle-of-the-road’, and ‘managerial’ perspectives. A number of topic areas attract attention with the most populated topic area relating to ‘new imaginings’ of accounting, with useful insights provided in terms of the use of counter, shadow, and dialogic accounts’ which reflect multiple voices and perspectives. It is emphasised within the commentary that SEA researchers need to examine the political foundations of their work. Important issues associated with SEA researchers’ role with engagement (both in terms of how they are undertaking their research, as well as where they are disseminating their results), in challenging existing practice, and in fostering a more enlightened and balanced form of education are also addressed.&quot;,&quot;publisher&quot;:&quot;Academic Press&quot;,&quot;volume&quot;:&quot;43&quot;,&quot;container-title-short&quot;:&quot;&quot;},&quot;isTemporary&quot;:false}],&quot;citationTag&quot;:&quot;MENDELEY_CITATION_v3_eyJjaXRhdGlvbklEIjoiTUVOREVMRVlfQ0lUQVRJT05fNzZmZGQyNTQtMDE1Mi00ODQ3LTk0ZDctN2NmYTc4YzgxZGMwIiwicHJvcGVydGllcyI6eyJub3RlSW5kZXgiOjB9LCJpc0VkaXRlZCI6ZmFsc2UsIm1hbnVhbE92ZXJyaWRlIjp7ImlzTWFudWFsbHlPdmVycmlkZGVuIjpmYWxzZSwiY2l0ZXByb2NUZXh0IjoiKENocmlzdCA8aT5ldCBhbC48L2k+LCAyMDIzOyBEZWVnYW4sIDIwMTcpIiwibWFudWFsT3ZlcnJpZGVUZXh0IjoiIn0sImNpdGF0aW9uSXRlbXMiOlt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&quot;},{&quot;citationID&quot;:&quot;MENDELEY_CITATION_d113a41b-2bae-4e86-bcb9-1f4d91c59620&quot;,&quot;properties&quot;:{&quot;noteIndex&quot;:0},&quot;isEdited&quot;:false,&quot;manualOverride&quot;:{&quot;isManuallyOverridden&quot;:false,&quot;citeprocText&quot;:&quot;(Islam, 2018)&quot;,&quot;manualOverrideText&quot;:&quot;&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citationTag&quot;:&quot;MENDELEY_CITATION_v3_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&quot;},{&quot;citationID&quot;:&quot;MENDELEY_CITATION_094821ff-a3f6-4773-b505-e6c8b73f3cc1&quot;,&quot;properties&quot;:{&quot;noteIndex&quot;:0},&quot;isEdited&quot;:false,&quot;manualOverride&quot;:{&quot;isManuallyOverridden&quot;:false,&quot;citeprocText&quot;:&quot;(Walk Free and Minderoo, 2018)&quot;,&quot;manualOverrideText&quot;:&quot;&quot;},&quot;citationItems&quot;:[{&quot;id&quot;:&quot;70addc1e-7888-3306-957d-c3c3e6c6cd4d&quot;,&quot;itemData&quot;:{&quot;type&quot;:&quot;report&quot;,&quot;id&quot;:&quot;70addc1e-7888-3306-957d-c3c3e6c6cd4d&quot;,&quot;title&quot;:&quot;Understanding Modern Slavery: What is modern slavery?&quot;,&quot;author&quot;:[{&quot;family&quot;:&quot;Walk Free&quot;,&quot;given&quot;:&quot;&quot;,&quot;parse-names&quot;:false,&quot;dropping-particle&quot;:&quot;&quot;,&quot;non-dropping-particle&quot;:&quot;&quot;},{&quot;family&quot;:&quot;Minderoo&quot;,&quot;given&quot;:&quot;&quot;,&quot;parse-names&quot;:false,&quot;dropping-particle&quot;:&quot;&quot;,&quot;non-dropping-particle&quot;:&quot;&quot;}],&quot;accessed&quot;:{&quot;date-parts&quot;:[[2023,1,20]]},&quot;URL&quot;:&quot;www.minderoo.org.au/walk-free&quot;,&quot;issued&quot;:{&quot;date-parts&quot;:[[2018]]},&quot;container-title-short&quot;:&quot;&quot;},&quot;isTemporary&quot;:false}],&quot;citationTag&quot;:&quot;MENDELEY_CITATION_v3_eyJjaXRhdGlvbklEIjoiTUVOREVMRVlfQ0lUQVRJT05fMDk0ODIxZmYtYTNmNi00NzczLWI1MDUtZTZjOGI3M2YzY2MxIiwicHJvcGVydGllcyI6eyJub3RlSW5kZXgiOjB9LCJpc0VkaXRlZCI6ZmFsc2UsIm1hbnVhbE92ZXJyaWRlIjp7ImlzTWFudWFsbHlPdmVycmlkZGVuIjpmYWxzZSwiY2l0ZXByb2NUZXh0IjoiKFdhbGsgRnJlZSBhbmQgTWluZGVyb28sIDIwMTgpIiwibWFudWFsT3ZlcnJpZGVUZXh0Ijoi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1dfQ==&quot;},{&quot;citationID&quot;:&quot;MENDELEY_CITATION_7406139c-cd23-454b-bb3b-2ac61494ac9d&quot;,&quot;properties&quot;:{&quot;noteIndex&quot;:0},&quot;isEdited&quot;:false,&quot;manualOverride&quot;:{&quot;isManuallyOverridden&quot;:true,&quot;citeprocText&quot;:&quot;(CNN Freedom project, 2017)&quot;,&quot;manualOverrideText&quot;:&quot;CNN Freedom Project, 2017)&quot;},&quot;citationItems&quot;:[{&quot;id&quot;:&quot;f583728f-80c4-37f0-8804-fdbf7bea73a3&quot;,&quot;itemData&quot;:{&quot;type&quot;:&quot;webpage&quot;,&quot;id&quot;:&quot;f583728f-80c4-37f0-8804-fdbf7bea73a3&quot;,&quot;title&quot;:&quot;Slave-free chocolate: a not-so-guilty pleasure &quot;,&quot;author&quot;:[{&quot;family&quot;:&quot;CNN Freedom project&quot;,&quot;given&quot;:&quot;&quot;,&quot;parse-names&quot;:false,&quot;dropping-particle&quot;:&quot;&quot;,&quot;non-dropping-particle&quot;:&quot;&quot;}],&quot;accessed&quot;:{&quot;date-parts&quot;:[[2023,1,30]]},&quot;URL&quot;:&quot;https://edition.cnn.com/2017/06/02/world/tonys-chocolonely-slavery-free-chocolate/index.html&quot;,&quot;issued&quot;:{&quot;date-parts&quot;:[[2017,6,7]]},&quot;container-title-short&quot;:&quot;&quot;},&quot;isTemporary&quot;:false}],&quot;citationTag&quot;:&quot;MENDELEY_CITATION_v3_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&quot;},{&quot;citationID&quot;:&quot;MENDELEY_CITATION_13fb042d-43ea-41cf-8a4b-162873c99008&quot;,&quot;properties&quot;:{&quot;noteIndex&quot;:0},&quot;isEdited&quot;:false,&quot;manualOverride&quot;:{&quot;isManuallyOverridden&quot;:true,&quot;citeprocText&quot;:&quot;(CNN Freedom project, 2017)&quot;,&quot;manualOverrideText&quot;:&quot;(CNN Freedom Project, 2017)&quot;},&quot;citationItems&quot;:[{&quot;id&quot;:&quot;f583728f-80c4-37f0-8804-fdbf7bea73a3&quot;,&quot;itemData&quot;:{&quot;type&quot;:&quot;webpage&quot;,&quot;id&quot;:&quot;f583728f-80c4-37f0-8804-fdbf7bea73a3&quot;,&quot;title&quot;:&quot;Slave-free chocolate: a not-so-guilty pleasure &quot;,&quot;author&quot;:[{&quot;family&quot;:&quot;CNN Freedom project&quot;,&quot;given&quot;:&quot;&quot;,&quot;parse-names&quot;:false,&quot;dropping-particle&quot;:&quot;&quot;,&quot;non-dropping-particle&quot;:&quot;&quot;}],&quot;accessed&quot;:{&quot;date-parts&quot;:[[2023,1,30]]},&quot;URL&quot;:&quot;https://edition.cnn.com/2017/06/02/world/tonys-chocolonely-slavery-free-chocolate/index.html&quot;,&quot;issued&quot;:{&quot;date-parts&quot;:[[2017,6,7]]},&quot;container-title-short&quot;:&quot;&quot;},&quot;isTemporary&quot;:false}],&quot;citationTag&quot;:&quot;MENDELEY_CITATION_v3_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&quot;},{&quot;citationID&quot;:&quot;MENDELEY_CITATION_6d02cc66-6b8a-481b-bbe7-6fd1599a8365&quot;,&quot;properties&quot;:{&quot;noteIndex&quot;:0},&quot;isEdited&quot;:false,&quot;manualOverride&quot;:{&quot;isManuallyOverridden&quot;:false,&quot;citeprocText&quot;:&quot;(Christ &lt;i&gt;et al.&lt;/i&gt;, 2020)&quot;,&quot;manualOverrideText&quot;:&quot;&quot;},&quot;citationItems&quot;:[{&quot;id&quot;:&quot;7f725cec-dd99-35cf-b06e-0b67e724e300&quot;,&quot;itemData&quot;:{&quot;type&quot;:&quot;article-journal&quot;,&quot;id&quot;:&quot;7f725cec-dd99-35cf-b06e-0b67e724e300&quot;,&quot;title&quot;:&quot;Accounting for work conditions from modern slavery to decent work&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Schaltegger&quot;,&quot;given&quot;:&quot;Stefan&quot;,&quot;parse-names&quot;:false,&quot;dropping-particle&quot;:&quot;&quot;,&quot;non-dropping-particle&quot;:&quot;&quot;}],&quot;container-title&quot;:&quot; Accounting, Auditing &amp; Accountability Journal&quot;,&quot;accessed&quot;:{&quot;date-parts&quot;:[[2023,2,4]]},&quot;issued&quot;:{&quot;date-parts&quot;:[[2020]]},&quot;page&quot;:&quot;1481-1504&quot;,&quot;abstract&quot;:&quot;Purpose-With the initial focus on the extreme end of the work conditions continuum where, in the last decade, legislation has been introduced to combat illegal and illegitimate practices, this issue's lead paper provides an overview on key topics of extreme work conditions of modern slavery and accounting. The paper introduces the Special Issue on \&quot;Accounting for modern slavery, employees and work conditions in business\&quot; and its selected papers. Design/methodology/approach-The method adopted is a wide-ranging literature review exploring the continuum of work conditions and their relationship to accounting, especially extreme exploitation of workers through modern slavery. Findings-Employment and workplace conditions and practices in business can be viewed as a continuum ranging from the illegal and illegitimate practices of modern slavery, through unethical and often illegal practices such as wages theft, to decent work. Given this continuum, in this Special Issue avenues are identified for accounting research to provide an account of the effectiveness of actions taken to eliminate modern slavery and overcome grey areas of work conditions. Practical implications-The paper helps to create an improved understanding of different types of exploitation in work conditions in different industries and the role accounting might play in research and practice. Social implications-Slavery did not end with abolition in the 19th century. Instead, it changed its forms and continues to harm people in every country in the world especially in certain industries, of which several are discussed and accounting advice proffered. Likewise, as reflected in Special Issue papers, the role of accounting in reducing less extreme forms of poor work conditions is also considered. Originality/value-The paper provides an overview of different forms and degrees of exploitation in work conditions and identifies the need for and areas of accounting research in this emerging area.&quot;,&quot;issue&quot;:&quot;7&quot;,&quot;volume&quot;:&quot;33&quot;,&quot;container-title-short&quot;:&quot;&quot;},&quot;isTemporary&quot;:false}],&quot;citationTag&quot;:&quot;MENDELEY_CITATION_v3_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&quot;},{&quot;citationID&quot;:&quot;MENDELEY_CITATION_cc3f3037-19a8-4bad-92e1-a8f9df377ba7&quot;,&quot;properties&quot;:{&quot;noteIndex&quot;:0},&quot;isEdited&quot;:false,&quot;manualOverride&quot;:{&quot;isManuallyOverridden&quot;:true,&quot;citeprocText&quot;:&quot;(Ahmed and Uddin, 2021; Business and Human Rights Resource Centre, 2023; Ma &lt;i&gt;et al.&lt;/i&gt;, 2016; Siddiqui &lt;i&gt;et al.&lt;/i&gt;, 2020; Siddiqui and Uddin, 2016; White &lt;i&gt;et al.&lt;/i&gt;, 2017)&quot;,&quot;manualOverrideText&quot;:&quot;(Ahmed and Uddin, 2021; BHRRC, 2023; Ma et al., 2016; Siddiqui et al., 2020; Siddiqui and Uddin, 2016; White et al., 2017)&quot;},&quot;citationItems&quot;:[{&quot;id&quot;:&quot;d8b26033-ef46-3de4-9b31-b62476272277&quot;,&quot;itemData&quot;:{&quot;type&quot;:&quot;article-journal&quot;,&quot;id&quot;:&quot;d8b26033-ef46-3de4-9b31-b62476272277&quot;,&quot;title&quot;:&quot;Private governance responsibilization in global supply chains: the case of Rana Plaza&quot;,&quot;author&quot;:[{&quot;family&quot;:&quot;Siddiqui&quot;,&quot;given&quot;:&quot;Javed&quot;,&quot;parse-names&quot;:false,&quot;dropping-particle&quot;:&quot;&quot;,&quot;non-dropping-particle&quot;:&quot;&quot;},{&quot;family&quot;:&quot;McPhail&quot;,&quot;given&quot;:&quot;Kenneth&quot;,&quot;parse-names&quot;:false,&quot;dropping-particle&quot;:&quot;&quot;,&quot;non-dropping-particle&quot;:&quot;&quot;},{&quot;family&quot;:&quot;Rahman&quot;,&quot;given&quot;:&quot;Sharmin Shabnam&quot;,&quot;parse-names&quot;:false,&quot;dropping-particle&quot;:&quot;&quot;,&quot;non-dropping-particle&quot;:&quot;&quot;}],&quot;container-title&quot;:&quot;Accounting, Auditing and Accountability Journal&quot;,&quot;issued&quot;:{&quot;date-parts&quot;:[[2020,10,20]]},&quot;page&quot;:&quot;1569-1594&quot;,&quot;abstract&quot;:&quot;Purpose: The paper explores the emergence of private sector responsibilisation for tackling governance issues in a global supply chain. The infamous case of the Rana Plaza collapse in Bangladesh is used to investigate the ways a frameshift, triggered by a manmade disaster, can potentially influence the effectiveness of the certification process in a research site characterised by the presence of a strong state-business nexus. Design/methodology/approach: The empirical work for this paper is based 24 semi-structured interviews with owners, managers, operators, independent inspectors in the ready-made garments (RMG) industry in Bangladesh between 2014 and 2018. We also analyse a range of archival materials. For the purpose of data analysis, we adopted an exploratory flexible pattern matching design with nested template analysis (Sinkovics et al., 2019). Findings: Our analysis suggests that the magnitude of the Rana Plaza collapse triggered several frameshifts in multinational corporations approach towards labour governance in Bangladesh. Subsequently, a responsibility framework for the private sector was created, resulting in significant improvements in working conditions in the sector. However, the sustainability of the labour governance mechanisms was significantly affected by the state's ability to play the role of catalyst in the process, mainly due to the presence of a significant state-business nexus. Originality/value: We find that broadening the scope of sustainability accounting and assurance process can allow social auditors to play a more meaningful role in triggering collective actions to address labour governance issues in supply chains. However, in a context defined by the presence of a state-business nexus, the sustainability of such a process largely depends on the willingness of the state to play the role of a catalyst.&quot;,&quot;publisher&quot;:&quot;Emerald Group Holdings Ltd.&quot;,&quot;issue&quot;:&quot;7&quot;,&quot;volume&quot;:&quot;33&quot;,&quot;container-title-short&quot;:&quot;&quot;},&quot;isTemporary&quot;:false},{&quot;id&quot;:&quot;6e8e37ae-1d98-3450-ad11-fbe1d0b9bd5d&quot;,&quot;itemData&quot;:{&quot;type&quot;:&quot;article-journal&quot;,&quot;id&quot;:&quot;6e8e37ae-1d98-3450-ad11-fbe1d0b9bd5d&quot;,&quot;title&quot;:&quot;Human rights disasters, corporate accountability and the state: Lessons learned from Rana Plaza&quot;,&quot;author&quot;:[{&quot;family&quot;:&quot;Siddiqui&quot;,&quot;given&quot;:&quot;Javed&quot;,&quot;parse-names&quot;:false,&quot;dropping-particle&quot;:&quot;&quot;,&quot;non-dropping-particle&quot;:&quot;&quot;},{&quot;family&quot;:&quot;Uddin&quot;,&quot;given&quot;:&quot;Shahzad&quot;,&quot;parse-names&quot;:false,&quot;dropping-particle&quot;:&quot;&quot;,&quot;non-dropping-particle&quot;:&quot;&quot;}],&quot;container-title&quot;:&quot;Accounting, Auditing and Accountability Journal&quot;,&quot;ISSN&quot;:&quot;09513574&quot;,&quot;issued&quot;:{&quot;date-parts&quot;:[[2016,5,16]]},&quot;page&quot;:&quot;679-704&quot;,&quot;abstract&quot;:&quot;Purpose – The purpose of this paper is to examine the state-business nexus in responses to human rights violations in businesses and questions the efficacy of the UN guiding principles on human rights in businesses, in particular in the ready-made garments (RMG) industry in Bangladesh. Drawing on Cohen’s notion of “denial” and Black’s (2008) legitimacy and accountability relationships of state and non-state actors, the study seeks to explain why such “soft” global regulations remain inadequate. Design/methodology/approach – The empirical work for this paper is based on the authors’ participation in two multiple-stakeholder advisory consultation meetings for the RMG sector in Bangladesh and 11 follow-up interviews. This is supplemented by documentary evidence on human rights disasters, responses of the state and non-state actors and human rights reports published in national and international newspapers. Findings – The paper provides clear evidence that the state-business nexus perpetuates human rights disasters. The study also shows that the Bangladeshi state, ruled by family-led political parties, is more inclined to protect businesses that cause human rights disasters than to ensure human rights in businesses. The economic conditions of the RMG industry and accountability and legitimacy relationships between state and non-state actors have provided the necessary background for RMG owners to continue to violate the safety and security of the workplace and maintain inhumane working conditions. Research limitations/implications – Complex state politics, including family, kinship and wealthy supporters, and economic circumstances have serious implications for the efficacy of the UN guiding principle on human rights for business. This paper calls for broader political and economic changes, nationally and internationally. Originality/value – The study highlights the perpetuation of corporate human rights abuses by the state-business nexus, and indicates that human rights issues continue to be ignored through a discourse of denial. This is explained in terms of legitimacy and accountability relationships between state and non-state actors, bounded by complex political and economic conditions.&quot;,&quot;publisher&quot;:&quot;Emerald Group Publishing Ltd.&quot;,&quot;issue&quot;:&quot;4&quot;,&quot;volume&quot;:&quot;29&quot;,&quot;container-title-short&quot;:&quot;&quot;},&quot;isTemporary&quot;:false},{&quot;id&quot;:&quot;709b94a2-509d-3cc5-a114-2fde0e14fa5d&quot;,&quot;itemData&quot;:{&quot;type&quot;:&quot;article-journal&quot;,&quot;id&quot;:&quot;709b94a2-509d-3cc5-a114-2fde0e14fa5d&quot;,&quot;title&quot;:&quot;Workplace Bullying and Intensification of Labour Controls in the Clothing Supply Chain: Post-Rana Plaza Disaster&quot;,&quot;author&quot;:[{&quot;family&quot;:&quot;Ahmed&quot;,&quot;given&quot;:&quot;Md Shoaib&quot;,&quot;parse-names&quot;:false,&quot;dropping-particle&quot;:&quot;&quot;,&quot;non-dropping-particle&quot;:&quot;&quot;},{&quot;family&quot;:&quot;Uddin&quot;,&quot;given&quot;:&quot;Shahzad&quot;,&quot;parse-names&quot;:false,&quot;dropping-particle&quot;:&quot;&quot;,&quot;non-dropping-particle&quot;:&quot;&quot;}],&quot;container-title&quot;:&quot;Work, Employment and Society&quot;,&quot;ISSN&quot;:&quot;09500170&quot;,&quot;issued&quot;:{&quot;date-parts&quot;:[[2021]]},&quot;abstract&quot;:&quot;This article examines workplace bullying and the intensification of labour controls in the clothing supply chain. It appears that extreme forms of bullying are deployed to intensify labour controls, including locking workers in, frequent wage cuts, setting moveable targets and carrying out intense observations. The context of this study is surplus value-starved clothing factories in Bangladesh. Global supply chains’ production regimes and the absence of state protections and trade unions enable factory managers to systematically deploy bullying tactics to achieve production targets. Drawing on Burawoy’s works, this article advances the debate of how workplace bullying is impacted by wider structural conditions with managerial strategies of coercion in factories. It is argued here that when the state intervenes in the factory only to protect and preserve capitalists’ interests, explicitly and implicitly, coercive strategies of control turn into extreme bullying on the shopfloor.&quot;,&quot;publisher&quot;:&quot;SAGE Publications Ltd&quot;,&quot;container-title-short&quot;:&quot;&quot;},&quot;isTemporary&quot;:false},{&quot;id&quot;:&quot;ec78acd9-7649-34e4-9bdd-b6c1d134fa39&quot;,&quot;itemData&quot;:{&quot;type&quot;:&quot;webpage&quot;,&quot;id&quot;:&quot;ec78acd9-7649-34e4-9bdd-b6c1d134fa39&quot;,&quot;title&quot;:&quot;Bangladesh: Factory safety has improved since Rana Plaza, but 'harmful' brand purchasing practices remain, report finds - Business &amp; Human Rights Resource Centre&quot;,&quot;author&quot;:[{&quot;family&quot;:&quot;Business and Human Rights Resource Centre&quot;,&quot;given&quot;:&quot;&quot;,&quot;parse-names&quot;:false,&quot;dropping-particle&quot;:&quot;&quot;,&quot;non-dropping-particle&quot;:&quot;&quot;}],&quot;accessed&quot;:{&quot;date-parts&quot;:[[2023,4,13]]},&quot;URL&quot;:&quot;https://www.business-humanrights.org/en/latest-news/bangladesh-health-safety-has-improved-since-rana-plaza-but-harmful-brand-purchasing-practices-remain-report-finds/&quot;,&quot;issued&quot;:{&quot;date-parts&quot;:[[2023,4,23]]},&quot;container-title-short&quot;:&quot;&quot;},&quot;isTemporary&quot;:false},{&quot;id&quot;:&quot;1979fefc-119e-3d00-8543-140539876dd2&quot;,&quot;itemData&quot;:{&quot;type&quot;:&quot;article-journal&quot;,&quot;id&quot;:&quot;1979fefc-119e-3d00-8543-140539876dd2&quot;,&quot;title&quot;:&quot;Transparency of Global Apparel Supply Chains: Quantitative Analysis of Corporate Disclosures&quot;,&quot;author&quot;:[{&quot;family&quot;:&quot;Ma&quot;,&quot;given&quot;:&quot;Yoon Jin&quot;,&quot;parse-names&quot;:false,&quot;dropping-particle&quot;:&quot;&quot;,&quot;non-dropping-particle&quot;:&quot;&quot;},{&quot;family&quot;:&quot;Lee&quot;,&quot;given&quot;:&quot;Hyun Hwa&quot;,&quot;parse-names&quot;:false,&quot;dropping-particle&quot;:&quot;&quot;,&quot;non-dropping-particle&quot;:&quot;&quot;},{&quot;family&quot;:&quot;Goerlitz&quot;,&quot;given&quot;:&quot;Kylie&quot;,&quot;parse-names&quot;:false,&quot;dropping-particle&quot;:&quot;&quot;,&quot;non-dropping-particle&quot;:&quot;&quot;}],&quot;container-title&quot;:&quot;Corporate Social Responsibility and Environmental Management&quot;,&quot;container-title-short&quot;:&quot;Corp Soc Responsib Environ Manag&quot;,&quot;ISSN&quot;:&quot;15353966&quot;,&quot;issued&quot;:{&quot;date-parts&quot;:[[2016,9,1]]},&quot;page&quot;:&quot;308-318&quot;,&quot;abstract&quot;:&quot;As the globalization of the apparel industry has increased, many issues have emerged regarding the management of supply chains overseas. Significantly low contract prices, which are offered in an effort to remain competitive in global trade, often lead to labor exploitation. The California Transparency in Supply Chains Act went into effect in 2012 to eradicate slavery and human trafficking from supply chains of manufacturing and retail companies. The purpose of this study was to investigate the current status of implementation of this Act in the apparel industry. A quantitative content analysis was conducted to analyze the website disclosures of 204 US-based apparel retail and manufacturing companies, focusing on the presence, type, length, accessibility, and content of their disclosures. The findings of this study provide insights for manufacturers, retailers, and marketers regarding how they can publicize their socially responsible efforts, particularly regarding slavery and human trafficking issues in their supply chains. Copyright © 2015 John Wiley &amp; Sons, Ltd and ERP Environment.&quot;,&quot;publisher&quot;:&quot;John Wiley and Sons Ltd&quot;,&quot;issue&quot;:&quot;5&quot;,&quot;volume&quot;:&quot;23&quot;},&quot;isTemporary&quot;:false},{&quot;id&quot;:&quot;a935df4b-55a7-339c-990b-e1897b352edb&quot;,&quot;itemData&quot;:{&quot;type&quot;:&quot;article-journal&quot;,&quot;id&quot;:&quot;a935df4b-55a7-339c-990b-e1897b352edb&quot;,&quot;title&quot;:&quot;CSR research in the apparel industry: A quantitative and qualitative review of existing literature&quot;,&quot;author&quot;:[{&quot;family&quot;:&quot;White&quot;,&quot;given&quot;:&quot;Candace L.&quot;,&quot;parse-names&quot;:false,&quot;dropping-particle&quot;:&quot;&quot;,&quot;non-dropping-particle&quot;:&quot;&quot;},{&quot;family&quot;:&quot;Nielsen&quot;,&quot;given&quot;:&quot;Anne Ellerup&quot;,&quot;parse-names&quot;:false,&quot;dropping-particle&quot;:&quot;&quot;,&quot;non-dropping-particle&quot;:&quot;&quot;},{&quot;family&quot;:&quot;Valentini&quot;,&quot;given&quot;:&quot;Chiara&quot;,&quot;parse-names&quot;:false,&quot;dropping-particle&quot;:&quot;&quot;,&quot;non-dropping-particle&quot;:&quot;&quot;}],&quot;container-title&quot;:&quot;Corporate Social Responsibility and Environmental Management&quot;,&quot;ISSN&quot;:&quot;15353966&quot;,&quot;issued&quot;:{&quot;date-parts&quot;:[[2017,9,1]]},&quot;page&quot;:&quot;382-394&quot;,&quot;abstract&quot;:&quot;A quantitative and qualitative analysis of the extant literature about corporate social responsibility in the apparel industry found that perspectives and research traditions are underdeveloped and fragmented. Articles (n = 73) were found in 41 different journals that spanned an array of disciplines with the majority of journals publishing fewer than three articles on the topic. Issues concerning ethical supply chains were the most prevalent; a primary concern is the supply chain issue of labor practices in developing countries. The study indicates that despite growing stakeholder pressure on the apparel businesses to adopt CSR and interact with stakeholders about CSR, there is a ‘discursive polyphony’ and consequent confusion among consumers, which could benefit from strategic communication management. Copyright © 2017 John Wiley &amp; Sons, Ltd and ERP Environment.&quot;,&quot;publisher&quot;:&quot;John Wiley and Sons Ltd&quot;,&quot;issue&quot;:&quot;5&quot;,&quot;volume&quot;:&quot;24&quot;,&quot;container-title-short&quot;:&quot;Corp Soc Responsib Environ Manag&quot;},&quot;isTemporary&quot;:false}],&quot;citationTag&quot;:&quot;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&quot;},{&quot;citationID&quot;:&quot;MENDELEY_CITATION_1193d9af-d334-4679-a685-210de06b6aff&quot;,&quot;properties&quot;:{&quot;noteIndex&quot;:0},&quot;isEdited&quot;:false,&quot;manualOverride&quot;:{&quot;isManuallyOverridden&quot;:false,&quot;citeprocText&quot;:&quot;(Walk Free and Wiki Rate, 2022)&quot;,&quot;manualOverrideText&quot;:&quot;&quot;},&quot;citationItems&quot;:[{&quot;id&quot;:&quot;a7cefbc7-d76f-301a-abfe-0ac4a0349ac1&quot;,&quot;itemData&quot;:{&quot;type&quot;:&quot;report&quot;,&quot;id&quot;:&quot;a7cefbc7-d76f-301a-abfe-0ac4a0349ac1&quot;,&quot;title&quot;:&quot;Beyond compliance in the garment industry: Assessing UK and Australian Modern Slavery Act statements produced by the garment industry and its investors&quot;,&quot;author&quot;:[{&quot;family&quot;:&quot;Walk Free&quot;,&quot;given&quot;:&quot;&quot;,&quot;parse-names&quot;:false,&quot;dropping-particle&quot;:&quot;&quot;,&quot;non-dropping-particle&quot;:&quot;&quot;},{&quot;family&quot;:&quot;Wiki Rate&quot;,&quot;given&quot;:&quot;&quot;,&quot;parse-names&quot;:false,&quot;dropping-particle&quot;:&quot;&quot;,&quot;non-dropping-particle&quot;:&quot;&quot;}],&quot;issued&quot;:{&quot;date-parts&quot;:[[2022]]},&quot;container-title-short&quot;:&quot;&quot;},&quot;isTemporary&quot;:false}],&quot;citationTag&quot;:&quot;MENDELEY_CITATION_v3_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&quot;},{&quot;citationID&quot;:&quot;MENDELEY_CITATION_cc1a5c2e-1bdf-4b4a-b15f-3ea4a09bb311&quot;,&quot;properties&quot;:{&quot;noteIndex&quot;:0},&quot;isEdited&quot;:false,&quot;manualOverride&quot;:{&quot;isManuallyOverridden&quot;:false,&quot;citeprocText&quot;:&quot;(White &lt;i&gt;et al.&lt;/i&gt;, 2017)&quot;,&quot;manualOverrideText&quot;:&quot;&quot;},&quot;citationItems&quot;:[{&quot;id&quot;:&quot;a935df4b-55a7-339c-990b-e1897b352edb&quot;,&quot;itemData&quot;:{&quot;type&quot;:&quot;article-journal&quot;,&quot;id&quot;:&quot;a935df4b-55a7-339c-990b-e1897b352edb&quot;,&quot;title&quot;:&quot;CSR research in the apparel industry: A quantitative and qualitative review of existing literature&quot;,&quot;author&quot;:[{&quot;family&quot;:&quot;White&quot;,&quot;given&quot;:&quot;Candace L.&quot;,&quot;parse-names&quot;:false,&quot;dropping-particle&quot;:&quot;&quot;,&quot;non-dropping-particle&quot;:&quot;&quot;},{&quot;family&quot;:&quot;Nielsen&quot;,&quot;given&quot;:&quot;Anne Ellerup&quot;,&quot;parse-names&quot;:false,&quot;dropping-particle&quot;:&quot;&quot;,&quot;non-dropping-particle&quot;:&quot;&quot;},{&quot;family&quot;:&quot;Valentini&quot;,&quot;given&quot;:&quot;Chiara&quot;,&quot;parse-names&quot;:false,&quot;dropping-particle&quot;:&quot;&quot;,&quot;non-dropping-particle&quot;:&quot;&quot;}],&quot;container-title&quot;:&quot;Corporate Social Responsibility and Environmental Management&quot;,&quot;container-title-short&quot;:&quot;Corp Soc Responsib Environ Manag&quot;,&quot;ISSN&quot;:&quot;15353966&quot;,&quot;issued&quot;:{&quot;date-parts&quot;:[[2017,9,1]]},&quot;page&quot;:&quot;382-394&quot;,&quot;abstract&quot;:&quot;A quantitative and qualitative analysis of the extant literature about corporate social responsibility in the apparel industry found that perspectives and research traditions are underdeveloped and fragmented. Articles (n = 73) were found in 41 different journals that spanned an array of disciplines with the majority of journals publishing fewer than three articles on the topic. Issues concerning ethical supply chains were the most prevalent; a primary concern is the supply chain issue of labor practices in developing countries. The study indicates that despite growing stakeholder pressure on the apparel businesses to adopt CSR and interact with stakeholders about CSR, there is a ‘discursive polyphony’ and consequent confusion among consumers, which could benefit from strategic communication management. Copyright © 2017 John Wiley &amp; Sons, Ltd and ERP Environment.&quot;,&quot;publisher&quot;:&quot;John Wiley and Sons Ltd&quot;,&quot;issue&quot;:&quot;5&quot;,&quot;volume&quot;:&quot;24&quot;},&quot;isTemporary&quot;:false}],&quot;citationTag&quot;:&quot;MENDELEY_CITATION_v3_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&quot;},{&quot;citationID&quot;:&quot;MENDELEY_CITATION_74db7724-3824-4101-9c4d-b4cc5c60f213&quot;,&quot;properties&quot;:{&quot;noteIndex&quot;:0},&quot;isEdited&quot;:false,&quot;manualOverride&quot;:{&quot;isManuallyOverridden&quot;:false,&quot;citeprocText&quot;:&quot;(Helen Reid, 2023)&quot;,&quot;manualOverrideText&quot;:&quot;&quot;},&quot;citationItems&quot;:[{&quot;id&quot;:&quot;4cde9016-35e4-356e-8209-6955b5dfd155&quot;,&quot;itemData&quot;:{&quot;type&quot;:&quot;webpage&quot;,&quot;id&quot;:&quot;4cde9016-35e4-356e-8209-6955b5dfd155&quot;,&quot;title&quot;:&quot;H&amp;M probes alleged Myanmar factory abuses as pressure intensifies&quot;,&quot;author&quot;:[{&quot;family&quot;:&quot;Helen Reid&quot;,&quot;given&quot;:&quot;&quot;,&quot;parse-names&quot;:false,&quot;dropping-particle&quot;:&quot;&quot;,&quot;non-dropping-particle&quot;:&quot;&quot;}],&quot;container-title&quot;:&quot;Reuters&quot;,&quot;accessed&quot;:{&quot;date-parts&quot;:[[2024,1,28]]},&quot;URL&quot;:&quot;https://www.reuters.com/business/retail-consumer/hm-probes-myanmar-factory-abuses-pressure-intensifies-2023-08-16/&quot;,&quot;issued&quot;:{&quot;date-parts&quot;:[[2023,8,23]]},&quot;container-title-short&quot;:&quot;&quot;},&quot;isTemporary&quot;:false}],&quot;citationTag&quot;:&quot;MENDELEY_CITATION_v3_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&quot;},{&quot;citationID&quot;:&quot;MENDELEY_CITATION_49660600-5445-4fa1-8da9-72b558d657c5&quot;,&quot;properties&quot;:{&quot;noteIndex&quot;:0},&quot;isEdited&quot;:false,&quot;manualOverride&quot;:{&quot;isManuallyOverridden&quot;:false,&quot;citeprocText&quot;:&quot;(Helen Reid, 2023)&quot;,&quot;manualOverrideText&quot;:&quot;&quot;},&quot;citationItems&quot;:[{&quot;id&quot;:&quot;4cde9016-35e4-356e-8209-6955b5dfd155&quot;,&quot;itemData&quot;:{&quot;type&quot;:&quot;webpage&quot;,&quot;id&quot;:&quot;4cde9016-35e4-356e-8209-6955b5dfd155&quot;,&quot;title&quot;:&quot;H&amp;M probes alleged Myanmar factory abuses as pressure intensifies&quot;,&quot;author&quot;:[{&quot;family&quot;:&quot;Helen Reid&quot;,&quot;given&quot;:&quot;&quot;,&quot;parse-names&quot;:false,&quot;dropping-particle&quot;:&quot;&quot;,&quot;non-dropping-particle&quot;:&quot;&quot;}],&quot;container-title&quot;:&quot;Reuters&quot;,&quot;accessed&quot;:{&quot;date-parts&quot;:[[2024,1,28]]},&quot;URL&quot;:&quot;https://www.reuters.com/business/retail-consumer/hm-probes-myanmar-factory-abuses-pressure-intensifies-2023-08-16/&quot;,&quot;issued&quot;:{&quot;date-parts&quot;:[[2023,8,23]]},&quot;container-title-short&quot;:&quot;&quot;},&quot;isTemporary&quot;:false}],&quot;citationTag&quot;:&quot;MENDELEY_CITATION_v3_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&quot;},{&quot;citationID&quot;:&quot;MENDELEY_CITATION_689e3686-3d77-460f-b5ea-b595e385c8b3&quot;,&quot;properties&quot;:{&quot;noteIndex&quot;:0},&quot;isEdited&quot;:false,&quot;manualOverride&quot;:{&quot;isManuallyOverridden&quot;:false,&quot;citeprocText&quot;:&quot;(Alembakis, 2023; Siddiqui &lt;i&gt;et al.&lt;/i&gt;, 2020; Siddiqui and Uddin, 2016)&quot;,&quot;manualOverrideText&quot;:&quot;&quot;},&quot;citationItems&quot;:[{&quot;id&quot;:&quot;a3ba98ea-1a1b-38ce-9689-beb01c749e00&quot;,&quot;itemData&quot;:{&quot;type&quot;:&quot;webpage&quot;,&quot;id&quot;:&quot;a3ba98ea-1a1b-38ce-9689-beb01c749e00&quot;,&quot;title&quot;:&quot;Modern slavery on the rise 10 years after Rana Plaza&quot;,&quot;author&quot;:[{&quot;family&quot;:&quot;Alembakis&quot;,&quot;given&quot;:&quot;Rachel&quot;,&quot;parse-names&quot;:false,&quot;dropping-particle&quot;:&quot;&quot;,&quot;non-dropping-particle&quot;:&quot;&quot;}],&quot;container-title&quot;:&quot;  FS Sustainability&quot;,&quot;accessed&quot;:{&quot;date-parts&quot;:[[2023,4,20]]},&quot;URL&quot;:&quot;https://www.fssustainability.com.au/modern-slavery-on-the-rise-10-years-after-rana-plaza&quot;,&quot;issued&quot;:{&quot;date-parts&quot;:[[2023,4,23]]},&quot;container-title-short&quot;:&quot;&quot;},&quot;isTemporary&quot;:false},{&quot;id&quot;:&quot;d8b26033-ef46-3de4-9b31-b62476272277&quot;,&quot;itemData&quot;:{&quot;type&quot;:&quot;article-journal&quot;,&quot;id&quot;:&quot;d8b26033-ef46-3de4-9b31-b62476272277&quot;,&quot;title&quot;:&quot;Private governance responsibilization in global supply chains: the case of Rana Plaza&quot;,&quot;author&quot;:[{&quot;family&quot;:&quot;Siddiqui&quot;,&quot;given&quot;:&quot;Javed&quot;,&quot;parse-names&quot;:false,&quot;dropping-particle&quot;:&quot;&quot;,&quot;non-dropping-particle&quot;:&quot;&quot;},{&quot;family&quot;:&quot;McPhail&quot;,&quot;given&quot;:&quot;Kenneth&quot;,&quot;parse-names&quot;:false,&quot;dropping-particle&quot;:&quot;&quot;,&quot;non-dropping-particle&quot;:&quot;&quot;},{&quot;family&quot;:&quot;Rahman&quot;,&quot;given&quot;:&quot;Sharmin Shabnam&quot;,&quot;parse-names&quot;:false,&quot;dropping-particle&quot;:&quot;&quot;,&quot;non-dropping-particle&quot;:&quot;&quot;}],&quot;container-title&quot;:&quot;Accounting, Auditing and Accountability Journal&quot;,&quot;issued&quot;:{&quot;date-parts&quot;:[[2020,10,20]]},&quot;page&quot;:&quot;1569-1594&quot;,&quot;abstract&quot;:&quot;Purpose: The paper explores the emergence of private sector responsibilisation for tackling governance issues in a global supply chain. The infamous case of the Rana Plaza collapse in Bangladesh is used to investigate the ways a frameshift, triggered by a manmade disaster, can potentially influence the effectiveness of the certification process in a research site characterised by the presence of a strong state-business nexus. Design/methodology/approach: The empirical work for this paper is based 24 semi-structured interviews with owners, managers, operators, independent inspectors in the ready-made garments (RMG) industry in Bangladesh between 2014 and 2018. We also analyse a range of archival materials. For the purpose of data analysis, we adopted an exploratory flexible pattern matching design with nested template analysis (Sinkovics et al., 2019). Findings: Our analysis suggests that the magnitude of the Rana Plaza collapse triggered several frameshifts in multinational corporations approach towards labour governance in Bangladesh. Subsequently, a responsibility framework for the private sector was created, resulting in significant improvements in working conditions in the sector. However, the sustainability of the labour governance mechanisms was significantly affected by the state's ability to play the role of catalyst in the process, mainly due to the presence of a significant state-business nexus. Originality/value: We find that broadening the scope of sustainability accounting and assurance process can allow social auditors to play a more meaningful role in triggering collective actions to address labour governance issues in supply chains. However, in a context defined by the presence of a state-business nexus, the sustainability of such a process largely depends on the willingness of the state to play the role of a catalyst.&quot;,&quot;publisher&quot;:&quot;Emerald Group Holdings Ltd.&quot;,&quot;issue&quot;:&quot;7&quot;,&quot;volume&quot;:&quot;33&quot;,&quot;container-title-short&quot;:&quot;&quot;},&quot;isTemporary&quot;:false},{&quot;id&quot;:&quot;6e8e37ae-1d98-3450-ad11-fbe1d0b9bd5d&quot;,&quot;itemData&quot;:{&quot;type&quot;:&quot;article-journal&quot;,&quot;id&quot;:&quot;6e8e37ae-1d98-3450-ad11-fbe1d0b9bd5d&quot;,&quot;title&quot;:&quot;Human rights disasters, corporate accountability and the state: Lessons learned from Rana Plaza&quot;,&quot;author&quot;:[{&quot;family&quot;:&quot;Siddiqui&quot;,&quot;given&quot;:&quot;Javed&quot;,&quot;parse-names&quot;:false,&quot;dropping-particle&quot;:&quot;&quot;,&quot;non-dropping-particle&quot;:&quot;&quot;},{&quot;family&quot;:&quot;Uddin&quot;,&quot;given&quot;:&quot;Shahzad&quot;,&quot;parse-names&quot;:false,&quot;dropping-particle&quot;:&quot;&quot;,&quot;non-dropping-particle&quot;:&quot;&quot;}],&quot;container-title&quot;:&quot;Accounting, Auditing and Accountability Journal&quot;,&quot;ISSN&quot;:&quot;09513574&quot;,&quot;issued&quot;:{&quot;date-parts&quot;:[[2016,5,16]]},&quot;page&quot;:&quot;679-704&quot;,&quot;abstract&quot;:&quot;Purpose – The purpose of this paper is to examine the state-business nexus in responses to human rights violations in businesses and questions the efficacy of the UN guiding principles on human rights in businesses, in particular in the ready-made garments (RMG) industry in Bangladesh. Drawing on Cohen’s notion of “denial” and Black’s (2008) legitimacy and accountability relationships of state and non-state actors, the study seeks to explain why such “soft” global regulations remain inadequate. Design/methodology/approach – The empirical work for this paper is based on the authors’ participation in two multiple-stakeholder advisory consultation meetings for the RMG sector in Bangladesh and 11 follow-up interviews. This is supplemented by documentary evidence on human rights disasters, responses of the state and non-state actors and human rights reports published in national and international newspapers. Findings – The paper provides clear evidence that the state-business nexus perpetuates human rights disasters. The study also shows that the Bangladeshi state, ruled by family-led political parties, is more inclined to protect businesses that cause human rights disasters than to ensure human rights in businesses. The economic conditions of the RMG industry and accountability and legitimacy relationships between state and non-state actors have provided the necessary background for RMG owners to continue to violate the safety and security of the workplace and maintain inhumane working conditions. Research limitations/implications – Complex state politics, including family, kinship and wealthy supporters, and economic circumstances have serious implications for the efficacy of the UN guiding principle on human rights for business. This paper calls for broader political and economic changes, nationally and internationally. Originality/value – The study highlights the perpetuation of corporate human rights abuses by the state-business nexus, and indicates that human rights issues continue to be ignored through a discourse of denial. This is explained in terms of legitimacy and accountability relationships between state and non-state actors, bounded by complex political and economic conditions.&quot;,&quot;publisher&quot;:&quot;Emerald Group Publishing Ltd.&quot;,&quot;issue&quot;:&quot;4&quot;,&quot;volume&quot;:&quot;29&quot;,&quot;container-title-short&quot;:&quot;&quot;},&quot;isTemporary&quot;:false}],&quot;citationTag&quot;:&quot;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&quot;},{&quot;citationID&quot;:&quot;MENDELEY_CITATION_e00789ae-9a34-4412-ade9-a33dc5c9a8b8&quot;,&quot;properties&quot;:{&quot;noteIndex&quot;:0},&quot;isEdited&quot;:false,&quot;manualOverride&quot;:{&quot;isManuallyOverridden&quot;:true,&quot;citeprocText&quot;:&quot;(Akhter &lt;i&gt;et al.&lt;/i&gt;, 2019; BBC NEWS, 2008; Business and Human Rights Resource Centre, 2023; Carty Tamara, 2001; Chi, 2011; Hossain &lt;i&gt;et al.&lt;/i&gt;, 2017; The guardian, 2023)&quot;,&quot;manualOverrideText&quot;:&quot;(Akhter et al., 2019; BBC NEWS, 2008; BHRRC, 2023; Carty Tamara, 2001; Chi, 2011; Hossain et al., 2017; The guardian, 2023)&quot;},&quot;citationItems&quot;:[{&quot;id&quot;:&quot;45cf73f9-b3b2-3633-a1e4-eb89f649919a&quot;,&quot;itemData&quot;:{&quot;type&quot;:&quot;article-journal&quot;,&quot;id&quot;:&quot;45cf73f9-b3b2-3633-a1e4-eb89f649919a&quot;,&quot;title&quot;:&quot;Sufferings in silence: Violence against female workers in the ready-made garment industry in Bangladesh: A qualitative exploration&quot;,&quot;author&quot;:[{&quot;family&quot;:&quot;Akhter&quot;,&quot;given&quot;:&quot;Sadika&quot;,&quot;parse-names&quot;:false,&quot;dropping-particle&quot;:&quot;&quot;,&quot;non-dropping-particle&quot;:&quot;&quot;},{&quot;family&quot;:&quot;Rutherford&quot;,&quot;given&quot;:&quot;Shannon&quot;,&quot;parse-names&quot;:false,&quot;dropping-particle&quot;:&quot;&quot;,&quot;non-dropping-particle&quot;:&quot;&quot;},{&quot;family&quot;:&quot;Chu&quot;,&quot;given&quot;:&quot;Cordia&quot;,&quot;parse-names&quot;:false,&quot;dropping-particle&quot;:&quot;&quot;,&quot;non-dropping-particle&quot;:&quot;&quot;}],&quot;container-title&quot;:&quot;Women's Health&quot;,&quot;ISSN&quot;:&quot;17455065&quot;,&quot;PMID&quot;:&quot;31856698&quot;,&quot;issued&quot;:{&quot;date-parts&quot;:[[2019]]},&quot;abstract&quot;:&quot;Introduction: Despite the improved safety of the ready-made garment industry in Bangladesh since 2013, other workplace health and safety issues in the ready-made garment industry continue, especially violence towards female workers. This article examines this violence as well as the social norms and attitudes of key stakeholders underpinning it. Methods: Data were collected in four ready-made garment factories in Bangladesh through in-depth interviews, focus group discussions with female workers and key-informant interviews with different stakeholders, along with factory observations. Results: Findings were analysed thematically. Female workers described personal experience of violence in the workplace: physical and verbal abuse, constant pressure, other personal restrictions and withholding of pay. They did not make complaints for fear of losing their jobs. Supervisors characterized the women as ‘disobedient,’ ‘uncooperative’ and ‘unwilling’ to work and viewed their behaviour as acceptable. Other stakeholders ignored these problems. Conclusion: Finally, this study suggests how the findings encourage action to prevent violence in the workplace in order to address the emerging occupational health problems in Bangladesh.&quot;,&quot;publisher&quot;:&quot;SAGE Publications Ltd&quot;,&quot;volume&quot;:&quot;15&quot;,&quot;container-title-short&quot;:&quot;&quot;},&quot;isTemporary&quot;:false},{&quot;id&quot;:&quot;3f709ef5-0fb7-3d44-9e2f-bdb13f85c1f8&quot;,&quot;itemData&quot;:{&quot;type&quot;:&quot;webpage&quot;,&quot;id&quot;:&quot;3f709ef5-0fb7-3d44-9e2f-bdb13f85c1f8&quot;,&quot;title&quot;:&quot;Fashion brands paid Bangladesh factories less than cost - report - BBC News&quot;,&quot;author&quot;:[{&quot;family&quot;:&quot;BBC NEWS&quot;,&quot;given&quot;:&quot;&quot;,&quot;parse-names&quot;:false,&quot;dropping-particle&quot;:&quot;&quot;,&quot;non-dropping-particle&quot;:&quot;&quot;}],&quot;accessed&quot;:{&quot;date-parts&quot;:[[2023,1,10]]},&quot;URL&quot;:&quot;https://www.bbc.co.uk/news/business-64204759.amp?fbclid=IwAR18GMEPzsraIXVEh1ay2issQMppl47vo7zb5e19VQhTlcoXOjf369ftn5E&quot;,&quot;issued&quot;:{&quot;date-parts&quot;:[[2008,1,8]]},&quot;container-title-short&quot;:&quot;&quot;},&quot;isTemporary&quot;:false},{&quot;id&quot;:&quot;91e1a4a9-661c-3909-9c5a-621da3e0ee7c&quot;,&quot;itemData&quot;:{&quot;type&quot;:&quot;article-journal&quot;,&quot;id&quot;:&quot;91e1a4a9-661c-3909-9c5a-621da3e0ee7c&quot;,&quot;title&quot;:&quot;Corporate social and environmental reporting practices: A case of listed companies in Bangladesh&quot;,&quot;author&quot;:[{&quot;family&quot;:&quot;Hossain&quot;,&quot;given&quot;:&quot;Md Moazzem&quot;,&quot;parse-names&quot;:false,&quot;dropping-particle&quot;:&quot;&quot;,&quot;non-dropping-particle&quot;:&quot;&quot;},{&quot;family&quot;:&quot;Momin&quot;,&quot;given&quot;:&quot;Mahmood Ahmed&quot;,&quot;parse-names&quot;:false,&quot;dropping-particle&quot;:&quot;&quot;,&quot;non-dropping-particle&quot;:&quot;&quot;},{&quot;family&quot;:&quot;Rowe&quot;,&quot;given&quot;:&quot;Anna Lee&quot;,&quot;parse-names&quot;:false,&quot;dropping-particle&quot;:&quot;&quot;,&quot;non-dropping-particle&quot;:&quot;&quot;},{&quot;family&quot;:&quot;Quaddus&quot;,&quot;given&quot;:&quot;Mohammed&quot;,&quot;parse-names&quot;:false,&quot;dropping-particle&quot;:&quot;&quot;,&quot;non-dropping-particle&quot;:&quot;&quot;}],&quot;container-title&quot;:&quot;Sustainability Accounting, Management and Policy Journal&quot;,&quot;ISSN&quot;:&quot;2040803X&quot;,&quot;issued&quot;:{&quot;date-parts&quot;:[[2017]]},&quot;page&quot;:&quot;138-165&quot;,&quot;abstract&quot;:&quot;Purpose: The purpose of this paper is to explore corporate social and environmental reporting (CSER) practices and motivations in Bangladesh. Design/methodology/approach: Using a mixed-methods approach, the paper attempts to understand what corporate social and environmental issues Bangladeshi firms are reporting and why. The paper first explores the motivations for CSER in line with O’Dwyer’s (2003) proposed classifications of proactive and reactive motivations through interviews and frames its findings using stakeholder theory. To provide a more holistic view, content analysis adapted from CSR Asia (2008) categorization (broadly guided by GRI) was conducted to enhance findings from engagement-based interviews with managers. Findings: The paper finds that “community investment and development” and “governance codes and policies” received the highest amount of disclosure, while the least amount of disclosure was found in the “workplace/human rights” category. Although a philanthropic tone was found behind “community investment”, such as poverty alleviation activities, disclosure in this area is mostly motivated by proactive rationales with enlightened self-interest and image-building activities. In terms of reactive motivations underpinning CSER, the paper finds that companies also report reactively to reduce pressure from powerful stakeholders such as international buyers and government agencies. Contrary to other studies regarding reactive motivations, the authors argue that a director’s proactive motivation is the prime determinant of CSER in a developing country. They also argue that low-level disclosures on workplace environment/human rights need to be given more importance by policymakers, management and other relevant stakeholders. Originality/value: To the best of the authors’ knowledge, the study is one of the few engagement-based field studies that uses a mixed-methods approach to seek managerial perspectives in an attempt to understand CSER practices in an emerging country context.&quot;,&quot;publisher&quot;:&quot;Emerald Group Publishing Ltd.&quot;,&quot;issue&quot;:&quot;2&quot;,&quot;volume&quot;:&quot;8&quot;,&quot;container-title-short&quot;:&quot;&quot;},&quot;isTemporary&quot;:false},{&quot;id&quot;:&quot;ec78acd9-7649-34e4-9bdd-b6c1d134fa39&quot;,&quot;itemData&quot;:{&quot;type&quot;:&quot;webpage&quot;,&quot;id&quot;:&quot;ec78acd9-7649-34e4-9bdd-b6c1d134fa39&quot;,&quot;title&quot;:&quot;Bangladesh: Factory safety has improved since Rana Plaza, but 'harmful' brand purchasing practices remain, report finds - Business &amp; Human Rights Resource Centre&quot;,&quot;author&quot;:[{&quot;family&quot;:&quot;Business and Human Rights Resource Centre&quot;,&quot;given&quot;:&quot;&quot;,&quot;parse-names&quot;:false,&quot;dropping-particle&quot;:&quot;&quot;,&quot;non-dropping-particle&quot;:&quot;&quot;}],&quot;accessed&quot;:{&quot;date-parts&quot;:[[2023,4,13]]},&quot;URL&quot;:&quot;https://www.business-humanrights.org/en/latest-news/bangladesh-health-safety-has-improved-since-rana-plaza-but-harmful-brand-purchasing-practices-remain-report-finds/&quot;,&quot;issued&quot;:{&quot;date-parts&quot;:[[2023,4,23]]},&quot;container-title-short&quot;:&quot;&quot;},&quot;isTemporary&quot;:false},{&quot;id&quot;:&quot;4709639d-fdc2-3a35-bdf6-30dad91fc18a&quot;,&quot;itemData&quot;:{&quot;type&quot;:&quot;webpage&quot;,&quot;id&quot;:&quot;4709639d-fdc2-3a35-bdf6-30dad91fc18a&quot;,&quot;title&quot;:&quot;Lidl, Zara’s owner, H&amp;M and Next ‘paid Bangladesh suppliers less than production cost’ | Retail industry | The Guardian&quot;,&quot;author&quot;:[{&quot;family&quot;:&quot;The guardian&quot;,&quot;given&quot;:&quot;&quot;,&quot;parse-names&quot;:false,&quot;dropping-particle&quot;:&quot;&quot;,&quot;non-dropping-particle&quot;:&quot;&quot;}],&quot;accessed&quot;:{&quot;date-parts&quot;:[[2023,1,12]]},&quot;URL&quot;:&quot;https://www.theguardian.com/business/2023/jan/11/lidl-zara-owner-hm-next-bangladesh-suppliers?CMP=share_btn_fb&amp;fbclid=IwAR1ND2tIOGrR-RYKNALonF1lAfJ1rzVPX8xh6C42C1Y8CDlxs7PBeeLPbP8&quot;,&quot;issued&quot;:{&quot;date-parts&quot;:[[2023,1,11]]},&quot;container-title-short&quot;:&quot;&quot;},&quot;isTemporary&quot;:false},{&quot;id&quot;:&quot;d23718eb-56a0-3c87-a67f-5e78a16d7360&quot;,&quot;itemData&quot;:{&quot;type&quot;:&quot;article-journal&quot;,&quot;id&quot;:&quot;d23718eb-56a0-3c87-a67f-5e78a16d7360&quot;,&quot;title&quot;:&quot;Building a sustainable supply chain: An analysis of corporate social responsibility (CSR) practices in the Chinese textile and apparel industry&quot;,&quot;author&quot;:[{&quot;family&quot;:&quot;Chi&quot;,&quot;given&quot;:&quot;Ting&quot;,&quot;parse-names&quot;:false,&quot;dropping-particle&quot;:&quot;&quot;,&quot;non-dropping-particle&quot;:&quot;&quot;}],&quot;container-title&quot;:&quot;Journal of the Textile Institute&quot;,&quot;ISSN&quot;:&quot;00405000&quot;,&quot;issued&quot;:{&quot;date-parts&quot;:[[2011,10]]},&quot;page&quot;:&quot;837-848&quot;,&quot;abstract&quot;:&quot;This study aims to analyze the development, achievements, and challenges of corporate social responsibility (CSR) practices in the Chinese textile and apparel industry. The determinants of CSR movement in the industry are discussed. The World Bank CSR Diamond Model based on stakeholder theory provides an analytical framework to address this complex issue in a systematic way. The relevant information and data were gathered from an extensive literature review of governmental, industrial and academic publications, and interviews. Overall, the tightening legal environment for CSR development has raised the cost of doing business in China in a short time. While forwardlooking companies are already taking CSR into account in their daily operations and strategic plans, some resistance to the execution and enforcement of CSR-related laws and regulations have been witnessed. However, from a longterm perspective, the CSR movement will benefit towards upgrading the industry and the healthy growth of China's economy, and contribute to the sustainable global textile and apparel supply chain. © 2011 The Textile Institute.&quot;,&quot;issue&quot;:&quot;10&quot;,&quot;volume&quot;:&quot;102&quot;,&quot;container-title-short&quot;:&quot;&quot;},&quot;isTemporary&quot;:false},{&quot;id&quot;:&quot;c92b8aea-8fa7-3772-86f1-aac9847997a0&quot;,&quot;itemData&quot;:{&quot;type&quot;:&quot;report&quot;,&quot;id&quot;:&quot;c92b8aea-8fa7-3772-86f1-aac9847997a0&quot;,&quot;title&quot;:&quot;The Internet and grassroots politcs: Nike, the athletic apparel industry and the anti-sweatshop campaign&quot;,&quot;author&quot;:[{&quot;family&quot;:&quot;Carty Tamara&quot;,&quot;given&quot;:&quot;Victoria&quot;,&quot;parse-names&quot;:false,&quot;dropping-particle&quot;:&quot;&quot;,&quot;non-dropping-particle&quot;:&quot;&quot;}],&quot;container-title&quot;:&quot;Journal of Critical Postmodern Organization Science. Las Cruces: 2001&quot;,&quot;issued&quot;:{&quot;date-parts&quot;:[[2001]]},&quot;abstract&quot;:&quot;(Article Summary) Carty examines ways in which the Internet has been employed to enhance political struggle in contemporary society. A case study of Nike Corp highlights the power and autonomy of transnational companies. Full Text (7157 words) Copyright TamaraLand Publishers 2001 [Headnote] Abstract [Headnote] This paper examines ways in which the Internet has been employed to enhance political struggle in contemporary society. It uses a case study of the Nike Corporation to highlight the power and autonomy of Transnational Corporations operating within the global economy, which accompanies modes of grassroots organizing that foster globalized resistance to such hegemonic tendencies. The analysis argues that the Internet provides the resources and environment necessary for cohesive organized resistance to corporate culture. The Internet has facilitated organizing strategies among emerging New Social Movements, and it is clearly redefining our understanding of social interaction and political struggle. Nike experienced tremendous growth between the early 1970s and late 1990s, dominating the global athletic footwear and apparel market. Its success had been fueled by the use of low wage labor in developing countries, accompanied by highly acclaimed marketing strategies and advertising campaigns. However, in the mid 1990s Nike began facing fierce criticism of its business practices in both of these spheres-production and marketing. In 1998, Nike revenues and stock prices dipped by nearly 50%, and the company was forced to layoff 1600 workers (Egan, 1998; Nike Annual Report, 1998). The Internet has significantly accentuated awareness of the controversies surrounding Nike's business culture and practices. It has also provided the resources and environment essential for organized mobilization in the form of a New Social Movement (NSM). This paper explores how new information and communication systems impact society, and how the Internet is reconstructing our definition and understanding of social interaction and political struggle. Such an examination sheds light on the oscillating nature of contemporary social change, and how conflict between centers of corporate hegemonic domination can be undermined and subverted by marginal groups, and vice versa. Globalizing Trends and Technological Change&quot;,&quot;issue&quot;:&quot;2&quot;,&quot;volume&quot;:&quot;1&quot;,&quot;container-title-short&quot;:&quot;&quot;},&quot;isTemporary&quot;:false}],&quot;citationTag&quot;:&quot;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&quot;},{&quot;citationID&quot;:&quot;MENDELEY_CITATION_d4712390-dd97-4fda-b80a-7231fcb52e96&quot;,&quot;properties&quot;:{&quot;noteIndex&quot;:0},&quot;isEdited&quot;:false,&quot;manualOverride&quot;:{&quot;isManuallyOverridden&quot;:false,&quot;citeprocText&quot;:&quot;(BBC News, 2020)&quot;,&quot;manualOverrideText&quot;:&quot;&quot;},&quot;citationItems&quot;:[{&quot;id&quot;:&quot;476a9645-4ede-305f-a211-5d42bc09dd2e&quot;,&quot;itemData&quot;:{&quot;type&quot;:&quot;webpage&quot;,&quot;id&quot;:&quot;476a9645-4ede-305f-a211-5d42bc09dd2e&quot;,&quot;title&quot;:&quot;Government 'must stop garment worker exploitation'&quot;,&quot;author&quot;:[{&quot;family&quot;:&quot;BBC News&quot;,&quot;given&quot;:&quot;&quot;,&quot;parse-names&quot;:false,&quot;dropping-particle&quot;:&quot;&quot;,&quot;non-dropping-particle&quot;:&quot;&quot;}],&quot;accessed&quot;:{&quot;date-parts&quot;:[[2023,7,7]]},&quot;URL&quot;:&quot;https://www.bbc.co.uk/news/business-53465977&quot;,&quot;issued&quot;:{&quot;date-parts&quot;:[[2020,7,20]]},&quot;container-title-short&quot;:&quot;&quot;},&quot;isTemporary&quot;:false}],&quot;citationTag&quot;:&quot;MENDELEY_CITATION_v3_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&quot;},{&quot;citationID&quot;:&quot;MENDELEY_CITATION_aa1d582e-68a3-4e8f-aeb5-b365bc7adcaa&quot;,&quot;properties&quot;:{&quot;noteIndex&quot;:0},&quot;isEdited&quot;:false,&quot;manualOverride&quot;:{&quot;isManuallyOverridden&quot;:false,&quot;citeprocText&quot;:&quot;(BBC News, 2020)&quot;,&quot;manualOverrideText&quot;:&quot;&quot;},&quot;citationItems&quot;:[{&quot;id&quot;:&quot;476a9645-4ede-305f-a211-5d42bc09dd2e&quot;,&quot;itemData&quot;:{&quot;type&quot;:&quot;webpage&quot;,&quot;id&quot;:&quot;476a9645-4ede-305f-a211-5d42bc09dd2e&quot;,&quot;title&quot;:&quot;Government 'must stop garment worker exploitation'&quot;,&quot;author&quot;:[{&quot;family&quot;:&quot;BBC News&quot;,&quot;given&quot;:&quot;&quot;,&quot;parse-names&quot;:false,&quot;dropping-particle&quot;:&quot;&quot;,&quot;non-dropping-particle&quot;:&quot;&quot;}],&quot;accessed&quot;:{&quot;date-parts&quot;:[[2023,7,7]]},&quot;URL&quot;:&quot;https://www.bbc.co.uk/news/business-53465977&quot;,&quot;issued&quot;:{&quot;date-parts&quot;:[[2020,7,20]]},&quot;container-title-short&quot;:&quot;&quot;},&quot;isTemporary&quot;:false}],&quot;citationTag&quot;:&quot;MENDELEY_CITATION_v3_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&quot;},{&quot;citationID&quot;:&quot;MENDELEY_CITATION_fae5d711-1f2b-4219-81bb-612e1da93d29&quot;,&quot;properties&quot;:{&quot;noteIndex&quot;:0},&quot;isEdited&quot;:false,&quot;manualOverride&quot;:{&quot;isManuallyOverridden&quot;:false,&quot;citeprocText&quot;:&quot;(Ahmad &lt;i&gt;et al.&lt;/i&gt;, 2022; Anner, 2020; ILO, 2020c; Islam &lt;i&gt;et al.&lt;/i&gt;, 2022)&quot;,&quot;manualOverrideText&quot;:&quot;&quot;},&quot;citationItems&quot;:[{&quot;id&quot;:&quot;81da9631-8bab-3a8d-9200-66adfe440fa2&quot;,&quot;itemData&quot;:{&quot;type&quot;:&quot;article-journal&quot;,&quot;id&quot;:&quot;81da9631-8bab-3a8d-9200-66adfe440fa2&quot;,&quot;title&quot;:&quot;The impact of Covid-19 on women workers in the Bangladesh garment industry&quot;,&quot;author&quot;:[{&quot;family&quot;:&quot;Islam&quot;,&quot;given&quot;:&quot;A.Z&quot;,&quot;parse-names&quot;:false,&quot;dropping-particle&quot;:&quot;&quot;,&quot;non-dropping-particle&quot;:&quot;&quot;},{&quot;family&quot;:&quot;Abbott&quot;,&quot;given&quot;:&quot;P&quot;,&quot;parse-names&quot;:false,&quot;dropping-particle&quot;:&quot;&quot;,&quot;non-dropping-particle&quot;:&quot;&quot;},{&quot;family&quot;:&quot;Haque&quot;,&quot;given&quot;:&quot;S&quot;,&quot;parse-names&quot;:false,&quot;dropping-particle&quot;:&quot;&quot;,&quot;non-dropping-particle&quot;:&quot;&quot;},{&quot;family&quot;:&quot;Gooch&quot;,&quot;given&quot;:&quot;F&quot;,&quot;parse-names&quot;:false,&quot;dropping-particle&quot;:&quot;&quot;,&quot;non-dropping-particle&quot;:&quot;&quot;},{&quot;family&quot;:&quot;Akhter&quot;,&quot;given&quot;:&quot;S&quot;,&quot;parse-names&quot;:false,&quot;dropping-particle&quot;:&quot;&quot;,&quot;non-dropping-particle&quot;:&quot;&quot;}],&quot;container-title&quot;:&quot;  Accounting, auditing &amp; accountability journal &quot;,&quot;accessed&quot;:{&quot;date-parts&quot;:[[2023,5,8]]},&quot;issued&quot;:{&quot;date-parts&quot;:[[2022]]},&quot;page&quot;:&quot;282-311&quot;,&quot;issue&quot;:&quot;3&quot;,&quot;volume&quot;:&quot;15&quot;,&quot;container-title-short&quot;:&quot;&quot;},&quot;isTemporary&quot;:false},{&quot;id&quot;:&quot;ba6f4902-16cf-320a-a1e0-160e11ca8998&quot;,&quot;itemData&quot;:{&quot;type&quot;:&quot;article-journal&quot;,&quot;id&quot;:&quot;ba6f4902-16cf-320a-a1e0-160e11ca8998&quot;,&quot;title&quot;:&quot;COVID-19 and global clothing retailers' responsibility to vulnerable workers: NGO counter-rhetoric&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Muhammad Azizul&quot;,&quot;parse-names&quot;:false,&quot;dropping-particle&quot;:&quot;&quot;,&quot;non-dropping-particle&quot;:&quot;&quot;}],&quot;container-title&quot;:&quot;Accounting, Auditing and Accountability Journal&quot;,&quot;issued&quot;:{&quot;date-parts&quot;:[[2022,1,3]]},&quot;page&quot;:&quot;216-228&quot;,&quot;abstract&quot;:&quot;Purpose: This article aims to examine how non-governmental organisations (NGOs)' narratives portray the vulnerability of workers in global clothing supply chains during the COVID-19 crisis. Design/methodology/approach: The research analyses the rhetoric in global clothing retailers' and NGOs' counter-rhetoric during the first seven months of 2020. Findings: During this period, retailers employed rhetorical strategies to legitimise irresponsible actions (corporate hegemony prevailed), while NGOs embraced forms of counter-rhetoric trying to delegitimise the retailers' logic, stressing the role of neoliberalism in worsening the situation. Originality/value: The authors contribute to the literature by providing new insight into the consequences of COVID-19 for retailers' neoliberal practices and the livelihood of workers in global supply chains. Findings of this study extend authors’ knowledge about retailers' COVID-19 measures: These have contributed to the plights of workers working for their supply factories in the global South.&quot;,&quot;publisher&quot;:&quot;Emerald Group Holdings Ltd.&quot;,&quot;issue&quot;:&quot;1&quot;,&quot;volume&quot;:&quot;35&quot;,&quot;container-title-short&quot;:&quot;&quot;},&quot;isTemporary&quot;:false},{&quot;id&quot;:&quot;0890c099-c15c-310e-b536-e2863b8bc94c&quot;,&quot;itemData&quot;:{&quot;type&quot;:&quot;report&quot;,&quot;id&quot;:&quot;0890c099-c15c-310e-b536-e2863b8bc94c&quot;,&quot;title&quot;:&quot;Abandoned? e Impact of Covid-19 on Workers and Businesses at the Boom of Global Garment Supply Chains&quot;,&quot;author&quot;:[{&quot;family&quot;:&quot;Anner&quot;,&quot;given&quot;:&quot;Mark&quot;,&quot;parse-names&quot;:false,&quot;dropping-particle&quot;:&quot;&quot;,&quot;non-dropping-particle&quot;:&quot;&quot;}],&quot;URL&quot;:&quot;www.ilo.org/global/about-the-ilo/newsroom/news/WCMS_738742/lang--en/index.htm.&quot;,&quot;issued&quot;:{&quot;date-parts&quot;:[[2020]]},&quot;abstract&quot;:&quot;Executive Summary e global Covid-19 pandemic has had a devastating impact on global garment supply chains, and the situation will get far worse before it gets beer. As clothing outlets have been shut by lockdowns in developed market economies , sinking demand for apparel, brands and retailers have moved quickly to cancel or postpone production orders-refusing, in many cases, to pay for clothing their supplier factories have already produced. e result has been the partial or complete shutdown of thousands of factories in producing countries. As a result, millions of factory workers have been sent home, oen without legally-mandated pay or severance. is Research Brief draws from responses from an online survey of Bangladesh employers, administered between March 21 and March 25, 2020, to document these trends. It reveals the devastating impact order cancellations have had on businesses and on workers. Crucially, it illustrates the extreme fragility of a system based on decades of buyers squeezing down on prices paid to suppliers: factory closures, unpaid workers with no savings to survive the hard times ahead, and a government with such a low tax revenue that it has very limited ability to provide meaningful support to workers and the industry. 1. Since the coronavirus pandemic took hold, more than half of Bangladesh suppliers have had the bulk of their in-process, or already completed, production canceled (45.8% of suppliers report that 'a lot' to 'most' of their nearly completed or entirely completed orders have been canceled by their buyers; 5.9% had all of these orders canceled). is is despite the fact that buyers have a contractual obligation to pay for these orders. But many are making dubious use of general force majeure clauses to justify their violations of the terms of the contract. 2. When orders were canceled, 72.1% of buyers refused to pay for raw materials (fabric, etc.) already purchased by the supplier, and 91.3% of buyers refused to pay for the cut-make-trim cost (production cost) of the supplier. As a result of order cancellations and lack of payment, 58% of factories surveyed report having to shutdown most or all of their operations.&quot;,&quot;container-title-short&quot;:&quot;&quot;},&quot;isTemporary&quot;:false},{&quot;id&quot;:&quot;b8ac0d4c-64c2-375e-99a3-3b398921a269&quot;,&quot;itemData&quot;:{&quot;type&quot;:&quot;report&quot;,&quot;id&quot;:&quot;b8ac0d4c-64c2-375e-99a3-3b398921a269&quot;,&quot;title&quot;:&quot;ILO Brief; The supply chain ripple effect: How COVID-19 is affecting garment workers and factories in Asia and the Pacific&quot;,&quot;author&quot;:[{&quot;family&quot;:&quot;ILO&quot;,&quot;given&quot;:&quot;&quot;,&quot;parse-names&quot;:false,&quot;dropping-particle&quot;:&quot;&quot;,&quot;non-dropping-particle&quot;:&quot;&quot;}],&quot;issued&quot;:{&quot;date-parts&quot;:[[2020]]},&quot;number-of-pages&quot;:&quot;1-2&quot;,&quot;abstract&quot;:&quot;The supply chain ripple effect: How COVID-19 is affecting garment workers and factories in Asia and the Pacific  The supply chain ripple effect: How COVID-19 is affecting garment workers and factories in Asia and the Pacific * Research brief ILO brief Key points  The COVID-19 crisis is hitting the garment sector in Asia and the Pacific particularly hard, affecting millions of workers and enterprises in the supply chains and with observed \&quot;ripple effects\&quot; across a number of dimensions.  As of September 2020, about one in two garment workers in the region lived in countries with required closures of all but essential workplaces, including garment factories. Nearly half of all garment supply chain jobs in the region were dependent on domestic or foreign consumer demand from countries with highly stringent lockdown measures, where sharp declines in retail sales were also observed.  Global garment trade virtually collapsed in the first half of 2020. In some cases, imports from Asia's garment-producing countries to major buying countries dropped by as much as 70 per cent. Cancellations of buyers' orders were common at the onset of the crisis. Garment manufacturers also experienced disruptions of up to 60 per cent of their imported input supply.  With thousands of supplier factories closed, either temporarily or permanently, worker lay-offs and dismissals were widespread. Factories that have since reopened also saw reductions in their workforce capacity. The typical worker lost out on at least two to four weeks of work with only three in five workers being called back to the factory. Among those still employed in the second quarter of 2020, declines in earnings and delays in wage payments were also common.  Women make up the majority of the region's garment workers and are disproportionately affected by the crisis-further exacerbating existing inequalities on workload, occupational segregation, distribution of unpaid care work and earnings.  Although many factories took steps towards minimizing the risks of COVID-19 infection, in some cases, occupational safety and health measures were implemented inconsistently.  The garment sector in some countries continues to be marked by low levels of collective bargaining and significant restrictions of freedom of association. Social dialogue has been effective only in countries with existing dialogue structures or initiatives in place.  Governments in the region responded to the crisis by supporting workers and enterprises along various dimensions, but it remains to be seen whether this support is sufficient. The global Call to Action is an industry wide effort to support factories and workers during the crisis, requiring committed follow-up and action among garment supply chain stakeholders.  ILO policy recommendations and toolkits can provide governments and social partners with further guidance as the crisis unfolds, and help the industry build a more resilient and sustainable post-COVID-19 future.&quot;,&quot;issue&quot;:&quot;May&quot;,&quot;container-title-short&quot;:&quot;&quot;},&quot;isTemporary&quot;:false}],&quot;citationTag&quot;:&quot;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&quot;},{&quot;citationID&quot;:&quot;MENDELEY_CITATION_edb802ef-69e3-4099-8781-d229f811807c&quot;,&quot;properties&quot;:{&quot;noteIndex&quot;:0},&quot;isEdited&quot;:false,&quot;manualOverride&quot;:{&quot;isManuallyOverridden&quot;:true,&quot;citeprocText&quot;:&quot;(Kamal and Deegan, 2013)&quot;,&quot;manualOverrideText&quot;:&quot;Kamal and Deegan's (2013)&quot;},&quot;citationItems&quot;:[{&quot;id&quot;:&quot;5d64e29e-8a05-3b78-8204-6c8dd4051e7c&quot;,&quot;itemData&quot;:{&quot;type&quot;:&quot;article&quot;,&quot;id&quot;:&quot;5d64e29e-8a05-3b78-8204-6c8dd4051e7c&quot;,&quot;title&quot;:&quot;Corporate social and environment-related governance disclosure practices in the textile and garment industry: Evidence from a developing country&quot;,&quot;author&quot;:[{&quot;family&quot;:&quot;Kamal&quot;,&quot;given&quot;:&quot;Yousuf&quot;,&quot;parse-names&quot;:false,&quot;dropping-particle&quot;:&quot;&quot;,&quot;non-dropping-particle&quot;:&quot;&quot;},{&quot;family&quot;:&quot;Deegan&quot;,&quot;given&quot;:&quot;Craig&quot;,&quot;parse-names&quot;:false,&quot;dropping-particle&quot;:&quot;&quot;,&quot;non-dropping-particle&quot;:&quot;&quot;}],&quot;container-title&quot;:&quot;Australian Accounting Review&quot;,&quot;issued&quot;:{&quot;date-parts&quot;:[[2013,6]]},&quot;page&quot;:&quot;117-134&quot;,&quot;abstract&quot;:&quot;We investigate the social and environment-related governance disclosure practices of a sample of textile and garment companies operating within Bangladesh. Using content analysis we find that the disclosure of governance information lags behind general corporate social responsibility disclosures, and the textile and garment companies of Bangladesh disclose information about their governance practices in order to secure/maintain legitimacy and/or to meet community expectations. However, the governance disclosures still fall short of what would appear to be expected by the international community, and despite ongoing international concerns about workplace conditions and associated safety, the results suggest limited accountability and transparency in relation to social and environment-related governance practices within a developing country context. © 2013 CPA Australia.&quot;,&quot;issue&quot;:&quot;2&quot;,&quot;volume&quot;:&quot;23&quot;,&quot;container-title-short&quot;:&quot;&quot;},&quot;isTemporary&quot;:false}],&quot;citationTag&quot;:&quot;MENDELEY_CITATION_v3_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&quot;},{&quot;citationID&quot;:&quot;MENDELEY_CITATION_a8b8f665-e879-4612-9d7b-132511cd2d20&quot;,&quot;properties&quot;:{&quot;noteIndex&quot;:0},&quot;isEdited&quot;:false,&quot;manualOverride&quot;:{&quot;isManuallyOverridden&quot;:false,&quot;citeprocText&quot;:&quot;(Kamal and Deegan, 2013)&quot;,&quot;manualOverrideText&quot;:&quot;&quot;},&quot;citationItems&quot;:[{&quot;id&quot;:&quot;5d64e29e-8a05-3b78-8204-6c8dd4051e7c&quot;,&quot;itemData&quot;:{&quot;type&quot;:&quot;article&quot;,&quot;id&quot;:&quot;5d64e29e-8a05-3b78-8204-6c8dd4051e7c&quot;,&quot;title&quot;:&quot;Corporate social and environment-related governance disclosure practices in the textile and garment industry: Evidence from a developing country&quot;,&quot;author&quot;:[{&quot;family&quot;:&quot;Kamal&quot;,&quot;given&quot;:&quot;Yousuf&quot;,&quot;parse-names&quot;:false,&quot;dropping-particle&quot;:&quot;&quot;,&quot;non-dropping-particle&quot;:&quot;&quot;},{&quot;family&quot;:&quot;Deegan&quot;,&quot;given&quot;:&quot;Craig&quot;,&quot;parse-names&quot;:false,&quot;dropping-particle&quot;:&quot;&quot;,&quot;non-dropping-particle&quot;:&quot;&quot;}],&quot;container-title&quot;:&quot;Australian Accounting Review&quot;,&quot;issued&quot;:{&quot;date-parts&quot;:[[2013,6]]},&quot;page&quot;:&quot;117-134&quot;,&quot;abstract&quot;:&quot;We investigate the social and environment-related governance disclosure practices of a sample of textile and garment companies operating within Bangladesh. Using content analysis we find that the disclosure of governance information lags behind general corporate social responsibility disclosures, and the textile and garment companies of Bangladesh disclose information about their governance practices in order to secure/maintain legitimacy and/or to meet community expectations. However, the governance disclosures still fall short of what would appear to be expected by the international community, and despite ongoing international concerns about workplace conditions and associated safety, the results suggest limited accountability and transparency in relation to social and environment-related governance practices within a developing country context. © 2013 CPA Australia.&quot;,&quot;issue&quot;:&quot;2&quot;,&quot;volume&quot;:&quot;23&quot;,&quot;container-title-short&quot;:&quot;&quot;},&quot;isTemporary&quot;:false}],&quot;citationTag&quot;:&quot;MENDELEY_CITATION_v3_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&quot;},{&quot;citationID&quot;:&quot;MENDELEY_CITATION_8f4c13bd-9f29-4c05-94ab-b3e183a93edf&quot;,&quot;properties&quot;:{&quot;noteIndex&quot;:0},&quot;isEdited&quot;:false,&quot;manualOverride&quot;:{&quot;isManuallyOverridden&quot;:true,&quot;citeprocText&quot;:&quot;(Akbar and Ahsan, 2019)&quot;,&quot;manualOverrideText&quot;:&quot;Akbar and Ahsan's (2019)&quot;},&quot;citationItems&quot;:[{&quot;id&quot;:&quot;b426c222-e156-3b84-9fe0-2b5e73a8233c&quot;,&quot;itemData&quot;:{&quot;type&quot;:&quot;article-journal&quot;,&quot;id&quot;:&quot;b426c222-e156-3b84-9fe0-2b5e73a8233c&quot;,&quot;title&quot;:&quot;Workplace safety compliance implementation challenges in apparel supplier firms&quot;,&quot;author&quot;:[{&quot;family&quot;:&quot;Akbar&quot;,&quot;given&quot;:&quot;Suraiyah&quot;,&quot;parse-names&quot;:false,&quot;dropping-particle&quot;:&quot;&quot;,&quot;non-dropping-particle&quot;:&quot;&quot;},{&quot;family&quot;:&quot;Ahsan&quot;,&quot;given&quot;:&quot;Kamrul&quot;,&quot;parse-names&quot;:false,&quot;dropping-particle&quot;:&quot;&quot;,&quot;non-dropping-particle&quot;:&quot;&quot;}],&quot;container-title&quot;:&quot;Journal of Cleaner Production&quot;,&quot;container-title-short&quot;:&quot;J Clean Prod&quot;,&quot;DOI&quot;:&quot;10.1016/j.jclepro.2019.05.368&quot;,&quot;ISSN&quot;:&quot;09596526&quot;,&quot;issued&quot;:{&quot;date-parts&quot;:[[2019,9,20]]},&quot;page&quot;:&quot;462-473&quot;,&quot;abstract&quot;:&quot;This research investigates the challenges faced by apparel supplier firms in implementing workplace safety compliance. We develop a framework of the implementation challenges faced by apparel supplier firms, which is supported by theory and literature. To rank the order of critical challenges, we interview senior level management of apparel supplier firms and use an analytic hierarchy process (AHP). The AHP analysis indicates that the most significant challenges in implementing workplace safety compliance relate to ‘cost and financial concerns’ and ‘factory capacity and capability’ issues. The study determines that, to enable effective implementation of workplace safety compliance, apparel supplier firms must strategically manage their factory capacity, and require long-term commitment from international apparel buyers. The research results may be useful for policy makers and for managers of apparel supplier firms in improving factory safety conditions.&quot;,&quot;publisher&quot;:&quot;Elsevier Ltd&quot;,&quot;volume&quot;:&quot;232&quot;},&quot;isTemporary&quot;:false}],&quot;citationTag&quot;:&quot;MENDELEY_CITATION_v3_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&quot;},{&quot;citationID&quot;:&quot;MENDELEY_CITATION_d2506a4f-0c00-4f97-ad47-239f3b0e0315&quot;,&quot;properties&quot;:{&quot;noteIndex&quot;:0},&quot;isEdited&quot;:false,&quot;manualOverride&quot;:{&quot;isManuallyOverridden&quot;:false,&quot;citeprocText&quot;:&quot;(Akbar and Ahsan, 2019)&quot;,&quot;manualOverrideText&quot;:&quot;&quot;},&quot;citationItems&quot;:[{&quot;id&quot;:&quot;b426c222-e156-3b84-9fe0-2b5e73a8233c&quot;,&quot;itemData&quot;:{&quot;type&quot;:&quot;article-journal&quot;,&quot;id&quot;:&quot;b426c222-e156-3b84-9fe0-2b5e73a8233c&quot;,&quot;title&quot;:&quot;Workplace safety compliance implementation challenges in apparel supplier firms&quot;,&quot;author&quot;:[{&quot;family&quot;:&quot;Akbar&quot;,&quot;given&quot;:&quot;Suraiyah&quot;,&quot;parse-names&quot;:false,&quot;dropping-particle&quot;:&quot;&quot;,&quot;non-dropping-particle&quot;:&quot;&quot;},{&quot;family&quot;:&quot;Ahsan&quot;,&quot;given&quot;:&quot;Kamrul&quot;,&quot;parse-names&quot;:false,&quot;dropping-particle&quot;:&quot;&quot;,&quot;non-dropping-particle&quot;:&quot;&quot;}],&quot;container-title&quot;:&quot;Journal of Cleaner Production&quot;,&quot;container-title-short&quot;:&quot;J Clean Prod&quot;,&quot;DOI&quot;:&quot;10.1016/j.jclepro.2019.05.368&quot;,&quot;ISSN&quot;:&quot;09596526&quot;,&quot;issued&quot;:{&quot;date-parts&quot;:[[2019,9,20]]},&quot;page&quot;:&quot;462-473&quot;,&quot;abstract&quot;:&quot;This research investigates the challenges faced by apparel supplier firms in implementing workplace safety compliance. We develop a framework of the implementation challenges faced by apparel supplier firms, which is supported by theory and literature. To rank the order of critical challenges, we interview senior level management of apparel supplier firms and use an analytic hierarchy process (AHP). The AHP analysis indicates that the most significant challenges in implementing workplace safety compliance relate to ‘cost and financial concerns’ and ‘factory capacity and capability’ issues. The study determines that, to enable effective implementation of workplace safety compliance, apparel supplier firms must strategically manage their factory capacity, and require long-term commitment from international apparel buyers. The research results may be useful for policy makers and for managers of apparel supplier firms in improving factory safety conditions.&quot;,&quot;publisher&quot;:&quot;Elsevier Ltd&quot;,&quot;volume&quot;:&quot;232&quot;},&quot;isTemporary&quot;:false}],&quot;citationTag&quot;:&quot;MENDELEY_CITATION_v3_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&quot;},{&quot;citationID&quot;:&quot;MENDELEY_CITATION_96020945-4aca-4f65-861f-dcd98ae034ee&quot;,&quot;properties&quot;:{&quot;noteIndex&quot;:0},&quot;isEdited&quot;:false,&quot;manualOverride&quot;:{&quot;isManuallyOverridden&quot;:false,&quot;citeprocText&quot;:&quot;(Manawaduge &lt;i&gt;et al.&lt;/i&gt;, 2018)&quot;,&quot;manualOverrideText&quot;:&quot;&quot;},&quot;citationItems&quot;:[{&quot;id&quot;:&quot;3c085fd8-f7b0-3893-b22a-5896325ac3aa&quot;,&quot;itemData&quot;:{&quot;type&quot;:&quot;article-journal&quot;,&quot;id&quot;:&quot;3c085fd8-f7b0-3893-b22a-5896325ac3aa&quot;,&quot;title&quot;:&quot;Corporate governance and postcolonialism: the experience of Sri Lanka&quot;,&quot;author&quot;:[{&quot;family&quot;:&quot;Manawaduge&quot;,&quot;given&quot;:&quot;Athula&quot;,&quot;parse-names&quot;:false,&quot;dropping-particle&quot;:&quot;&quot;,&quot;non-dropping-particle&quot;:&quot;&quot;},{&quot;family&quot;:&quot;Zoysa&quot;,&quot;given&quot;:&quot;Anura&quot;,&quot;parse-names&quot;:false,&quot;dropping-particle&quot;:&quot;&quot;,&quot;non-dropping-particle&quot;:&quot;De&quot;},{&quot;family&quot;:&quot;Rudkin&quot;,&quot;given&quot;:&quot;Kathy&quot;,&quot;parse-names&quot;:false,&quot;dropping-particle&quot;:&quot;&quot;,&quot;non-dropping-particle&quot;:&quot;&quot;}],&quot;container-title&quot;:&quot;International Journal of Corporate Governance&quot;,&quot;DOI&quot;:&quot;10.1504/IJCG.2018.10011963&quot;,&quot;ISSN&quot;:&quot;1754-3037&quot;,&quot;issued&quot;:{&quot;date-parts&quot;:[[2018]]},&quot;page&quot;:&quot;127&quot;,&quot;issue&quot;:&quot;2&quot;,&quot;volume&quot;:&quot;9&quot;,&quot;container-title-short&quot;:&quot;&quot;},&quot;isTemporary&quot;:false}],&quot;citationTag&quot;:&quot;MENDELEY_CITATION_v3_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&quot;},{&quot;citationID&quot;:&quot;MENDELEY_CITATION_a8e2a777-ab21-450d-a1be-3f8877f9b949&quot;,&quot;properties&quot;:{&quot;noteIndex&quot;:0},&quot;isEdited&quot;:false,&quot;manualOverride&quot;:{&quot;isManuallyOverridden&quot;:false,&quot;citeprocText&quot;:&quot;(Ministry of Finance, 2020)&quot;,&quot;manualOverrideText&quot;:&quot;&quot;},&quot;citationItems&quot;:[{&quot;id&quot;:&quot;73895a86-63e4-3f7d-ba9b-f86794703ec8&quot;,&quot;itemData&quot;:{&quot;type&quot;:&quot;webpage&quot;,&quot;id&quot;:&quot;73895a86-63e4-3f7d-ba9b-f86794703ec8&quot;,&quot;title&quot;:&quot;Economic Phases&quot;,&quot;author&quot;:[{&quot;family&quot;:&quot;Ministry of Finance&quot;,&quot;given&quot;:&quot;Economic Stabilization &amp; National Policies&quot;,&quot;parse-names&quot;:false,&quot;dropping-particle&quot;:&quot;&quot;,&quot;non-dropping-particle&quot;:&quot;&quot;}],&quot;accessed&quot;:{&quot;date-parts&quot;:[[2024,7,23]]},&quot;URL&quot;:&quot;https://www.treasury.gov.lk/web/economic-phases/section/towards%20an%20open%20economy%20(1977-2005)&quot;,&quot;issued&quot;:{&quot;date-parts&quot;:[[2020]]},&quot;container-title-short&quot;:&quot;&quot;},&quot;isTemporary&quot;:false}],&quot;citationTag&quot;:&quot;MENDELEY_CITATION_v3_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&quot;},{&quot;citationID&quot;:&quot;MENDELEY_CITATION_8007edc6-5050-4846-8aa6-5345a628c49e&quot;,&quot;properties&quot;:{&quot;noteIndex&quot;:0},&quot;isEdited&quot;:false,&quot;manualOverride&quot;:{&quot;isManuallyOverridden&quot;:true,&quot;citeprocText&quot;:&quot;(The department of companies Sri Lanka, 1982)&quot;,&quot;manualOverrideText&quot;:&quot;(The Department of Companies, Sri Lanka, 1982)&quot;},&quot;citationItems&quot;:[{&quot;id&quot;:&quot;046c0e1e-007d-3c08-8b47-c8afd93f27f5&quot;,&quot;itemData&quot;:{&quot;type&quot;:&quot;legislation&quot;,&quot;id&quot;:&quot;046c0e1e-007d-3c08-8b47-c8afd93f27f5&quot;,&quot;title&quot;:&quot;Companies Act, No. 17 of 1982&quot;,&quot;author&quot;:[{&quot;family&quot;:&quot;The department of companies Sri Lanka&quot;,&quot;given&quot;:&quot;&quot;,&quot;parse-names&quot;:false,&quot;dropping-particle&quot;:&quot;&quot;,&quot;non-dropping-particle&quot;:&quot;&quot;}],&quot;issued&quot;:{&quot;date-parts&quot;:[[1982,5,20]]},&quot;page&quot;:&quot;1-592&quot;,&quot;container-title-short&quot;:&quot;&quot;},&quot;isTemporary&quot;:false}],&quot;citationTag&quot;:&quot;MENDELEY_CITATION_v3_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&quot;},{&quot;citationID&quot;:&quot;MENDELEY_CITATION_484b0fc6-8a58-4588-8d16-0f6c36309b2b&quot;,&quot;properties&quot;:{&quot;noteIndex&quot;:0},&quot;isEdited&quot;:false,&quot;manualOverride&quot;:{&quot;isManuallyOverridden&quot;:true,&quot;citeprocText&quot;:&quot;(International trade administration, 2024)&quot;,&quot;manualOverrideText&quot;:&quot;(International Trade Administration, 2024)&quot;},&quot;citationItems&quot;:[{&quot;id&quot;:&quot;264b1b53-6a30-3c6f-8a63-247631b28a95&quot;,&quot;itemData&quot;:{&quot;type&quot;:&quot;webpage&quot;,&quot;id&quot;:&quot;264b1b53-6a30-3c6f-8a63-247631b28a95&quot;,&quot;title&quot;:&quot;Sri Lanka - Country Commercial Guide&quot;,&quot;author&quot;:[{&quot;family&quot;:&quot;International trade administration&quot;,&quot;given&quot;:&quot;&quot;,&quot;parse-names&quot;:false,&quot;dropping-particle&quot;:&quot;&quot;,&quot;non-dropping-particle&quot;:&quot;&quot;}],&quot;accessed&quot;:{&quot;date-parts&quot;:[[2024,7,25]]},&quot;URL&quot;:&quot;https://www.trade.gov/country-commercial-guides/sri-lanka-textiles&quot;,&quot;issued&quot;:{&quot;date-parts&quot;:[[2024,5,8]]},&quot;container-title-short&quot;:&quot;&quot;},&quot;isTemporary&quot;:false}],&quot;citationTag&quot;:&quot;MENDELEY_CITATION_v3_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&quot;},{&quot;citationID&quot;:&quot;MENDELEY_CITATION_45054a6d-2b4c-463f-beed-2889e1033c73&quot;,&quot;properties&quot;:{&quot;noteIndex&quot;:0},&quot;isEdited&quot;:false,&quot;manualOverride&quot;:{&quot;isManuallyOverridden&quot;:false,&quot;citeprocText&quot;:&quot;(Ministry of Industries, 2021)&quot;,&quot;manualOverrideText&quot;:&quot;&quot;},&quot;citationItems&quot;:[{&quot;id&quot;:&quot;162d1011-82c2-3e65-85e1-dbc4baef20b1&quot;,&quot;itemData&quot;:{&quot;type&quot;:&quot;report&quot;,&quot;id&quot;:&quot;162d1011-82c2-3e65-85e1-dbc4baef20b1&quot;,&quot;title&quot;:&quot;Industry data book: Textile and Apparel Sector&quot;,&quot;author&quot;:[{&quot;family&quot;:&quot;Ministry of Industries&quot;,&quot;given&quot;:&quot;&quot;,&quot;parse-names&quot;:false,&quot;dropping-particle&quot;:&quot;&quot;,&quot;non-dropping-particle&quot;:&quot;&quot;}],&quot;URL&quot;:&quot;www.industry.gov.lk&quot;,&quot;issued&quot;:{&quot;date-parts&quot;:[[2021]]},&quot;number-of-pages&quot;:&quot;1-38&quot;,&quot;container-title-short&quot;:&quot;&quot;},&quot;isTemporary&quot;:false}],&quot;citationTag&quot;:&quot;MENDELEY_CITATION_v3_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&quot;},{&quot;citationID&quot;:&quot;MENDELEY_CITATION_33c4933b-7086-42e3-abd1-9b62e9b44e7c&quot;,&quot;properties&quot;:{&quot;noteIndex&quot;:0},&quot;isEdited&quot;:false,&quot;manualOverride&quot;:{&quot;isManuallyOverridden&quot;:true,&quot;citeprocText&quot;:&quot;(Sri Lanka export development board, 2024)&quot;,&quot;manualOverrideText&quot;:&quot;(Sri Lanka Export Development Board, 2024)&quot;},&quot;citationItems&quot;:[{&quot;id&quot;:&quot;21bb53c8-ec82-3f59-b589-14be44537bc2&quot;,&quot;itemData&quot;:{&quot;type&quot;:&quot;webpage&quot;,&quot;id&quot;:&quot;21bb53c8-ec82-3f59-b589-14be44537bc2&quot;,&quot;title&quot;:&quot;Apparel export performance&quot;,&quot;author&quot;:[{&quot;family&quot;:&quot;Sri Lanka export development board&quot;,&quot;given&quot;:&quot;&quot;,&quot;parse-names&quot;:false,&quot;dropping-particle&quot;:&quot;&quot;,&quot;non-dropping-particle&quot;:&quot;&quot;}],&quot;accessed&quot;:{&quot;date-parts&quot;:[[2024,7,25]]},&quot;URL&quot;:&quot;https://www.srilankabusiness.com/apparel/about/export-performance.html&quot;,&quot;issued&quot;:{&quot;date-parts&quot;:[[2024]]},&quot;container-title-short&quot;:&quot;&quot;},&quot;isTemporary&quot;:false}],&quot;citationTag&quot;:&quot;MENDELEY_CITATION_v3_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&quot;},{&quot;citationID&quot;:&quot;MENDELEY_CITATION_ef37f359-8be5-4c1a-8c8f-c10163e8379a&quot;,&quot;properties&quot;:{&quot;noteIndex&quot;:0},&quot;isEdited&quot;:false,&quot;manualOverride&quot;:{&quot;isManuallyOverridden&quot;:false,&quot;citeprocText&quot;:&quot;(Ministry of Industries, 2021)&quot;,&quot;manualOverrideText&quot;:&quot;&quot;},&quot;citationItems&quot;:[{&quot;id&quot;:&quot;162d1011-82c2-3e65-85e1-dbc4baef20b1&quot;,&quot;itemData&quot;:{&quot;type&quot;:&quot;report&quot;,&quot;id&quot;:&quot;162d1011-82c2-3e65-85e1-dbc4baef20b1&quot;,&quot;title&quot;:&quot;Industry data book: Textile and Apparel Sector&quot;,&quot;author&quot;:[{&quot;family&quot;:&quot;Ministry of Industries&quot;,&quot;given&quot;:&quot;&quot;,&quot;parse-names&quot;:false,&quot;dropping-particle&quot;:&quot;&quot;,&quot;non-dropping-particle&quot;:&quot;&quot;}],&quot;URL&quot;:&quot;www.industry.gov.lk&quot;,&quot;issued&quot;:{&quot;date-parts&quot;:[[2021]]},&quot;number-of-pages&quot;:&quot;1-38&quot;,&quot;container-title-short&quot;:&quot;&quot;},&quot;isTemporary&quot;:false}],&quot;citationTag&quot;:&quot;MENDELEY_CITATION_v3_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&quot;},{&quot;citationID&quot;:&quot;MENDELEY_CITATION_25d3dc3d-3dc4-47d2-9c82-5016735b7890&quot;,&quot;properties&quot;:{&quot;noteIndex&quot;:0},&quot;isEdited&quot;:false,&quot;manualOverride&quot;:{&quot;isManuallyOverridden&quot;:false,&quot;citeprocText&quot;:&quot;(Sri Lanka export development, 2024)&quot;,&quot;manualOverrideText&quot;:&quot;&quot;},&quot;citationItems&quot;:[{&quot;id&quot;:&quot;a4e95a0b-59bd-369b-8f12-c5ed39982f79&quot;,&quot;itemData&quot;:{&quot;type&quot;:&quot;webpage&quot;,&quot;id&quot;:&quot;a4e95a0b-59bd-369b-8f12-c5ed39982f79&quot;,&quot;title&quot;:&quot;Why source logistic services from Sri Lanka&quot;,&quot;author&quot;:[{&quot;family&quot;:&quot;Sri Lanka export development&quot;,&quot;given&quot;:&quot;&quot;,&quot;parse-names&quot;:false,&quot;dropping-particle&quot;:&quot;&quot;,&quot;non-dropping-particle&quot;:&quot;&quot;}],&quot;accessed&quot;:{&quot;date-parts&quot;:[[2024,7,23]]},&quot;URL&quot;:&quot;https://www.srilankabusiness.com/port-logistics-services/global-stakeholder-information/logistic-service-sri-lanka.html&quot;,&quot;issued&quot;:{&quot;date-parts&quot;:[[2024]]},&quot;container-title-short&quot;:&quot;&quot;},&quot;isTemporary&quot;:false}],&quot;citationTag&quot;:&quot;MENDELEY_CITATION_v3_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&quot;},{&quot;citationID&quot;:&quot;MENDELEY_CITATION_935a4d70-03e5-473b-b6ff-cb4b1a95d707&quot;,&quot;properties&quot;:{&quot;noteIndex&quot;:0},&quot;isEdited&quot;:false,&quot;manualOverride&quot;:{&quot;isManuallyOverridden&quot;:true,&quot;citeprocText&quot;:&quot;(Sri Lanka export development, 2024)&quot;,&quot;manualOverrideText&quot;:&quot;(Sri Lanka Export Development, 2024)&quot;},&quot;citationItems&quot;:[{&quot;id&quot;:&quot;a4e95a0b-59bd-369b-8f12-c5ed39982f79&quot;,&quot;itemData&quot;:{&quot;type&quot;:&quot;webpage&quot;,&quot;id&quot;:&quot;a4e95a0b-59bd-369b-8f12-c5ed39982f79&quot;,&quot;title&quot;:&quot;Why source logistic services from Sri Lanka&quot;,&quot;author&quot;:[{&quot;family&quot;:&quot;Sri Lanka export development&quot;,&quot;given&quot;:&quot;&quot;,&quot;parse-names&quot;:false,&quot;dropping-particle&quot;:&quot;&quot;,&quot;non-dropping-particle&quot;:&quot;&quot;}],&quot;accessed&quot;:{&quot;date-parts&quot;:[[2024,7,23]]},&quot;URL&quot;:&quot;https://www.srilankabusiness.com/port-logistics-services/global-stakeholder-information/logistic-service-sri-lanka.html&quot;,&quot;issued&quot;:{&quot;date-parts&quot;:[[2024]]},&quot;container-title-short&quot;:&quot;&quot;},&quot;isTemporary&quot;:false}],&quot;citationTag&quot;:&quot;MENDELEY_CITATION_v3_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&quot;},{&quot;citationID&quot;:&quot;MENDELEY_CITATION_7daf2581-15a2-44c6-ae34-c9aad543125f&quot;,&quot;properties&quot;:{&quot;noteIndex&quot;:0},&quot;isEdited&quot;:false,&quot;manualOverride&quot;:{&quot;isManuallyOverridden&quot;:false,&quot;citeprocText&quot;:&quot;(EDB, 2024)&quot;,&quot;manualOverrideText&quot;:&quot;&quot;},&quot;citationItems&quot;:[{&quot;id&quot;:&quot;0296c268-fdb2-3ba2-9662-0a7af2774c81&quot;,&quot;itemData&quot;:{&quot;type&quot;:&quot;webpage&quot;,&quot;id&quot;:&quot;0296c268-fdb2-3ba2-9662-0a7af2774c81&quot;,&quot;title&quot;:&quot;Why Sri Lankan Apparel?&quot;,&quot;author&quot;:[{&quot;family&quot;:&quot;Sri Lanka export development board&quot;,&quot;given&quot;:&quot;&quot;,&quot;parse-names&quot;:false,&quot;dropping-particle&quot;:&quot;&quot;,&quot;non-dropping-particle&quot;:&quot;&quot;}],&quot;accessed&quot;:{&quot;date-parts&quot;:[[2024,2,24]]},&quot;URL&quot;:&quot;https://www.srilankabusiness.com/apparel/why-sri-lankan-apparel.html&quot;,&quot;issued&quot;:{&quot;date-parts&quot;:[[2024]]},&quot;container-title-short&quot;:&quot;&quot;},&quot;isTemporary&quot;:false}],&quot;citationTag&quot;:&quot;MENDELEY_CITATION_v3_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&quot;},{&quot;citationID&quot;:&quot;MENDELEY_CITATION_352a0574-dd65-49b2-88e7-ea4d881c8b27&quot;,&quot;properties&quot;:{&quot;noteIndex&quot;:0},&quot;isEdited&quot;:false,&quot;manualOverride&quot;:{&quot;isManuallyOverridden&quot;:false,&quot;citeprocText&quot;:&quot;(EDB, 2024)&quot;,&quot;manualOverrideText&quot;:&quot;&quot;},&quot;citationItems&quot;:[{&quot;id&quot;:&quot;0296c268-fdb2-3ba2-9662-0a7af2774c81&quot;,&quot;itemData&quot;:{&quot;type&quot;:&quot;webpage&quot;,&quot;id&quot;:&quot;0296c268-fdb2-3ba2-9662-0a7af2774c81&quot;,&quot;title&quot;:&quot;Why Sri Lankan Apparel?&quot;,&quot;author&quot;:[{&quot;family&quot;:&quot;Sri Lanka export development board&quot;,&quot;given&quot;:&quot;&quot;,&quot;parse-names&quot;:false,&quot;dropping-particle&quot;:&quot;&quot;,&quot;non-dropping-particle&quot;:&quot;&quot;}],&quot;accessed&quot;:{&quot;date-parts&quot;:[[2024,2,24]]},&quot;URL&quot;:&quot;https://www.srilankabusiness.com/apparel/why-sri-lankan-apparel.html&quot;,&quot;issued&quot;:{&quot;date-parts&quot;:[[2024]]},&quot;container-title-short&quot;:&quot;&quot;},&quot;isTemporary&quot;:false}],&quot;citationTag&quot;:&quot;MENDELEY_CITATION_v3_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&quot;},{&quot;citationID&quot;:&quot;MENDELEY_CITATION_f4d5d64e-7a17-4e6f-8fb7-6f9816af2ff0&quot;,&quot;properties&quot;:{&quot;noteIndex&quot;:0},&quot;isEdited&quot;:false,&quot;manualOverride&quot;:{&quot;isManuallyOverridden&quot;:false,&quot;citeprocText&quot;:&quot;(ILO, 2024a)&quot;,&quot;manualOverrideText&quot;:&quot;&quot;},&quot;citationItems&quot;:[{&quot;id&quot;:&quot;2a0dc8a2-707f-37f0-b487-0930f020f4f6&quot;,&quot;itemData&quot;:{&quot;type&quot;:&quot;webpage&quot;,&quot;id&quot;:&quot;2a0dc8a2-707f-37f0-b487-0930f020f4f6&quot;,&quot;title&quot;:&quot;Ratifications for Sri Lanka&quot;,&quot;author&quot;:[{&quot;family&quot;:&quot;ILO&quot;,&quot;given&quot;:&quot;&quot;,&quot;parse-names&quot;:false,&quot;dropping-particle&quot;:&quot;&quot;,&quot;non-dropping-particle&quot;:&quot;&quot;}],&quot;accessed&quot;:{&quot;date-parts&quot;:[[2024,7,25]]},&quot;URL&quot;:&quot;https://normlex.ilo.org/dyn/normlex/en/f?p=1000:11200:::::P11200_INSTRUMENT_SORT:3&quot;,&quot;issued&quot;:{&quot;date-parts&quot;:[[2024]]},&quot;container-title-short&quot;:&quot;&quot;},&quot;isTemporary&quot;:false}],&quot;citationTag&quot;:&quot;MENDELEY_CITATION_v3_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&quot;},{&quot;citationID&quot;:&quot;MENDELEY_CITATION_624d9952-af0d-4bf4-8332-71cda597c8fe&quot;,&quot;properties&quot;:{&quot;noteIndex&quot;:0},&quot;isEdited&quot;:false,&quot;manualOverride&quot;:{&quot;isManuallyOverridden&quot;:false,&quot;citeprocText&quot;:&quot;(CNN World, 2022)&quot;,&quot;manualOverrideText&quot;:&quot;&quot;},&quot;citationItems&quot;:[{&quot;id&quot;:&quot;b24b0d8d-6932-3cb5-95bc-21e131dbf255&quot;,&quot;itemData&quot;:{&quot;type&quot;:&quot;webpage&quot;,&quot;id&quot;:&quot;b24b0d8d-6932-3cb5-95bc-21e131dbf255&quot;,&quot;title&quot;:&quot;Sri Lanka is ‘bankrupt,’ Prime Minister says&quot;,&quot;author&quot;:[{&quot;family&quot;:&quot;CNN World&quot;,&quot;given&quot;:&quot;&quot;,&quot;parse-names&quot;:false,&quot;dropping-particle&quot;:&quot;&quot;,&quot;non-dropping-particle&quot;:&quot;&quot;}],&quot;issued&quot;:{&quot;date-parts&quot;:[[2022,7,6]]},&quot;container-title-short&quot;:&quot;&quot;},&quot;isTemporary&quot;:false}],&quot;citationTag&quot;:&quot;MENDELEY_CITATION_v3_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&quot;},{&quot;citationID&quot;:&quot;MENDELEY_CITATION_7c582ed5-ab07-458f-a913-dbfb64cfac96&quot;,&quot;properties&quot;:{&quot;noteIndex&quot;:0},&quot;isEdited&quot;:false,&quot;manualOverride&quot;:{&quot;isManuallyOverridden&quot;:false,&quot;citeprocText&quot;:&quot;(CNN World, 2022)&quot;,&quot;manualOverrideText&quot;:&quot;&quot;},&quot;citationItems&quot;:[{&quot;id&quot;:&quot;b24b0d8d-6932-3cb5-95bc-21e131dbf255&quot;,&quot;itemData&quot;:{&quot;type&quot;:&quot;webpage&quot;,&quot;id&quot;:&quot;b24b0d8d-6932-3cb5-95bc-21e131dbf255&quot;,&quot;title&quot;:&quot;Sri Lanka is ‘bankrupt,’ Prime Minister says&quot;,&quot;author&quot;:[{&quot;family&quot;:&quot;CNN World&quot;,&quot;given&quot;:&quot;&quot;,&quot;parse-names&quot;:false,&quot;dropping-particle&quot;:&quot;&quot;,&quot;non-dropping-particle&quot;:&quot;&quot;}],&quot;issued&quot;:{&quot;date-parts&quot;:[[2022,7,6]]},&quot;container-title-short&quot;:&quot;&quot;},&quot;isTemporary&quot;:false}],&quot;citationTag&quot;:&quot;MENDELEY_CITATION_v3_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&quot;},{&quot;citationID&quot;:&quot;MENDELEY_CITATION_d3103d11-71b1-44b4-8f37-7b10ead5a92c&quot;,&quot;properties&quot;:{&quot;noteIndex&quot;:0},&quot;isEdited&quot;:false,&quot;manualOverride&quot;:{&quot;isManuallyOverridden&quot;:false,&quot;citeprocText&quot;:&quot;(International Monetary Fund, 2023)&quot;,&quot;manualOverrideText&quot;:&quot;&quot;},&quot;citationItems&quot;:[{&quot;id&quot;:&quot;6d9f4e7b-fb77-366c-8dc1-fa3f1a5083f8&quot;,&quot;itemData&quot;:{&quot;type&quot;:&quot;webpage&quot;,&quot;id&quot;:&quot;6d9f4e7b-fb77-366c-8dc1-fa3f1a5083f8&quot;,&quot;title&quot;:&quot;IMF Reaches Staff-Level Agreement on the First Review of Sri Lanka’s Extended Fund Facility Arrangement&quot;,&quot;author&quot;:[{&quot;family&quot;:&quot;International Monetary Fund&quot;,&quot;given&quot;:&quot;&quot;,&quot;parse-names&quot;:false,&quot;dropping-particle&quot;:&quot;&quot;,&quot;non-dropping-particle&quot;:&quot;&quot;}],&quot;accessed&quot;:{&quot;date-parts&quot;:[[2024,7,23]]},&quot;URL&quot;:&quot;https://www.imf.org/en/News/Articles/2023/10/19/pr23357-sri-lanka-imf-reaches-sla-on-the-review-of-sri-lanka-extended-fund-facility-arrangement&quot;,&quot;issued&quot;:{&quot;date-parts&quot;:[[2023,10,19]]},&quot;container-title-short&quot;:&quot;&quot;},&quot;isTemporary&quot;:false}],&quot;citationTag&quot;:&quot;MENDELEY_CITATION_v3_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&quot;},{&quot;citationID&quot;:&quot;MENDELEY_CITATION_82091f90-4cf1-46d7-bb5e-783f2c5c7159&quot;,&quot;properties&quot;:{&quot;noteIndex&quot;:0},&quot;isEdited&quot;:false,&quot;manualOverride&quot;:{&quot;isManuallyOverridden&quot;:true,&quot;citeprocText&quot;:&quot;(ILO, 2024b)&quot;,&quot;manualOverrideText&quot;:&quot;(ILO, 2024c)&quot;},&quot;citationItems&quot;:[{&quot;id&quot;:&quot;1bc4dc08-f13e-39e2-8641-1e4c433ac716&quot;,&quot;itemData&quot;:{&quot;type&quot;:&quot;webpage&quot;,&quot;id&quot;:&quot;1bc4dc08-f13e-39e2-8641-1e4c433ac716&quot;,&quot;title&quot;:&quot;Ratifications for Sri Lanka&quot;,&quot;author&quot;:[{&quot;family&quot;:&quot;ILO&quot;,&quot;given&quot;:&quot;&quot;,&quot;parse-names&quot;:false,&quot;dropping-particle&quot;:&quot;&quot;,&quot;non-dropping-particle&quot;:&quot;&quot;}],&quot;accessed&quot;:{&quot;date-parts&quot;:[[2024,7,2]]},&quot;URL&quot;:&quot;https://normlex.ilo.org/dyn/normlex/en/f?p=NORMLEXPUB:11200:0::NO:::&quot;,&quot;issued&quot;:{&quot;date-parts&quot;:[[2024]]},&quot;container-title-short&quot;:&quot;&quot;},&quot;isTemporary&quot;:false}],&quot;citationTag&quot;:&quot;MENDELEY_CITATION_v3_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&quot;},{&quot;citationID&quot;:&quot;MENDELEY_CITATION_d096b79b-7010-4058-b908-a2c49078a698&quot;,&quot;properties&quot;:{&quot;noteIndex&quot;:0},&quot;isEdited&quot;:false,&quot;manualOverride&quot;:{&quot;isManuallyOverridden&quot;:true,&quot;citeprocText&quot;:&quot;(ILO, 2024b)&quot;,&quot;manualOverrideText&quot;:&quot;(ILO, 2024c)&quot;},&quot;citationItems&quot;:[{&quot;id&quot;:&quot;1bc4dc08-f13e-39e2-8641-1e4c433ac716&quot;,&quot;itemData&quot;:{&quot;type&quot;:&quot;webpage&quot;,&quot;id&quot;:&quot;1bc4dc08-f13e-39e2-8641-1e4c433ac716&quot;,&quot;title&quot;:&quot;Ratifications for Sri Lanka&quot;,&quot;author&quot;:[{&quot;family&quot;:&quot;ILO&quot;,&quot;given&quot;:&quot;&quot;,&quot;parse-names&quot;:false,&quot;dropping-particle&quot;:&quot;&quot;,&quot;non-dropping-particle&quot;:&quot;&quot;}],&quot;accessed&quot;:{&quot;date-parts&quot;:[[2024,7,2]]},&quot;URL&quot;:&quot;https://normlex.ilo.org/dyn/normlex/en/f?p=NORMLEXPUB:11200:0::NO:::&quot;,&quot;issued&quot;:{&quot;date-parts&quot;:[[2024]]},&quot;container-title-short&quot;:&quot;&quot;},&quot;isTemporary&quot;:false}],&quot;citationTag&quot;:&quot;MENDELEY_CITATION_v3_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&quot;},{&quot;citationID&quot;:&quot;MENDELEY_CITATION_480f20d8-155b-4de3-81e6-652c5ba09b57&quot;,&quot;properties&quot;:{&quot;noteIndex&quot;:0},&quot;isEdited&quot;:false,&quot;manualOverride&quot;:{&quot;isManuallyOverridden&quot;:true,&quot;citeprocText&quot;:&quot;(Burrell and Morgan, 1976)&quot;,&quot;manualOverrideText&quot;:&quot;Burrell and Morgan’s (1976)&quot;},&quot;citationItems&quot;:[{&quot;id&quot;:&quot;d11748b1-5dff-3c83-836f-208e95714cf0&quot;,&quot;itemData&quot;:{&quot;type&quot;:&quot;book&quot;,&quot;id&quot;:&quot;d11748b1-5dff-3c83-836f-208e95714cf0&quot;,&quot;title&quot;:&quot;Sociological Paradigms and Organizational Analysis Elements of the Sociology of Corporate Life&quot;,&quot;author&quot;:[{&quot;family&quot;:&quot;Burrell&quot;,&quot;given&quot;:&quot;Gibson&quot;,&quot;parse-names&quot;:false,&quot;dropping-particle&quot;:&quot;&quot;,&quot;non-dropping-particle&quot;:&quot;&quot;},{&quot;family&quot;:&quot;Morgan&quot;,&quot;given&quot;:&quot;Gareth&quot;,&quot;parse-names&quot;:false,&quot;dropping-particle&quot;:&quot;&quot;,&quot;non-dropping-particle&quot;:&quot;&quot;}],&quot;issued&quot;:{&quot;date-parts&quot;:[[1976]]},&quot;publisher-place&quot;:&quot; Gower&quot;,&quot;publisher&quot;:&quot;Aldershot&quot;,&quot;container-title-short&quot;:&quot;&quot;},&quot;isTemporary&quot;:false}],&quot;citationTag&quot;:&quot;MENDELEY_CITATION_v3_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&quot;},{&quot;citationID&quot;:&quot;MENDELEY_CITATION_5de67244-f282-400b-a37c-2b2a05c4fc98&quot;,&quot;properties&quot;:{&quot;noteIndex&quot;:0},&quot;isEdited&quot;:false,&quot;manualOverride&quot;:{&quot;isManuallyOverridden&quot;:true,&quot;citeprocText&quot;:&quot;(DiMaggio and Powell, 1983; Geels, 2020; Markoff-Legrand &lt;i&gt;et al.&lt;/i&gt;, 2024)&quot;,&quot;manualOverrideText&quot;:&quot;(Dimaggio and Powell, 1983; Geels, 2020; Markoff-Legrand, Bocquet and Gandia, 2024)&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9f173216-a79f-35c8-858b-9247b6adaab8&quot;,&quot;itemData&quot;:{&quot;type&quot;:&quot;article-journal&quot;,&quot;id&quot;:&quot;9f173216-a79f-35c8-858b-9247b6adaab8&quot;,&quot;title&quot;:&quot;Micro-foundations of the multi-level perspective on socio-technical transitions: Developing a multi-dimensional model of agency through crossovers between social constructivism, evolutionary economics and neo-institutional theory&quot;,&quot;author&quot;:[{&quot;family&quot;:&quot;Geels&quot;,&quot;given&quot;:&quot;Frank W.&quot;,&quot;parse-names&quot;:false,&quot;dropping-particle&quot;:&quot;&quot;,&quot;non-dropping-particle&quot;:&quot;&quot;}],&quot;container-title&quot;:&quot;Technological Forecasting and Social Change&quot;,&quot;container-title-short&quot;:&quot;Technol Forecast Soc Change&quot;,&quot;DOI&quot;:&quot;10.1016/j.techfore.2019.119894&quot;,&quot;ISSN&quot;:&quot;00401625&quot;,&quot;issued&quot;:{&quot;date-parts&quot;:[[2020,3,1]]},&quot;abstract&quot;:&quot;The Multi-Level Perspective (MLP) is a prominent framework to understand socio-technical transitions, but its micro-foundations have remained under-developed. The paper's first aim is therefore to develop the MLP's theoretical micro-foundations, which are rooted in Social Construction of Technology, evolutionary economics and neoinstitutional theory. The second aim is to further identify crossovers between these theories. To achieve these goals, the paper analytically reviews the three theories, focusing on: (1) the relevance of each theory for transitions and the MLP, (2) the theory's conceptualisation of agency, (3) criticisms of each theory and subsequent conceptual elaborations (which prepare the ground for potential crossovers between them). Mobilizing insights from the analytical reviews, the paper articulates a multi-dimensional model of agency, which also provides a relational and processual conceptualization of ongoing trajectories in which actors are embedded. Specific conceptual linking points between the three theories are identified, leading to an understanding of socio-technical transitions as evolutionary, interpretive and conflictual processes.&quot;,&quot;publisher&quot;:&quot;Elsevier Inc.&quot;,&quot;volume&quot;:&quot;152&quot;},&quot;isTemporary&quot;:false},{&quot;id&quot;:&quot;9acf31f9-e213-31e9-b6ad-66f456102a51&quot;,&quot;itemData&quot;:{&quot;type&quot;:&quot;article-journal&quot;,&quot;id&quot;:&quot;9acf31f9-e213-31e9-b6ad-66f456102a51&quot;,&quot;title&quot;:&quot;Multi-level neo-institutional analysis of pressures and tensions for adopting a digitally driven business model innovation: Responses from a French energy incumbent&quot;,&quot;author&quot;:[{&quot;family&quot;:&quot;Markoff-Legrand&quot;,&quot;given&quot;:&quot;Anastasia&quot;,&quot;parse-names&quot;:false,&quot;dropping-particle&quot;:&quot;&quot;,&quot;non-dropping-particle&quot;:&quot;&quot;},{&quot;family&quot;:&quot;Bocquet&quot;,&quot;given&quot;:&quot;Rachel&quot;,&quot;parse-names&quot;:false,&quot;dropping-particle&quot;:&quot;&quot;,&quot;non-dropping-particle&quot;:&quot;&quot;},{&quot;family&quot;:&quot;Gandia&quot;,&quot;given&quot;:&quot;Romain&quot;,&quot;parse-names&quot;:false,&quot;dropping-particle&quot;:&quot;&quot;,&quot;non-dropping-particle&quot;:&quot;&quot;}],&quot;container-title&quot;:&quot;Technological Forecasting and Social Change&quot;,&quot;container-title-short&quot;:&quot;Technol Forecast Soc Change&quot;,&quot;DOI&quot;:&quot;10.1016/j.techfore.2024.123458&quot;,&quot;ISSN&quot;:&quot;00401625&quot;,&quot;issued&quot;:{&quot;date-parts&quot;:[[2024,8,1]]},&quot;abstract&quot;:&quot;Digitalization is disrupting the energy sector, requiring incumbents to reinvent their strategies by adopting digitally driven business model innovation (BMI). However, external pressures from value networks and institutional environments can constrain this adoption by creating or strengthening internal tensions. Because research on this issue has been limited, this study combines a multi-level approach to BMI with neo-institutional theory to clarify incumbents' strategic and organizational responses to pressures and tensions related to the adoption of digitally driven BMI. According to an in-depth case study of a large energy incumbent, a multi-level approach is key to understanding the interconnection between external pressures and internal tensions. The results show that though acquiescence is still a valid response to institutional demands, it can lead to a lack of consideration of internal tensions, as well as to organizational misfits that hamper BMI adoption. This article contributes to BMI and neo-institutional literature by offering new theoretical insights and makes managerial recommendations related to multi-level issues linked to the adoption of digitally driven BMI.&quot;,&quot;publisher&quot;:&quot;Elsevier Inc.&quot;,&quot;volume&quot;:&quot;205&quot;},&quot;isTemporary&quot;:false}],&quot;citationTag&quot;:&quot;MENDELEY_CITATION_v3_eyJjaXRhdGlvbklEIjoiTUVOREVMRVlfQ0lUQVRJT05fNWRlNjcyNDQtZjI4Mi00MDBiLWEzN2MtMmIyYTA1YzRmYzk4IiwicHJvcGVydGllcyI6eyJub3RlSW5kZXgiOjB9LCJpc0VkaXRlZCI6ZmFsc2UsIm1hbnVhbE92ZXJyaWRlIjp7ImlzTWFudWFsbHlPdmVycmlkZGVuIjp0cnVlLCJjaXRlcHJvY1RleHQiOiIoRGlNYWdnaW8gYW5kIFBvd2VsbCwgMTk4MzsgR2VlbHMsIDIwMjA7IE1hcmtvZmYtTGVncmFuZCA8aT5ldCBhbC48L2k+LCAyMDI0KSIsIm1hbnVhbE92ZXJyaWRlVGV4dCI6IihEaW1hZ2dpbyBhbmQgUG93ZWxsLCAxOTgzOyBHZWVscywgMjAyMDsgTWFya29mZi1MZWdyYW5kLCBCb2NxdWV0IGFuZCBHYW5kaWEsIDIwMjQp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&quot;},{&quot;citationID&quot;:&quot;MENDELEY_CITATION_5de67244-f282-400b-a37c-2b2a05c4fc98&quot;,&quot;properties&quot;:{&quot;noteIndex&quot;:0},&quot;isEdited&quot;:false,&quot;manualOverride&quot;:{&quot;isManuallyOverridden&quot;:true,&quot;citeprocText&quot;:&quot;(DiMaggio and Powell, 1983; Geels, 2020; Markoff-Legrand &lt;i&gt;et al.&lt;/i&gt;, 2024)&quot;,&quot;manualOverrideText&quot;:&quot;(Dimaggio and Powell, 1983; Geels, 2020; Markoff-Legrand, Bocquet and Gandia, 2024)&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9f173216-a79f-35c8-858b-9247b6adaab8&quot;,&quot;itemData&quot;:{&quot;type&quot;:&quot;article-journal&quot;,&quot;id&quot;:&quot;9f173216-a79f-35c8-858b-9247b6adaab8&quot;,&quot;title&quot;:&quot;Micro-foundations of the multi-level perspective on socio-technical transitions: Developing a multi-dimensional model of agency through crossovers between social constructivism, evolutionary economics and neo-institutional theory&quot;,&quot;author&quot;:[{&quot;family&quot;:&quot;Geels&quot;,&quot;given&quot;:&quot;Frank W.&quot;,&quot;parse-names&quot;:false,&quot;dropping-particle&quot;:&quot;&quot;,&quot;non-dropping-particle&quot;:&quot;&quot;}],&quot;container-title&quot;:&quot;Technological Forecasting and Social Change&quot;,&quot;container-title-short&quot;:&quot;Technol Forecast Soc Change&quot;,&quot;DOI&quot;:&quot;10.1016/j.techfore.2019.119894&quot;,&quot;ISSN&quot;:&quot;00401625&quot;,&quot;issued&quot;:{&quot;date-parts&quot;:[[2020,3,1]]},&quot;abstract&quot;:&quot;The Multi-Level Perspective (MLP) is a prominent framework to understand socio-technical transitions, but its micro-foundations have remained under-developed. The paper's first aim is therefore to develop the MLP's theoretical micro-foundations, which are rooted in Social Construction of Technology, evolutionary economics and neoinstitutional theory. The second aim is to further identify crossovers between these theories. To achieve these goals, the paper analytically reviews the three theories, focusing on: (1) the relevance of each theory for transitions and the MLP, (2) the theory's conceptualisation of agency, (3) criticisms of each theory and subsequent conceptual elaborations (which prepare the ground for potential crossovers between them). Mobilizing insights from the analytical reviews, the paper articulates a multi-dimensional model of agency, which also provides a relational and processual conceptualization of ongoing trajectories in which actors are embedded. Specific conceptual linking points between the three theories are identified, leading to an understanding of socio-technical transitions as evolutionary, interpretive and conflictual processes.&quot;,&quot;publisher&quot;:&quot;Elsevier Inc.&quot;,&quot;volume&quot;:&quot;152&quot;},&quot;isTemporary&quot;:false},{&quot;id&quot;:&quot;9acf31f9-e213-31e9-b6ad-66f456102a51&quot;,&quot;itemData&quot;:{&quot;type&quot;:&quot;article-journal&quot;,&quot;id&quot;:&quot;9acf31f9-e213-31e9-b6ad-66f456102a51&quot;,&quot;title&quot;:&quot;Multi-level neo-institutional analysis of pressures and tensions for adopting a digitally driven business model innovation: Responses from a French energy incumbent&quot;,&quot;author&quot;:[{&quot;family&quot;:&quot;Markoff-Legrand&quot;,&quot;given&quot;:&quot;Anastasia&quot;,&quot;parse-names&quot;:false,&quot;dropping-particle&quot;:&quot;&quot;,&quot;non-dropping-particle&quot;:&quot;&quot;},{&quot;family&quot;:&quot;Bocquet&quot;,&quot;given&quot;:&quot;Rachel&quot;,&quot;parse-names&quot;:false,&quot;dropping-particle&quot;:&quot;&quot;,&quot;non-dropping-particle&quot;:&quot;&quot;},{&quot;family&quot;:&quot;Gandia&quot;,&quot;given&quot;:&quot;Romain&quot;,&quot;parse-names&quot;:false,&quot;dropping-particle&quot;:&quot;&quot;,&quot;non-dropping-particle&quot;:&quot;&quot;}],&quot;container-title&quot;:&quot;Technological Forecasting and Social Change&quot;,&quot;container-title-short&quot;:&quot;Technol Forecast Soc Change&quot;,&quot;DOI&quot;:&quot;10.1016/j.techfore.2024.123458&quot;,&quot;ISSN&quot;:&quot;00401625&quot;,&quot;issued&quot;:{&quot;date-parts&quot;:[[2024,8,1]]},&quot;abstract&quot;:&quot;Digitalization is disrupting the energy sector, requiring incumbents to reinvent their strategies by adopting digitally driven business model innovation (BMI). However, external pressures from value networks and institutional environments can constrain this adoption by creating or strengthening internal tensions. Because research on this issue has been limited, this study combines a multi-level approach to BMI with neo-institutional theory to clarify incumbents' strategic and organizational responses to pressures and tensions related to the adoption of digitally driven BMI. According to an in-depth case study of a large energy incumbent, a multi-level approach is key to understanding the interconnection between external pressures and internal tensions. The results show that though acquiescence is still a valid response to institutional demands, it can lead to a lack of consideration of internal tensions, as well as to organizational misfits that hamper BMI adoption. This article contributes to BMI and neo-institutional literature by offering new theoretical insights and makes managerial recommendations related to multi-level issues linked to the adoption of digitally driven BMI.&quot;,&quot;publisher&quot;:&quot;Elsevier Inc.&quot;,&quot;volume&quot;:&quot;205&quot;},&quot;isTemporary&quot;:false}],&quot;citationTag&quot;:&quot;MENDELEY_CITATION_v3_eyJjaXRhdGlvbklEIjoiTUVOREVMRVlfQ0lUQVRJT05fNWRlNjcyNDQtZjI4Mi00MDBiLWEzN2MtMmIyYTA1YzRmYzk4IiwicHJvcGVydGllcyI6eyJub3RlSW5kZXgiOjB9LCJpc0VkaXRlZCI6ZmFsc2UsIm1hbnVhbE92ZXJyaWRlIjp7ImlzTWFudWFsbHlPdmVycmlkZGVuIjp0cnVlLCJjaXRlcHJvY1RleHQiOiIoRGlNYWdnaW8gYW5kIFBvd2VsbCwgMTk4MzsgR2VlbHMsIDIwMjA7IE1hcmtvZmYtTGVncmFuZCA8aT5ldCBhbC48L2k+LCAyMDI0KSIsIm1hbnVhbE92ZXJyaWRlVGV4dCI6IihEaW1hZ2dpbyBhbmQgUG93ZWxsLCAxOTgzOyBHZWVscywgMjAyMDsgTWFya29mZi1MZWdyYW5kLCBCb2NxdWV0IGFuZCBHYW5kaWEsIDIwMjQp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&quot;},{&quot;citationID&quot;:&quot;MENDELEY_CITATION_a9d640b3-be57-4267-b5b8-a9193f107efc&quot;,&quot;properties&quot;:{&quot;noteIndex&quot;:0},&quot;isEdited&quot;:false,&quot;manualOverride&quot;:{&quot;isManuallyOverridden&quot;:false,&quot;citeprocText&quot;:&quot;(DiMaggio and Powell, 1983; Geels, 2020; Markoff-Legrand &lt;i&gt;et al.&lt;/i&gt;, 2024)&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9f173216-a79f-35c8-858b-9247b6adaab8&quot;,&quot;itemData&quot;:{&quot;type&quot;:&quot;article-journal&quot;,&quot;id&quot;:&quot;9f173216-a79f-35c8-858b-9247b6adaab8&quot;,&quot;title&quot;:&quot;Micro-foundations of the multi-level perspective on socio-technical transitions: Developing a multi-dimensional model of agency through crossovers between social constructivism, evolutionary economics and neo-institutional theory&quot;,&quot;author&quot;:[{&quot;family&quot;:&quot;Geels&quot;,&quot;given&quot;:&quot;Frank W.&quot;,&quot;parse-names&quot;:false,&quot;dropping-particle&quot;:&quot;&quot;,&quot;non-dropping-particle&quot;:&quot;&quot;}],&quot;container-title&quot;:&quot;Technological Forecasting and Social Change&quot;,&quot;container-title-short&quot;:&quot;Technol Forecast Soc Change&quot;,&quot;DOI&quot;:&quot;10.1016/j.techfore.2019.119894&quot;,&quot;ISSN&quot;:&quot;00401625&quot;,&quot;issued&quot;:{&quot;date-parts&quot;:[[2020,3,1]]},&quot;abstract&quot;:&quot;The Multi-Level Perspective (MLP) is a prominent framework to understand socio-technical transitions, but its micro-foundations have remained under-developed. The paper's first aim is therefore to develop the MLP's theoretical micro-foundations, which are rooted in Social Construction of Technology, evolutionary economics and neoinstitutional theory. The second aim is to further identify crossovers between these theories. To achieve these goals, the paper analytically reviews the three theories, focusing on: (1) the relevance of each theory for transitions and the MLP, (2) the theory's conceptualisation of agency, (3) criticisms of each theory and subsequent conceptual elaborations (which prepare the ground for potential crossovers between them). Mobilizing insights from the analytical reviews, the paper articulates a multi-dimensional model of agency, which also provides a relational and processual conceptualization of ongoing trajectories in which actors are embedded. Specific conceptual linking points between the three theories are identified, leading to an understanding of socio-technical transitions as evolutionary, interpretive and conflictual processes.&quot;,&quot;publisher&quot;:&quot;Elsevier Inc.&quot;,&quot;volume&quot;:&quot;152&quot;},&quot;isTemporary&quot;:false},{&quot;id&quot;:&quot;9acf31f9-e213-31e9-b6ad-66f456102a51&quot;,&quot;itemData&quot;:{&quot;type&quot;:&quot;article-journal&quot;,&quot;id&quot;:&quot;9acf31f9-e213-31e9-b6ad-66f456102a51&quot;,&quot;title&quot;:&quot;Multi-level neo-institutional analysis of pressures and tensions for adopting a digitally driven business model innovation: Responses from a French energy incumbent&quot;,&quot;author&quot;:[{&quot;family&quot;:&quot;Markoff-Legrand&quot;,&quot;given&quot;:&quot;Anastasia&quot;,&quot;parse-names&quot;:false,&quot;dropping-particle&quot;:&quot;&quot;,&quot;non-dropping-particle&quot;:&quot;&quot;},{&quot;family&quot;:&quot;Bocquet&quot;,&quot;given&quot;:&quot;Rachel&quot;,&quot;parse-names&quot;:false,&quot;dropping-particle&quot;:&quot;&quot;,&quot;non-dropping-particle&quot;:&quot;&quot;},{&quot;family&quot;:&quot;Gandia&quot;,&quot;given&quot;:&quot;Romain&quot;,&quot;parse-names&quot;:false,&quot;dropping-particle&quot;:&quot;&quot;,&quot;non-dropping-particle&quot;:&quot;&quot;}],&quot;container-title&quot;:&quot;Technological Forecasting and Social Change&quot;,&quot;container-title-short&quot;:&quot;Technol Forecast Soc Change&quot;,&quot;DOI&quot;:&quot;10.1016/j.techfore.2024.123458&quot;,&quot;ISSN&quot;:&quot;00401625&quot;,&quot;issued&quot;:{&quot;date-parts&quot;:[[2024,8,1]]},&quot;abstract&quot;:&quot;Digitalization is disrupting the energy sector, requiring incumbents to reinvent their strategies by adopting digitally driven business model innovation (BMI). However, external pressures from value networks and institutional environments can constrain this adoption by creating or strengthening internal tensions. Because research on this issue has been limited, this study combines a multi-level approach to BMI with neo-institutional theory to clarify incumbents' strategic and organizational responses to pressures and tensions related to the adoption of digitally driven BMI. According to an in-depth case study of a large energy incumbent, a multi-level approach is key to understanding the interconnection between external pressures and internal tensions. The results show that though acquiescence is still a valid response to institutional demands, it can lead to a lack of consideration of internal tensions, as well as to organizational misfits that hamper BMI adoption. This article contributes to BMI and neo-institutional literature by offering new theoretical insights and makes managerial recommendations related to multi-level issues linked to the adoption of digitally driven BMI.&quot;,&quot;publisher&quot;:&quot;Elsevier Inc.&quot;,&quot;volume&quot;:&quot;205&quot;},&quot;isTemporary&quot;:false}],&quot;citationTag&quot;:&quot;MENDELEY_CITATION_v3_eyJjaXRhdGlvbklEIjoiTUVOREVMRVlfQ0lUQVRJT05fYTlkNjQwYjMtYmU1Ny00MjY3LWI1YjgtYTkxOTNmMTA3ZWZjIiwicHJvcGVydGllcyI6eyJub3RlSW5kZXgiOjB9LCJpc0VkaXRlZCI6ZmFsc2UsIm1hbnVhbE92ZXJyaWRlIjp7ImlzTWFudWFsbHlPdmVycmlkZGVuIjpmYWxzZSwiY2l0ZXByb2NUZXh0IjoiKERpTWFnZ2lvIGFuZCBQb3dlbGwsIDE5ODM7IEdlZWxzLCAyMDIwOyBNYXJrb2ZmLUxlZ3JhbmQgPGk+ZXQgYWwuPC9pPiwgMjAyNC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&quot;},{&quot;citationID&quot;:&quot;MENDELEY_CITATION_a462b7ed-5ebd-40c1-b5b2-99f6d8d76820&quot;,&quot;properties&quot;:{&quot;noteIndex&quot;:0},&quot;isEdited&quot;:false,&quot;manualOverride&quot;:{&quot;isManuallyOverridden&quot;:true,&quot;citeprocText&quot;:&quot;(DiMaggio and Powell, 1983; Kostova and Roth, 2002; Meyer and Rowan, 1977)&quot;,&quot;manualOverrideText&quot;:&quot;(Meyer and Rowan, 1977; Dimaggio and Powell, 1983; Kostova and Roth, 2002)&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eab223e1-8e1c-3c7d-afd0-fff452011350&quot;,&quot;itemData&quot;:{&quot;type&quot;:&quot;report&quot;,&quot;id&quot;:&quot;eab223e1-8e1c-3c7d-afd0-fff452011350&quot;,&quot;title&quot;:&quot;Adoption of an Organizational Practice by Subsidiaries of Multinational Corporations: Institutional and Relational Effects&quot;,&quot;author&quot;:[{&quot;family&quot;:&quot;Kostova&quot;,&quot;given&quot;:&quot;Tatiana&quot;,&quot;parse-names&quot;:false,&quot;dropping-particle&quot;:&quot;&quot;,&quot;non-dropping-particle&quot;:&quot;&quot;},{&quot;family&quot;:&quot;Roth&quot;,&quot;given&quot;:&quot;Kendall&quot;,&quot;parse-names&quot;:false,&quot;dropping-particle&quot;:&quot;&quot;,&quot;non-dropping-particle&quot;:&quot;&quot;}],&quot;container-title&quot;:&quot;Source: The Academy of Management Journal&quot;,&quot;URL&quot;:&quot;https://www.jstor.org/stable/3069293?seq=1&amp;cid=pdf-&quot;,&quot;issued&quot;:{&quot;date-parts&quot;:[[2002]]},&quot;number-of-pages&quot;:&quot;215-233&quot;,&quot;issue&quot;:&quot;1&quot;,&quot;volume&quot;:&quot;45&quot;,&quot;container-title-short&quot;:&quot;&quot;},&quot;isTemporary&quot;:false}],&quot;citationTag&quot;:&quot;MENDELEY_CITATION_v3_eyJjaXRhdGlvbklEIjoiTUVOREVMRVlfQ0lUQVRJT05fYTQ2MmI3ZWQtNWViZC00MGMxLWI1YjItOTlmNmQ4ZDc2ODIwIiwicHJvcGVydGllcyI6eyJub3RlSW5kZXgiOjB9LCJpc0VkaXRlZCI6ZmFsc2UsIm1hbnVhbE92ZXJyaWRlIjp7ImlzTWFudWFsbHlPdmVycmlkZGVuIjp0cnVlLCJjaXRlcHJvY1RleHQiOiIoRGlNYWdnaW8gYW5kIFBvd2VsbCwgMTk4MzsgS29zdG92YSBhbmQgUm90aCwgMjAwMjsgTWV5ZXIgYW5kIFJvd2FuLCAxOTc3KSIsIm1hbnVhbE92ZXJyaWRlVGV4dCI6IihNZXllciBhbmQgUm93YW4sIDE5Nzc7IERpbWFnZ2lvIGFuZCBQb3dlbGwsIDE5ODM7IEtvc3RvdmEgYW5kIFJvdGgsIDIwMDIp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&quot;},{&quot;citationID&quot;:&quot;MENDELEY_CITATION_46982a75-134d-4329-b137-1f3414ccb245&quot;,&quot;properties&quot;:{&quot;noteIndex&quot;:0},&quot;isEdited&quot;:false,&quot;manualOverride&quot;:{&quot;isManuallyOverridden&quot;:true,&quot;citeprocText&quot;:&quot;(Sayari and Marcum, 2022; Scott, 2013)&quot;,&quot;manualOverrideText&quot;:&quot;(Sayari and Marcum, 2022a; Scott, 2013)&quot;},&quot;citationItems&quot;:[{&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id&quot;:&quot;cb44d156-61f2-3a55-adc5-9def0060228c&quot;,&quot;itemData&quot;:{&quot;type&quot;:&quot;article-journal&quot;,&quot;id&quot;:&quot;cb44d156-61f2-3a55-adc5-9def0060228c&quot;,&quot;title&quot;:&quot;Board systems, employee representation, and neo-institutional theory: The moderating effect of economic freedom on corporate boards and financial performance&quot;,&quot;author&quot;:[{&quot;family&quot;:&quot;Sayari&quot;,&quot;given&quot;:&quot;Naz&quot;,&quot;parse-names&quot;:false,&quot;dropping-particle&quot;:&quot;&quot;,&quot;non-dropping-particle&quot;:&quot;&quot;},{&quot;family&quot;:&quot;Marcum&quot;,&quot;given&quot;:&quot;Bill&quot;,&quot;parse-names&quot;:false,&quot;dropping-particle&quot;:&quot;&quot;,&quot;non-dropping-particle&quot;:&quot;&quot;}],&quot;container-title&quot;:&quot;Managerial and Decision Economics&quot;,&quot;DOI&quot;:&quot;10.1002/mde.3638&quot;,&quot;ISSN&quot;:&quot;10991468&quot;,&quot;issued&quot;:{&quot;date-parts&quot;:[[2022,12,1]]},&quot;page&quot;:&quot;3931-3952&quot;,&quot;abstract&quot;:&quot;This study assesses the relative financial performance of firms operating in an environment in which economic freedom is protected by effective institutions. To do this, we examine the moderating effect of economic freedom on the relationship between board structure and financial performance. Using longitudinal data across 30 European countries, we find that firms with a one-tier board consistently outperform those with a two-tier board, but the relative underperformance of two-tier boards is partially mitigated by the inclusion of employee representatives. The positive influence of employee representatives on the performance of firms with two-tier boards is bolstered by greater economic freedom.&quot;,&quot;publisher&quot;:&quot;John Wiley and Sons Ltd&quot;,&quot;issue&quot;:&quot;8&quot;,&quot;volume&quot;:&quot;43&quot;,&quot;container-title-short&quot;:&quot;&quot;},&quot;isTemporary&quot;:false}],&quot;citationTag&quot;:&quot;MENDELEY_CITATION_v3_eyJjaXRhdGlvbklEIjoiTUVOREVMRVlfQ0lUQVRJT05fNDY5ODJhNzUtMTM0ZC00MzI5LWIxMzctMWYzNDE0Y2NiMjQ1IiwicHJvcGVydGllcyI6eyJub3RlSW5kZXgiOjB9LCJpc0VkaXRlZCI6ZmFsc2UsIm1hbnVhbE92ZXJyaWRlIjp7ImlzTWFudWFsbHlPdmVycmlkZGVuIjp0cnVlLCJjaXRlcHJvY1RleHQiOiIoU2F5YXJpIGFuZCBNYXJjdW0sIDIwMjI7IFNjb3R0LCAyMDEzKSIsIm1hbnVhbE92ZXJyaWRlVGV4dCI6IihTYXlhcmkgYW5kIE1hcmN1bSwgMjAyMmE7IFNjb3R0LCAyMDEzKS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&quot;},{&quot;citationID&quot;:&quot;MENDELEY_CITATION_5c1e12c9-a090-457b-aa84-5563ba1f5e94&quot;,&quot;properties&quot;:{&quot;noteIndex&quot;:0},&quot;isEdited&quot;:false,&quot;manualOverride&quot;:{&quot;isManuallyOverridden&quot;:false,&quot;citeprocText&quot;:&quot;(Bromley and Powell, 2012; Ioannou and Serafeim, 2012b; Meyer and Rowan, 1977)&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11a90e1f-b23c-34fa-8beb-e8eee06957df&quot;,&quot;itemData&quot;:{&quot;type&quot;:&quot;article-journal&quot;,&quot;id&quot;:&quot;11a90e1f-b23c-34fa-8beb-e8eee06957df&quot;,&quot;title&quot;:&quot;What drives corporate social performance? The role of nation-level institutions&quot;,&quot;author&quot;:[{&quot;family&quot;:&quot;Ioannou&quot;,&quot;given&quot;:&quot;Ioannis&quot;,&quot;parse-names&quot;:false,&quot;dropping-particle&quot;:&quot;&quot;,&quot;non-dropping-particle&quot;:&quot;&quot;},{&quot;family&quot;:&quot;Serafeim&quot;,&quot;given&quot;:&quot;George&quot;,&quot;parse-names&quot;:false,&quot;dropping-particle&quot;:&quot;&quot;,&quot;non-dropping-particle&quot;:&quot;&quot;}],&quot;container-title&quot;:&quot;Journal of International Business Studies&quot;,&quot;container-title-short&quot;:&quot;J Int Bus Stud&quot;,&quot;accessed&quot;:{&quot;date-parts&quot;:[[2023,3,26]]},&quot;DOI&quot;:&quot;10.1057/jibs.2012.26&quot;,&quot;URL&quot;:&quot;www.jibs.net&quot;,&quot;issued&quot;:{&quot;date-parts&quot;:[[2012]]},&quot;page&quot;:&quot;834-864&quot;,&quot;abstract&quot;:&quot;Based on Whitley's \&quot;national business systems\&quot; (NBS) institutional framework, we theorize about and empirically investigate the impact of nation-level institutions on firms' corporate social performance (CSP). Using a sample of firms from 42 countries spanning seven years, we construct an annual composite CSP index for each firm, based on social and environmental metrics. We find that the political system, followed by the labor and education system, and the cultural system are the most important NBS categories of institutions that impact CSP. Interestingly, the financial system appears to have a relatively less significant impact. We discuss implications for research, practice and policymaking.&quot;,&quot;volume&quot;:&quot;43&quot;},&quot;isTemporary&quot;:false},{&quot;id&quot;:&quot;5531e69e-dbc6-35b3-8d8f-8a6632e7bee9&quot;,&quot;itemData&quot;:{&quot;type&quot;:&quot;article-journal&quot;,&quot;id&quot;:&quot;5531e69e-dbc6-35b3-8d8f-8a6632e7bee9&quot;,&quot;title&quot;:&quot;From Smoke and Mirrors to Walking the Talk: Decoupling in the Contemporary World&quot;,&quot;author&quot;:[{&quot;family&quot;:&quot;Bromley&quot;,&quot;given&quot;:&quot;Patricia&quot;,&quot;parse-names&quot;:false,&quot;dropping-particle&quot;:&quot;&quot;,&quot;non-dropping-particle&quot;:&quot;&quot;},{&quot;family&quot;:&quot;Powell&quot;,&quot;given&quot;:&quot;Walter W.&quot;,&quot;parse-names&quot;:false,&quot;dropping-particle&quot;:&quot;&quot;,&quot;non-dropping-particle&quot;:&quot;&quot;}],&quot;container-title&quot;:&quot;Academy of Management Annals&quot;,&quot;DOI&quot;:&quot;10.5465/19416520.2012.684462&quot;,&quot;ISSN&quot;:&quot;1941-6520&quot;,&quot;issued&quot;:{&quot;date-parts&quot;:[[2012,6]]},&quot;page&quot;:&quot;483-530&quot;,&quot;abstract&quot;:&quot;The pervasive spread of rationalizing trends in society, such as the growing influence of managerial sciences and increasing emphases on accountability and transparency, has created significant cha...&quot;,&quot;publisher&quot;:&quot;Academy of Management&quot;,&quot;issue&quot;:&quot;1&quot;,&quot;volume&quot;:&quot;6&quot;,&quot;container-title-short&quot;:&quot;&quot;},&quot;isTemporary&quot;:false}],&quot;citationTag&quot;:&quot;MENDELEY_CITATION_v3_eyJjaXRhdGlvbklEIjoiTUVOREVMRVlfQ0lUQVRJT05fNWMxZTEyYzktYTA5MC00NTdiLWFhODQtNTU2M2JhMWY1ZTk0IiwicHJvcGVydGllcyI6eyJub3RlSW5kZXgiOjB9LCJpc0VkaXRlZCI6ZmFsc2UsIm1hbnVhbE92ZXJyaWRlIjp7ImlzTWFudWFsbHlPdmVycmlkZGVuIjpmYWxzZSwiY2l0ZXByb2NUZXh0IjoiKEJyb21sZXkgYW5kIFBvd2VsbCwgMjAxMjsgSW9hbm5vdSBhbmQgU2VyYWZlaW0sIDIwMTJiOyBNZXllciBhbmQgUm93YW4sIDE5Nzc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&quot;},{&quot;citationID&quot;:&quot;MENDELEY_CITATION_00a2e93f-9ee5-4800-ba3e-c7a15f23558a&quot;,&quot;properties&quot;:{&quot;noteIndex&quot;:0},&quot;isEdited&quot;:false,&quot;manualOverride&quot;:{&quot;isManuallyOverridden&quot;:false,&quot;citeprocText&quot;:&quot;(Helfaya &lt;i&gt;et al.&lt;/i&gt;, 2025; Landman and Silverman, 2019; Moussa &lt;i&gt;et al.&lt;/i&gt;, 2022)&quot;,&quot;manualOverrideText&quot;:&quot;&quot;},&quot;citationItems&quot;:[{&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MDBhMmU5M2YtOWVlNS00ODAwLWJhM2UtYzdhMTVmMjM1NThhIiwicHJvcGVydGllcyI6eyJub3RlSW5kZXgiOjB9LCJpc0VkaXRlZCI6ZmFsc2UsIm1hbnVhbE92ZXJyaWRlIjp7ImlzTWFudWFsbHlPdmVycmlkZGVuIjpmYWxzZSwiY2l0ZXByb2NUZXh0IjoiKEhlbGZheWEgPGk+ZXQgYWwuPC9pPiwgMjAyNTsgTGFuZG1hbiBhbmQgU2lsdmVybWFuLCAyMDE5OyBNb3Vzc2EgPGk+ZXQgYWwuPC9pPiwgMjAyMi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LH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quot;},{&quot;citationID&quot;:&quot;MENDELEY_CITATION_3c579aa5-8c7b-48df-b1be-f4c267030d9b&quot;,&quot;properties&quot;:{&quot;noteIndex&quot;:0},&quot;isEdited&quot;:false,&quot;manualOverride&quot;:{&quot;isManuallyOverridden&quot;:false,&quot;citeprocText&quot;:&quot;(Kolk and Perego, 2010; Ntim and Soobaroyen, 2013)&quot;,&quot;manualOverrideText&quot;:&quot;&quot;},&quot;citationItems&quot;:[{&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id&quot;:&quot;306c554e-f7cc-3861-99c0-1639ed9e0141&quot;,&quot;itemData&quot;:{&quot;type&quot;:&quot;article-journal&quot;,&quot;id&quot;:&quot;306c554e-f7cc-3861-99c0-1639ed9e0141&quot;,&quot;title&quot;:&quot;Determinants of the adoption of sustainability assurance statements: An international investigation&quot;,&quot;author&quot;:[{&quot;family&quot;:&quot;Kolk&quot;,&quot;given&quot;:&quot;Ans&quot;,&quot;parse-names&quot;:false,&quot;dropping-particle&quot;:&quot;&quot;,&quot;non-dropping-particle&quot;:&quot;&quot;},{&quot;family&quot;:&quot;Perego&quot;,&quot;given&quot;:&quot;Paolo&quot;,&quot;parse-names&quot;:false,&quot;dropping-particle&quot;:&quot;&quot;,&quot;non-dropping-particle&quot;:&quot;&quot;}],&quot;container-title&quot;:&quot;Business Strategy and the Environment&quot;,&quot;container-title-short&quot;:&quot;Bus Strategy Environ&quot;,&quot;issued&quot;:{&quot;date-parts&quot;:[[2010,3]]},&quot;page&quot;:&quot;182-198&quot;,&quot;abstract&quot;:&quot;This paper explores the factors associated with voluntary decisions to assure social, environmental and sustainability reports. Since the market for assurance services in this area is in its formative stages, there is a limited understanding of the demand for this emergent non-fi nancial auditing practice, which is evolving rapidly across different countries. Drawing from extant literature in international auditing and environmental accounting, we focus on a set of country-level institutional factors to explain the adoption of sustainability assurance statements among an international panel of 212 Fortune Global 250 companies for the years 1999, 2002 and 2005. Consistent with our expectations, our results provide evidence that companies operating in countries that are more stakeholder oriented and have a weaker governance enforcement regime are more likely to adopt a sustainability assurance statement. Further, the demand for assurance is higher in countries where sustainable corporate practices are better enabled by market and institutional mechanisms. Our exploratory fi ndings also indicate that the likelihood of choosing a large accounting fi rm as assurance provider increases for companies domiciled in countries that are shareholder oriented and have a lower level of litigation. We conclude the paper by suggesting three directions of research in the area of sustainability assurance that have relevant academic and practical implications. Copyright © 2008 John Wiley &amp; Sons, Ltd and ERP Environment.&quot;,&quot;issue&quot;:&quot;3&quot;,&quot;volume&quot;:&quot;19&quot;},&quot;isTemporary&quot;:false}],&quot;citationTag&quot;:&quot;MENDELEY_CITATION_v3_eyJjaXRhdGlvbklEIjoiTUVOREVMRVlfQ0lUQVRJT05fM2M1NzlhYTUtOGM3Yi00OGRmLWIxYmUtZjRjMjY3MDMwZDliIiwicHJvcGVydGllcyI6eyJub3RlSW5kZXgiOjB9LCJpc0VkaXRlZCI6ZmFsc2UsIm1hbnVhbE92ZXJyaWRlIjp7ImlzTWFudWFsbHlPdmVycmlkZGVuIjpmYWxzZSwiY2l0ZXByb2NUZXh0IjoiKEtvbGsgYW5kIFBlcmVnbywgMjAxMDsgTnRpbSBhbmQgU29vYmFyb3llbiwgMjAxMykiLCJtYW51YWxPdmVycmlkZVRleHQiOiIifSwiY2l0YXRpb25JdGVtcyI6W3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&quot;},{&quot;citationID&quot;:&quot;MENDELEY_CITATION_30abeca4-5570-4520-a21a-75b01337f914&quot;,&quot;properties&quot;:{&quot;noteIndex&quot;:0},&quot;isEdited&quot;:false,&quot;manualOverride&quot;:{&quot;isManuallyOverridden&quot;:false,&quot;citeprocText&quot;:&quot;(Bromley and Powell, 2012; Christ &lt;i&gt;et al.&lt;/i&gt;, 2019)&quot;,&quot;manualOverrideText&quot;:&quot;&quot;},&quot;citationItems&quot;:[{&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id&quot;:&quot;5531e69e-dbc6-35b3-8d8f-8a6632e7bee9&quot;,&quot;itemData&quot;:{&quot;type&quot;:&quot;article-journal&quot;,&quot;id&quot;:&quot;5531e69e-dbc6-35b3-8d8f-8a6632e7bee9&quot;,&quot;title&quot;:&quot;From Smoke and Mirrors to Walking the Talk: Decoupling in the Contemporary World&quot;,&quot;author&quot;:[{&quot;family&quot;:&quot;Bromley&quot;,&quot;given&quot;:&quot;Patricia&quot;,&quot;parse-names&quot;:false,&quot;dropping-particle&quot;:&quot;&quot;,&quot;non-dropping-particle&quot;:&quot;&quot;},{&quot;family&quot;:&quot;Powell&quot;,&quot;given&quot;:&quot;Walter W.&quot;,&quot;parse-names&quot;:false,&quot;dropping-particle&quot;:&quot;&quot;,&quot;non-dropping-particle&quot;:&quot;&quot;}],&quot;container-title&quot;:&quot;Academy of Management Annals&quot;,&quot;DOI&quot;:&quot;10.5465/19416520.2012.684462&quot;,&quot;ISSN&quot;:&quot;1941-6520&quot;,&quot;issued&quot;:{&quot;date-parts&quot;:[[2012,6]]},&quot;page&quot;:&quot;483-530&quot;,&quot;abstract&quot;:&quot;The pervasive spread of rationalizing trends in society, such as the growing influence of managerial sciences and increasing emphases on accountability and transparency, has created significant cha...&quot;,&quot;publisher&quot;:&quot;Academy of Management&quot;,&quot;issue&quot;:&quot;1&quot;,&quot;volume&quot;:&quot;6&quot;,&quot;container-title-short&quot;:&quot;&quot;},&quot;isTemporary&quot;:false}],&quot;citationTag&quot;:&quot;MENDELEY_CITATION_v3_eyJjaXRhdGlvbklEIjoiTUVOREVMRVlfQ0lUQVRJT05fMzBhYmVjYTQtNTU3MC00NTIwLWEyMWEtNzViMDEzMzdmOTE0IiwicHJvcGVydGllcyI6eyJub3RlSW5kZXgiOjB9LCJpc0VkaXRlZCI6ZmFsc2UsIm1hbnVhbE92ZXJyaWRlIjp7ImlzTWFudWFsbHlPdmVycmlkZGVuIjpmYWxzZSwiY2l0ZXByb2NUZXh0IjoiKEJyb21sZXkgYW5kIFBvd2VsbCwgMjAxMjsgQ2hyaXN0IDxpPmV0IGFsLjwvaT4sIDIwMTkpIiwibWFudWFsT3ZlcnJpZGVUZXh0Ijoi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&quot;},{&quot;citationID&quot;:&quot;MENDELEY_CITATION_12e18337-f5c8-4eaf-907a-7f682d849025&quot;,&quot;properties&quot;:{&quot;noteIndex&quot;:0},&quot;isEdited&quot;:false,&quot;manualOverride&quot;:{&quot;isManuallyOverridden&quot;:false,&quot;citeprocText&quot;:&quot;(Deephouse and Suchman, 2008; DiMaggio and Walter, 1991; Suddaby &lt;i&gt;et al.&lt;/i&gt;, 2013)&quot;,&quot;manualOverrideText&quot;:&quot;&quot;},&quot;citationItems&quot;:[{&quot;id&quot;:&quot;33d1e335-77fd-3ee4-8383-b63cd668073a&quot;,&quot;itemData&quot;:{&quot;type&quot;:&quot;book&quot;,&quot;id&quot;:&quot;33d1e335-77fd-3ee4-8383-b63cd668073a&quot;,&quot;title&quot;:&quot;Legitimacy in Organizational Institutionalism&quot;,&quot;author&quot;:[{&quot;family&quot;:&quot;Deephouse&quot;,&quot;given&quot;:&quot;David L.,&quot;,&quot;parse-names&quot;:false,&quot;dropping-particle&quot;:&quot;&quot;,&quot;non-dropping-particle&quot;:&quot;&quot;},{&quot;family&quot;:&quot;Suchman&quot;,&quot;given&quot;:&quot;Mark.&quot;,&quot;parse-names&quot;:false,&quot;dropping-particle&quot;:&quot;&quot;,&quot;non-dropping-particle&quot;:&quot;&quot;}],&quot;editor&quot;:[{&quot;family&quot;:&quot;Royston Greenwood&quot;,&quot;given&quot;:&quot;&quot;,&quot;parse-names&quot;:false,&quot;dropping-particle&quot;:&quot;&quot;,&quot;non-dropping-particle&quot;:&quot;&quot;},{&quot;family&quot;:&quot;Christine Oliver&quot;,&quot;given&quot;:&quot;&quot;,&quot;parse-names&quot;:false,&quot;dropping-particle&quot;:&quot;&quot;,&quot;non-dropping-particle&quot;:&quot;&quot;},{&quot;family&quot;:&quot;Kerstin Sahlin&quot;,&quot;given&quot;:&quot;&quot;,&quot;parse-names&quot;:false,&quot;dropping-particle&quot;:&quot;&quot;,&quot;non-dropping-particle&quot;:&quot;&quot;},{&quot;family&quot;:&quot;Roy Suddaby&quot;,&quot;given&quot;:&quot;&quot;,&quot;parse-names&quot;:false,&quot;dropping-particle&quot;:&quot;&quot;,&quot;non-dropping-particle&quot;:&quot;&quot;}],&quot;ISBN&quot;:&quot;9781412931236&quot;,&quot;issued&quot;:{&quot;date-parts&quot;:[[2008]]},&quot;publisher-place&quot;:&quot;Thousand Oaks&quot;,&quot;number-of-pages&quot;:&quot;49-77&quot;,&quot;abstract&quot;:&quot;With insight and clarity, the editors of 'The SAGE Handbook of Organizational Institutionalism' have collected and arranged papers so readers are provided with a map of the field and pointed in the direction of new and emerging themes. Foundational themes -- Institutional dynamics -- Applications -- Interfaces -- Reflections.&quot;,&quot;publisher&quot;:&quot;SAGE&quot;,&quot;container-title-short&quot;:&quot;&quot;},&quot;isTemporary&quot;:false},{&quot;id&quot;:&quot;1d8c8523-dd82-3194-a54c-9c2b2eb56638&quot;,&quot;itemData&quot;:{&quot;type&quot;:&quot;book&quot;,&quot;id&quot;:&quot;1d8c8523-dd82-3194-a54c-9c2b2eb56638&quot;,&quot;title&quot;:&quot;“Introduction.” In The New Institutionalism in Organizational Analysis.&quot;,&quot;author&quot;:[{&quot;family&quot;:&quot;DiMaggio&quot;,&quot;given&quot;:&quot;Paul J.&quot;,&quot;parse-names&quot;:false,&quot;dropping-particle&quot;:&quot;&quot;,&quot;non-dropping-particle&quot;:&quot;&quot;},{&quot;family&quot;:&quot;Walter&quot;,&quot;given&quot;:&quot;W. Powell&quot;,&quot;parse-names&quot;:false,&quot;dropping-particle&quot;:&quot;&quot;,&quot;non-dropping-particle&quot;:&quot;&quot;}],&quot;editor&quot;:[{&quot;family&quot;:&quot;Walter W. Powell&quot;,&quot;given&quot;:&quot;&quot;,&quot;parse-names&quot;:false,&quot;dropping-particle&quot;:&quot;&quot;,&quot;non-dropping-particle&quot;:&quot;&quot;},{&quot;family&quot;:&quot;Paul J. DiMaggio&quot;,&quot;given&quot;:&quot;&quot;,&quot;parse-names&quot;:false,&quot;dropping-particle&quot;:&quot;&quot;,&quot;non-dropping-particle&quot;:&quot;&quot;}],&quot;issued&quot;:{&quot;date-parts&quot;:[[1991]]},&quot;publisher-place&quot;:&quot;Chicago&quot;,&quot;number-of-pages&quot;:&quot;1-40&quot;,&quot;publisher&quot;:&quot;University of Chicago Press&quot;,&quot;container-title-short&quot;:&quot;&quot;},&quot;isTemporary&quot;:false},{&quot;id&quot;:&quot;d24fae23-c1a2-3e32-922b-4dcc96e9aa8f&quot;,&quot;itemData&quot;:{&quot;type&quot;:&quot;article&quot;,&quot;id&quot;:&quot;d24fae23-c1a2-3e32-922b-4dcc96e9aa8f&quot;,&quot;title&quot;:&quot;Strategy-as-practice meets neo-institutional theory&quot;,&quot;author&quot;:[{&quot;family&quot;:&quot;Suddaby&quot;,&quot;given&quot;:&quot;Roy&quot;,&quot;parse-names&quot;:false,&quot;dropping-particle&quot;:&quot;&quot;,&quot;non-dropping-particle&quot;:&quot;&quot;},{&quot;family&quot;:&quot;Seidl&quot;,&quot;given&quot;:&quot;David&quot;,&quot;parse-names&quot;:false,&quot;dropping-particle&quot;:&quot;&quot;,&quot;non-dropping-particle&quot;:&quot;&quot;},{&quot;family&quot;:&quot;Lê&quot;,&quot;given&quot;:&quot;Jane K.&quot;,&quot;parse-names&quot;:false,&quot;dropping-particle&quot;:&quot;&quot;,&quot;non-dropping-particle&quot;:&quot;&quot;}],&quot;container-title&quot;:&quot;Strategic Organization&quot;,&quot;container-title-short&quot;:&quot;Strateg Organ&quot;,&quot;DOI&quot;:&quot;10.1177/1476127013497618&quot;,&quot;ISSN&quot;:&quot;14761270&quot;,&quot;issued&quot;:{&quot;date-parts&quot;:[[2013,8]]},&quot;page&quot;:&quot;329-344&quot;,&quot;abstract&quot;:&quot;Strategy-as-practice and neo-institutionalism offer alternative approaches to studying organizations. In this essay, we examine the foundational assumptions and methods of these perspectives, unveiling different ways in which they could complement each other. In particular, we elaborate three areas of overlap: a focus on what actors actually do, their shared cognitions, and the role of language in creating shared meanings. We show how the two perspectives can inform each other and offer significant learning to organization studies more broadly. © The Author(s) 2013.&quot;,&quot;issue&quot;:&quot;3&quot;,&quot;volume&quot;:&quot;11&quot;},&quot;isTemporary&quot;:false}],&quot;citationTag&quot;:&quot;MENDELEY_CITATION_v3_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&quot;},{&quot;citationID&quot;:&quot;MENDELEY_CITATION_8b0555b6-a3f8-4bc0-8b9a-67301eb3117a&quot;,&quot;properties&quot;:{&quot;noteIndex&quot;:0},&quot;isEdited&quot;:false,&quot;manualOverride&quot;:{&quot;isManuallyOverridden&quot;:true,&quot;citeprocText&quot;:&quot;(Christ &lt;i&gt;et al.&lt;/i&gt;, 2019; Ioannou and Serafeim, 2012b)&quot;,&quot;manualOverrideText&quot;:&quot;(Ioannou and Serafeim, 2012; Christ et al., 2019)&quot;},&quot;citationItems&quot;:[{&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id&quot;:&quot;11a90e1f-b23c-34fa-8beb-e8eee06957df&quot;,&quot;itemData&quot;:{&quot;type&quot;:&quot;article-journal&quot;,&quot;id&quot;:&quot;11a90e1f-b23c-34fa-8beb-e8eee06957df&quot;,&quot;title&quot;:&quot;What drives corporate social performance? The role of nation-level institutions&quot;,&quot;author&quot;:[{&quot;family&quot;:&quot;Ioannou&quot;,&quot;given&quot;:&quot;Ioannis&quot;,&quot;parse-names&quot;:false,&quot;dropping-particle&quot;:&quot;&quot;,&quot;non-dropping-particle&quot;:&quot;&quot;},{&quot;family&quot;:&quot;Serafeim&quot;,&quot;given&quot;:&quot;George&quot;,&quot;parse-names&quot;:false,&quot;dropping-particle&quot;:&quot;&quot;,&quot;non-dropping-particle&quot;:&quot;&quot;}],&quot;container-title&quot;:&quot;Journal of International Business Studies&quot;,&quot;container-title-short&quot;:&quot;J Int Bus Stud&quot;,&quot;accessed&quot;:{&quot;date-parts&quot;:[[2023,3,26]]},&quot;DOI&quot;:&quot;10.1057/jibs.2012.26&quot;,&quot;URL&quot;:&quot;www.jibs.net&quot;,&quot;issued&quot;:{&quot;date-parts&quot;:[[2012]]},&quot;page&quot;:&quot;834-864&quot;,&quot;abstract&quot;:&quot;Based on Whitley's \&quot;national business systems\&quot; (NBS) institutional framework, we theorize about and empirically investigate the impact of nation-level institutions on firms' corporate social performance (CSP). Using a sample of firms from 42 countries spanning seven years, we construct an annual composite CSP index for each firm, based on social and environmental metrics. We find that the political system, followed by the labor and education system, and the cultural system are the most important NBS categories of institutions that impact CSP. Interestingly, the financial system appears to have a relatively less significant impact. We discuss implications for research, practice and policymaking.&quot;,&quot;volume&quot;:&quot;43&quot;},&quot;isTemporary&quot;:false}],&quot;citationTag&quot;:&quot;MENDELEY_CITATION_v3_eyJjaXRhdGlvbklEIjoiTUVOREVMRVlfQ0lUQVRJT05fOGIwNTU1YjYtYTNmOC00YmMwLThiOWEtNjczMDFlYjMxMTdhIiwicHJvcGVydGllcyI6eyJub3RlSW5kZXgiOjB9LCJpc0VkaXRlZCI6ZmFsc2UsIm1hbnVhbE92ZXJyaWRlIjp7ImlzTWFudWFsbHlPdmVycmlkZGVuIjp0cnVlLCJjaXRlcHJvY1RleHQiOiIoQ2hyaXN0IDxpPmV0IGFsLjwvaT4sIDIwMTk7IElvYW5ub3UgYW5kIFNlcmFmZWltLCAyMDEyYikiLCJtYW51YWxPdmVycmlkZVRleHQiOiIoSW9hbm5vdSBhbmQgU2VyYWZlaW0sIDIwMTI7IENocmlzdCBldCBhbC4sIDIwMTkpIn0sImNpdGF0aW9uSXRlbXMiOlt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&quot;},{&quot;citationID&quot;:&quot;MENDELEY_CITATION_20ad095f-55ba-4e03-b37f-86ff0e4afd05&quot;,&quot;properties&quot;:{&quot;noteIndex&quot;:0},&quot;isEdited&quot;:false,&quot;manualOverride&quot;:{&quot;isManuallyOverridden&quot;:false,&quot;citeprocText&quot;:&quot;(Scott, 2013)&quot;,&quot;manualOverrideText&quot;:&quot;&quot;},&quot;citationItems&quot;:[{&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MjBhZDA5NWYtNTViYS00ZTAzLWIzN2YtODZmZjBlNGFmZDA1IiwicHJvcGVydGllcyI6eyJub3RlSW5kZXgiOjB9LCJpc0VkaXRlZCI6ZmFsc2UsIm1hbnVhbE92ZXJyaWRlIjp7ImlzTWFudWFsbHlPdmVycmlkZGVuIjpmYWxzZSwiY2l0ZXByb2NUZXh0IjoiKFNjb3R0LCAyMDEzKSIsIm1hbnVhbE92ZXJyaWRlVGV4dCI6Ii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XX0=&quot;},{&quot;citationID&quot;:&quot;MENDELEY_CITATION_848f3929-80c6-4f15-92c6-ab16c72573d4&quot;,&quot;properties&quot;:{&quot;noteIndex&quot;:0},&quot;isEdited&quot;:false,&quot;manualOverride&quot;:{&quot;isManuallyOverridden&quot;:true,&quot;citeprocText&quot;:&quot;(Markoff-Legrand &lt;i&gt;et al.&lt;/i&gt;, 2024; Sayari and Marcum, 2022)&quot;,&quot;manualOverrideText&quot;:&quot;(Sayari and Marcum, 2022; Markoff-Legrand et al., 2024)&quot;},&quot;citationItems&quot;:[{&quot;id&quot;:&quot;cb44d156-61f2-3a55-adc5-9def0060228c&quot;,&quot;itemData&quot;:{&quot;type&quot;:&quot;article-journal&quot;,&quot;id&quot;:&quot;cb44d156-61f2-3a55-adc5-9def0060228c&quot;,&quot;title&quot;:&quot;Board systems, employee representation, and neo-institutional theory: The moderating effect of economic freedom on corporate boards and financial performance&quot;,&quot;author&quot;:[{&quot;family&quot;:&quot;Sayari&quot;,&quot;given&quot;:&quot;Naz&quot;,&quot;parse-names&quot;:false,&quot;dropping-particle&quot;:&quot;&quot;,&quot;non-dropping-particle&quot;:&quot;&quot;},{&quot;family&quot;:&quot;Marcum&quot;,&quot;given&quot;:&quot;Bill&quot;,&quot;parse-names&quot;:false,&quot;dropping-particle&quot;:&quot;&quot;,&quot;non-dropping-particle&quot;:&quot;&quot;}],&quot;container-title&quot;:&quot;Managerial and Decision Economics&quot;,&quot;DOI&quot;:&quot;10.1002/mde.3638&quot;,&quot;ISSN&quot;:&quot;10991468&quot;,&quot;issued&quot;:{&quot;date-parts&quot;:[[2022,12,1]]},&quot;page&quot;:&quot;3931-3952&quot;,&quot;abstract&quot;:&quot;This study assesses the relative financial performance of firms operating in an environment in which economic freedom is protected by effective institutions. To do this, we examine the moderating effect of economic freedom on the relationship between board structure and financial performance. Using longitudinal data across 30 European countries, we find that firms with a one-tier board consistently outperform those with a two-tier board, but the relative underperformance of two-tier boards is partially mitigated by the inclusion of employee representatives. The positive influence of employee representatives on the performance of firms with two-tier boards is bolstered by greater economic freedom.&quot;,&quot;publisher&quot;:&quot;John Wiley and Sons Ltd&quot;,&quot;issue&quot;:&quot;8&quot;,&quot;volume&quot;:&quot;43&quot;,&quot;container-title-short&quot;:&quot;&quot;},&quot;isTemporary&quot;:false},{&quot;id&quot;:&quot;9acf31f9-e213-31e9-b6ad-66f456102a51&quot;,&quot;itemData&quot;:{&quot;type&quot;:&quot;article-journal&quot;,&quot;id&quot;:&quot;9acf31f9-e213-31e9-b6ad-66f456102a51&quot;,&quot;title&quot;:&quot;Multi-level neo-institutional analysis of pressures and tensions for adopting a digitally driven business model innovation: Responses from a French energy incumbent&quot;,&quot;author&quot;:[{&quot;family&quot;:&quot;Markoff-Legrand&quot;,&quot;given&quot;:&quot;Anastasia&quot;,&quot;parse-names&quot;:false,&quot;dropping-particle&quot;:&quot;&quot;,&quot;non-dropping-particle&quot;:&quot;&quot;},{&quot;family&quot;:&quot;Bocquet&quot;,&quot;given&quot;:&quot;Rachel&quot;,&quot;parse-names&quot;:false,&quot;dropping-particle&quot;:&quot;&quot;,&quot;non-dropping-particle&quot;:&quot;&quot;},{&quot;family&quot;:&quot;Gandia&quot;,&quot;given&quot;:&quot;Romain&quot;,&quot;parse-names&quot;:false,&quot;dropping-particle&quot;:&quot;&quot;,&quot;non-dropping-particle&quot;:&quot;&quot;}],&quot;container-title&quot;:&quot;Technological Forecasting and Social Change&quot;,&quot;container-title-short&quot;:&quot;Technol Forecast Soc Change&quot;,&quot;DOI&quot;:&quot;10.1016/j.techfore.2024.123458&quot;,&quot;ISSN&quot;:&quot;00401625&quot;,&quot;issued&quot;:{&quot;date-parts&quot;:[[2024,8,1]]},&quot;abstract&quot;:&quot;Digitalization is disrupting the energy sector, requiring incumbents to reinvent their strategies by adopting digitally driven business model innovation (BMI). However, external pressures from value networks and institutional environments can constrain this adoption by creating or strengthening internal tensions. Because research on this issue has been limited, this study combines a multi-level approach to BMI with neo-institutional theory to clarify incumbents' strategic and organizational responses to pressures and tensions related to the adoption of digitally driven BMI. According to an in-depth case study of a large energy incumbent, a multi-level approach is key to understanding the interconnection between external pressures and internal tensions. The results show that though acquiescence is still a valid response to institutional demands, it can lead to a lack of consideration of internal tensions, as well as to organizational misfits that hamper BMI adoption. This article contributes to BMI and neo-institutional literature by offering new theoretical insights and makes managerial recommendations related to multi-level issues linked to the adoption of digitally driven BMI.&quot;,&quot;publisher&quot;:&quot;Elsevier Inc.&quot;,&quot;volume&quot;:&quot;205&quot;},&quot;isTemporary&quot;:false}],&quot;citationTag&quot;:&quot;MENDELEY_CITATION_v3_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&quot;},{&quot;citationID&quot;:&quot;MENDELEY_CITATION_1b523792-ffe7-4c4a-af1a-8626a039b660&quot;,&quot;properties&quot;:{&quot;noteIndex&quot;:0},&quot;isEdited&quot;:false,&quot;manualOverride&quot;:{&quot;isManuallyOverridden&quot;:true,&quot;citeprocText&quot;:&quot;(Crane &lt;i&gt;et al.&lt;/i&gt;, 2019b; LeBaron, 2020b)&quot;,&quot;manualOverrideText&quot;:&quot;(Crane et al., 2019; Genevieve. LeBaron, 2020)&quot;},&quot;citationItems&quot;:[{&quot;id&quot;:&quot;f5bfe226-c891-3d7d-8527-ae80ded30f72&quot;,&quot;itemData&quot;:{&quot;type&quot;:&quot;book&quot;,&quot;id&quot;:&quot;f5bfe226-c891-3d7d-8527-ae80ded30f72&quot;,&quot;title&quot;:&quot;Combatting Modern Slavery: Why Labour Governance is Failing and What We Can Do About It&quot;,&quot;author&quot;:[{&quot;family&quot;:&quot;LeBaron&quot;,&quot;given&quot;:&quot;Genevieve.&quot;,&quot;parse-names&quot;:false,&quot;dropping-particle&quot;:&quot;&quot;,&quot;non-dropping-particle&quot;:&quot;&quot;}],&quot;accessed&quot;:{&quot;date-parts&quot;:[[2023,2,4]]},&quot;editor&quot;:[{&quot;family&quot;:&quot;John Wiley &amp; Sons&quot;,&quot;given&quot;:&quot;&quot;,&quot;parse-names&quot;:false,&quot;dropping-particle&quot;:&quot;&quot;,&quot;non-dropping-particle&quot;:&quot;&quot;}],&quot;issued&quot;:{&quot;date-parts&quot;:[[2020]]},&quot;container-title-short&quot;:&quot;&quot;},&quot;isTemporary&quot;:false},{&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citationTag&quot;:&quot;MENDELEY_CITATION_v3_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quot;},{&quot;citationID&quot;:&quot;MENDELEY_CITATION_2b3136b9-d7c8-4b43-ab29-f3f3644cd479&quot;,&quot;properties&quot;:{&quot;noteIndex&quot;:0},&quot;isEdited&quot;:false,&quot;manualOverride&quot;:{&quot;isManuallyOverridden&quot;:false,&quot;citeprocText&quot;:&quot;(Meyer and Rowan, 1977; Pedersen, 1991; Ruwanpura, 2022)&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c71c1770-4c26-3abf-a84f-c01a5f6c6946&quot;,&quot;itemData&quot;:{&quot;type&quot;:&quot;book&quot;,&quot;id&quot;:&quot;c71c1770-4c26-3abf-a84f-c01a5f6c6946&quot;,&quot;title&quot;:&quot;Garments without guilt? : global labour justice and ethical codes in Sri Lankan apparels&quot;,&quot;author&quot;:[{&quot;family&quot;:&quot;Ruwanpura&quot;,&quot;given&quot;:&quot;Kanchana N..&quot;,&quot;parse-names&quot;:false,&quot;dropping-particle&quot;:&quot;&quot;,&quot;non-dropping-particle&quot;:&quot;&quot;}],&quot;ISBN&quot;:&quot;9781108832014&quot;,&quot;issued&quot;:{&quot;date-parts&quot;:[[2022]]},&quot;number-of-pages&quot;:&quot;198&quot;,&quot;abstract&quot;:&quot;\&quot;This book explores the ways in which labour struggles in the post-1977 period provided important resistance to capitalist processes and continue to shape the industry both within and outside of the shop floor. It studies contextual moments in the history of Sri Lanka to rupture the dominant narrative and bring out the centrality of labour for the success of the country's apparel industry. It argues that speaking about producing guilt free garments requires a greater attentiveness to the voice and struggles of labour. It works to bring out the \&quot;exceptionality\&quot; of Sri Lanka's apparel industry and the ways in which it upholds of ethical codes of conduct, particularly from the viewpoint of labour. The book will contribute to debates on ethical codes and labour politics in the global South, and do so within the contemporary neoliberal milieu of corporate governance regimes. It will also speak to debates on the advent of neoliberalism and labour politics by studying the ways in which labour has challenged, shaped and resisted capitalism and capitalist processes within the apparel sector\&quot;-- Provided by publisher. Introduction: global labour justice via ethical codes -- Labouring for apparels: labour geographies and feminist inflections -- Fieldwork: prolonged phases and multiple moments -- Clothing the world, guilt free? Sri Lanka's apparel landscape -- Neglected labour histories: the Sri Lankan state responds to labour -- Ethicality with a blind eye? Ethical code practices at production sites -- From war to work: ethicality amidst post-war trauma? -- Concluding thoughts: grounded governance?&quot;,&quot;edition&quot;:&quot;1&quot;,&quot;publisher&quot;:&quot;Cambridge University Press&quot;,&quot;container-title-short&quot;:&quot;&quot;},&quot;isTemporary&quot;:false},{&quot;id&quot;:&quot;09458568-fe53-324b-b3d8-2b1d0d376062&quot;,&quot;itemData&quot;:{&quot;type&quot;:&quot;article-journal&quot;,&quot;id&quot;:&quot;09458568-fe53-324b-b3d8-2b1d0d376062&quot;,&quot;title&quot;:&quot;Nine Questions to a Neo‐institutional Theory in Political Science&quot;,&quot;author&quot;:[{&quot;family&quot;:&quot;Pedersen&quot;,&quot;given&quot;:&quot;Ove K.&quot;,&quot;parse-names&quot;:false,&quot;dropping-particle&quot;:&quot;&quot;,&quot;non-dropping-particle&quot;:&quot;&quot;}],&quot;container-title&quot;:&quot;Scandinavian Political Studies&quot;,&quot;container-title-short&quot;:&quot;Scan Polit Stud&quot;,&quot;DOI&quot;:&quot;10.1111/j.1467-9477.1991.tb00408.x&quot;,&quot;ISSN&quot;:&quot;14679477&quot;,&quot;issued&quot;:{&quot;date-parts&quot;:[[1991]]},&quot;page&quot;:&quot;125-148&quot;,&quot;abstract&quot;:&quot;The purpose of this article is to point to a number of methodological and theoretical problems connected with a theory of institutional change. Nine philosophical‐methodological questions are asked dealing with a wide range of problems rarely raised in neo‐institutional political theory. The questions concern the concept of the state, of institutions, and of language and discourse, and deal with the dialectic between individuals and institutions, choice and rationality, formal organizations and institutions as well as prescriptive versus normative analysis. A critical theory of meaning is sought in order to develop neo‐institutionalism from a research program into an actual set of descriptive and interpretative theories. Copyright © 1991, Wiley Blackwell. All rights reserved&quot;,&quot;issue&quot;:&quot;2&quot;,&quot;volume&quot;:&quot;14&quot;},&quot;isTemporary&quot;:false}],&quot;citationTag&quot;:&quot;MENDELEY_CITATION_v3_eyJjaXRhdGlvbklEIjoiTUVOREVMRVlfQ0lUQVRJT05fMmIzMTM2YjktZDdjOC00YjQzLWFiMjktZjNmMzY0NGNkNDc5IiwicHJvcGVydGllcyI6eyJub3RlSW5kZXgiOjB9LCJpc0VkaXRlZCI6ZmFsc2UsIm1hbnVhbE92ZXJyaWRlIjp7ImlzTWFudWFsbHlPdmVycmlkZGVuIjpmYWxzZSwiY2l0ZXByb2NUZXh0IjoiKE1leWVyIGFuZCBSb3dhbiwgMTk3NzsgUGVkZXJzZW4sIDE5OTE7IFJ1d2FucHVyYSwgMjAyMi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&quot;},{&quot;citationID&quot;:&quot;MENDELEY_CITATION_6ed72d73-a8be-47f8-83f5-4dd0ae513eb3&quot;,&quot;properties&quot;:{&quot;noteIndex&quot;:0},&quot;isEdited&quot;:false,&quot;manualOverride&quot;:{&quot;isManuallyOverridden&quot;:false,&quot;citeprocText&quot;:&quot;(Albitar &lt;i&gt;et al.&lt;/i&gt;, 2025; Bartley, 2018; LeBaron and Rühmkorf, 2017)&quot;,&quot;manualOverrideText&quot;:&quot;&quot;},&quot;citationItems&quot;:[{&quot;id&quot;:&quot;ccd151d4-e57f-3654-92b0-e769985c95de&quot;,&quot;itemData&quot;:{&quot;type&quot;:&quot;article-journal&quot;,&quot;id&quot;:&quot;ccd151d4-e57f-3654-92b0-e769985c95de&quot;,&quot;title&quot;:&quot;Steering CSR Through Home State Regulation: A Comparison of the Impact of the UK Bribery Act and Modern Slavery Act on Global Supply Chain Governance&quot;,&quot;author&quot;:[{&quot;family&quot;:&quot;LeBaron&quot;,&quot;given&quot;:&quot;Genevieve&quot;,&quot;parse-names&quot;:false,&quot;dropping-particle&quot;:&quot;&quot;,&quot;non-dropping-particle&quot;:&quot;&quot;},{&quot;family&quot;:&quot;Rühmkorf&quot;,&quot;given&quot;:&quot;Andreas&quot;,&quot;parse-names&quot;:false,&quot;dropping-particle&quot;:&quot;&quot;,&quot;non-dropping-particle&quot;:&quot;&quot;}],&quot;container-title&quot;:&quot;Global Policy&quot;,&quot;container-title-short&quot;:&quot;Glob Policy&quot;,&quot;accessed&quot;:{&quot;date-parts&quot;:[[2023,5,17]]},&quot;DOI&quot;:&quot;10.1111/1758-5899.12398&quot;,&quot;ISSN&quot;:&quot;1758-5899&quot;,&quot;URL&quot;:&quot;https://onlinelibrary.wiley.com/doi/full/10.1111/1758-5899.12398&quot;,&quot;issued&quot;:{&quot;date-parts&quot;:[[2017,5,1]]},&quot;page&quot;:&quot;15-28&quot;,&quot;abstract&quot;:&quot;The home states of multinational enterprises have in recent years sought to use public regulation to fill the gaps left by the absence of a binding labour standards framework in international law. This article examines recent home state initiatives to address forced labour, human trafficking, and slavery in global supply chains, and their interactions with private governance initiatives. Focusing on a case study of the 2015 UK Modern Slavery Act and 2010 UK Bribery Act, we analyse two distinct legislative approaches that policy makers have used to promote corporate accountability within global supply chains and explore the varied impacts that these approaches have on corporate behaviour. Empirically, we analyse codes of conduct, annual CSR reports, and supplier terms and conditions for 25 FTSE 100 companies to shed light into the impact of the legislation on corporate behaviour. We find that legislation that creates criminal corporate liability appears to spur deeper changes to corporate strategy, and argue that in the case of the Modern Slavery Act, the triumph of voluntary reporting over more stringent public labour standards seems to have undermined the effectiveness of recent governance initiatives to address forced labour in global supply chains.&quot;,&quot;publisher&quot;:&quot;John Wiley &amp; Sons, Ltd&quot;,&quot;volume&quot;:&quot;8&quot;},&quot;isTemporary&quot;:false},{&quot;id&quot;:&quot;3b3dce06-ae94-3fe8-ab0d-b927b1b368aa&quot;,&quot;itemData&quot;:{&quot;type&quot;:&quot;book&quot;,&quot;id&quot;:&quot;3b3dce06-ae94-3fe8-ab0d-b927b1b368aa&quot;,&quot;title&quot;:&quot;Rules without rights : land, labor, and private authority in the global economy&quot;,&quot;author&quot;:[{&quot;family&quot;:&quot;Bartley&quot;,&quot;given&quot;:&quot;Tim.&quot;,&quot;parse-names&quot;:false,&quot;dropping-particle&quot;:&quot;&quot;,&quot;non-dropping-particle&quot;:&quot;&quot;}],&quot;ISBN&quot;:&quot;9780198794332&quot;,&quot;issued&quot;:{&quot;date-parts&quot;:[[2018]]},&quot;publisher-place&quot;:&quot;Oxford&quot;,&quot;abstract&quot;:&quot;Activists have exposed startling forms of labor exploitation and environmental degradation in global industries, leading many large retailers and brands to adopt standards for fairness and sustainability. This book is about the idea that transnational corporations can push these standards through their global supply chains, and in effect, pull factories, forests, and farms out of their local contexts and up to global best practices. For many scholars and practitioners, this kind of private regulation and global standard-setting can provide an alternative to regulation by territorially-bound, gridlocked, or incapacitated nation states, potentially improving environments and working conditions around the world and protecting the rights of exploited workers, impoverished farmers, and marginalized communities. But can private, voluntary standards actually create meaningful forms of regulation? Are forests and factories around the world actually being made into sustainable ecosystems and decent workplaces? Can global norms remake local orders? This book provides striking new answers by comparing the private regulation of land and labor in democratic and authoritarian settings. Case studies of sustainable forestry and fair labour standards in Indonesia and China show not only how transnational standards are implemented 'on the ground' but also how they are constrained and reconfigured by domestic governance. Combining rich multi-method analyses, a powerful comparative approach, and a new theory of private regulation, Rules without Rights reveals the contours and contradictions of transnational governance. Transformations in Governance is a major new academic book series from Oxford University Press. It is designed to accommodate the impressive growth of research in comparative politics, international relations, public policy, federalism, environmental and urban studies concerned with the dispersion of authority from central states up to supranational institutions, down to subnational governments, and side-ways to public-private networks. It brings together work that significantly advances our understanding of the organization, causes, and consequences of multilevel and complex governance. The series is selective, containing annually a small number of books of exceptionally high quality by leading and emerging scholars. The series targets mainly single-authored or co-authored work, but it is pluralistic in terms of disciplinary specialization, research design, method, and geographical scope. Case studies as well as comparative studies, historical as well as contemporary studies, and studies with a national, regional, or international focus are all central to its aims. Authors use qualitative, quantitative, formal modeling, or mixed methods. A trade mark of the books is that they combine scholarly rigour with readable prose and an attractive production style. The series is edited by Liesbet Hooghe and Gary Marks of the University of North Carolina, Chapel Hill, and Walter Mattli of the University of Oxford. Cover; Rules without Rights: Land, Labor, and Private Authority in the Global Economy; Copyright; Acknowledgments; Table of Contents; List of Figures; List of Tables; 1: Transnational Standards and Empty Spaces; Retailers to the Rescue: The Rise of Transnational Private Regulation; Markets, states, and civil society in the rise of transnational private regulation; A Cross-field, Cross-national Approach; Land and labor; CERTIFYING SUSTAINABLE FORESTRY; AUDITING LABOR STANDARDS; TOWARD A COMPARISON; Democracy and authoritarianism; THE POLITICS OF PRODUCTION IN CHINA AND INDONESIA&quot;,&quot;edition&quot;:&quot;1&quot;,&quot;publisher&quot;:&quot;Oxford University Press&quot;,&quot;container-title-short&quot;:&quot;&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quot;},{&quot;citationID&quot;:&quot;MENDELEY_CITATION_7eb972b8-c5f1-4b8e-9ab7-1073d0acb7df&quot;,&quot;properties&quot;:{&quot;noteIndex&quot;:0},&quot;isEdited&quot;:false,&quot;manualOverride&quot;:{&quot;isManuallyOverridden&quot;:true,&quot;citeprocText&quot;:&quot;(Albitar &lt;i&gt;et al.&lt;/i&gt;, 2025; Crane &lt;i&gt;et al.&lt;/i&gt;, 2019b)&quot;,&quot;manualOverrideText&quot;:&quot;(Albitar et al., 2025; Crane et al., 2019)&quot;},&quot;citationItems&quot;:[{&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citationTag&quot;:&quot;MENDELEY_CITATION_v3_eyJjaXRhdGlvbklEIjoiTUVOREVMRVlfQ0lUQVRJT05fN2ViOTcyYjgtYzVmMS00YjhlLTlhYjctMTA3M2QwYWNiN2RmIiwicHJvcGVydGllcyI6eyJub3RlSW5kZXgiOjB9LCJpc0VkaXRlZCI6ZmFsc2UsIm1hbnVhbE92ZXJyaWRlIjp7ImlzTWFudWFsbHlPdmVycmlkZGVuIjp0cnVlLCJjaXRlcHJvY1RleHQiOiIoQWxiaXRhciA8aT5ldCBhbC48L2k+LCAyMDI1OyBDcmFuZSA8aT5ldCBhbC48L2k+LCAyMDE5YikiLCJtYW51YWxPdmVycmlkZVRleHQiOiIoQWxiaXRhciBldCBhbC4sIDIwMjU7IENyYW5lIGV0IGFsLiwgMjAxOSk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&quot;},{&quot;citationID&quot;:&quot;MENDELEY_CITATION_221cf5e4-c702-40e5-81d9-b6e8c758933b&quot;,&quot;properties&quot;:{&quot;noteIndex&quot;:0},&quot;isEdited&quot;:false,&quot;manualOverride&quot;:{&quot;isManuallyOverridden&quot;:false,&quot;citeprocText&quot;:&quot;(Al-Shaer &lt;i&gt;et al.&lt;/i&gt;, 2022; Kolk and Perego, 2010)&quot;,&quot;manualOverrideText&quot;:&quot;&quot;},&quot;citationItems&quot;:[{&quot;id&quot;:&quot;306c554e-f7cc-3861-99c0-1639ed9e0141&quot;,&quot;itemData&quot;:{&quot;type&quot;:&quot;article-journal&quot;,&quot;id&quot;:&quot;306c554e-f7cc-3861-99c0-1639ed9e0141&quot;,&quot;title&quot;:&quot;Determinants of the adoption of sustainability assurance statements: An international investigation&quot;,&quot;author&quot;:[{&quot;family&quot;:&quot;Kolk&quot;,&quot;given&quot;:&quot;Ans&quot;,&quot;parse-names&quot;:false,&quot;dropping-particle&quot;:&quot;&quot;,&quot;non-dropping-particle&quot;:&quot;&quot;},{&quot;family&quot;:&quot;Perego&quot;,&quot;given&quot;:&quot;Paolo&quot;,&quot;parse-names&quot;:false,&quot;dropping-particle&quot;:&quot;&quot;,&quot;non-dropping-particle&quot;:&quot;&quot;}],&quot;container-title&quot;:&quot;Business Strategy and the Environment&quot;,&quot;container-title-short&quot;:&quot;Bus Strategy Environ&quot;,&quot;issued&quot;:{&quot;date-parts&quot;:[[2010,3]]},&quot;page&quot;:&quot;182-198&quot;,&quot;abstract&quot;:&quot;This paper explores the factors associated with voluntary decisions to assure social, environmental and sustainability reports. Since the market for assurance services in this area is in its formative stages, there is a limited understanding of the demand for this emergent non-fi nancial auditing practice, which is evolving rapidly across different countries. Drawing from extant literature in international auditing and environmental accounting, we focus on a set of country-level institutional factors to explain the adoption of sustainability assurance statements among an international panel of 212 Fortune Global 250 companies for the years 1999, 2002 and 2005. Consistent with our expectations, our results provide evidence that companies operating in countries that are more stakeholder oriented and have a weaker governance enforcement regime are more likely to adopt a sustainability assurance statement. Further, the demand for assurance is higher in countries where sustainable corporate practices are better enabled by market and institutional mechanisms. Our exploratory fi ndings also indicate that the likelihood of choosing a large accounting fi rm as assurance provider increases for companies domiciled in countries that are shareholder oriented and have a lower level of litigation. We conclude the paper by suggesting three directions of research in the area of sustainability assurance that have relevant academic and practical implications. Copyright © 2008 John Wiley &amp; Sons, Ltd and ERP Environment.&quot;,&quot;issue&quot;:&quot;3&quot;,&quot;volume&quot;:&quot;19&quot;},&quot;isTemporary&quot;:false},{&quot;id&quot;:&quot;d13259b3-fd23-3ca9-90bb-011b01a3cdb7&quot;,&quot;itemData&quot;:{&quot;type&quot;:&quot;article-journal&quot;,&quot;id&quot;:&quot;d13259b3-fd23-3ca9-90bb-011b01a3cdb7&quot;,&quot;title&quot;:&quot;What do audit committees do? Transparency and impression management&quot;,&quot;author&quot;:[{&quot;family&quot;:&quot;Al-Shaer&quot;,&quot;given&quot;:&quot;Habiba&quot;,&quot;parse-names&quot;:false,&quot;dropping-particle&quot;:&quot;&quot;,&quot;non-dropping-particle&quot;:&quot;&quot;},{&quot;family&quot;:&quot;Malik&quot;,&quot;given&quot;:&quot;Muhammad Farhan&quot;,&quot;parse-names&quot;:false,&quot;dropping-particle&quot;:&quot;&quot;,&quot;non-dropping-particle&quot;:&quot;&quot;},{&quot;family&quot;:&quot;Zaman&quot;,&quot;given&quot;:&quot;Mahbub&quot;,&quot;parse-names&quot;:false,&quot;dropping-particle&quot;:&quot;&quot;,&quot;non-dropping-particle&quot;:&quot;&quot;}],&quot;container-title&quot;:&quot;Journal of Management and Governance&quot;,&quot;DOI&quot;:&quot;10.1007/s10997-021-09591-9&quot;,&quot;ISSN&quot;:&quot;1572963X&quot;,&quot;issued&quot;:{&quot;date-parts&quot;:[[2022,12,1]]},&quot;page&quot;:&quot;1443-1468&quot;,&quot;abstract&quot;:&quot;Marking a significant step aimed at making governance more transparent the UK requires audit committees (ACs) to publish a report on their activities. Although regulators continue to emphasise the roles of ACs, there is limited evidence on what the AC does in practice. This paper provides evidence on the nature of AC actions as reported in AC reports relating to external audit, internal audit and financial reporting. We use summative content analysis to analyze AC reports of UK FTSE 350 firms and find that AC actions mainly entail reviewing processes and reports and there is limited incidence of them reporting that they have undertaken investigations into auditing and reporting issues. Moreover, what is reported is mainly general and descriptive of process. Our findings highlight the importance of AC reports providing meaningful information rather than engaging in symbolism. ACs can use their reports to signal their substantive monitoring and how they have contributed to improving auditing and reporting quality. The findings also suggest that future research examining the reviewing, investigating and outsourcing activities of boards and ACs can contribute to a better understanding of the governance process and outcomes.&quot;,&quot;publisher&quot;:&quot;Springer&quot;,&quot;issue&quot;:&quot;4&quot;,&quot;volume&quot;:&quot;26&quot;,&quot;container-title-short&quot;:&quot;&quot;},&quot;isTemporary&quot;:false}],&quot;citationTag&quot;:&quot;MENDELEY_CITATION_v3_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&quot;},{&quot;citationID&quot;:&quot;MENDELEY_CITATION_8a02f0bd-f4eb-4b8b-bed7-374071fbebf1&quot;,&quot;properties&quot;:{&quot;noteIndex&quot;:0},&quot;isEdited&quot;:false,&quot;manualOverride&quot;:{&quot;isManuallyOverridden&quot;:false,&quot;citeprocText&quot;:&quot;(Amini &lt;i&gt;et al.&lt;/i&gt;, 2018; Emeseh and Songi, 2014; Yuan &lt;i&gt;et al.&lt;/i&gt;, 2022)&quot;,&quot;manualOverrideText&quot;:&quot;&quot;},&quot;citationItems&quot;:[{&quot;id&quot;:&quot;c5c32c68-2d14-31dc-9045-df484d5ed9c1&quot;,&quot;itemData&quot;:{&quot;type&quot;:&quot;article-journal&quot;,&quot;id&quot;:&quot;c5c32c68-2d14-31dc-9045-df484d5ed9c1&quot;,&quot;title&quot;:&quot;Status of corporate sustainability: a content analysis of Fortune 500 companies&quot;,&quot;author&quot;:[{&quot;family&quot;:&quot;Amini&quot;,&quot;given&quot;:&quot;Mehdi&quot;,&quot;parse-names&quot;:false,&quot;dropping-particle&quot;:&quot;&quot;,&quot;non-dropping-particle&quot;:&quot;&quot;},{&quot;family&quot;:&quot;Bienstock&quot;,&quot;given&quot;:&quot;Carol C.&quot;,&quot;parse-names&quot;:false,&quot;dropping-particle&quot;:&quot;&quot;,&quot;non-dropping-particle&quot;:&quot;&quot;},{&quot;family&quot;:&quot;Narcum&quot;,&quot;given&quot;:&quot;John A.&quot;,&quot;parse-names&quot;:false,&quot;dropping-particle&quot;:&quot;&quot;,&quot;non-dropping-particle&quot;:&quot;&quot;}],&quot;container-title&quot;:&quot;Business Strategy and the Environment&quot;,&quot;container-title-short&quot;:&quot;Bus Strategy Environ&quot;,&quot;ISSN&quot;:&quot;10990836&quot;,&quot;issued&quot;:{&quot;date-parts&quot;:[[2018,12,1]]},&quot;page&quot;:&quot;1450-1461&quot;,&quot;abstract&quot;:&quot;In order to explore and extend our understanding of corporate sustainability definitions and frameworks, we performed a content analysis of a sample of (2013) Fortune 500 companies' standalone sustainability reports using the content analysis tool, Leximancer (http://leximancer.com). Leximancer is a powerful content analysis tool that performs both conceptual and thematic analysis. In addition, Leximancer displays the results of the analyses visually, thus providing a view of the conceptual and thematic structure of the text, and enabling a researcher to quantify and display the text structure. The results of our analyses demonstrate three common themes (Business, Employees and Energy/Environment) observable across eight of the nine industries in our sample. In addition, we observed significant differences in the relative emphasis for the three common themes across industries. We believe a deeper understanding of the themes that motivate firms' sustainability efforts can enhance future research that explores relationships between organizational sustainability efforts and organizational performance.&quot;,&quot;publisher&quot;:&quot;John Wiley and Sons Ltd&quot;,&quot;issue&quot;:&quot;8&quot;,&quot;volume&quot;:&quot;27&quot;},&quot;isTemporary&quot;:false},{&quot;id&quot;:&quot;83d5148d-c08d-31f1-a9e4-26c237b98f74&quot;,&quot;itemData&quot;:{&quot;type&quot;:&quot;article-journal&quot;,&quot;id&quot;:&quot;83d5148d-c08d-31f1-a9e4-26c237b98f74&quot;,&quot;title&quot;:&quot;CSR, human rights abuse and sustainability report accountability&quot;,&quot;author&quot;:[{&quot;family&quot;:&quot;Emeseh&quot;,&quot;given&quot;:&quot;Engobo&quot;,&quot;parse-names&quot;:false,&quot;dropping-particle&quot;:&quot;&quot;,&quot;non-dropping-particle&quot;:&quot;&quot;},{&quot;family&quot;:&quot;Songi&quot;,&quot;given&quot;:&quot;Ondotimi&quot;,&quot;parse-names&quot;:false,&quot;dropping-particle&quot;:&quot;&quot;,&quot;non-dropping-particle&quot;:&quot;&quot;}],&quot;container-title&quot;:&quot;International Journal of Law and Management&quot;,&quot;URL&quot;:&quot;www.emeraldinsight.com/1754-243X.htm&quot;,&quot;issued&quot;:{&quot;date-parts&quot;:[[2014]]},&quot;page&quot;:&quot;136-151&quot;,&quot;abstract&quot;:&quot;Purpose-CSR within a purely voluntary context has so far not made meaningful contributions to the problem of corporate environmental and human rights abuses in Africa. The paper therefore aims to improve the effectiveness of CSR in the continent by making companies accountable for the veracity of statements they have voluntarily put out in the public domain. Design/methodology/approach-The paper adopts the stakeholder and legitimacy theories and information regulation as its framework of analysis. Following a discourse on the developments in and limitations of sustainability, the paper constructs an argument in line with these theories how these reports can still be utilised to make meaningful contribution towards strengthening CSR through accountability for false and misleading statements. Findings-Corporations have a stake in information in sustainability reports with regard to their corporate image and reputation. Therefore, under the appropriate framework, utilising corporate accountability for false and misleading statements by companies has promise for making CSR more effective. Research limitations/implications-The main limitations of this research is the political will of national governments in Africa to undertake such an exercise and the relative ability of civil society groups in light of the power of corporations to effectively hold them to account through the models proposed. Originality/value-The paper is interdisciplinary, drawing upon both management and legal theories. A significant contribution of this research is its pragmatic approach which goes beyond calling for legal platform for CSR by recommending a model for accountability within the existing voluntary CSR framework.&quot;,&quot;issue&quot;:&quot;2&quot;,&quot;volume&quot;:&quot;56&quot;,&quot;container-title-short&quot;:&quot;&quot;},&quot;isTemporary&quot;:false},{&quot;id&quot;:&quot;1f0049c9-227c-36c6-9822-33a57d3416e4&quot;,&quot;itemData&quot;:{&quot;type&quot;:&quot;article-journal&quot;,&quot;id&quot;:&quot;1f0049c9-227c-36c6-9822-33a57d3416e4&quot;,&quot;title&quot;:&quot;Integrating CSR Initiatives in Business: An Organizing Framework&quot;,&quot;author&quot;:[{&quot;family&quot;:&quot;Yuan&quot;,&quot;given&quot;:&quot;Wenlong&quot;,&quot;parse-names&quot;:false,&quot;dropping-particle&quot;:&quot;&quot;,&quot;non-dropping-particle&quot;:&quot;&quot;},{&quot;family&quot;:&quot;Bao&quot;,&quot;given&quot;:&quot;Yongjian&quot;,&quot;parse-names&quot;:false,&quot;dropping-particle&quot;:&quot;&quot;,&quot;non-dropping-particle&quot;:&quot;&quot;},{&quot;family&quot;:&quot;Verbeke&quot;,&quot;given&quot;:&quot;Alain&quot;,&quot;parse-names&quot;:false,&quot;dropping-particle&quot;:&quot;&quot;,&quot;non-dropping-particle&quot;:&quot;&quot;}],&quot;container-title&quot;:&quot;Journal of Business Ethics&quot;,&quot;accessed&quot;:{&quot;date-parts&quot;:[[2022,9,24]]},&quot;issued&quot;:{&quot;date-parts&quot;:[[2022]]},&quot;page&quot;:&quot;75-92&quot;,&quot;abstract&quot;:&quot;Integrating corporate social responsibility (CSR) initiatives in business is one of the great challenges facing firms today. Societal stakeholders require much more from the firm than pursuing profitability and growth. But these societal stakeholders often simply assume that increased societal expectations can easily be accommodated within efficiently run business operations, without much attention devoted to process issues. We build upon the core-periphery thesis to explore potential avenues for firms to add recurring CSR initiatives to their existing business practices. Based on Siggelkow's (Admin Sci Quart 47:125-159, 2002) analysis of organizational change, we conceptualize seven major patterns of CSR initiative adoption. We develop a new organizing framework showing how a firm can integrate CSR initiatives in business. Within the new framework, each of the seven patterns represents an idiosyncratic path through which recurring CSR initiatives can be included as practices into conventional operations. We also explore the nature of the resulting internal fit between recurring CSR initiatives and business practices.&quot;,&quot;volume&quot;:&quot;101&quot;,&quot;container-title-short&quot;:&quot;&quot;},&quot;isTemporary&quot;:false}],&quot;citationTag&quot;:&quot;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&quot;},{&quot;citationID&quot;:&quot;MENDELEY_CITATION_7ca14624-e30b-4ed7-99d3-f2b81f4cf638&quot;,&quot;properties&quot;:{&quot;noteIndex&quot;:0},&quot;isEdited&quot;:false,&quot;manualOverride&quot;:{&quot;isManuallyOverridden&quot;:false,&quot;citeprocText&quot;:&quot;(Christ &lt;i&gt;et al.&lt;/i&gt;, 2019; Meyer and Rowan, 1977)&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citationTag&quot;:&quot;MENDELEY_CITATION_v3_eyJjaXRhdGlvbklEIjoiTUVOREVMRVlfQ0lUQVRJT05fN2NhMTQ2MjQtZTMwYi00ZWQ3LTk5ZDMtZjJiODFmNGNmNjM4IiwicHJvcGVydGllcyI6eyJub3RlSW5kZXgiOjB9LCJpc0VkaXRlZCI6ZmFsc2UsIm1hbnVhbE92ZXJyaWRlIjp7ImlzTWFudWFsbHlPdmVycmlkZGVuIjpmYWxzZSwiY2l0ZXByb2NUZXh0IjoiKENocmlzdCA8aT5ldCBhbC48L2k+LCAyMDE5OyBNZXllciBhbmQgUm93YW4sIDE5Nzc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&quot;},{&quot;citationID&quot;:&quot;MENDELEY_CITATION_f18d1bf1-dcda-4a55-a39d-29470457ae5f&quot;,&quot;properties&quot;:{&quot;noteIndex&quot;:0},&quot;isEdited&quot;:false,&quot;manualOverride&quot;:{&quot;isManuallyOverridden&quot;:false,&quot;citeprocText&quot;:&quot;(Ahmed and Alawattage, 2023; Haque and Azmat, 2015; Uddin &lt;i&gt;et al.&lt;/i&gt;, 2023)&quot;,&quot;manualOverrideText&quot;:&quot;&quot;},&quot;citationItems&quot;:[{&quot;id&quot;:&quot;d8c41144-c32d-35a6-9fdd-547da6ecfec3&quot;,&quot;itemData&quot;:{&quot;type&quot;:&quot;report&quot;,&quot;id&quot;:&quot;d8c41144-c32d-35a6-9fdd-547da6ecfec3&quot;,&quot;title&quot;:&quot;The role of self-reporting in tackling modern slavery-like practices in\nBangladesh’s garment industry&quot;,&quot;author&quot;:[{&quot;family&quot;:&quot;Ahmed&quot;,&quot;given&quot;:&quot;Shoaib&quot;,&quot;parse-names&quot;:false,&quot;dropping-particle&quot;:&quot;&quot;,&quot;non-dropping-particle&quot;:&quot;&quot;},{&quot;family&quot;:&quot;Alawattage&quot;,&quot;given&quot;:&quot;Chandana&quot;,&quot;parse-names&quot;:false,&quot;dropping-particle&quot;:&quot;&quot;,&quot;non-dropping-particle&quot;:&quot;&quot;}],&quot;issued&quot;:{&quot;date-parts&quot;:[[2023,5,29]]},&quot;container-title-short&quot;:&quot;&quot;},&quot;isTemporary&quot;:false},{&quot;id&quot;:&quot;9002a172-d22f-3a62-a1bd-7feb7df422c2&quot;,&quot;itemData&quot;:{&quot;type&quot;:&quot;article-journal&quot;,&quot;id&quot;:&quot;9002a172-d22f-3a62-a1bd-7feb7df422c2&quot;,&quot;title&quot;:&quot;Exploitation in Bangladeshi ready-made garments supply chain: a case of irresponsible capitalism?&quot;,&quot;author&quot;:[{&quot;family&quot;:&quot;Uddin&quot;,&quot;given&quot;:&quot;Mohammad Jasim&quot;,&quot;parse-names&quot;:false,&quot;dropping-particle&quot;:&quot;&quot;,&quot;non-dropping-particle&quot;:&quot;&quot;},{&quot;family&quot;:&quot;Azmat&quot;,&quot;given&quot;:&quot;Fara&quot;,&quot;parse-names&quot;:false,&quot;dropping-particle&quot;:&quot;&quot;,&quot;non-dropping-particle&quot;:&quot;&quot;},{&quot;family&quot;:&quot;Fujimoto&quot;,&quot;given&quot;:&quot;Yuka&quot;,&quot;parse-names&quot;:false,&quot;dropping-particle&quot;:&quot;&quot;,&quot;non-dropping-particle&quot;:&quot;&quot;},{&quot;family&quot;:&quot;Hossain&quot;,&quot;given&quot;:&quot;Farhad&quot;,&quot;parse-names&quot;:false,&quot;dropping-particle&quot;:&quot;&quot;,&quot;non-dropping-particle&quot;:&quot;&quot;}],&quot;container-title&quot;:&quot;International Journal of Logistics Management&quot;,&quot;DOI&quot;:&quot;10.1108/IJLM-12-2021-0565&quot;,&quot;ISSN&quot;:&quot;17586550&quot;,&quot;issued&quot;:{&quot;date-parts&quot;:[[2023,1,18]]},&quot;page&quot;:&quot;164-188&quot;,&quot;abstract&quot;:&quot;Purpose: Despite considerable research and constant pressure from global media, exploitation has been a persistent problem in the Bangladeshi ready-made garment (RMG) supply chain. Yet, the root causes of how and why exploitation still persists remain unexplored. This paper explores the reasons underlying the existence of exploitation in the RMG supply chain of Bangladesh using the theoretical lens of responsible capitalism. Design/methodology/approach: Drawing on 98 interviews conducted at multiple levels of the RMG supply chain ecosystem, site visits, observation and archives, the authors unpack the underlying reasons for the existence of exploitation in Bangladeshi RMG supply chain. Findings: Using the theoretical lens of responsible capitalism, the findings suggest the existence of exploitation as a multifaceted yet nuanced phenomenon that is a result of complex power dynamics, interdependency and interconnectedness of players at multiple levels of the supply chain. The authors extend responsible capitalism theory by adding local context as a key determinant for the RMG supply chain to be responsive, effective and sustainable. The authors further argue the need for a new business model in global supply chain that calls for a fundamental shift of businesses towards responsible capitalism via transformative actions at multiple levels for balancing power in relationships, generate profit with ethical integrity and take responsibility of the consequences of their actions. Research limitations/implications: The authors use a contextualized case study of the RMG supply chain in Bangladesh using a critical realist approach. Although the use of contextualized case study has enabled better understanding of causal relationships between management practices and exploitation in the local context of Bangladesh, a quantitative approach to establish causality between different factors could be the focus of future research. The findings are specific to the context of Bangladeshi RMG supply chain and may have limited generalizability in other contexts. Further studies may build upon the findings to explore exploitation in RMG supply chain of other sectors and countries in the region and compare the findings to develop comprehensive understanding about the root causes of exploitation. Practical implications: The findings call for a fundamental shift of business towards responsible capitalism via transformative actions of multiple players across different levels of the supply chains with managerial implications. Originality/value: By drawing on empirical research, the authors provide a holistic perspective of responsible capitalism that is influenced by interactions and interconnectedness of players in multiple levels of the supply chain. The authors expand the responsible capitalism theory by adding local context as a key determinant that need to be considered for supply chains to be responsive, effective and sustainable.&quot;,&quot;publisher&quot;:&quot;Emerald Publishing&quot;,&quot;issue&quot;:&quot;1&quot;,&quot;volume&quot;:&quot;34&quot;,&quot;container-title-short&quot;:&quot;&quot;},&quot;isTemporary&quot;:false},{&quot;id&quot;:&quot;71fb9d2c-16b8-362f-a25f-666fd185897e&quot;,&quot;itemData&quot;:{&quot;type&quot;:&quot;article-journal&quot;,&quot;id&quot;:&quot;71fb9d2c-16b8-362f-a25f-666fd185897e&quot;,&quot;title&quot;:&quot;Corporate social responsibility, economic globalization and developing countries A case study of the ready made garments industry in Bangladesh&quot;,&quot;author&quot;:[{&quot;family&quot;:&quot;Haque&quot;,&quot;given&quot;:&quot;Mohammed Ziaul&quot;,&quot;parse-names&quot;:false,&quot;dropping-particle&quot;:&quot;&quot;,&quot;non-dropping-particle&quot;:&quot;&quot;},{&quot;family&quot;:&quot;Azmat&quot;,&quot;given&quot;:&quot;Fara&quot;,&quot;parse-names&quot;:false,&quot;dropping-particle&quot;:&quot;&quot;,&quot;non-dropping-particle&quot;:&quot;&quot;}],&quot;container-title&quot;:&quot; Sustainability accounting, management and policy journal.&quot;,&quot;accessed&quot;:{&quot;date-parts&quot;:[[2022,8,5]]},&quot;issued&quot;:{&quot;date-parts&quot;:[[2015]]},&quot;page&quot;:&quot;166-189&quot;,&quot;abstract&quot;:&quot;Purpose-This paper aims to examine the state of corporate social responsibility (CSR) in labour-intensive industries in developing countries in the context of economic globalization. Using the ready-made garments' (RMG) industry in Bangladesh as a case study, challenges and key issues relating to CSR are highlighted. Design/methodology/approach-The paper draws from the review of existing literature, and the content analysis of two leading newspapers in Bangladesh for a period of one year (to identify the key and contemporary issues related to CSR in the RMG industry. Findings-Findings identify the contemporary issues of concerns associated with CSR in the RMG industry, relating them to the debate on the applicability of Carroll's CSR pyramid to developing countries. The findings suggest that non-compliance of CSR in labour-intensive industries is a function of the nature of economic globalization. The need for a stakeholder approach towards CSR for the profitability and sustainability of this industry is also highlighted. Practical implications-This paper makes contributions to two different but important interrelated discourses on CSR and economic globalization. It also provides insights into the complexity involved in CSR in labour-based export industries in developing countries and acts as a springboard for further research. Originality/value-The paper is the first to look at all major issues of concern regarding CSR in the RMG industry in Bangladesh. As Bangladesh is an exemplar of developing countries and RMG is a typical starter industry, the findings are generalizable to similar industries in other developing countries.&quot;,&quot;issue&quot;:&quot;2&quot;,&quot;volume&quot;:&quot;6&quot;,&quot;container-title-short&quot;:&quot;&quot;},&quot;isTemporary&quot;:false}],&quot;citationTag&quot;:&quot;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&quot;},{&quot;citationID&quot;:&quot;MENDELEY_CITATION_b372a755-5475-4a0e-9c06-bad3e5c55081&quot;,&quot;properties&quot;:{&quot;noteIndex&quot;:0},&quot;isEdited&quot;:false,&quot;manualOverride&quot;:{&quot;isManuallyOverridden&quot;:false,&quot;citeprocText&quot;:&quot;(Christ &lt;i&gt;et al.&lt;/i&gt;, 2019; Islam, 2018)&quot;,&quot;manualOverrideText&quot;:&quot;&quot;},&quot;citationItems&quot;:[{&quot;id&quot;:&quot;f4c3de0f-685d-3d29-8ddd-27a1d2eb1297&quot;,&quot;itemData&quot;:{&quot;type&quot;:&quot;webpage&quot;,&quot;id&quot;:&quot;f4c3de0f-685d-3d29-8ddd-27a1d2eb1297&quot;,&quot;title&quot;:&quot;Tackling Modern Slavery: What Role Can Accountants Play?&quot;,&quot;author&quot;:[{&quot;family&quot;:&quot;Islam&quot;,&quot;given&quot;:&quot;Mohammad Azizul&quot;,&quot;parse-names&quot;:false,&quot;dropping-particle&quot;:&quot;&quot;,&quot;non-dropping-particle&quot;:&quot;&quot;}],&quot;container-title&quot;:&quot;International Federation of Accountants &quot;,&quot;accessed&quot;:{&quot;date-parts&quot;:[[2023,6,6]]},&quot;URL&quot;:&quot;https://www.ifac.org/knowledge-gateway/supporting-international-standards/discussion/tackling-modern-slavery-what-role-can-accountants-play&quot;,&quot;issued&quot;:{&quot;date-parts&quot;:[[2018,2,12]]},&quot;container-title-short&quot;:&quot;&quot;},&quot;isTemporary&quot;:false},{&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citationTag&quot;:&quot;MENDELEY_CITATION_v3_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&quot;},{&quot;citationID&quot;:&quot;MENDELEY_CITATION_b14ae7f6-fdec-4447-be66-873ce045878b&quot;,&quot;properties&quot;:{&quot;noteIndex&quot;:0},&quot;isEdited&quot;:false,&quot;manualOverride&quot;:{&quot;isManuallyOverridden&quot;:false,&quot;citeprocText&quot;:&quot;(Ghai, 2003; ILO, 2009)&quot;,&quot;manualOverrideText&quot;:&quot;&quot;},&quot;citationItems&quot;:[{&quot;id&quot;:&quot;156705e9-ed89-3c5e-bbbc-3214022781f9&quot;,&quot;itemData&quot;:{&quot;type&quot;:&quot;article-journal&quot;,&quot;id&quot;:&quot;156705e9-ed89-3c5e-bbbc-3214022781f9&quot;,&quot;title&quot;:&quot;Decent work: Concept and indicators&quot;,&quot;author&quot;:[{&quot;family&quot;:&quot;Ghai&quot;,&quot;given&quot;:&quot;Dharam&quot;,&quot;parse-names&quot;:false,&quot;dropping-particle&quot;:&quot;&quot;,&quot;non-dropping-particle&quot;:&quot;&quot;}],&quot;container-title&quot;:&quot;International Labour Review&quot;,&quot;container-title-short&quot;:&quot;Int Labour Rev&quot;,&quot;DOI&quot;:&quot;10.1111/j.1564-913X.2003.tb00256.x&quot;,&quot;ISSN&quot;:&quot;00207780&quot;,&quot;issued&quot;:{&quot;date-parts&quot;:[[2003]]},&quot;page&quot;:&quot;113-145&quot;,&quot;publisher&quot;:&quot;International Labour Office&quot;,&quot;issue&quot;:&quot;2&quot;,&quot;volume&quot;:&quot;142&quot;},&quot;isTemporary&quot;:false},{&quot;id&quot;:&quot;d7f77ebd-d63d-3cb7-a31e-243d5cbd0cc5&quot;,&quot;itemData&quot;:{&quot;type&quot;:&quot;webpage&quot;,&quot;id&quot;:&quot;d7f77ebd-d63d-3cb7-a31e-243d5cbd0cc5&quot;,&quot;title&quot;:&quot;Measuring decent work&quot;,&quot;author&quot;:[{&quot;family&quot;:&quot;ILO&quot;,&quot;given&quot;:&quot;&quot;,&quot;parse-names&quot;:false,&quot;dropping-particle&quot;:&quot;&quot;,&quot;non-dropping-particle&quot;:&quot;&quot;}],&quot;accessed&quot;:{&quot;date-parts&quot;:[[2023,9,21]]},&quot;URL&quot;:&quot;https://www.ilo.org/integration/themes/mdw/lang--en/index.htm&quot;,&quot;issued&quot;:{&quot;date-parts&quot;:[[2009]]},&quot;container-title-short&quot;:&quot;&quot;},&quot;isTemporary&quot;:false}],&quot;citationTag&quot;:&quot;MENDELEY_CITATION_v3_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&quot;},{&quot;citationID&quot;:&quot;MENDELEY_CITATION_4c720413-55d3-4102-860f-8e25233b53a4&quot;,&quot;properties&quot;:{&quot;noteIndex&quot;:0},&quot;isEdited&quot;:false,&quot;manualOverride&quot;:{&quot;isManuallyOverridden&quot;:false,&quot;citeprocText&quot;:&quot;(Atupola and Gunarathne, 2022; Gunawardana, 2016; Ruwanpura, 2022)&quot;,&quot;manualOverrideText&quot;:&quot;&quot;},&quot;citationItems&quot;:[{&quot;id&quot;:&quot;684f6341-1118-30dd-952c-e07a62de4a6a&quot;,&quot;itemData&quot;:{&quot;type&quot;:&quot;article-journal&quot;,&quot;id&quot;:&quot;684f6341-1118-30dd-952c-e07a62de4a6a&quot;,&quot;title&quot;:&quot;‘To Finish, We Must Finish’: Everyday Practices of Depletion in Sri Lankan Export-Processing Zones&quot;,&quot;author&quot;:[{&quot;family&quot;:&quot;Gunawardana&quot;,&quot;given&quot;:&quot;Samanthi J.&quot;,&quot;parse-names&quot;:false,&quot;dropping-particle&quot;:&quot;&quot;,&quot;non-dropping-particle&quot;:&quot;&quot;}],&quot;container-title&quot;:&quot;Globalizations&quot;,&quot;container-title-short&quot;:&quot;Globalizations&quot;,&quot;DOI&quot;:&quot;10.1080/14747731.2016.1155341&quot;,&quot;ISSN&quot;:&quot;1474774X&quot;,&quot;issued&quot;:{&quot;date-parts&quot;:[[2016,11,1]]},&quot;page&quot;:&quot;861-875&quot;,&quot;abstract&quot;:&quot;The integrative dynamic between social reproduction (SR) and the market economy is underscored by the everyday experience of what can be termed ‘depletion’ for many women in the Global South. Drawing upon case study material from Sri Lanka, this paper focuses on migration decisions to work in export-processing zones (EPZs) and everyday production processes. It shows how workplaces are sites of depletion. Depletion reproduces the processes of disposability in global factories. Relations of SR are also reproduced in the factory. Affecting body and mind, depletion flourishes in environments without recourse to adequate inputs that maintain well-being including, but not limited to, leisure and rest, adequate wages, freedom of association, adequate nutrition, housing, and job security. In Sri Lanka, migration to EPZs was prompted by a crisis in SR and lack of inflows to sustain the well-being of women and households. Such workplaces are also an everyday day element of the global political economy, enacted upon gendered bodies, fuelling a cycle of gendered harm through the reproduction of disposability.&quot;,&quot;publisher&quot;:&quot;Routledge&quot;,&quot;issue&quot;:&quot;6&quot;,&quot;volume&quot;:&quot;13&quot;},&quot;isTemporary&quot;:false},{&quot;id&quot;:&quot;ae37ff02-993b-38d7-b01f-447db5886e0e&quot;,&quot;itemData&quot;:{&quot;type&quot;:&quot;article-journal&quot;,&quot;id&quot;:&quot;ae37ff02-993b-38d7-b01f-447db5886e0e&quot;,&quot;title&quot;:&quot;Institutional pressures for corporate biodiversity management practices in the plantation sector: Evidence from the tea industry in Sri Lanka&quot;,&quot;author&quot;:[{&quot;family&quot;:&quot;Atupola&quot;,&quot;given&quot;:&quot;Upekha&quot;,&quot;parse-names&quot;:false,&quot;dropping-particle&quot;:&quot;&quot;,&quot;non-dropping-particle&quot;:&quot;&quot;},{&quot;family&quot;:&quot;Gunarathne&quot;,&quot;given&quot;:&quot;Nuwan&quot;,&quot;parse-names&quot;:false,&quot;dropping-particle&quot;:&quot;&quot;,&quot;non-dropping-particle&quot;:&quot;&quot;}],&quot;container-title&quot;:&quot;Business Strategy and the Environment&quot;,&quot;container-title-short&quot;:&quot;Bus Strategy Environ&quot;,&quot;ISSN&quot;:&quot;10990836&quot;,&quot;issued&quot;:{&quot;date-parts&quot;:[[2022]]},&quot;abstract&quot;:&quot;Plantation companies face growing regulatory and stakeholder pressures to conserve biodiversity in their business operations. However, their responses to these institutional pressures remain largely unexplored, particularly in sectors such as tea. This study aims to identify the institutional factors influencing corporate biodiversity management in Sri Lankan tea plantation companies and how such influences are translated into organizational practices. The data gathered using multiple sources, including interviews, field visits and document analysis, were analysed using institutional theory. The study reveals that regulatory influence and certification standards have significantly shaped biodiversity management practices, leading to structural- and field-level changes within tea plantation companies. The tea companies' conservation initiatives have been institutionalized with homogeneous characteristics at the managerial level. However, in the actual practice, institutional pressures have been translated into many heterogeneous practices at the field-level due to the numerous ways in which ideas disembed, travel and reembed across different organizational levels and are implemented by operational staff in a variety of ways.&quot;},&quot;isTemporary&quot;:false},{&quot;id&quot;:&quot;c71c1770-4c26-3abf-a84f-c01a5f6c6946&quot;,&quot;itemData&quot;:{&quot;type&quot;:&quot;book&quot;,&quot;id&quot;:&quot;c71c1770-4c26-3abf-a84f-c01a5f6c6946&quot;,&quot;title&quot;:&quot;Garments without guilt? : global labour justice and ethical codes in Sri Lankan apparels&quot;,&quot;author&quot;:[{&quot;family&quot;:&quot;Ruwanpura&quot;,&quot;given&quot;:&quot;Kanchana N..&quot;,&quot;parse-names&quot;:false,&quot;dropping-particle&quot;:&quot;&quot;,&quot;non-dropping-particle&quot;:&quot;&quot;}],&quot;ISBN&quot;:&quot;9781108832014&quot;,&quot;issued&quot;:{&quot;date-parts&quot;:[[2022]]},&quot;number-of-pages&quot;:&quot;198&quot;,&quot;abstract&quot;:&quot;\&quot;This book explores the ways in which labour struggles in the post-1977 period provided important resistance to capitalist processes and continue to shape the industry both within and outside of the shop floor. It studies contextual moments in the history of Sri Lanka to rupture the dominant narrative and bring out the centrality of labour for the success of the country's apparel industry. It argues that speaking about producing guilt free garments requires a greater attentiveness to the voice and struggles of labour. It works to bring out the \&quot;exceptionality\&quot; of Sri Lanka's apparel industry and the ways in which it upholds of ethical codes of conduct, particularly from the viewpoint of labour. The book will contribute to debates on ethical codes and labour politics in the global South, and do so within the contemporary neoliberal milieu of corporate governance regimes. It will also speak to debates on the advent of neoliberalism and labour politics by studying the ways in which labour has challenged, shaped and resisted capitalism and capitalist processes within the apparel sector\&quot;-- Provided by publisher. Introduction: global labour justice via ethical codes -- Labouring for apparels: labour geographies and feminist inflections -- Fieldwork: prolonged phases and multiple moments -- Clothing the world, guilt free? Sri Lanka's apparel landscape -- Neglected labour histories: the Sri Lankan state responds to labour -- Ethicality with a blind eye? Ethical code practices at production sites -- From war to work: ethicality amidst post-war trauma? -- Concluding thoughts: grounded governance?&quot;,&quot;edition&quot;:&quot;1&quot;,&quot;publisher&quot;:&quot;Cambridge University Press&quot;,&quot;container-title-short&quot;:&quot;&quot;},&quot;isTemporary&quot;:false}],&quot;citationTag&quot;:&quot;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&quot;},{&quot;citationID&quot;:&quot;MENDELEY_CITATION_3c0ec30f-7bf5-4548-bb0e-b7f84709a1c6&quot;,&quot;properties&quot;:{&quot;noteIndex&quot;:0},&quot;isEdited&quot;:false,&quot;manualOverride&quot;:{&quot;isManuallyOverridden&quot;:false,&quot;citeprocText&quot;:&quot;(Bromley and Powell, 2012; García-Sánchez &lt;i&gt;et al.&lt;/i&gt;, 2022)&quot;,&quot;manualOverrideText&quot;:&quot;&quot;},&quot;citationItems&quot;:[{&quot;id&quot;:&quot;8b6df0d7-d24c-3eb9-8246-e52c0f324f08&quot;,&quot;itemData&quot;:{&quot;type&quot;:&quot;article-journal&quot;,&quot;id&quot;:&quot;8b6df0d7-d24c-3eb9-8246-e52c0f324f08&quot;,&quot;title&quot;:&quot;Assurance of corporate social responsibility reports: Does it reduce decoupling practices?&quot;,&quot;author&quot;:[{&quot;family&quot;:&quot;García-Sánchez&quot;,&quot;given&quot;:&quot;Isabel María&quot;,&quot;parse-names&quot;:false,&quot;dropping-particle&quot;:&quot;&quot;,&quot;non-dropping-particle&quot;:&quot;&quot;},{&quot;family&quot;:&quot;Hussain&quot;,&quot;given&quot;:&quot;Nazim&quot;,&quot;parse-names&quot;:false,&quot;dropping-particle&quot;:&quot;&quot;,&quot;non-dropping-particle&quot;:&quot;&quot;},{&quot;family&quot;:&quot;Aibar-Guzmán&quot;,&quot;given&quot;:&quot;Cristina&quot;,&quot;parse-names&quot;:false,&quot;dropping-particle&quot;:&quot;&quot;,&quot;non-dropping-particle&quot;:&quot;&quot;},{&quot;family&quot;:&quot;Aibar-Guzmán&quot;,&quot;given&quot;:&quot;Beatriz&quot;,&quot;parse-names&quot;:false,&quot;dropping-particle&quot;:&quot;&quot;,&quot;non-dropping-particle&quot;:&quot;&quot;}],&quot;container-title&quot;:&quot;Business Ethics, Environment and Responsibility&quot;,&quot;DOI&quot;:&quot;10.1111/beer.12394&quot;,&quot;ISSN&quot;:&quot;26946424&quot;,&quot;issued&quot;:{&quot;date-parts&quot;:[[2022,1,1]]},&quot;page&quot;:&quot;118-138&quot;,&quot;abstract&quot;:&quot;Recent research shows the existence of a selective corporate social responsibility (CSR) disclosure strategy that creates a gap between CSR disclosure and actual performance. These CSR decoupling practices compromise the credibility of CSR reports and have triggered a demand for the adoption of credibility enhancement mechanisms, such as adherence to the global reporting initiative (GRI) reporting guidelines, and the external assurance of CSR reports. The effectiveness of such mechanisms is not clear, however. This paper draws on legitimacy theory and addresses the issue of symbolic versus substantive use of assurance, and compliance with GRI reporting standards, by analysing their effect on CSR decoupling using an international sample of 1,939 companies (15,219 observations from 2002 to 2017). Analysis of a sub-sample of 708 firms (3,730 observations from 2011 to 2017) also shows that the application of GRI guidelines and the specific characteristics of the assurance provider—accountant, experience and specialisation—reduce CSR decoupling practices. The results provide researchers, managers, assurance providers, investors, stakeholders and regulators with additional insight into the value of the external assurance of sustainability reports and have important managerial and policy implications.&quot;,&quot;publisher&quot;:&quot;John Wiley and Sons Inc&quot;,&quot;issue&quot;:&quot;1&quot;,&quot;volume&quot;:&quot;31&quot;,&quot;container-title-short&quot;:&quot;&quot;},&quot;isTemporary&quot;:false},{&quot;id&quot;:&quot;5531e69e-dbc6-35b3-8d8f-8a6632e7bee9&quot;,&quot;itemData&quot;:{&quot;type&quot;:&quot;article-journal&quot;,&quot;id&quot;:&quot;5531e69e-dbc6-35b3-8d8f-8a6632e7bee9&quot;,&quot;title&quot;:&quot;From Smoke and Mirrors to Walking the Talk: Decoupling in the Contemporary World&quot;,&quot;author&quot;:[{&quot;family&quot;:&quot;Bromley&quot;,&quot;given&quot;:&quot;Patricia&quot;,&quot;parse-names&quot;:false,&quot;dropping-particle&quot;:&quot;&quot;,&quot;non-dropping-particle&quot;:&quot;&quot;},{&quot;family&quot;:&quot;Powell&quot;,&quot;given&quot;:&quot;Walter W.&quot;,&quot;parse-names&quot;:false,&quot;dropping-particle&quot;:&quot;&quot;,&quot;non-dropping-particle&quot;:&quot;&quot;}],&quot;container-title&quot;:&quot;Academy of Management Annals&quot;,&quot;DOI&quot;:&quot;10.5465/19416520.2012.684462&quot;,&quot;ISSN&quot;:&quot;1941-6520&quot;,&quot;issued&quot;:{&quot;date-parts&quot;:[[2012,6]]},&quot;page&quot;:&quot;483-530&quot;,&quot;abstract&quot;:&quot;The pervasive spread of rationalizing trends in society, such as the growing influence of managerial sciences and increasing emphases on accountability and transparency, has created significant cha...&quot;,&quot;publisher&quot;:&quot;Academy of Management&quot;,&quot;issue&quot;:&quot;1&quot;,&quot;volume&quot;:&quot;6&quot;,&quot;container-title-short&quot;:&quot;&quot;},&quot;isTemporary&quot;:false}],&quot;citationTag&quot;:&quot;MENDELEY_CITATION_v3_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&quot;},{&quot;citationID&quot;:&quot;MENDELEY_CITATION_8256edc7-5a0b-4991-9b93-e515e6cf16aa&quot;,&quot;properties&quot;:{&quot;noteIndex&quot;:0},&quot;isEdited&quot;:false,&quot;manualOverride&quot;:{&quot;isManuallyOverridden&quot;:false,&quot;citeprocText&quot;:&quot;(Creswell, 2014)&quot;,&quot;manualOverrideText&quot;:&quot;&quot;},&quot;citationItems&quot;:[{&quot;id&quot;:&quot;d268c94b-ad95-3170-8ee7-927e2975029c&quot;,&quot;itemData&quot;:{&quot;type&quot;:&quot;book&quot;,&quot;id&quot;:&quot;d268c94b-ad95-3170-8ee7-927e2975029c&quot;,&quot;title&quot;:&quot;Research design: Qualitative, quantitative, and mixed methods approaches&quot;,&quot;author&quot;:[{&quot;family&quot;:&quot;Creswell&quot;,&quot;given&quot;:&quot;J. W&quot;,&quot;parse-names&quot;:false,&quot;dropping-particle&quot;:&quot;&quot;,&quot;non-dropping-particle&quot;:&quot;&quot;}],&quot;issued&quot;:{&quot;date-parts&quot;:[[2014]]},&quot;publisher-place&quot;:&quot;London&quot;,&quot;number-of-pages&quot;:&quot;1-265&quot;,&quot;edition&quot;:&quot;4&quot;,&quot;publisher&quot;:&quot;Sage Publications.&quot;,&quot;container-title-short&quot;:&quot;&quot;},&quot;isTemporary&quot;:false}],&quot;citationTag&quot;:&quot;MENDELEY_CITATION_v3_eyJjaXRhdGlvbklEIjoiTUVOREVMRVlfQ0lUQVRJT05fODI1NmVkYzctNWEwYi00OTkxLTliOTMtZTUxNWU2Y2YxNmFhIiwicHJvcGVydGllcyI6eyJub3RlSW5kZXgiOjB9LCJpc0VkaXRlZCI6ZmFsc2UsIm1hbnVhbE92ZXJyaWRlIjp7ImlzTWFudWFsbHlPdmVycmlkZGVuIjpmYWxzZSwiY2l0ZXByb2NUZXh0IjoiKENyZXN3ZWxsLCAyMDE0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1dfQ==&quot;},{&quot;citationID&quot;:&quot;MENDELEY_CITATION_cd9ed0e0-9979-4d75-942e-a3b97347086f&quot;,&quot;properties&quot;:{&quot;noteIndex&quot;:0},&quot;isEdited&quot;:false,&quot;manualOverride&quot;:{&quot;isManuallyOverridden&quot;:true,&quot;citeprocText&quot;:&quot;(Burrell and Morgan, 1976)&quot;,&quot;manualOverrideText&quot;:&quot;Burrell and Morgan's (1976)&quot;},&quot;citationItems&quot;:[{&quot;id&quot;:&quot;d11748b1-5dff-3c83-836f-208e95714cf0&quot;,&quot;itemData&quot;:{&quot;type&quot;:&quot;book&quot;,&quot;id&quot;:&quot;d11748b1-5dff-3c83-836f-208e95714cf0&quot;,&quot;title&quot;:&quot;Sociological Paradigms and Organizational Analysis Elements of the Sociology of Corporate Life&quot;,&quot;author&quot;:[{&quot;family&quot;:&quot;Burrell&quot;,&quot;given&quot;:&quot;Gibson&quot;,&quot;parse-names&quot;:false,&quot;dropping-particle&quot;:&quot;&quot;,&quot;non-dropping-particle&quot;:&quot;&quot;},{&quot;family&quot;:&quot;Morgan&quot;,&quot;given&quot;:&quot;Gareth&quot;,&quot;parse-names&quot;:false,&quot;dropping-particle&quot;:&quot;&quot;,&quot;non-dropping-particle&quot;:&quot;&quot;}],&quot;issued&quot;:{&quot;date-parts&quot;:[[1976]]},&quot;publisher-place&quot;:&quot; Gower&quot;,&quot;publisher&quot;:&quot;Aldershot&quot;,&quot;container-title-short&quot;:&quot;&quot;},&quot;isTemporary&quot;:false}],&quot;citationTag&quot;:&quot;MENDELEY_CITATION_v3_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&quot;},{&quot;citationID&quot;:&quot;MENDELEY_CITATION_a2f0198a-7200-4d47-b8a2-fb5e10d3338a&quot;,&quot;properties&quot;:{&quot;noteIndex&quot;:0},&quot;isEdited&quot;:false,&quot;manualOverride&quot;:{&quot;isManuallyOverridden&quot;:false,&quot;citeprocText&quot;:&quot;(Burrell and Morgan, 1976; Saunders &lt;i&gt;et al.&lt;/i&gt;, 2009)&quot;,&quot;manualOverrideText&quot;:&quot;&quot;},&quot;citationItems&quot;:[{&quot;id&quot;:&quot;d11748b1-5dff-3c83-836f-208e95714cf0&quot;,&quot;itemData&quot;:{&quot;type&quot;:&quot;book&quot;,&quot;id&quot;:&quot;d11748b1-5dff-3c83-836f-208e95714cf0&quot;,&quot;title&quot;:&quot;Sociological Paradigms and Organizational Analysis Elements of the Sociology of Corporate Life&quot;,&quot;author&quot;:[{&quot;family&quot;:&quot;Burrell&quot;,&quot;given&quot;:&quot;Gibson&quot;,&quot;parse-names&quot;:false,&quot;dropping-particle&quot;:&quot;&quot;,&quot;non-dropping-particle&quot;:&quot;&quot;},{&quot;family&quot;:&quot;Morgan&quot;,&quot;given&quot;:&quot;Gareth&quot;,&quot;parse-names&quot;:false,&quot;dropping-particle&quot;:&quot;&quot;,&quot;non-dropping-particle&quot;:&quot;&quot;}],&quot;issued&quot;:{&quot;date-parts&quot;:[[1976]]},&quot;publisher-place&quot;:&quot; Gower&quot;,&quot;publisher&quot;:&quot;Aldershot&quot;,&quot;container-title-short&quot;:&quot;&quot;},&quot;isTemporary&quot;:false},{&quot;id&quot;:&quot;6c531ca2-91c1-3350-bdb2-bb0c73c85b44&quot;,&quot;itemData&quot;:{&quot;type&quot;:&quot;book&quot;,&quot;id&quot;:&quot;6c531ca2-91c1-3350-bdb2-bb0c73c85b44&quot;,&quot;title&quot;:&quot;Research methods for business students&quot;,&quot;author&quot;:[{&quot;family&quot;:&quot;Saunders&quot;,&quot;given&quot;:&quot;Mar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family&quot;:&quot;Lewis&quot;,&quot;given&quot;:&quot;Saunders •&quot;,&quot;parse-names&quot;:false,&quot;dropping-particle&quot;:&quot;&quot;,&quot;non-dropping-particle&quot;:&quot;&quot;},{&quot;family&quot;:&quot;Thornhill&quot;,&quot;given&quot;:&quot;•&quot;,&quot;parse-names&quot;:false,&quot;dropping-particle&quot;:&quot;&quot;,&quot;non-dropping-particle&quot;:&quot;&quot;}],&quot;editor&quot;:[{&quot;family&quot;:&quot;Mark Saunders&quot;,&quot;given&quot;:&quot;&quot;,&quot;parse-names&quot;:false,&quot;dropping-particle&quot;:&quot;&quot;,&quot;non-dropping-particle&quot;:&quot;&quot;},{&quot;family&quot;:&quot;Philip Lewis&quot;,&quot;given&quot;:&quot;&quot;,&quot;parse-names&quot;:false,&quot;dropping-particle&quot;:&quot;&quot;,&quot;non-dropping-particle&quot;:&quot;&quot;},{&quot;family&quot;:&quot;Adrian Thornhill&quot;,&quot;given&quot;:&quot;&quot;,&quot;parse-names&quot;:false,&quot;dropping-particle&quot;:&quot;&quot;,&quot;non-dropping-particle&quot;:&quot;&quot;}],&quot;URL&quot;:&quot;www.pearsoned.co.uk&quot;,&quot;issued&quot;:{&quot;date-parts&quot;:[[2009]]},&quot;publisher-place&quot;:&quot;Essex&quot;,&quot;edition&quot;:&quot;5&quot;,&quot;publisher&quot;:&quot;Person Education&quot;,&quot;container-title-short&quot;:&quot;&quot;},&quot;isTemporary&quot;:false}],&quot;citationTag&quot;:&quot;MENDELEY_CITATION_v3_eyJjaXRhdGlvbklEIjoiTUVOREVMRVlfQ0lUQVRJT05fYTJmMDE5OGEtNzIwMC00ZDQ3LWI4YTItZmI1ZTEwZDMzMzhhIiwicHJvcGVydGllcyI6eyJub3RlSW5kZXgiOjB9LCJpc0VkaXRlZCI6ZmFsc2UsIm1hbnVhbE92ZXJyaWRlIjp7ImlzTWFudWFsbHlPdmVycmlkZGVuIjpmYWxzZSwiY2l0ZXByb2NUZXh0IjoiKEJ1cnJlbGwgYW5kIE1vcmdhbiwgMTk3NjsgU2F1bmRlcnMgPGk+ZXQgYWwuPC9pPiwgMjAwO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quot;},{&quot;citationID&quot;:&quot;MENDELEY_CITATION_a2f0198a-7200-4d47-b8a2-fb5e10d3338a&quot;,&quot;properties&quot;:{&quot;noteIndex&quot;:0},&quot;isEdited&quot;:false,&quot;manualOverride&quot;:{&quot;isManuallyOverridden&quot;:false,&quot;citeprocText&quot;:&quot;(Burrell and Morgan, 1976; Saunders &lt;i&gt;et al.&lt;/i&gt;, 2009)&quot;,&quot;manualOverrideText&quot;:&quot;&quot;},&quot;citationItems&quot;:[{&quot;id&quot;:&quot;d11748b1-5dff-3c83-836f-208e95714cf0&quot;,&quot;itemData&quot;:{&quot;type&quot;:&quot;book&quot;,&quot;id&quot;:&quot;d11748b1-5dff-3c83-836f-208e95714cf0&quot;,&quot;title&quot;:&quot;Sociological Paradigms and Organizational Analysis Elements of the Sociology of Corporate Life&quot;,&quot;author&quot;:[{&quot;family&quot;:&quot;Burrell&quot;,&quot;given&quot;:&quot;Gibson&quot;,&quot;parse-names&quot;:false,&quot;dropping-particle&quot;:&quot;&quot;,&quot;non-dropping-particle&quot;:&quot;&quot;},{&quot;family&quot;:&quot;Morgan&quot;,&quot;given&quot;:&quot;Gareth&quot;,&quot;parse-names&quot;:false,&quot;dropping-particle&quot;:&quot;&quot;,&quot;non-dropping-particle&quot;:&quot;&quot;}],&quot;issued&quot;:{&quot;date-parts&quot;:[[1976]]},&quot;publisher-place&quot;:&quot; Gower&quot;,&quot;publisher&quot;:&quot;Aldershot&quot;,&quot;container-title-short&quot;:&quot;&quot;},&quot;isTemporary&quot;:false},{&quot;id&quot;:&quot;6c531ca2-91c1-3350-bdb2-bb0c73c85b44&quot;,&quot;itemData&quot;:{&quot;type&quot;:&quot;book&quot;,&quot;id&quot;:&quot;6c531ca2-91c1-3350-bdb2-bb0c73c85b44&quot;,&quot;title&quot;:&quot;Research methods for business students&quot;,&quot;author&quot;:[{&quot;family&quot;:&quot;Saunders&quot;,&quot;given&quot;:&quot;Mar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family&quot;:&quot;Lewis&quot;,&quot;given&quot;:&quot;Saunders •&quot;,&quot;parse-names&quot;:false,&quot;dropping-particle&quot;:&quot;&quot;,&quot;non-dropping-particle&quot;:&quot;&quot;},{&quot;family&quot;:&quot;Thornhill&quot;,&quot;given&quot;:&quot;•&quot;,&quot;parse-names&quot;:false,&quot;dropping-particle&quot;:&quot;&quot;,&quot;non-dropping-particle&quot;:&quot;&quot;}],&quot;editor&quot;:[{&quot;family&quot;:&quot;Mark Saunders&quot;,&quot;given&quot;:&quot;&quot;,&quot;parse-names&quot;:false,&quot;dropping-particle&quot;:&quot;&quot;,&quot;non-dropping-particle&quot;:&quot;&quot;},{&quot;family&quot;:&quot;Philip Lewis&quot;,&quot;given&quot;:&quot;&quot;,&quot;parse-names&quot;:false,&quot;dropping-particle&quot;:&quot;&quot;,&quot;non-dropping-particle&quot;:&quot;&quot;},{&quot;family&quot;:&quot;Adrian Thornhill&quot;,&quot;given&quot;:&quot;&quot;,&quot;parse-names&quot;:false,&quot;dropping-particle&quot;:&quot;&quot;,&quot;non-dropping-particle&quot;:&quot;&quot;}],&quot;URL&quot;:&quot;www.pearsoned.co.uk&quot;,&quot;issued&quot;:{&quot;date-parts&quot;:[[2009]]},&quot;publisher-place&quot;:&quot;Essex&quot;,&quot;edition&quot;:&quot;5&quot;,&quot;publisher&quot;:&quot;Person Education&quot;,&quot;container-title-short&quot;:&quot;&quot;},&quot;isTemporary&quot;:false}],&quot;citationTag&quot;:&quot;MENDELEY_CITATION_v3_eyJjaXRhdGlvbklEIjoiTUVOREVMRVlfQ0lUQVRJT05fYTJmMDE5OGEtNzIwMC00ZDQ3LWI4YTItZmI1ZTEwZDMzMzhhIiwicHJvcGVydGllcyI6eyJub3RlSW5kZXgiOjB9LCJpc0VkaXRlZCI6ZmFsc2UsIm1hbnVhbE92ZXJyaWRlIjp7ImlzTWFudWFsbHlPdmVycmlkZGVuIjpmYWxzZSwiY2l0ZXByb2NUZXh0IjoiKEJ1cnJlbGwgYW5kIE1vcmdhbiwgMTk3NjsgU2F1bmRlcnMgPGk+ZXQgYWwuPC9pPiwgMjAwO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quot;},{&quot;citationID&quot;:&quot;MENDELEY_CITATION_a2f0198a-7200-4d47-b8a2-fb5e10d3338a&quot;,&quot;properties&quot;:{&quot;noteIndex&quot;:0},&quot;isEdited&quot;:false,&quot;manualOverride&quot;:{&quot;isManuallyOverridden&quot;:false,&quot;citeprocText&quot;:&quot;(Burrell and Morgan, 1976; Saunders &lt;i&gt;et al.&lt;/i&gt;, 2009)&quot;,&quot;manualOverrideText&quot;:&quot;&quot;},&quot;citationItems&quot;:[{&quot;id&quot;:&quot;d11748b1-5dff-3c83-836f-208e95714cf0&quot;,&quot;itemData&quot;:{&quot;type&quot;:&quot;book&quot;,&quot;id&quot;:&quot;d11748b1-5dff-3c83-836f-208e95714cf0&quot;,&quot;title&quot;:&quot;Sociological Paradigms and Organizational Analysis Elements of the Sociology of Corporate Life&quot;,&quot;author&quot;:[{&quot;family&quot;:&quot;Burrell&quot;,&quot;given&quot;:&quot;Gibson&quot;,&quot;parse-names&quot;:false,&quot;dropping-particle&quot;:&quot;&quot;,&quot;non-dropping-particle&quot;:&quot;&quot;},{&quot;family&quot;:&quot;Morgan&quot;,&quot;given&quot;:&quot;Gareth&quot;,&quot;parse-names&quot;:false,&quot;dropping-particle&quot;:&quot;&quot;,&quot;non-dropping-particle&quot;:&quot;&quot;}],&quot;issued&quot;:{&quot;date-parts&quot;:[[1976]]},&quot;publisher-place&quot;:&quot; Gower&quot;,&quot;publisher&quot;:&quot;Aldershot&quot;,&quot;container-title-short&quot;:&quot;&quot;},&quot;isTemporary&quot;:false},{&quot;id&quot;:&quot;6c531ca2-91c1-3350-bdb2-bb0c73c85b44&quot;,&quot;itemData&quot;:{&quot;type&quot;:&quot;book&quot;,&quot;id&quot;:&quot;6c531ca2-91c1-3350-bdb2-bb0c73c85b44&quot;,&quot;title&quot;:&quot;Research methods for business students&quot;,&quot;author&quot;:[{&quot;family&quot;:&quot;Saunders&quot;,&quot;given&quot;:&quot;Mar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family&quot;:&quot;Lewis&quot;,&quot;given&quot;:&quot;Saunders •&quot;,&quot;parse-names&quot;:false,&quot;dropping-particle&quot;:&quot;&quot;,&quot;non-dropping-particle&quot;:&quot;&quot;},{&quot;family&quot;:&quot;Thornhill&quot;,&quot;given&quot;:&quot;•&quot;,&quot;parse-names&quot;:false,&quot;dropping-particle&quot;:&quot;&quot;,&quot;non-dropping-particle&quot;:&quot;&quot;}],&quot;editor&quot;:[{&quot;family&quot;:&quot;Mark Saunders&quot;,&quot;given&quot;:&quot;&quot;,&quot;parse-names&quot;:false,&quot;dropping-particle&quot;:&quot;&quot;,&quot;non-dropping-particle&quot;:&quot;&quot;},{&quot;family&quot;:&quot;Philip Lewis&quot;,&quot;given&quot;:&quot;&quot;,&quot;parse-names&quot;:false,&quot;dropping-particle&quot;:&quot;&quot;,&quot;non-dropping-particle&quot;:&quot;&quot;},{&quot;family&quot;:&quot;Adrian Thornhill&quot;,&quot;given&quot;:&quot;&quot;,&quot;parse-names&quot;:false,&quot;dropping-particle&quot;:&quot;&quot;,&quot;non-dropping-particle&quot;:&quot;&quot;}],&quot;URL&quot;:&quot;www.pearsoned.co.uk&quot;,&quot;issued&quot;:{&quot;date-parts&quot;:[[2009]]},&quot;publisher-place&quot;:&quot;Essex&quot;,&quot;edition&quot;:&quot;5&quot;,&quot;publisher&quot;:&quot;Person Education&quot;,&quot;container-title-short&quot;:&quot;&quot;},&quot;isTemporary&quot;:false}],&quot;citationTag&quot;:&quot;MENDELEY_CITATION_v3_eyJjaXRhdGlvbklEIjoiTUVOREVMRVlfQ0lUQVRJT05fYTJmMDE5OGEtNzIwMC00ZDQ3LWI4YTItZmI1ZTEwZDMzMzhhIiwicHJvcGVydGllcyI6eyJub3RlSW5kZXgiOjB9LCJpc0VkaXRlZCI6ZmFsc2UsIm1hbnVhbE92ZXJyaWRlIjp7ImlzTWFudWFsbHlPdmVycmlkZGVuIjpmYWxzZSwiY2l0ZXByb2NUZXh0IjoiKEJ1cnJlbGwgYW5kIE1vcmdhbiwgMTk3NjsgU2F1bmRlcnMgPGk+ZXQgYWwuPC9pPiwgMjAwO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quot;},{&quot;citationID&quot;:&quot;MENDELEY_CITATION_c7074670-a131-4f60-bc40-47ce76f8921a&quot;,&quot;properties&quot;:{&quot;noteIndex&quot;:0},&quot;isEdited&quot;:false,&quot;manualOverride&quot;:{&quot;isManuallyOverridden&quot;:false,&quot;citeprocText&quot;:&quot;(Creswell and Plano, 2018; Morgan, 2007)&quot;,&quot;manualOverrideText&quot;:&quot;&quot;},&quot;citationItems&quot;:[{&quot;id&quot;:&quot;41d99cd2-c797-3619-a6ec-866b9d71ffcf&quot;,&quot;itemData&quot;:{&quot;type&quot;:&quot;article-journal&quot;,&quot;id&quot;:&quot;41d99cd2-c797-3619-a6ec-866b9d71ffcf&quot;,&quot;title&quot;:&quot;Paradigms Lost and Pragmatism Regained: Methodological Implications of Combining Qualitative and Quantitative Methods&quot;,&quot;author&quot;:[{&quot;family&quot;:&quot;Morgan&quot;,&quot;given&quot;:&quot;David L.&quot;,&quot;parse-names&quot;:false,&quot;dropping-particle&quot;:&quot;&quot;,&quot;non-dropping-particle&quot;:&quot;&quot;}],&quot;container-title&quot;:&quot;Journal of Mixed Methods Research&quot;,&quot;container-title-short&quot;:&quot;J Mix Methods Res&quot;,&quot;DOI&quot;:&quot;10.1177/2345678906292462&quot;,&quot;ISSN&quot;:&quot;15586901&quot;,&quot;issued&quot;:{&quot;date-parts&quot;:[[2007]]},&quot;page&quot;:&quot;48-76&quot;,&quot;abstract&quot;:&quot;This article examines several methodological issues associated with combining qualitative and quantitative methods by comparing the increasing interest in this topic with the earlier renewal of interest in qualitative research during the 1980s. The first section argues for the value of Kuhn’s concept of paradigm shifts as a tool for examining changes in research fields such as social science research methodology. The next two sections consider the initial rise of the “metaphysical paradigm” that justified the renewed interest in qualitative research and the subsequent problems that have encouraged efforts to replace that paradigm. The final section of the paper advocates a “pragmatic approach” as a new guiding paradigm in social science research methods, both as a basis for supporting work that combines qualitative and quantitative methods and as a way to redirect our attention to methodological rather than metaphysical concerns. © 2007, SAGE Publications. All rights reserved.&quot;,&quot;issue&quot;:&quot;1&quot;,&quot;volume&quot;:&quot;1&quot;},&quot;isTemporary&quot;:false},{&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YzcwNzQ2NzAtYTEzMS00ZjYwLWJjNDAtNDdjZTc2Zjg5MjFhIiwicHJvcGVydGllcyI6eyJub3RlSW5kZXgiOjB9LCJpc0VkaXRlZCI6ZmFsc2UsIm1hbnVhbE92ZXJyaWRlIjp7ImlzTWFudWFsbHlPdmVycmlkZGVuIjpmYWxzZSwiY2l0ZXByb2NUZXh0IjoiKENyZXN3ZWxsIGFuZCBQbGFubywgMjAxODsgTW9yZ2FuLCAyMDA3KSIsIm1hbnVhbE92ZXJyaWRlVGV4dCI6IiJ9LCJjaXRhdGlvbkl0ZW1zIjpbeyJpZCI6IjQxZDk5Y2QyLWM3OTctMzYxOS1hNmVjLTg2NmI5ZDcxZmZjZiIsIml0ZW1EYXRhIjp7InR5cGUiOiJhcnRpY2xlLWpvdXJuYWwiLCJpZCI6IjQxZDk5Y2QyLWM3OTctMzYxOS1hNmVjLTg2NmI5ZDcxZmZjZi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XX0=&quot;},{&quot;citationID&quot;:&quot;MENDELEY_CITATION_447f3754-e2a6-4544-9c9e-d72d207673a1&quot;,&quot;properties&quot;:{&quot;noteIndex&quot;:0},&quot;isEdited&quot;:false,&quot;manualOverride&quot;:{&quot;isManuallyOverridden&quot;:false,&quot;citeprocText&quot;:&quot;(Burrell and Morgan, 1976; Saunders &lt;i&gt;et al.&lt;/i&gt;, 2009)&quot;,&quot;manualOverrideText&quot;:&quot;&quot;},&quot;citationItems&quot;:[{&quot;id&quot;:&quot;d11748b1-5dff-3c83-836f-208e95714cf0&quot;,&quot;itemData&quot;:{&quot;type&quot;:&quot;book&quot;,&quot;id&quot;:&quot;d11748b1-5dff-3c83-836f-208e95714cf0&quot;,&quot;title&quot;:&quot;Sociological Paradigms and Organizational Analysis Elements of the Sociology of Corporate Life&quot;,&quot;author&quot;:[{&quot;family&quot;:&quot;Burrell&quot;,&quot;given&quot;:&quot;Gibson&quot;,&quot;parse-names&quot;:false,&quot;dropping-particle&quot;:&quot;&quot;,&quot;non-dropping-particle&quot;:&quot;&quot;},{&quot;family&quot;:&quot;Morgan&quot;,&quot;given&quot;:&quot;Gareth&quot;,&quot;parse-names&quot;:false,&quot;dropping-particle&quot;:&quot;&quot;,&quot;non-dropping-particle&quot;:&quot;&quot;}],&quot;issued&quot;:{&quot;date-parts&quot;:[[1976]]},&quot;publisher-place&quot;:&quot; Gower&quot;,&quot;publisher&quot;:&quot;Aldershot&quot;,&quot;container-title-short&quot;:&quot;&quot;},&quot;isTemporary&quot;:false},{&quot;id&quot;:&quot;6c531ca2-91c1-3350-bdb2-bb0c73c85b44&quot;,&quot;itemData&quot;:{&quot;type&quot;:&quot;book&quot;,&quot;id&quot;:&quot;6c531ca2-91c1-3350-bdb2-bb0c73c85b44&quot;,&quot;title&quot;:&quot;Research methods for business students&quot;,&quot;author&quot;:[{&quot;family&quot;:&quot;Saunders&quot;,&quot;given&quot;:&quot;Mark&quot;,&quot;parse-names&quot;:false,&quot;dropping-particle&quot;:&quot;&quot;,&quot;non-dropping-particle&quot;:&quot;&quot;},{&quot;family&quot;:&quot;Lewis&quot;,&quot;given&quot;:&quot;Philip&quot;,&quot;parse-names&quot;:false,&quot;dropping-particle&quot;:&quot;&quot;,&quot;non-dropping-particle&quot;:&quot;&quot;},{&quot;family&quot;:&quot;Thornhill&quot;,&quot;given&quot;:&quot;Adrian&quot;,&quot;parse-names&quot;:false,&quot;dropping-particle&quot;:&quot;&quot;,&quot;non-dropping-particle&quot;:&quot;&quot;},{&quot;family&quot;:&quot;Lewis&quot;,&quot;given&quot;:&quot;Saunders •&quot;,&quot;parse-names&quot;:false,&quot;dropping-particle&quot;:&quot;&quot;,&quot;non-dropping-particle&quot;:&quot;&quot;},{&quot;family&quot;:&quot;Thornhill&quot;,&quot;given&quot;:&quot;•&quot;,&quot;parse-names&quot;:false,&quot;dropping-particle&quot;:&quot;&quot;,&quot;non-dropping-particle&quot;:&quot;&quot;}],&quot;editor&quot;:[{&quot;family&quot;:&quot;Mark Saunders&quot;,&quot;given&quot;:&quot;&quot;,&quot;parse-names&quot;:false,&quot;dropping-particle&quot;:&quot;&quot;,&quot;non-dropping-particle&quot;:&quot;&quot;},{&quot;family&quot;:&quot;Philip Lewis&quot;,&quot;given&quot;:&quot;&quot;,&quot;parse-names&quot;:false,&quot;dropping-particle&quot;:&quot;&quot;,&quot;non-dropping-particle&quot;:&quot;&quot;},{&quot;family&quot;:&quot;Adrian Thornhill&quot;,&quot;given&quot;:&quot;&quot;,&quot;parse-names&quot;:false,&quot;dropping-particle&quot;:&quot;&quot;,&quot;non-dropping-particle&quot;:&quot;&quot;}],&quot;URL&quot;:&quot;www.pearsoned.co.uk&quot;,&quot;issued&quot;:{&quot;date-parts&quot;:[[2009]]},&quot;publisher-place&quot;:&quot;Essex&quot;,&quot;edition&quot;:&quot;5&quot;,&quot;publisher&quot;:&quot;Person Education&quot;,&quot;container-title-short&quot;:&quot;&quot;},&quot;isTemporary&quot;:false}],&quot;citationTag&quot;:&quot;MENDELEY_CITATION_v3_eyJjaXRhdGlvbklEIjoiTUVOREVMRVlfQ0lUQVRJT05fNDQ3ZjM3NTQtZTJhNi00NTQ0LTljOWUtZDcyZDIwNzY3M2ExIiwicHJvcGVydGllcyI6eyJub3RlSW5kZXgiOjB9LCJpc0VkaXRlZCI6ZmFsc2UsIm1hbnVhbE92ZXJyaWRlIjp7ImlzTWFudWFsbHlPdmVycmlkZGVuIjpmYWxzZSwiY2l0ZXByb2NUZXh0IjoiKEJ1cnJlbGwgYW5kIE1vcmdhbiwgMTk3NjsgU2F1bmRlcnMgPGk+ZXQgYWwuPC9pPiwgMjAwO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2YzUzMWNhMi05MWMxLTMzNTAtYmRiMi1iYjBjNzNjODViNDQiLCJpdGVtRGF0YSI6eyJ0eXBlIjoiYm9vayIsImlkIjoiNmM1MzFjYTItOTFjMS0zMzUwLWJkYjItYmIwYzczYzg1YjQ0IiwidGl0bGUiOiJSZXNlYXJjaCBtZXRob2RzIGZvciBidXNpbmVzcyBzdHVkZW50cyIsImF1dGhvciI6W3siZmFtaWx5IjoiU2F1bmRlcnMiLCJnaXZlbiI6Ik1hcms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&quot;},{&quot;citationID&quot;:&quot;MENDELEY_CITATION_f50fb603-60ee-4c4a-a199-208f88371e1c&quot;,&quot;properties&quot;:{&quot;noteIndex&quot;:0},&quot;isEdited&quot;:false,&quot;manualOverride&quot;:{&quot;isManuallyOverridden&quot;:false,&quot;citeprocText&quot;:&quot;(DiMaggio and Powell, 1983; Scott, 201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ZjUwZmI2MDMtNjBlZS00YzRhLWExOTktMjA4Zjg4MzcxZTFj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quot;},{&quot;citationID&quot;:&quot;MENDELEY_CITATION_d370e493-4613-4079-9839-91294a6d0bdc&quot;,&quot;properties&quot;:{&quot;noteIndex&quot;:0},&quot;isEdited&quot;:false,&quot;manualOverride&quot;:{&quot;isManuallyOverridden&quot;:false,&quot;citeprocText&quot;:&quot;(Guba and Lincoln, 2005)&quot;,&quot;manualOverrideText&quot;:&quot;&quot;},&quot;citationItems&quot;:[{&quot;id&quot;:&quot;76e120b9-9427-33c1-bf47-1da2fc1427a8&quot;,&quot;itemData&quot;:{&quot;type&quot;:&quot;report&quot;,&quot;id&quot;:&quot;76e120b9-9427-33c1-bf47-1da2fc1427a8&quot;,&quot;title&quot;:&quot;Paradigmatic controversies, contradictions, and emerging confluences,&quot;,&quot;author&quot;:[{&quot;family&quot;:&quot;Guba&quot;,&quot;given&quot;:&quot;Egan G&quot;,&quot;parse-names&quot;:false,&quot;dropping-particle&quot;:&quot;&quot;,&quot;non-dropping-particle&quot;:&quot;&quot;},{&quot;family&quot;:&quot;Lincoln&quot;,&quot;given&quot;:&quot;Yvonna S&quot;,&quot;parse-names&quot;:false,&quot;dropping-particle&quot;:&quot;&quot;,&quot;non-dropping-particle&quot;:&quot;&quot;}],&quot;issued&quot;:{&quot;date-parts&quot;:[[2005]]},&quot;number-of-pages&quot;:&quot;191-2115&quot;,&quot;container-title-short&quot;:&quot;&quot;},&quot;isTemporary&quot;:false}],&quot;citationTag&quot;:&quot;MENDELEY_CITATION_v3_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&quot;},{&quot;citationID&quot;:&quot;MENDELEY_CITATION_ffaaa755-274a-431d-9db9-633512a57d25&quot;,&quot;properties&quot;:{&quot;noteIndex&quot;:0},&quot;isEdited&quot;:false,&quot;manualOverride&quot;:{&quot;isManuallyOverridden&quot;:false,&quot;citeprocText&quot;:&quot;(Guba and Lincoln, 2005; Morgan, 2007)&quot;,&quot;manualOverrideText&quot;:&quot;&quot;},&quot;citationItems&quot;:[{&quot;id&quot;:&quot;76e120b9-9427-33c1-bf47-1da2fc1427a8&quot;,&quot;itemData&quot;:{&quot;type&quot;:&quot;report&quot;,&quot;id&quot;:&quot;76e120b9-9427-33c1-bf47-1da2fc1427a8&quot;,&quot;title&quot;:&quot;Paradigmatic controversies, contradictions, and emerging confluences,&quot;,&quot;author&quot;:[{&quot;family&quot;:&quot;Guba&quot;,&quot;given&quot;:&quot;Egan G&quot;,&quot;parse-names&quot;:false,&quot;dropping-particle&quot;:&quot;&quot;,&quot;non-dropping-particle&quot;:&quot;&quot;},{&quot;family&quot;:&quot;Lincoln&quot;,&quot;given&quot;:&quot;Yvonna S&quot;,&quot;parse-names&quot;:false,&quot;dropping-particle&quot;:&quot;&quot;,&quot;non-dropping-particle&quot;:&quot;&quot;}],&quot;issued&quot;:{&quot;date-parts&quot;:[[2005]]},&quot;number-of-pages&quot;:&quot;191-2115&quot;,&quot;container-title-short&quot;:&quot;&quot;},&quot;isTemporary&quot;:false},{&quot;id&quot;:&quot;41d99cd2-c797-3619-a6ec-866b9d71ffcf&quot;,&quot;itemData&quot;:{&quot;type&quot;:&quot;article-journal&quot;,&quot;id&quot;:&quot;41d99cd2-c797-3619-a6ec-866b9d71ffcf&quot;,&quot;title&quot;:&quot;Paradigms Lost and Pragmatism Regained: Methodological Implications of Combining Qualitative and Quantitative Methods&quot;,&quot;author&quot;:[{&quot;family&quot;:&quot;Morgan&quot;,&quot;given&quot;:&quot;David L.&quot;,&quot;parse-names&quot;:false,&quot;dropping-particle&quot;:&quot;&quot;,&quot;non-dropping-particle&quot;:&quot;&quot;}],&quot;container-title&quot;:&quot;Journal of Mixed Methods Research&quot;,&quot;container-title-short&quot;:&quot;J Mix Methods Res&quot;,&quot;DOI&quot;:&quot;10.1177/2345678906292462&quot;,&quot;ISSN&quot;:&quot;15586901&quot;,&quot;issued&quot;:{&quot;date-parts&quot;:[[2007]]},&quot;page&quot;:&quot;48-76&quot;,&quot;abstract&quot;:&quot;This article examines several methodological issues associated with combining qualitative and quantitative methods by comparing the increasing interest in this topic with the earlier renewal of interest in qualitative research during the 1980s. The first section argues for the value of Kuhn’s concept of paradigm shifts as a tool for examining changes in research fields such as social science research methodology. The next two sections consider the initial rise of the “metaphysical paradigm” that justified the renewed interest in qualitative research and the subsequent problems that have encouraged efforts to replace that paradigm. The final section of the paper advocates a “pragmatic approach” as a new guiding paradigm in social science research methods, both as a basis for supporting work that combines qualitative and quantitative methods and as a way to redirect our attention to methodological rather than metaphysical concerns. © 2007, SAGE Publications. All rights reserved.&quot;,&quot;issue&quot;:&quot;1&quot;,&quot;volume&quot;:&quot;1&quot;},&quot;isTemporary&quot;:false}],&quot;citationTag&quot;:&quot;MENDELEY_CITATION_v3_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n0sImlzVGVtcG9yYXJ5IjpmYWxzZX1dfQ==&quot;},{&quot;citationID&quot;:&quot;MENDELEY_CITATION_4f81cf7d-19a4-41f5-9188-d52590f41429&quot;,&quot;properties&quot;:{&quot;noteIndex&quot;:0},&quot;isEdited&quot;:false,&quot;manualOverride&quot;:{&quot;isManuallyOverridden&quot;:false,&quot;citeprocText&quot;:&quot;(Burrell and Morgan, 1976; Guba and Lincoln, 2005)&quot;,&quot;manualOverrideText&quot;:&quot;&quot;},&quot;citationItems&quot;:[{&quot;id&quot;:&quot;d11748b1-5dff-3c83-836f-208e95714cf0&quot;,&quot;itemData&quot;:{&quot;type&quot;:&quot;book&quot;,&quot;id&quot;:&quot;d11748b1-5dff-3c83-836f-208e95714cf0&quot;,&quot;title&quot;:&quot;Sociological Paradigms and Organizational Analysis Elements of the Sociology of Corporate Life&quot;,&quot;author&quot;:[{&quot;family&quot;:&quot;Burrell&quot;,&quot;given&quot;:&quot;Gibson&quot;,&quot;parse-names&quot;:false,&quot;dropping-particle&quot;:&quot;&quot;,&quot;non-dropping-particle&quot;:&quot;&quot;},{&quot;family&quot;:&quot;Morgan&quot;,&quot;given&quot;:&quot;Gareth&quot;,&quot;parse-names&quot;:false,&quot;dropping-particle&quot;:&quot;&quot;,&quot;non-dropping-particle&quot;:&quot;&quot;}],&quot;issued&quot;:{&quot;date-parts&quot;:[[1976]]},&quot;publisher-place&quot;:&quot; Gower&quot;,&quot;publisher&quot;:&quot;Aldershot&quot;,&quot;container-title-short&quot;:&quot;&quot;},&quot;isTemporary&quot;:false},{&quot;id&quot;:&quot;76e120b9-9427-33c1-bf47-1da2fc1427a8&quot;,&quot;itemData&quot;:{&quot;type&quot;:&quot;report&quot;,&quot;id&quot;:&quot;76e120b9-9427-33c1-bf47-1da2fc1427a8&quot;,&quot;title&quot;:&quot;Paradigmatic controversies, contradictions, and emerging confluences,&quot;,&quot;author&quot;:[{&quot;family&quot;:&quot;Guba&quot;,&quot;given&quot;:&quot;Egan G&quot;,&quot;parse-names&quot;:false,&quot;dropping-particle&quot;:&quot;&quot;,&quot;non-dropping-particle&quot;:&quot;&quot;},{&quot;family&quot;:&quot;Lincoln&quot;,&quot;given&quot;:&quot;Yvonna S&quot;,&quot;parse-names&quot;:false,&quot;dropping-particle&quot;:&quot;&quot;,&quot;non-dropping-particle&quot;:&quot;&quot;}],&quot;issued&quot;:{&quot;date-parts&quot;:[[2005]]},&quot;number-of-pages&quot;:&quot;191-2115&quot;,&quot;container-title-short&quot;:&quot;&quot;},&quot;isTemporary&quot;:false}],&quot;citationTag&quot;:&quot;MENDELEY_CITATION_v3_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&quot;},{&quot;citationID&quot;:&quot;MENDELEY_CITATION_f3905415-a609-4837-b555-b7330c5f091e&quot;,&quot;properties&quot;:{&quot;noteIndex&quot;:0},&quot;isEdited&quot;:false,&quot;manualOverride&quot;:{&quot;isManuallyOverridden&quot;:false,&quot;citeprocText&quot;:&quot;(Bergman, 2008; Creswell, 2014; Gibson, 2017; Teddlie and Tashakkori, 2009)&quot;,&quot;manualOverrideText&quot;:&quot;&quot;},&quot;citationItems&quot;:[{&quot;id&quot;:&quot;2c8785c1-f9a4-35a8-8b8f-f034e97389ef&quot;,&quot;itemData&quot;:{&quot;type&quot;:&quot;chapter&quot;,&quot;id&quot;:&quot;2c8785c1-f9a4-35a8-8b8f-f034e97389ef&quot;,&quot;title&quot;:&quot;Advances in Mixed Methods Research: Theories and Applications &quot;,&quot;author&quot;:[{&quot;family&quot;:&quot;Bergman&quot;,&quot;given&quot;:&quot;M.M.&quot;,&quot;parse-names&quot;:false,&quot;dropping-particle&quot;:&quot;&quot;,&quot;non-dropping-particle&quot;:&quot;&quot;}],&quot;container-title&quot;:&quot;Sage Publications ltd&quot;,&quot;accessed&quot;:{&quot;date-parts&quot;:[[2022,9,5]]},&quot;URL&quot;:&quot;https://books.google.co.uk/books?hl=en&amp;lr=&amp;id=hWT6mWbnGC0C&amp;oi=fnd&amp;pg=PR5&amp;dq=manfred+max+bergman&amp;ots=Tow9l45PqI&amp;sig=-SVb80Bntrq9fEG2DIcQNuV-sjM&amp;redir_esc=y#v=onepage&amp;q=manfred%20max%20bergman&amp;f=false&quot;,&quot;issued&quot;:{&quot;date-parts&quot;:[[2008]]},&quot;publisher-place&quot;:&quot;London&quot;,&quot;page&quot;:&quot;1-199&quot;,&quot;container-title-short&quot;:&quot;&quot;},&quot;isTemporary&quot;:false},{&quot;id&quot;:&quot;9e8fece2-3956-3746-9fff-49cef85747cf&quot;,&quot;itemData&quot;:{&quot;type&quot;:&quot;book&quot;,&quot;id&quot;:&quot;9e8fece2-3956-3746-9fff-49cef85747cf&quot;,&quot;title&quot;:&quot;Foundations of mixed methods research: Integrating quantitative and qualitative approaches in the social and behavioral sciences. &quot;,&quot;author&quot;:[{&quot;family&quot;:&quot;Teddlie&quot;,&quot;given&quot;:&quot;C.,&quot;,&quot;parse-names&quot;:false,&quot;dropping-particle&quot;:&quot;&quot;,&quot;non-dropping-particle&quot;:&quot;&quot;},{&quot;family&quot;:&quot;Tashakkori&quot;,&quot;given&quot;:&quot;A&quot;,&quot;parse-names&quot;:false,&quot;dropping-particle&quot;:&quot;&quot;,&quot;non-dropping-particle&quot;:&quot;&quot;}],&quot;issued&quot;:{&quot;date-parts&quot;:[[2009]]},&quot;publisher-place&quot;:&quot;California &quot;,&quot;number-of-pages&quot;:&quot;1-229&quot;,&quot;publisher&quot;:&quot;Sage publications.&quot;,&quot;container-title-short&quot;:&quot;&quot;},&quot;isTemporary&quot;:false},{&quot;id&quot;:&quot;d268c94b-ad95-3170-8ee7-927e2975029c&quot;,&quot;itemData&quot;:{&quot;type&quot;:&quot;book&quot;,&quot;id&quot;:&quot;d268c94b-ad95-3170-8ee7-927e2975029c&quot;,&quot;title&quot;:&quot;Research design: Qualitative, quantitative, and mixed methods approaches&quot;,&quot;author&quot;:[{&quot;family&quot;:&quot;Creswell&quot;,&quot;given&quot;:&quot;J. W&quot;,&quot;parse-names&quot;:false,&quot;dropping-particle&quot;:&quot;&quot;,&quot;non-dropping-particle&quot;:&quot;&quot;}],&quot;issued&quot;:{&quot;date-parts&quot;:[[2014]]},&quot;publisher-place&quot;:&quot;London&quot;,&quot;number-of-pages&quot;:&quot;1-265&quot;,&quot;edition&quot;:&quot;4&quot;,&quot;publisher&quot;:&quot;Sage Publications.&quot;,&quot;container-title-short&quot;:&quot;&quot;},&quot;isTemporary&quot;:false},{&quot;id&quot;:&quot;13229b4c-78de-3c8d-8ee4-0b415026b080&quot;,&quot;itemData&quot;:{&quot;type&quot;:&quot;article-journal&quot;,&quot;id&quot;:&quot;13229b4c-78de-3c8d-8ee4-0b415026b080&quot;,&quot;title&quot;:&quot;Elaboration, Generalization, Triangulation, and Interpretation: On Enhancing the Value of Mixed Method Research&quot;,&quot;author&quot;:[{&quot;family&quot;:&quot;Gibson&quot;,&quot;given&quot;:&quot;Cristina B.&quot;,&quot;parse-names&quot;:false,&quot;dropping-particle&quot;:&quot;&quot;,&quot;non-dropping-particle&quot;:&quot;&quot;}],&quot;container-title&quot;:&quot;Organizational Research Methods&quot;,&quot;container-title-short&quot;:&quot;Organ Res Methods&quot;,&quot;DOI&quot;:&quot;10.1177/1094428116639133&quot;,&quot;ISSN&quot;:&quot;15527425&quot;,&quot;issued&quot;:{&quot;date-parts&quot;:[[2017,4,1]]},&quot;page&quot;:&quot;193-223&quot;,&quot;abstract&quot;:&quot;This article examines means of enhancing the value of mixed method research for organizational science. Conclusions are based on a comprehensive analysis of 69 mixed method articles published in four empirical journals between 2009 and 2014, detailed case comparison of four illustrative articles, and personal interviews with lead authors for each case. Findings provide three key contributions. First, documenting the prevalence of mixed methods over the past six years in a broad selection of journals, five approaches to mixed method research are identified—including three novel approaches not yet elaborated on in prior treatises on research methods, expanding the feasible options for mixed method scholarship and bolstering confidence in considering such approaches. Second, themes pertaining to enhancing the value of mixed method research are revealed, including elaboration, generalization, triangulation, and interpretation. Finally, findings uncovered four sets of practical techniques by which this value can be increased. Together, these contributions provide guidance for those endeavoring to utilize a mixed method approach in organizational science.&quot;,&quot;publisher&quot;:&quot;SAGE Publications Inc.&quot;,&quot;issue&quot;:&quot;2&quot;,&quot;volume&quot;:&quot;20&quot;},&quot;isTemporary&quot;:false}],&quot;citationTag&quot;:&quot;MENDELEY_CITATION_v3_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&quot;},{&quot;citationID&quot;:&quot;MENDELEY_CITATION_a51de0d6-dedd-4325-bf63-558beb913c50&quot;,&quot;properties&quot;:{&quot;noteIndex&quot;:0},&quot;isEdited&quot;:false,&quot;manualOverride&quot;:{&quot;isManuallyOverridden&quot;:true,&quot;citeprocText&quot;:&quot;(Collis and Hussey, 2021)&quot;,&quot;manualOverrideText&quot;:&quot;Collis and Hussey (2021)&quot;},&quot;citationItems&quot;:[{&quot;id&quot;:&quot;beff1917-50a7-394c-afd2-b166bfe53c0b&quot;,&quot;itemData&quot;:{&quot;type&quot;:&quot;book&quot;,&quot;id&quot;:&quot;beff1917-50a7-394c-afd2-b166bfe53c0b&quot;,&quot;title&quot;:&quot;Business Research&quot;,&quot;author&quot;:[{&quot;family&quot;:&quot;Collis&quot;,&quot;given&quot;:&quot;Jill&quot;,&quot;parse-names&quot;:false,&quot;dropping-particle&quot;:&quot;&quot;,&quot;non-dropping-particle&quot;:&quot;&quot;},{&quot;family&quot;:&quot;Hussey&quot;,&quot;given&quot;:&quot;Roger&quot;,&quot;parse-names&quot;:false,&quot;dropping-particle&quot;:&quot;&quot;,&quot;non-dropping-particle&quot;:&quot;&quot;}],&quot;issued&quot;:{&quot;date-parts&quot;:[[2021]]},&quot;number-of-pages&quot;:&quot;1-351&quot;,&quot;edition&quot;:&quot;5&quot;,&quot;publisher&quot;:&quot;Red Globe Press&quot;,&quot;container-title-short&quot;:&quot;&quot;},&quot;isTemporary&quot;:false}],&quot;citationTag&quot;:&quot;MENDELEY_CITATION_v3_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&quot;},{&quot;citationID&quot;:&quot;MENDELEY_CITATION_e60a5c82-ac66-4da8-9349-3d7f7de3c8c9&quot;,&quot;properties&quot;:{&quot;noteIndex&quot;:0},&quot;isEdited&quot;:false,&quot;manualOverride&quot;:{&quot;isManuallyOverridden&quot;:true,&quot;citeprocText&quot;:&quot;(Creswell and Plano, 2018)&quot;,&quot;manualOverrideText&quot;:&quot;Creswell and Plano Clark (2018)&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ZTYwYTVjODItYWM2Ni00ZGE4LTkzNDktM2Q3ZjdkZTNjOGM5IiwicHJvcGVydGllcyI6eyJub3RlSW5kZXgiOjB9LCJpc0VkaXRlZCI6ZmFsc2UsIm1hbnVhbE92ZXJyaWRlIjp7ImlzTWFudWFsbHlPdmVycmlkZGVuIjp0cnVlLCJjaXRlcHJvY1RleHQiOiIoQ3Jlc3dlbGwgYW5kIFBsYW5vLCAyMDE4KSIsIm1hbnVhbE92ZXJyaWRlVGV4dCI6IkNyZXN3ZWxsIGFuZCBQbGFubyBDbGFyayAoMjAxOCk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quot;},{&quot;citationID&quot;:&quot;MENDELEY_CITATION_26a1497c-1c3d-4660-b112-a49ee6b88337&quot;,&quot;properties&quot;:{&quot;noteIndex&quot;:0},&quot;isEdited&quot;:false,&quot;manualOverride&quot;:{&quot;isManuallyOverridden&quot;:false,&quot;citeprocText&quot;:&quot;(Burrell and Morgan, 1976; Meyer and Rowan, 1977)&quot;,&quot;manualOverrideText&quot;:&quot;&quot;},&quot;citationItems&quot;:[{&quot;id&quot;:&quot;d11748b1-5dff-3c83-836f-208e95714cf0&quot;,&quot;itemData&quot;:{&quot;type&quot;:&quot;book&quot;,&quot;id&quot;:&quot;d11748b1-5dff-3c83-836f-208e95714cf0&quot;,&quot;title&quot;:&quot;Sociological Paradigms and Organizational Analysis Elements of the Sociology of Corporate Life&quot;,&quot;author&quot;:[{&quot;family&quot;:&quot;Burrell&quot;,&quot;given&quot;:&quot;Gibson&quot;,&quot;parse-names&quot;:false,&quot;dropping-particle&quot;:&quot;&quot;,&quot;non-dropping-particle&quot;:&quot;&quot;},{&quot;family&quot;:&quot;Morgan&quot;,&quot;given&quot;:&quot;Gareth&quot;,&quot;parse-names&quot;:false,&quot;dropping-particle&quot;:&quot;&quot;,&quot;non-dropping-particle&quot;:&quot;&quot;}],&quot;issued&quot;:{&quot;date-parts&quot;:[[1976]]},&quot;publisher-place&quot;:&quot; Gower&quot;,&quot;publisher&quot;:&quot;Aldershot&quot;,&quot;container-title-short&quot;:&quot;&quot;},&quot;isTemporary&quot;:false},{&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isTemporary&quot;:false}],&quot;citationTag&quot;:&quot;MENDELEY_CITATION_v3_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&quot;},{&quot;citationID&quot;:&quot;MENDELEY_CITATION_e74887a0-ec9d-4c30-8228-d2d57c766bdb&quot;,&quot;properties&quot;:{&quot;noteIndex&quot;:0},&quot;isEdited&quot;:false,&quot;manualOverride&quot;:{&quot;isManuallyOverridden&quot;:false,&quot;citeprocText&quot;:&quot;(Guba and Lincoln, 2005)&quot;,&quot;manualOverrideText&quot;:&quot;&quot;},&quot;citationItems&quot;:[{&quot;id&quot;:&quot;76e120b9-9427-33c1-bf47-1da2fc1427a8&quot;,&quot;itemData&quot;:{&quot;type&quot;:&quot;report&quot;,&quot;id&quot;:&quot;76e120b9-9427-33c1-bf47-1da2fc1427a8&quot;,&quot;title&quot;:&quot;Paradigmatic controversies, contradictions, and emerging confluences,&quot;,&quot;author&quot;:[{&quot;family&quot;:&quot;Guba&quot;,&quot;given&quot;:&quot;Egan G&quot;,&quot;parse-names&quot;:false,&quot;dropping-particle&quot;:&quot;&quot;,&quot;non-dropping-particle&quot;:&quot;&quot;},{&quot;family&quot;:&quot;Lincoln&quot;,&quot;given&quot;:&quot;Yvonna S&quot;,&quot;parse-names&quot;:false,&quot;dropping-particle&quot;:&quot;&quot;,&quot;non-dropping-particle&quot;:&quot;&quot;}],&quot;issued&quot;:{&quot;date-parts&quot;:[[2005]]},&quot;number-of-pages&quot;:&quot;191-2115&quot;,&quot;container-title-short&quot;:&quot;&quot;},&quot;isTemporary&quot;:false}],&quot;citationTag&quot;:&quot;MENDELEY_CITATION_v3_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&quot;},{&quot;citationID&quot;:&quot;MENDELEY_CITATION_fc4572d0-a536-42a9-81f6-925effee2037&quot;,&quot;properties&quot;:{&quot;noteIndex&quot;:0},&quot;isEdited&quot;:false,&quot;manualOverride&quot;:{&quot;isManuallyOverridden&quot;:false,&quot;citeprocText&quot;:&quot;(Creswell and Plano, 2018)&quot;,&quot;manualOverrideText&quot;:&quot;&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ZmM0NTcyZDAtYTUzNi00MmE5LTgxZjYtOTI1ZWZmZWUyMDM3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quot;},{&quot;citationID&quot;:&quot;MENDELEY_CITATION_27868790-ad1e-41ca-9c3a-8636f02255c0&quot;,&quot;properties&quot;:{&quot;noteIndex&quot;:0},&quot;isEdited&quot;:false,&quot;manualOverride&quot;:{&quot;isManuallyOverridden&quot;:false,&quot;citeprocText&quot;:&quot;(Creswell and Plano, 2018)&quot;,&quot;manualOverrideText&quot;:&quot;&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Mjc4Njg3OTAtYWQxZS00MWNhLTljM2EtODYzNmYwMjI1NWMw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quot;},{&quot;citationID&quot;:&quot;MENDELEY_CITATION_ec6d18fc-d5cf-4240-a61f-cb17e4745a0a&quot;,&quot;properties&quot;:{&quot;noteIndex&quot;:0},&quot;isEdited&quot;:false,&quot;manualOverride&quot;:{&quot;isManuallyOverridden&quot;:false,&quot;citeprocText&quot;:&quot;(Ahmad &lt;i&gt;et al.&lt;/i&gt;, 2023; Muthuthantrige &lt;i&gt;et al.&lt;/i&gt;, 2026)&quot;,&quot;manualOverrideText&quot;:&quot;&quot;},&quot;citationItems&quot;:[{&quot;id&quot;:&quot;2434b3b7-2e5c-3ae6-8b89-6c65b6219c2e&quot;,&quot;itemData&quot;:{&quot;type&quot;:&quot;article-journal&quot;,&quot;id&quot;:&quot;2434b3b7-2e5c-3ae6-8b89-6c65b6219c2e&quot;,&quot;title&quot;:&quot;Modern slavery disclosure regulations in the global supply Chain: A world-systems perspective&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Muhammad Azizul&quot;,&quot;parse-names&quot;:false,&quot;dropping-particle&quot;:&quot;&quot;,&quot;non-dropping-particle&quot;:&quot;&quot;}],&quot;container-title&quot;:&quot;Critical Perspectives on Accounting&quot;,&quot;DOI&quot;:&quot;10.1016/j.cpa.2023.102677&quot;,&quot;ISSN&quot;:&quot;10959955&quot;,&quot;issued&quot;:{&quot;date-parts&quot;:[[2023]]},&quot;abstract&quot;:&quot;This study provides a linguistic analysis of three modern slavery disclosure regulations, the California Transparency in the Supply Chain Act (CTSCA) 2010, section 54 of the UK Modern Slavery Act 2015 and the Australian Modern Slavery Act 2018. These regulations require companies to report their actions to tackle labour exploitation within global supply chains. Based on World-System Theory (WST: Wallerstein, 1975, 1979, 2015) and by relying on Critical Discourse Analysis (CDA), we examined the disclosure regulations and found that the texts of and discourses around the regulations are not neutral and allow social wrongs to continue in global supply chains. Although regulators claim modern slavery disclosure regulations to be a step in the right direction, our investigation reveals a different picture: the linguistic features of the regulations support the perpetuating risk of modern slavery in global supply chains based in the periphery countries. We argue that changing the current global power structure/system is necessary to address the grand challenges of regulating modern slavery. There is a need for disclosure regime that can protect vulnerable communities, including workers in the global supply chains.&quot;,&quot;publisher&quot;:&quot;Academic Press&quot;,&quot;container-title-short&quot;:&quot;&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a58c3d2a-e2db-44e1-9dba-a8ba6da77afc&quot;,&quot;properties&quot;:{&quot;noteIndex&quot;:0},&quot;isEdited&quot;:false,&quot;manualOverride&quot;:{&quot;isManuallyOverridden&quot;:false,&quot;citeprocText&quot;:&quot;(Bales, 2009; Crane, 2013; Lebaron, 2018)&quot;,&quot;manualOverrideText&quot;:&quot;&quot;},&quot;citationItems&quot;:[{&quot;id&quot;:&quot;5a7991c1-ba21-3537-adbe-b09779fdb99d&quot;,&quot;itemData&quot;:{&quot;type&quot;:&quot;article-journal&quot;,&quot;id&quot;:&quot;5a7991c1-ba21-3537-adbe-b09779fdb99d&quot;,&quot;title&quot;:&quot;Winning the Fight: Eradicating Slavery in the Modern Age&quot;,&quot;author&quot;:[{&quot;family&quot;:&quot;Bales&quot;,&quot;given&quot;:&quot;K.&quot;,&quot;parse-names&quot;:false,&quot;dropping-particle&quot;:&quot;&quot;,&quot;non-dropping-particle&quot;:&quot;&quot;}],&quot;container-title&quot;:&quot; Harvard International Review&quot;,&quot;accessed&quot;:{&quot;date-parts&quot;:[[2022,7,25]]},&quot;URL&quot;:&quot;https://www.proquest.com/docview/230940710/fulltextPDF/68BA94815A8A4A13PQ/1?accountid=11814&quot;,&quot;issued&quot;:{&quot;date-parts&quot;:[[2009]]},&quot;page&quot;:&quot;14&quot;,&quot;issue&quot;:&quot;4&quot;,&quot;volume&quot;:&quot;31&quot;,&quot;container-title-short&quot;:&quot;&quot;},&quot;isTemporary&quot;:false},{&quot;id&quot;:&quot;d6772dd3-9689-3144-b7c2-300d6c5ce6d0&quot;,&quot;itemData&quot;:{&quot;type&quot;:&quot;report&quot;,&quot;id&quot;:&quot;d6772dd3-9689-3144-b7c2-300d6c5ce6d0&quot;,&quot;title&quot;:&quot;Modern Slavery as a management practice: Exploring the conditions and capabilities for human exploitation&quot;,&quot;author&quot;:[{&quot;family&quot;:&quot;Crane&quot;,&quot;given&quot;:&quot;Andrew&quot;,&quot;parse-names&quot;:false,&quot;dropping-particle&quot;:&quot;&quot;,&quot;non-dropping-particle&quot;:&quot;&quot;}],&quot;container-title&quot;:&quot;Management Review&quot;,&quot;container-title-short&quot;:&quot;Manage Rev&quot;,&quot;URL&quot;:&quot;http://dx.doi.org/I0.5465/amr.2011.0145&quot;,&quot;issued&quot;:{&quot;date-parts&quot;:[[2013]]},&quot;number-of-pages&quot;:&quot;49-69&quot;,&quot;abstract&quot;:&quot;Scant attention has been paid to the phenomenon of modem slavery in the management literature. This article redresses this by identifying modem slavery as a management practice comprising exploiting/insulating capabilities and sustaining/ shaping capabilities. I present a model specifying how these microorgcnization-level capabilities enable enterprises that deploy slavery to take advantage of the macro-institutional conditions that permit the practice to flourish in the face of widespread illegality and illegitimacy. I then advance potential implications for management theory and suggestions for further theoretical and empirical research.&quot;,&quot;issue&quot;:&quot;1&quot;,&quot;volume&quot;:&quot;38&quot;},&quot;isTemporary&quot;:false},{&quot;id&quot;:&quot;086727f1-9c95-31fe-893a-1fa16f3470df&quot;,&quot;itemData&quot;:{&quot;type&quot;:&quot;report&quot;,&quot;id&quot;:&quot;086727f1-9c95-31fe-893a-1fa16f3470df&quot;,&quot;title&quot;:&quot;The global business of forced labour&quot;,&quot;author&quot;:[{&quot;family&quot;:&quot;Lebaron&quot;,&quot;given&quot;:&quot;Genevieve&quot;,&quot;parse-names&quot;:false,&quot;dropping-particle&quot;:&quot;&quot;,&quot;non-dropping-particle&quot;:&quot;&quot;}],&quot;URL&quot;:&quot;www.globalbusinessofforcedlabour.ac.uk/&quot;,&quot;issued&quot;:{&quot;date-parts&quot;:[[2018]]},&quot;number-of-pages&quot;:&quot;1-61&quot;,&quot;container-title-short&quot;:&quot;&quot;},&quot;isTemporary&quot;:false}],&quot;citationTag&quot;:&quot;MENDELEY_CITATION_v3_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&quot;},{&quot;citationID&quot;:&quot;MENDELEY_CITATION_92a248d4-2c6a-4b9e-94c6-e85376c8e8c9&quot;,&quot;properties&quot;:{&quot;noteIndex&quot;:0},&quot;isEdited&quot;:false,&quot;manualOverride&quot;:{&quot;isManuallyOverridden&quot;:false,&quot;citeprocText&quot;:&quot;(Bartley, 2018; Crane &lt;i&gt;et al.&lt;/i&gt;, 2019)&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3b3dce06-ae94-3fe8-ab0d-b927b1b368aa&quot;,&quot;itemData&quot;:{&quot;type&quot;:&quot;book&quot;,&quot;id&quot;:&quot;3b3dce06-ae94-3fe8-ab0d-b927b1b368aa&quot;,&quot;title&quot;:&quot;Rules without rights : land, labor, and private authority in the global economy&quot;,&quot;author&quot;:[{&quot;family&quot;:&quot;Bartley&quot;,&quot;given&quot;:&quot;Tim.&quot;,&quot;parse-names&quot;:false,&quot;dropping-particle&quot;:&quot;&quot;,&quot;non-dropping-particle&quot;:&quot;&quot;}],&quot;ISBN&quot;:&quot;9780198794332&quot;,&quot;issued&quot;:{&quot;date-parts&quot;:[[2018]]},&quot;publisher-place&quot;:&quot;Oxford&quot;,&quot;abstract&quot;:&quot;Activists have exposed startling forms of labor exploitation and environmental degradation in global industries, leading many large retailers and brands to adopt standards for fairness and sustainability. This book is about the idea that transnational corporations can push these standards through their global supply chains, and in effect, pull factories, forests, and farms out of their local contexts and up to global best practices. For many scholars and practitioners, this kind of private regulation and global standard-setting can provide an alternative to regulation by territorially-bound, gridlocked, or incapacitated nation states, potentially improving environments and working conditions around the world and protecting the rights of exploited workers, impoverished farmers, and marginalized communities. But can private, voluntary standards actually create meaningful forms of regulation? Are forests and factories around the world actually being made into sustainable ecosystems and decent workplaces? Can global norms remake local orders? This book provides striking new answers by comparing the private regulation of land and labor in democratic and authoritarian settings. Case studies of sustainable forestry and fair labour standards in Indonesia and China show not only how transnational standards are implemented 'on the ground' but also how they are constrained and reconfigured by domestic governance. Combining rich multi-method analyses, a powerful comparative approach, and a new theory of private regulation, Rules without Rights reveals the contours and contradictions of transnational governance. Transformations in Governance is a major new academic book series from Oxford University Press. It is designed to accommodate the impressive growth of research in comparative politics, international relations, public policy, federalism, environmental and urban studies concerned with the dispersion of authority from central states up to supranational institutions, down to subnational governments, and side-ways to public-private networks. It brings together work that significantly advances our understanding of the organization, causes, and consequences of multilevel and complex governance. The series is selective, containing annually a small number of books of exceptionally high quality by leading and emerging scholars. The series targets mainly single-authored or co-authored work, but it is pluralistic in terms of disciplinary specialization, research design, method, and geographical scope. Case studies as well as comparative studies, historical as well as contemporary studies, and studies with a national, regional, or international focus are all central to its aims. Authors use qualitative, quantitative, formal modeling, or mixed methods. A trade mark of the books is that they combine scholarly rigour with readable prose and an attractive production style. The series is edited by Liesbet Hooghe and Gary Marks of the University of North Carolina, Chapel Hill, and Walter Mattli of the University of Oxford. Cover; Rules without Rights: Land, Labor, and Private Authority in the Global Economy; Copyright; Acknowledgments; Table of Contents; List of Figures; List of Tables; 1: Transnational Standards and Empty Spaces; Retailers to the Rescue: The Rise of Transnational Private Regulation; Markets, states, and civil society in the rise of transnational private regulation; A Cross-field, Cross-national Approach; Land and labor; CERTIFYING SUSTAINABLE FORESTRY; AUDITING LABOR STANDARDS; TOWARD A COMPARISON; Democracy and authoritarianism; THE POLITICS OF PRODUCTION IN CHINA AND INDONESIA&quot;,&quot;edition&quot;:&quot;1&quot;,&quot;publisher&quot;:&quot;Oxford University Press&quot;,&quot;container-title-short&quot;:&quot;&quot;},&quot;isTemporary&quot;:false}],&quot;citationTag&quot;:&quot;MENDELEY_CITATION_v3_eyJjaXRhdGlvbklEIjoiTUVOREVMRVlfQ0lUQVRJT05fOTJhMjQ4ZDQtMmM2YS00YjllLTk0YzYtZTg1Mzc2YzhlOGM5IiwicHJvcGVydGllcyI6eyJub3RlSW5kZXgiOjB9LCJpc0VkaXRlZCI6ZmFsc2UsIm1hbnVhbE92ZXJyaWRlIjp7ImlzTWFudWFsbHlPdmVycmlkZGVuIjpmYWxzZSwiY2l0ZXByb2NUZXh0IjoiKEJhcnRsZXksIDIwMTg7IENyYW5lIDxpPmV0IGFsLjwvaT4sIDIwMTk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&quot;},{&quot;citationID&quot;:&quot;MENDELEY_CITATION_3519bd1e-785d-40ce-b9a7-0e1a9c2244f6&quot;,&quot;properties&quot;:{&quot;noteIndex&quot;:0},&quot;isEdited&quot;:false,&quot;manualOverride&quot;:{&quot;isManuallyOverridden&quot;:false,&quot;citeprocText&quot;:&quot;(Davis, 2017; Kaufmann &lt;i&gt;et al.&lt;/i&gt;, 2011; Moussa &lt;i&gt;et al.&lt;/i&gt;, 2022)&quot;,&quot;manualOverrideText&quot;:&quot;&quot;},&quot;citationItems&quot;:[{&quot;id&quot;:&quot;d54ee7b6-aa59-392d-9ca5-f3497acaca83&quot;,&quot;itemData&quot;:{&quot;type&quot;:&quot;article-journal&quot;,&quot;id&quot;:&quot;d54ee7b6-aa59-392d-9ca5-f3497acaca83&quot;,&quot;title&quot;:&quot;The worldwide governance indicators: Methodology and analytical issues&quot;,&quot;author&quot;:[{&quot;family&quot;:&quot;Kaufmann&quot;,&quot;given&quot;:&quot;Daniel&quot;,&quot;parse-names&quot;:false,&quot;dropping-particle&quot;:&quot;&quot;,&quot;non-dropping-particle&quot;:&quot;&quot;},{&quot;family&quot;:&quot;Kraay&quot;,&quot;given&quot;:&quot;Aart&quot;,&quot;parse-names&quot;:false,&quot;dropping-particle&quot;:&quot;&quot;,&quot;non-dropping-particle&quot;:&quot;&quot;},{&quot;family&quot;:&quot;Mastruzzi&quot;,&quot;given&quot;:&quot;Massimo&quot;,&quot;parse-names&quot;:false,&quot;dropping-particle&quot;:&quot;&quot;,&quot;non-dropping-particle&quot;:&quot;&quot;}],&quot;container-title&quot;:&quot;Hague Journal on the Rule of Law&quot;,&quot;DOI&quot;:&quot;10.1017/S1876404511200046&quot;,&quot;ISSN&quot;:&quot;18764053&quot;,&quot;issued&quot;:{&quot;date-parts&quot;:[[2011,6,4]]},&quot;page&quot;:&quot;220-246&quot;,&quot;abstract&quot;:&quot;This paper summarizes the methodology of the Worldwide Governance Indicators (WGI) project, and related analytical issues. The WGI has covered over two hundred countries and territories, measuring six dimensions of governance starting in 1996: Voice and Accountability, Political Stability and Absence of Violence/Terrorism, Government Effectiveness, Regulatory Quality, Rule of Law, and Control of Corruption. The aggregate indicators are based on several hundred individual underlying variables, taken from a wide variety of existing data sources. The data reflect the views on governance of survey respondents and public, private, and NGO sector experts worldwide. We also explicitly report margins of error accompanying each country estimate. These reflect the inherent difficulties in measuring governance using any kind of data. We find that even after taking margins of error into account, the WGI permit meaningful cross-country and over-time comparisons. The aggregate indicators, together with the disaggregated underlying source data, are available at www.govindicators.org.&quot;,&quot;publisher&quot;:&quot;Springer Science and Business Media B.V.&quot;,&quot;issue&quot;:&quot;2&quot;,&quot;volume&quot;:&quot;3&quot;,&quot;container-title-short&quot;:&quot;&quot;},&quot;isTemporary&quot;:false},{&quot;id&quot;:&quot;5d2ec5d0-8c0b-3f23-bfb8-195aa0896649&quot;,&quot;itemData&quot;:{&quot;type&quot;:&quot;article-journal&quot;,&quot;id&quot;:&quot;5d2ec5d0-8c0b-3f23-bfb8-195aa0896649&quot;,&quot;title&quot;:&quot;Good governance as a foundation for sustainable human development in sub-Saharan Africa&quot;,&quot;author&quot;:[{&quot;family&quot;:&quot;Davis&quot;,&quot;given&quot;:&quot;Theodore J.&quot;,&quot;parse-names&quot;:false,&quot;dropping-particle&quot;:&quot;&quot;,&quot;non-dropping-particle&quot;:&quot;&quot;}],&quot;container-title&quot;:&quot;Third World Quarterly&quot;,&quot;container-title-short&quot;:&quot;Third World Q&quot;,&quot;DOI&quot;:&quot;10.1080/01436597.2016.1191340&quot;,&quot;ISSN&quot;:&quot;13602241&quot;,&quot;issued&quot;:{&quot;date-parts&quot;:[[2017,3,4]]},&quot;page&quot;:&quot;636-654&quot;,&quot;abstract&quot;:&quot;Data indicate that good governance and human development continue to be major issues throughout sub-Saharan Africa. The findings show a significant relationship between the measures of good governance and human development. The findings suggest that policies and efforts aimed at improving government effectiveness and political stability would have the most significant impact on human development and poverty reduction efforts. The findings lend support to the adoption of integrated policy approaches that take into consideration political development along with economic development to reduce poverty in sub-Saharan Africa.&quot;,&quot;publisher&quot;:&quot;Routledge&quot;,&quot;issue&quot;:&quot;3&quot;,&quot;volume&quot;:&quot;38&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quot;},{&quot;citationID&quot;:&quot;MENDELEY_CITATION_70ade12d-857a-4d5c-8e9a-bcfe6921235c&quot;,&quot;properties&quot;:{&quot;noteIndex&quot;:0},&quot;isEdited&quot;:false,&quot;manualOverride&quot;:{&quot;isManuallyOverridden&quot;:false,&quot;citeprocText&quot;:&quot;(Crane &lt;i&gt;et al.&lt;/i&gt;, 2019; Fudge, 2018)&quot;,&quot;manualOverrideText&quot;:&quot;&quot;},&quot;citationItems&quot;:[{&quot;id&quot;:&quot;3eaf6e0a-3058-3ac5-8e0c-9a289ce9b60a&quot;,&quot;itemData&quot;:{&quot;type&quot;:&quot;article-journal&quot;,&quot;id&quot;:&quot;3eaf6e0a-3058-3ac5-8e0c-9a289ce9b60a&quot;,&quot;title&quot;:&quot;Modern Slavery, Unfree Labour and the Labour Market: The Social Dynamics of Legal Characterization&quot;,&quot;author&quot;:[{&quot;family&quot;:&quot;Fudge&quot;,&quot;given&quot;:&quot;Judy&quot;,&quot;parse-names&quot;:false,&quot;dropping-particle&quot;:&quot;&quot;,&quot;non-dropping-particle&quot;:&quot;&quot;}],&quot;container-title&quot;:&quot;Social and Legal Studies&quot;,&quot;container-title-short&quot;:&quot;Soc Leg Stud&quot;,&quot;DOI&quot;:&quot;10.1177/0964663917746736&quot;,&quot;ISSN&quot;:&quot;14617390&quot;,&quot;issued&quot;:{&quot;date-parts&quot;:[[2018,8,1]]},&quot;page&quot;:&quot;414-434&quot;,&quot;abstract&quot;:&quot;Treating the United Kingdom’s Modern Slavery Act as its focus, this article examines what the legal characterization of labour unfreedom reveals about the underlying conception of the labour market that informs contemporary approaches to labour law in the United Kingdom. It discusses how unfree labour is conceptualized within two key literatures – Marxist-inspired political economy and liberal approaches to modern slavery – and their underlying assumptions of the labour market and how it operates. As an alternative to these depictions of the labour market, it proposes a legal institutionalist or constitutive account. It develops an approach to legal characterization and jurisdiction that is attentive to modes of governing and the role of political and legal differentiation both in producing labour exploitation and unfree labour and in developing strategies for its elimination. It argues that the problem with the modern slavery approach to unfree labour is that it tends to displace labour law as the principal remedy to the problem of labour abuse and exploitation, while simultaneously reinforcing the idea that flexible labour markets of the type that prevails in the United Kingdom are realms of labour freedom.&quot;,&quot;publisher&quot;:&quot;SAGE Publications Ltd&quot;,&quot;issue&quot;:&quot;4&quot;,&quot;volume&quot;:&quot;27&quot;},&quot;isTemporary&quot;:false},{&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citationTag&quot;:&quot;MENDELEY_CITATION_v3_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quot;},{&quot;citationID&quot;:&quot;MENDELEY_CITATION_11056692-68e2-4d6a-ae55-b03020f87bbe&quot;,&quot;properties&quot;:{&quot;noteIndex&quot;:0},&quot;isEdited&quot;:false,&quot;manualOverride&quot;:{&quot;isManuallyOverridden&quot;:false,&quot;citeprocText&quot;:&quot;(Albitar &lt;i&gt;et al.&lt;/i&gt;, 2025)&quot;,&quot;manualOverrideText&quot;:&quot;&quot;},&quot;citationItems&quot;:[{&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MTEwNTY2OTItNjhlMi00ZDZhLWFlNTUtYjAzMDIwZjg3YmJlIiwicHJvcGVydGllcyI6eyJub3RlSW5kZXgiOjB9LCJpc0VkaXRlZCI6ZmFsc2UsIm1hbnVhbE92ZXJyaWRlIjp7ImlzTWFudWFsbHlPdmVycmlkZGVuIjpmYWxzZSwiY2l0ZXByb2NUZXh0IjoiKEFsYml0YXIgPGk+ZXQgYWwuPC9pPiwgMjAyNS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XX0=&quot;},{&quot;citationID&quot;:&quot;MENDELEY_CITATION_28e0fa0c-abcd-4442-bc2a-c55d266c02c8&quot;,&quot;properties&quot;:{&quot;noteIndex&quot;:0},&quot;isEdited&quot;:false,&quot;manualOverride&quot;:{&quot;isManuallyOverridden&quot;:false,&quot;citeprocText&quot;:&quot;(Ntim and Soobaroyen, 2013; Vidal &lt;i&gt;et al.&lt;/i&gt;, 2023)&quot;,&quot;manualOverrideText&quot;:&quot;&quot;},&quot;citationItems&quot;:[{&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MjhlMGZhMGMtYWJjZC00NDQyLWJjMmEtYzU1ZDI2NmMwMmM4IiwicHJvcGVydGllcyI6eyJub3RlSW5kZXgiOjB9LCJpc0VkaXRlZCI6ZmFsc2UsIm1hbnVhbE92ZXJyaWRlIjp7ImlzTWFudWFsbHlPdmVycmlkZGVuIjpmYWxzZSwiY2l0ZXByb2NUZXh0IjoiKE50aW0gYW5kIFNvb2Jhcm95ZW4sIDIwMTM7IFZpZGFsIDxpPmV0IGFsLjwvaT4sIDIwMjMpIiwibWFudWFsT3ZlcnJpZGVUZXh0Ijoi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XX0=&quot;},{&quot;citationID&quot;:&quot;MENDELEY_CITATION_d31b3957-1c61-4da6-975f-ac92e7c25a7d&quot;,&quot;properties&quot;:{&quot;noteIndex&quot;:0},&quot;isEdited&quot;:false,&quot;manualOverride&quot;:{&quot;isManuallyOverridden&quot;:false,&quot;citeprocText&quot;:&quot;(Flynn and Walker, 2021a; LeBaron, 2020; Meyer and Rowan, 1977)&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f6de1282-9487-3c33-be2b-b61509a933f1&quot;,&quot;itemData&quot;:{&quot;type&quot;:&quot;book&quot;,&quot;id&quot;:&quot;f6de1282-9487-3c33-be2b-b61509a933f1&quot;,&quot;title&quot;:&quot;Combatting Modern Slavery : Why Labour Governance is Failing and What We Can Do About It&quot;,&quot;author&quot;:[{&quot;family&quot;:&quot;LeBaron&quot;,&quot;given&quot;:&quot;Genevieve&quot;,&quot;parse-names&quot;:false,&quot;dropping-particle&quot;:&quot;&quot;,&quot;non-dropping-particle&quot;:&quot;&quot;}],&quot;accessed&quot;:{&quot;date-parts&quot;:[[2025,10,11]]},&quot;ISBN&quot;:&quot;9781509513680&quot;,&quot;URL&quot;:&quot;https://books.google.com/books/about/Combatting_Modern_Slavery.html?id=4pb-DwAAQBAJ&quot;,&quot;issued&quot;:{&quot;date-parts&quot;:[[2020,9,22]]},&quot;number-of-pages&quot;:&quot;1-224&quot;,&quot;abstract&quot;:&quot;Cover -- Title page -- Copyright page -- Contents -- Acknowledgements -- 1 Who Does Labour Governance Work For? -- What is Labour Governance? -- What is Modern Slavery? -- Why Global Labour Governance Is Failing -- This Book's Approach -- Corporations as Cause and Solution to Labour Abuse -- Corporations Save the World's Workers -- This Book's Arguments and Structure -- Labour exploitation in global supply chains -- Corporate power and the state -- The recruitment industry -- The enforcement industry -- Corporate Fairytales vs. Worker Power -- 2 Labour Exploitation in Global Supply Chains&quot;,&quot;publisher&quot;:&quot;Wiley Publication&quot;,&quot;container-title-short&quot;:&quot;&quot;},&quot;isTemporary&quot;:false},{&quot;id&quot;:&quot;a465f98e-a86e-3834-bec7-c4c3e6b5c0ad&quot;,&quot;itemData&quot;:{&quot;type&quot;:&quot;article-journal&quot;,&quot;id&quot;:&quot;a465f98e-a86e-3834-bec7-c4c3e6b5c0ad&quot;,&quot;title&quot;:&quot;Corporate responses to modern slavery risks: an institutional theory perspective&quot;,&quot;author&quot;:[{&quot;family&quot;:&quot;Flynn&quot;,&quot;given&quot;:&quot;Anthony&quot;,&quot;parse-names&quot;:false,&quot;dropping-particle&quot;:&quot;&quot;,&quot;non-dropping-particle&quot;:&quot;&quot;},{&quot;family&quot;:&quot;Walker&quot;,&quot;given&quot;:&quot;Helen&quot;,&quot;parse-names&quot;:false,&quot;dropping-particle&quot;:&quot;&quot;,&quot;non-dropping-particle&quot;:&quot;&quot;}],&quot;container-title&quot;:&quot;European Business Review&quot;,&quot;DOI&quot;:&quot;10.1108/EBR-05-2019-0092&quot;,&quot;ISSN&quot;:&quot;0955534X&quot;,&quot;issued&quot;:{&quot;date-parts&quot;:[[2021,2,4]]},&quot;page&quot;:&quot;295-315&quot;,&quot;abstract&quot;:&quot;Purpose: Drawing on statements made under the transparency in supply chains provision of the UK Modern Slavery Act, this paper aims to examine how firms are responding to modern slavery risks in their supply chains. Design/methodology/approach: Using an institutional theory lens, a content analysis of modern slavery statements by financial times stock exchange (FTSE) firms is carried out. The analysis focusses on sources of modern slavery institutional pressure and changes that firms have made in their structures, policies and practices in response to modern slavery risks. Findings: Three sources of institutional pressure are inferred from modern slavery statements: international human rights accords (coercive), multi-stakeholder initiatives (mimetic) and professional standards (normative). Changes made by firms in direct response to modern slavery include adopting new policies, strengthening contract terms, establishing working/steering groups and creating new key performance indicators. FTSE 100 firms have been more proactive than FTSE 250 firms in making these changes, as have firms in higher risk industries. Research limitations/implications: The analysis covers FTSE firms only. Responses to modern slavery risks by non-FTSE firms deserve attention. Practical implications: The UK Modern Slavery Act relies on non-government organisations and consumers to hold firms to account over modern slavery. Policymakers should be aware that while this strategy might work with high profile firms, it is less applicable to firms that operate below the public radar. Originality/value: The paper shows that institutional theory has validity for explaining corporate responses to modern slavery risks.&quot;,&quot;publisher&quot;:&quot;Emerald Group Holdings Ltd.&quot;,&quot;issue&quot;:&quot;2&quot;,&quot;volume&quot;:&quot;33&quot;,&quot;container-title-short&quot;:&quot;&quot;},&quot;isTemporary&quot;:false}],&quot;citationTag&quot;:&quot;MENDELEY_CITATION_v3_eyJjaXRhdGlvbklEIjoiTUVOREVMRVlfQ0lUQVRJT05fZDMxYjM5NTctMWM2MS00ZGE2LTk3NWYtYWM5MmU3YzI1YTdkIiwicHJvcGVydGllcyI6eyJub3RlSW5kZXgiOjB9LCJpc0VkaXRlZCI6ZmFsc2UsIm1hbnVhbE92ZXJyaWRlIjp7ImlzTWFudWFsbHlPdmVycmlkZGVuIjpmYWxzZSwiY2l0ZXByb2NUZXh0IjoiKEZseW5uIGFuZCBXYWxrZXIsIDIwMjFhOyBMZUJhcm9uLCAyMDIwOyBNZXllciBhbmQgUm93YW4sIDE5Nzc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&quot;},{&quot;citationID&quot;:&quot;MENDELEY_CITATION_b68b2ebc-5d4d-42a8-82f6-3e8129d570cc&quot;,&quot;properties&quot;:{&quot;noteIndex&quot;:0},&quot;isEdited&quot;:false,&quot;manualOverride&quot;:{&quot;isManuallyOverridden&quot;:false,&quot;citeprocText&quot;:&quot;(DiMaggio and Powell, 1983; Scott, 201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YjY4YjJlYmMtNWQ0ZC00MmE4LTgyZjYtM2U4MTI5ZDU3MGNj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quot;},{&quot;citationID&quot;:&quot;MENDELEY_CITATION_233e189b-ca52-4f57-b812-96d7a29fce5d&quot;,&quot;properties&quot;:{&quot;noteIndex&quot;:0},&quot;isEdited&quot;:false,&quot;manualOverride&quot;:{&quot;isManuallyOverridden&quot;:false,&quot;citeprocText&quot;:&quot;(Meyer and Rowan, 1977; Vidal &lt;i&gt;et al.&lt;/i&gt;, 2023)&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MjMzZTE4OWItY2E1Mi00ZjU3LWI4MTItOTZkN2EyOWZjZTVkIiwicHJvcGVydGllcyI6eyJub3RlSW5kZXgiOjB9LCJpc0VkaXRlZCI6ZmFsc2UsIm1hbnVhbE92ZXJyaWRlIjp7ImlzTWFudWFsbHlPdmVycmlkZGVuIjpmYWxzZSwiY2l0ZXByb2NUZXh0IjoiKE1leWVyIGFuZCBSb3dhbiwgMTk3NzsgVmlkYWwgPGk+ZXQgYWwuPC9pPiwgMjAyM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quot;},{&quot;citationID&quot;:&quot;MENDELEY_CITATION_3ec552e7-cbf8-4836-8d6c-3e7a19656538&quot;,&quot;properties&quot;:{&quot;noteIndex&quot;:0},&quot;isEdited&quot;:false,&quot;manualOverride&quot;:{&quot;isManuallyOverridden&quot;:false,&quot;citeprocText&quot;:&quot;(Houqe and Khan, 2025;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36c73eb7-c044-3ca3-9d8f-a7edb5e752c5&quot;,&quot;itemData&quot;:{&quot;type&quot;:&quot;article-journal&quot;,&quot;id&quot;:&quot;36c73eb7-c044-3ca3-9d8f-a7edb5e752c5&quot;,&quot;title&quot;:&quot;Corruption, sustainable development goals performance and modern slavery practices: an international evidence&quot;,&quot;author&quot;:[{&quot;family&quot;:&quot;Houqe&quot;,&quot;given&quot;:&quot;Muhammad Nurul&quot;,&quot;parse-names&quot;:false,&quot;dropping-particle&quot;:&quot;&quot;,&quot;non-dropping-particle&quot;:&quot;&quot;},{&quot;family&quot;:&quot;Khan&quot;,&quot;given&quot;:&quot;Habib Zaman&quot;,&quot;parse-names&quot;:false,&quot;dropping-particle&quot;:&quot;&quot;,&quot;non-dropping-particle&quot;:&quot;&quot;}],&quot;container-title&quot;:&quot;Journal of Accounting Literature&quot;,&quot;DOI&quot;:&quot;10.1108/JAL-03-2024-0045&quot;,&quot;ISSN&quot;:&quot;07374607&quot;,&quot;issued&quot;:{&quot;date-parts&quot;:[[2025]]},&quot;page&quot;:&quot;323-351&quot;,&quot;abstract&quot;:&quot;Purpose: This study examines the two key research question; (1) Does country-level corruption give rise to modern slavery (MS) practices and (2) Does sustainable development goals (SDGs) performance of different jurisdictions reduce MS practices? Design/methodology/approach: Using a sample of 431 country-year observations (for the period of 2016, 2018 and 2023) from 146 countries, the study test hypotheses applying different econometrics analysis and conducts robustness tests. Findings: Our results indicate that country-level corruption practices increase MS practices in different contexts. These results hold when we use alternative measures for MS construct. Our study also reported that MS practices in different jurisdictions are lessened when country-level SDGs performance is higher. Our additional analysis finds that higher country-level debt serves as a channel between corruption and MS practices. Research limitations/implications: Practically, the findings of the study have a take-away message for different global actors, in particular, different countries’ governments, national regulators working to abate corruption and slavery issues. For other actors such as the United Nations, the ILO and others, the findings will have practical value for their new policy development and interventions. Originality/value: To the best of our knowledge, this study is the first that investigated the role of country-level corruption on MS practice at the country level. Similarly, our attempt towards exploring the impact of country-level sustainable development goals (SDGs) performance on the MS practices is also primary in the literature. Lastly, developing a single framework by integrating different countries’ MS practices with corruption and SDGs performance and providing related empirical evidence with global level data is a new initiative in the accounting and sustainability literature.&quot;,&quot;publisher&quot;:&quot;Emerald Publishing&quot;,&quot;issue&quot;:&quot;5&quot;,&quot;volume&quot;:&quot;47&quot;},&quot;isTemporary&quot;:false}],&quot;citationTag&quot;:&quot;MENDELEY_CITATION_v3_eyJjaXRhdGlvbklEIjoiTUVOREVMRVlfQ0lUQVRJT05fM2VjNTUyZTctY2JmOC00ODM2LThkNmMtM2U3YTE5NjU2NTM4IiwicHJvcGVydGllcyI6eyJub3RlSW5kZXgiOjB9LCJpc0VkaXRlZCI6ZmFsc2UsIm1hbnVhbE92ZXJyaWRlIjp7ImlzTWFudWFsbHlPdmVycmlkZGVuIjpmYWxzZSwiY2l0ZXByb2NUZXh0IjoiKEhvdXFlIGFuZCBLaGFuLCAyMDI1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&quot;},{&quot;citationID&quot;:&quot;MENDELEY_CITATION_a00fb06b-0aa2-40ad-81a6-ff49b66da9f2&quot;,&quot;properties&quot;:{&quot;noteIndex&quot;:0},&quot;isEdited&quot;:false,&quot;manualOverride&quot;:{&quot;isManuallyOverridden&quot;:false,&quot;citeprocText&quot;:&quot;(Ntim and Soobaroyen, 2013; Vidal &lt;i&gt;et al.&lt;/i&gt;, 2023)&quot;,&quot;manualOverrideText&quot;:&quot;&quot;},&quot;citationItems&quot;:[{&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YTAwZmIwNmItMGFhMi00MGFkLTgxYTYtZmY0OWI2NmRhOWYyIiwicHJvcGVydGllcyI6eyJub3RlSW5kZXgiOjB9LCJpc0VkaXRlZCI6ZmFsc2UsIm1hbnVhbE92ZXJyaWRlIjp7ImlzTWFudWFsbHlPdmVycmlkZGVuIjpmYWxzZSwiY2l0ZXByb2NUZXh0IjoiKE50aW0gYW5kIFNvb2Jhcm95ZW4sIDIwMTM7IFZpZGFsIDxpPmV0IGFsLjwvaT4sIDIwMjMpIiwibWFudWFsT3ZlcnJpZGVUZXh0Ijoi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XX0=&quot;},{&quot;citationID&quot;:&quot;MENDELEY_CITATION_81f66ab8-b545-4a05-9e34-bfc0958363c8&quot;,&quot;properties&quot;:{&quot;noteIndex&quot;:0},&quot;isEdited&quot;:false,&quot;manualOverride&quot;:{&quot;isManuallyOverridden&quot;:false,&quot;citeprocText&quot;:&quot;(Bartley, 2018; Crane &lt;i&gt;et al.&lt;/i&gt;, 2019)&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3b3dce06-ae94-3fe8-ab0d-b927b1b368aa&quot;,&quot;itemData&quot;:{&quot;type&quot;:&quot;book&quot;,&quot;id&quot;:&quot;3b3dce06-ae94-3fe8-ab0d-b927b1b368aa&quot;,&quot;title&quot;:&quot;Rules without rights : land, labor, and private authority in the global economy&quot;,&quot;author&quot;:[{&quot;family&quot;:&quot;Bartley&quot;,&quot;given&quot;:&quot;Tim.&quot;,&quot;parse-names&quot;:false,&quot;dropping-particle&quot;:&quot;&quot;,&quot;non-dropping-particle&quot;:&quot;&quot;}],&quot;ISBN&quot;:&quot;9780198794332&quot;,&quot;issued&quot;:{&quot;date-parts&quot;:[[2018]]},&quot;publisher-place&quot;:&quot;Oxford&quot;,&quot;abstract&quot;:&quot;Activists have exposed startling forms of labor exploitation and environmental degradation in global industries, leading many large retailers and brands to adopt standards for fairness and sustainability. This book is about the idea that transnational corporations can push these standards through their global supply chains, and in effect, pull factories, forests, and farms out of their local contexts and up to global best practices. For many scholars and practitioners, this kind of private regulation and global standard-setting can provide an alternative to regulation by territorially-bound, gridlocked, or incapacitated nation states, potentially improving environments and working conditions around the world and protecting the rights of exploited workers, impoverished farmers, and marginalized communities. But can private, voluntary standards actually create meaningful forms of regulation? Are forests and factories around the world actually being made into sustainable ecosystems and decent workplaces? Can global norms remake local orders? This book provides striking new answers by comparing the private regulation of land and labor in democratic and authoritarian settings. Case studies of sustainable forestry and fair labour standards in Indonesia and China show not only how transnational standards are implemented 'on the ground' but also how they are constrained and reconfigured by domestic governance. Combining rich multi-method analyses, a powerful comparative approach, and a new theory of private regulation, Rules without Rights reveals the contours and contradictions of transnational governance. Transformations in Governance is a major new academic book series from Oxford University Press. It is designed to accommodate the impressive growth of research in comparative politics, international relations, public policy, federalism, environmental and urban studies concerned with the dispersion of authority from central states up to supranational institutions, down to subnational governments, and side-ways to public-private networks. It brings together work that significantly advances our understanding of the organization, causes, and consequences of multilevel and complex governance. The series is selective, containing annually a small number of books of exceptionally high quality by leading and emerging scholars. The series targets mainly single-authored or co-authored work, but it is pluralistic in terms of disciplinary specialization, research design, method, and geographical scope. Case studies as well as comparative studies, historical as well as contemporary studies, and studies with a national, regional, or international focus are all central to its aims. Authors use qualitative, quantitative, formal modeling, or mixed methods. A trade mark of the books is that they combine scholarly rigour with readable prose and an attractive production style. The series is edited by Liesbet Hooghe and Gary Marks of the University of North Carolina, Chapel Hill, and Walter Mattli of the University of Oxford. Cover; Rules without Rights: Land, Labor, and Private Authority in the Global Economy; Copyright; Acknowledgments; Table of Contents; List of Figures; List of Tables; 1: Transnational Standards and Empty Spaces; Retailers to the Rescue: The Rise of Transnational Private Regulation; Markets, states, and civil society in the rise of transnational private regulation; A Cross-field, Cross-national Approach; Land and labor; CERTIFYING SUSTAINABLE FORESTRY; AUDITING LABOR STANDARDS; TOWARD A COMPARISON; Democracy and authoritarianism; THE POLITICS OF PRODUCTION IN CHINA AND INDONESIA&quot;,&quot;edition&quot;:&quot;1&quot;,&quot;publisher&quot;:&quot;Oxford University Press&quot;,&quot;container-title-short&quot;:&quot;&quot;},&quot;isTemporary&quot;:false}],&quot;citationTag&quot;:&quot;MENDELEY_CITATION_v3_eyJjaXRhdGlvbklEIjoiTUVOREVMRVlfQ0lUQVRJT05fODFmNjZhYjgtYjU0NS00YTA1LTllMzQtYmZjMDk1ODM2M2M4IiwicHJvcGVydGllcyI6eyJub3RlSW5kZXgiOjB9LCJpc0VkaXRlZCI6ZmFsc2UsIm1hbnVhbE92ZXJyaWRlIjp7ImlzTWFudWFsbHlPdmVycmlkZGVuIjpmYWxzZSwiY2l0ZXByb2NUZXh0IjoiKEJhcnRsZXksIDIwMTg7IENyYW5lIDxpPmV0IGFsLjwvaT4sIDIwMTk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&quot;},{&quot;citationID&quot;:&quot;MENDELEY_CITATION_85ea7319-23b5-48a8-b6c4-34a1242d5257&quot;,&quot;properties&quot;:{&quot;noteIndex&quot;:0},&quot;isEdited&quot;:false,&quot;manualOverride&quot;:{&quot;isManuallyOverridden&quot;:false,&quot;citeprocText&quot;:&quot;(Albitar &lt;i&gt;et al.&lt;/i&gt;, 2025; Moussa &lt;i&gt;et al.&lt;/i&gt;, 2022)&quot;,&quot;manualOverrideText&quot;:&quot;&quot;},&quot;citationItems&quot;:[{&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ODVlYTczMTktMjNiNS00OGE4LWI2YzQtMzRhMTI0MmQ1MjU3IiwicHJvcGVydGllcyI6eyJub3RlSW5kZXgiOjB9LCJpc0VkaXRlZCI6ZmFsc2UsIm1hbnVhbE92ZXJyaWRlIjp7ImlzTWFudWFsbHlPdmVycmlkZGVuIjpmYWxzZSwiY2l0ZXByb2NUZXh0IjoiKEFsYml0YXIgPGk+ZXQgYWwuPC9pPiwgMjAyNTsgTW91c3NhIDxpPmV0IGFsLjwvaT4sIDIwMjIpIiwibWFudWFsT3ZlcnJpZGVUZXh0IjoiIn0sImNpdGF0aW9uSXRlbXMiOlt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quot;},{&quot;citationID&quot;:&quot;MENDELEY_CITATION_bb723c45-8caf-4a3f-92e7-0d21730dd76f&quot;,&quot;properties&quot;:{&quot;noteIndex&quot;:0},&quot;isEdited&quot;:false,&quot;manualOverride&quot;:{&quot;isManuallyOverridden&quot;:false,&quot;citeprocText&quot;:&quot;(Kaufmann &lt;i&gt;et al.&lt;/i&gt;, 2011)&quot;,&quot;manualOverrideText&quot;:&quot;&quot;},&quot;citationItems&quot;:[{&quot;id&quot;:&quot;d54ee7b6-aa59-392d-9ca5-f3497acaca83&quot;,&quot;itemData&quot;:{&quot;type&quot;:&quot;article-journal&quot;,&quot;id&quot;:&quot;d54ee7b6-aa59-392d-9ca5-f3497acaca83&quot;,&quot;title&quot;:&quot;The worldwide governance indicators: Methodology and analytical issues&quot;,&quot;author&quot;:[{&quot;family&quot;:&quot;Kaufmann&quot;,&quot;given&quot;:&quot;Daniel&quot;,&quot;parse-names&quot;:false,&quot;dropping-particle&quot;:&quot;&quot;,&quot;non-dropping-particle&quot;:&quot;&quot;},{&quot;family&quot;:&quot;Kraay&quot;,&quot;given&quot;:&quot;Aart&quot;,&quot;parse-names&quot;:false,&quot;dropping-particle&quot;:&quot;&quot;,&quot;non-dropping-particle&quot;:&quot;&quot;},{&quot;family&quot;:&quot;Mastruzzi&quot;,&quot;given&quot;:&quot;Massimo&quot;,&quot;parse-names&quot;:false,&quot;dropping-particle&quot;:&quot;&quot;,&quot;non-dropping-particle&quot;:&quot;&quot;}],&quot;container-title&quot;:&quot;Hague Journal on the Rule of Law&quot;,&quot;DOI&quot;:&quot;10.1017/S1876404511200046&quot;,&quot;ISSN&quot;:&quot;18764053&quot;,&quot;issued&quot;:{&quot;date-parts&quot;:[[2011,6,4]]},&quot;page&quot;:&quot;220-246&quot;,&quot;abstract&quot;:&quot;This paper summarizes the methodology of the Worldwide Governance Indicators (WGI) project, and related analytical issues. The WGI has covered over two hundred countries and territories, measuring six dimensions of governance starting in 1996: Voice and Accountability, Political Stability and Absence of Violence/Terrorism, Government Effectiveness, Regulatory Quality, Rule of Law, and Control of Corruption. The aggregate indicators are based on several hundred individual underlying variables, taken from a wide variety of existing data sources. The data reflect the views on governance of survey respondents and public, private, and NGO sector experts worldwide. We also explicitly report margins of error accompanying each country estimate. These reflect the inherent difficulties in measuring governance using any kind of data. We find that even after taking margins of error into account, the WGI permit meaningful cross-country and over-time comparisons. The aggregate indicators, together with the disaggregated underlying source data, are available at www.govindicators.org.&quot;,&quot;publisher&quot;:&quot;Springer Science and Business Media B.V.&quot;,&quot;issue&quot;:&quot;2&quot;,&quot;volume&quot;:&quot;3&quot;,&quot;container-title-short&quot;:&quot;&quot;},&quot;isTemporary&quot;:false}],&quot;citationTag&quot;:&quot;MENDELEY_CITATION_v3_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&quot;},{&quot;citationID&quot;:&quot;MENDELEY_CITATION_13b7c34a-dd84-4429-8c6b-30c5f73b0837&quot;,&quot;properties&quot;:{&quot;noteIndex&quot;:0},&quot;isEdited&quot;:false,&quot;manualOverride&quot;:{&quot;isManuallyOverridden&quot;:false,&quot;citeprocText&quot;:&quot;(Kaufmann &lt;i&gt;et al.&lt;/i&gt;, 2011)&quot;,&quot;manualOverrideText&quot;:&quot;&quot;},&quot;citationItems&quot;:[{&quot;id&quot;:&quot;d54ee7b6-aa59-392d-9ca5-f3497acaca83&quot;,&quot;itemData&quot;:{&quot;type&quot;:&quot;article-journal&quot;,&quot;id&quot;:&quot;d54ee7b6-aa59-392d-9ca5-f3497acaca83&quot;,&quot;title&quot;:&quot;The worldwide governance indicators: Methodology and analytical issues&quot;,&quot;author&quot;:[{&quot;family&quot;:&quot;Kaufmann&quot;,&quot;given&quot;:&quot;Daniel&quot;,&quot;parse-names&quot;:false,&quot;dropping-particle&quot;:&quot;&quot;,&quot;non-dropping-particle&quot;:&quot;&quot;},{&quot;family&quot;:&quot;Kraay&quot;,&quot;given&quot;:&quot;Aart&quot;,&quot;parse-names&quot;:false,&quot;dropping-particle&quot;:&quot;&quot;,&quot;non-dropping-particle&quot;:&quot;&quot;},{&quot;family&quot;:&quot;Mastruzzi&quot;,&quot;given&quot;:&quot;Massimo&quot;,&quot;parse-names&quot;:false,&quot;dropping-particle&quot;:&quot;&quot;,&quot;non-dropping-particle&quot;:&quot;&quot;}],&quot;container-title&quot;:&quot;Hague Journal on the Rule of Law&quot;,&quot;DOI&quot;:&quot;10.1017/S1876404511200046&quot;,&quot;ISSN&quot;:&quot;18764053&quot;,&quot;issued&quot;:{&quot;date-parts&quot;:[[2011,6,4]]},&quot;page&quot;:&quot;220-246&quot;,&quot;abstract&quot;:&quot;This paper summarizes the methodology of the Worldwide Governance Indicators (WGI) project, and related analytical issues. The WGI has covered over two hundred countries and territories, measuring six dimensions of governance starting in 1996: Voice and Accountability, Political Stability and Absence of Violence/Terrorism, Government Effectiveness, Regulatory Quality, Rule of Law, and Control of Corruption. The aggregate indicators are based on several hundred individual underlying variables, taken from a wide variety of existing data sources. The data reflect the views on governance of survey respondents and public, private, and NGO sector experts worldwide. We also explicitly report margins of error accompanying each country estimate. These reflect the inherent difficulties in measuring governance using any kind of data. We find that even after taking margins of error into account, the WGI permit meaningful cross-country and over-time comparisons. The aggregate indicators, together with the disaggregated underlying source data, are available at www.govindicators.org.&quot;,&quot;publisher&quot;:&quot;Springer Science and Business Media B.V.&quot;,&quot;issue&quot;:&quot;2&quot;,&quot;volume&quot;:&quot;3&quot;,&quot;container-title-short&quot;:&quot;&quot;},&quot;isTemporary&quot;:false}],&quot;citationTag&quot;:&quot;MENDELEY_CITATION_v3_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&quot;},{&quot;citationID&quot;:&quot;MENDELEY_CITATION_a812c3ac-1810-4ec6-bf38-0c73eaec822b&quot;,&quot;properties&quot;:{&quot;noteIndex&quot;:0},&quot;isEdited&quot;:false,&quot;manualOverride&quot;:{&quot;isManuallyOverridden&quot;:false,&quot;citeprocText&quot;:&quot;(Davis, 2017;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5d2ec5d0-8c0b-3f23-bfb8-195aa0896649&quot;,&quot;itemData&quot;:{&quot;type&quot;:&quot;article-journal&quot;,&quot;id&quot;:&quot;5d2ec5d0-8c0b-3f23-bfb8-195aa0896649&quot;,&quot;title&quot;:&quot;Good governance as a foundation for sustainable human development in sub-Saharan Africa&quot;,&quot;author&quot;:[{&quot;family&quot;:&quot;Davis&quot;,&quot;given&quot;:&quot;Theodore J.&quot;,&quot;parse-names&quot;:false,&quot;dropping-particle&quot;:&quot;&quot;,&quot;non-dropping-particle&quot;:&quot;&quot;}],&quot;container-title&quot;:&quot;Third World Quarterly&quot;,&quot;container-title-short&quot;:&quot;Third World Q&quot;,&quot;DOI&quot;:&quot;10.1080/01436597.2016.1191340&quot;,&quot;ISSN&quot;:&quot;13602241&quot;,&quot;issued&quot;:{&quot;date-parts&quot;:[[2017,3,4]]},&quot;page&quot;:&quot;636-654&quot;,&quot;abstract&quot;:&quot;Data indicate that good governance and human development continue to be major issues throughout sub-Saharan Africa. The findings show a significant relationship between the measures of good governance and human development. The findings suggest that policies and efforts aimed at improving government effectiveness and political stability would have the most significant impact on human development and poverty reduction efforts. The findings lend support to the adoption of integrated policy approaches that take into consideration political development along with economic development to reduce poverty in sub-Saharan Africa.&quot;,&quot;publisher&quot;:&quot;Routledge&quot;,&quot;issue&quot;:&quot;3&quot;,&quot;volume&quot;:&quot;38&quot;},&quot;isTemporary&quot;:false}],&quot;citationTag&quot;:&quot;MENDELEY_CITATION_v3_eyJjaXRhdGlvbklEIjoiTUVOREVMRVlfQ0lUQVRJT05fYTgxMmMzYWMtMTgxMC00ZWM2LWJmMzgtMGM3M2VhZWM4MjJiIiwicHJvcGVydGllcyI6eyJub3RlSW5kZXgiOjB9LCJpc0VkaXRlZCI6ZmFsc2UsIm1hbnVhbE92ZXJyaWRlIjp7ImlzTWFudWFsbHlPdmVycmlkZGVuIjpmYWxzZSwiY2l0ZXByb2NUZXh0IjoiKERhdmlzLCAyMDE3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&quot;},{&quot;citationID&quot;:&quot;MENDELEY_CITATION_d49519fa-5b86-405b-802c-5644d3b1d7f5&quot;,&quot;properties&quot;:{&quot;noteIndex&quot;:0},&quot;isEdited&quot;:false,&quot;manualOverride&quot;:{&quot;isManuallyOverridden&quot;:false,&quot;citeprocText&quot;:&quot;(Kaufmann, 2022)&quot;,&quot;manualOverrideText&quot;:&quot;&quot;},&quot;citationItems&quot;:[{&quot;id&quot;:&quot;a89b8503-e633-3cae-9e51-1bb0120f571f&quot;,&quot;itemData&quot;:{&quot;type&quot;:&quot;webpage&quot;,&quot;id&quot;:&quot;a89b8503-e633-3cae-9e51-1bb0120f571f&quot;,&quot;title&quot;:&quot;The Worldwide Governance Indicators&quot;,&quot;author&quot;:[{&quot;family&quot;:&quot;Kaufmann&quot;,&quot;given&quot;:&quot;D&quot;,&quot;parse-names&quot;:false,&quot;dropping-particle&quot;:&quot;&quot;,&quot;non-dropping-particle&quot;:&quot;&quot;}],&quot;accessed&quot;:{&quot;date-parts&quot;:[[2023,3,22]]},&quot;URL&quot;:&quot;https://info.worldbank.org/governance/wgi/&quot;,&quot;issued&quot;:{&quot;date-parts&quot;:[[2022]]},&quot;container-title-short&quot;:&quot;&quot;},&quot;isTemporary&quot;:false}],&quot;citationTag&quot;:&quot;MENDELEY_CITATION_v3_eyJjaXRhdGlvbklEIjoiTUVOREVMRVlfQ0lUQVRJT05fZDQ5NTE5ZmEtNWI4Ni00MDViLTgwMmMtNTY0NGQzYjFkN2Y1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quot;},{&quot;citationID&quot;:&quot;MENDELEY_CITATION_4377d1db-37c4-4dca-97c6-c5935c461be0&quot;,&quot;properties&quot;:{&quot;noteIndex&quot;:0},&quot;isEdited&quot;:false,&quot;manualOverride&quot;:{&quot;isManuallyOverridden&quot;:false,&quot;citeprocText&quot;:&quot;(Kaufmann, 2022)&quot;,&quot;manualOverrideText&quot;:&quot;&quot;},&quot;citationItems&quot;:[{&quot;id&quot;:&quot;a89b8503-e633-3cae-9e51-1bb0120f571f&quot;,&quot;itemData&quot;:{&quot;type&quot;:&quot;webpage&quot;,&quot;id&quot;:&quot;a89b8503-e633-3cae-9e51-1bb0120f571f&quot;,&quot;title&quot;:&quot;The Worldwide Governance Indicators&quot;,&quot;author&quot;:[{&quot;family&quot;:&quot;Kaufmann&quot;,&quot;given&quot;:&quot;D&quot;,&quot;parse-names&quot;:false,&quot;dropping-particle&quot;:&quot;&quot;,&quot;non-dropping-particle&quot;:&quot;&quot;}],&quot;accessed&quot;:{&quot;date-parts&quot;:[[2023,3,22]]},&quot;URL&quot;:&quot;https://info.worldbank.org/governance/wgi/&quot;,&quot;issued&quot;:{&quot;date-parts&quot;:[[2022]]},&quot;container-title-short&quot;:&quot;&quot;},&quot;isTemporary&quot;:false}],&quot;citationTag&quot;:&quot;MENDELEY_CITATION_v3_eyJjaXRhdGlvbklEIjoiTUVOREVMRVlfQ0lUQVRJT05fNDM3N2QxZGItMzdjNC00ZGNhLTk3YzYtYzU5MzVjNDYxYmUw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quot;},{&quot;citationID&quot;:&quot;MENDELEY_CITATION_f5c8339c-daf8-4e0c-9610-8ffc82db6ba1&quot;,&quot;properties&quot;:{&quot;noteIndex&quot;:0},&quot;isEdited&quot;:false,&quot;manualOverride&quot;:{&quot;isManuallyOverridden&quot;:false,&quot;citeprocText&quot;:&quot;(Kaufmann, 2022)&quot;,&quot;manualOverrideText&quot;:&quot;&quot;},&quot;citationItems&quot;:[{&quot;id&quot;:&quot;a89b8503-e633-3cae-9e51-1bb0120f571f&quot;,&quot;itemData&quot;:{&quot;type&quot;:&quot;webpage&quot;,&quot;id&quot;:&quot;a89b8503-e633-3cae-9e51-1bb0120f571f&quot;,&quot;title&quot;:&quot;The Worldwide Governance Indicators&quot;,&quot;author&quot;:[{&quot;family&quot;:&quot;Kaufmann&quot;,&quot;given&quot;:&quot;D&quot;,&quot;parse-names&quot;:false,&quot;dropping-particle&quot;:&quot;&quot;,&quot;non-dropping-particle&quot;:&quot;&quot;}],&quot;accessed&quot;:{&quot;date-parts&quot;:[[2023,3,22]]},&quot;URL&quot;:&quot;https://info.worldbank.org/governance/wgi/&quot;,&quot;issued&quot;:{&quot;date-parts&quot;:[[2022]]},&quot;container-title-short&quot;:&quot;&quot;},&quot;isTemporary&quot;:false}],&quot;citationTag&quot;:&quot;MENDELEY_CITATION_v3_eyJjaXRhdGlvbklEIjoiTUVOREVMRVlfQ0lUQVRJT05fZjVjODMzOWMtZGFmOC00ZTBjLTk2MTAtOGZmYzgyZGI2YmEx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quot;},{&quot;citationID&quot;:&quot;MENDELEY_CITATION_2500954c-d6ae-41f8-9a19-ab5b6180352c&quot;,&quot;properties&quot;:{&quot;noteIndex&quot;:0},&quot;isEdited&quot;:false,&quot;manualOverride&quot;:{&quot;isManuallyOverridden&quot;:false,&quot;citeprocText&quot;:&quot;(Kaufmann, 2022)&quot;,&quot;manualOverrideText&quot;:&quot;&quot;},&quot;citationItems&quot;:[{&quot;id&quot;:&quot;a89b8503-e633-3cae-9e51-1bb0120f571f&quot;,&quot;itemData&quot;:{&quot;type&quot;:&quot;webpage&quot;,&quot;id&quot;:&quot;a89b8503-e633-3cae-9e51-1bb0120f571f&quot;,&quot;title&quot;:&quot;The Worldwide Governance Indicators&quot;,&quot;author&quot;:[{&quot;family&quot;:&quot;Kaufmann&quot;,&quot;given&quot;:&quot;D&quot;,&quot;parse-names&quot;:false,&quot;dropping-particle&quot;:&quot;&quot;,&quot;non-dropping-particle&quot;:&quot;&quot;}],&quot;accessed&quot;:{&quot;date-parts&quot;:[[2023,3,22]]},&quot;URL&quot;:&quot;https://info.worldbank.org/governance/wgi/&quot;,&quot;issued&quot;:{&quot;date-parts&quot;:[[2022]]},&quot;container-title-short&quot;:&quot;&quot;},&quot;isTemporary&quot;:false}],&quot;citationTag&quot;:&quot;MENDELEY_CITATION_v3_eyJjaXRhdGlvbklEIjoiTUVOREVMRVlfQ0lUQVRJT05fMjUwMDk1NGMtZDZhZS00MWY4LTlhMTktYWI1YjYxODAzNTJj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quot;},{&quot;citationID&quot;:&quot;MENDELEY_CITATION_3a3dd27c-a166-4789-83c7-6415e2d8635f&quot;,&quot;properties&quot;:{&quot;noteIndex&quot;:0},&quot;isEdited&quot;:false,&quot;manualOverride&quot;:{&quot;isManuallyOverridden&quot;:false,&quot;citeprocText&quot;:&quot;(Kaufmann, 2022)&quot;,&quot;manualOverrideText&quot;:&quot;&quot;},&quot;citationItems&quot;:[{&quot;id&quot;:&quot;a89b8503-e633-3cae-9e51-1bb0120f571f&quot;,&quot;itemData&quot;:{&quot;type&quot;:&quot;webpage&quot;,&quot;id&quot;:&quot;a89b8503-e633-3cae-9e51-1bb0120f571f&quot;,&quot;title&quot;:&quot;The Worldwide Governance Indicators&quot;,&quot;author&quot;:[{&quot;family&quot;:&quot;Kaufmann&quot;,&quot;given&quot;:&quot;D&quot;,&quot;parse-names&quot;:false,&quot;dropping-particle&quot;:&quot;&quot;,&quot;non-dropping-particle&quot;:&quot;&quot;}],&quot;accessed&quot;:{&quot;date-parts&quot;:[[2023,3,22]]},&quot;URL&quot;:&quot;https://info.worldbank.org/governance/wgi/&quot;,&quot;issued&quot;:{&quot;date-parts&quot;:[[2022]]},&quot;container-title-short&quot;:&quot;&quot;},&quot;isTemporary&quot;:false}],&quot;citationTag&quot;:&quot;MENDELEY_CITATION_v3_eyJjaXRhdGlvbklEIjoiTUVOREVMRVlfQ0lUQVRJT05fM2EzZGQyN2MtYTE2Ni00Nzg5LTgzYzctNjQxNWUyZDg2MzVm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quot;},{&quot;citationID&quot;:&quot;MENDELEY_CITATION_194537b1-2a4c-4447-98c5-b6137645e534&quot;,&quot;properties&quot;:{&quot;noteIndex&quot;:0},&quot;isEdited&quot;:false,&quot;manualOverride&quot;:{&quot;isManuallyOverridden&quot;:false,&quot;citeprocText&quot;:&quot;(Kaufmann, 2022)&quot;,&quot;manualOverrideText&quot;:&quot;&quot;},&quot;citationItems&quot;:[{&quot;id&quot;:&quot;a89b8503-e633-3cae-9e51-1bb0120f571f&quot;,&quot;itemData&quot;:{&quot;type&quot;:&quot;webpage&quot;,&quot;id&quot;:&quot;a89b8503-e633-3cae-9e51-1bb0120f571f&quot;,&quot;title&quot;:&quot;The Worldwide Governance Indicators&quot;,&quot;author&quot;:[{&quot;family&quot;:&quot;Kaufmann&quot;,&quot;given&quot;:&quot;D&quot;,&quot;parse-names&quot;:false,&quot;dropping-particle&quot;:&quot;&quot;,&quot;non-dropping-particle&quot;:&quot;&quot;}],&quot;accessed&quot;:{&quot;date-parts&quot;:[[2023,3,22]]},&quot;URL&quot;:&quot;https://info.worldbank.org/governance/wgi/&quot;,&quot;issued&quot;:{&quot;date-parts&quot;:[[2022]]},&quot;container-title-short&quot;:&quot;&quot;},&quot;isTemporary&quot;:false}],&quot;citationTag&quot;:&quot;MENDELEY_CITATION_v3_eyJjaXRhdGlvbklEIjoiTUVOREVMRVlfQ0lUQVRJT05fMTk0NTM3YjEtMmE0Yy00NDQ3LTk4YzUtYjYxMzc2NDVlNTM0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quot;},{&quot;citationID&quot;:&quot;MENDELEY_CITATION_a5624c38-faf2-45bf-bf02-dc9d5e5ca0b1&quot;,&quot;properties&quot;:{&quot;noteIndex&quot;:0},&quot;isEdited&quot;:false,&quot;manualOverride&quot;:{&quot;isManuallyOverridden&quot;:false,&quot;citeprocText&quot;:&quot;(Albitar &lt;i&gt;et al.&lt;/i&gt;, 2025; Crane &lt;i&gt;et al.&lt;/i&gt;, 2019;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citationTag&quot;:&quot;MENDELEY_CITATION_v3_eyJjaXRhdGlvbklEIjoiTUVOREVMRVlfQ0lUQVRJT05fYTU2MjRjMzgtZmFmMi00NWJmLWJmMDItZGM5ZDVlNWNhMGIxIiwicHJvcGVydGllcyI6eyJub3RlSW5kZXgiOjB9LCJpc0VkaXRlZCI6ZmFsc2UsIm1hbnVhbE92ZXJyaWRlIjp7ImlzTWFudWFsbHlPdmVycmlkZGVuIjpmYWxzZSwiY2l0ZXByb2NUZXh0IjoiKEFsYml0YXIgPGk+ZXQgYWwuPC9pPiwgMjAyNTsgQ3JhbmUgPGk+ZXQgYWwuPC9pPiwgMjAxO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0s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XX0=&quot;},{&quot;citationID&quot;:&quot;MENDELEY_CITATION_da5d4f02-ec98-454f-b9b7-bc287d0b80c0&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ZGE1ZDRmMDItZWM5OC00NTRmLWI5YjctYmMyODdkMGI4MGMw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21ea908d-8b94-436a-89c8-089d31117d38&quot;,&quot;properties&quot;:{&quot;noteIndex&quot;:0},&quot;isEdited&quot;:false,&quot;manualOverride&quot;:{&quot;isManuallyOverridden&quot;:false,&quot;citeprocText&quot;:&quot;(Ahmed &lt;i&gt;et al.&lt;/i&gt;, 2025; Moussa &lt;i&gt;et al.&lt;/i&gt;, 2022)&quot;,&quot;manualOverrideText&quot;:&quot;&quot;},&quot;citationItems&quot;:[{&quot;id&quot;:&quot;85fb0bc2-faaf-3b59-8885-266bc0c19bd3&quot;,&quot;itemData&quot;:{&quot;type&quot;:&quot;article-journal&quot;,&quot;id&quot;:&quot;85fb0bc2-faaf-3b59-8885-266bc0c19bd3&quot;,&quot;title&quot;:&quot;Mastanocracy: The legitimization of criminal governance and violence in Bangladesh’s garment industry&quot;,&quot;author&quot;:[{&quot;family&quot;:&quot;Ahmed&quot;,&quot;given&quot;:&quot;Shoaib&quot;,&quot;parse-names&quot;:false,&quot;dropping-particle&quot;:&quot;&quot;,&quot;non-dropping-particle&quot;:&quot;&quot;},{&quot;family&quot;:&quot;Alawattage&quot;,&quot;given&quot;:&quot;Chandana&quot;,&quot;parse-names&quot;:false,&quot;dropping-particle&quot;:&quot;&quot;,&quot;non-dropping-particle&quot;:&quot;&quot;},{&quot;family&quot;:&quot;Jayasinghe&quot;,&quot;given&quot;:&quot;Kelum&quot;,&quot;parse-names&quot;:false,&quot;dropping-particle&quot;:&quot;&quot;,&quot;non-dropping-particle&quot;:&quot;&quot;}],&quot;container-title&quot;:&quot;Human Relations&quot;,&quot;DOI&quot;:&quot;10.1177/00187267251383441&quot;,&quot;ISSN&quot;:&quot;1741282X&quot;,&quot;issued&quot;:{&quot;date-parts&quot;:[[2025]]},&quot;abstract&quot;:&quot;The operation of criminal governance within formal-legal industrial contexts connected to global supply chains remains insufficiently theorized in management and organization studies (MOS). How such governance legitimizes violence against marginalized workers both within and beyond organizational boundaries also remains critically underexplored. By analysing the paradoxical normalization of criminality and violence within Bangladesh’s garment industry, this study exposes the systemic embeddedness of mastans, politically connected criminals, within export-oriented industrial governance. We conceptualize this entanglement as mastanocracy, a hybrid political formation of violent criminal governance that operates legitimately at the nexus of corruption, democratic erosion, elite power and social polarization, advancing the neoliberal economic and political agendas of dominant actors. This research extends MOS by broadening the boundary conditions under which criminal governance is legitimized in a formal-legal industrial environment in the Global South. It also advances the discourse on violence in contemporary organizations by revealing the broader cultural, social and political dynamics that normalize violence within and beyond organizational boundaries, compelling millions of marginalized workers to live and work under regimes of criminal governance.&quot;,&quot;publisher&quot;:&quot;SAGE Publications Ltd&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quot;},{&quot;citationID&quot;:&quot;MENDELEY_CITATION_04f8423b-8479-4f75-bcd5-8eec60dd7abb&quot;,&quot;properties&quot;:{&quot;noteIndex&quot;:0},&quot;isEdited&quot;:false,&quot;manualOverride&quot;:{&quot;isManuallyOverridden&quot;:false,&quot;citeprocText&quot;:&quot;(Houqe and Khan, 2025)&quot;,&quot;manualOverrideText&quot;:&quot;&quot;},&quot;citationItems&quot;:[{&quot;id&quot;:&quot;36c73eb7-c044-3ca3-9d8f-a7edb5e752c5&quot;,&quot;itemData&quot;:{&quot;type&quot;:&quot;article-journal&quot;,&quot;id&quot;:&quot;36c73eb7-c044-3ca3-9d8f-a7edb5e752c5&quot;,&quot;title&quot;:&quot;Corruption, sustainable development goals performance and modern slavery practices: an international evidence&quot;,&quot;author&quot;:[{&quot;family&quot;:&quot;Houqe&quot;,&quot;given&quot;:&quot;Muhammad Nurul&quot;,&quot;parse-names&quot;:false,&quot;dropping-particle&quot;:&quot;&quot;,&quot;non-dropping-particle&quot;:&quot;&quot;},{&quot;family&quot;:&quot;Khan&quot;,&quot;given&quot;:&quot;Habib Zaman&quot;,&quot;parse-names&quot;:false,&quot;dropping-particle&quot;:&quot;&quot;,&quot;non-dropping-particle&quot;:&quot;&quot;}],&quot;container-title&quot;:&quot;Journal of Accounting Literature&quot;,&quot;DOI&quot;:&quot;10.1108/JAL-03-2024-0045&quot;,&quot;ISSN&quot;:&quot;07374607&quot;,&quot;issued&quot;:{&quot;date-parts&quot;:[[2025]]},&quot;page&quot;:&quot;323-351&quot;,&quot;abstract&quot;:&quot;Purpose: This study examines the two key research question; (1) Does country-level corruption give rise to modern slavery (MS) practices and (2) Does sustainable development goals (SDGs) performance of different jurisdictions reduce MS practices? Design/methodology/approach: Using a sample of 431 country-year observations (for the period of 2016, 2018 and 2023) from 146 countries, the study test hypotheses applying different econometrics analysis and conducts robustness tests. Findings: Our results indicate that country-level corruption practices increase MS practices in different contexts. These results hold when we use alternative measures for MS construct. Our study also reported that MS practices in different jurisdictions are lessened when country-level SDGs performance is higher. Our additional analysis finds that higher country-level debt serves as a channel between corruption and MS practices. Research limitations/implications: Practically, the findings of the study have a take-away message for different global actors, in particular, different countries’ governments, national regulators working to abate corruption and slavery issues. For other actors such as the United Nations, the ILO and others, the findings will have practical value for their new policy development and interventions. Originality/value: To the best of our knowledge, this study is the first that investigated the role of country-level corruption on MS practice at the country level. Similarly, our attempt towards exploring the impact of country-level sustainable development goals (SDGs) performance on the MS practices is also primary in the literature. Lastly, developing a single framework by integrating different countries’ MS practices with corruption and SDGs performance and providing related empirical evidence with global level data is a new initiative in the accounting and sustainability literature.&quot;,&quot;publisher&quot;:&quot;Emerald Publishing&quot;,&quot;issue&quot;:&quot;5&quot;,&quot;volume&quot;:&quot;47&quot;},&quot;isTemporary&quot;:false}],&quot;citationTag&quot;:&quot;MENDELEY_CITATION_v3_eyJjaXRhdGlvbklEIjoiTUVOREVMRVlfQ0lUQVRJT05fMDRmODQyM2ItODQ3OS00Zjc1LWJjZDUtOGVlYzYwZGQ3YWJiIiwicHJvcGVydGllcyI6eyJub3RlSW5kZXgiOjB9LCJpc0VkaXRlZCI6ZmFsc2UsIm1hbnVhbE92ZXJyaWRlIjp7ImlzTWFudWFsbHlPdmVycmlkZGVuIjpmYWxzZSwiY2l0ZXByb2NUZXh0IjoiKEhvdXFlIGFuZCBLaGFuLCAyMDI1KSIsIm1hbnVhbE92ZXJyaWRlVGV4dCI6Ii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fSwiaXNUZW1wb3JhcnkiOmZhbHNlfV19&quot;},{&quot;citationID&quot;:&quot;MENDELEY_CITATION_54022f92-199d-4ff7-8b30-cbc41e0165bf&quot;,&quot;properties&quot;:{&quot;noteIndex&quot;:0},&quot;isEdited&quot;:false,&quot;manualOverride&quot;:{&quot;isManuallyOverridden&quot;:false,&quot;citeprocText&quot;:&quot;(Fudge, 2018; Moussa &lt;i&gt;et al.&lt;/i&gt;, 2022)&quot;,&quot;manualOverrideText&quot;:&quot;&quot;},&quot;citationItems&quot;:[{&quot;id&quot;:&quot;3eaf6e0a-3058-3ac5-8e0c-9a289ce9b60a&quot;,&quot;itemData&quot;:{&quot;type&quot;:&quot;article-journal&quot;,&quot;id&quot;:&quot;3eaf6e0a-3058-3ac5-8e0c-9a289ce9b60a&quot;,&quot;title&quot;:&quot;Modern Slavery, Unfree Labour and the Labour Market: The Social Dynamics of Legal Characterization&quot;,&quot;author&quot;:[{&quot;family&quot;:&quot;Fudge&quot;,&quot;given&quot;:&quot;Judy&quot;,&quot;parse-names&quot;:false,&quot;dropping-particle&quot;:&quot;&quot;,&quot;non-dropping-particle&quot;:&quot;&quot;}],&quot;container-title&quot;:&quot;Social and Legal Studies&quot;,&quot;container-title-short&quot;:&quot;Soc Leg Stud&quot;,&quot;DOI&quot;:&quot;10.1177/0964663917746736&quot;,&quot;ISSN&quot;:&quot;14617390&quot;,&quot;issued&quot;:{&quot;date-parts&quot;:[[2018,8,1]]},&quot;page&quot;:&quot;414-434&quot;,&quot;abstract&quot;:&quot;Treating the United Kingdom’s Modern Slavery Act as its focus, this article examines what the legal characterization of labour unfreedom reveals about the underlying conception of the labour market that informs contemporary approaches to labour law in the United Kingdom. It discusses how unfree labour is conceptualized within two key literatures – Marxist-inspired political economy and liberal approaches to modern slavery – and their underlying assumptions of the labour market and how it operates. As an alternative to these depictions of the labour market, it proposes a legal institutionalist or constitutive account. It develops an approach to legal characterization and jurisdiction that is attentive to modes of governing and the role of political and legal differentiation both in producing labour exploitation and unfree labour and in developing strategies for its elimination. It argues that the problem with the modern slavery approach to unfree labour is that it tends to displace labour law as the principal remedy to the problem of labour abuse and exploitation, while simultaneously reinforcing the idea that flexible labour markets of the type that prevails in the United Kingdom are realms of labour freedom.&quot;,&quot;publisher&quot;:&quot;SAGE Publications Ltd&quot;,&quot;issue&quot;:&quot;4&quot;,&quot;volume&quot;:&quot;27&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ec17dab0-c8a0-480e-abe0-32dbfd922ca7&quot;,&quot;properties&quot;:{&quot;noteIndex&quot;:0},&quot;isEdited&quot;:false,&quot;manualOverride&quot;:{&quot;isManuallyOverridden&quot;:false,&quot;citeprocText&quot;:&quot;(Crane &lt;i&gt;et al.&lt;/i&gt;, 2019; Lebaron, 2018)&quot;,&quot;manualOverrideText&quot;:&quot;&quot;},&quot;citationItems&quot;:[{&quot;id&quot;:&quot;086727f1-9c95-31fe-893a-1fa16f3470df&quot;,&quot;itemData&quot;:{&quot;type&quot;:&quot;report&quot;,&quot;id&quot;:&quot;086727f1-9c95-31fe-893a-1fa16f3470df&quot;,&quot;title&quot;:&quot;The global business of forced labour&quot;,&quot;author&quot;:[{&quot;family&quot;:&quot;Lebaron&quot;,&quot;given&quot;:&quot;Genevieve&quot;,&quot;parse-names&quot;:false,&quot;dropping-particle&quot;:&quot;&quot;,&quot;non-dropping-particle&quot;:&quot;&quot;}],&quot;URL&quot;:&quot;www.globalbusinessofforcedlabour.ac.uk/&quot;,&quot;issued&quot;:{&quot;date-parts&quot;:[[2018]]},&quot;number-of-pages&quot;:&quot;1-61&quot;,&quot;container-title-short&quot;:&quot;&quot;},&quot;isTemporary&quot;:false},{&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citationTag&quot;:&quot;MENDELEY_CITATION_v3_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quot;},{&quot;citationID&quot;:&quot;MENDELEY_CITATION_800540bf-10cd-4e67-8d8c-6836347e5227&quot;,&quot;properties&quot;:{&quot;noteIndex&quot;:0},&quot;isEdited&quot;:false,&quot;manualOverride&quot;:{&quot;isManuallyOverridden&quot;:false,&quot;citeprocText&quot;:&quot;(Ahmed &lt;i&gt;et al.&lt;/i&gt;, 2025; Davis, 2017; Landman and Silverman, 2019)&quot;,&quot;manualOverrideText&quot;:&quot;&quot;},&quot;citationItems&quot;:[{&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id&quot;:&quot;5d2ec5d0-8c0b-3f23-bfb8-195aa0896649&quot;,&quot;itemData&quot;:{&quot;type&quot;:&quot;article-journal&quot;,&quot;id&quot;:&quot;5d2ec5d0-8c0b-3f23-bfb8-195aa0896649&quot;,&quot;title&quot;:&quot;Good governance as a foundation for sustainable human development in sub-Saharan Africa&quot;,&quot;author&quot;:[{&quot;family&quot;:&quot;Davis&quot;,&quot;given&quot;:&quot;Theodore J.&quot;,&quot;parse-names&quot;:false,&quot;dropping-particle&quot;:&quot;&quot;,&quot;non-dropping-particle&quot;:&quot;&quot;}],&quot;container-title&quot;:&quot;Third World Quarterly&quot;,&quot;container-title-short&quot;:&quot;Third World Q&quot;,&quot;DOI&quot;:&quot;10.1080/01436597.2016.1191340&quot;,&quot;ISSN&quot;:&quot;13602241&quot;,&quot;issued&quot;:{&quot;date-parts&quot;:[[2017,3,4]]},&quot;page&quot;:&quot;636-654&quot;,&quot;abstract&quot;:&quot;Data indicate that good governance and human development continue to be major issues throughout sub-Saharan Africa. The findings show a significant relationship between the measures of good governance and human development. The findings suggest that policies and efforts aimed at improving government effectiveness and political stability would have the most significant impact on human development and poverty reduction efforts. The findings lend support to the adoption of integrated policy approaches that take into consideration political development along with economic development to reduce poverty in sub-Saharan Africa.&quot;,&quot;publisher&quot;:&quot;Routledge&quot;,&quot;issue&quot;:&quot;3&quot;,&quot;volume&quot;:&quot;38&quot;},&quot;isTemporary&quot;:false},{&quot;id&quot;:&quot;85fb0bc2-faaf-3b59-8885-266bc0c19bd3&quot;,&quot;itemData&quot;:{&quot;type&quot;:&quot;article-journal&quot;,&quot;id&quot;:&quot;85fb0bc2-faaf-3b59-8885-266bc0c19bd3&quot;,&quot;title&quot;:&quot;Mastanocracy: The legitimization of criminal governance and violence in Bangladesh’s garment industry&quot;,&quot;author&quot;:[{&quot;family&quot;:&quot;Ahmed&quot;,&quot;given&quot;:&quot;Shoaib&quot;,&quot;parse-names&quot;:false,&quot;dropping-particle&quot;:&quot;&quot;,&quot;non-dropping-particle&quot;:&quot;&quot;},{&quot;family&quot;:&quot;Alawattage&quot;,&quot;given&quot;:&quot;Chandana&quot;,&quot;parse-names&quot;:false,&quot;dropping-particle&quot;:&quot;&quot;,&quot;non-dropping-particle&quot;:&quot;&quot;},{&quot;family&quot;:&quot;Jayasinghe&quot;,&quot;given&quot;:&quot;Kelum&quot;,&quot;parse-names&quot;:false,&quot;dropping-particle&quot;:&quot;&quot;,&quot;non-dropping-particle&quot;:&quot;&quot;}],&quot;container-title&quot;:&quot;Human Relations&quot;,&quot;DOI&quot;:&quot;10.1177/00187267251383441&quot;,&quot;ISSN&quot;:&quot;1741282X&quot;,&quot;issued&quot;:{&quot;date-parts&quot;:[[2025]]},&quot;abstract&quot;:&quot;The operation of criminal governance within formal-legal industrial contexts connected to global supply chains remains insufficiently theorized in management and organization studies (MOS). How such governance legitimizes violence against marginalized workers both within and beyond organizational boundaries also remains critically underexplored. By analysing the paradoxical normalization of criminality and violence within Bangladesh’s garment industry, this study exposes the systemic embeddedness of mastans, politically connected criminals, within export-oriented industrial governance. We conceptualize this entanglement as mastanocracy, a hybrid political formation of violent criminal governance that operates legitimately at the nexus of corruption, democratic erosion, elite power and social polarization, advancing the neoliberal economic and political agendas of dominant actors. This research extends MOS by broadening the boundary conditions under which criminal governance is legitimized in a formal-legal industrial environment in the Global South. It also advances the discourse on violence in contemporary organizations by revealing the broader cultural, social and political dynamics that normalize violence within and beyond organizational boundaries, compelling millions of marginalized workers to live and work under regimes of criminal governance.&quot;,&quot;publisher&quot;:&quot;SAGE Publications Ltd&quot;,&quot;container-title-short&quot;:&quot;&quot;},&quot;isTemporary&quot;:false}],&quot;citationTag&quot;:&quot;MENDELEY_CITATION_v3_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&quot;},{&quot;citationID&quot;:&quot;MENDELEY_CITATION_5d31e768-a682-4a84-97c9-6a9d41e4f197&quot;,&quot;properties&quot;:{&quot;noteIndex&quot;:0},&quot;isEdited&quot;:false,&quot;manualOverride&quot;:{&quot;isManuallyOverridden&quot;:false,&quot;citeprocText&quot;:&quot;(Cuesta, 2013; Torgler and Schneider, 2009)&quot;,&quot;manualOverrideText&quot;:&quot;&quot;},&quot;citationItems&quot;:[{&quot;id&quot;:&quot;6cdc7d64-f623-3730-a051-20927746e711&quot;,&quot;itemData&quot;:{&quot;type&quot;:&quot;article-journal&quot;,&quot;id&quot;:&quot;6cdc7d64-f623-3730-a051-20927746e711&quot;,&quot;title&quot;:&quot;The impact of tax morale and institutional quality on the shadow economy&quot;,&quot;author&quot;:[{&quot;family&quot;:&quot;Torgler&quot;,&quot;given&quot;:&quot;Benno&quot;,&quot;parse-names&quot;:false,&quot;dropping-particle&quot;:&quot;&quot;,&quot;non-dropping-particle&quot;:&quot;&quot;},{&quot;family&quot;:&quot;Schneider&quot;,&quot;given&quot;:&quot;Friedrich&quot;,&quot;parse-names&quot;:false,&quot;dropping-particle&quot;:&quot;&quot;,&quot;non-dropping-particle&quot;:&quot;&quot;}],&quot;container-title&quot;:&quot;Journal of Economic Psychology&quot;,&quot;container-title-short&quot;:&quot;J Econ Psychol&quot;,&quot;DOI&quot;:&quot;10.1016/j.joep.2008.08.004&quot;,&quot;ISSN&quot;:&quot;01674870&quot;,&quot;issued&quot;:{&quot;date-parts&quot;:[[2009,4]]},&quot;page&quot;:&quot;228-245&quot;,&quot;issue&quot;:&quot;2&quot;,&quot;volume&quot;:&quot;30&quot;},&quot;isTemporary&quot;:false},{&quot;id&quot;:&quot;23504826-fd8d-3b87-a253-e653e1f63209&quot;,&quot;itemData&quot;:{&quot;type&quot;:&quot;article-journal&quot;,&quot;id&quot;:&quot;23504826-fd8d-3b87-a253-e653e1f63209&quot;,&quot;title&quot;:&quot;Theory and empirics of democracy and crime revisited: How much further can we go with existing data and methodologies?&quot;,&quot;author&quot;:[{&quot;family&quot;:&quot;Cuesta&quot;,&quot;given&quot;:&quot;Jose&quot;,&quot;parse-names&quot;:false,&quot;dropping-particle&quot;:&quot;&quot;,&quot;non-dropping-particle&quot;:&quot;&quot;}],&quot;container-title&quot;:&quot;American Journal of Economics and Sociology&quot;,&quot;container-title-short&quot;:&quot;Am J Econ Sociol&quot;,&quot;DOI&quot;:&quot;10.1111/ajes.12025&quot;,&quot;ISSN&quot;:&quot;00029246&quot;,&quot;issued&quot;:{&quot;date-parts&quot;:[[2013,7]]},&quot;page&quot;:&quot;645-674&quot;,&quot;abstract&quot;:&quot;The vast empirical work on the criminogenic nature of democracies has produced strong-albeit suspiciously wide-ranging-claims. This article reviews existing evidence and methodologies that link crime and democracies. It asks three questions: Do theories generate separable and exclusionary predictions enabling their identification and testing? Could results be more conclusive given existing data limitations and the current methodological state of the art? How far are we from obtaining such results? We conclude that there are far too many arguments with blurry lines predicting just about any result. Data are more likely to constitute the binding constraint rather than methodology issues, despite the fact that the estimation of causality between democracy and crime can still be improved. Finally, the priority should be the harmonization of existing information sources, which will require overcoming externalities associated with the public good nature of global information generation. © 2013 American Journal of Economics and Sociology, Inc.&quot;,&quot;issue&quot;:&quot;3&quot;,&quot;volume&quot;:&quot;72&quot;},&quot;isTemporary&quot;:false}],&quot;citationTag&quot;:&quot;MENDELEY_CITATION_v3_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&quot;},{&quot;citationID&quot;:&quot;MENDELEY_CITATION_20c4b02d-a79b-4114-ae4c-9f90fe2f96e8&quot;,&quot;properties&quot;:{&quot;noteIndex&quot;:0},&quot;isEdited&quot;:false,&quot;manualOverride&quot;:{&quot;isManuallyOverridden&quot;:false,&quot;citeprocText&quot;:&quot;(Crane &lt;i&gt;et al.&lt;/i&gt;, 2019; Rogerson &lt;i&gt;et al.&lt;/i&gt;, 2020)&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3f3f7536-429b-38f2-aa6e-eab2e80e3f4f&quot;,&quot;itemData&quot;:{&quot;type&quot;:&quot;article-journal&quot;,&quot;id&quot;:&quot;3f3f7536-429b-38f2-aa6e-eab2e80e3f4f&quot;,&quot;title&quot;:&quot;Organisational responses to mandatory modern slavery disclosure legislation: a failure of experimentalist governance?&quot;,&quot;author&quot;:[{&quot;family&quot;:&quot;Rogerson&quot;,&quot;given&quot;:&quot;Michael&quot;,&quot;parse-names&quot;:false,&quot;dropping-particle&quot;:&quot;&quot;,&quot;non-dropping-particle&quot;:&quot;&quot;},{&quot;family&quot;:&quot;Crane&quot;,&quot;given&quot;:&quot;Andrew&quot;,&quot;parse-names&quot;:false,&quot;dropping-particle&quot;:&quot;&quot;,&quot;non-dropping-particle&quot;:&quot;&quot;},{&quot;family&quot;:&quot;Soundararajan&quot;,&quot;given&quot;:&quot;Vivek&quot;,&quot;parse-names&quot;:false,&quot;dropping-particle&quot;:&quot;&quot;,&quot;non-dropping-particle&quot;:&quot;&quot;},{&quot;family&quot;:&quot;Grosvold&quot;,&quot;given&quot;:&quot;Johanne&quot;,&quot;parse-names&quot;:false,&quot;dropping-particle&quot;:&quot;&quot;,&quot;non-dropping-particle&quot;:&quot;&quot;},{&quot;family&quot;:&quot;Cho&quot;,&quot;given&quot;:&quot;Charles H.&quot;,&quot;parse-names&quot;:false,&quot;dropping-particle&quot;:&quot;&quot;,&quot;non-dropping-particle&quot;:&quot;&quot;}],&quot;container-title&quot;:&quot;Accounting, Auditing and Accountability Journal&quot;,&quot;DOI&quot;:&quot;10.1108/AAAJ-12-2019-4297&quot;,&quot;ISSN&quot;:&quot;09513574&quot;,&quot;issued&quot;:{&quot;date-parts&quot;:[[2020,10,20]]},&quot;page&quot;:&quot;1505-1534&quot;,&quot;abstract&quot;:&quot;Purpose: This paper investigates how organisations are responding to mandatory modern slavery disclosure legislation. Experimentalist governance suggests that organisations faced with disclosure requirements such as those contained in the UK Modern Slavery Act 2015 will compete with one another, and in doing so, improve compliance. The authors seek to understand whether this is the case. Design/methodology/approach: This study is set in the UK public sector. The authors conduct interviews with over 25% of UK universities that are within the scope of the UK Modern Slavery Act 2015 and examine their reporting and disclosure under that legislation. Findings: The authors find that, contrary to the logic of experimentalist governance, universities' disclosures as reflected in their modern slavery statements are persistently poor on detail, lack variation and have led to little meaningful action to tackle modern slavery. They show that this is due to a herding effect that results in universities responding as a sector rather than independently; a built-in incapacity to effectively manage supply chains; and insufficient attention to the issue at the board level. The authors also identity important boundary conditions of experimentalist governance. Research limitations/implications: The generalisability of the authors’ findings is restricted to the public sector. Practical implications: In contexts where disclosure under the UK Modern Slavery Act 2015 is not a core offering of the sector, and where competition is limited, there is little incentive to engage in a “race to the top” in terms of disclosure. As such, pro-forma compliance prevails and the effectiveness of disclosure as a tool to drive change in supply chains to safeguard workers is relatively ineffective. Instead, organisations must develop better knowledge of their supply chains and executives and a more critical eye for modern slavery to be combatted effectively. Accountants and their systems and skills can facilitate this development. Originality/value: This is the first investigation of the organisational processes and activities which underpin disclosures related to modern slavery disclosure legislation. This paper contributes to the accounting and disclosure modern slavery literature by investigating public sector organisations' processes, activities and responses to mandatory reporting legislation on modern slavery.&quot;,&quot;publisher&quot;:&quot;Emerald Group Holdings Ltd.&quot;,&quot;issue&quot;:&quot;7&quot;,&quot;volume&quot;:&quot;33&quot;,&quot;container-title-short&quot;:&quot;&quot;},&quot;isTemporary&quot;:false}],&quot;citationTag&quot;:&quot;MENDELEY_CITATION_v3_eyJjaXRhdGlvbklEIjoiTUVOREVMRVlfQ0lUQVRJT05fMjBjNGIwMmQtYTc5Yi00MTE0LWFlNGMtOWY5MGZlMmY5NmU4IiwicHJvcGVydGllcyI6eyJub3RlSW5kZXgiOjB9LCJpc0VkaXRlZCI6ZmFsc2UsIm1hbnVhbE92ZXJyaWRlIjp7ImlzTWFudWFsbHlPdmVycmlkZGVuIjpmYWxzZSwiY2l0ZXByb2NUZXh0IjoiKENyYW5lIDxpPmV0IGFsLjwvaT4sIDIwMTk7IFJvZ2Vyc29uIDxpPmV0IGFsLjwvaT4sIDIwMjA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&quot;},{&quot;citationID&quot;:&quot;MENDELEY_CITATION_44ea2af3-0882-4ddb-8385-4b3974d65f6b&quot;,&quot;properties&quot;:{&quot;noteIndex&quot;:0},&quot;isEdited&quot;:false,&quot;manualOverride&quot;:{&quot;isManuallyOverridden&quot;:false,&quot;citeprocText&quot;:&quot;(Aidt &lt;i&gt;et al.&lt;/i&gt;, 2008; Rauscher and Willert, 2020)&quot;,&quot;manualOverrideText&quot;:&quot;&quot;},&quot;citationItems&quot;:[{&quot;id&quot;:&quot;1a6dfd80-17cf-3498-aa8c-df55cca6d4cb&quot;,&quot;itemData&quot;:{&quot;type&quot;:&quot;article-journal&quot;,&quot;id&quot;:&quot;1a6dfd80-17cf-3498-aa8c-df55cca6d4cb&quot;,&quot;title&quot;:&quot;Governance regimes, corruption and growth: Theory and evidence&quot;,&quot;author&quot;:[{&quot;family&quot;:&quot;Aidt&quot;,&quot;given&quot;:&quot;Toke&quot;,&quot;parse-names&quot;:false,&quot;dropping-particle&quot;:&quot;&quot;,&quot;non-dropping-particle&quot;:&quot;&quot;},{&quot;family&quot;:&quot;Dutta&quot;,&quot;given&quot;:&quot;Jayasri&quot;,&quot;parse-names&quot;:false,&quot;dropping-particle&quot;:&quot;&quot;,&quot;non-dropping-particle&quot;:&quot;&quot;},{&quot;family&quot;:&quot;Sena&quot;,&quot;given&quot;:&quot;Vania&quot;,&quot;parse-names&quot;:false,&quot;dropping-particle&quot;:&quot;&quot;,&quot;non-dropping-particle&quot;:&quot;&quot;}],&quot;container-title&quot;:&quot;Journal of Comparative Economics&quot;,&quot;container-title-short&quot;:&quot;J Comp Econ&quot;,&quot;accessed&quot;:{&quot;date-parts&quot;:[[2023,4,20]]},&quot;DOI&quot;:&quot;10.1016/J.JCE.2007.11.004&quot;,&quot;ISSN&quot;:&quot;01475967&quot;,&quot;issued&quot;:{&quot;date-parts&quot;:[[2008,6]]},&quot;page&quot;:&quot;195-220&quot;,&quot;abstract&quot;:&quot;We study the role of political accountability as a determinant of corruption and economic growth. Our model identifies two governance regimes defined by the quality of political institutions and shows that the relationship between corruption and growth is regime specific. We use a threshold model to estimate the impact of corruption on growth where corruption is treated as an endogenous variable. We find two governance regimes, conditional on the quality of political institutions. In the regime with high quality political institutions, corruption has a substantial negative impact on growth. In the regime with low quality institutions, corruption has no impact on growth. Journal of Comparative Economics 36 (2) (2008) 195-220. © 2007 Association for Comparative Economic Studies.&quot;,&quot;issue&quot;:&quot;2&quot;,&quot;volume&quot;:&quot;36&quot;},&quot;isTemporary&quot;:false},{&quot;id&quot;:&quot;02d01e1f-98b1-3163-949b-6af97ad6b689&quot;,&quot;itemData&quot;:{&quot;type&quot;:&quot;article-journal&quot;,&quot;id&quot;:&quot;02d01e1f-98b1-3163-949b-6af97ad6b689&quot;,&quot;title&quot;:&quot;Modern slavery, corruption, and hysteresis&quot;,&quot;author&quot;:[{&quot;family&quot;:&quot;Rauscher&quot;,&quot;given&quot;:&quot;Michael&quot;,&quot;parse-names&quot;:false,&quot;dropping-particle&quot;:&quot;&quot;,&quot;non-dropping-particle&quot;:&quot;&quot;},{&quot;family&quot;:&quot;Willert&quot;,&quot;given&quot;:&quot;Bianca&quot;,&quot;parse-names&quot;:false,&quot;dropping-particle&quot;:&quot;&quot;,&quot;non-dropping-particle&quot;:&quot;&quot;}],&quot;container-title&quot;:&quot;European Journal of Political Economy&quot;,&quot;container-title-short&quot;:&quot;Eur J Polit Econ&quot;,&quot;DOI&quot;:&quot;10.1016/j.ejpoleco.2020.101917&quot;,&quot;ISSN&quot;:&quot;01762680&quot;,&quot;issued&quot;:{&quot;date-parts&quot;:[[2020,9,1]]},&quot;abstract&quot;:&quot;We develop a model where firms profit from coercing workers into employment under conditions violating national law and international conventions and where corrupt public servants prosecuting violations of the rules are willing to turn cases down if bribed. Firms and public servants are heterogeneous. Firms benefit differently from the use of coerced labour whereas public servants have differing intrinsic motivations to behave honestly. Moreover, there is a socially determined warm-glow effect: honest public servants feel better if their colleagues are honest too. The determination of bribes is modelled via Nash bargaining between the firm and the corrupt civil servant. It is shown that multiple equilibria and hysteresis are possible. Depending on history, an economy may be trapped in a locally stable high-corruption, high-slavery equilibrium and major changes in government policies may be necessary to move the economy out of this equilibrium. Moreover, we show that trade bans that are effective in reducing slavery in the export industry tend to raise slavery in the remainder of the economy. It is possible that this leakage effect dominates the reduction of slavery in the export sector.&quot;,&quot;publisher&quot;:&quot;Elsevier B.V.&quot;,&quot;volume&quot;:&quot;64&quot;},&quot;isTemporary&quot;:false}],&quot;citationTag&quot;:&quot;MENDELEY_CITATION_v3_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&quot;},{&quot;citationID&quot;:&quot;MENDELEY_CITATION_be2832ba-38f8-4caa-ad42-da3b68e4eb95&quot;,&quot;properties&quot;:{&quot;noteIndex&quot;:0},&quot;isEdited&quot;:false,&quot;manualOverride&quot;:{&quot;isManuallyOverridden&quot;:false,&quot;citeprocText&quot;:&quot;(Crane &lt;i&gt;et al.&lt;/i&gt;, 2019; Rauscher and Willert, 2020)&quot;,&quot;manualOverrideText&quot;:&quot;&quot;},&quot;citationItems&quot;:[{&quot;id&quot;:&quot;02d01e1f-98b1-3163-949b-6af97ad6b689&quot;,&quot;itemData&quot;:{&quot;type&quot;:&quot;article-journal&quot;,&quot;id&quot;:&quot;02d01e1f-98b1-3163-949b-6af97ad6b689&quot;,&quot;title&quot;:&quot;Modern slavery, corruption, and hysteresis&quot;,&quot;author&quot;:[{&quot;family&quot;:&quot;Rauscher&quot;,&quot;given&quot;:&quot;Michael&quot;,&quot;parse-names&quot;:false,&quot;dropping-particle&quot;:&quot;&quot;,&quot;non-dropping-particle&quot;:&quot;&quot;},{&quot;family&quot;:&quot;Willert&quot;,&quot;given&quot;:&quot;Bianca&quot;,&quot;parse-names&quot;:false,&quot;dropping-particle&quot;:&quot;&quot;,&quot;non-dropping-particle&quot;:&quot;&quot;}],&quot;container-title&quot;:&quot;European Journal of Political Economy&quot;,&quot;container-title-short&quot;:&quot;Eur J Polit Econ&quot;,&quot;DOI&quot;:&quot;10.1016/j.ejpoleco.2020.101917&quot;,&quot;ISSN&quot;:&quot;01762680&quot;,&quot;issued&quot;:{&quot;date-parts&quot;:[[2020,9,1]]},&quot;abstract&quot;:&quot;We develop a model where firms profit from coercing workers into employment under conditions violating national law and international conventions and where corrupt public servants prosecuting violations of the rules are willing to turn cases down if bribed. Firms and public servants are heterogeneous. Firms benefit differently from the use of coerced labour whereas public servants have differing intrinsic motivations to behave honestly. Moreover, there is a socially determined warm-glow effect: honest public servants feel better if their colleagues are honest too. The determination of bribes is modelled via Nash bargaining between the firm and the corrupt civil servant. It is shown that multiple equilibria and hysteresis are possible. Depending on history, an economy may be trapped in a locally stable high-corruption, high-slavery equilibrium and major changes in government policies may be necessary to move the economy out of this equilibrium. Moreover, we show that trade bans that are effective in reducing slavery in the export industry tend to raise slavery in the remainder of the economy. It is possible that this leakage effect dominates the reduction of slavery in the export sector.&quot;,&quot;publisher&quot;:&quot;Elsevier B.V.&quot;,&quot;volume&quot;:&quot;64&quot;},&quot;isTemporary&quot;:false},{&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citationTag&quot;:&quot;MENDELEY_CITATION_v3_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quot;},{&quot;citationID&quot;:&quot;MENDELEY_CITATION_81f230d1-cbb0-42e4-b355-bf14ffb1c6cc&quot;,&quot;properties&quot;:{&quot;noteIndex&quot;:0},&quot;isEdited&quot;:false,&quot;manualOverride&quot;:{&quot;isManuallyOverridden&quot;:false,&quot;citeprocText&quot;:&quot;(Albitar &lt;i&gt;et al.&lt;/i&gt;, 2025; Bales &lt;i&gt;et al.&lt;/i&gt;, 2009)&quot;,&quot;manualOverrideText&quot;:&quot;&quot;},&quot;citationItems&quot;:[{&quot;id&quot;:&quot;295a3ce9-f99f-3015-bb67-2c48aa9ed81f&quot;,&quot;itemData&quot;:{&quot;type&quot;:&quot;book&quot;,&quot;id&quot;:&quot;295a3ce9-f99f-3015-bb67-2c48aa9ed81f&quot;,&quot;title&quot;:&quot;Modern Slavery: The Secret World of 27 Million People&quot;,&quot;author&quot;:[{&quot;family&quot;:&quot;Bales&quot;,&quot;given&quot;:&quot;Kevin&quot;,&quot;parse-names&quot;:false,&quot;dropping-particle&quot;:&quot;&quot;,&quot;non-dropping-particle&quot;:&quot;&quot;},{&quot;family&quot;:&quot;Trodd&quot;,&quot;given&quot;:&quot;Zoe&quot;,&quot;parse-names&quot;:false,&quot;dropping-particle&quot;:&quot;&quot;,&quot;non-dropping-particle&quot;:&quot;&quot;},{&quot;family&quot;:&quot;Williamson&quot;,&quot;given&quot;:&quot;Alex Kent&quot;,&quot;parse-names&quot;:false,&quot;dropping-particle&quot;:&quot;&quot;,&quot;non-dropping-particle&quot;:&quot;&quot;}],&quot;issued&quot;:{&quot;date-parts&quot;:[[2009]]},&quot;number-of-pages&quot;:&quot;1-224&quot;,&quot;publisher&quot;:&quot;Oneworld&quot;,&quot;container-title-short&quot;:&quot;&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&quot;},{&quot;citationID&quot;:&quot;MENDELEY_CITATION_6f5abcb7-cb0d-486b-9b8e-61b8c15b7e00&quot;,&quot;properties&quot;:{&quot;noteIndex&quot;:0},&quot;isEdited&quot;:false,&quot;manualOverride&quot;:{&quot;isManuallyOverridden&quot;:false,&quot;citeprocText&quot;:&quot;(Landman and Silverman, 2019; Moussa &lt;i&gt;et al.&lt;/i&gt;, 2022)&quot;,&quot;manualOverrideText&quot;:&quot;&quot;},&quot;citationItems&quot;:[{&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quot;},{&quot;citationID&quot;:&quot;MENDELEY_CITATION_2394a7b6-c072-4ec2-83fd-e21453b7dec6&quot;,&quot;properties&quot;:{&quot;noteIndex&quot;:0},&quot;isEdited&quot;:false,&quot;manualOverride&quot;:{&quot;isManuallyOverridden&quot;:false,&quot;citeprocText&quot;:&quot;(Helfaya &lt;i&gt;et al.&lt;/i&gt;, 2025; Méndez and Sepúlveda, 2006; Pyng &lt;i&gt;et al.&lt;/i&gt;, 2021)&quot;,&quot;manualOverrideText&quot;:&quot;&quot;},&quot;citationItems&quot;:[{&quot;id&quot;:&quot;2444d137-606f-3b05-adbb-edb413bcfcc5&quot;,&quot;itemData&quot;:{&quot;type&quot;:&quot;article-journal&quot;,&quot;id&quot;:&quot;2444d137-606f-3b05-adbb-edb413bcfcc5&quot;,&quot;title&quot;:&quot;Political institutions and the control of corruption: a cross-country evidence&quot;,&quot;author&quot;:[{&quot;family&quot;:&quot;Pyng&quot;,&quot;given&quot;:&quot;Siew&quot;,&quot;parse-names&quot;:false,&quot;dropping-particle&quot;:&quot;&quot;,&quot;non-dropping-particle&quot;:&quot;&quot;},{&quot;family&quot;:&quot;Chong&quot;,&quot;given&quot;:&quot;Christine&quot;,&quot;parse-names&quot;:false,&quot;dropping-particle&quot;:&quot;&quot;,&quot;non-dropping-particle&quot;:&quot;&quot;},{&quot;family&quot;:&quot;Tee&quot;,&quot;given&quot;:&quot;Ming&quot;,&quot;parse-names&quot;:false,&quot;dropping-particle&quot;:&quot;&quot;,&quot;non-dropping-particle&quot;:&quot;&quot;},{&quot;family&quot;:&quot;Cheng&quot;,&quot;given&quot;:&quot;Seow Voon&quot;,&quot;parse-names&quot;:false,&quot;dropping-particle&quot;:&quot;&quot;,&quot;non-dropping-particle&quot;:&quot;&quot;}],&quot;container-title&quot;:&quot;Journal of Financial Crime&quot;,&quot;container-title-short&quot;:&quot;J Financ Crime&quot;,&quot;accessed&quot;:{&quot;date-parts&quot;:[[2023,4,20]]},&quot;DOI&quot;:&quot;10.1108/JFC-05-2020-0094&quot;,&quot;URL&quot;:&quot;https://www.emerald.com/insight/1359-0790.htm&quot;,&quot;issued&quot;:{&quot;date-parts&quot;:[[2021]]},&quot;page&quot;:&quot;26-48&quot;,&quot;abstract&quot;:&quot;Purpose-The purpose of this paper is to examine the significant association between political institutions and the control of corruption. Design/methodology/approach-This study uses ordinary least squares model to examine the following: quality of political institutions; the association between the strength of democratic institutions and control of corruption; the association between government effectiveness and control of corruption; and the association between legal institutions and control of corruption. Findings-The result shows that there is positive association between democratic institutions, government bureaucracy and rule of law with the control of corruption. From the political perspective, stronger democratic institutions are found to be associated with higher ability to control corruption in a country. When viewed from country's economic and social well-being perspective, highly effective government bureaucracy is positively associated with ability to control corruption. Finally, rule of law is also associated with the control of corruption. Originality/value-This study points toward clear priorities for reform as stronger democratic institutions, efficient government bureaucracy and adherence to the rule of law improve the control of corruption. The results show that stronger democratic institutions, highly effective government bureaucracy and rule of law are associated with higher control of corruption. This supports the theory that quality political institutions reduce corruption in the long-run. In addition, this study shows that press freedom, regulatory quality and political stability further enhance the capacity of such institutions to combat corruption. Conversely, crony capitalism systems undermine this positive association.&quot;,&quot;issue&quot;:&quot;1&quot;,&quot;volume&quot;:&quot;28&quot;},&quot;isTemporary&quot;:false},{&quot;id&quot;:&quot;2d7b467e-5109-3790-83ee-0d8023e07e34&quot;,&quot;itemData&quot;:{&quot;type&quot;:&quot;article-journal&quot;,&quot;id&quot;:&quot;2d7b467e-5109-3790-83ee-0d8023e07e34&quot;,&quot;title&quot;:&quot;Corruption, growth and political regimes: Cross country evidence&quot;,&quot;author&quot;:[{&quot;family&quot;:&quot;Méndez&quot;,&quot;given&quot;:&quot;Fabio&quot;,&quot;parse-names&quot;:false,&quot;dropping-particle&quot;:&quot;&quot;,&quot;non-dropping-particle&quot;:&quot;&quot;},{&quot;family&quot;:&quot;Sepúlveda&quot;,&quot;given&quot;:&quot;Facundo&quot;,&quot;parse-names&quot;:false,&quot;dropping-particle&quot;:&quot;&quot;,&quot;non-dropping-particle&quot;:&quot;&quot;}],&quot;container-title&quot;:&quot;European Journal of Political Economy&quot;,&quot;container-title-short&quot;:&quot;Eur J Polit Econ&quot;,&quot;accessed&quot;:{&quot;date-parts&quot;:[[2023,4,20]]},&quot;DOI&quot;:&quot;10.1016/J.EJPOLECO.2005.04.005&quot;,&quot;ISSN&quot;:&quot;0176-2680&quot;,&quot;issued&quot;:{&quot;date-parts&quot;:[[2006,3,1]]},&quot;page&quot;:&quot;82-98&quot;,&quot;abstract&quot;:&quot;This paper studies the effects of corruption on long-run growth incorporating measures of political freedom as a key determinant of the relationship. Unlike previous empirical studies, we find evidence of a non-monotonic relationship between corruption and growth after controlling for several other economic variables and restricting the sample to those countries considered to be free. Our results indicate that the growth-maximizing level of corruption is significantly greater than zero, with corruption beneficial for economic growth at low levels of incidence and detrimental at high levels of incidence. © 2005 Elsevier B.V. All rights reserved.&quot;,&quot;publisher&quot;:&quot;North-Holland&quot;,&quot;issue&quot;:&quot;1&quot;,&quot;volume&quot;:&quot;22&quot;},&quot;isTemporary&quot;:false},{&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quot;},{&quot;citationID&quot;:&quot;MENDELEY_CITATION_471174ff-e4a1-42c2-9a09-fa709c3ae0e5&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DcxMTc0ZmYtZTRhMS00MmMyLTlhMDktZmE3MDljM2FlMGU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922d74ec-64d1-46e8-91c6-81bf11feb96f&quot;,&quot;properties&quot;:{&quot;noteIndex&quot;:0},&quot;isEdited&quot;:false,&quot;manualOverride&quot;:{&quot;isManuallyOverridden&quot;:true,&quot;citeprocText&quot;:&quot;(Landman and Silverman, 2019)&quot;,&quot;manualOverrideText&quot;:&quot;Landman and Silverman (2019)&quot;},&quot;citationItems&quot;:[{&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citationTag&quot;:&quot;MENDELEY_CITATION_v3_eyJjaXRhdGlvbklEIjoiTUVOREVMRVlfQ0lUQVRJT05fOTIyZDc0ZWMtNjRkMS00NmU4LTkxYzYtODFiZjExZmViOTZmIiwicHJvcGVydGllcyI6eyJub3RlSW5kZXgiOjB9LCJpc0VkaXRlZCI6ZmFsc2UsIm1hbnVhbE92ZXJyaWRlIjp7ImlzTWFudWFsbHlPdmVycmlkZGVuIjp0cnVlLCJjaXRlcHJvY1RleHQiOiIoTGFuZG1hbiBhbmQgU2lsdmVybWFuLCAyMDE5KSIsIm1hbnVhbE92ZXJyaWRlVGV4dCI6IkxhbmRtYW4gYW5kIFNpbHZlcm1hbiAoMjAxOSkifSwiY2l0YXRpb25JdGVtcyI6W3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XX0=&quot;},{&quot;citationID&quot;:&quot;MENDELEY_CITATION_c9e14d3b-25fb-466c-a77a-10dbdd06f44d&quot;,&quot;properties&quot;:{&quot;noteIndex&quot;:0},&quot;isEdited&quot;:false,&quot;manualOverride&quot;:{&quot;isManuallyOverridden&quot;:true,&quot;citeprocText&quot;:&quot;(Cuesta, 2013)&quot;,&quot;manualOverrideText&quot;:&quot;Cuesta (2013)&quot;},&quot;citationItems&quot;:[{&quot;id&quot;:&quot;23504826-fd8d-3b87-a253-e653e1f63209&quot;,&quot;itemData&quot;:{&quot;type&quot;:&quot;article-journal&quot;,&quot;id&quot;:&quot;23504826-fd8d-3b87-a253-e653e1f63209&quot;,&quot;title&quot;:&quot;Theory and empirics of democracy and crime revisited: How much further can we go with existing data and methodologies?&quot;,&quot;author&quot;:[{&quot;family&quot;:&quot;Cuesta&quot;,&quot;given&quot;:&quot;Jose&quot;,&quot;parse-names&quot;:false,&quot;dropping-particle&quot;:&quot;&quot;,&quot;non-dropping-particle&quot;:&quot;&quot;}],&quot;container-title&quot;:&quot;American Journal of Economics and Sociology&quot;,&quot;container-title-short&quot;:&quot;Am J Econ Sociol&quot;,&quot;DOI&quot;:&quot;10.1111/ajes.12025&quot;,&quot;ISSN&quot;:&quot;00029246&quot;,&quot;issued&quot;:{&quot;date-parts&quot;:[[2013,7]]},&quot;page&quot;:&quot;645-674&quot;,&quot;abstract&quot;:&quot;The vast empirical work on the criminogenic nature of democracies has produced strong-albeit suspiciously wide-ranging-claims. This article reviews existing evidence and methodologies that link crime and democracies. It asks three questions: Do theories generate separable and exclusionary predictions enabling their identification and testing? Could results be more conclusive given existing data limitations and the current methodological state of the art? How far are we from obtaining such results? We conclude that there are far too many arguments with blurry lines predicting just about any result. Data are more likely to constitute the binding constraint rather than methodology issues, despite the fact that the estimation of causality between democracy and crime can still be improved. Finally, the priority should be the harmonization of existing information sources, which will require overcoming externalities associated with the public good nature of global information generation. © 2013 American Journal of Economics and Sociology, Inc.&quot;,&quot;issue&quot;:&quot;3&quot;,&quot;volume&quot;:&quot;72&quot;},&quot;isTemporary&quot;:false}],&quot;citationTag&quot;:&quot;MENDELEY_CITATION_v3_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&quot;},{&quot;citationID&quot;:&quot;MENDELEY_CITATION_712baef6-27f7-4cc3-a2d3-c9471520df21&quot;,&quot;properties&quot;:{&quot;noteIndex&quot;:0},&quot;isEdited&quot;:false,&quot;manualOverride&quot;:{&quot;isManuallyOverridden&quot;:true,&quot;citeprocText&quot;:&quot;(Torgler and Schneider, 2009)&quot;,&quot;manualOverrideText&quot;:&quot;Torgler and Schneider (2009)&quot;},&quot;citationItems&quot;:[{&quot;id&quot;:&quot;6cdc7d64-f623-3730-a051-20927746e711&quot;,&quot;itemData&quot;:{&quot;type&quot;:&quot;article-journal&quot;,&quot;id&quot;:&quot;6cdc7d64-f623-3730-a051-20927746e711&quot;,&quot;title&quot;:&quot;The impact of tax morale and institutional quality on the shadow economy&quot;,&quot;author&quot;:[{&quot;family&quot;:&quot;Torgler&quot;,&quot;given&quot;:&quot;Benno&quot;,&quot;parse-names&quot;:false,&quot;dropping-particle&quot;:&quot;&quot;,&quot;non-dropping-particle&quot;:&quot;&quot;},{&quot;family&quot;:&quot;Schneider&quot;,&quot;given&quot;:&quot;Friedrich&quot;,&quot;parse-names&quot;:false,&quot;dropping-particle&quot;:&quot;&quot;,&quot;non-dropping-particle&quot;:&quot;&quot;}],&quot;container-title&quot;:&quot;Journal of Economic Psychology&quot;,&quot;container-title-short&quot;:&quot;J Econ Psychol&quot;,&quot;DOI&quot;:&quot;10.1016/j.joep.2008.08.004&quot;,&quot;ISSN&quot;:&quot;01674870&quot;,&quot;issued&quot;:{&quot;date-parts&quot;:[[2009,4]]},&quot;page&quot;:&quot;228-245&quot;,&quot;issue&quot;:&quot;2&quot;,&quot;volume&quot;:&quot;30&quot;},&quot;isTemporary&quot;:false}],&quot;citationTag&quot;:&quot;MENDELEY_CITATION_v3_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&quot;},{&quot;citationID&quot;:&quot;MENDELEY_CITATION_7314cef4-994f-401f-80ed-6c8967d0db9e&quot;,&quot;properties&quot;:{&quot;noteIndex&quot;:0},&quot;isEdited&quot;:false,&quot;manualOverride&quot;:{&quot;isManuallyOverridden&quot;:false,&quot;citeprocText&quot;:&quot;(Davis, 2017; Elamer &lt;i&gt;et al.&lt;/i&gt;, 2020; Rauscher and Willert, 2020)&quot;,&quot;manualOverrideText&quot;:&quot;&quot;},&quot;citationItems&quot;:[{&quot;id&quot;:&quot;5d2ec5d0-8c0b-3f23-bfb8-195aa0896649&quot;,&quot;itemData&quot;:{&quot;type&quot;:&quot;article-journal&quot;,&quot;id&quot;:&quot;5d2ec5d0-8c0b-3f23-bfb8-195aa0896649&quot;,&quot;title&quot;:&quot;Good governance as a foundation for sustainable human development in sub-Saharan Africa&quot;,&quot;author&quot;:[{&quot;family&quot;:&quot;Davis&quot;,&quot;given&quot;:&quot;Theodore J.&quot;,&quot;parse-names&quot;:false,&quot;dropping-particle&quot;:&quot;&quot;,&quot;non-dropping-particle&quot;:&quot;&quot;}],&quot;container-title&quot;:&quot;Third World Quarterly&quot;,&quot;container-title-short&quot;:&quot;Third World Q&quot;,&quot;DOI&quot;:&quot;10.1080/01436597.2016.1191340&quot;,&quot;ISSN&quot;:&quot;13602241&quot;,&quot;issued&quot;:{&quot;date-parts&quot;:[[2017,3,4]]},&quot;page&quot;:&quot;636-654&quot;,&quot;abstract&quot;:&quot;Data indicate that good governance and human development continue to be major issues throughout sub-Saharan Africa. The findings show a significant relationship between the measures of good governance and human development. The findings suggest that policies and efforts aimed at improving government effectiveness and political stability would have the most significant impact on human development and poverty reduction efforts. The findings lend support to the adoption of integrated policy approaches that take into consideration political development along with economic development to reduce poverty in sub-Saharan Africa.&quot;,&quot;publisher&quot;:&quot;Routledge&quot;,&quot;issue&quot;:&quot;3&quot;,&quot;volume&quot;:&quot;38&quot;},&quot;isTemporary&quot;:false},{&quot;id&quot;:&quot;4b8c4cf9-6b55-31a1-88a4-68716459e483&quot;,&quot;itemData&quot;:{&quot;type&quot;:&quot;article-journal&quot;,&quot;id&quot;:&quot;4b8c4cf9-6b55-31a1-88a4-68716459e483&quot;,&quot;title&quot;:&quot;Islamic Governance, National Governance, and Bank Risk Management and Disclosure in MENA Countries&quot;,&quot;author&quot;:[{&quot;family&quot;:&quot;Elamer&quot;,&quot;given&quot;:&quot;Ahmed A.&quot;,&quot;parse-names&quot;:false,&quot;dropping-particle&quot;:&quot;&quot;,&quot;non-dropping-particle&quot;:&quot;&quot;},{&quot;family&quot;:&quot;Ntim&quot;,&quot;given&quot;:&quot;Collins G.&quot;,&quot;parse-names&quot;:false,&quot;dropping-particle&quot;:&quot;&quot;,&quot;non-dropping-particle&quot;:&quot;&quot;},{&quot;family&quot;:&quot;Abdou&quot;,&quot;given&quot;:&quot;Hussein A.&quot;,&quot;parse-names&quot;:false,&quot;dropping-particle&quot;:&quot;&quot;,&quot;non-dropping-particle&quot;:&quot;&quot;}],&quot;container-title&quot;:&quot;Business and Society&quot;,&quot;container-title-short&quot;:&quot;Bus Soc&quot;,&quot;DOI&quot;:&quot;10.1177/0007650317746108&quot;,&quot;ISSN&quot;:&quot;15524205&quot;,&quot;issued&quot;:{&quot;date-parts&quot;:[[2020,5,1]]},&quot;page&quot;:&quot;914-955&quot;,&quot;abstract&quot;:&quot;We examine the relationships among religious governance, especially Islamic governance quality (IGQ), national governance quality (NGQ), and risk management and disclosure practices (RDPs), and consequently ascertain whether NGQ has a moderating influence on the IGQ–RDPs nexus. Using one of the largest data sets relating to Islamic banks from 10 Middle East and North Africa (MENA) countries from 2006 to 2013, our findings are threefold. First, we find that RDPs are higher in banks with higher IGQ. Second, we find that RDPs are higher in banks from countries with higher NGQ. Finally, we find that NGQ has a moderating effect on the IGQ–RDPs nexus. Our findings are robust to alternative RDP measures and estimation techniques. These results imply that the quality of disclosure depends on the nature of the macro-social-level factors, such as religion that have remained largely unexplored in business and society research, and, therefore, have important implications for policy makers.&quot;,&quot;publisher&quot;:&quot;SAGE Publications Ltd&quot;,&quot;issue&quot;:&quot;5&quot;,&quot;volume&quot;:&quot;59&quot;},&quot;isTemporary&quot;:false},{&quot;id&quot;:&quot;02d01e1f-98b1-3163-949b-6af97ad6b689&quot;,&quot;itemData&quot;:{&quot;type&quot;:&quot;article-journal&quot;,&quot;id&quot;:&quot;02d01e1f-98b1-3163-949b-6af97ad6b689&quot;,&quot;title&quot;:&quot;Modern slavery, corruption, and hysteresis&quot;,&quot;author&quot;:[{&quot;family&quot;:&quot;Rauscher&quot;,&quot;given&quot;:&quot;Michael&quot;,&quot;parse-names&quot;:false,&quot;dropping-particle&quot;:&quot;&quot;,&quot;non-dropping-particle&quot;:&quot;&quot;},{&quot;family&quot;:&quot;Willert&quot;,&quot;given&quot;:&quot;Bianca&quot;,&quot;parse-names&quot;:false,&quot;dropping-particle&quot;:&quot;&quot;,&quot;non-dropping-particle&quot;:&quot;&quot;}],&quot;container-title&quot;:&quot;European Journal of Political Economy&quot;,&quot;container-title-short&quot;:&quot;Eur J Polit Econ&quot;,&quot;DOI&quot;:&quot;10.1016/j.ejpoleco.2020.101917&quot;,&quot;ISSN&quot;:&quot;01762680&quot;,&quot;issued&quot;:{&quot;date-parts&quot;:[[2020,9,1]]},&quot;abstract&quot;:&quot;We develop a model where firms profit from coercing workers into employment under conditions violating national law and international conventions and where corrupt public servants prosecuting violations of the rules are willing to turn cases down if bribed. Firms and public servants are heterogeneous. Firms benefit differently from the use of coerced labour whereas public servants have differing intrinsic motivations to behave honestly. Moreover, there is a socially determined warm-glow effect: honest public servants feel better if their colleagues are honest too. The determination of bribes is modelled via Nash bargaining between the firm and the corrupt civil servant. It is shown that multiple equilibria and hysteresis are possible. Depending on history, an economy may be trapped in a locally stable high-corruption, high-slavery equilibrium and major changes in government policies may be necessary to move the economy out of this equilibrium. Moreover, we show that trade bans that are effective in reducing slavery in the export industry tend to raise slavery in the remainder of the economy. It is possible that this leakage effect dominates the reduction of slavery in the export sector.&quot;,&quot;publisher&quot;:&quot;Elsevier B.V.&quot;,&quot;volume&quot;:&quot;64&quot;},&quot;isTemporary&quot;:false}],&quot;citationTag&quot;:&quot;MENDELEY_CITATION_v3_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&quot;},{&quot;citationID&quot;:&quot;MENDELEY_CITATION_a6c10d35-3ff0-43d1-b5b4-e9a53e78bac8&quot;,&quot;properties&quot;:{&quot;noteIndex&quot;:0},&quot;isEdited&quot;:false,&quot;manualOverride&quot;:{&quot;isManuallyOverridden&quot;:false,&quot;citeprocText&quot;:&quot;(Aidt &lt;i&gt;et al.&lt;/i&gt;, 2008; Rauscher and Willert, 2020)&quot;,&quot;manualOverrideText&quot;:&quot;&quot;},&quot;citationItems&quot;:[{&quot;id&quot;:&quot;02d01e1f-98b1-3163-949b-6af97ad6b689&quot;,&quot;itemData&quot;:{&quot;type&quot;:&quot;article-journal&quot;,&quot;id&quot;:&quot;02d01e1f-98b1-3163-949b-6af97ad6b689&quot;,&quot;title&quot;:&quot;Modern slavery, corruption, and hysteresis&quot;,&quot;author&quot;:[{&quot;family&quot;:&quot;Rauscher&quot;,&quot;given&quot;:&quot;Michael&quot;,&quot;parse-names&quot;:false,&quot;dropping-particle&quot;:&quot;&quot;,&quot;non-dropping-particle&quot;:&quot;&quot;},{&quot;family&quot;:&quot;Willert&quot;,&quot;given&quot;:&quot;Bianca&quot;,&quot;parse-names&quot;:false,&quot;dropping-particle&quot;:&quot;&quot;,&quot;non-dropping-particle&quot;:&quot;&quot;}],&quot;container-title&quot;:&quot;European Journal of Political Economy&quot;,&quot;container-title-short&quot;:&quot;Eur J Polit Econ&quot;,&quot;DOI&quot;:&quot;10.1016/j.ejpoleco.2020.101917&quot;,&quot;ISSN&quot;:&quot;01762680&quot;,&quot;issued&quot;:{&quot;date-parts&quot;:[[2020,9,1]]},&quot;abstract&quot;:&quot;We develop a model where firms profit from coercing workers into employment under conditions violating national law and international conventions and where corrupt public servants prosecuting violations of the rules are willing to turn cases down if bribed. Firms and public servants are heterogeneous. Firms benefit differently from the use of coerced labour whereas public servants have differing intrinsic motivations to behave honestly. Moreover, there is a socially determined warm-glow effect: honest public servants feel better if their colleagues are honest too. The determination of bribes is modelled via Nash bargaining between the firm and the corrupt civil servant. It is shown that multiple equilibria and hysteresis are possible. Depending on history, an economy may be trapped in a locally stable high-corruption, high-slavery equilibrium and major changes in government policies may be necessary to move the economy out of this equilibrium. Moreover, we show that trade bans that are effective in reducing slavery in the export industry tend to raise slavery in the remainder of the economy. It is possible that this leakage effect dominates the reduction of slavery in the export sector.&quot;,&quot;publisher&quot;:&quot;Elsevier B.V.&quot;,&quot;volume&quot;:&quot;64&quot;},&quot;isTemporary&quot;:false},{&quot;id&quot;:&quot;1a6dfd80-17cf-3498-aa8c-df55cca6d4cb&quot;,&quot;itemData&quot;:{&quot;type&quot;:&quot;article-journal&quot;,&quot;id&quot;:&quot;1a6dfd80-17cf-3498-aa8c-df55cca6d4cb&quot;,&quot;title&quot;:&quot;Governance regimes, corruption and growth: Theory and evidence&quot;,&quot;author&quot;:[{&quot;family&quot;:&quot;Aidt&quot;,&quot;given&quot;:&quot;Toke&quot;,&quot;parse-names&quot;:false,&quot;dropping-particle&quot;:&quot;&quot;,&quot;non-dropping-particle&quot;:&quot;&quot;},{&quot;family&quot;:&quot;Dutta&quot;,&quot;given&quot;:&quot;Jayasri&quot;,&quot;parse-names&quot;:false,&quot;dropping-particle&quot;:&quot;&quot;,&quot;non-dropping-particle&quot;:&quot;&quot;},{&quot;family&quot;:&quot;Sena&quot;,&quot;given&quot;:&quot;Vania&quot;,&quot;parse-names&quot;:false,&quot;dropping-particle&quot;:&quot;&quot;,&quot;non-dropping-particle&quot;:&quot;&quot;}],&quot;container-title&quot;:&quot;Journal of Comparative Economics&quot;,&quot;container-title-short&quot;:&quot;J Comp Econ&quot;,&quot;accessed&quot;:{&quot;date-parts&quot;:[[2023,4,20]]},&quot;DOI&quot;:&quot;10.1016/J.JCE.2007.11.004&quot;,&quot;ISSN&quot;:&quot;01475967&quot;,&quot;issued&quot;:{&quot;date-parts&quot;:[[2008,6]]},&quot;page&quot;:&quot;195-220&quot;,&quot;abstract&quot;:&quot;We study the role of political accountability as a determinant of corruption and economic growth. Our model identifies two governance regimes defined by the quality of political institutions and shows that the relationship between corruption and growth is regime specific. We use a threshold model to estimate the impact of corruption on growth where corruption is treated as an endogenous variable. We find two governance regimes, conditional on the quality of political institutions. In the regime with high quality political institutions, corruption has a substantial negative impact on growth. In the regime with low quality institutions, corruption has no impact on growth. Journal of Comparative Economics 36 (2) (2008) 195-220. © 2007 Association for Comparative Economic Studies.&quot;,&quot;issue&quot;:&quot;2&quot;,&quot;volume&quot;:&quot;36&quot;},&quot;isTemporary&quot;:false}],&quot;citationTag&quot;:&quot;MENDELEY_CITATION_v3_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&quot;},{&quot;citationID&quot;:&quot;MENDELEY_CITATION_3e076026-455f-4998-8d97-11fb81d900d5&quot;,&quot;properties&quot;:{&quot;noteIndex&quot;:0},&quot;isEdited&quot;:false,&quot;manualOverride&quot;:{&quot;isManuallyOverridden&quot;:false,&quot;citeprocText&quot;:&quot;(Albitar &lt;i&gt;et al.&lt;/i&gt;, 2025;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M2UwNzYwMjYtNDU1Zi00OTk4LThkOTctMTFmYjgxZDkwMGQ1IiwicHJvcGVydGllcyI6eyJub3RlSW5kZXgiOjB9LCJpc0VkaXRlZCI6ZmFsc2UsIm1hbnVhbE92ZXJyaWRlIjp7ImlzTWFudWFsbHlPdmVycmlkZGVuIjpmYWxzZSwiY2l0ZXByb2NUZXh0IjoiKEFsYml0YXI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quot;},{&quot;citationID&quot;:&quot;MENDELEY_CITATION_f3a54130-04ab-46d9-8bf9-90e26aeb1b85&quot;,&quot;properties&quot;:{&quot;noteIndex&quot;:0},&quot;isEdited&quot;:false,&quot;manualOverride&quot;:{&quot;isManuallyOverridden&quot;:true,&quot;citeprocText&quot;:&quot;(Moussa &lt;i&gt;et al.&lt;/i&gt;, 2022)&quot;,&quot;manualOverrideText&quot;:&quot;Moussa et al. (2022)&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ZjNhNTQxMzAtMDRhYi00NmQ5LThiZjktOTBlMjZhZWIxYjg1IiwicHJvcGVydGllcyI6eyJub3RlSW5kZXgiOjB9LCJpc0VkaXRlZCI6ZmFsc2UsIm1hbnVhbE92ZXJyaWRlIjp7ImlzTWFudWFsbHlPdmVycmlkZGVuIjp0cnVlLCJjaXRlcHJvY1RleHQiOiIoTW91c3NhIDxpPmV0IGFsLjwvaT4sIDIwMjIpIiwibWFudWFsT3ZlcnJpZGVUZXh0IjoiTW91c3NhIGV0IGFsLiAoMjAyMik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quot;},{&quot;citationID&quot;:&quot;MENDELEY_CITATION_19d3b4b5-3137-48fa-a553-a8f99e2125ad&quot;,&quot;properties&quot;:{&quot;noteIndex&quot;:0},&quot;isEdited&quot;:false,&quot;manualOverride&quot;:{&quot;isManuallyOverridden&quot;:false,&quot;citeprocText&quot;:&quot;(Crane &lt;i&gt;et al.&lt;/i&gt;, 2019; Ntim and Soobaroyen, 2013)&quot;,&quot;manualOverrideText&quot;:&quot;&quot;},&quot;citationItems&quot;:[{&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citationTag&quot;:&quot;MENDELEY_CITATION_v3_eyJjaXRhdGlvbklEIjoiTUVOREVMRVlfQ0lUQVRJT05fMTlkM2I0YjUtMzEzNy00OGZhLWE1NTMtYThmOTllMjEyNWFkIiwicHJvcGVydGllcyI6eyJub3RlSW5kZXgiOjB9LCJpc0VkaXRlZCI6ZmFsc2UsIm1hbnVhbE92ZXJyaWRlIjp7ImlzTWFudWFsbHlPdmVycmlkZGVuIjpmYWxzZSwiY2l0ZXByb2NUZXh0IjoiKENyYW5lIDxpPmV0IGFsLjwvaT4sIDIwMTk7IE50aW0gYW5kIFNvb2Jhcm95ZW4sIDIwMTMpIiwibWFudWFsT3ZlcnJpZGVUZXh0Ijoi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1dfQ==&quot;},{&quot;citationID&quot;:&quot;MENDELEY_CITATION_9cf52600-c826-4512-9500-37ad8f0f4f66&quot;,&quot;properties&quot;:{&quot;noteIndex&quot;:0},&quot;isEdited&quot;:false,&quot;manualOverride&quot;:{&quot;isManuallyOverridden&quot;:false,&quot;citeprocText&quot;:&quot;(Elamer &lt;i&gt;et al.&lt;/i&gt;, 2020; Moussa &lt;i&gt;et al.&lt;/i&gt;, 2023)&quot;,&quot;manualOverrideText&quot;:&quot;&quot;},&quot;citationItems&quot;:[{&quot;id&quot;:&quot;4b8c4cf9-6b55-31a1-88a4-68716459e483&quot;,&quot;itemData&quot;:{&quot;type&quot;:&quot;article-journal&quot;,&quot;id&quot;:&quot;4b8c4cf9-6b55-31a1-88a4-68716459e483&quot;,&quot;title&quot;:&quot;Islamic Governance, National Governance, and Bank Risk Management and Disclosure in MENA Countries&quot;,&quot;author&quot;:[{&quot;family&quot;:&quot;Elamer&quot;,&quot;given&quot;:&quot;Ahmed A.&quot;,&quot;parse-names&quot;:false,&quot;dropping-particle&quot;:&quot;&quot;,&quot;non-dropping-particle&quot;:&quot;&quot;},{&quot;family&quot;:&quot;Ntim&quot;,&quot;given&quot;:&quot;Collins G.&quot;,&quot;parse-names&quot;:false,&quot;dropping-particle&quot;:&quot;&quot;,&quot;non-dropping-particle&quot;:&quot;&quot;},{&quot;family&quot;:&quot;Abdou&quot;,&quot;given&quot;:&quot;Hussein A.&quot;,&quot;parse-names&quot;:false,&quot;dropping-particle&quot;:&quot;&quot;,&quot;non-dropping-particle&quot;:&quot;&quot;}],&quot;container-title&quot;:&quot;Business and Society&quot;,&quot;container-title-short&quot;:&quot;Bus Soc&quot;,&quot;DOI&quot;:&quot;10.1177/0007650317746108&quot;,&quot;ISSN&quot;:&quot;15524205&quot;,&quot;issued&quot;:{&quot;date-parts&quot;:[[2020,5,1]]},&quot;page&quot;:&quot;914-955&quot;,&quot;abstract&quot;:&quot;We examine the relationships among religious governance, especially Islamic governance quality (IGQ), national governance quality (NGQ), and risk management and disclosure practices (RDPs), and consequently ascertain whether NGQ has a moderating influence on the IGQ–RDPs nexus. Using one of the largest data sets relating to Islamic banks from 10 Middle East and North Africa (MENA) countries from 2006 to 2013, our findings are threefold. First, we find that RDPs are higher in banks with higher IGQ. Second, we find that RDPs are higher in banks from countries with higher NGQ. Finally, we find that NGQ has a moderating effect on the IGQ–RDPs nexus. Our findings are robust to alternative RDP measures and estimation techniques. These results imply that the quality of disclosure depends on the nature of the macro-social-level factors, such as religion that have remained largely unexplored in business and society research, and, therefore, have important implications for policy makers.&quot;,&quot;publisher&quot;:&quot;SAGE Publications Ltd&quot;,&quot;issue&quot;:&quot;5&quot;,&quot;volume&quot;:&quot;59&quot;},&quot;isTemporary&quot;:false},{&quot;id&quot;:&quot;672531eb-5245-300e-8778-f5d0052546ed&quot;,&quot;itemData&quot;:{&quot;type&quot;:&quot;article-journal&quot;,&quot;id&quot;:&quot;672531eb-5245-300e-8778-f5d0052546ed&quot;,&quot;title&quot;:&quot;An examination of UK companies' modern slavery disclosure practices: Does board gender diversity matter?&quot;,&quot;author&quot;:[{&quot;family&quot;:&quot;Moussa&quot;,&quot;given&quot;:&quot;Tantawy&quot;,&quot;parse-names&quot;:false,&quot;dropping-particle&quot;:&quot;&quot;,&quot;non-dropping-particle&quot;:&quot;&quot;},{&quot;family&quot;:&quot;Allam&quot;,&quot;given&quot;:&quot;| 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accessed&quot;:{&quot;date-parts&quot;:[[2023,4,27]]},&quot;DOI&quot;:&quot;10.1002/BSE.3426&quot;,&quot;ISSN&quot;:&quot;1099-0836&quot;,&quot;URL&quot;:&quot;https://onlinelibrary.wiley.com/doi/full/10.1002/bse.3426&quot;,&quot;issued&quot;:{&quot;date-parts&quot;:[[2023,4,25]]},&quot;abstract&quot;:&quot;The United Nations' Sustainable Development Goals persuade governments and businesses to fight modern slavery as part of the 2030 Agenda for Sustainable Development. The UK government took the initiative by introducing the Modern Slavery Act in 2015. Despite this, little is known about how companies disclose information about their efforts to tackle modern slavery as required by the Act and the role of corporate governance as a determinant of modern slavery disclosure (MSD) levels. This study, therefore, investigates the extent to which companies engage in MSD and empirically examines the impact of board gender diversity (BGD) on MSD. Based on a content analysis of FTSE 100 companies' modern slavery statements during the 2016-2020 period, we find that MSD improved over time but is still relatively low. Our results show that companies pay less attention to the core practices of modern slavery, such as key performance indicators (KPIs), due diligence procedures, risk assessment and management, and training. This evidence suggests that companies tend to comply with the Act by focusing largely on symbolic structures rather than providing a comprehensive disclosure of their impacts on modern slavery practices to minimise regulatory risks and manage stakeholders' perceptions. We also find that boards with greater female representation have a positive and significant association with MSD. This finding is consistent with the gender socialisation theory in that women are more sensitive to communal values and ethics. Consequently, companies with a greater proportion of female directors are more transparent about their strategies and actions related to fighting modern slavery. Furthermore, a critical mass of at least four female directors is necessary before any positive impact on MSD can be observed. Our findings shed new light on this under-researched area and the role of female directors in addressing modern slavery risk and can be of interest to companies , policymakers, and other stakeholders.&quot;,&quot;publisher&quot;:&quot;John Wiley &amp; Sons, Ltd&quot;,&quot;container-title-short&quot;:&quot;Bus Strategy Environ&quot;},&quot;isTemporary&quot;:false}],&quot;citationTag&quot;:&quot;MENDELEY_CITATION_v3_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&quot;},{&quot;citationID&quot;:&quot;MENDELEY_CITATION_fa367f30-e760-42c4-908f-78f71a864f8d&quot;,&quot;properties&quot;:{&quot;noteIndex&quot;:0},&quot;isEdited&quot;:false,&quot;manualOverride&quot;:{&quot;isManuallyOverridden&quot;:false,&quot;citeprocText&quot;:&quot;(Broad and Turnbull, 2019; Knudsen, 2018; Mantouvalou, 2018)&quot;,&quot;manualOverrideText&quot;:&quot;&quot;},&quot;citationItems&quot;:[{&quot;id&quot;:&quot;edc74989-3c1c-3dea-b147-2d74233c964b&quot;,&quot;itemData&quot;:{&quot;type&quot;:&quot;article-journal&quot;,&quot;id&quot;:&quot;edc74989-3c1c-3dea-b147-2d74233c964b&quot;,&quot;title&quot;:&quot;From Human Trafficking to Modern Slavery: The Development of Anti-Trafficking Policy in the UK&quot;,&quot;author&quot;:[{&quot;family&quot;:&quot;Broad&quot;,&quot;given&quot;:&quot;Rose&quot;,&quot;parse-names&quot;:false,&quot;dropping-particle&quot;:&quot;&quot;,&quot;non-dropping-particle&quot;:&quot;&quot;},{&quot;family&quot;:&quot;Turnbull&quot;,&quot;given&quot;:&quot;Nick&quot;,&quot;parse-names&quot;:false,&quot;dropping-particle&quot;:&quot;&quot;,&quot;non-dropping-particle&quot;:&quot;&quot;}],&quot;container-title&quot;:&quot;European Journal on Criminal Policy and Research&quot;,&quot;container-title-short&quot;:&quot;Eur J Crim Pol Res&quot;,&quot;DOI&quot;:&quot;10.1007/s10610-018-9375-4&quot;,&quot;ISSN&quot;:&quot;15729869&quot;,&quot;issued&quot;:{&quot;date-parts&quot;:[[2019,6,15]]},&quot;page&quot;:&quot;119-133&quot;,&quot;abstract&quot;:&quot;The UK Modern Slavery Act 2015 is the first national legislation to use the term ‘modern slavery’ and to explicitly target ‘slavery’ as opposed to ‘human trafficking’, ‘forced labour’, or other terms. This article explains the development of UK modern slavery policy, which did not arise as a rational response to a defined problem, but has gradually emerged from the policy process as a moderately structured problem. Problem structuring took place in two phases. The first phase was marked by a series of problematisations and policy responses, with disjunctions between the constructed policy problem and the social problem. Elite problematisations excluded alternatives, although the final shape of policy remained open. Policy built up incrementally, running ahead of research so that the policy frame was limited to sexual exploitation while marginalising labour exploitation concerns. In the second phase, unresolved problems of legislation were questioned under the influence of a new moralistic policy frame, an international discourse on slavery, supported by elite political actors. Campaign groups and licit industry also became more influential, increasing the policy scope to take in more types of exploitation. This generated a second round of legislative problematisation, ultimately embedded in the Modern Slavery Act 2015. The two-phase process and prevailing top-down policy direction worked against human rights discourses and victim protection. Modern slavery remains a moderately structured problem, with more work necessary to address unintended consequences and implementation difficulties, including enhancing multi-agency working.&quot;,&quot;publisher&quot;:&quot;Springer Netherlands&quot;,&quot;issue&quot;:&quot;2&quot;,&quot;volume&quot;:&quot;25&quot;},&quot;isTemporary&quot;:false},{&quot;id&quot;:&quot;6a157406-ba31-38ea-b786-6ab0dea9bd88&quot;,&quot;itemData&quot;:{&quot;type&quot;:&quot;article-journal&quot;,&quot;id&quot;:&quot;6a157406-ba31-38ea-b786-6ab0dea9bd88&quot;,&quot;title&quot;:&quot;The UK Modern Slavery Act 2015 Three Years On&quot;,&quot;author&quot;:[{&quot;family&quot;:&quot;Mantouvalou&quot;,&quot;given&quot;:&quot;Virginia&quot;,&quot;parse-names&quot;:false,&quot;dropping-particle&quot;:&quot;&quot;,&quot;non-dropping-particle&quot;:&quot;&quot;}],&quot;container-title&quot;:&quot;Modern Law Review&quot;,&quot;URL&quot;:&quot;http://resource.co/article/recychng-slavery-gang-jailed-32-years-11885.&quot;,&quot;issued&quot;:{&quot;date-parts&quot;:[[2018]]},&quot;page&quot;:&quot;1017-1045&quot;,&quot;abstract&quot;:&quot;This article provides a critical assessment of the UK Modern Slavery Act 2015 (MSA) three years after its enactment. It puts forward the following claims: first, that while criminalisation of individuals who engage in severe labour exploitation is welcome, the legislation has failed to increase prosecutions and to provide adequate remedies to victims; second, that heavy reliance on criminal law for the regulation of severe labour exploitation is insufficient, because the broader political and legislative context suggests that there is no political will to address structural factors, including legal structures, that create vulnerability to exploitation; and third, that the MSA is too weak in tackling modern slavery by businesses in their supply chains, as existing evidence from business responses to the MSA indicates. The article concludes that despite the passing of the Act, there is much scope for improvement in measures for eliminating labour exploitation, even with regard to its most severe forms.&quot;,&quot;issue&quot;:&quot;6&quot;,&quot;volume&quot;:&quot;81&quot;,&quot;container-title-short&quot;:&quot;&quot;},&quot;isTemporary&quot;:false},{&quot;id&quot;:&quot;b76e474c-fb38-343a-bcea-f1e4094870fc&quot;,&quot;itemData&quot;:{&quot;type&quot;:&quot;article-journal&quot;,&quot;id&quot;:&quot;b76e474c-fb38-343a-bcea-f1e4094870fc&quot;,&quot;title&quot;:&quot;Government Regulation of International Corporate Social Responsibility in the US and the UK: How Domestic Institutions Shape Mandatory and Supportive Initiatives&quot;,&quot;author&quot;:[{&quot;family&quot;:&quot;Knudsen&quot;,&quot;given&quot;:&quot;Jette Steen&quot;,&quot;parse-names&quot;:false,&quot;dropping-particle&quot;:&quot;&quot;,&quot;non-dropping-particle&quot;:&quot;&quot;}],&quot;container-title&quot;:&quot;British Journal of Industrial Relations&quot;,&quot;container-title-short&quot;:&quot;Br J Ind Relat&quot;,&quot;DOI&quot;:&quot;10.1111/bjir.12253&quot;,&quot;ISSN&quot;:&quot;14678543&quot;,&quot;issued&quot;:{&quot;date-parts&quot;:[[2018,3,1]]},&quot;page&quot;:&quot;164-188&quot;,&quot;abstract&quot;:&quot;While most scholarship on corporate social responsibility (CSR) focuses on company-level CSR initiatives, it increasingly also examines government programs for CSR. However, research on how governments contribute to CSR has mainly focused on domestic and not international CSR challenges. This literature also does not specify whether governments shape CSR through mandatory regulation or supportive initiatives. This article adopts a process-tracing approach to determine how governments regulate international CSR. It demonstrates that the legal and political systems in the liberal market economies of the UK and the US lead to different forms of public CSR regulation — notably in the areas of labour standards in apparel and tax transparency in extractives. The UK government has been more likely to support bottom-up collaborative multi-stakeholder initiatives, whereas the US government has favoured top-down mandatory regulation.&quot;,&quot;publisher&quot;:&quot;Blackwell Publishing Ltd&quot;,&quot;issue&quot;:&quot;1&quot;,&quot;volume&quot;:&quot;56&quot;},&quot;isTemporary&quot;:false}],&quot;citationTag&quot;:&quot;MENDELEY_CITATION_v3_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&quot;},{&quot;citationID&quot;:&quot;MENDELEY_CITATION_3a854f8d-f6a5-413c-b316-fa134332178f&quot;,&quot;properties&quot;:{&quot;noteIndex&quot;:0},&quot;isEdited&quot;:false,&quot;manualOverride&quot;:{&quot;isManuallyOverridden&quot;:false,&quot;citeprocText&quot;:&quot;(Geels, 2020; Vidal &lt;i&gt;et al.&lt;/i&gt;, 2023)&quot;,&quot;manualOverrideText&quot;:&quot;&quot;},&quot;citationItems&quot;:[{&quot;id&quot;:&quot;9f173216-a79f-35c8-858b-9247b6adaab8&quot;,&quot;itemData&quot;:{&quot;type&quot;:&quot;article-journal&quot;,&quot;id&quot;:&quot;9f173216-a79f-35c8-858b-9247b6adaab8&quot;,&quot;title&quot;:&quot;Micro-foundations of the multi-level perspective on socio-technical transitions: Developing a multi-dimensional model of agency through crossovers between social constructivism, evolutionary economics and neo-institutional theory&quot;,&quot;author&quot;:[{&quot;family&quot;:&quot;Geels&quot;,&quot;given&quot;:&quot;Frank W.&quot;,&quot;parse-names&quot;:false,&quot;dropping-particle&quot;:&quot;&quot;,&quot;non-dropping-particle&quot;:&quot;&quot;}],&quot;container-title&quot;:&quot;Technological Forecasting and Social Change&quot;,&quot;container-title-short&quot;:&quot;Technol Forecast Soc Change&quot;,&quot;DOI&quot;:&quot;10.1016/j.techfore.2019.119894&quot;,&quot;ISSN&quot;:&quot;00401625&quot;,&quot;issued&quot;:{&quot;date-parts&quot;:[[2020,3,1]]},&quot;abstract&quot;:&quot;The Multi-Level Perspective (MLP) is a prominent framework to understand socio-technical transitions, but its micro-foundations have remained under-developed. The paper's first aim is therefore to develop the MLP's theoretical micro-foundations, which are rooted in Social Construction of Technology, evolutionary economics and neoinstitutional theory. The second aim is to further identify crossovers between these theories. To achieve these goals, the paper analytically reviews the three theories, focusing on: (1) the relevance of each theory for transitions and the MLP, (2) the theory's conceptualisation of agency, (3) criticisms of each theory and subsequent conceptual elaborations (which prepare the ground for potential crossovers between them). Mobilizing insights from the analytical reviews, the paper articulates a multi-dimensional model of agency, which also provides a relational and processual conceptualization of ongoing trajectories in which actors are embedded. Specific conceptual linking points between the three theories are identified, leading to an understanding of socio-technical transitions as evolutionary, interpretive and conflictual processes.&quot;,&quot;publisher&quot;:&quot;Elsevier Inc.&quot;,&quot;volume&quot;:&quot;152&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1dfQ==&quot;},{&quot;citationID&quot;:&quot;MENDELEY_CITATION_a1b72bab-92f4-454f-afa5-10d204f56aad&quot;,&quot;properties&quot;:{&quot;noteIndex&quot;:0},&quot;isEdited&quot;:false,&quot;manualOverride&quot;:{&quot;isManuallyOverridden&quot;:false,&quot;citeprocText&quot;:&quot;(DiMaggio and Powell, 1983; Meyer and Rowan, 1977)&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citationTag&quot;:&quot;MENDELEY_CITATION_v3_eyJjaXRhdGlvbklEIjoiTUVOREVMRVlfQ0lUQVRJT05fYTFiNzJiYWItOTJmNC00NTRmLWFmYTUtMTBkMjA0ZjU2YWFkIiwicHJvcGVydGllcyI6eyJub3RlSW5kZXgiOjB9LCJpc0VkaXRlZCI6ZmFsc2UsIm1hbnVhbE92ZXJyaWRlIjp7ImlzTWFudWFsbHlPdmVycmlkZGVuIjpmYWxzZSwiY2l0ZXByb2NUZXh0IjoiKERpTWFnZ2lvIGFuZCBQb3dlbGwsIDE5ODM7IE1leWVyIGFuZCBSb3dhbiwgMTk3Ny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XX0=&quot;},{&quot;citationID&quot;:&quot;MENDELEY_CITATION_083b0695-c62e-438d-9204-a94c65405955&quot;,&quot;properties&quot;:{&quot;noteIndex&quot;:0},&quot;isEdited&quot;:false,&quot;manualOverride&quot;:{&quot;isManuallyOverridden&quot;:false,&quot;citeprocText&quot;:&quot;(Scott, 2013)&quot;,&quot;manualOverrideText&quot;:&quot;&quot;},&quot;citationItems&quot;:[{&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MDgzYjA2OTUtYzYyZS00MzhkLTkyMDQtYTk0YzY1NDA1OTU1IiwicHJvcGVydGllcyI6eyJub3RlSW5kZXgiOjB9LCJpc0VkaXRlZCI6ZmFsc2UsIm1hbnVhbE92ZXJyaWRlIjp7ImlzTWFudWFsbHlPdmVycmlkZGVuIjpmYWxzZSwiY2l0ZXByb2NUZXh0IjoiKFNjb3R0LCAyMDEzKSIsIm1hbnVhbE92ZXJyaWRlVGV4dCI6Ii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XX0=&quot;},{&quot;citationID&quot;:&quot;MENDELEY_CITATION_0a0a8c90-098e-42b5-b72b-dcb3aedf41d1&quot;,&quot;properties&quot;:{&quot;noteIndex&quot;:0},&quot;isEdited&quot;:false,&quot;manualOverride&quot;:{&quot;isManuallyOverridden&quot;:false,&quot;citeprocText&quot;:&quot;(Helfaya &lt;i&gt;et al.&lt;/i&gt;, 2025; 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MGEwYThjOTAtMDk4ZS00MmI1LWI3MmItZGNiM2FlZGY0MWQxIiwicHJvcGVydGllcyI6eyJub3RlSW5kZXgiOjB9LCJpc0VkaXRlZCI6ZmFsc2UsIm1hbnVhbE92ZXJyaWRlIjp7ImlzTWFudWFsbHlPdmVycmlkZGVuIjpmYWxzZSwiY2l0ZXByb2NUZXh0IjoiKEhlbGZheWEgPGk+ZXQgYWwuPC9pPiwgMjAyNTsgTXV0aHV0aGFudHJpZ2UgPGk+ZXQgYWwuPC9pPiwgMjAyNikiLCJtYW51YWxPdmVycmlkZVRleHQiOiI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Sx7ImlkIjoiODMxOTRlNTUtOWEwMS0zMjUzLWJiMGMtYjcyMzE4ODAxZjZmIiwiaXRlbURhdGEiOnsidHlwZSI6ImFydGljbGUtam91cm5hbCIsImlkIjoiODMxOTRlNTUtOWEwMS0zMjUzLWJiMGMtYjcyMzE4ODAxZjZmIiwidGl0bGUiOiJGb3N0ZXJpbmcgaHVtYW4gZGV2ZWxvcG1lbnQ6IGRvIGluc3RpdHV0aW9uYWwgZW52aXJvbm1lbnQgcXVhbGl0eSBhbmQgb3ZlcmFsbCBVTi1TREdzIGF0dGFpbm1lbnQgbWF0dGVyPy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R2V5aSIsInBhcnNlLW5hbWVzIjpmYWxzZSwiZHJvcHBpbmctcGFydGljbGUiOiIiLCJub24tZHJvcHBpbmctcGFydGljbGUiOiIifV0sImNvbnRhaW5lci10aXRsZSI6IlN1c3RhaW5hYmlsaXR5IEFjY291bnRpbmcsIE1hbmFnZW1lbnQgYW5kIFBvbGljeSBKb3VybmFsIiwiRE9JIjoiMTAuMTEwOC9TQU1QSi0wOS0yMDI0LTA5NjAiLCJJU1NOIjoiMjA0MC04MDIxIiwiaXNzdWVkIjp7ImRhdGUtcGFydHMiOltbMjAyNSwxMCwxXV19LCJjb250YWluZXItdGl0bGUtc2hvcnQiOiIifSwiaXNUZW1wb3JhcnkiOmZhbHNlfV19&quot;},{&quot;citationID&quot;:&quot;MENDELEY_CITATION_be1ae73e-2008-40d5-a9fc-7560c2d076f4&quot;,&quot;properties&quot;:{&quot;noteIndex&quot;:0},&quot;isEdited&quot;:false,&quot;manualOverride&quot;:{&quot;isManuallyOverridden&quot;:false,&quot;citeprocText&quot;:&quot;(Huq and Stevenson, 2020; Kauppi and Luzzini, 2022)&quot;,&quot;manualOverrideText&quot;:&quot;&quot;},&quot;citationItems&quot;:[{&quot;id&quot;:&quot;7de16256-5c9a-3cc2-b312-0ea170f38976&quot;,&quot;itemData&quot;:{&quot;type&quot;:&quot;article-journal&quot;,&quot;id&quot;:&quot;7de16256-5c9a-3cc2-b312-0ea170f38976&quot;,&quot;title&quot;:&quot;Implementing Socially Sustainable Practices in Challenging Institutional Contexts: Building Theory from Seven Developing Country Supplier Cases&quot;,&quot;author&quot;:[{&quot;family&quot;:&quot;Huq&quot;,&quot;given&quot;:&quot;Fahian Anisul&quot;,&quot;parse-names&quot;:false,&quot;dropping-particle&quot;:&quot;&quot;,&quot;non-dropping-particle&quot;:&quot;&quot;},{&quot;family&quot;:&quot;Stevenson&quot;,&quot;given&quot;:&quot;Mark&quot;,&quot;parse-names&quot;:false,&quot;dropping-particle&quot;:&quot;&quot;,&quot;non-dropping-particle&quot;:&quot;&quot;}],&quot;container-title&quot;:&quot;Journal of Business Ethics&quot;,&quot;DOI&quot;:&quot;10.1007/s10551-018-3951-x&quot;,&quot;ISSN&quot;:&quot;15730697&quot;,&quot;issued&quot;:{&quot;date-parts&quot;:[[2020,1,1]]},&quot;page&quot;:&quot;415-442&quot;,&quot;abstract&quot;:&quot;The implementation of socially sustainable practices in suppliers situated in challenging institutional contexts is examined using institutional theory, both in terms of how institutional pressures affect implementation and what explains the decoupling of practices from the day-to-day reality. A multi-case study approach is employed based on seven apparel industry suppliers in Bangladesh. Cross-case analysis highlights the coercive, mimetic, and normative pressures on suppliers to implement socially sustainable practices. A key pressure identified that has not previously been highlighted in the literature is horizontal collaboration between buyers, which intensifies coercive pressure on suppliers and increases the consequences of non-compliance. The factors that contribute to decoupling are categorized into firm-, supply chain-, and environment-related factors. Further, six propositions are developed on how specific forms of institutional pressure can tackle particular decoupling factors to support implementation. The paper responds to recent calls for greater scrutiny of why and how firms decouple ethical practices and supports the development of the literature specifically on social sustainability, which lags behind that on environmental sustainability and has been largely focused on the Western buyer perspective. The findings have implications for the diffusion of ethical practices into supply chains, especially distant suppliers in very different and challenging institutional contexts.&quot;,&quot;publisher&quot;:&quot;Springer&quot;,&quot;issue&quot;:&quot;2&quot;,&quot;volume&quot;:&quot;161&quot;,&quot;container-title-short&quot;:&quot;&quot;},&quot;isTemporary&quot;:false},{&quot;id&quot;:&quot;1f058b01-0951-30e5-83d5-2dacf6741140&quot;,&quot;itemData&quot;:{&quot;type&quot;:&quot;article-journal&quot;,&quot;id&quot;:&quot;1f058b01-0951-30e5-83d5-2dacf6741140&quot;,&quot;title&quot;:&quot;Measuring institutional pressures in a supply chain context: scale development and testing&quot;,&quot;author&quot;:[{&quot;family&quot;:&quot;Kauppi&quot;,&quot;given&quot;:&quot;Katri&quot;,&quot;parse-names&quot;:false,&quot;dropping-particle&quot;:&quot;&quot;,&quot;non-dropping-particle&quot;:&quot;&quot;},{&quot;family&quot;:&quot;Luzzini&quot;,&quot;given&quot;:&quot;Davide&quot;,&quot;parse-names&quot;:false,&quot;dropping-particle&quot;:&quot;&quot;,&quot;non-dropping-particle&quot;:&quot;&quot;}],&quot;container-title&quot;:&quot;Supply Chain Management&quot;,&quot;DOI&quot;:&quot;10.1108/SCM-04-2021-0169&quot;,&quot;ISSN&quot;:&quot;13598546&quot;,&quot;issued&quot;:{&quot;date-parts&quot;:[[2022,12,19]]},&quot;page&quot;:&quot;79-107&quot;,&quot;abstract&quot;:&quot;Purpose: Increasing amount of empirical research in operations and supply chain management is using institutional theory as its theoretical lens. Yet, a common scale to measure the three institutional pressures – coercive, mimetic and normative – is lacking. Many studies use proxies or a single, grouped, construct of external pressures which present methodological challenges. This study aims to present the development of multi-item scales to measure institutional pressures (in a purchasing context). Design/methodology/approach: First, items were generated based on the theoretical construct definitions. These items were then tested through academic sorting and an international survey. The first empirical testing failed to produce reliable and valid scales, and further refinement and analysis revealed that coercive pressure splits into two separate constructs. A second q-sorting was then conducted with purchasing practitioners, followed by another survey in Italy to verify the new measurement scale for four institutional pressures. Findings: The multimethod and multistage measurement development reveals that empirically the three institutional pressures actually turn into four pressures. The theoretical construct of coercive pressure splits into two distinct constructs: coercive market pressure and coercive regulatory pressure. Originality/value: The results of the paper, namely, the measurement scales, are an important theoretical and methodological contribution to future empirical research. They present a much-needed measurement for these theoretical constructs increasingly used in management research.&quot;,&quot;publisher&quot;:&quot;Emerald Group Holdings Ltd.&quot;,&quot;issue&quot;:&quot;7&quot;,&quot;volume&quot;:&quot;27&quot;,&quot;container-title-short&quot;:&quot;&quot;},&quot;isTemporary&quot;:false}],&quot;citationTag&quot;:&quot;MENDELEY_CITATION_v3_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&quot;},{&quot;citationID&quot;:&quot;MENDELEY_CITATION_26ecede6-6bef-44bf-8163-33fa143f5042&quot;,&quot;properties&quot;:{&quot;noteIndex&quot;:0},&quot;isEdited&quot;:false,&quot;manualOverride&quot;:{&quot;isManuallyOverridden&quot;:false,&quot;citeprocText&quot;:&quot;(Ahmed &lt;i&gt;et al.&lt;/i&gt;, 2025; Albitar &lt;i&gt;et al.&lt;/i&gt;, 2025)&quot;,&quot;manualOverrideText&quot;:&quot;&quot;},&quot;citationItems&quot;:[{&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id&quot;:&quot;85fb0bc2-faaf-3b59-8885-266bc0c19bd3&quot;,&quot;itemData&quot;:{&quot;type&quot;:&quot;article-journal&quot;,&quot;id&quot;:&quot;85fb0bc2-faaf-3b59-8885-266bc0c19bd3&quot;,&quot;title&quot;:&quot;Mastanocracy: The legitimization of criminal governance and violence in Bangladesh’s garment industry&quot;,&quot;author&quot;:[{&quot;family&quot;:&quot;Ahmed&quot;,&quot;given&quot;:&quot;Shoaib&quot;,&quot;parse-names&quot;:false,&quot;dropping-particle&quot;:&quot;&quot;,&quot;non-dropping-particle&quot;:&quot;&quot;},{&quot;family&quot;:&quot;Alawattage&quot;,&quot;given&quot;:&quot;Chandana&quot;,&quot;parse-names&quot;:false,&quot;dropping-particle&quot;:&quot;&quot;,&quot;non-dropping-particle&quot;:&quot;&quot;},{&quot;family&quot;:&quot;Jayasinghe&quot;,&quot;given&quot;:&quot;Kelum&quot;,&quot;parse-names&quot;:false,&quot;dropping-particle&quot;:&quot;&quot;,&quot;non-dropping-particle&quot;:&quot;&quot;}],&quot;container-title&quot;:&quot;Human Relations&quot;,&quot;DOI&quot;:&quot;10.1177/00187267251383441&quot;,&quot;ISSN&quot;:&quot;1741282X&quot;,&quot;issued&quot;:{&quot;date-parts&quot;:[[2025]]},&quot;abstract&quot;:&quot;The operation of criminal governance within formal-legal industrial contexts connected to global supply chains remains insufficiently theorized in management and organization studies (MOS). How such governance legitimizes violence against marginalized workers both within and beyond organizational boundaries also remains critically underexplored. By analysing the paradoxical normalization of criminality and violence within Bangladesh’s garment industry, this study exposes the systemic embeddedness of mastans, politically connected criminals, within export-oriented industrial governance. We conceptualize this entanglement as mastanocracy, a hybrid political formation of violent criminal governance that operates legitimately at the nexus of corruption, democratic erosion, elite power and social polarization, advancing the neoliberal economic and political agendas of dominant actors. This research extends MOS by broadening the boundary conditions under which criminal governance is legitimized in a formal-legal industrial environment in the Global South. It also advances the discourse on violence in contemporary organizations by revealing the broader cultural, social and political dynamics that normalize violence within and beyond organizational boundaries, compelling millions of marginalized workers to live and work under regimes of criminal governance.&quot;,&quot;publisher&quot;:&quot;SAGE Publications Ltd&quot;,&quot;container-title-short&quot;:&quot;&quot;},&quot;isTemporary&quot;:false}],&quot;citationTag&quot;:&quot;MENDELEY_CITATION_v3_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&quot;},{&quot;citationID&quot;:&quot;MENDELEY_CITATION_67e3e07e-da00-4f85-8a3f-563870e8dbfb&quot;,&quot;properties&quot;:{&quot;noteIndex&quot;:0},&quot;isEdited&quot;:false,&quot;manualOverride&quot;:{&quot;isManuallyOverridden&quot;:false,&quot;citeprocText&quot;:&quot;(Bales &lt;i&gt;et al.&lt;/i&gt;, 2009; Crane &lt;i&gt;et al.&lt;/i&gt;, 2019)&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295a3ce9-f99f-3015-bb67-2c48aa9ed81f&quot;,&quot;itemData&quot;:{&quot;type&quot;:&quot;book&quot;,&quot;id&quot;:&quot;295a3ce9-f99f-3015-bb67-2c48aa9ed81f&quot;,&quot;title&quot;:&quot;Modern Slavery: The Secret World of 27 Million People&quot;,&quot;author&quot;:[{&quot;family&quot;:&quot;Bales&quot;,&quot;given&quot;:&quot;Kevin&quot;,&quot;parse-names&quot;:false,&quot;dropping-particle&quot;:&quot;&quot;,&quot;non-dropping-particle&quot;:&quot;&quot;},{&quot;family&quot;:&quot;Trodd&quot;,&quot;given&quot;:&quot;Zoe&quot;,&quot;parse-names&quot;:false,&quot;dropping-particle&quot;:&quot;&quot;,&quot;non-dropping-particle&quot;:&quot;&quot;},{&quot;family&quot;:&quot;Williamson&quot;,&quot;given&quot;:&quot;Alex Kent&quot;,&quot;parse-names&quot;:false,&quot;dropping-particle&quot;:&quot;&quot;,&quot;non-dropping-particle&quot;:&quot;&quot;}],&quot;issued&quot;:{&quot;date-parts&quot;:[[2009]]},&quot;number-of-pages&quot;:&quot;1-224&quot;,&quot;publisher&quot;:&quot;Oneworld&quot;,&quot;container-title-short&quot;:&quot;&quot;},&quot;isTemporary&quot;:false}],&quot;citationTag&quot;:&quot;MENDELEY_CITATION_v3_eyJjaXRhdGlvbklEIjoiTUVOREVMRVlfQ0lUQVRJT05fNjdlM2UwN2UtZGEwMC00Zjg1LThhM2YtNTYzODcwZThkYmZiIiwicHJvcGVydGllcyI6eyJub3RlSW5kZXgiOjB9LCJpc0VkaXRlZCI6ZmFsc2UsIm1hbnVhbE92ZXJyaWRlIjp7ImlzTWFudWFsbHlPdmVycmlkZGVuIjpmYWxzZSwiY2l0ZXByb2NUZXh0IjoiKEJhbGVzIDxpPmV0IGFsLjwvaT4sIDIwMDk7IENyYW5lIDxpPmV0IGFsLjwvaT4sIDIwMTk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&quot;},{&quot;citationID&quot;:&quot;MENDELEY_CITATION_c3e68b40-f8c1-407c-800e-a98f07f1bffb&quot;,&quot;properties&quot;:{&quot;noteIndex&quot;:0},&quot;isEdited&quot;:false,&quot;manualOverride&quot;:{&quot;isManuallyOverridden&quot;:false,&quot;citeprocText&quot;:&quot;(Ahmed &lt;i&gt;et al.&lt;/i&gt;, 2025; Chrispal &lt;i&gt;et al.&lt;/i&gt;, 2021; Meyer and Rowan, 1977)&quot;,&quot;manualOverrideText&quot;:&quot;&quot;},&quot;citationItems&quot;:[{&quot;id&quot;:&quot;85fb0bc2-faaf-3b59-8885-266bc0c19bd3&quot;,&quot;itemData&quot;:{&quot;type&quot;:&quot;article-journal&quot;,&quot;id&quot;:&quot;85fb0bc2-faaf-3b59-8885-266bc0c19bd3&quot;,&quot;title&quot;:&quot;Mastanocracy: The legitimization of criminal governance and violence in Bangladesh’s garment industry&quot;,&quot;author&quot;:[{&quot;family&quot;:&quot;Ahmed&quot;,&quot;given&quot;:&quot;Shoaib&quot;,&quot;parse-names&quot;:false,&quot;dropping-particle&quot;:&quot;&quot;,&quot;non-dropping-particle&quot;:&quot;&quot;},{&quot;family&quot;:&quot;Alawattage&quot;,&quot;given&quot;:&quot;Chandana&quot;,&quot;parse-names&quot;:false,&quot;dropping-particle&quot;:&quot;&quot;,&quot;non-dropping-particle&quot;:&quot;&quot;},{&quot;family&quot;:&quot;Jayasinghe&quot;,&quot;given&quot;:&quot;Kelum&quot;,&quot;parse-names&quot;:false,&quot;dropping-particle&quot;:&quot;&quot;,&quot;non-dropping-particle&quot;:&quot;&quot;}],&quot;container-title&quot;:&quot;Human Relations&quot;,&quot;DOI&quot;:&quot;10.1177/00187267251383441&quot;,&quot;ISSN&quot;:&quot;1741282X&quot;,&quot;issued&quot;:{&quot;date-parts&quot;:[[2025]]},&quot;abstract&quot;:&quot;The operation of criminal governance within formal-legal industrial contexts connected to global supply chains remains insufficiently theorized in management and organization studies (MOS). How such governance legitimizes violence against marginalized workers both within and beyond organizational boundaries also remains critically underexplored. By analysing the paradoxical normalization of criminality and violence within Bangladesh’s garment industry, this study exposes the systemic embeddedness of mastans, politically connected criminals, within export-oriented industrial governance. We conceptualize this entanglement as mastanocracy, a hybrid political formation of violent criminal governance that operates legitimately at the nexus of corruption, democratic erosion, elite power and social polarization, advancing the neoliberal economic and political agendas of dominant actors. This research extends MOS by broadening the boundary conditions under which criminal governance is legitimized in a formal-legal industrial environment in the Global South. It also advances the discourse on violence in contemporary organizations by revealing the broader cultural, social and political dynamics that normalize violence within and beyond organizational boundaries, compelling millions of marginalized workers to live and work under regimes of criminal governance.&quot;,&quot;publisher&quot;:&quot;SAGE Publications Ltd&quot;,&quot;container-title-short&quot;:&quot;&quot;},&quot;isTemporary&quot;:false},{&quot;id&quot;:&quot;6ecdd856-7769-3a35-a10e-7d9dca007da3&quot;,&quot;itemData&quot;:{&quot;type&quot;:&quot;article-journal&quot;,&quot;id&quot;:&quot;6ecdd856-7769-3a35-a10e-7d9dca007da3&quot;,&quot;title&quot;:&quot;Caste and Organization Studies: Our Silence Makes Us Complicit&quot;,&quot;author&quot;:[{&quot;family&quot;:&quot;Chrispal&quot;,&quot;given&quot;:&quot;Snehanjali&quot;,&quot;parse-names&quot;:false,&quot;dropping-particle&quot;:&quot;&quot;,&quot;non-dropping-particle&quot;:&quot;&quot;},{&quot;family&quot;:&quot;Bapuji&quot;,&quot;given&quot;:&quot;Hari&quot;,&quot;parse-names&quot;:false,&quot;dropping-particle&quot;:&quot;&quot;,&quot;non-dropping-particle&quot;:&quot;&quot;},{&quot;family&quot;:&quot;Zietsma&quot;,&quot;given&quot;:&quot;Charlene&quot;,&quot;parse-names&quot;:false,&quot;dropping-particle&quot;:&quot;&quot;,&quot;non-dropping-particle&quot;:&quot;&quot;}],&quot;container-title&quot;:&quot;Organization Studies&quot;,&quot;DOI&quot;:&quot;10.1177/0170840620964038&quot;,&quot;ISSN&quot;:&quot;17413044&quot;,&quot;issued&quot;:{&quot;date-parts&quot;:[[2021,9,1]]},&quot;page&quot;:&quot;1501-1515&quot;,&quot;abstract&quot;:&quot;The caste system has received scant attention in organization studies, despite persisting over thousands of years, influencing the socioeconomic lives of over a billion people around the world and subjecting over 300 million people to severe socioeconomic discrimination. By overlooking caste, scholars risk conforming subaltern empirics to imperialist knowledge and miss the nuance and complexity that caste can bring to organization studies. We argue that the caste system is an institution that affects the workplace, yet it is difficult to dismantle because of its rooting in bodies and the sacred, which strips away agency. As an institution that is deeply embodied, caste has implications for institutional work, precarious work and modern slavery. We conclude with a call for scholarly engagement with caste to study its implications in the pursuit of grand challenges and inclusive organizations.&quot;,&quot;publisher&quot;:&quot;SAGE Publications Ltd&quot;,&quot;issue&quot;:&quot;9&quot;,&quot;volume&quot;:&quot;42&quot;,&quot;container-title-short&quot;:&quot;&quot;},&quot;isTemporary&quot;:false},{&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citationTag&quot;:&quot;MENDELEY_CITATION_v3_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quot;},{&quot;citationID&quot;:&quot;MENDELEY_CITATION_1e8a5a9f-ad0b-4664-ac4b-9e897d38a25a&quot;,&quot;properties&quot;:{&quot;noteIndex&quot;:0},&quot;isEdited&quot;:false,&quot;manualOverride&quot;:{&quot;isManuallyOverridden&quot;:false,&quot;citeprocText&quot;:&quot;(Davidson, 2015; 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id&quot;:&quot;53c807c0-26e1-3d6c-aee1-006e1e3bfa78&quot;,&quot;itemData&quot;:{&quot;type&quot;:&quot;book&quot;,&quot;id&quot;:&quot;53c807c0-26e1-3d6c-aee1-006e1e3bfa78&quot;,&quot;title&quot;:&quot;Modern Slavery: The margins of freedom&quot;,&quot;author&quot;:[{&quot;family&quot;:&quot;Davidson&quot;,&quot;given&quot;:&quot;Julia O’Connell&quot;,&quot;parse-names&quot;:false,&quot;dropping-particle&quot;:&quot;&quot;,&quot;non-dropping-particle&quot;:&quot;&quot;}],&quot;container-title&quot;:&quot;Modern Slavery: The Margins of Freedom&quot;,&quot;accessed&quot;:{&quot;date-parts&quot;:[[2023,4,2]]},&quot;ISBN&quot;:&quot;9781137297297&quot;,&quot;issued&quot;:{&quot;date-parts&quot;:[[2015,1,1]]},&quot;number-of-pages&quot;:&quot;1-250&quot;,&quot;abstract&quot;:&quot;Providing a unique critical perspective to debates on slavery, this book brings the literature on transatlantic slavery into dialogue with research on informal sector labour, child labour, migration, debt, prisoners, and sex work in the contemporary world in order to challenge popular and policy discourse on modern slavery.&quot;,&quot;publisher&quot;:&quot;Springer&quot;,&quot;container-title-short&quot;:&quot;&quot;},&quot;isTemporary&quot;:false}],&quot;citationTag&quot;:&quot;MENDELEY_CITATION_v3_eyJjaXRhdGlvbklEIjoiTUVOREVMRVlfQ0lUQVRJT05fMWU4YTVhOWYtYWQwYi00NjY0LWFjNGItOWU4OTdkMzhhMjVhIiwicHJvcGVydGllcyI6eyJub3RlSW5kZXgiOjB9LCJpc0VkaXRlZCI6ZmFsc2UsIm1hbnVhbE92ZXJyaWRlIjp7ImlzTWFudWFsbHlPdmVycmlkZGVuIjpmYWxzZSwiY2l0ZXByb2NUZXh0IjoiKERhdmlkc29uLCAyMDE1OyBNdXRodXRoYW50cmlnZSA8aT5ldCBhbC48L2k+LCAyMDI2KSIsIm1hbnVhbE92ZXJyaWRlVGV4dCI6IiJ9LCJjaXRhdGlvbkl0ZW1zIjpb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&quot;},{&quot;citationID&quot;:&quot;MENDELEY_CITATION_308faba4-9c13-4cf1-819c-1dc780800891&quot;,&quot;properties&quot;:{&quot;noteIndex&quot;:0},&quot;isEdited&quot;:false,&quot;manualOverride&quot;:{&quot;isManuallyOverridden&quot;:false,&quot;citeprocText&quot;:&quot;(Business and Human Rights Resource Centre, 2024; LeBaron &lt;i&gt;et al.&lt;/i&gt;, 2018)&quot;,&quot;manualOverrideText&quot;:&quot;&quot;},&quot;citationItems&quot;:[{&quot;id&quot;:&quot;940f75d4-952b-3efb-87d2-be173ccfdbfd&quot;,&quot;itemData&quot;:{&quot;type&quot;:&quot;webpage&quot;,&quot;id&quot;:&quot;940f75d4-952b-3efb-87d2-be173ccfdbfd&quot;,&quot;title&quot;:&quot;USA: 26 textile firms added to forced labour entity list over alleged link with labour camps in Xinjiang&quot;,&quot;author&quot;:[{&quot;family&quot;:&quot;Business and Human Rights Resource Centre&quot;,&quot;given&quot;:&quot;&quot;,&quot;parse-names&quot;:false,&quot;dropping-particle&quot;:&quot;&quot;,&quot;non-dropping-particle&quot;:&quot;&quot;}],&quot;accessed&quot;:{&quot;date-parts&quot;:[[2024,12,1]]},&quot;URL&quot;:&quot;https://www.business-humanrights.org/en/latest-news/china-83-major-brands-implicated-in-report-on-forced-labour-of-ethnic-minorities-from-xinjiang-assigned-to-factories-across-provinces-includes-company-responses/&quot;,&quot;issued&quot;:{&quot;date-parts&quot;:[[2024,5,19]]},&quot;container-title-short&quot;:&quot;&quot;},&quot;isTemporary&quot;:false},{&quot;id&quot;:&quot;d54ceb23-c2d4-3d26-b463-fc50c5f56200&quot;,&quot;itemData&quot;:{&quot;type&quot;:&quot;report&quot;,&quot;id&quot;:&quot;d54ceb23-c2d4-3d26-b463-fc50c5f56200&quot;,&quot;title&quot;:&quot;Confronting root causes: forced labour in global supply chains&quot;,&quot;author&quot;:[{&quot;family&quot;:&quot;LeBaron&quot;,&quot;given&quot;:&quot;Genevieve&quot;,&quot;parse-names&quot;:false,&quot;dropping-particle&quot;:&quot;&quot;,&quot;non-dropping-particle&quot;:&quot;&quot;},{&quot;family&quot;:&quot;Howard&quot;,&quot;given&quot;:&quot;Neil&quot;,&quot;parse-names&quot;:false,&quot;dropping-particle&quot;:&quot;&quot;,&quot;non-dropping-particle&quot;:&quot;&quot;},{&quot;family&quot;:&quot;Thibos&quot;,&quot;given&quot;:&quot;Cameron&quot;,&quot;parse-names&quot;:false,&quot;dropping-particle&quot;:&quot;&quot;,&quot;non-dropping-particle&quot;:&quot;&quot;},{&quot;family&quot;:&quot;Kyritsis&quot;,&quot;given&quot;:&quot;Penelope&quot;,&quot;parse-names&quot;:false,&quot;dropping-particle&quot;:&quot;&quot;,&quot;non-dropping-particle&quot;:&quot;&quot;}],&quot;issued&quot;:{&quot;date-parts&quot;:[[2018]]},&quot;number-of-pages&quot;:&quot;1-100&quot;,&quot;container-title-short&quot;:&quot;&quot;},&quot;isTemporary&quot;:false}],&quot;citationTag&quot;:&quot;MENDELEY_CITATION_v3_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&quot;},{&quot;citationID&quot;:&quot;MENDELEY_CITATION_711dbac5-afcc-4d7f-bc60-b5b30678d8c3&quot;,&quot;properties&quot;:{&quot;noteIndex&quot;:0},&quot;isEdited&quot;:false,&quot;manualOverride&quot;:{&quot;isManuallyOverridden&quot;:false,&quot;citeprocText&quot;:&quot;(UN News, 2022; UNHR, 2022)&quot;,&quot;manualOverrideText&quot;:&quot;&quot;},&quot;citationItems&quot;:[{&quot;id&quot;:&quot;a7941746-dfa8-3262-97b9-0d1ea3cd0a90&quot;,&quot;itemData&quot;:{&quot;type&quot;:&quot;webpage&quot;,&quot;id&quot;:&quot;a7941746-dfa8-3262-97b9-0d1ea3cd0a90&quot;,&quot;title&quot;:&quot;UN Human Rights Office issues assessment of human rights concerns in Xinjiang, China&quot;,&quot;author&quot;:[{&quot;family&quot;:&quot;UNHR&quot;,&quot;given&quot;:&quot;&quot;,&quot;parse-names&quot;:false,&quot;dropping-particle&quot;:&quot;&quot;,&quot;non-dropping-particle&quot;:&quot;&quot;}],&quot;container-title&quot;:&quot; Press release- office for the high commissioner for human rights&quot;,&quot;accessed&quot;:{&quot;date-parts&quot;:[[2022,9,27]]},&quot;URL&quot;:&quot;https://www.ohchr.org/en/press-releases/2022/08/un-human-rights-office-issues-assessment-human-rights-concerns-xinjiang&quot;,&quot;issued&quot;:{&quot;date-parts&quot;:[[2022,8,31]]},&quot;abstract&quot;:&quot;GENEVA (31 August 2022) – The UN Human Rights Office today issued an assessment of human rights concerns in China’s Xinjiang Uyghur Autonomous Region.\n\nThe assessment was initiated following serious allegations of human rights violations against Uyghurs and other predominantly Muslim communities brought to the attention of the UN Human Rights Office and UN human rights mechanisms since late 2017, particularly in the context of the Chinese Government’s policies and measures to combat terrorism and “extremism”.\n\nThe assessment is based on a rigorous review of documentary material currently available to the Office, with its credibility assessed in accordance with standard human rights methodology. Particular attention was given to the Government’s own laws, policies, data and statements. The Office also requested information and engaged in dialogue and technical exchanges with China throughout the process.\n\nThe information was assessed against applicable international human rights law, and builds on the work of a number of UN human rights mechanisms.\n\nThe UN Human Rights Office stands ready to support China in addressing the issues and recommendations articulated in the assessment.&quot;,&quot;container-title-short&quot;:&quot;&quot;},&quot;isTemporary&quot;:false},{&quot;id&quot;:&quot;ea12bf72-b449-3285-bb4f-a16cee35a2d9&quot;,&quot;itemData&quot;:{&quot;type&quot;:&quot;webpage&quot;,&quot;id&quot;:&quot;ea12bf72-b449-3285-bb4f-a16cee35a2d9&quot;,&quot;title&quot;:&quot;Global perspective Human stories;the United Nations Search Advanced SearchChina responsible for \&quot;serious human rights violations\&quot; in Xinjiang province: UN human rights report&quot;,&quot;author&quot;:[{&quot;family&quot;:&quot;UN News&quot;,&quot;given&quot;:&quot;&quot;,&quot;parse-names&quot;:false,&quot;dropping-particle&quot;:&quot;&quot;,&quot;non-dropping-particle&quot;:&quot;&quot;}],&quot;accessed&quot;:{&quot;date-parts&quot;:[[2022,9,2]]},&quot;URL&quot;:&quot;https://news.un.org/en/story/2022/08/1125932&quot;,&quot;issued&quot;:{&quot;date-parts&quot;:[[2022,8,31]]},&quot;container-title-short&quot;:&quot;&quot;},&quot;isTemporary&quot;:false}],&quot;citationTag&quot;:&quot;MENDELEY_CITATION_v3_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&quot;},{&quot;citationID&quot;:&quot;MENDELEY_CITATION_c0f6b330-89eb-405b-936b-362f4b95e9e0&quot;,&quot;properties&quot;:{&quot;noteIndex&quot;:0},&quot;isEdited&quot;:false,&quot;manualOverride&quot;:{&quot;isManuallyOverridden&quot;:false,&quot;citeprocText&quot;:&quot;(DiMaggio and Powell, 1983; Huq and Stevenson, 2020; Kauppi and Luzzini, 2022)&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1f058b01-0951-30e5-83d5-2dacf6741140&quot;,&quot;itemData&quot;:{&quot;type&quot;:&quot;article-journal&quot;,&quot;id&quot;:&quot;1f058b01-0951-30e5-83d5-2dacf6741140&quot;,&quot;title&quot;:&quot;Measuring institutional pressures in a supply chain context: scale development and testing&quot;,&quot;author&quot;:[{&quot;family&quot;:&quot;Kauppi&quot;,&quot;given&quot;:&quot;Katri&quot;,&quot;parse-names&quot;:false,&quot;dropping-particle&quot;:&quot;&quot;,&quot;non-dropping-particle&quot;:&quot;&quot;},{&quot;family&quot;:&quot;Luzzini&quot;,&quot;given&quot;:&quot;Davide&quot;,&quot;parse-names&quot;:false,&quot;dropping-particle&quot;:&quot;&quot;,&quot;non-dropping-particle&quot;:&quot;&quot;}],&quot;container-title&quot;:&quot;Supply Chain Management&quot;,&quot;DOI&quot;:&quot;10.1108/SCM-04-2021-0169&quot;,&quot;ISSN&quot;:&quot;13598546&quot;,&quot;issued&quot;:{&quot;date-parts&quot;:[[2022,12,19]]},&quot;page&quot;:&quot;79-107&quot;,&quot;abstract&quot;:&quot;Purpose: Increasing amount of empirical research in operations and supply chain management is using institutional theory as its theoretical lens. Yet, a common scale to measure the three institutional pressures – coercive, mimetic and normative – is lacking. Many studies use proxies or a single, grouped, construct of external pressures which present methodological challenges. This study aims to present the development of multi-item scales to measure institutional pressures (in a purchasing context). Design/methodology/approach: First, items were generated based on the theoretical construct definitions. These items were then tested through academic sorting and an international survey. The first empirical testing failed to produce reliable and valid scales, and further refinement and analysis revealed that coercive pressure splits into two separate constructs. A second q-sorting was then conducted with purchasing practitioners, followed by another survey in Italy to verify the new measurement scale for four institutional pressures. Findings: The multimethod and multistage measurement development reveals that empirically the three institutional pressures actually turn into four pressures. The theoretical construct of coercive pressure splits into two distinct constructs: coercive market pressure and coercive regulatory pressure. Originality/value: The results of the paper, namely, the measurement scales, are an important theoretical and methodological contribution to future empirical research. They present a much-needed measurement for these theoretical constructs increasingly used in management research.&quot;,&quot;publisher&quot;:&quot;Emerald Group Holdings Ltd.&quot;,&quot;issue&quot;:&quot;7&quot;,&quot;volume&quot;:&quot;27&quot;,&quot;container-title-short&quot;:&quot;&quot;},&quot;isTemporary&quot;:false},{&quot;id&quot;:&quot;7de16256-5c9a-3cc2-b312-0ea170f38976&quot;,&quot;itemData&quot;:{&quot;type&quot;:&quot;article-journal&quot;,&quot;id&quot;:&quot;7de16256-5c9a-3cc2-b312-0ea170f38976&quot;,&quot;title&quot;:&quot;Implementing Socially Sustainable Practices in Challenging Institutional Contexts: Building Theory from Seven Developing Country Supplier Cases&quot;,&quot;author&quot;:[{&quot;family&quot;:&quot;Huq&quot;,&quot;given&quot;:&quot;Fahian Anisul&quot;,&quot;parse-names&quot;:false,&quot;dropping-particle&quot;:&quot;&quot;,&quot;non-dropping-particle&quot;:&quot;&quot;},{&quot;family&quot;:&quot;Stevenson&quot;,&quot;given&quot;:&quot;Mark&quot;,&quot;parse-names&quot;:false,&quot;dropping-particle&quot;:&quot;&quot;,&quot;non-dropping-particle&quot;:&quot;&quot;}],&quot;container-title&quot;:&quot;Journal of Business Ethics&quot;,&quot;DOI&quot;:&quot;10.1007/s10551-018-3951-x&quot;,&quot;ISSN&quot;:&quot;15730697&quot;,&quot;issued&quot;:{&quot;date-parts&quot;:[[2020,1,1]]},&quot;page&quot;:&quot;415-442&quot;,&quot;abstract&quot;:&quot;The implementation of socially sustainable practices in suppliers situated in challenging institutional contexts is examined using institutional theory, both in terms of how institutional pressures affect implementation and what explains the decoupling of practices from the day-to-day reality. A multi-case study approach is employed based on seven apparel industry suppliers in Bangladesh. Cross-case analysis highlights the coercive, mimetic, and normative pressures on suppliers to implement socially sustainable practices. A key pressure identified that has not previously been highlighted in the literature is horizontal collaboration between buyers, which intensifies coercive pressure on suppliers and increases the consequences of non-compliance. The factors that contribute to decoupling are categorized into firm-, supply chain-, and environment-related factors. Further, six propositions are developed on how specific forms of institutional pressure can tackle particular decoupling factors to support implementation. The paper responds to recent calls for greater scrutiny of why and how firms decouple ethical practices and supports the development of the literature specifically on social sustainability, which lags behind that on environmental sustainability and has been largely focused on the Western buyer perspective. The findings have implications for the diffusion of ethical practices into supply chains, especially distant suppliers in very different and challenging institutional contexts.&quot;,&quot;publisher&quot;:&quot;Springer&quot;,&quot;issue&quot;:&quot;2&quot;,&quot;volume&quot;:&quot;161&quot;,&quot;container-title-short&quot;:&quot;&quot;},&quot;isTemporary&quot;:false}],&quot;citationTag&quot;:&quot;MENDELEY_CITATION_v3_eyJjaXRhdGlvbklEIjoiTUVOREVMRVlfQ0lUQVRJT05fYzBmNmIzMzAtODllYi00MDViLTkzNmItMzYyZjRiOTVlOWUwIiwicHJvcGVydGllcyI6eyJub3RlSW5kZXgiOjB9LCJpc0VkaXRlZCI6ZmFsc2UsIm1hbnVhbE92ZXJyaWRlIjp7ImlzTWFudWFsbHlPdmVycmlkZGVuIjpmYWxzZSwiY2l0ZXByb2NUZXh0IjoiKERpTWFnZ2lvIGFuZCBQb3dlbGwsIDE5ODM7IEh1cSBhbmQgU3RldmVuc29uLCAyMDIwOyBLYXVwcGkgYW5kIEx1enppbmksIDIwMjI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b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&quot;},{&quot;citationID&quot;:&quot;MENDELEY_CITATION_05bfbe63-67b3-413f-91de-9369d00d6739&quot;,&quot;properties&quot;:{&quot;noteIndex&quot;:0},&quot;isEdited&quot;:false,&quot;manualOverride&quot;:{&quot;isManuallyOverridden&quot;:false,&quot;citeprocText&quot;:&quot;(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MDViZmJlNjMtNjdiMy00MTNmLTkxZGUtOTM2OWQwMGQ2NzM5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df1312f9-9c92-4038-8d96-bba0059574ba&quot;,&quot;properties&quot;:{&quot;noteIndex&quot;:0},&quot;isEdited&quot;:false,&quot;manualOverride&quot;:{&quot;isManuallyOverridden&quot;:false,&quot;citeprocText&quot;:&quot;(Moussa &lt;i&gt;et al.&lt;/i&gt;, 2022; Rauscher and Willert, 2020)&quot;,&quot;manualOverrideText&quot;:&quot;&quot;},&quot;citationItems&quot;:[{&quot;id&quot;:&quot;02d01e1f-98b1-3163-949b-6af97ad6b689&quot;,&quot;itemData&quot;:{&quot;type&quot;:&quot;article-journal&quot;,&quot;id&quot;:&quot;02d01e1f-98b1-3163-949b-6af97ad6b689&quot;,&quot;title&quot;:&quot;Modern slavery, corruption, and hysteresis&quot;,&quot;author&quot;:[{&quot;family&quot;:&quot;Rauscher&quot;,&quot;given&quot;:&quot;Michael&quot;,&quot;parse-names&quot;:false,&quot;dropping-particle&quot;:&quot;&quot;,&quot;non-dropping-particle&quot;:&quot;&quot;},{&quot;family&quot;:&quot;Willert&quot;,&quot;given&quot;:&quot;Bianca&quot;,&quot;parse-names&quot;:false,&quot;dropping-particle&quot;:&quot;&quot;,&quot;non-dropping-particle&quot;:&quot;&quot;}],&quot;container-title&quot;:&quot;European Journal of Political Economy&quot;,&quot;container-title-short&quot;:&quot;Eur J Polit Econ&quot;,&quot;DOI&quot;:&quot;10.1016/j.ejpoleco.2020.101917&quot;,&quot;ISSN&quot;:&quot;01762680&quot;,&quot;issued&quot;:{&quot;date-parts&quot;:[[2020,9,1]]},&quot;abstract&quot;:&quot;We develop a model where firms profit from coercing workers into employment under conditions violating national law and international conventions and where corrupt public servants prosecuting violations of the rules are willing to turn cases down if bribed. Firms and public servants are heterogeneous. Firms benefit differently from the use of coerced labour whereas public servants have differing intrinsic motivations to behave honestly. Moreover, there is a socially determined warm-glow effect: honest public servants feel better if their colleagues are honest too. The determination of bribes is modelled via Nash bargaining between the firm and the corrupt civil servant. It is shown that multiple equilibria and hysteresis are possible. Depending on history, an economy may be trapped in a locally stable high-corruption, high-slavery equilibrium and major changes in government policies may be necessary to move the economy out of this equilibrium. Moreover, we show that trade bans that are effective in reducing slavery in the export industry tend to raise slavery in the remainder of the economy. It is possible that this leakage effect dominates the reduction of slavery in the export sector.&quot;,&quot;publisher&quot;:&quot;Elsevier B.V.&quot;,&quot;volume&quot;:&quot;64&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f1275409-e691-41e7-a1c6-cfe19c8095d3&quot;,&quot;properties&quot;:{&quot;noteIndex&quot;:0},&quot;isEdited&quot;:false,&quot;manualOverride&quot;:{&quot;isManuallyOverridden&quot;:false,&quot;citeprocText&quot;:&quot;(Albitar &lt;i&gt;et al.&lt;/i&gt;, 2025;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ZjEyNzU0MDktZTY5MS00MWU3LWExYzYtY2ZlMTljODA5NWQzIiwicHJvcGVydGllcyI6eyJub3RlSW5kZXgiOjB9LCJpc0VkaXRlZCI6ZmFsc2UsIm1hbnVhbE92ZXJyaWRlIjp7ImlzTWFudWFsbHlPdmVycmlkZGVuIjpmYWxzZSwiY2l0ZXByb2NUZXh0IjoiKEFsYml0YXI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quot;},{&quot;citationID&quot;:&quot;MENDELEY_CITATION_c982f6ac-df89-433a-8b8f-09175566291d&quot;,&quot;properties&quot;:{&quot;noteIndex&quot;:0},&quot;isEdited&quot;:false,&quot;manualOverride&quot;:{&quot;isManuallyOverridden&quot;:false,&quot;citeprocText&quot;:&quot;(United Nations, 2015a)&quot;,&quot;manualOverrideText&quot;:&quot;&quot;},&quot;citationItems&quot;:[{&quot;id&quot;:&quot;961b5324-18b3-32de-bb24-d53f4af1e05b&quot;,&quot;itemData&quot;:{&quot;type&quot;:&quot;report&quot;,&quot;id&quot;:&quot;961b5324-18b3-32de-bb24-d53f4af1e05b&quot;,&quot;title&quot;:&quot;Transforming our world: the 2030 Agenda for Sustainable Development &quot;,&quot;author&quot;:[{&quot;family&quot;:&quot;United Nations&quot;,&quot;given&quot;:&quot;&quot;,&quot;parse-names&quot;:false,&quot;dropping-particle&quot;:&quot;&quot;,&quot;non-dropping-particle&quot;:&quot;&quot;}],&quot;accessed&quot;:{&quot;date-parts&quot;:[[2023,2,10]]},&quot;issued&quot;:{&quot;date-parts&quot;:[[2015]]},&quot;number-of-pages&quot;:&quot;1-35&quot;,&quot;abstract&quot;:&quot;This Agenda is a plan of action for people, planet and prosperity. It also seeks to strengthen universal peace in larger freedom. We recognize that eradicating poverty in all its forms and dimensions, including extreme poverty, is the greatest global challenge and an indispensable requirement for sustainable development. All countries and all stakeholders, acting in collaborative partnership, will implement this plan. We are resolved to free the human race from the tyranny of poverty and want and to heal and secure our planet. We are determined to take the bold and transformative steps which are urgently needed to shift the world on to a sustainable and resilient path. As we embark on this collective journey, we pledge that no one will be left behind. The 17 Sustainable Development Goals and 169 targets which we are announcing today demonstrate the scale and ambition of this new universal Agenda. They seek to build on the Millennium Development Goals and complete what they did not achieve. They seek to realize the human rights of all and to achieve gender equality and the empowerment of all women and girls. They are integrated and indivisible and balance the three dimensions of sustainable development: the economic, social and environmental. The Goals and targets will stimulate action over the next 15 years in areas of critical importance for humanity and the planet.&quot;,&quot;container-title-short&quot;:&quot;&quot;},&quot;isTemporary&quot;:false}],&quot;citationTag&quot;:&quot;MENDELEY_CITATION_v3_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&quot;},{&quot;citationID&quot;:&quot;MENDELEY_CITATION_ba460509-0789-44b3-85e8-a99a7c8fffe4&quot;,&quot;properties&quot;:{&quot;noteIndex&quot;:0},&quot;isEdited&quot;:false,&quot;manualOverride&quot;:{&quot;isManuallyOverridden&quot;:false,&quot;citeprocText&quot;:&quot;(Helfaya &lt;i&gt;et al.&lt;/i&gt;, 2025; LeBaron, 2020; Obayi and Ebrahimi, 2021)&quot;,&quot;manualOverrideText&quot;:&quot;&quot;},&quot;citationItems&quot;:[{&quot;id&quot;:&quot;f6de1282-9487-3c33-be2b-b61509a933f1&quot;,&quot;itemData&quot;:{&quot;type&quot;:&quot;book&quot;,&quot;id&quot;:&quot;f6de1282-9487-3c33-be2b-b61509a933f1&quot;,&quot;title&quot;:&quot;Combatting Modern Slavery : Why Labour Governance is Failing and What We Can Do About It&quot;,&quot;author&quot;:[{&quot;family&quot;:&quot;LeBaron&quot;,&quot;given&quot;:&quot;Genevieve&quot;,&quot;parse-names&quot;:false,&quot;dropping-particle&quot;:&quot;&quot;,&quot;non-dropping-particle&quot;:&quot;&quot;}],&quot;accessed&quot;:{&quot;date-parts&quot;:[[2025,10,11]]},&quot;ISBN&quot;:&quot;9781509513680&quot;,&quot;URL&quot;:&quot;https://books.google.com/books/about/Combatting_Modern_Slavery.html?id=4pb-DwAAQBAJ&quot;,&quot;issued&quot;:{&quot;date-parts&quot;:[[2020,9,22]]},&quot;number-of-pages&quot;:&quot;1-224&quot;,&quot;abstract&quot;:&quot;Cover -- Title page -- Copyright page -- Contents -- Acknowledgements -- 1 Who Does Labour Governance Work For? -- What is Labour Governance? -- What is Modern Slavery? -- Why Global Labour Governance Is Failing -- This Book's Approach -- Corporations as Cause and Solution to Labour Abuse -- Corporations Save the World's Workers -- This Book's Arguments and Structure -- Labour exploitation in global supply chains -- Corporate power and the state -- The recruitment industry -- The enforcement industry -- Corporate Fairytales vs. Worker Power -- 2 Labour Exploitation in Global Supply Chains&quot;,&quot;publisher&quot;:&quot;Wiley Publication&quot;,&quot;container-title-short&quot;:&quot;&quot;},&quot;isTemporary&quot;:false},{&quot;id&quot;:&quot;0328897a-b571-31e2-aa19-b00f3c00c109&quot;,&quot;itemData&quot;:{&quot;type&quot;:&quot;article-journal&quot;,&quot;id&quot;:&quot;0328897a-b571-31e2-aa19-b00f3c00c109&quot;,&quot;title&quot;:&quot;A neo-institutional view of the transaction cost drivers of construction supply chain risk management&quot;,&quot;author&quot;:[{&quot;family&quot;:&quot;Obayi&quot;,&quot;given&quot;:&quot;Raymond&quot;,&quot;parse-names&quot;:false,&quot;dropping-particle&quot;:&quot;&quot;,&quot;non-dropping-particle&quot;:&quot;&quot;},{&quot;family&quot;:&quot;Ebrahimi&quot;,&quot;given&quot;:&quot;Seyed Nasrollah&quot;,&quot;parse-names&quot;:false,&quot;dropping-particle&quot;:&quot;&quot;,&quot;non-dropping-particle&quot;:&quot;&quot;}],&quot;container-title&quot;:&quot;Supply Chain Management: An International Journal&quot;,&quot;DOI&quot;:&quot;10.1108/SCM-09-2019-0350&quot;,&quot;ISSN&quot;:&quot;1359-8546&quot;,&quot;issued&quot;:{&quot;date-parts&quot;:[[2021,7,13]]},&quot;page&quot;:&quot;592-609&quot;,&quot;issue&quot;:&quot;5&quot;,&quot;volume&quot;:&quot;26&quot;,&quot;container-title-short&quot;:&quot;&quot;},&quot;isTemporary&quot;:false},{&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quot;},{&quot;citationID&quot;:&quot;MENDELEY_CITATION_afc4de5d-d603-4501-b335-3b37b82f0932&quot;,&quot;properties&quot;:{&quot;noteIndex&quot;:0},&quot;isEdited&quot;:false,&quot;manualOverride&quot;:{&quot;isManuallyOverridden&quot;:false,&quot;citeprocText&quot;:&quot;(Ahmed &lt;i&gt;et al.&lt;/i&gt;, 2025; Meyer and Rowan, 1977)&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85fb0bc2-faaf-3b59-8885-266bc0c19bd3&quot;,&quot;itemData&quot;:{&quot;type&quot;:&quot;article-journal&quot;,&quot;id&quot;:&quot;85fb0bc2-faaf-3b59-8885-266bc0c19bd3&quot;,&quot;title&quot;:&quot;Mastanocracy: The legitimization of criminal governance and violence in Bangladesh’s garment industry&quot;,&quot;author&quot;:[{&quot;family&quot;:&quot;Ahmed&quot;,&quot;given&quot;:&quot;Shoaib&quot;,&quot;parse-names&quot;:false,&quot;dropping-particle&quot;:&quot;&quot;,&quot;non-dropping-particle&quot;:&quot;&quot;},{&quot;family&quot;:&quot;Alawattage&quot;,&quot;given&quot;:&quot;Chandana&quot;,&quot;parse-names&quot;:false,&quot;dropping-particle&quot;:&quot;&quot;,&quot;non-dropping-particle&quot;:&quot;&quot;},{&quot;family&quot;:&quot;Jayasinghe&quot;,&quot;given&quot;:&quot;Kelum&quot;,&quot;parse-names&quot;:false,&quot;dropping-particle&quot;:&quot;&quot;,&quot;non-dropping-particle&quot;:&quot;&quot;}],&quot;container-title&quot;:&quot;Human Relations&quot;,&quot;DOI&quot;:&quot;10.1177/00187267251383441&quot;,&quot;ISSN&quot;:&quot;1741282X&quot;,&quot;issued&quot;:{&quot;date-parts&quot;:[[2025]]},&quot;abstract&quot;:&quot;The operation of criminal governance within formal-legal industrial contexts connected to global supply chains remains insufficiently theorized in management and organization studies (MOS). How such governance legitimizes violence against marginalized workers both within and beyond organizational boundaries also remains critically underexplored. By analysing the paradoxical normalization of criminality and violence within Bangladesh’s garment industry, this study exposes the systemic embeddedness of mastans, politically connected criminals, within export-oriented industrial governance. We conceptualize this entanglement as mastanocracy, a hybrid political formation of violent criminal governance that operates legitimately at the nexus of corruption, democratic erosion, elite power and social polarization, advancing the neoliberal economic and political agendas of dominant actors. This research extends MOS by broadening the boundary conditions under which criminal governance is legitimized in a formal-legal industrial environment in the Global South. It also advances the discourse on violence in contemporary organizations by revealing the broader cultural, social and political dynamics that normalize violence within and beyond organizational boundaries, compelling millions of marginalized workers to live and work under regimes of criminal governance.&quot;,&quot;publisher&quot;:&quot;SAGE Publications Ltd&quot;,&quot;container-title-short&quot;:&quot;&quot;},&quot;isTemporary&quot;:false}],&quot;citationTag&quot;:&quot;MENDELEY_CITATION_v3_eyJjaXRhdGlvbklEIjoiTUVOREVMRVlfQ0lUQVRJT05fYWZjNGRlNWQtZDYwMy00NTAxLWIzMzUtM2IzN2I4MmYwOTMyIiwicHJvcGVydGllcyI6eyJub3RlSW5kZXgiOjB9LCJpc0VkaXRlZCI6ZmFsc2UsIm1hbnVhbE92ZXJyaWRlIjp7ImlzTWFudWFsbHlPdmVycmlkZGVuIjpmYWxzZSwiY2l0ZXByb2NUZXh0IjoiKEFobWVkIDxpPmV0IGFsLjwvaT4sIDIwMjU7I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&quot;},{&quot;citationID&quot;:&quot;MENDELEY_CITATION_1f00d03e-c322-4789-98ea-f8d161f3a546&quot;,&quot;properties&quot;:{&quot;noteIndex&quot;:0},&quot;isEdited&quot;:false,&quot;manualOverride&quot;:{&quot;isManuallyOverridden&quot;:false,&quot;citeprocText&quot;:&quot;(Landman and Silverman, 2019;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citationTag&quot;:&quot;MENDELEY_CITATION_v3_eyJjaXRhdGlvbklEIjoiTUVOREVMRVlfQ0lUQVRJT05fMWYwMGQwM2UtYzMyMi00Nzg5LTk4ZWEtZjhkMTYxZjNhNTQ2IiwicHJvcGVydGllcyI6eyJub3RlSW5kZXgiOjB9LCJpc0VkaXRlZCI6ZmFsc2UsIm1hbnVhbE92ZXJyaWRlIjp7ImlzTWFudWFsbHlPdmVycmlkZGVuIjpmYWxzZSwiY2l0ZXByb2NUZXh0IjoiKExhbmRtYW4gYW5kIFNpbHZlcm1hbiwgMjAxO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&quot;},{&quot;citationID&quot;:&quot;MENDELEY_CITATION_5715ede8-e9a3-4644-8733-da0207e32788&quot;,&quot;properties&quot;:{&quot;noteIndex&quot;:0},&quot;isEdited&quot;:false,&quot;manualOverride&quot;:{&quot;isManuallyOverridden&quot;:false,&quot;citeprocText&quot;:&quot;(Helfaya &lt;i&gt;et al.&lt;/i&gt;, 2025)&quot;,&quot;manualOverrideText&quot;:&quot;&quot;},&quot;citationItems&quot;:[{&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NTcxNWVkZTgtZTlhMy00NjQ0LTg3MzMtZGEwMjA3ZTMyNzg4IiwicHJvcGVydGllcyI6eyJub3RlSW5kZXgiOjB9LCJpc0VkaXRlZCI6ZmFsc2UsIm1hbnVhbE92ZXJyaWRlIjp7ImlzTWFudWFsbHlPdmVycmlkZGVuIjpmYWxzZSwiY2l0ZXByb2NUZXh0IjoiKEhlbGZheWEgPGk+ZXQgYWwuPC9pPiwgMjAyNS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quot;},{&quot;citationID&quot;:&quot;MENDELEY_CITATION_74e230a9-2067-43f3-98e7-a504a8def693&quot;,&quot;properties&quot;:{&quot;noteIndex&quot;:0},&quot;isEdited&quot;:false,&quot;manualOverride&quot;:{&quot;isManuallyOverridden&quot;:false,&quot;citeprocText&quot;:&quot;(Christ &lt;i&gt;et al.&lt;/i&gt;, 2023; Crane &lt;i&gt;et al.&lt;/i&gt;, 2019)&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0ce23ff7-8063-3489-9d73-6acf9cefe063&quot;,&quot;itemData&quot;:{&quot;type&quot;:&quot;article-journal&quot;,&quot;id&quot;:&quot;0ce23ff7-8063-3489-9d73-6acf9cefe063&quot;,&quot;title&quot;:&quot;Modern slavery and the accounting profession&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Islam&quot;,&quot;given&quot;:&quot;Muhammad Azizul&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citationTag&quot;:&quot;MENDELEY_CITATION_v3_eyJjaXRhdGlvbklEIjoiTUVOREVMRVlfQ0lUQVRJT05fNzRlMjMwYTktMjA2Ny00M2YzLTk4ZTctYTUwNGE4ZGVmNjkzIiwicHJvcGVydGllcyI6eyJub3RlSW5kZXgiOjB9LCJpc0VkaXRlZCI6ZmFsc2UsIm1hbnVhbE92ZXJyaWRlIjp7ImlzTWFudWFsbHlPdmVycmlkZGVuIjpmYWxzZSwiY2l0ZXByb2NUZXh0IjoiKENocmlzdCA8aT5ldCBhbC48L2k+LCAyMDIzOyBDcmFuZSA8aT5ldCBhbC48L2k+LCAyMDE5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&quot;},{&quot;citationID&quot;:&quot;MENDELEY_CITATION_a6abf810-4e5b-4a7d-8158-ebfbd0e896d4&quot;,&quot;properties&quot;:{&quot;noteIndex&quot;:0},&quot;isEdited&quot;:false,&quot;manualOverride&quot;:{&quot;isManuallyOverridden&quot;:false,&quot;citeprocText&quot;:&quot;(Landman and Silverman, 2019; Moussa &lt;i&gt;et al.&lt;/i&gt;, 2021)&quot;,&quot;manualOverrideText&quot;:&quot;&quot;},&quot;citationItems&quot;:[{&quot;id&quot;:&quot;3ff14c94-0012-3dd3-8401-28a42efc2e22&quot;,&quot;itemData&quot;:{&quot;type&quot;:&quot;article-journal&quot;,&quot;id&quot;:&quot;3ff14c94-0012-3dd3-8401-28a42efc2e22&quot;,&quot;title&quot;:&quot;An Empirical Investigation of U.K. Environmental Targets Disclosure: The Role of Environmental Governance and Performance&quot;,&quot;author&quot;:[{&quot;family&quot;:&quot;Moussa&quot;,&quot;given&quot;:&quot;Tantawy&quot;,&quot;parse-names&quot;:false,&quot;dropping-particle&quot;:&quot;&quot;,&quot;non-dropping-particle&quot;:&quot;&quot;},{&quot;family&quot;:&quot;Kotb&quot;,&quot;given&quot;:&quot;Amr&quot;,&quot;parse-names&quot;:false,&quot;dropping-particle&quot;:&quot;&quot;,&quot;non-dropping-particle&quot;:&quot;&quot;},{&quot;family&quot;:&quot;Helfaya&quot;,&quot;given&quot;:&quot;Akrum.&quot;,&quot;parse-names&quot;:false,&quot;dropping-particle&quot;:&quot;&quot;,&quot;non-dropping-particle&quot;:&quot;&quot;}],&quot;container-title&quot;:&quot;European Accounting Review&quot;,&quot;issued&quot;:{&quot;date-parts&quot;:[[2021]]},&quot;abstract&quot;:&quot;Although an increasing number of companies have publicly declared environmental targets (ETs), scant research has been conducted in this area. This study, therefore, investigates the extent of corporate environmental targets disclosure (ETD) and empirically examines whether environmental governance and performance influence the ETD of companies in the U.K. during the 2005–2013 period. We find that firms show a large degree of variability and inconsistency in their reporting of ETs. The results indicate that U.K. firms, particularly those with high environmental sensitivity, tend to disclose symbolic soft or semi-hard ETs to manage stakeholder perceptions and legitimize their existence. Moreover, Global Reporting Initiative (GRI) guidelines, sustainability committees, and sustainability assurance show positive relationships with ETD. We also find that U.K. firms that perform well environmentally are likely to set and disclose hard ETs. These results support stakeholder, legitimacy, and impression management theories. We suggest that there is a need for regulations that will not only enhance the usefulness of ETD but also encourage companies to take serious proactive action to reduce negative environmental impacts, possibly creating ‘win-win’ solutions. Our findings have important implications for policy-makers and various stakeholder groups.&quot;,&quot;publisher&quot;:&quot;Routledge&quot;,&quot;container-title-short&quot;:&quot;&quot;},&quot;isTemporary&quot;:false},{&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citationTag&quot;:&quot;MENDELEY_CITATION_v3_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&quot;},{&quot;citationID&quot;:&quot;MENDELEY_CITATION_9bb6dd60-9c35-484b-8d87-07f38bcf2418&quot;,&quot;properties&quot;:{&quot;noteIndex&quot;:0},&quot;isEdited&quot;:false,&quot;manualOverride&quot;:{&quot;isManuallyOverridden&quot;:false,&quot;citeprocText&quot;:&quot;(Sachs &lt;i&gt;et al.&lt;/i&gt;, 2022; United Nations- Economic and Social Council, 2022)&quot;,&quot;manualOverrideText&quot;:&quot;&quot;},&quot;citationItems&quot;:[{&quot;id&quot;:&quot;6ff5e881-76b8-33c2-8b8f-5ba161b2b68e&quot;,&quot;itemData&quot;:{&quot;type&quot;:&quot;book&quot;,&quot;id&quot;:&quot;6ff5e881-76b8-33c2-8b8f-5ba161b2b68e&quot;,&quot;title&quot;:&quot;Sustainable Development Report 2022&quot;,&quot;author&quot;:[{&quot;family&quot;:&quot;Sachs&quot;,&quot;given&quot;:&quot;J.&quot;,&quot;parse-names&quot;:false,&quot;dropping-particle&quot;:&quot;&quot;,&quot;non-dropping-particle&quot;:&quot;&quot;},{&quot;family&quot;:&quot;Kroll&quot;,&quot;given&quot;:&quot;C.&quot;,&quot;parse-names&quot;:false,&quot;dropping-particle&quot;:&quot;&quot;,&quot;non-dropping-particle&quot;:&quot;&quot;},{&quot;family&quot;:&quot;Lafortune&quot;,&quot;given&quot;:&quot;G.&quot;,&quot;parse-names&quot;:false,&quot;dropping-particle&quot;:&quot;&quot;,&quot;non-dropping-particle&quot;:&quot;&quot;},{&quot;family&quot;:&quot;Fuller&quot;,&quot;given&quot;:&quot;G&quot;,&quot;parse-names&quot;:false,&quot;dropping-particle&quot;:&quot;&quot;,&quot;non-dropping-particle&quot;:&quot;&quot;},{&quot;family&quot;:&quot;Woelm&quot;,&quot;given&quot;:&quot;F.&quot;,&quot;parse-names&quot;:false,&quot;dropping-particle&quot;:&quot;&quot;,&quot;non-dropping-particle&quot;:&quot;&quot;}],&quot;accessed&quot;:{&quot;date-parts&quot;:[[2023,5,16]]},&quot;issued&quot;:{&quot;date-parts&quot;:[[2022]]},&quot;publisher-place&quot;:&quot;Cambridge&quot;,&quot;publisher&quot;:&quot; Cambridge University Press.&quot;,&quot;container-title-short&quot;:&quot;&quot;},&quot;isTemporary&quot;:false},{&quot;id&quot;:&quot;3a33afdf-31c8-3b31-827e-615a3758ca81&quot;,&quot;itemData&quot;:{&quot;type&quot;:&quot;report&quot;,&quot;id&quot;:&quot;3a33afdf-31c8-3b31-827e-615a3758ca81&quot;,&quot;title&quot;:&quot;Progress towards the Sustainable Development Goals&quot;,&quot;author&quot;:[{&quot;family&quot;:&quot;United Nations- Economic and Social Council&quot;,&quot;given&quot;:&quot;&quot;,&quot;parse-names&quot;:false,&quot;dropping-particle&quot;:&quot;&quot;,&quot;non-dropping-particle&quot;:&quot;&quot;}],&quot;accessed&quot;:{&quot;date-parts&quot;:[[2023,1,16]]},&quot;URL&quot;:&quot;https://unstats.un.org/sdgs/.&quot;,&quot;issued&quot;:{&quot;date-parts&quot;:[[2022,7,23]]},&quot;number-of-pages&quot;:&quot;1-25&quot;,&quot;container-title-short&quot;:&quot;&quot;},&quot;isTemporary&quot;:false}],&quot;citationTag&quot;:&quot;MENDELEY_CITATION_v3_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&quot;},{&quot;citationID&quot;:&quot;MENDELEY_CITATION_e77b06f0-e3d3-4058-ac50-aac8609a9157&quot;,&quot;properties&quot;:{&quot;noteIndex&quot;:0},&quot;isEdited&quot;:false,&quot;manualOverride&quot;:{&quot;isManuallyOverridden&quot;:false,&quot;citeprocText&quot;:&quot;(Boyd &lt;i&gt;et al.&lt;/i&gt;, 2021; Sachs &lt;i&gt;et al.&lt;/i&gt;, 2019)&quot;,&quot;manualOverrideText&quot;:&quot;&quot;},&quot;citationItems&quot;:[{&quot;id&quot;:&quot;d668449a-ae2b-3a28-85c6-4bcd9eec58f6&quot;,&quot;itemData&quot;:{&quot;type&quot;:&quot;report&quot;,&quot;id&quot;:&quot;d668449a-ae2b-3a28-85c6-4bcd9eec58f6&quot;,&quot;title&quot;:&quot;Sustainable Development Report&quot;,&quot;author&quot;:[{&quot;family&quot;:&quot;Sachs&quot;,&quot;given&quot;:&quot;J.,&quot;,&quot;parse-names&quot;:false,&quot;dropping-particle&quot;:&quot;&quot;,&quot;non-dropping-particle&quot;:&quot;&quot;},{&quot;family&quot;:&quot;Schmidt-Traub&quot;,&quot;given&quot;:&quot;G.,&quot;,&quot;parse-names&quot;:false,&quot;dropping-particle&quot;:&quot;&quot;,&quot;non-dropping-particle&quot;:&quot;&quot;},{&quot;family&quot;:&quot;Kroll&quot;,&quot;given&quot;:&quot;C.,&quot;,&quot;parse-names&quot;:false,&quot;dropping-particle&quot;:&quot;&quot;,&quot;non-dropping-particle&quot;:&quot;&quot;},{&quot;family&quot;:&quot;Lafortune&quot;,&quot;given&quot;:&quot;G.,&quot;,&quot;parse-names&quot;:false,&quot;dropping-particle&quot;:&quot;&quot;,&quot;non-dropping-particle&quot;:&quot;&quot;},{&quot;family&quot;:&quot;Fuller&quot;,&quot;given&quot;:&quot;G.&quot;,&quot;parse-names&quot;:false,&quot;dropping-particle&quot;:&quot;&quot;,&quot;non-dropping-particle&quot;:&quot;&quot;}],&quot;URL&quot;:&quot;www.pica-publishing.com&quot;,&quot;issued&quot;:{&quot;date-parts&quot;:[[2019]]},&quot;publisher-place&quot;:&quot;New York&quot;,&quot;container-title-short&quot;:&quot;&quot;},&quot;isTemporary&quot;:false},{&quot;id&quot;:&quot;e3b8d130-f93e-3fe2-b5fa-91a6c40f06a0&quot;,&quot;itemData&quot;:{&quot;type&quot;:&quot;article-journal&quot;,&quot;id&quot;:&quot;e3b8d130-f93e-3fe2-b5fa-91a6c40f06a0&quot;,&quot;title&quot;:&quot;Informing action for United Nations SDG target 8.7 and interdependent SDGs: Examining modern slavery from space&quot;,&quot;author&quot;:[{&quot;family&quot;:&quot;Boyd&quot;,&quot;given&quot;:&quot;Doreen S&quot;,&quot;parse-names&quot;:false,&quot;dropping-particle&quot;:&quot;&quot;,&quot;non-dropping-particle&quot;:&quot;&quot;},{&quot;family&quot;:&quot;Perrat&quot;,&quot;given&quot;:&quot;Bertrand&quot;,&quot;parse-names&quot;:false,&quot;dropping-particle&quot;:&quot;&quot;,&quot;non-dropping-particle&quot;:&quot;&quot;},{&quot;family&quot;:&quot;Li&quot;,&quot;given&quot;:&quot;Xiaodong&quot;,&quot;parse-names&quot;:false,&quot;dropping-particle&quot;:&quot;&quot;,&quot;non-dropping-particle&quot;:&quot;&quot;},{&quot;family&quot;:&quot;Jackson&quot;,&quot;given&quot;:&quot;Bethany&quot;,&quot;parse-names&quot;:false,&quot;dropping-particle&quot;:&quot;&quot;,&quot;non-dropping-particle&quot;:&quot;&quot;},{&quot;family&quot;:&quot;Landman&quot;,&quot;given&quot;:&quot;Todd&quot;,&quot;parse-names&quot;:false,&quot;dropping-particle&quot;:&quot;&quot;,&quot;non-dropping-particle&quot;:&quot;&quot;},{&quot;family&quot;:&quot;Ling&quot;,&quot;given&quot;:&quot;Feng&quot;,&quot;parse-names&quot;:false,&quot;dropping-particle&quot;:&quot;&quot;,&quot;non-dropping-particle&quot;:&quot;&quot;},{&quot;family&quot;:&quot;Bales&quot;,&quot;given&quot;:&quot;Kevin&quot;,&quot;parse-names&quot;:false,&quot;dropping-particle&quot;:&quot;&quot;,&quot;non-dropping-particle&quot;:&quot;&quot;},{&quot;family&quot;:&quot;Choi-Fitzpatrick&quot;,&quot;given&quot;:&quot;Austin&quot;,&quot;parse-names&quot;:false,&quot;dropping-particle&quot;:&quot;&quot;,&quot;non-dropping-particle&quot;:&quot;&quot;},{&quot;family&quot;:&quot;Goulding&quot;,&quot;given&quot;:&quot;James&quot;,&quot;parse-names&quot;:false,&quot;dropping-particle&quot;:&quot;&quot;,&quot;non-dropping-particle&quot;:&quot;&quot;},{&quot;family&quot;:&quot;Marsh&quot;,&quot;given&quot;:&quot;Stuart&quot;,&quot;parse-names&quot;:false,&quot;dropping-particle&quot;:&quot;&quot;,&quot;non-dropping-particle&quot;:&quot;&quot;},{&quot;family&quot;:&quot;Foody&quot;,&quot;given&quot;:&quot;Giles M&quot;,&quot;parse-names&quot;:false,&quot;dropping-particle&quot;:&quot;&quot;,&quot;non-dropping-particle&quot;:&quot;&quot;}],&quot;container-title&quot;:&quot; Humanities and Social Sciences Communications&quot;,&quot;accessed&quot;:{&quot;date-parts&quot;:[[2023,3,15]]},&quot;DOI&quot;:&quot;10.1057/s41599-021-00792-z&quot;,&quot;URL&quot;:&quot;https://doi.org/10.1057/s41599-021-00792-z&quot;,&quot;issued&quot;:{&quot;date-parts&quot;:[[2021]]},&quot;container-title-short&quot;:&quot;&quot;},&quot;isTemporary&quot;:false}],&quot;citationTag&quot;:&quot;MENDELEY_CITATION_v3_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&quot;},{&quot;citationID&quot;:&quot;MENDELEY_CITATION_f45e071f-8352-4af9-be47-355057748166&quot;,&quot;properties&quot;:{&quot;noteIndex&quot;:0},&quot;isEdited&quot;:false,&quot;manualOverride&quot;:{&quot;isManuallyOverridden&quot;:false,&quot;citeprocText&quot;:&quot;(Landman and Silverman, 2019; Moussa &lt;i&gt;et al.&lt;/i&gt;, 2022; United Nations, 2015b)&quot;,&quot;manualOverrideText&quot;:&quot;&quot;},&quot;citationItems&quot;:[{&quot;id&quot;:&quot;17c06be1-91e6-3a3d-ac20-5b6fd8403068&quot;,&quot;itemData&quot;:{&quot;type&quot;:&quot;report&quot;,&quot;id&quot;:&quot;17c06be1-91e6-3a3d-ac20-5b6fd8403068&quot;,&quot;title&quot;:&quot;The UN Sustainability Development Goals&quot;,&quot;author&quot;:[{&quot;family&quot;:&quot;United Nations&quot;,&quot;given&quot;:&quot;&quot;,&quot;parse-names&quot;:false,&quot;dropping-particle&quot;:&quot;&quot;,&quot;non-dropping-particle&quot;:&quot;&quot;}],&quot;accessed&quot;:{&quot;date-parts&quot;:[[2023,1,16]]},&quot;URL&quot;:&quot;https://www.un.org/sites/un2.un.org/files/sdg_tg_email_updated.pdf&quot;,&quot;issued&quot;:{&quot;date-parts&quot;:[[2015]]},&quot;number-of-pages&quot;:&quot;1-27&quot;,&quot;container-title-short&quot;:&quot;&quot;},&quot;isTemporary&quot;:false},{&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162aa16a-ce88-4fc5-bf3c-286f1307a726&quot;,&quot;properties&quot;:{&quot;noteIndex&quot;:0},&quot;isEdited&quot;:false,&quot;manualOverride&quot;:{&quot;isManuallyOverridden&quot;:false,&quot;citeprocText&quot;:&quot;(Massuga &lt;i&gt;et al.&lt;/i&gt;, 2023; Skrivankova, 2010)&quot;,&quot;manualOverrideText&quot;:&quot;&quot;},&quot;citationItems&quot;:[{&quot;id&quot;:&quot;a7eb6b39-df7b-39bd-9a96-026c73a4a297&quot;,&quot;itemData&quot;:{&quot;type&quot;:&quot;article-journal&quot;,&quot;id&quot;:&quot;a7eb6b39-df7b-39bd-9a96-026c73a4a297&quot;,&quot;title&quot;:&quot;The influence of global governance on the sustainable performance of countries&quot;,&quot;author&quot;:[{&quot;family&quot;:&quot;Massuga&quot;,&quot;given&quot;:&quot;Flavia&quot;,&quot;parse-names&quot;:false,&quot;dropping-particle&quot;:&quot;&quot;,&quot;non-dropping-particle&quot;:&quot;&quot;},{&quot;family&quot;:&quot;Larson&quot;,&quot;given&quot;:&quot;Marcos Aurélio&quot;,&quot;parse-names&quot;:false,&quot;dropping-particle&quot;:&quot;&quot;,&quot;non-dropping-particle&quot;:&quot;&quot;},{&quot;family&quot;:&quot;Kuhl&quot;,&quot;given&quot;:&quot;Marcos Roberto&quot;,&quot;parse-names&quot;:false,&quot;dropping-particle&quot;:&quot;&quot;,&quot;non-dropping-particle&quot;:&quot;&quot;},{&quot;family&quot;:&quot;Doliveira&quot;,&quot;given&quot;:&quot;Sérgio Luis Dias&quot;,&quot;parse-names&quot;:false,&quot;dropping-particle&quot;:&quot;&quot;,&quot;non-dropping-particle&quot;:&quot;&quot;}],&quot;container-title&quot;:&quot;Environment, Development and Sustainability&quot;,&quot;container-title-short&quot;:&quot;Environ Dev Sustain&quot;,&quot;DOI&quot;:&quot;10.1007/s10668-023-03827-4&quot;,&quot;ISSN&quot;:&quot;15732975&quot;,&quot;issued&quot;:{&quot;date-parts&quot;:[[2023,9,1]]},&quot;page&quot;:&quot;28567-28589&quot;,&quot;abstract&quot;:&quot;This study aims to identify the influence of global governance on the sustainability performance of countries. The methodological approach is quantitative, employing descriptive and inferential statistics with multiple regression analysis for a sample of 127 countries. The independent variable corresponds to the governance measured by the world governance indicators. The dependent variables are measurements of sustainability performance, including the SDG Index Score, the Environmental Performance Index, the Human Development Index, and Gross Domestic Product per capita. The main results indicate that the governance indicators Voice and Accountability and Government Effectiveness positively affect the overall sustainability performance of countries. In environmental sustainability, the influence of the voice and responsibility and regulatory quality indicators was identified, while in the social and economic dimensions a positive influence of governmental effectiveness and regulatory quality was observed. On the other hand, the corruption control variable exerts a negative influence on general and social sustainability. In general, it can be concluded that the institutional quality of a country influences the government's ability to achieve sustainable development goals and targets, in addition to attaining favorable results in the environmental, social, and economic dimensions of sustainability.&quot;,&quot;publisher&quot;:&quot;Springer Science and Business Media B.V.&quot;,&quot;volume&quot;:&quot;26&quot;},&quot;isTemporary&quot;:false},{&quot;id&quot;:&quot;e4b1b93f-68fc-3ba8-bca1-550f24405012&quot;,&quot;itemData&quot;:{&quot;type&quot;:&quot;book&quot;,&quot;id&quot;:&quot;e4b1b93f-68fc-3ba8-bca1-550f24405012&quot;,&quot;title&quot;:&quot;Between decent work and forced labour: examining the continuum of exploitation&quot;,&quot;author&quot;:[{&quot;family&quot;:&quot;Skrivankova&quot;,&quot;given&quot;:&quot;Klara&quot;,&quot;parse-names&quot;:false,&quot;dropping-particle&quot;:&quot;&quot;,&quot;non-dropping-particle&quot;:&quot;&quot;}],&quot;ISBN&quot;:&quot;9781859357828&quot;,&quot;URL&quot;:&quot;www.jrf.org.uk&quot;,&quot;issued&quot;:{&quot;date-parts&quot;:[[2010]]},&quot;publisher-place&quot;:&quot;York&quot;,&quot;number-of-pages&quot;:&quot;1-38&quot;,&quot;publisher&quot;:&quot;Joseph Rowntree Foundation&quot;,&quot;container-title-short&quot;:&quot;&quot;},&quot;isTemporary&quot;:false}],&quot;citationTag&quot;:&quot;MENDELEY_CITATION_v3_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&quot;},{&quot;citationID&quot;:&quot;MENDELEY_CITATION_e28981f5-3807-4f10-afee-53142a2e5684&quot;,&quot;properties&quot;:{&quot;noteIndex&quot;:0},&quot;isEdited&quot;:false,&quot;manualOverride&quot;:{&quot;isManuallyOverridden&quot;:false,&quot;citeprocText&quot;:&quot;(Davidson, 2015; Fudge, 2018)&quot;,&quot;manualOverrideText&quot;:&quot;&quot;},&quot;citationItems&quot;:[{&quot;id&quot;:&quot;3eaf6e0a-3058-3ac5-8e0c-9a289ce9b60a&quot;,&quot;itemData&quot;:{&quot;type&quot;:&quot;article-journal&quot;,&quot;id&quot;:&quot;3eaf6e0a-3058-3ac5-8e0c-9a289ce9b60a&quot;,&quot;title&quot;:&quot;Modern Slavery, Unfree Labour and the Labour Market: The Social Dynamics of Legal Characterization&quot;,&quot;author&quot;:[{&quot;family&quot;:&quot;Fudge&quot;,&quot;given&quot;:&quot;Judy&quot;,&quot;parse-names&quot;:false,&quot;dropping-particle&quot;:&quot;&quot;,&quot;non-dropping-particle&quot;:&quot;&quot;}],&quot;container-title&quot;:&quot;Social and Legal Studies&quot;,&quot;container-title-short&quot;:&quot;Soc Leg Stud&quot;,&quot;DOI&quot;:&quot;10.1177/0964663917746736&quot;,&quot;ISSN&quot;:&quot;14617390&quot;,&quot;issued&quot;:{&quot;date-parts&quot;:[[2018,8,1]]},&quot;page&quot;:&quot;414-434&quot;,&quot;abstract&quot;:&quot;Treating the United Kingdom’s Modern Slavery Act as its focus, this article examines what the legal characterization of labour unfreedom reveals about the underlying conception of the labour market that informs contemporary approaches to labour law in the United Kingdom. It discusses how unfree labour is conceptualized within two key literatures – Marxist-inspired political economy and liberal approaches to modern slavery – and their underlying assumptions of the labour market and how it operates. As an alternative to these depictions of the labour market, it proposes a legal institutionalist or constitutive account. It develops an approach to legal characterization and jurisdiction that is attentive to modes of governing and the role of political and legal differentiation both in producing labour exploitation and unfree labour and in developing strategies for its elimination. It argues that the problem with the modern slavery approach to unfree labour is that it tends to displace labour law as the principal remedy to the problem of labour abuse and exploitation, while simultaneously reinforcing the idea that flexible labour markets of the type that prevails in the United Kingdom are realms of labour freedom.&quot;,&quot;publisher&quot;:&quot;SAGE Publications Ltd&quot;,&quot;issue&quot;:&quot;4&quot;,&quot;volume&quot;:&quot;27&quot;},&quot;isTemporary&quot;:false},{&quot;id&quot;:&quot;53c807c0-26e1-3d6c-aee1-006e1e3bfa78&quot;,&quot;itemData&quot;:{&quot;type&quot;:&quot;book&quot;,&quot;id&quot;:&quot;53c807c0-26e1-3d6c-aee1-006e1e3bfa78&quot;,&quot;title&quot;:&quot;Modern Slavery: The margins of freedom&quot;,&quot;author&quot;:[{&quot;family&quot;:&quot;Davidson&quot;,&quot;given&quot;:&quot;Julia O’Connell&quot;,&quot;parse-names&quot;:false,&quot;dropping-particle&quot;:&quot;&quot;,&quot;non-dropping-particle&quot;:&quot;&quot;}],&quot;container-title&quot;:&quot;Modern Slavery: The Margins of Freedom&quot;,&quot;accessed&quot;:{&quot;date-parts&quot;:[[2023,4,2]]},&quot;ISBN&quot;:&quot;9781137297297&quot;,&quot;issued&quot;:{&quot;date-parts&quot;:[[2015,1,1]]},&quot;number-of-pages&quot;:&quot;1-250&quot;,&quot;abstract&quot;:&quot;Providing a unique critical perspective to debates on slavery, this book brings the literature on transatlantic slavery into dialogue with research on informal sector labour, child labour, migration, debt, prisoners, and sex work in the contemporary world in order to challenge popular and policy discourse on modern slavery.&quot;,&quot;publisher&quot;:&quot;Springer&quot;,&quot;container-title-short&quot;:&quot;&quot;},&quot;isTemporary&quot;:false}],&quot;citationTag&quot;:&quot;MENDELEY_CITATION_v3_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&quot;},{&quot;citationID&quot;:&quot;MENDELEY_CITATION_c92ae811-ca45-4888-b07c-fd538bf6e172&quot;,&quot;properties&quot;:{&quot;noteIndex&quot;:0},&quot;isEdited&quot;:false,&quot;manualOverride&quot;:{&quot;isManuallyOverridden&quot;:false,&quot;citeprocText&quot;:&quot;(Walk Free, 2025)&quot;,&quot;manualOverrideText&quot;:&quot;&quot;},&quot;citationItems&quot;:[{&quot;id&quot;:&quot;3a400810-5229-307b-af6e-c22b6021d92f&quot;,&quot;itemData&quot;:{&quot;type&quot;:&quot;webpage&quot;,&quot;id&quot;:&quot;3a400810-5229-307b-af6e-c22b6021d92f&quot;,&quot;title&quot;:&quot;UN 2030 goal to end modern slavery at risk of being missed as exploitation risks rise&quot;,&quot;author&quot;:[{&quot;family&quot;:&quot;Walk Free&quot;,&quot;given&quot;:&quot;&quot;,&quot;parse-names&quot;:false,&quot;dropping-particle&quot;:&quot;&quot;,&quot;non-dropping-particle&quot;:&quot;&quot;}],&quot;accessed&quot;:{&quot;date-parts&quot;:[[2025,7,19]]},&quot;URL&quot;:&quot;https://www.walkfree.org/news/2025/un-2030-goal-to-end-modern-slavery-at-risk-of-being-missed-as-exploitation-risks-rise/&quot;,&quot;issued&quot;:{&quot;date-parts&quot;:[[2025,7,18]]},&quot;container-title-short&quot;:&quot;&quot;},&quot;isTemporary&quot;:false}],&quot;citationTag&quot;:&quot;MENDELEY_CITATION_v3_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&quot;},{&quot;citationID&quot;:&quot;MENDELEY_CITATION_cc10573b-51be-4298-8f6c-8fe50ec449c0&quot;,&quot;properties&quot;:{&quot;noteIndex&quot;:0},&quot;isEdited&quot;:false,&quot;manualOverride&quot;:{&quot;isManuallyOverridden&quot;:false,&quot;citeprocText&quot;:&quot;(Howard and Forin, 2019; Lewis &lt;i&gt;et al.&lt;/i&gt;, 2015; Maury, 2020)&quot;,&quot;manualOverrideText&quot;:&quot;&quot;},&quot;citationItems&quot;:[{&quot;id&quot;:&quot;7670dafe-ec6c-31ff-bb3a-d71073872cea&quot;,&quot;itemData&quot;:{&quot;type&quot;:&quot;article-journal&quot;,&quot;id&quot;:&quot;7670dafe-ec6c-31ff-bb3a-d71073872cea&quot;,&quot;title&quot;:&quot;Migrant workers, ‘modern slavery’ and the politics of representation in Italian tomato production&quot;,&quot;author&quot;:[{&quot;family&quot;:&quot;Howard&quot;,&quot;given&quot;:&quot;Neil&quot;,&quot;parse-names&quot;:false,&quot;dropping-particle&quot;:&quot;&quot;,&quot;non-dropping-particle&quot;:&quot;&quot;},{&quot;family&quot;:&quot;Forin&quot;,&quot;given&quot;:&quot;Roberto&quot;,&quot;parse-names&quot;:false,&quot;dropping-particle&quot;:&quot;&quot;,&quot;non-dropping-particle&quot;:&quot;&quot;}],&quot;container-title&quot;:&quot;Economy and Society&quot;,&quot;container-title-short&quot;:&quot;Econ Soc&quot;,&quot;DOI&quot;:&quot;10.1080/03085147.2019.1672426&quot;,&quot;ISSN&quot;:&quot;14695766&quot;,&quot;issued&quot;:{&quot;date-parts&quot;:[[2019,10,2]]},&quot;page&quot;:&quot;579-601&quot;,&quot;abstract&quot;:&quot;This paper examines representational politics in relation to the production and marketization of Italy's ‘red Gold’, the tomato. It centres around three competing images. The first, hegemonic image is of a bucolic countryside, pushed by agro-capital and retail. A stereotypically ‘fetishizing’ image, it hides both labour and its exploitation. The second is its counter-hegemonic opposite, of a countryside seething with indignity, populated by exploited workers, and neglected by the state. Advanced by civil society, this image parallels many within mainstream ‘modern abolitionism’ and seeks to shame big business into pursuing a more ethical capitalism. In our view, it re-inscribes the (neo)liberal paradigm that is foundational to the exploitation it wishes to overcome. It also alienates many of the people it purports to depict. The third image is an ethnographic alternative to the first two and is drawn from our fieldwork with the farmers, migrant workers and labour-brokers responsible for tomato production in Foggia, Southern Italy. Complex and contradictory, it depicts living and working conditions that are bad, but better than the alternative, and workers who are exploited, but nevertheless understand themselves as consenting to their exploitation.&quot;,&quot;publisher&quot;:&quot;Routledge&quot;,&quot;issue&quot;:&quot;4&quot;,&quot;volume&quot;:&quot;48&quot;},&quot;isTemporary&quot;:false},{&quot;id&quot;:&quot;64c13942-8c3b-3ef8-a5ec-b8f87fd3f870&quot;,&quot;itemData&quot;:{&quot;type&quot;:&quot;article-journal&quot;,&quot;id&quot;:&quot;64c13942-8c3b-3ef8-a5ec-b8f87fd3f870&quot;,&quot;title&quot;:&quot;Between a Promise and a Salary: Student-Migrant-Workers' Experiences of Precarious Labour Markets&quot;,&quot;author&quot;:[{&quot;family&quot;:&quot;Maury&quot;,&quot;given&quot;:&quot;Olivia&quot;,&quot;parse-names&quot;:false,&quot;dropping-particle&quot;:&quot;&quot;,&quot;non-dropping-particle&quot;:&quot;&quot;}],&quot;container-title&quot;:&quot;Work, Employment and Society&quot;,&quot;accessed&quot;:{&quot;date-parts&quot;:[[2023,4,2]]},&quot;DOI&quot;:&quot;10.1177/0950017019887097&quot;,&quot;URL&quot;:&quot;https://doi.org/10.1177/0950017019887097&quot;,&quot;issued&quot;:{&quot;date-parts&quot;:[[2020]]},&quot;page&quot;:&quot;809-825&quot;,&quot;abstract&quot;:&quot;This article examines the experiences of non-EU/EEA student-migrants orienting in precarious labour markets in Finland. Drawing on data from in-depth interviews with working student-migrants holding a temporary legal status, the article examines the incidence of unpaid work within a variety of contractual settings and sectors. The findings suggest that exploitation with regard to the subjective capacity to produce is facilitated through the imposition of unpaid work hours on legally constrained migrants in precarious employment. The findings contribute to the sociological analysis of the increasingly fragmented figures of labour as well as to the study of unpaid work as a driver of precarisation.&quot;,&quot;issue&quot;:&quot;5&quot;,&quot;volume&quot;:&quot;34&quot;,&quot;container-title-short&quot;:&quot;&quot;},&quot;isTemporary&quot;:false},{&quot;id&quot;:&quot;7710a3e5-f12c-30c6-89a8-1f6e86e4fa8c&quot;,&quot;itemData&quot;:{&quot;type&quot;:&quot;article-journal&quot;,&quot;id&quot;:&quot;7710a3e5-f12c-30c6-89a8-1f6e86e4fa8c&quot;,&quot;title&quot;:&quot;Hyper-precarious lives: Migrants, work and forced labour in the Global North&quot;,&quot;author&quot;:[{&quot;family&quot;:&quot;Lewis&quot;,&quot;given&quot;:&quot;Hannah&quot;,&quot;parse-names&quot;:false,&quot;dropping-particle&quot;:&quot;&quot;,&quot;non-dropping-particle&quot;:&quot;&quot;},{&quot;family&quot;:&quot;Dwyer&quot;,&quot;given&quot;:&quot;Peter&quot;,&quot;parse-names&quot;:false,&quot;dropping-particle&quot;:&quot;&quot;,&quot;non-dropping-particle&quot;:&quot;&quot;},{&quot;family&quot;:&quot;Hodkinson&quot;,&quot;given&quot;:&quot;Stuart&quot;,&quot;parse-names&quot;:false,&quot;dropping-particle&quot;:&quot;&quot;,&quot;non-dropping-particle&quot;:&quot;&quot;},{&quot;family&quot;:&quot;Waite&quot;,&quot;given&quot;:&quot;Louise&quot;,&quot;parse-names&quot;:false,&quot;dropping-particle&quot;:&quot;&quot;,&quot;non-dropping-particle&quot;:&quot;&quot;}],&quot;container-title&quot;:&quot;Progress in Human Geography&quot;,&quot;container-title-short&quot;:&quot;Prog Hum Geogr&quot;,&quot;DOI&quot;:&quot;10.1177/0309132514548303&quot;,&quot;ISSN&quot;:&quot;14770288&quot;,&quot;issued&quot;:{&quot;date-parts&quot;:[[2015,10,30]]},&quot;page&quot;:&quot;580-600&quot;,&quot;abstract&quot;:&quot;This paper unpacks the contested inter-connections between neoliberal work and welfare regimes, asylum and immigration controls, and the exploitation of migrant workers. The concept of precarity is explored as a way of understanding intensifying and insecure post-Fordist work in late capitalism. Migrants are centrally implicated in highly precarious work experiences at the bottom end of labour markets in Global North countries, including becoming trapped in forced labour. Building on existing research on the working experiences of migrants in the Global North, the main part of the article considers three questions. First, what is precarity and how does the concept relate to working lives? Second, how might we understand the causes of extreme forms of migrant labour exploitation in precarious lifeworlds? Third, how can we adequately theorize these particular experiences using the conceptual tools of forced labour, slavery, unfreedom and precarity? We use the concept of ‘hyper-precarity’ alongside notions of a ‘continuum of unfreedom’ as a way of furthering human geographical inquiry into the intersections between various terrains of social action and conceptual debate concerning migrants’ precarious working experiences.&quot;,&quot;publisher&quot;:&quot;SAGE Publications Ltd&quot;,&quot;issue&quot;:&quot;5&quot;,&quot;volume&quot;:&quot;39&quot;},&quot;isTemporary&quot;:false}],&quot;citationTag&quot;:&quot;MENDELEY_CITATION_v3_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&quot;},{&quot;citationID&quot;:&quot;MENDELEY_CITATION_007ac738-cd70-4a40-ae00-eb961a4f7617&quot;,&quot;properties&quot;:{&quot;noteIndex&quot;:0},&quot;isEdited&quot;:false,&quot;manualOverride&quot;:{&quot;isManuallyOverridden&quot;:false,&quot;citeprocText&quot;:&quot;(Helfaya &lt;i&gt;et al.&lt;/i&gt;, 2025; Sachs &lt;i&gt;et al.&lt;/i&gt;, 2019)&quot;,&quot;manualOverrideText&quot;:&quot;&quot;},&quot;citationItems&quot;:[{&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id&quot;:&quot;d668449a-ae2b-3a28-85c6-4bcd9eec58f6&quot;,&quot;itemData&quot;:{&quot;type&quot;:&quot;report&quot;,&quot;id&quot;:&quot;d668449a-ae2b-3a28-85c6-4bcd9eec58f6&quot;,&quot;title&quot;:&quot;Sustainable Development Report&quot;,&quot;author&quot;:[{&quot;family&quot;:&quot;Sachs&quot;,&quot;given&quot;:&quot;J.,&quot;,&quot;parse-names&quot;:false,&quot;dropping-particle&quot;:&quot;&quot;,&quot;non-dropping-particle&quot;:&quot;&quot;},{&quot;family&quot;:&quot;Schmidt-Traub&quot;,&quot;given&quot;:&quot;G.,&quot;,&quot;parse-names&quot;:false,&quot;dropping-particle&quot;:&quot;&quot;,&quot;non-dropping-particle&quot;:&quot;&quot;},{&quot;family&quot;:&quot;Kroll&quot;,&quot;given&quot;:&quot;C.,&quot;,&quot;parse-names&quot;:false,&quot;dropping-particle&quot;:&quot;&quot;,&quot;non-dropping-particle&quot;:&quot;&quot;},{&quot;family&quot;:&quot;Lafortune&quot;,&quot;given&quot;:&quot;G.,&quot;,&quot;parse-names&quot;:false,&quot;dropping-particle&quot;:&quot;&quot;,&quot;non-dropping-particle&quot;:&quot;&quot;},{&quot;family&quot;:&quot;Fuller&quot;,&quot;given&quot;:&quot;G.&quot;,&quot;parse-names&quot;:false,&quot;dropping-particle&quot;:&quot;&quot;,&quot;non-dropping-particle&quot;:&quot;&quot;}],&quot;URL&quot;:&quot;www.pica-publishing.com&quot;,&quot;issued&quot;:{&quot;date-parts&quot;:[[2019]]},&quot;publisher-place&quot;:&quot;New York&quot;,&quot;container-title-short&quot;:&quot;&quot;},&quot;isTemporary&quot;:false}],&quot;citationTag&quot;:&quot;MENDELEY_CITATION_v3_eyJjaXRhdGlvbklEIjoiTUVOREVMRVlfQ0lUQVRJT05fMDA3YWM3MzgtY2Q3MC00YTQwLWFlMDAtZWI5NjFhNGY3NjE3IiwicHJvcGVydGllcyI6eyJub3RlSW5kZXgiOjB9LCJpc0VkaXRlZCI6ZmFsc2UsIm1hbnVhbE92ZXJyaWRlIjp7ImlzTWFudWFsbHlPdmVycmlkZGVuIjpmYWxzZSwiY2l0ZXByb2NUZXh0IjoiKEhlbGZheWEgPGk+ZXQgYWwuPC9pPiwgMjAyNTsgU2FjaHMgPGk+ZXQgYWwuPC9pPiwgMjAxOS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&quot;},{&quot;citationID&quot;:&quot;MENDELEY_CITATION_2fe6bb28-8c4f-4aa6-b6cf-a44aa9eab1fd&quot;,&quot;properties&quot;:{&quot;noteIndex&quot;:0},&quot;isEdited&quot;:false,&quot;manualOverride&quot;:{&quot;isManuallyOverridden&quot;:true,&quot;citeprocText&quot;:&quot;(Houqe and Khan, 2025; Moussa &lt;i&gt;et al.&lt;/i&gt;, 2022)&quot;,&quot;manualOverrideText&quot;:&quot;Houqe and Khan, (2025) and Moussa et al. (2022)&quot;},&quot;citationItems&quot;:[{&quot;id&quot;:&quot;36c73eb7-c044-3ca3-9d8f-a7edb5e752c5&quot;,&quot;itemData&quot;:{&quot;type&quot;:&quot;article-journal&quot;,&quot;id&quot;:&quot;36c73eb7-c044-3ca3-9d8f-a7edb5e752c5&quot;,&quot;title&quot;:&quot;Corruption, sustainable development goals performance and modern slavery practices: an international evidence&quot;,&quot;author&quot;:[{&quot;family&quot;:&quot;Houqe&quot;,&quot;given&quot;:&quot;Muhammad Nurul&quot;,&quot;parse-names&quot;:false,&quot;dropping-particle&quot;:&quot;&quot;,&quot;non-dropping-particle&quot;:&quot;&quot;},{&quot;family&quot;:&quot;Khan&quot;,&quot;given&quot;:&quot;Habib Zaman&quot;,&quot;parse-names&quot;:false,&quot;dropping-particle&quot;:&quot;&quot;,&quot;non-dropping-particle&quot;:&quot;&quot;}],&quot;container-title&quot;:&quot;Journal of Accounting Literature&quot;,&quot;DOI&quot;:&quot;10.1108/JAL-03-2024-0045&quot;,&quot;ISSN&quot;:&quot;07374607&quot;,&quot;issued&quot;:{&quot;date-parts&quot;:[[2025]]},&quot;page&quot;:&quot;323-351&quot;,&quot;abstract&quot;:&quot;Purpose: This study examines the two key research question; (1) Does country-level corruption give rise to modern slavery (MS) practices and (2) Does sustainable development goals (SDGs) performance of different jurisdictions reduce MS practices? Design/methodology/approach: Using a sample of 431 country-year observations (for the period of 2016, 2018 and 2023) from 146 countries, the study test hypotheses applying different econometrics analysis and conducts robustness tests. Findings: Our results indicate that country-level corruption practices increase MS practices in different contexts. These results hold when we use alternative measures for MS construct. Our study also reported that MS practices in different jurisdictions are lessened when country-level SDGs performance is higher. Our additional analysis finds that higher country-level debt serves as a channel between corruption and MS practices. Research limitations/implications: Practically, the findings of the study have a take-away message for different global actors, in particular, different countries’ governments, national regulators working to abate corruption and slavery issues. For other actors such as the United Nations, the ILO and others, the findings will have practical value for their new policy development and interventions. Originality/value: To the best of our knowledge, this study is the first that investigated the role of country-level corruption on MS practice at the country level. Similarly, our attempt towards exploring the impact of country-level sustainable development goals (SDGs) performance on the MS practices is also primary in the literature. Lastly, developing a single framework by integrating different countries’ MS practices with corruption and SDGs performance and providing related empirical evidence with global level data is a new initiative in the accounting and sustainability literature.&quot;,&quot;publisher&quot;:&quot;Emerald Publishing&quot;,&quot;issue&quot;:&quot;5&quot;,&quot;volume&quot;:&quot;47&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quot;},{&quot;citationID&quot;:&quot;MENDELEY_CITATION_0aa8903d-dc02-4d04-9770-07f9658af245&quot;,&quot;properties&quot;:{&quot;noteIndex&quot;:0},&quot;isEdited&quot;:false,&quot;manualOverride&quot;:{&quot;isManuallyOverridden&quot;:false,&quot;citeprocText&quot;:&quot;(DiMaggio and Powell, 1983; Scott, 2013)&quot;,&quot;manualOverrideText&quot;:&quot;&quot;},&quot;citationItems&quot;:[{&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citationTag&quot;:&quot;MENDELEY_CITATION_v3_eyJjaXRhdGlvbklEIjoiTUVOREVMRVlfQ0lUQVRJT05fMGFhODkwM2QtZGMwMi00ZDA0LTk3NzAtMDdmOTY1OGFmMjQ1IiwicHJvcGVydGllcyI6eyJub3RlSW5kZXgiOjB9LCJpc0VkaXRlZCI6ZmFsc2UsIm1hbnVhbE92ZXJyaWRlIjp7ImlzTWFudWFsbHlPdmVycmlkZGVuIjpmYWxzZSwiY2l0ZXByb2NUZXh0IjoiKERpTWFnZ2lvIGFuZCBQb3dlbGwsIDE5ODM7IFNjb3R0LCAyMDEzKSIsIm1hbnVhbE92ZXJyaWRlVGV4dCI6Ii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LH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V19&quot;},{&quot;citationID&quot;:&quot;MENDELEY_CITATION_4c17c94b-f991-4fce-b162-3247c021db7a&quot;,&quot;properties&quot;:{&quot;noteIndex&quot;:0},&quot;isEdited&quot;:false,&quot;manualOverride&quot;:{&quot;isManuallyOverridden&quot;:false,&quot;citeprocText&quot;:&quot;(Ahmed &lt;i&gt;et al.&lt;/i&gt;, 2025; DiMaggio and Powell, 1983)&quot;,&quot;manualOverrideText&quot;:&quot;&quot;},&quot;citationItems&quot;:[{&quot;id&quot;:&quot;85fb0bc2-faaf-3b59-8885-266bc0c19bd3&quot;,&quot;itemData&quot;:{&quot;type&quot;:&quot;article-journal&quot;,&quot;id&quot;:&quot;85fb0bc2-faaf-3b59-8885-266bc0c19bd3&quot;,&quot;title&quot;:&quot;Mastanocracy: The legitimization of criminal governance and violence in Bangladesh’s garment industry&quot;,&quot;author&quot;:[{&quot;family&quot;:&quot;Ahmed&quot;,&quot;given&quot;:&quot;Shoaib&quot;,&quot;parse-names&quot;:false,&quot;dropping-particle&quot;:&quot;&quot;,&quot;non-dropping-particle&quot;:&quot;&quot;},{&quot;family&quot;:&quot;Alawattage&quot;,&quot;given&quot;:&quot;Chandana&quot;,&quot;parse-names&quot;:false,&quot;dropping-particle&quot;:&quot;&quot;,&quot;non-dropping-particle&quot;:&quot;&quot;},{&quot;family&quot;:&quot;Jayasinghe&quot;,&quot;given&quot;:&quot;Kelum&quot;,&quot;parse-names&quot;:false,&quot;dropping-particle&quot;:&quot;&quot;,&quot;non-dropping-particle&quot;:&quot;&quot;}],&quot;container-title&quot;:&quot;Human Relations&quot;,&quot;DOI&quot;:&quot;10.1177/00187267251383441&quot;,&quot;ISSN&quot;:&quot;1741282X&quot;,&quot;issued&quot;:{&quot;date-parts&quot;:[[2025]]},&quot;abstract&quot;:&quot;The operation of criminal governance within formal-legal industrial contexts connected to global supply chains remains insufficiently theorized in management and organization studies (MOS). How such governance legitimizes violence against marginalized workers both within and beyond organizational boundaries also remains critically underexplored. By analysing the paradoxical normalization of criminality and violence within Bangladesh’s garment industry, this study exposes the systemic embeddedness of mastans, politically connected criminals, within export-oriented industrial governance. We conceptualize this entanglement as mastanocracy, a hybrid political formation of violent criminal governance that operates legitimately at the nexus of corruption, democratic erosion, elite power and social polarization, advancing the neoliberal economic and political agendas of dominant actors. This research extends MOS by broadening the boundary conditions under which criminal governance is legitimized in a formal-legal industrial environment in the Global South. It also advances the discourse on violence in contemporary organizations by revealing the broader cultural, social and political dynamics that normalize violence within and beyond organizational boundaries, compelling millions of marginalized workers to live and work under regimes of criminal governance.&quot;,&quot;publisher&quot;:&quot;SAGE Publications Ltd&quot;,&quot;container-title-short&quot;:&quot;&quot;},&quot;isTemporary&quot;:false},{&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citationTag&quot;:&quot;MENDELEY_CITATION_v3_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XX0=&quot;},{&quot;citationID&quot;:&quot;MENDELEY_CITATION_592117a9-2557-4d04-a7af-09792a17f5fa&quot;,&quot;properties&quot;:{&quot;noteIndex&quot;:0},&quot;isEdited&quot;:false,&quot;manualOverride&quot;:{&quot;isManuallyOverridden&quot;:false,&quot;citeprocText&quot;:&quot;(LeBaron, 2020; Meyer and Rowan, 1977; Scott, 2013)&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f6de1282-9487-3c33-be2b-b61509a933f1&quot;,&quot;itemData&quot;:{&quot;type&quot;:&quot;book&quot;,&quot;id&quot;:&quot;f6de1282-9487-3c33-be2b-b61509a933f1&quot;,&quot;title&quot;:&quot;Combatting Modern Slavery : Why Labour Governance is Failing and What We Can Do About It&quot;,&quot;author&quot;:[{&quot;family&quot;:&quot;LeBaron&quot;,&quot;given&quot;:&quot;Genevieve&quot;,&quot;parse-names&quot;:false,&quot;dropping-particle&quot;:&quot;&quot;,&quot;non-dropping-particle&quot;:&quot;&quot;}],&quot;accessed&quot;:{&quot;date-parts&quot;:[[2025,10,11]]},&quot;ISBN&quot;:&quot;9781509513680&quot;,&quot;URL&quot;:&quot;https://books.google.com/books/about/Combatting_Modern_Slavery.html?id=4pb-DwAAQBAJ&quot;,&quot;issued&quot;:{&quot;date-parts&quot;:[[2020,9,22]]},&quot;number-of-pages&quot;:&quot;1-224&quot;,&quot;abstract&quot;:&quot;Cover -- Title page -- Copyright page -- Contents -- Acknowledgements -- 1 Who Does Labour Governance Work For? -- What is Labour Governance? -- What is Modern Slavery? -- Why Global Labour Governance Is Failing -- This Book's Approach -- Corporations as Cause and Solution to Labour Abuse -- Corporations Save the World's Workers -- This Book's Arguments and Structure -- Labour exploitation in global supply chains -- Corporate power and the state -- The recruitment industry -- The enforcement industry -- Corporate Fairytales vs. Worker Power -- 2 Labour Exploitation in Global Supply Chains&quot;,&quot;publisher&quot;:&quot;Wiley Publication&quot;,&quot;container-title-short&quot;:&quot;&quot;},&quot;isTemporary&quot;:false},{&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NTkyMTE3YTktMjU1Ny00ZDA0LWE3YWYtMDk3OTJhMTdmNWZhIiwicHJvcGVydGllcyI6eyJub3RlSW5kZXgiOjB9LCJpc0VkaXRlZCI6ZmFsc2UsIm1hbnVhbE92ZXJyaWRlIjp7ImlzTWFudWFsbHlPdmVycmlkZGVuIjpmYWxzZSwiY2l0ZXByb2NUZXh0IjoiKExlQmFyb24sIDIwMjA7IE1leWVyIGFuZCBSb3dhbiwgMTk3NzsgU2NvdHQsIDIwMTM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&quot;},{&quot;citationID&quot;:&quot;MENDELEY_CITATION_95ef3f91-fd52-4a26-a283-a827801a986e&quot;,&quot;properties&quot;:{&quot;noteIndex&quot;:0},&quot;isEdited&quot;:false,&quot;manualOverride&quot;:{&quot;isManuallyOverridden&quot;:false,&quot;citeprocText&quot;:&quot;(DiMaggio and Powell, 1983; Huq and Stevenson, 2020)&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7de16256-5c9a-3cc2-b312-0ea170f38976&quot;,&quot;itemData&quot;:{&quot;type&quot;:&quot;article-journal&quot;,&quot;id&quot;:&quot;7de16256-5c9a-3cc2-b312-0ea170f38976&quot;,&quot;title&quot;:&quot;Implementing Socially Sustainable Practices in Challenging Institutional Contexts: Building Theory from Seven Developing Country Supplier Cases&quot;,&quot;author&quot;:[{&quot;family&quot;:&quot;Huq&quot;,&quot;given&quot;:&quot;Fahian Anisul&quot;,&quot;parse-names&quot;:false,&quot;dropping-particle&quot;:&quot;&quot;,&quot;non-dropping-particle&quot;:&quot;&quot;},{&quot;family&quot;:&quot;Stevenson&quot;,&quot;given&quot;:&quot;Mark&quot;,&quot;parse-names&quot;:false,&quot;dropping-particle&quot;:&quot;&quot;,&quot;non-dropping-particle&quot;:&quot;&quot;}],&quot;container-title&quot;:&quot;Journal of Business Ethics&quot;,&quot;DOI&quot;:&quot;10.1007/s10551-018-3951-x&quot;,&quot;ISSN&quot;:&quot;15730697&quot;,&quot;issued&quot;:{&quot;date-parts&quot;:[[2020,1,1]]},&quot;page&quot;:&quot;415-442&quot;,&quot;abstract&quot;:&quot;The implementation of socially sustainable practices in suppliers situated in challenging institutional contexts is examined using institutional theory, both in terms of how institutional pressures affect implementation and what explains the decoupling of practices from the day-to-day reality. A multi-case study approach is employed based on seven apparel industry suppliers in Bangladesh. Cross-case analysis highlights the coercive, mimetic, and normative pressures on suppliers to implement socially sustainable practices. A key pressure identified that has not previously been highlighted in the literature is horizontal collaboration between buyers, which intensifies coercive pressure on suppliers and increases the consequences of non-compliance. The factors that contribute to decoupling are categorized into firm-, supply chain-, and environment-related factors. Further, six propositions are developed on how specific forms of institutional pressure can tackle particular decoupling factors to support implementation. The paper responds to recent calls for greater scrutiny of why and how firms decouple ethical practices and supports the development of the literature specifically on social sustainability, which lags behind that on environmental sustainability and has been largely focused on the Western buyer perspective. The findings have implications for the diffusion of ethical practices into supply chains, especially distant suppliers in very different and challenging institutional contexts.&quot;,&quot;publisher&quot;:&quot;Springer&quot;,&quot;issue&quot;:&quot;2&quot;,&quot;volume&quot;:&quot;161&quot;,&quot;container-title-short&quot;:&quot;&quot;},&quot;isTemporary&quot;:false}],&quot;citationTag&quot;:&quot;MENDELEY_CITATION_v3_eyJjaXRhdGlvbklEIjoiTUVOREVMRVlfQ0lUQVRJT05fOTVlZjNmOTEtZmQ1Mi00YTI2LWEyODMtYTgyNzgwMWE5ODZlIiwicHJvcGVydGllcyI6eyJub3RlSW5kZXgiOjB9LCJpc0VkaXRlZCI6ZmFsc2UsIm1hbnVhbE92ZXJyaWRlIjp7ImlzTWFudWFsbHlPdmVycmlkZGVuIjpmYWxzZSwiY2l0ZXByb2NUZXh0IjoiKERpTWFnZ2lvIGFuZCBQb3dlbGwsIDE5ODM7IEh1cSBhbmQgU3RldmVuc29uLCAyMDIw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W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&quot;},{&quot;citationID&quot;:&quot;MENDELEY_CITATION_36360e3e-2c2b-4e44-81e7-d5c099b55137&quot;,&quot;properties&quot;:{&quot;noteIndex&quot;:0},&quot;isEdited&quot;:false,&quot;manualOverride&quot;:{&quot;isManuallyOverridden&quot;:false,&quot;citeprocText&quot;:&quot;(Landman and Silverman, 2019; Moussa &lt;i&gt;et al.&lt;/i&gt;, 2021)&quot;,&quot;manualOverrideText&quot;:&quot;&quot;},&quot;citationItems&quot;:[{&quot;id&quot;:&quot;3ff14c94-0012-3dd3-8401-28a42efc2e22&quot;,&quot;itemData&quot;:{&quot;type&quot;:&quot;article-journal&quot;,&quot;id&quot;:&quot;3ff14c94-0012-3dd3-8401-28a42efc2e22&quot;,&quot;title&quot;:&quot;An Empirical Investigation of U.K. Environmental Targets Disclosure: The Role of Environmental Governance and Performance&quot;,&quot;author&quot;:[{&quot;family&quot;:&quot;Moussa&quot;,&quot;given&quot;:&quot;Tantawy&quot;,&quot;parse-names&quot;:false,&quot;dropping-particle&quot;:&quot;&quot;,&quot;non-dropping-particle&quot;:&quot;&quot;},{&quot;family&quot;:&quot;Kotb&quot;,&quot;given&quot;:&quot;Amr&quot;,&quot;parse-names&quot;:false,&quot;dropping-particle&quot;:&quot;&quot;,&quot;non-dropping-particle&quot;:&quot;&quot;},{&quot;family&quot;:&quot;Helfaya&quot;,&quot;given&quot;:&quot;Akrum.&quot;,&quot;parse-names&quot;:false,&quot;dropping-particle&quot;:&quot;&quot;,&quot;non-dropping-particle&quot;:&quot;&quot;}],&quot;container-title&quot;:&quot;European Accounting Review&quot;,&quot;issued&quot;:{&quot;date-parts&quot;:[[2021]]},&quot;abstract&quot;:&quot;Although an increasing number of companies have publicly declared environmental targets (ETs), scant research has been conducted in this area. This study, therefore, investigates the extent of corporate environmental targets disclosure (ETD) and empirically examines whether environmental governance and performance influence the ETD of companies in the U.K. during the 2005–2013 period. We find that firms show a large degree of variability and inconsistency in their reporting of ETs. The results indicate that U.K. firms, particularly those with high environmental sensitivity, tend to disclose symbolic soft or semi-hard ETs to manage stakeholder perceptions and legitimize their existence. Moreover, Global Reporting Initiative (GRI) guidelines, sustainability committees, and sustainability assurance show positive relationships with ETD. We also find that U.K. firms that perform well environmentally are likely to set and disclose hard ETs. These results support stakeholder, legitimacy, and impression management theories. We suggest that there is a need for regulations that will not only enhance the usefulness of ETD but also encourage companies to take serious proactive action to reduce negative environmental impacts, possibly creating ‘win-win’ solutions. Our findings have important implications for policy-makers and various stakeholder groups.&quot;,&quot;publisher&quot;:&quot;Routledge&quot;,&quot;container-title-short&quot;:&quot;&quot;},&quot;isTemporary&quot;:false},{&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citationTag&quot;:&quot;MENDELEY_CITATION_v3_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&quot;},{&quot;citationID&quot;:&quot;MENDELEY_CITATION_b2ee9e0b-22f6-4291-93a9-80463fb957d9&quot;,&quot;properties&quot;:{&quot;noteIndex&quot;:0},&quot;isEdited&quot;:false,&quot;manualOverride&quot;:{&quot;isManuallyOverridden&quot;:false,&quot;citeprocText&quot;:&quot;(Davis, 2017; Moussa &lt;i&gt;et al.&lt;/i&gt;, 2022; UNDP, 2009)&quot;,&quot;manualOverrideText&quot;:&quot;&quot;},&quot;citationItems&quot;:[{&quot;id&quot;:&quot;d125b462-569e-37b1-af77-fdfbf077a260&quot;,&quot;itemData&quot;:{&quot;type&quot;:&quot;book&quot;,&quot;id&quot;:&quot;d125b462-569e-37b1-af77-fdfbf077a260&quot;,&quot;title&quot;:&quot;Human development report 2009 : overcoming barriers : human mobility and development.&quot;,&quot;author&quot;:[{&quot;family&quot;:&quot;UNDP&quot;,&quot;given&quot;:&quot;&quot;,&quot;parse-names&quot;:false,&quot;dropping-particle&quot;:&quot;&quot;,&quot;non-dropping-particle&quot;:&quot;&quot;}],&quot;ISBN&quot;:&quot;9780230239043&quot;,&quot;issued&quot;:{&quot;date-parts&quot;:[[2009]]},&quot;number-of-pages&quot;:&quot;1-229&quot;,&quot;abstract&quot;:&quot;Published for the United Nations Development Programme. Migration, both behind and beyond borders, has become a prominent issue in domestic and international debates. This report explores how the movement of people can expand human capabilities and entitlements. It also looks at how to address the underlying inequalities and distortions which limit the potential gains. How and why people move -- Barriers to movement -- The case for mobility -- Our proposal -- The way forward -- Freedom and movement : how mobility can foster human development -- Mobility matters -- Choice and context : understanding why people move -- Development, freedom and human mobility -- What we bring to the table -- People in motion : who moves where, when and why -- Human movement today -- Looking back -- Policies and movement -- Looking ahead : the crisis and beyond -- How movers fare -- Incomes and livelihoods -- Health -- Education -- Empowerment, civic rights and participation -- Understanding outcomes from negative drivers -- Overall impacts -- Impacts at origin and destination -- Impacts at places of origin -- Destination place effects -- Policies to enhance human development outcomes -- The core package -- The political feasibility of reform -- Conclusions.&quot;,&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5d2ec5d0-8c0b-3f23-bfb8-195aa0896649&quot;,&quot;itemData&quot;:{&quot;type&quot;:&quot;article-journal&quot;,&quot;id&quot;:&quot;5d2ec5d0-8c0b-3f23-bfb8-195aa0896649&quot;,&quot;title&quot;:&quot;Good governance as a foundation for sustainable human development in sub-Saharan Africa&quot;,&quot;author&quot;:[{&quot;family&quot;:&quot;Davis&quot;,&quot;given&quot;:&quot;Theodore J.&quot;,&quot;parse-names&quot;:false,&quot;dropping-particle&quot;:&quot;&quot;,&quot;non-dropping-particle&quot;:&quot;&quot;}],&quot;container-title&quot;:&quot;Third World Quarterly&quot;,&quot;container-title-short&quot;:&quot;Third World Q&quot;,&quot;DOI&quot;:&quot;10.1080/01436597.2016.1191340&quot;,&quot;ISSN&quot;:&quot;13602241&quot;,&quot;issued&quot;:{&quot;date-parts&quot;:[[2017,3,4]]},&quot;page&quot;:&quot;636-654&quot;,&quot;abstract&quot;:&quot;Data indicate that good governance and human development continue to be major issues throughout sub-Saharan Africa. The findings show a significant relationship between the measures of good governance and human development. The findings suggest that policies and efforts aimed at improving government effectiveness and political stability would have the most significant impact on human development and poverty reduction efforts. The findings lend support to the adoption of integrated policy approaches that take into consideration political development along with economic development to reduce poverty in sub-Saharan Africa.&quot;,&quot;publisher&quot;:&quot;Routledge&quot;,&quot;issue&quot;:&quot;3&quot;,&quot;volume&quot;:&quot;38&quot;},&quot;isTemporary&quot;:false}],&quot;citationTag&quot;:&quot;MENDELEY_CITATION_v3_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&quot;},{&quot;citationID&quot;:&quot;MENDELEY_CITATION_c684060a-f093-405b-813e-f207966bff59&quot;,&quot;properties&quot;:{&quot;noteIndex&quot;:0},&quot;isEdited&quot;:false,&quot;manualOverride&quot;:{&quot;isManuallyOverridden&quot;:false,&quot;citeprocText&quot;:&quot;(Nunn, 2007)&quot;,&quot;manualOverrideText&quot;:&quot;&quot;},&quot;citationItems&quot;:[{&quot;id&quot;:&quot;666290e7-ed7a-3ed3-9b6a-7e858e6104e6&quot;,&quot;itemData&quot;:{&quot;type&quot;:&quot;report&quot;,&quot;id&quot;:&quot;666290e7-ed7a-3ed3-9b6a-7e858e6104e6&quot;,&quot;title&quot;:&quot;Slavery, Inequality, and Economic\nDevelopment in the Americas:\nAn Examination of the\nEngerman-Sokoloff Hypothesis&quot;,&quot;author&quot;:[{&quot;family&quot;:&quot;Nunn&quot;,&quot;given&quot;:&quot;Natham&quot;,&quot;parse-names&quot;:false,&quot;dropping-particle&quot;:&quot;&quot;,&quot;non-dropping-particle&quot;:&quot;&quot;}],&quot;issued&quot;:{&quot;date-parts&quot;:[[2007,10]]},&quot;number-of-pages&quot;:&quot;1-40&quot;,&quot;container-title-short&quot;:&quot;&quot;},&quot;isTemporary&quot;:false}],&quot;citationTag&quot;:&quot;MENDELEY_CITATION_v3_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&quot;},{&quot;citationID&quot;:&quot;MENDELEY_CITATION_9a98d36f-2707-4105-a719-0ed6971233f6&quot;,&quot;properties&quot;:{&quot;noteIndex&quot;:0},&quot;isEdited&quot;:false,&quot;manualOverride&quot;:{&quot;isManuallyOverridden&quot;:false,&quot;citeprocText&quot;:&quot;(UNDP, 2025a)&quot;,&quot;manualOverrideText&quot;:&quot;&quot;},&quot;citationItems&quot;:[{&quot;id&quot;:&quot;f21f08a7-4c30-349f-840d-759a3e875b04&quot;,&quot;itemData&quot;:{&quot;type&quot;:&quot;webpage&quot;,&quot;id&quot;:&quot;f21f08a7-4c30-349f-840d-759a3e875b04&quot;,&quot;title&quot;:&quot;Inequality-adjusted Human Development Index (IHDI)&quot;,&quot;author&quot;:[{&quot;family&quot;:&quot;UNDP&quot;,&quot;given&quot;:&quot;&quot;,&quot;parse-names&quot;:false,&quot;dropping-particle&quot;:&quot;&quot;,&quot;non-dropping-particle&quot;:&quot;&quot;}],&quot;accessed&quot;:{&quot;date-parts&quot;:[[2025,4,28]]},&quot;URL&quot;:&quot;https://hdr.undp.org/inequality-adjusted-human-development-index#/indicies/IHDI&quot;,&quot;issued&quot;:{&quot;date-parts&quot;:[[2025]]},&quot;container-title-short&quot;:&quot;&quot;},&quot;isTemporary&quot;:false}],&quot;citationTag&quot;:&quot;MENDELEY_CITATION_v3_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&quot;},{&quot;citationID&quot;:&quot;MENDELEY_CITATION_08f6572f-39fa-4838-8d7b-2372f850be50&quot;,&quot;properties&quot;:{&quot;noteIndex&quot;:0},&quot;isEdited&quot;:false,&quot;manualOverride&quot;:{&quot;isManuallyOverridden&quot;:false,&quot;citeprocText&quot;:&quot;(OECD, 2024)&quot;,&quot;manualOverrideText&quot;:&quot;&quot;},&quot;citationItems&quot;:[{&quot;id&quot;:&quot;ab92018d-4a51-3e50-90c9-abcd23eb239d&quot;,&quot;itemData&quot;:{&quot;type&quot;:&quot;book&quot;,&quot;id&quot;:&quot;ab92018d-4a51-3e50-90c9-abcd23eb239d&quot;,&quot;title&quot;:&quot;Equity in education and on the labour market: Main findings from Education at a Glance 2024&quot;,&quot;author&quot;:[{&quot;family&quot;:&quot;OECD&quot;,&quot;given&quot;:&quot;&quot;,&quot;parse-names&quot;:false,&quot;dropping-particle&quot;:&quot;&quot;,&quot;non-dropping-particle&quot;:&quot;&quot;}],&quot;DOI&quot;:&quot;10.1787/b502b9a6-en&quot;,&quot;URL&quot;:&quot;https://doi.org/10.1787/b502b9a6-en&quot;,&quot;issued&quot;:{&quot;date-parts&quot;:[[2024,9]]},&quot;publisher-place&quot;:&quot;Paris&quot;,&quot;number-of-pages&quot;:&quot;1-42&quot;,&quot;publisher&quot;:&quot;OECD Publishing&quot;,&quot;container-title-short&quot;:&quot;&quot;},&quot;isTemporary&quot;:false}],&quot;citationTag&quot;:&quot;MENDELEY_CITATION_v3_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&quot;},{&quot;citationID&quot;:&quot;MENDELEY_CITATION_b52235ff-89d8-436e-b9ef-16cf095b6851&quot;,&quot;properties&quot;:{&quot;noteIndex&quot;:0},&quot;isEdited&quot;:false,&quot;manualOverride&quot;:{&quot;isManuallyOverridden&quot;:true,&quot;citeprocText&quot;:&quot;(Jindra and Vaz, 2019)&quot;,&quot;manualOverrideText&quot;:&quot;Jindra and Vaz (2019)&quot;},&quot;citationItems&quot;:[{&quot;id&quot;:&quot;472f6a80-186f-30f8-948e-7e4169243751&quot;,&quot;itemData&quot;:{&quot;type&quot;:&quot;article-journal&quot;,&quot;id&quot;:&quot;472f6a80-186f-30f8-948e-7e4169243751&quot;,&quot;title&quot;:&quot;Good governance and multidimensional poverty: A comparative analysis of 71 countries&quot;,&quot;author&quot;:[{&quot;family&quot;:&quot;Jindra&quot;,&quot;given&quot;:&quot;Christoph&quot;,&quot;parse-names&quot;:false,&quot;dropping-particle&quot;:&quot;&quot;,&quot;non-dropping-particle&quot;:&quot;&quot;},{&quot;family&quot;:&quot;Vaz&quot;,&quot;given&quot;:&quot;Ana&quot;,&quot;parse-names&quot;:false,&quot;dropping-particle&quot;:&quot;&quot;,&quot;non-dropping-particle&quot;:&quot;&quot;}],&quot;container-title&quot;:&quot;Governance&quot;,&quot;DOI&quot;:&quot;10.1111/gove.12394&quot;,&quot;ISSN&quot;:&quot;14680491&quot;,&quot;issued&quot;:{&quot;date-parts&quot;:[[2019,10,1]]},&quot;page&quot;:&quot;657-675&quot;,&quot;abstract&quot;:&quot;In 2015, the international community committed to “reduce at least by half the proportion of men, women and children of all ages living in poverty in all its dimensions.” According to international development agencies, good governance is crucial to achieving this. We examine the relationship between good governance and multidimensional poverty using hierarchical models and survey data for 71 countries. Our results suggest there is a direct effect of good governance on multidimensional poverty and that good governance is associated with reduced horizontal inequalities. However, we find evidence of a beneficial effect of good governance for middle-income countries but not for low-income countries. Thus, while our results suggest that good governance can play a role in reducing multidimensional poverty, they also suggest that governance reforms alone might not yield the desired effect for all countries.&quot;,&quot;publisher&quot;:&quot;Blackwell Publishing Ltd&quot;,&quot;issue&quot;:&quot;4&quot;,&quot;volume&quot;:&quot;32&quot;,&quot;container-title-short&quot;:&quot;&quot;},&quot;isTemporary&quot;:false}],&quot;citationTag&quot;:&quot;MENDELEY_CITATION_v3_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&quot;},{&quot;citationID&quot;:&quot;MENDELEY_CITATION_a79b9871-ddaa-4ae2-86b4-f3c578f26e66&quot;,&quot;properties&quot;:{&quot;noteIndex&quot;:0},&quot;isEdited&quot;:false,&quot;manualOverride&quot;:{&quot;isManuallyOverridden&quot;:false,&quot;citeprocText&quot;:&quot;(Brian Snyder, 2015; Such &lt;i&gt;et al.&lt;/i&gt;, 2020; Such and Salway, 2017)&quot;,&quot;manualOverrideText&quot;:&quot;&quot;},&quot;citationItems&quot;:[{&quot;id&quot;:&quot;9b19dc81-28d7-3f50-bc8e-672e69db57c0&quot;,&quot;itemData&quot;:{&quot;type&quot;:&quot;webpage&quot;,&quot;id&quot;:&quot;9b19dc81-28d7-3f50-bc8e-672e69db57c0&quot;,&quot;title&quot;:&quot;Modern Slavery and public heath&quot;,&quot;author&quot;:[{&quot;family&quot;:&quot;Such&quot;,&quot;given&quot;:&quot;Elizabeth&quot;,&quot;parse-names&quot;:false,&quot;dropping-particle&quot;:&quot;&quot;,&quot;non-dropping-particle&quot;:&quot;&quot;},{&quot;family&quot;:&quot;Salway&quot;,&quot;given&quot;:&quot;Sarah&quot;,&quot;parse-names&quot;:false,&quot;dropping-particle&quot;:&quot;&quot;,&quot;non-dropping-particle&quot;:&quot;&quot;}],&quot;accessed&quot;:{&quot;date-parts&quot;:[[2023,11,2]]},&quot;URL&quot;:&quot;https://www.gov.uk/government/publications/modern-slavery-and-public-health/modern-slavery-and-public-health#definition-of-modern-slavery&quot;,&quot;issued&quot;:{&quot;date-parts&quot;:[[2017,12,7]]},&quot;container-title-short&quot;:&quot;&quot;},&quot;isTemporary&quot;:false},{&quot;id&quot;:&quot;8e8ff4f6-73cf-34cb-894a-39df46cc6e1a&quot;,&quot;itemData&quot;:{&quot;type&quot;:&quot;article&quot;,&quot;id&quot;:&quot;8e8ff4f6-73cf-34cb-894a-39df46cc6e1a&quot;,&quot;title&quot;:&quot;Modern slavery in the UK: How should the health sector be responding?&quot;,&quot;author&quot;:[{&quot;family&quot;:&quot;Such&quot;,&quot;given&quot;:&quot;Elizabeth&quot;,&quot;parse-names&quot;:false,&quot;dropping-particle&quot;:&quot;&quot;,&quot;non-dropping-particle&quot;:&quot;&quot;},{&quot;family&quot;:&quot;Jaipaul&quot;,&quot;given&quot;:&quot;Ravi&quot;,&quot;parse-names&quot;:false,&quot;dropping-particle&quot;:&quot;&quot;,&quot;non-dropping-particle&quot;:&quot;&quot;},{&quot;family&quot;:&quot;Salway&quot;,&quot;given&quot;:&quot;Sarah&quot;,&quot;parse-names&quot;:false,&quot;dropping-particle&quot;:&quot;&quot;,&quot;non-dropping-particle&quot;:&quot;&quot;}],&quot;container-title&quot;:&quot;Journal of Public Health (United Kingdom)&quot;,&quot;DOI&quot;:&quot;10.1093/pubmed/fdy217&quot;,&quot;ISSN&quot;:&quot;17413850&quot;,&quot;PMID&quot;:&quot;30576548&quot;,&quot;issued&quot;:{&quot;date-parts&quot;:[[2020,3,1]]},&quot;page&quot;:&quot;216-220&quot;,&quot;abstract&quot;:&quot;Modern slavery is crime of extreme exploitation. It includes the use of coercion, force, deception and abuse of vulnerability for such purposes as trafficking, labour, sexual exploitation, forced criminal activity and domestic servitude. It is a topic of growing interest in the UK and beyond as it has emerged as an issue of considerable scale and consequence. To date, debates have been dominated by a law enforcement perspective. Less apparent has been an articulation of the implications of modern slavery for the health sector. This is despite growing evidence of the dire physical and mental health consequences for survivors. This paper addresses this gap by examining a series of issues relevant to UK health systems. After describing what is modern slavery and the nature of the problem, we identify how the health sector has responded to date. We then articulate how health services and public health can more coherently and systematically meet the challenges of modern slavery through policy and practice. Finally, we present a call for the health sector to position itself as a central to the wellbeing of survivors and as a fundamental ally in modern slavery prevention.&quot;,&quot;publisher&quot;:&quot;Oxford University Press&quot;,&quot;issue&quot;:&quot;1&quot;,&quot;volume&quot;:&quot;42&quot;,&quot;container-title-short&quot;:&quot;&quot;},&quot;isTemporary&quot;:false},{&quot;id&quot;:&quot;02523098-b7b8-3bd9-a91e-ecc86f26b5b6&quot;,&quot;itemData&quot;:{&quot;type&quot;:&quot;article-magazine&quot;,&quot;id&quot;:&quot;02523098-b7b8-3bd9-a91e-ecc86f26b5b6&quot;,&quot;title&quot;:&quot;How the legacy of slavery affects the mental health of black Americans today&quot;,&quot;author&quot;:[{&quot;family&quot;:&quot;Brian Snyder&quot;,&quot;given&quot;:&quot;&quot;,&quot;parse-names&quot;:false,&quot;dropping-particle&quot;:&quot;&quot;,&quot;non-dropping-particle&quot;:&quot;&quot;}],&quot;container-title&quot;:&quot;The Convesation&quot;,&quot;issued&quot;:{&quot;date-parts&quot;:[[2015,7,27]]},&quot;container-title-short&quot;:&quot;&quot;},&quot;isTemporary&quot;:false}],&quot;citationTag&quot;:&quot;MENDELEY_CITATION_v3_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&quot;},{&quot;citationID&quot;:&quot;MENDELEY_CITATION_478c8fac-a04a-48cf-9da4-39bfef4d3f40&quot;,&quot;properties&quot;:{&quot;noteIndex&quot;:0},&quot;isEdited&quot;:false,&quot;manualOverride&quot;:{&quot;isManuallyOverridden&quot;:false,&quot;citeprocText&quot;:&quot;(Lochner, 2020)&quot;,&quot;manualOverrideText&quot;:&quot;&quot;},&quot;citationItems&quot;:[{&quot;id&quot;:&quot;b5eb6a41-2cfa-381e-a943-85c6e2dc1454&quot;,&quot;itemData&quot;:{&quot;type&quot;:&quot;chapter&quot;,&quot;id&quot;:&quot;b5eb6a41-2cfa-381e-a943-85c6e2dc1454&quot;,&quot;title&quot;:&quot;Education and crime&quot;,&quot;author&quot;:[{&quot;family&quot;:&quot;Lochner&quot;,&quot;given&quot;:&quot;Lance&quot;,&quot;parse-names&quot;:false,&quot;dropping-particle&quot;:&quot;&quot;,&quot;non-dropping-particle&quot;:&quot;&quot;}],&quot;container-title&quot;:&quot;The Economics of Education&quot;,&quot;DOI&quot;:&quot;10.1016/B978-0-12-815391-8.00009-4&quot;,&quot;issued&quot;:{&quot;date-parts&quot;:[[2020]]},&quot;page&quot;:&quot;109-117&quot;,&quot;publisher&quot;:&quot;Elsevier&quot;,&quot;container-title-short&quot;:&quot;&quot;},&quot;isTemporary&quot;:false}],&quot;citationTag&quot;:&quot;MENDELEY_CITATION_v3_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&quot;},{&quot;citationID&quot;:&quot;MENDELEY_CITATION_becaf80e-8705-499c-94c3-a4aeb55decb1&quot;,&quot;properties&quot;:{&quot;noteIndex&quot;:0},&quot;isEdited&quot;:false,&quot;manualOverride&quot;:{&quot;isManuallyOverridden&quot;:true,&quot;citeprocText&quot;:&quot;(Moussa &lt;i&gt;et al.&lt;/i&gt;, 2022)&quot;,&quot;manualOverrideText&quot;:&quot;Moussa et al. (2022)&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YmVjYWY4MGUtODcwNS00OTljLTk0YzMtYTRhZWI1NWRlY2IxIiwicHJvcGVydGllcyI6eyJub3RlSW5kZXgiOjB9LCJpc0VkaXRlZCI6ZmFsc2UsIm1hbnVhbE92ZXJyaWRlIjp7ImlzTWFudWFsbHlPdmVycmlkZGVuIjp0cnVlLCJjaXRlcHJvY1RleHQiOiIoTW91c3NhIDxpPmV0IGFsLjwvaT4sIDIwMjIpIiwibWFudWFsT3ZlcnJpZGVUZXh0IjoiTW91c3NhIGV0IGFsLiAoMjAyMik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quot;},{&quot;citationID&quot;:&quot;MENDELEY_CITATION_5ff50d03-c8fc-4b99-816b-c19a30ce6da1&quot;,&quot;properties&quot;:{&quot;noteIndex&quot;:0},&quot;isEdited&quot;:false,&quot;manualOverride&quot;:{&quot;isManuallyOverridden&quot;:false,&quot;citeprocText&quot;:&quot;(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NWZmNTBkMDMtYzhmYy00Yjk5LTgxNmItYzE5YTMwY2U2ZGEx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7e920c56-1e77-4864-b535-6a36ea32e642&quot;,&quot;properties&quot;:{&quot;noteIndex&quot;:0},&quot;isEdited&quot;:false,&quot;manualOverride&quot;:{&quot;isManuallyOverridden&quot;:false,&quot;citeprocText&quot;:&quot;(Christ &lt;i&gt;et al.&lt;/i&gt;, 2023; Stevenson and Cole, 2018)&quot;,&quot;manualOverrideText&quot;:&quot;&quot;},&quot;citationItems&quot;:[{&quot;id&quot;:&quot;0ce23ff7-8063-3489-9d73-6acf9cefe063&quot;,&quot;itemData&quot;:{&quot;type&quot;:&quot;article-journal&quot;,&quot;id&quot;:&quot;0ce23ff7-8063-3489-9d73-6acf9cefe063&quot;,&quot;title&quot;:&quot;Modern slavery and the accounting profession&quot;,&quot;author&quot;:[{&quot;family&quot;:&quot;Christ&quot;,&quot;given&quot;:&quot;Katherine Leanne&quot;,&quot;parse-names&quot;:false,&quot;dropping-particle&quot;:&quot;&quot;,&quot;non-dropping-particle&quot;:&quot;&quot;},{&quot;family&quot;:&quot;Burritt&quot;,&quot;given&quot;:&quot;Roger Leonard&quot;,&quot;parse-names&quot;:false,&quot;dropping-particle&quot;:&quot;&quot;,&quot;non-dropping-particle&quot;:&quot;&quot;},{&quot;family&quot;:&quot;Islam&quot;,&quot;given&quot;:&quot;Muhammad Azizul&quot;,&quot;parse-names&quot;:false,&quot;dropping-particle&quot;:&quot;&quot;,&quot;non-dropping-particle&quot;:&quot;&quot;}],&quot;container-title&quot;:&quot;The British Accounting Review&quot;,&quot;accessed&quot;:{&quot;date-parts&quot;:[[2023,1,12]]},&quot;issued&quot;:{&quot;date-parts&quot;:[[2023,1,9]]},&quot;page&quot;:&quot;101174&quot;,&quot;publisher&quot;:&quot;Academic Press&quot;,&quot;container-title-short&quot;:&quot;&quot;},&quot;isTemporary&quot;:false},{&quot;id&quot;:&quot;6a12a5b4-1c85-3736-8c7f-1b0ac42b837c&quot;,&quot;itemData&quot;:{&quot;type&quot;:&quot;article-journal&quot;,&quot;id&quot;:&quot;6a12a5b4-1c85-3736-8c7f-1b0ac42b837c&quot;,&quot;title&quot;:&quot;Modern slavery in supply chains: a secondary data analysis of detection, remediation and disclosure&quot;,&quot;author&quot;:[{&quot;family&quot;:&quot;Stevenson&quot;,&quot;given&quot;:&quot;Mark&quot;,&quot;parse-names&quot;:false,&quot;dropping-particle&quot;:&quot;&quot;,&quot;non-dropping-particle&quot;:&quot;&quot;},{&quot;family&quot;:&quot;Cole&quot;,&quot;given&quot;:&quot;Rosanna&quot;,&quot;parse-names&quot;:false,&quot;dropping-particle&quot;:&quot;&quot;,&quot;non-dropping-particle&quot;:&quot;&quot;}],&quot;container-title&quot;:&quot; Supply Chain Management: An International Journal.&quot;,&quot;accessed&quot;:{&quot;date-parts&quot;:[[2023,1,20]]},&quot;URL&quot;:&quot;www.emeraldinsight.com/1359-8546.htm&quot;,&quot;issued&quot;:{&quot;date-parts&quot;:[[2018]]},&quot;page&quot;:&quot;81-99&quot;,&quot;abstract&quot;:&quot;Purpose-The purpose of this study is to examine how organisations report on the detection and remediation of modern slavery in their operations and supply chains and to understand their approaches to disclosing information in response to modern slavery legislation. Design/methodology/approach-An analysis of secondary data based on the statements is released in response to the 2015 UK Modern Slavery Act by 101 firms in the clothing and textiles sector. Findings-Many firms use the same practices to detect and remediate modern slavery as for other social issues. But the hidden, criminal nature of modern slavery and the involvement of third party labour agencies mean practices need to either be tailored or other more innovative approaches developed, including in collaboration with traditional and non-traditional actors. Although five broad types of disclosure are identified, there is substantial heterogeneity in the statements. It is posited however that firms will converge on a more homogenous set of responses over time. Research limitations/implications-The study is limited to one industry, responses to UK legislation and the information disclosed by focal firms only. Future research could expand the focus to include other industries, country contexts and stakeholders. Practical implications-Managers must consider how their own firm's behaviour contributes to the modern slavery threat, regulates both their stock and non-stock supply chains and ensures modern slavery is elevated from the procurement function to the boardroom. In making disclosures, managers may trade-off the potential competitive gains of transparency against the threat of information leakage and reputational risk should their statements be falsified. The managers should also consider what signals their statements send back up the chain to (sub-)suppliers. Findings also have potential policy implications. Originality/value-The study expands the authors' understanding of: modern slavery from a supply chain perspective, e.g. identifying the importance of standard setting and risk avoidance; and, supply chain information disclosure in response to legislative demands. This is the first academic paper to examine the statements produced by organisations in response to the UK Modern Slavery Act.&quot;,&quot;issue&quot;:&quot;2&quot;,&quot;volume&quot;:&quot;23&quot;,&quot;container-title-short&quot;:&quot;&quot;},&quot;isTemporary&quot;:false}],&quot;citationTag&quot;:&quot;MENDELEY_CITATION_v3_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&quot;},{&quot;citationID&quot;:&quot;MENDELEY_CITATION_e4c53140-7d2a-4144-8c0f-a78afe2022fb&quot;,&quot;properties&quot;:{&quot;noteIndex&quot;:0},&quot;isEdited&quot;:false,&quot;manualOverride&quot;:{&quot;isManuallyOverridden&quot;:false,&quot;citeprocText&quot;:&quot;(Scott, 2013; UNDP, 2025b)&quot;,&quot;manualOverrideText&quot;:&quot;&quot;},&quot;citationItems&quot;:[{&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id&quot;:&quot;400e6f64-c696-3e93-aa66-f2f46750ba0e&quot;,&quot;itemData&quot;:{&quot;type&quot;:&quot;report&quot;,&quot;id&quot;:&quot;400e6f64-c696-3e93-aa66-f2f46750ba0e&quot;,&quot;title&quot;:&quot;Human Development Report: a matter of choice People and possibilities in the age of AI&quot;,&quot;author&quot;:[{&quot;family&quot;:&quot;UNDP&quot;,&quot;given&quot;:&quot;&quot;,&quot;parse-names&quot;:false,&quot;dropping-particle&quot;:&quot;&quot;,&quot;non-dropping-particle&quot;:&quot;&quot;}],&quot;ISBN&quot;:&quot;9789211576092&quot;,&quot;issued&quot;:{&quot;date-parts&quot;:[[2025]]},&quot;publisher-place&quot;:&quot;New York&quot;,&quot;number-of-pages&quot;:&quot;1-324&quot;,&quot;publisher&quot;:&quot;BERNAN PRESS&quot;,&quot;container-title-short&quot;:&quot;&quot;},&quot;isTemporary&quot;:false}],&quot;citationTag&quot;:&quot;MENDELEY_CITATION_v3_eyJjaXRhdGlvbklEIjoiTUVOREVMRVlfQ0lUQVRJT05fZTRjNTMxNDAtN2QyYS00MTQ0LThjMGYtYTc4YWZlMjAyMmZiIiwicHJvcGVydGllcyI6eyJub3RlSW5kZXgiOjB9LCJpc0VkaXRlZCI6ZmFsc2UsIm1hbnVhbE92ZXJyaWRlIjp7ImlzTWFudWFsbHlPdmVycmlkZGVuIjpmYWxzZSwiY2l0ZXByb2NUZXh0IjoiKFNjb3R0LCAyMDEzOyBVTkRQLCAyMDI1YikiLCJtYW51YWxPdmVycmlkZVRleHQiOiIifSwiY2l0YXRpb25JdGVtcyI6W3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&quot;},{&quot;citationID&quot;:&quot;MENDELEY_CITATION_3cc8d29f-cc17-4e68-8f9a-2c1add6fcd89&quot;,&quot;properties&quot;:{&quot;noteIndex&quot;:0},&quot;isEdited&quot;:false,&quot;manualOverride&quot;:{&quot;isManuallyOverridden&quot;:false,&quot;citeprocText&quot;:&quot;(Meyer and Rowan, 1977; 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citationTag&quot;:&quot;MENDELEY_CITATION_v3_eyJjaXRhdGlvbklEIjoiTUVOREVMRVlfQ0lUQVRJT05fM2NjOGQyOWYtY2MxNy00ZTY4LThmOWEtMmMxYWRkNmZjZDg5IiwicHJvcGVydGllcyI6eyJub3RlSW5kZXgiOjB9LCJpc0VkaXRlZCI6ZmFsc2UsIm1hbnVhbE92ZXJyaWRlIjp7ImlzTWFudWFsbHlPdmVycmlkZGVuIjpmYWxzZSwiY2l0ZXByb2NUZXh0IjoiKE1leWVyIGFuZCBSb3dhbiwgMTk3NzsgTXV0aHV0aGFudHJpZ2UgPGk+ZXQgYWwuPC9pPiwgMjAyNikiLCJtYW51YWxPdmVycmlkZVRleHQiOiI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Sx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XX0=&quot;},{&quot;citationID&quot;:&quot;MENDELEY_CITATION_b1a36596-65e6-415e-8368-54cd92d9c87b&quot;,&quot;properties&quot;:{&quot;noteIndex&quot;:0},&quot;isEdited&quot;:false,&quot;manualOverride&quot;:{&quot;isManuallyOverridden&quot;:false,&quot;citeprocText&quot;:&quot;(DiMaggio and Powell, 1983; Vidal &lt;i&gt;et al.&lt;/i&gt;, 202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YjFhMzY1OTYtNjVlNi00MTVlLTgzNjgtNTRjZDkyZDljODdiIiwicHJvcGVydGllcyI6eyJub3RlSW5kZXgiOjB9LCJpc0VkaXRlZCI6ZmFsc2UsIm1hbnVhbE92ZXJyaWRlIjp7ImlzTWFudWFsbHlPdmVycmlkZGVuIjpmYWxzZSwiY2l0ZXByb2NUZXh0IjoiKERpTWFnZ2lvIGFuZCBQb3dlbGwsIDE5ODM7IFZpZGFsIDxpPmV0IGFsLjwvaT4sIDIwMj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quot;},{&quot;citationID&quot;:&quot;MENDELEY_CITATION_e426d3a7-3c99-474c-8d8b-1e3e33e8dda8&quot;,&quot;properties&quot;:{&quot;noteIndex&quot;:0},&quot;isEdited&quot;:false,&quot;manualOverride&quot;:{&quot;isManuallyOverridden&quot;:false,&quot;citeprocText&quot;:&quot;(Scott, 2013)&quot;,&quot;manualOverrideText&quot;:&quot;&quot;},&quot;citationItems&quot;:[{&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&quot;},{&quot;citationID&quot;:&quot;MENDELEY_CITATION_17977900-ff62-4c7f-b604-a8feae38f3c5&quot;,&quot;properties&quot;:{&quot;noteIndex&quot;:0},&quot;isEdited&quot;:false,&quot;manualOverride&quot;:{&quot;isManuallyOverridden&quot;:false,&quot;citeprocText&quot;:&quot;(Nekhili &lt;i&gt;et al.&lt;/i&gt;, 2021; Yan-Leung &lt;i&gt;et al.&lt;/i&gt;, 2018)&quot;,&quot;manualOverrideText&quot;:&quot;&quot;},&quot;citationItems&quot;:[{&quot;id&quot;:&quot;bbec4810-4790-3d6c-9cfb-b6b3da5e9f64&quot;,&quot;itemData&quot;:{&quot;type&quot;:&quot;article-journal&quot;,&quot;id&quot;:&quot;bbec4810-4790-3d6c-9cfb-b6b3da5e9f64&quot;,&quot;title&quot;:&quot;National stakeholder orientation, corporate social responsibility, and bank loan cost. &quot;,&quot;author&quot;:[{&quot;family&quot;:&quot;Yan-Leung&quot;,&quot;given&quot;:&quot;Cheung&quot;,&quot;parse-names&quot;:false,&quot;dropping-particle&quot;:&quot;&quot;,&quot;non-dropping-particle&quot;:&quot;&quot;},{&quot;family&quot;:&quot;Weiqiang&quot;,&quot;given&quot;:&quot;Tan&quot;,&quot;parse-names&quot;:false,&quot;dropping-particle&quot;:&quot;&quot;,&quot;non-dropping-particle&quot;:&quot;&quot;},{&quot;family&quot;:&quot;Wenming&quot;,&quot;given&quot;:&quot;Wang&quot;,&quot;parse-names&quot;:false,&quot;dropping-particle&quot;:&quot;&quot;,&quot;non-dropping-particle&quot;:&quot;&quot;}],&quot;container-title&quot;:&quot;Journal of Business Ethics&quot;,&quot;accessed&quot;:{&quot;date-parts&quot;:[[2022,10,20]]},&quot;URL&quot;:&quot;https://www.jstor.org/stable/pdf/45022576.pdf&quot;,&quot;issued&quot;:{&quot;date-parts&quot;:[[2018]]},&quot;page&quot;:&quot;505-524&quot;,&quot;issue&quot;:&quot;2&quot;,&quot;volume&quot;:&quot;150&quot;,&quot;container-title-short&quot;:&quot;&quot;},&quot;isTemporary&quot;:false},{&quot;id&quot;:&quot;2f292206-e297-3fce-aaf8-dc1750c5f014&quot;,&quot;itemData&quot;:{&quot;type&quot;:&quot;article-journal&quot;,&quot;id&quot;:&quot;2f292206-e297-3fce-aaf8-dc1750c5f014&quot;,&quot;title&quot;:&quot;The ESG–financial performance relationship: Does the type of employee board representation matter?&quot;,&quot;author&quot;:[{&quot;family&quot;:&quot;Nekhili&quot;,&quot;given&quot;:&quot;Mehdi&quot;,&quot;parse-names&quot;:false,&quot;dropping-particle&quot;:&quot;&quot;,&quot;non-dropping-particle&quot;:&quot;&quot;},{&quot;family&quot;:&quot;Boukadhaba&quot;,&quot;given&quot;:&quot;Amal&quot;,&quot;parse-names&quot;:false,&quot;dropping-particle&quot;:&quot;&quot;,&quot;non-dropping-particle&quot;:&quot;&quot;},{&quot;family&quot;:&quot;Nagati&quot;,&quot;given&quot;:&quot;Haithem&quot;,&quot;parse-names&quot;:false,&quot;dropping-particle&quot;:&quot;&quot;,&quot;non-dropping-particle&quot;:&quot;&quot;}],&quot;container-title&quot;:&quot;Corporate Governance: An International Review&quot;,&quot;ISSN&quot;:&quot;14678683&quot;,&quot;issued&quot;:{&quot;date-parts&quot;:[[2021,3,1]]},&quot;page&quot;:&quot;134-161&quot;,&quot;abstract&quot;:&quot;Research Question/Issue: We examine the impact of two differing types of employee board representation (i.e., labor board representation and employee shareholder board representations) on environmental, social, and corporate governance components of ESG performance and the moderating role of each type of employee board representation on the relationship between ESG performance and the firm's market value. Research Findings/Insights: Using a propensity score matching approach on a sample of French firms listed in the SBF 120 index from 2007 to 2017, our findings reveal that labor board representatives act in the opposite direction to employee shareholder board representatives by focusing exclusively on improving social performance and reducing environmental and corporate governance performance. The way employees are represented on the board of directors also moderates the corporate ESG–financial performance relationship differently. Theoretical/Academic Implications: Employee directors are not a homogenous group. The differentiation between the two types of employee directors (i.e., labor board representatives and employee shareholder board representatives) brings a deeper understanding of the effect of stakeholders' representation on the board. Practitioner/Policy Implications: Our results are of interest to governance policymakers because they provide them with a fresh understanding of the key role of employee board representation. A meaningful inference to be drawn from our findings is that employee ownership and the representation of employees on the board as employee shareholders may bring about fundamental changes in employees' attitudes and behavior on the board and may, in this regard, be considered as a credible way of generating social harmony and constructive relationships between employees and shareholders. Video Abstract: https://youtu.be/GqB_6GxtH2A.&quot;,&quot;publisher&quot;:&quot;Blackwell Publishing Ltd&quot;,&quot;issue&quot;:&quot;2&quot;,&quot;volume&quot;:&quot;29&quot;,&quot;container-title-short&quot;:&quot;&quot;},&quot;isTemporary&quot;:false}],&quot;citationTag&quot;:&quot;MENDELEY_CITATION_v3_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&quot;},{&quot;citationID&quot;:&quot;MENDELEY_CITATION_97801211-08e7-4ed2-a54f-00b645b7722a&quot;,&quot;properties&quot;:{&quot;noteIndex&quot;:0},&quot;isEdited&quot;:false,&quot;manualOverride&quot;:{&quot;isManuallyOverridden&quot;:false,&quot;citeprocText&quot;:&quot;(García-Sánchez &lt;i&gt;et al.&lt;/i&gt;, 2022; Hummel &lt;i&gt;et al.&lt;/i&gt;, 2022)&quot;,&quot;manualOverrideText&quot;:&quot;&quot;},&quot;citationItems&quot;:[{&quot;id&quot;:&quot;8b6df0d7-d24c-3eb9-8246-e52c0f324f08&quot;,&quot;itemData&quot;:{&quot;type&quot;:&quot;article-journal&quot;,&quot;id&quot;:&quot;8b6df0d7-d24c-3eb9-8246-e52c0f324f08&quot;,&quot;title&quot;:&quot;Assurance of corporate social responsibility reports: Does it reduce decoupling practices?&quot;,&quot;author&quot;:[{&quot;family&quot;:&quot;García-Sánchez&quot;,&quot;given&quot;:&quot;Isabel María&quot;,&quot;parse-names&quot;:false,&quot;dropping-particle&quot;:&quot;&quot;,&quot;non-dropping-particle&quot;:&quot;&quot;},{&quot;family&quot;:&quot;Hussain&quot;,&quot;given&quot;:&quot;Nazim&quot;,&quot;parse-names&quot;:false,&quot;dropping-particle&quot;:&quot;&quot;,&quot;non-dropping-particle&quot;:&quot;&quot;},{&quot;family&quot;:&quot;Aibar-Guzmán&quot;,&quot;given&quot;:&quot;Cristina&quot;,&quot;parse-names&quot;:false,&quot;dropping-particle&quot;:&quot;&quot;,&quot;non-dropping-particle&quot;:&quot;&quot;},{&quot;family&quot;:&quot;Aibar-Guzmán&quot;,&quot;given&quot;:&quot;Beatriz&quot;,&quot;parse-names&quot;:false,&quot;dropping-particle&quot;:&quot;&quot;,&quot;non-dropping-particle&quot;:&quot;&quot;}],&quot;container-title&quot;:&quot;Business Ethics, Environment and Responsibility&quot;,&quot;DOI&quot;:&quot;10.1111/beer.12394&quot;,&quot;ISSN&quot;:&quot;26946424&quot;,&quot;issued&quot;:{&quot;date-parts&quot;:[[2022,1,1]]},&quot;page&quot;:&quot;118-138&quot;,&quot;abstract&quot;:&quot;Recent research shows the existence of a selective corporate social responsibility (CSR) disclosure strategy that creates a gap between CSR disclosure and actual performance. These CSR decoupling practices compromise the credibility of CSR reports and have triggered a demand for the adoption of credibility enhancement mechanisms, such as adherence to the global reporting initiative (GRI) reporting guidelines, and the external assurance of CSR reports. The effectiveness of such mechanisms is not clear, however. This paper draws on legitimacy theory and addresses the issue of symbolic versus substantive use of assurance, and compliance with GRI reporting standards, by analysing their effect on CSR decoupling using an international sample of 1,939 companies (15,219 observations from 2002 to 2017). Analysis of a sub-sample of 708 firms (3,730 observations from 2011 to 2017) also shows that the application of GRI guidelines and the specific characteristics of the assurance provider—accountant, experience and specialisation—reduce CSR decoupling practices. The results provide researchers, managers, assurance providers, investors, stakeholders and regulators with additional insight into the value of the external assurance of sustainability reports and have important managerial and policy implications.&quot;,&quot;publisher&quot;:&quot;John Wiley and Sons Inc&quot;,&quot;issue&quot;:&quot;1&quot;,&quot;volume&quot;:&quot;31&quot;,&quot;container-title-short&quot;:&quot;&quot;},&quot;isTemporary&quot;:false},{&quot;id&quot;:&quot;e3c55a19-0952-308b-8d5a-fd164be499c4&quot;,&quot;itemData&quot;:{&quot;type&quot;:&quot;article-journal&quot;,&quot;id&quot;:&quot;e3c55a19-0952-308b-8d5a-fd164be499c4&quot;,&quot;title&quot;:&quot;Corporate social responsibility disclosure: a topic-based approach&quot;,&quot;author&quot;:[{&quot;family&quot;:&quot;Hummel&quot;,&quot;given&quot;:&quot;Katrin&quot;,&quot;parse-names&quot;:false,&quot;dropping-particle&quot;:&quot;&quot;,&quot;non-dropping-particle&quot;:&quot;&quot;},{&quot;family&quot;:&quot;Mittelbach-Hörmanseder&quot;,&quot;given&quot;:&quot;Stéphanie&quot;,&quot;parse-names&quot;:false,&quot;dropping-particle&quot;:&quot;&quot;,&quot;non-dropping-particle&quot;:&quot;&quot;},{&quot;family&quot;:&quot;Cho&quot;,&quot;given&quot;:&quot;Charles H.&quot;,&quot;parse-names&quot;:false,&quot;dropping-particle&quot;:&quot;&quot;,&quot;non-dropping-particle&quot;:&quot;&quot;},{&quot;family&quot;:&quot;Matten&quot;,&quot;given&quot;:&quot;Dirk&quot;,&quot;parse-names&quot;:false,&quot;dropping-particle&quot;:&quot;&quot;,&quot;non-dropping-particle&quot;:&quot;&quot;}],&quot;container-title&quot;:&quot;Accounting and Business Research&quot;,&quot;accessed&quot;:{&quot;date-parts&quot;:[[2022,8,17]]},&quot;ISSN&quot;:&quot;0001-4788&quot;,&quot;URL&quot;:&quot;https://www.tandfonline.com/doi/full/10.1080/00014788.2022.2071199&quot;,&quot;issued&quot;:{&quot;date-parts&quot;:[[2022,7,1]]},&quot;page&quot;:&quot;1-38&quot;,&quot;container-title-short&quot;:&quot;&quot;},&quot;isTemporary&quot;:false}],&quot;citationTag&quot;:&quot;MENDELEY_CITATION_v3_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&quot;},{&quot;citationID&quot;:&quot;MENDELEY_CITATION_4efb6912-8712-43d5-8219-1849993423ee&quot;,&quot;properties&quot;:{&quot;noteIndex&quot;:0},&quot;isEdited&quot;:false,&quot;manualOverride&quot;:{&quot;isManuallyOverridden&quot;:false,&quot;citeprocText&quot;:&quot;(DiMaggio and Powell, 1983; Muthuthantrige &lt;i&gt;et al.&lt;/i&gt;, 2026)&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GVmYjY5MTItODcxMi00M2Q1LTgyMTktMTg0OTk5MzQyM2VlIiwicHJvcGVydGllcyI6eyJub3RlSW5kZXgiOjB9LCJpc0VkaXRlZCI6ZmFsc2UsIm1hbnVhbE92ZXJyaWRlIjp7ImlzTWFudWFsbHlPdmVycmlkZGVuIjpmYWxzZSwiY2l0ZXByb2NUZXh0IjoiKERpTWFnZ2lvIGFuZCBQb3dlbGwsIDE5ODM7IE11dGh1dGhhbnRyaWdlIDxpPmV0IGFsLjwvaT4sIDIwMjY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quot;},{&quot;citationID&quot;:&quot;MENDELEY_CITATION_45270c7e-1ab2-48fd-b4e8-cf0d2335f7f7&quot;,&quot;properties&quot;:{&quot;noteIndex&quot;:0},&quot;isEdited&quot;:false,&quot;manualOverride&quot;:{&quot;isManuallyOverridden&quot;:false,&quot;citeprocText&quot;:&quot;(Pesterfield and Rogerson, 2024; Vidal &lt;i&gt;et al.&lt;/i&gt;, 2023)&quot;,&quot;manualOverrideText&quot;:&quot;&quot;},&quot;citationItems&quot;:[{&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id&quot;:&quot;98652407-819c-3ecc-8802-3200dece5106&quot;,&quot;itemData&quot;:{&quot;type&quot;:&quot;article-journal&quot;,&quot;id&quot;:&quot;98652407-819c-3ecc-8802-3200dece5106&quot;,&quot;title&quot;:&quot;Institutional Logics in the UK Construction Industry’s Response to Modern Slavery Risk: Complementarity and Conflict&quot;,&quot;author&quot;:[{&quot;family&quot;:&quot;Pesterfield&quot;,&quot;given&quot;:&quot;Christopher&quot;,&quot;parse-names&quot;:false,&quot;dropping-particle&quot;:&quot;&quot;,&quot;non-dropping-particle&quot;:&quot;&quot;},{&quot;family&quot;:&quot;Rogerson&quot;,&quot;given&quot;:&quot;Michael&quot;,&quot;parse-names&quot;:false,&quot;dropping-particle&quot;:&quot;&quot;,&quot;non-dropping-particle&quot;:&quot;&quot;}],&quot;container-title&quot;:&quot;Journal of Business Ethics&quot;,&quot;DOI&quot;:&quot;10.1007/s10551-023-05455-4&quot;,&quot;ISSN&quot;:&quot;15730697&quot;,&quot;issued&quot;:{&quot;date-parts&quot;:[[2024,4,1]]},&quot;page&quot;:&quot;59-75&quot;,&quot;abstract&quot;:&quot;There is a growing understanding that modern slavery is a phenomenon ‘hidden in plain sight’ in the home countries of multinational firms. Yet, business scholarship on modern slavery has so far focussed on product supply chains. To address this, we direct attention to the various institutional pressures on the UK construction industry, and managers of firms within it, around modern slavery risk for on-site labour. Based on a unique data set of 30 in-depth interviews with construction firm managers and directors, we identify two institutional logics as being integral to explaining how these companies have responded to the Modern Slavery Act: a market logic and a state logic. While the institutional logics literature largely assumes that institutional complexity will lead to a conciliation of multiple logics, we find both complementarity and continued conflict in the logics in our study. Though we identify conciliation between aspects of the market logic and the state logic, conflict remains as engagement with actions which could potentially address modern slavery is limited by the trade-offs between the two logics.&quot;,&quot;publisher&quot;:&quot;Springer Science and Business Media B.V.&quot;,&quot;issue&quot;:&quot;1&quot;,&quot;volume&quot;:&quot;191&quot;,&quot;container-title-short&quot;:&quot;&quot;},&quot;isTemporary&quot;:false}],&quot;citationTag&quot;:&quot;MENDELEY_CITATION_v3_eyJjaXRhdGlvbklEIjoiTUVOREVMRVlfQ0lUQVRJT05fNDUyNzBjN2UtMWFiMi00OGZkLWI0ZTgtY2YwZDIzMzVmN2Y3IiwicHJvcGVydGllcyI6eyJub3RlSW5kZXgiOjB9LCJpc0VkaXRlZCI6ZmFsc2UsIm1hbnVhbE92ZXJyaWRlIjp7ImlzTWFudWFsbHlPdmVycmlkZGVuIjpmYWxzZSwiY2l0ZXByb2NUZXh0IjoiKFBlc3RlcmZpZWxkIGFuZCBSb2dlcnNvbiwgMjAyNDsgVmlkYWwgPGk+ZXQgYWwuPC9pPiwgMjAyMykiLCJtYW51YWxPdmVycmlkZVRleHQiOiIifSwiY2l0YXRpb25JdGVtcyI6W3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&quot;},{&quot;citationID&quot;:&quot;MENDELEY_CITATION_cac95f35-a802-4a6c-9afe-33559276b457&quot;,&quot;properties&quot;:{&quot;noteIndex&quot;:0},&quot;isEdited&quot;:false,&quot;manualOverride&quot;:{&quot;isManuallyOverridden&quot;:true,&quot;citeprocText&quot;:&quot;(Lopatta &lt;i&gt;et al.&lt;/i&gt;, 2023)&quot;,&quot;manualOverrideText&quot;:&quot;Lopatta et al. (2023)&quot;},&quot;citationItems&quot;:[{&quot;id&quot;:&quot;d336c6f2-4f18-35b7-96e8-7451b44cac51&quot;,&quot;itemData&quot;:{&quot;type&quot;:&quot;article-journal&quot;,&quot;id&quot;:&quot;d336c6f2-4f18-35b7-96e8-7451b44cac51&quot;,&quot;title&quot;:&quot;The current state of corporate human rights disclosure of the global top 500 business enterprises: Measurement and determinants&quot;,&quot;author&quot;:[{&quot;family&quot;:&quot;Lopatta&quot;,&quot;given&quot;:&quot;Kerstin&quot;,&quot;parse-names&quot;:false,&quot;dropping-particle&quot;:&quot;&quot;,&quot;non-dropping-particle&quot;:&quot;&quot;},{&quot;family&quot;:&quot;Tideman&quot;,&quot;given&quot;:&quot;Sebastian A.&quot;,&quot;parse-names&quot;:false,&quot;dropping-particle&quot;:&quot;&quot;,&quot;non-dropping-particle&quot;:&quot;&quot;},{&quot;family&quot;:&quot;Scheil&quot;,&quot;given&quot;:&quot;Carolin&quot;,&quot;parse-names&quot;:false,&quot;dropping-particle&quot;:&quot;&quot;,&quot;non-dropping-particle&quot;:&quot;&quot;},{&quot;family&quot;:&quot;Makarem&quot;,&quot;given&quot;:&quot;Naser&quot;,&quot;parse-names&quot;:false,&quot;dropping-particle&quot;:&quot;&quot;,&quot;non-dropping-particle&quot;:&quot;&quot;}],&quot;container-title&quot;:&quot;Critical Perspectives on Accounting&quot;,&quot;DOI&quot;:&quot;10.1016/j.cpa.2022.102512&quot;,&quot;ISSN&quot;:&quot;10959955&quot;,&quot;issued&quot;:{&quot;date-parts&quot;:[[2023,11,1]]},&quot;abstract&quot;:&quot;This study contributes to the ongoing debate on business and human rights by providing insight into the current state and determinants of corporate human rights disclosures among the top 500 largest business enterprises worldwide. To do so, we use a 13-item human rights disclosure score to evaluate disclosure in two dimensions: scope and quality. Overall, the measured global level of corporate human rights disclosure is low, with business enterprises scoring on average only 3.72 out of 13 points. This indicates a lack of transparency, awareness, and sensitivity regarding corporate responsibility to respect human rights as described in the United Nations Guiding Principles on Business and Human Rights. However, there are considerable differences across countries. The higher-scoring business enterprises are predominantly based in Australia and Europe. Multivariate analyses reveal that corporate visibility, sector sensitivity in terms of higher litigation risk, and institutional pressure in the form of soft law are positively associated with corporate human rights disclosure levels. However, we find that current forms of national mandatory regulation do not achieve the desired impact on high-quality corporate human rights disclosure, which suggests more targeted and concrete reporting requirements as well as better enforcement may be necessary to improve corporate human rights disclosures.&quot;,&quot;publisher&quot;:&quot;Academic Press&quot;,&quot;volume&quot;:&quot;96&quot;,&quot;container-title-short&quot;:&quot;&quot;},&quot;isTemporary&quot;:false}],&quot;citationTag&quot;:&quot;MENDELEY_CITATION_v3_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&quot;},{&quot;citationID&quot;:&quot;MENDELEY_CITATION_006d937e-371d-436f-abae-eddaadf9c163&quot;,&quot;properties&quot;:{&quot;noteIndex&quot;:0},&quot;isEdited&quot;:false,&quot;manualOverride&quot;:{&quot;isManuallyOverridden&quot;:true,&quot;citeprocText&quot;:&quot;(Khan &lt;i&gt;et al.&lt;/i&gt;, 2016)&quot;,&quot;manualOverrideText&quot;:&quot;Khan et al (2016)&quot;},&quot;citationItems&quot;:[{&quot;id&quot;:&quot;2bdca86d-8efb-30df-94d2-e092836df124&quot;,&quot;itemData&quot;:{&quot;type&quot;:&quot;article&quot;,&quot;id&quot;:&quot;2bdca86d-8efb-30df-94d2-e092836df124&quot;,&quot;title&quot;:&quot;Corporate sustainability: First evidence on materiality&quot;,&quot;author&quot;:[{&quot;family&quot;:&quot;Khan&quot;,&quot;given&quot;:&quot;Mozaffar&quot;,&quot;parse-names&quot;:false,&quot;dropping-particle&quot;:&quot;&quot;,&quot;non-dropping-particle&quot;:&quot;&quot;},{&quot;family&quot;:&quot;Serafeim&quot;,&quot;given&quot;:&quot;George&quot;,&quot;parse-names&quot;:false,&quot;dropping-particle&quot;:&quot;&quot;,&quot;non-dropping-particle&quot;:&quot;&quot;},{&quot;family&quot;:&quot;Yoon&quot;,&quot;given&quot;:&quot;Aaron&quot;,&quot;parse-names&quot;:false,&quot;dropping-particle&quot;:&quot;&quot;,&quot;non-dropping-particle&quot;:&quot;&quot;}],&quot;container-title&quot;:&quot;Accounting Review&quot;,&quot;DOI&quot;:&quot;10.2308/accr-51383&quot;,&quot;ISSN&quot;:&quot;00014826&quot;,&quot;issued&quot;:{&quot;date-parts&quot;:[[2016,11,1]]},&quot;page&quot;:&quot;1697-1724&quot;,&quot;abstract&quot;:&quot;Using newly available materiality classifications of sustainability topics, we develop a novel dataset by hand-mapping sustainability investments classified as material for each industry into firm-specific sustainability ratings. This allows us to present new evidence on the value implications of sustainability investments. Using both calendar-time portfolio stock return regressions and firm-level panel regressions, we find that firms with good ratings on material sustainability issues significantly outperform firms with poor ratings on these issues. In contrast, firms with good ratings on immaterial sustainability issues do not significantly outperform firms with poor ratings on the same issues. These results are confirmed when we analyze future changes in accounting performance. The results have implications for asset managers who have committed to the integration of sustainability factors in their capital allocation decisions.&quot;,&quot;publisher&quot;:&quot;American Accounting Association&quot;,&quot;issue&quot;:&quot;6&quot;,&quot;volume&quot;:&quot;91&quot;,&quot;container-title-short&quot;:&quot;&quot;},&quot;isTemporary&quot;:false}],&quot;citationTag&quot;:&quot;MENDELEY_CITATION_v3_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&quot;},{&quot;citationID&quot;:&quot;MENDELEY_CITATION_d83f4273-65a4-49ca-a938-d2205f4bcae8&quot;,&quot;properties&quot;:{&quot;noteIndex&quot;:0},&quot;isEdited&quot;:false,&quot;manualOverride&quot;:{&quot;isManuallyOverridden&quot;:false,&quot;citeprocText&quot;:&quot;(Adams and Ferreira, 2009; Al-Shaer &lt;i&gt;et al.&lt;/i&gt;, 2024)&quot;,&quot;manualOverrideText&quot;:&quot;&quot;},&quot;citationItems&quot;:[{&quot;id&quot;:&quot;89611289-19f6-381d-a5bd-5a87c1f5e250&quot;,&quot;itemData&quot;:{&quot;type&quot;:&quot;article-journal&quot;,&quot;id&quot;:&quot;89611289-19f6-381d-a5bd-5a87c1f5e250&quot;,&quot;title&quot;:&quot;Women in the boardroom and their impact on governance and performance&quot;,&quot;author&quot;:[{&quot;family&quot;:&quot;Adams&quot;,&quot;given&quot;:&quot;Renée B.&quot;,&quot;parse-names&quot;:false,&quot;dropping-particle&quot;:&quot;&quot;,&quot;non-dropping-particle&quot;:&quot;&quot;},{&quot;family&quot;:&quot;Ferreira&quot;,&quot;given&quot;:&quot;Daniel&quot;,&quot;parse-names&quot;:false,&quot;dropping-particle&quot;:&quot;&quot;,&quot;non-dropping-particle&quot;:&quot;&quot;}],&quot;container-title&quot;:&quot;Journal of Financial Economics&quot;,&quot;container-title-short&quot;:&quot;J financ econ&quot;,&quot;DOI&quot;:&quot;10.1016/j.jfineco.2008.10.007&quot;,&quot;ISSN&quot;:&quot;0304405X&quot;,&quot;issued&quot;:{&quot;date-parts&quot;:[[2009,11]]},&quot;page&quot;:&quot;291-309&quot;,&quot;abstract&quot;:&quot;We show that female directors have a significant impact on board inputs and firm outcomes. In a sample of US firms, we find that female directors have better attendance records than male directors, male directors have fewer attendance problems the more gender-diverse the board is, and women are more likely to join monitoring committees. These results suggest that gender-diverse boards allocate more effort to monitoring. Accordingly, we find that chief executive officer turnover is more sensitive to stock performance and directors receive more equity-based compensation in firms with more gender-diverse boards. However, the average effect of gender diversity on firm performance is negative. This negative effect is driven by companies with fewer takeover defenses. Our results suggest that mandating gender quotas for directors can reduce firm value for well-governed firms. © 2009 Elsevier B.V. All rights reserved.&quot;,&quot;issue&quot;:&quot;2&quot;,&quot;volume&quot;:&quot;94&quot;},&quot;isTemporary&quot;:false},{&quot;id&quot;:&quot;270c2e56-4615-3bb3-b37b-b76ab3b88576&quot;,&quot;itemData&quot;:{&quot;type&quot;:&quot;article-journal&quot;,&quot;id&quot;:&quot;270c2e56-4615-3bb3-b37b-b76ab3b88576&quot;,&quot;title&quot;:&quot;CEO gender, critical mass of board gender diversity and ESG performance: UK evidence&quot;,&quot;author&quot;:[{&quot;family&quot;:&quot;Al-Shaer&quot;,&quot;given&quot;:&quot;Habiba&quot;,&quot;parse-names&quot;:false,&quot;dropping-particle&quot;:&quot;&quot;,&quot;non-dropping-particle&quot;:&quot;&quot;},{&quot;family&quot;:&quot;Zaman&quot;,&quot;given&quot;:&quot;Mahbub&quot;,&quot;parse-names&quot;:false,&quot;dropping-particle&quot;:&quot;&quot;,&quot;non-dropping-particle&quot;:&quot;&quot;},{&quot;family&quot;:&quot;Albitar&quot;,&quot;given&quot;:&quot;Khaldoon&quot;,&quot;parse-names&quot;:false,&quot;dropping-particle&quot;:&quot;&quot;,&quot;non-dropping-particle&quot;:&quot;&quot;}],&quot;container-title&quot;:&quot;Journal of Accounting Literature&quot;,&quot;DOI&quot;:&quot;10.1108/JAL-10-2023-0181&quot;,&quot;ISSN&quot;:&quot;07374607&quot;,&quot;issued&quot;:{&quot;date-parts&quot;:[[2024]]},&quot;abstract&quot;:&quot;Purpose: This study investigates the relationship between CEO leadership, gender homophily and corporate environmental, social and governance (ESG) performance. We also investigate whether it is essential to have a critical mass of women directors on the board to create a significant power of gender diversity in leadership positions. Design/methodology/approach: Our study is based on firms listed on the London Stock Exchange (FTSE-All-Share) from 2011 to 2019. CEO characteristics and other board variables were collected from BoardEx, and ESG data, and other related variables were collected from Eikon database. Findings: We find a critical mass of female directors contributes to ESG performance suggesting that token representation of female directors on boards limits their effectiveness. We do not find support for the gender homophily perspective, our findings suggest that the effectiveness of female CEOs does not depend on the existence of a critical mass of female directors. Female directors and female CEOs are less likely to be associated with ESG activities when firms experience poor financial performance. We also find that younger female CEOs have a positive impact on ESG performance. Furthermore, we find female CEOs with shorter tenure are more likely to improve ESG performance. Overall, our findings suggest a substitutional effect between having female CEOs and gender diverse boards. Originality/value: This study contributes to the debate on gender homophily in the boardroom and how that may affect ESG practices. It also complements existing academic research on female leadership and ESG performance and has important implications for senior management and policymakers.&quot;,&quot;publisher&quot;:&quot;Emerald Publishing&quot;,&quot;container-title-short&quot;:&quot;&quot;},&quot;isTemporary&quot;:false}],&quot;citationTag&quot;:&quot;MENDELEY_CITATION_v3_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&quot;},{&quot;citationID&quot;:&quot;MENDELEY_CITATION_14b15b5a-d449-427a-92c7-9a622eae7af4&quot;,&quot;properties&quot;:{&quot;noteIndex&quot;:0},&quot;isEdited&quot;:false,&quot;manualOverride&quot;:{&quot;isManuallyOverridden&quot;:false,&quot;citeprocText&quot;:&quot;(De Masi &lt;i&gt;et al.&lt;/i&gt;, 2021; Ntim and Soobaroyen, 2013)&quot;,&quot;manualOverrideText&quot;:&quot;&quot;},&quot;citationItems&quot;:[{&quot;id&quot;:&quot;db496385-4be4-397c-a083-729b78f16420&quot;,&quot;itemData&quot;:{&quot;type&quot;:&quot;article-journal&quot;,&quot;id&quot;:&quot;db496385-4be4-397c-a083-729b78f16420&quot;,&quot;title&quot;:&quot;Toward sustainable corporate behavior: The effect of the critical mass of female directors on environmental, social, and governance disclosure&quot;,&quot;author&quot;:[{&quot;family&quot;:&quot;Masi&quot;,&quot;given&quot;:&quot;Sara&quot;,&quot;parse-names&quot;:false,&quot;dropping-particle&quot;:&quot;&quot;,&quot;non-dropping-particle&quot;:&quot;De&quot;},{&quot;family&quot;:&quot;Słomka-Gołębiowska&quot;,&quot;given&quot;:&quot;Agnieszka&quot;,&quot;parse-names&quot;:false,&quot;dropping-particle&quot;:&quot;&quot;,&quot;non-dropping-particle&quot;:&quot;&quot;},{&quot;family&quot;:&quot;Becagli&quot;,&quot;given&quot;:&quot;Claudio&quot;,&quot;parse-names&quot;:false,&quot;dropping-particle&quot;:&quot;&quot;,&quot;non-dropping-particle&quot;:&quot;&quot;},{&quot;family&quot;:&quot;Paci&quot;,&quot;given&quot;:&quot;Andrea&quot;,&quot;parse-names&quot;:false,&quot;dropping-particle&quot;:&quot;&quot;,&quot;non-dropping-particle&quot;:&quot;&quot;}],&quot;container-title&quot;:&quot;Business Strategy and the Environment&quot;,&quot;container-title-short&quot;:&quot;Bus Strategy Environ&quot;,&quot;accessed&quot;:{&quot;date-parts&quot;:[[2022,9,1]]},&quot;ISSN&quot;:&quot;1099-0836&quot;,&quot;URL&quot;:&quot;https://onlinelibrary.wiley.com/doi/full/10.1002/bse.2721&quot;,&quot;issued&quot;:{&quot;date-parts&quot;:[[2021,5,1]]},&quot;page&quot;:&quot;1865-1878&quot;,&quot;abstract&quot;:&quot;Boards of directors have recently become more attentive to their stakeholders' concerns, providing more transparent information and adopting more sustainable business strategies. This study investigates the influence of a critical mass of women on boards on the environmental, social, and governance (ESG) disclosure score and its three components separately. Using a sample of the FTSE-MIB listed companies in the 2005–2017 period, we show that reaching a critical mass of female board members—going from one or two women to at least three—enhances the level of ESG disclosure. The results also show that the critical mass of female board members has a positive influence on every component of the ESG score, with the highest contribution of women reaching the governance score. These findings provide insights to shareholders and policymakers and suggest that a critical mass of female board members is particularly effective in improving transparency, and it can be seen as a mechanism to transit to stakeholder governance, fostering more sustainable behavior in firms.&quot;,&quot;publisher&quot;:&quot;John Wiley &amp; Sons, Ltd&quot;,&quot;issue&quot;:&quot;4&quot;,&quot;volume&quot;:&quot;30&quot;},&quot;isTemporary&quot;:false},{&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citationTag&quot;:&quot;MENDELEY_CITATION_v3_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&quot;},{&quot;citationID&quot;:&quot;MENDELEY_CITATION_e000432f-81e1-4275-9ecc-0363dedaa770&quot;,&quot;properties&quot;:{&quot;noteIndex&quot;:0},&quot;isEdited&quot;:false,&quot;manualOverride&quot;:{&quot;isManuallyOverridden&quot;:false,&quot;citeprocText&quot;:&quot;(Al-Shaer &lt;i&gt;et al.&lt;/i&gt;, 2024; Hoang &lt;i&gt;et al.&lt;/i&gt;, 2023)&quot;,&quot;manualOverrideText&quot;:&quot;&quot;},&quot;citationItems&quot;:[{&quot;id&quot;:&quot;18ad8182-015e-3932-9530-5094029f0016&quot;,&quot;itemData&quot;:{&quot;type&quot;:&quot;article-journal&quot;,&quot;id&quot;:&quot;18ad8182-015e-3932-9530-5094029f0016&quot;,&quot;title&quot;:&quot;Does country sustainability improve firm ESG reporting transparency? The moderating role of firm industry and CSR engagement&quot;,&quot;author&quot;:[{&quot;family&quot;:&quot;Hoang&quot;,&quot;given&quot;:&quot;Thi Hong&quot;,&quot;parse-names&quot;:false,&quot;dropping-particle&quot;:&quot;Van&quot;,&quot;non-dropping-particle&quot;:&quot;&quot;},{&quot;family&quot;:&quot;Pham&quot;,&quot;given&quot;:&quot;Linh&quot;,&quot;parse-names&quot;:false,&quot;dropping-particle&quot;:&quot;&quot;,&quot;non-dropping-particle&quot;:&quot;&quot;},{&quot;family&quot;:&quot;Nguyen&quot;,&quot;given&quot;:&quot;Thanh Thi Phuong&quot;,&quot;parse-names&quot;:false,&quot;dropping-particle&quot;:&quot;&quot;,&quot;non-dropping-particle&quot;:&quot;&quot;}],&quot;container-title&quot;:&quot;Economic Modelling&quot;,&quot;container-title-short&quot;:&quot;Econ Model&quot;,&quot;DOI&quot;:&quot;10.1016/j.econmod.2023.106351&quot;,&quot;ISSN&quot;:&quot;02649993&quot;,&quot;issued&quot;:{&quot;date-parts&quot;:[[2023,8,1]]},&quot;abstract&quot;:&quot;Sustainable development is a crucial topic of public debate, and the private sector is essential to achieving the United Nations' 17 Sustainable Development Goals (SDGs). Previous research has shown that Environmental, Social, and Governance (ESG) reporting can encourage firms to better integrate sustainability in their strategy. In such context, this study investigates the relationship between a country's SDG achievements and firms' engagement in ESG reporting by analysing a large sample of 1327 firms in 14 countries from 2016 to 2020. Our main finding reveals a significant positive relationship between a country's SDG achievement and firms' ESG disclosure transparency scores. This effect is particularly strong for firms in light industries, firms with a higher Corporate Social Responsibility (CSR) engagement, and those with the presence of women on their boards of directors. We conducted multiple sensitivity analyses, and our findings are robust, which can provide useful recommendations for firms, investors, and policymakers.&quot;,&quot;publisher&quot;:&quot;Elsevier B.V.&quot;,&quot;volume&quot;:&quot;125&quot;},&quot;isTemporary&quot;:false},{&quot;id&quot;:&quot;270c2e56-4615-3bb3-b37b-b76ab3b88576&quot;,&quot;itemData&quot;:{&quot;type&quot;:&quot;article-journal&quot;,&quot;id&quot;:&quot;270c2e56-4615-3bb3-b37b-b76ab3b88576&quot;,&quot;title&quot;:&quot;CEO gender, critical mass of board gender diversity and ESG performance: UK evidence&quot;,&quot;author&quot;:[{&quot;family&quot;:&quot;Al-Shaer&quot;,&quot;given&quot;:&quot;Habiba&quot;,&quot;parse-names&quot;:false,&quot;dropping-particle&quot;:&quot;&quot;,&quot;non-dropping-particle&quot;:&quot;&quot;},{&quot;family&quot;:&quot;Zaman&quot;,&quot;given&quot;:&quot;Mahbub&quot;,&quot;parse-names&quot;:false,&quot;dropping-particle&quot;:&quot;&quot;,&quot;non-dropping-particle&quot;:&quot;&quot;},{&quot;family&quot;:&quot;Albitar&quot;,&quot;given&quot;:&quot;Khaldoon&quot;,&quot;parse-names&quot;:false,&quot;dropping-particle&quot;:&quot;&quot;,&quot;non-dropping-particle&quot;:&quot;&quot;}],&quot;container-title&quot;:&quot;Journal of Accounting Literature&quot;,&quot;DOI&quot;:&quot;10.1108/JAL-10-2023-0181&quot;,&quot;ISSN&quot;:&quot;07374607&quot;,&quot;issued&quot;:{&quot;date-parts&quot;:[[2024]]},&quot;abstract&quot;:&quot;Purpose: This study investigates the relationship between CEO leadership, gender homophily and corporate environmental, social and governance (ESG) performance. We also investigate whether it is essential to have a critical mass of women directors on the board to create a significant power of gender diversity in leadership positions. Design/methodology/approach: Our study is based on firms listed on the London Stock Exchange (FTSE-All-Share) from 2011 to 2019. CEO characteristics and other board variables were collected from BoardEx, and ESG data, and other related variables were collected from Eikon database. Findings: We find a critical mass of female directors contributes to ESG performance suggesting that token representation of female directors on boards limits their effectiveness. We do not find support for the gender homophily perspective, our findings suggest that the effectiveness of female CEOs does not depend on the existence of a critical mass of female directors. Female directors and female CEOs are less likely to be associated with ESG activities when firms experience poor financial performance. We also find that younger female CEOs have a positive impact on ESG performance. Furthermore, we find female CEOs with shorter tenure are more likely to improve ESG performance. Overall, our findings suggest a substitutional effect between having female CEOs and gender diverse boards. Originality/value: This study contributes to the debate on gender homophily in the boardroom and how that may affect ESG practices. It also complements existing academic research on female leadership and ESG performance and has important implications for senior management and policymakers.&quot;,&quot;publisher&quot;:&quot;Emerald Publishing&quot;,&quot;container-title-short&quot;:&quot;&quot;},&quot;isTemporary&quot;:false}],&quot;citationTag&quot;:&quot;MENDELEY_CITATION_v3_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&quot;},{&quot;citationID&quot;:&quot;MENDELEY_CITATION_619d2da9-2d94-44da-a3e1-7f7cac58f668&quot;,&quot;properties&quot;:{&quot;noteIndex&quot;:0},&quot;isEdited&quot;:false,&quot;manualOverride&quot;:{&quot;isManuallyOverridden&quot;:false,&quot;citeprocText&quot;:&quot;(Terjesen &lt;i&gt;et al.&lt;/i&gt;, 2016)&quot;,&quot;manualOverrideText&quot;:&quot;&quot;},&quot;citationItems&quot;:[{&quot;id&quot;:&quot;36f0f8b2-4edf-3ba3-8645-3416181ad4ea&quot;,&quot;itemData&quot;:{&quot;type&quot;:&quot;article-journal&quot;,&quot;id&quot;:&quot;36f0f8b2-4edf-3ba3-8645-3416181ad4ea&quot;,&quot;title&quot;:&quot;Does the presence of independent and female directors impact firm performance? A multi-country study of board diversity&quot;,&quot;author&quot;:[{&quot;family&quot;:&quot;Terjesen&quot;,&quot;given&quot;:&quot;Siri&quot;,&quot;parse-names&quot;:false,&quot;dropping-particle&quot;:&quot;&quot;,&quot;non-dropping-particle&quot;:&quot;&quot;},{&quot;family&quot;:&quot;Couto&quot;,&quot;given&quot;:&quot;Eduardo Barbosa&quot;,&quot;parse-names&quot;:false,&quot;dropping-particle&quot;:&quot;&quot;,&quot;non-dropping-particle&quot;:&quot;&quot;},{&quot;family&quot;:&quot;Francisco&quot;,&quot;given&quot;:&quot;Paulo Morais&quot;,&quot;parse-names&quot;:false,&quot;dropping-particle&quot;:&quot;&quot;,&quot;non-dropping-particle&quot;:&quot;&quot;}],&quot;container-title&quot;:&quot;Journal of Management and Governance&quot;,&quot;DOI&quot;:&quot;10.1007/s10997-014-9307-8&quot;,&quot;ISSN&quot;:&quot;13853457&quot;,&quot;issued&quot;:{&quot;date-parts&quot;:[[2016,9,1]]},&quot;page&quot;:&quot;447-483&quot;,&quot;abstract&quot;:&quot;This study empirically analyzes whether gender diversity enhances boards of directors’ independence and efficiency. Using data from 3,876 public firms in 47 countries and controlling for a wide set of corporate governance mechanisms, we find that firms with more female directors have higher firm performance by market (Tobin’s Q) and accounting (return on assets) measures. The results also suggest that external independent directors do not contribute to firm performance unless the board is gender diversified. These results hold with respect to different estimation models and robustness tests. Overall, our findings provide evidence that the female directors enhance boards of directors’ effectiveness. Finally, we find that firms that are concerned with board independence, and that firms in more complex environments are more likely to have gender-balanced boards.&quot;,&quot;publisher&quot;:&quot;Springer New York LLC&quot;,&quot;issue&quot;:&quot;3&quot;,&quot;volume&quot;:&quot;20&quot;,&quot;container-title-short&quot;:&quot;&quot;},&quot;isTemporary&quot;:false}],&quot;citationTag&quot;:&quot;MENDELEY_CITATION_v3_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&quot;},{&quot;citationID&quot;:&quot;MENDELEY_CITATION_d44e76ff-5024-4d5c-b180-bfc0a613aa0d&quot;,&quot;properties&quot;:{&quot;noteIndex&quot;:0},&quot;isEdited&quot;:false,&quot;manualOverride&quot;:{&quot;isManuallyOverridden&quot;:false,&quot;citeprocText&quot;:&quot;(Johannsdottir &lt;i&gt;et al.&lt;/i&gt;, 2025; Rogerson &lt;i&gt;et al.&lt;/i&gt;, 2020; Shaukat &lt;i&gt;et al.&lt;/i&gt;, 2016)&quot;,&quot;manualOverrideText&quot;:&quot;&quot;},&quot;citationItems&quot;:[{&quot;id&quot;:&quot;27acae37-8bfd-3dd0-a6ff-a103be838eda&quot;,&quot;itemData&quot;:{&quot;type&quot;:&quot;article-journal&quot;,&quot;id&quot;:&quot;27acae37-8bfd-3dd0-a6ff-a103be838eda&quot;,&quot;title&quot;:&quot;Board Attributes, Corporate Social Responsibility Strategy, and Corporate Environmental and Social Performance&quot;,&quot;author&quot;:[{&quot;family&quot;:&quot;Shaukat&quot;,&quot;given&quot;:&quot;Amama&quot;,&quot;parse-names&quot;:false,&quot;dropping-particle&quot;:&quot;&quot;,&quot;non-dropping-particle&quot;:&quot;&quot;},{&quot;family&quot;:&quot;Qiu&quot;,&quot;given&quot;:&quot;Yan&quot;,&quot;parse-names&quot;:false,&quot;dropping-particle&quot;:&quot;&quot;,&quot;non-dropping-particle&quot;:&quot;&quot;},{&quot;family&quot;:&quot;Trojanowski&quot;,&quot;given&quot;:&quot;Grzegorz&quot;,&quot;parse-names&quot;:false,&quot;dropping-particle&quot;:&quot;&quot;,&quot;non-dropping-particle&quot;:&quot;&quot;}],&quot;container-title&quot;:&quot; Journal of Business Ethics&quot;,&quot;accessed&quot;:{&quot;date-parts&quot;:[[2022,7,26]]},&quot;issued&quot;:{&quot;date-parts&quot;:[[2016]]},&quot;page&quot;:&quot;569-585&quot;,&quot;abstract&quot;:&quot;In this paper, we draw on insights from theories in the management and corporate governance literature to develop a theoretical model that makes explicit the links between a firm's corporate social responsibility (CSR) related board attributes, its board CSR strategy, and its environmental and social performance. We then test the model using structural equation modeling approach. We find that the greater the CSR orientation of the board (as measured by the board's independence, gender diversity, and financial expertise on audit committee), the more proactive and comprehensive the firm's CSR strategy, and the higher its environmental and social performance. Moreover, we find this link to be endogenous and self-reinforcing, with superior CSR performers tending to further strengthen their board CSR orientation. This result while positive is also suggestive of the widening of the gap between the leads and laggards in CSR. Therefore, the question arises as to how 'leaders' are using their superior CSR competencies seen by many scholars as a source of corporate (at times unfair) competitive advantage. Stake-holders of corporations therefore need to be cognizant of this aspect of CSR when evaluating a firm's CSR activities. Policy makers also need to be cognizant of these concerns when designing regulation in this field. Keywords Board of directors Á Corporate governance Á Corporate social responsibility (CSR) Á Resource based view (RBV) Á Resource dependence theory (RDT) Á Structural equation modeling (SEM)&quot;,&quot;issue&quot;:&quot;3&quot;,&quot;volume&quot;:&quot;135&quot;,&quot;container-title-short&quot;:&quot;&quot;},&quot;isTemporary&quot;:false},{&quot;id&quot;:&quot;3f3f7536-429b-38f2-aa6e-eab2e80e3f4f&quot;,&quot;itemData&quot;:{&quot;type&quot;:&quot;article-journal&quot;,&quot;id&quot;:&quot;3f3f7536-429b-38f2-aa6e-eab2e80e3f4f&quot;,&quot;title&quot;:&quot;Organisational responses to mandatory modern slavery disclosure legislation: a failure of experimentalist governance?&quot;,&quot;author&quot;:[{&quot;family&quot;:&quot;Rogerson&quot;,&quot;given&quot;:&quot;Michael&quot;,&quot;parse-names&quot;:false,&quot;dropping-particle&quot;:&quot;&quot;,&quot;non-dropping-particle&quot;:&quot;&quot;},{&quot;family&quot;:&quot;Crane&quot;,&quot;given&quot;:&quot;Andrew&quot;,&quot;parse-names&quot;:false,&quot;dropping-particle&quot;:&quot;&quot;,&quot;non-dropping-particle&quot;:&quot;&quot;},{&quot;family&quot;:&quot;Soundararajan&quot;,&quot;given&quot;:&quot;Vivek&quot;,&quot;parse-names&quot;:false,&quot;dropping-particle&quot;:&quot;&quot;,&quot;non-dropping-particle&quot;:&quot;&quot;},{&quot;family&quot;:&quot;Grosvold&quot;,&quot;given&quot;:&quot;Johanne&quot;,&quot;parse-names&quot;:false,&quot;dropping-particle&quot;:&quot;&quot;,&quot;non-dropping-particle&quot;:&quot;&quot;},{&quot;family&quot;:&quot;Cho&quot;,&quot;given&quot;:&quot;Charles H.&quot;,&quot;parse-names&quot;:false,&quot;dropping-particle&quot;:&quot;&quot;,&quot;non-dropping-particle&quot;:&quot;&quot;}],&quot;container-title&quot;:&quot;Accounting, Auditing and Accountability Journal&quot;,&quot;DOI&quot;:&quot;10.1108/AAAJ-12-2019-4297&quot;,&quot;ISSN&quot;:&quot;09513574&quot;,&quot;issued&quot;:{&quot;date-parts&quot;:[[2020,10,20]]},&quot;page&quot;:&quot;1505-1534&quot;,&quot;abstract&quot;:&quot;Purpose: This paper investigates how organisations are responding to mandatory modern slavery disclosure legislation. Experimentalist governance suggests that organisations faced with disclosure requirements such as those contained in the UK Modern Slavery Act 2015 will compete with one another, and in doing so, improve compliance. The authors seek to understand whether this is the case. Design/methodology/approach: This study is set in the UK public sector. The authors conduct interviews with over 25% of UK universities that are within the scope of the UK Modern Slavery Act 2015 and examine their reporting and disclosure under that legislation. Findings: The authors find that, contrary to the logic of experimentalist governance, universities' disclosures as reflected in their modern slavery statements are persistently poor on detail, lack variation and have led to little meaningful action to tackle modern slavery. They show that this is due to a herding effect that results in universities responding as a sector rather than independently; a built-in incapacity to effectively manage supply chains; and insufficient attention to the issue at the board level. The authors also identity important boundary conditions of experimentalist governance. Research limitations/implications: The generalisability of the authors’ findings is restricted to the public sector. Practical implications: In contexts where disclosure under the UK Modern Slavery Act 2015 is not a core offering of the sector, and where competition is limited, there is little incentive to engage in a “race to the top” in terms of disclosure. As such, pro-forma compliance prevails and the effectiveness of disclosure as a tool to drive change in supply chains to safeguard workers is relatively ineffective. Instead, organisations must develop better knowledge of their supply chains and executives and a more critical eye for modern slavery to be combatted effectively. Accountants and their systems and skills can facilitate this development. Originality/value: This is the first investigation of the organisational processes and activities which underpin disclosures related to modern slavery disclosure legislation. This paper contributes to the accounting and disclosure modern slavery literature by investigating public sector organisations' processes, activities and responses to mandatory reporting legislation on modern slavery.&quot;,&quot;publisher&quot;:&quot;Emerald Group Holdings Ltd.&quot;,&quot;issue&quot;:&quot;7&quot;,&quot;volume&quot;:&quot;33&quot;,&quot;container-title-short&quot;:&quot;&quot;},&quot;isTemporary&quot;:false},{&quot;id&quot;:&quot;3c8f35d3-8517-3a8f-80f6-85449e2138f3&quot;,&quot;itemData&quot;:{&quot;type&quot;:&quot;article-journal&quot;,&quot;id&quot;:&quot;3c8f35d3-8517-3a8f-80f6-85449e2138f3&quot;,&quot;title&quot;:&quot;Governance, accountability, and sustainability in times of crisis: A strategic context&quot;,&quot;author&quot;:[{&quot;family&quot;:&quot;Johannsdottir&quot;,&quot;given&quot;:&quot;Lara&quot;,&quot;parse-names&quot;:false,&quot;dropping-particle&quot;:&quot;&quot;,&quot;non-dropping-particle&quot;:&quot;&quot;},{&quot;family&quot;:&quot;Gudmundsdottir&quot;,&quot;given&quot;:&quot;Svala&quot;,&quot;parse-names&quot;:false,&quot;dropping-particle&quot;:&quot;&quot;,&quot;non-dropping-particle&quot;:&quot;&quot;},{&quot;family&quot;:&quot;Sigurjonsson&quot;,&quot;given&quot;:&quot;Throstur Olaf&quot;,&quot;parse-names&quot;:false,&quot;dropping-particle&quot;:&quot;&quot;,&quot;non-dropping-particle&quot;:&quot;&quot;}],&quot;container-title&quot;:&quot;Corporate and Business Strategy Review&quot;,&quot;DOI&quot;:&quot;10.22495/cbsrv6i3siart15&quot;,&quot;ISSN&quot;:&quot;27084965&quot;,&quot;URL&quot;:&quot;https://virtusinterpress.org/Governance-accountability-and-sustainability-in-times-of-crisis-A-strategic-context.html&quot;,&quot;issued&quot;:{&quot;date-parts&quot;:[[2025,9,11]]},&quot;page&quot;:&quot;390-400&quot;,&quot;abstract&quot;:&quot;&lt;p&gt;This research examines how an external shock affects accountability taken by a university, establishing firm governance to support stakeholders and, in that way, impacting sustainability reporting and university ranking. It adds to a growing literature on the relevance of universities’ sustainable development (Dwesini, 2023; Tridalestari &amp;amp; Prasetyo, 2024). This is a research of the University of Iceland (UI), where secondary data, such as UI’s pandemic-related announcements, the 2021 and 2022 sustainability reports, and Times Higher Education (THE) impact ranking data, are used to address the overall objectives of the research. This research explores how a university utilizes governance to integrate sustainability into its operations and prepare for future shocks, using lessons learned from responding to a pandemic. The relevant findings present how accountability can promote sustainable development and align with the Sustainable Development Goals (SDGs) and THE impact ranking, which is aligned with recent research findings (Gamit et al., 2024; Ncube, 2023; Rizki et al., 2023). This research has uncovered ties between social impact and sustainable performance. The findings highlight the negative impact of managerial discretion on higher education institutions (HEI), providing valuable insights for future improvements.&lt;/p&gt;&quot;,&quot;issue&quot;:&quot;3, special issue&quot;,&quot;volume&quot;:&quot;6&quot;,&quot;container-title-short&quot;:&quot;&quot;},&quot;isTemporary&quot;:false}],&quot;citationTag&quot;:&quot;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&quot;},{&quot;citationID&quot;:&quot;MENDELEY_CITATION_9bd3fafd-8b99-406a-9e42-1cd23b6a5bcf&quot;,&quot;properties&quot;:{&quot;noteIndex&quot;:0},&quot;isEdited&quot;:false,&quot;manualOverride&quot;:{&quot;isManuallyOverridden&quot;:true,&quot;citeprocText&quot;:&quot;(Khan &lt;i&gt;et al.&lt;/i&gt;, 2016)&quot;,&quot;manualOverrideText&quot;:&quot;Khan et al. (2016)&quot;},&quot;citationItems&quot;:[{&quot;id&quot;:&quot;2bdca86d-8efb-30df-94d2-e092836df124&quot;,&quot;itemData&quot;:{&quot;type&quot;:&quot;article&quot;,&quot;id&quot;:&quot;2bdca86d-8efb-30df-94d2-e092836df124&quot;,&quot;title&quot;:&quot;Corporate sustainability: First evidence on materiality&quot;,&quot;author&quot;:[{&quot;family&quot;:&quot;Khan&quot;,&quot;given&quot;:&quot;Mozaffar&quot;,&quot;parse-names&quot;:false,&quot;dropping-particle&quot;:&quot;&quot;,&quot;non-dropping-particle&quot;:&quot;&quot;},{&quot;family&quot;:&quot;Serafeim&quot;,&quot;given&quot;:&quot;George&quot;,&quot;parse-names&quot;:false,&quot;dropping-particle&quot;:&quot;&quot;,&quot;non-dropping-particle&quot;:&quot;&quot;},{&quot;family&quot;:&quot;Yoon&quot;,&quot;given&quot;:&quot;Aaron&quot;,&quot;parse-names&quot;:false,&quot;dropping-particle&quot;:&quot;&quot;,&quot;non-dropping-particle&quot;:&quot;&quot;}],&quot;container-title&quot;:&quot;Accounting Review&quot;,&quot;DOI&quot;:&quot;10.2308/accr-51383&quot;,&quot;ISSN&quot;:&quot;00014826&quot;,&quot;issued&quot;:{&quot;date-parts&quot;:[[2016,11,1]]},&quot;page&quot;:&quot;1697-1724&quot;,&quot;abstract&quot;:&quot;Using newly available materiality classifications of sustainability topics, we develop a novel dataset by hand-mapping sustainability investments classified as material for each industry into firm-specific sustainability ratings. This allows us to present new evidence on the value implications of sustainability investments. Using both calendar-time portfolio stock return regressions and firm-level panel regressions, we find that firms with good ratings on material sustainability issues significantly outperform firms with poor ratings on these issues. In contrast, firms with good ratings on immaterial sustainability issues do not significantly outperform firms with poor ratings on the same issues. These results are confirmed when we analyze future changes in accounting performance. The results have implications for asset managers who have committed to the integration of sustainability factors in their capital allocation decisions.&quot;,&quot;publisher&quot;:&quot;American Accounting Association&quot;,&quot;issue&quot;:&quot;6&quot;,&quot;volume&quot;:&quot;91&quot;,&quot;container-title-short&quot;:&quot;&quot;},&quot;isTemporary&quot;:false}],&quot;citationTag&quot;:&quot;MENDELEY_CITATION_v3_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&quot;},{&quot;citationID&quot;:&quot;MENDELEY_CITATION_75b978be-22eb-4a66-b9c9-b33adbc16271&quot;,&quot;properties&quot;:{&quot;noteIndex&quot;:0},&quot;isEdited&quot;:false,&quot;manualOverride&quot;:{&quot;isManuallyOverridden&quot;:false,&quot;citeprocText&quot;:&quot;(Crane &lt;i&gt;et al.&lt;/i&gt;, 2019; Shaukat &lt;i&gt;et al.&lt;/i&gt;, 2016)&quot;,&quot;manualOverrideText&quot;:&quot;&quot;},&quot;citationItems&quot;:[{&quot;id&quot;:&quot;27acae37-8bfd-3dd0-a6ff-a103be838eda&quot;,&quot;itemData&quot;:{&quot;type&quot;:&quot;article-journal&quot;,&quot;id&quot;:&quot;27acae37-8bfd-3dd0-a6ff-a103be838eda&quot;,&quot;title&quot;:&quot;Board Attributes, Corporate Social Responsibility Strategy, and Corporate Environmental and Social Performance&quot;,&quot;author&quot;:[{&quot;family&quot;:&quot;Shaukat&quot;,&quot;given&quot;:&quot;Amama&quot;,&quot;parse-names&quot;:false,&quot;dropping-particle&quot;:&quot;&quot;,&quot;non-dropping-particle&quot;:&quot;&quot;},{&quot;family&quot;:&quot;Qiu&quot;,&quot;given&quot;:&quot;Yan&quot;,&quot;parse-names&quot;:false,&quot;dropping-particle&quot;:&quot;&quot;,&quot;non-dropping-particle&quot;:&quot;&quot;},{&quot;family&quot;:&quot;Trojanowski&quot;,&quot;given&quot;:&quot;Grzegorz&quot;,&quot;parse-names&quot;:false,&quot;dropping-particle&quot;:&quot;&quot;,&quot;non-dropping-particle&quot;:&quot;&quot;}],&quot;container-title&quot;:&quot; Journal of Business Ethics&quot;,&quot;accessed&quot;:{&quot;date-parts&quot;:[[2022,7,26]]},&quot;issued&quot;:{&quot;date-parts&quot;:[[2016]]},&quot;page&quot;:&quot;569-585&quot;,&quot;abstract&quot;:&quot;In this paper, we draw on insights from theories in the management and corporate governance literature to develop a theoretical model that makes explicit the links between a firm's corporate social responsibility (CSR) related board attributes, its board CSR strategy, and its environmental and social performance. We then test the model using structural equation modeling approach. We find that the greater the CSR orientation of the board (as measured by the board's independence, gender diversity, and financial expertise on audit committee), the more proactive and comprehensive the firm's CSR strategy, and the higher its environmental and social performance. Moreover, we find this link to be endogenous and self-reinforcing, with superior CSR performers tending to further strengthen their board CSR orientation. This result while positive is also suggestive of the widening of the gap between the leads and laggards in CSR. Therefore, the question arises as to how 'leaders' are using their superior CSR competencies seen by many scholars as a source of corporate (at times unfair) competitive advantage. Stake-holders of corporations therefore need to be cognizant of this aspect of CSR when evaluating a firm's CSR activities. Policy makers also need to be cognizant of these concerns when designing regulation in this field. Keywords Board of directors Á Corporate governance Á Corporate social responsibility (CSR) Á Resource based view (RBV) Á Resource dependence theory (RDT) Á Structural equation modeling (SEM)&quot;,&quot;issue&quot;:&quot;3&quot;,&quot;volume&quot;:&quot;135&quot;,&quot;container-title-short&quot;:&quot;&quot;},&quot;isTemporary&quot;:false},{&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citationTag&quot;:&quot;MENDELEY_CITATION_v3_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XX0=&quot;},{&quot;citationID&quot;:&quot;MENDELEY_CITATION_7d45c081-5d05-41c6-a9a1-eb74e7c6d1f9&quot;,&quot;properties&quot;:{&quot;noteIndex&quot;:0},&quot;isEdited&quot;:false,&quot;manualOverride&quot;:{&quot;isManuallyOverridden&quot;:false,&quot;citeprocText&quot;:&quot;(DiMaggio and Powell, 1983; Helfaya &lt;i&gt;et al.&lt;/i&gt;, 2024)&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4f2ff78d-280b-3ef4-a01b-742b825beb4c&quot;,&quot;itemData&quot;:{&quot;type&quot;:&quot;article-journal&quot;,&quot;id&quot;:&quot;4f2ff78d-280b-3ef4-a01b-742b825beb4c&quot;,&quot;title&quot;:&quot;Greening the Workplace: Exploring the Influence of Corporate Sustainability Governance on Corporate Labour Rights in the Case of Indian Listed Companies for the Period of 2010 to 2021&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Shirley&quot;,&quot;parse-names&quot;:false,&quot;dropping-particle&quot;:&quot;&quot;,&quot;non-dropping-particle&quot;:&quot;&quot;}],&quot;container-title&quot;:&quot;Sustainability&quot;,&quot;container-title-short&quot;:&quot;Sustainability&quot;,&quot;DOI&quot;:&quot;10.3390/su16104004&quot;,&quot;ISSN&quot;:&quot;2071-1050&quot;,&quot;issued&quot;:{&quot;date-parts&quot;:[[2024,5,10]]},&quot;page&quot;:&quot;4004&quot;,&quot;abstract&quot;:&quot;&lt;p&gt;Amidst today’s globalized economy, embedding sustainable practices into corporate governance frameworks has become important. This era underscores a heightened focus on CSR and sustainability, drawing considerable scholarly and practical interest to the nexus of corporate governance, sustainability initiatives, and corporate labour rights (CLRs). Hence, this study investigates the relationship between corporate sustainability governance initiatives (CSGIs) and CLR practices in India. Despite regulatory efforts, issues such as modern slavery and low wages persist in the country. Drawing on legitimacy, agency, stakeholder, and resource dependency theories, this study examines how CSGIs influence CLR practices. Data from 1212 observations of top Indian listed companies between 2010 and 2021 indicate positive correlations between CSGI dimensions and CLR practices across industries and board CSR orientations. This research underscores the importance of CSGIs in promoting sustainable corporate practices and improving CLRs in emerging economies. It also aligns with the United Nations sustainable development goals (SDGs), particularly SDG 3, SDG 5, SDG 8, and SDG 10. By combining theoretical rigour with practical relevance, this study provides insights for businesses, policymakers, workers, investors, and CSR scholars, contributing to efforts to enhance CLRs in India and beyond. For instance, the study offers actionable guidance for businesses and policymakers aiming to improve CLR practices. It highlights the positive correlation between specific attributes of CSGIs and CLR practices, providing insights for corporate decision-making and emphasizing the importance of aligning operations with the UN’s sustainable development goals. The findings serve as critical decision-making tools for investors concerned with corporate sustainability governance and CLRs to identify ethically responsible companies and mitigate investment risks.&lt;/p&gt;&quot;,&quot;issue&quot;:&quot;10&quot;,&quot;volume&quot;:&quot;16&quot;},&quot;isTemporary&quot;:false}],&quot;citationTag&quot;:&quot;MENDELEY_CITATION_v3_eyJjaXRhdGlvbklEIjoiTUVOREVMRVlfQ0lUQVRJT05fN2Q0NWMwODEtNWQwNS00MWM2LWE5YTEtZWI3NGU3YzZkMWY5IiwicHJvcGVydGllcyI6eyJub3RlSW5kZXgiOjB9LCJpc0VkaXRlZCI6ZmFsc2UsIm1hbnVhbE92ZXJyaWRlIjp7ImlzTWFudWFsbHlPdmVycmlkZGVuIjpmYWxzZSwiY2l0ZXByb2NUZXh0IjoiKERpTWFnZ2lvIGFuZCBQb3dlbGwsIDE5ODM7IEhlbGZheWEgPGk+ZXQgYWwuPC9pPiwgMjAyNC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NGYyZmY3OGQtMjgwYi0zZWY0LWEwMWItNzQyYjgyNWJlYjRjIiwiaXRlbURhdGEiOnsidHlwZSI6ImFydGljbGUtam91cm5hbCIsImlkIjoiNGYyZmY3OGQtMjgwYi0zZWY0LWEwMWItNzQyYjgyNWJlYjRjIiwidGl0bGUiOiJHcmVlbmluZyB0aGUgV29ya3BsYWNlOiBFeHBsb3JpbmcgdGhlIEluZmx1ZW5jZSBvZiBDb3Jwb3JhdGUgU3VzdGFpbmFiaWxpdHkgR292ZXJuYW5jZSBvbiBDb3Jwb3JhdGUgTGFib3VyIFJpZ2h0cyBpbiB0aGUgQ2FzZSBvZiBJbmRpYW4gTGlzdGVkIENvbXBhbmllcyBmb3IgdGhlIFBlcmlvZCBvZiAyMDEwIHRvIDIwMjE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&quot;},{&quot;citationID&quot;:&quot;MENDELEY_CITATION_a4d4e782-aaee-4aa5-b4a6-d5aac1f8c526&quot;,&quot;properties&quot;:{&quot;noteIndex&quot;:0},&quot;isEdited&quot;:false,&quot;manualOverride&quot;:{&quot;isManuallyOverridden&quot;:false,&quot;citeprocText&quot;:&quot;(Nekhili &lt;i&gt;et al.&lt;/i&gt;, 2021; Young and Gad, 2022)&quot;,&quot;manualOverrideText&quot;:&quot;&quot;},&quot;citationItems&quot;:[{&quot;id&quot;:&quot;38773d4e-23d1-388d-9c83-5dfd0d8214af&quot;,&quot;itemData&quot;:{&quot;type&quot;:&quot;report&quot;,&quot;id&quot;:&quot;38773d4e-23d1-388d-9c83-5dfd0d8214af&quot;,&quot;title&quot;:&quot;Modern Slavery Reporting\nPractices in the UK: Evidence from Modern Slavery\nStatements and Annual Reports&quot;,&quot;author&quot;:[{&quot;family&quot;:&quot;Young&quot;,&quot;given&quot;:&quot;Steven&quot;,&quot;parse-names&quot;:false,&quot;dropping-particle&quot;:&quot;&quot;,&quot;non-dropping-particle&quot;:&quot;&quot;},{&quot;family&quot;:&quot;Gad&quot;,&quot;given&quot;:&quot;Mahmoud&quot;,&quot;parse-names&quot;:false,&quot;dropping-particle&quot;:&quot;&quot;,&quot;non-dropping-particle&quot;:&quot;&quot;}],&quot;issued&quot;:{&quot;date-parts&quot;:[[2022]]},&quot;number-of-pages&quot;:&quot;1-28&quot;,&quot;container-title-short&quot;:&quot;&quot;},&quot;isTemporary&quot;:false},{&quot;id&quot;:&quot;2f292206-e297-3fce-aaf8-dc1750c5f014&quot;,&quot;itemData&quot;:{&quot;type&quot;:&quot;article-journal&quot;,&quot;id&quot;:&quot;2f292206-e297-3fce-aaf8-dc1750c5f014&quot;,&quot;title&quot;:&quot;The ESG–financial performance relationship: Does the type of employee board representation matter?&quot;,&quot;author&quot;:[{&quot;family&quot;:&quot;Nekhili&quot;,&quot;given&quot;:&quot;Mehdi&quot;,&quot;parse-names&quot;:false,&quot;dropping-particle&quot;:&quot;&quot;,&quot;non-dropping-particle&quot;:&quot;&quot;},{&quot;family&quot;:&quot;Boukadhaba&quot;,&quot;given&quot;:&quot;Amal&quot;,&quot;parse-names&quot;:false,&quot;dropping-particle&quot;:&quot;&quot;,&quot;non-dropping-particle&quot;:&quot;&quot;},{&quot;family&quot;:&quot;Nagati&quot;,&quot;given&quot;:&quot;Haithem&quot;,&quot;parse-names&quot;:false,&quot;dropping-particle&quot;:&quot;&quot;,&quot;non-dropping-particle&quot;:&quot;&quot;}],&quot;container-title&quot;:&quot;Corporate Governance: An International Review&quot;,&quot;ISSN&quot;:&quot;14678683&quot;,&quot;issued&quot;:{&quot;date-parts&quot;:[[2021,3,1]]},&quot;page&quot;:&quot;134-161&quot;,&quot;abstract&quot;:&quot;Research Question/Issue: We examine the impact of two differing types of employee board representation (i.e., labor board representation and employee shareholder board representations) on environmental, social, and corporate governance components of ESG performance and the moderating role of each type of employee board representation on the relationship between ESG performance and the firm's market value. Research Findings/Insights: Using a propensity score matching approach on a sample of French firms listed in the SBF 120 index from 2007 to 2017, our findings reveal that labor board representatives act in the opposite direction to employee shareholder board representatives by focusing exclusively on improving social performance and reducing environmental and corporate governance performance. The way employees are represented on the board of directors also moderates the corporate ESG–financial performance relationship differently. Theoretical/Academic Implications: Employee directors are not a homogenous group. The differentiation between the two types of employee directors (i.e., labor board representatives and employee shareholder board representatives) brings a deeper understanding of the effect of stakeholders' representation on the board. Practitioner/Policy Implications: Our results are of interest to governance policymakers because they provide them with a fresh understanding of the key role of employee board representation. A meaningful inference to be drawn from our findings is that employee ownership and the representation of employees on the board as employee shareholders may bring about fundamental changes in employees' attitudes and behavior on the board and may, in this regard, be considered as a credible way of generating social harmony and constructive relationships between employees and shareholders. Video Abstract: https://youtu.be/GqB_6GxtH2A.&quot;,&quot;publisher&quot;:&quot;Blackwell Publishing Ltd&quot;,&quot;issue&quot;:&quot;2&quot;,&quot;volume&quot;:&quot;29&quot;,&quot;container-title-short&quot;:&quot;&quot;},&quot;isTemporary&quot;:false}],&quot;citationTag&quot;:&quot;MENDELEY_CITATION_v3_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&quot;},{&quot;citationID&quot;:&quot;MENDELEY_CITATION_4d1673b4-0ad1-4653-84f2-df8a60d503ff&quot;,&quot;properties&quot;:{&quot;noteIndex&quot;:0},&quot;isEdited&quot;:false,&quot;manualOverride&quot;:{&quot;isManuallyOverridden&quot;:false,&quot;citeprocText&quot;:&quot;(Crane &lt;i&gt;et al.&lt;/i&gt;, 2019; Islam and Van Staden, 2022)&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82b24819-91de-3dcf-a528-5b420cd933ab&quot;,&quot;itemData&quot;:{&quot;type&quot;:&quot;article-journal&quot;,&quot;id&quot;:&quot;82b24819-91de-3dcf-a528-5b420cd933ab&quot;,&quot;title&quot;:&quot;Modern Slavery Disclosure Regulation and Global Supply Chains: Insights from Stakeholder Narratives on the UK Modern Slavery Act&quot;,&quot;author&quot;:[{&quot;family&quot;:&quot;Islam&quot;,&quot;given&quot;:&quot;Muhammad  Azizul&quot;,&quot;parse-names&quot;:false,&quot;dropping-particle&quot;:&quot;&quot;,&quot;non-dropping-particle&quot;:&quot;&quot;},{&quot;family&quot;:&quot;Staden&quot;,&quot;given&quot;:&quot;C J&quot;,&quot;parse-names&quot;:false,&quot;dropping-particle&quot;:&quot;&quot;,&quot;non-dropping-particle&quot;:&quot;Van&quot;}],&quot;container-title&quot;:&quot;Journal of Business Ethics&quot;,&quot;DOI&quot;:&quot;10.1007/s10551-021-04878-1&quot;,&quot;ISSN&quot;:&quot;15730697&quot;,&quot;issued&quot;:{&quot;date-parts&quot;:[[2022,10,1]]},&quot;page&quot;:&quot;455-479&quot;,&quot;abstract&quot;:&quot;The purpose of this article is to problematise a particular social transparency and disclosure regulation in the UK, that transcend national boundaries in order to control (modern) slavery in supply chains operating in the developing world. Drawing on notions from the regulatory and sociology literature, i.e. transparency and normativity, and by interviewing anti-slavery activists and experts, this study explores the limitations of the disclosure and transparency requirements of the UK Modern Slavery Act and, more specifically, how anti-slavery activists experience and interpret the new regulations and the regulators’ implementation of the regulation. This research found limited confidence among anti-slavery activists regarding the Act’s call for transparency in relation to the elimination of slavery from global supply chains. The research also found that the limits of the transparency provisions within the Act appear to hinder the attainment of normativity. This study provides new and unique insights into the critical role that social activists play in exposing the lack of corporate transparency and failures of responsibility to protect workers within global supply chains.&quot;,&quot;publisher&quot;:&quot;Springer Science and Business Media B.V.&quot;,&quot;issue&quot;:&quot;2&quot;,&quot;volume&quot;:&quot;180&quot;,&quot;container-title-short&quot;:&quot;&quot;},&quot;isTemporary&quot;:false}],&quot;citationTag&quot;:&quot;MENDELEY_CITATION_v3_eyJjaXRhdGlvbklEIjoiTUVOREVMRVlfQ0lUQVRJT05fNGQxNjczYjQtMGFkMS00NjUzLTg0ZjItZGY4YTYwZDUwM2ZmIiwicHJvcGVydGllcyI6eyJub3RlSW5kZXgiOjB9LCJpc0VkaXRlZCI6ZmFsc2UsIm1hbnVhbE92ZXJyaWRlIjp7ImlzTWFudWFsbHlPdmVycmlkZGVuIjpmYWxzZSwiY2l0ZXByb2NUZXh0IjoiKENyYW5lIDxpPmV0IGFsLjwvaT4sIDIwMTk7IElzbGFtIGFuZCBWYW4gU3RhZGVuLCAyMDIy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&quot;},{&quot;citationID&quot;:&quot;MENDELEY_CITATION_b0ed0f91-3511-4a22-a4e2-82a18fc04d52&quot;,&quot;properties&quot;:{&quot;noteIndex&quot;:0},&quot;isEdited&quot;:false,&quot;manualOverride&quot;:{&quot;isManuallyOverridden&quot;:false,&quot;citeprocText&quot;:&quot;(Allam &lt;i&gt;et al.&lt;/i&gt;, 2024; Helfaya &lt;i&gt;et al.&lt;/i&gt;, 2024; Helfaya and Moussa, 2017)&quot;,&quot;manualOverrideText&quot;:&quot;&quot;},&quot;citationItems&quot;:[{&quot;id&quot;:&quot;4f2ff78d-280b-3ef4-a01b-742b825beb4c&quot;,&quot;itemData&quot;:{&quot;type&quot;:&quot;article-journal&quot;,&quot;id&quot;:&quot;4f2ff78d-280b-3ef4-a01b-742b825beb4c&quot;,&quot;title&quot;:&quot;Greening the Workplace: Exploring the Influence of Corporate Sustainability Governance on Corporate Labour Rights in the Case of Indian Listed Companies for the Period of 2010 to 2021&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Shirley&quot;,&quot;parse-names&quot;:false,&quot;dropping-particle&quot;:&quot;&quot;,&quot;non-dropping-particle&quot;:&quot;&quot;}],&quot;container-title&quot;:&quot;Sustainability&quot;,&quot;container-title-short&quot;:&quot;Sustainability&quot;,&quot;DOI&quot;:&quot;10.3390/su16104004&quot;,&quot;ISSN&quot;:&quot;2071-1050&quot;,&quot;issued&quot;:{&quot;date-parts&quot;:[[2024,5,10]]},&quot;page&quot;:&quot;4004&quot;,&quot;abstract&quot;:&quot;&lt;p&gt;Amidst today’s globalized economy, embedding sustainable practices into corporate governance frameworks has become important. This era underscores a heightened focus on CSR and sustainability, drawing considerable scholarly and practical interest to the nexus of corporate governance, sustainability initiatives, and corporate labour rights (CLRs). Hence, this study investigates the relationship between corporate sustainability governance initiatives (CSGIs) and CLR practices in India. Despite regulatory efforts, issues such as modern slavery and low wages persist in the country. Drawing on legitimacy, agency, stakeholder, and resource dependency theories, this study examines how CSGIs influence CLR practices. Data from 1212 observations of top Indian listed companies between 2010 and 2021 indicate positive correlations between CSGI dimensions and CLR practices across industries and board CSR orientations. This research underscores the importance of CSGIs in promoting sustainable corporate practices and improving CLRs in emerging economies. It also aligns with the United Nations sustainable development goals (SDGs), particularly SDG 3, SDG 5, SDG 8, and SDG 10. By combining theoretical rigour with practical relevance, this study provides insights for businesses, policymakers, workers, investors, and CSR scholars, contributing to efforts to enhance CLRs in India and beyond. For instance, the study offers actionable guidance for businesses and policymakers aiming to improve CLR practices. It highlights the positive correlation between specific attributes of CSGIs and CLR practices, providing insights for corporate decision-making and emphasizing the importance of aligning operations with the UN’s sustainable development goals. The findings serve as critical decision-making tools for investors concerned with corporate sustainability governance and CLRs to identify ethically responsible companies and mitigate investment risks.&lt;/p&gt;&quot;,&quot;issue&quot;:&quot;10&quot;,&quot;volume&quot;:&quot;16&quot;},&quot;isTemporary&quot;:false},{&quot;id&quot;:&quot;19df8b13-8bb0-3029-8918-5827c0f859a2&quot;,&quot;itemData&quot;:{&quot;type&quot;:&quot;article-journal&quot;,&quot;id&quot;:&quot;19df8b13-8bb0-3029-8918-5827c0f859a2&quot;,&quot;title&quot;:&quot;Do Board's Corporate Social Responsibility Strategy and Orientation Influence Environmental Sustainability Disclosure? UK Evidence&quot;,&quot;author&quot;:[{&quot;family&quot;:&quot;Helfaya&quot;,&quot;given&quot;:&quot;Akrum&quot;,&quot;parse-names&quot;:false,&quot;dropping-particle&quot;:&quot;&quot;,&quot;non-dropping-particle&quot;:&quot;&quot;},{&quot;family&quot;:&quot;Moussa&quot;,&quot;given&quot;:&quot;Tantawy&quot;,&quot;parse-names&quot;:false,&quot;dropping-particle&quot;:&quot;&quot;,&quot;non-dropping-particle&quot;:&quot;&quot;}],&quot;container-title&quot;:&quot;Business Strategy and the Environment&quot;,&quot;container-title-short&quot;:&quot;Bus Strategy Environ&quot;,&quot;issued&quot;:{&quot;date-parts&quot;:[[2017,12,1]]},&quot;page&quot;:&quot;1061-1077&quot;,&quot;abstract&quot;:&quot;The environmental implications of corporate economic activities have led to growing demands for firms and their boards to adopt sustainable strategies and to disseminate more useful information about their activities and impacts on environment. This paper investigates the impact of board's corporate social responsibility (CSR) strategy and orientation on the quantity and quality of environmental sustainability disclosure in UK listed firms. We find that effective board CSR strategy and CSR-oriented directors have a positive and significant impact on the quality of environmental sustainability disclosure, but not on the quantity. Our findings also suggest that the existence of a CSR committee and issuance of a stand-alone CSR report are positively and significantly related to environmental sustainability disclosure. When we distinguish between firms with high and low environmental risk, we find that the board CSR/sustainability practices that affect the quantity (quality) of environmental sustainability disclosure appear to be driven more by highly (lowly) environmentally sensitive firms. These results suggest that the board CSR/sustainability practices play an important role in ensuring a firm's legitimacy and accountability towards stakeholders. Our findings shed new light on this under-researched area and could be of interest to companies, policy-makers and other stakeholders. Copyright © 2017 John Wiley &amp; Sons, Ltd and ERP Environment.&quot;,&quot;publisher&quot;:&quot;John Wiley and Sons Ltd&quot;,&quot;issue&quot;:&quot;8&quot;,&quot;volume&quot;:&quot;26&quot;},&quot;isTemporary&quot;:false},{&quot;id&quot;:&quot;2de4fa4d-f39d-3557-a984-028d685abebb&quot;,&quot;itemData&quot;:{&quot;type&quot;:&quot;article-journal&quot;,&quot;id&quot;:&quot;2de4fa4d-f39d-3557-a984-028d685abebb&quot;,&quot;title&quot;:&quot;Examining the relationship between CEO power and modern slavery disclosures: The moderating role of board gender diversity in UK companies&quot;,&quot;author&quot;:[{&quot;family&quot;:&quot;Allam&quot;,&quot;given&quot;:&quot;Amir&quot;,&quot;parse-names&quot;:false,&quot;dropping-particle&quot;:&quot;&quot;,&quot;non-dropping-particle&quot;:&quot;&quot;},{&quot;family&quot;:&quot;Moussa&quot;,&quot;given&quot;:&quot;Tantawy&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DOI&quot;:&quot;10.1002/bse.3910&quot;,&quot;ISSN&quot;:&quot;0964-4733&quot;,&quot;URL&quot;:&quot;https://onlinelibrary.wiley.com/doi/10.1002/bse.3910&quot;,&quot;issued&quot;:{&quot;date-parts&quot;:[[2024,8,11]]},&quot;abstract&quot;:&quot;&lt;p&gt;Drawing on agency and gender socialisation theories, this study examines the effect of Chief Executive Officer (CEO) power on corporate modern slavery disclosures (MSD) and investigates whether board gender diversity might influence this relationship. Based on a sample comprising the Financial Times Stock Exchange (FTSE) 100 companies from 2016 to 2020, the findings indicate that, although there has been progress in corporate transparency concerning modern slavery, a significant gap persists in the reporting on the measurement and monitoring of the effectiveness of their policies. This may stem from powerful CEOs' desires to maintain a positive corporate image, leading to minimal disclosure of potentially damaging information. The fixed effects panel regression analysis reveals a negative relationship between CEO power (CEOP) and the extent of modern slavery disclosures (MSD), with a significant moderating effect observed when female board representation is substantial. This evidence suggests that female board members may challenge groupthink and introduce diverse perspectives that can alter the board's dynamics, potentially mitigating the negative impact of CEOP on issues like modern slavery disclosure by encouraging more ethical and collective decision‐making. This research underscores the need for greater transparency and accountability in addressing modern slavery and promoting more responsible business practices.&lt;/p&gt;&quot;},&quot;isTemporary&quot;:false}],&quot;citationTag&quot;:&quot;MENDELEY_CITATION_v3_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&quot;},{&quot;citationID&quot;:&quot;MENDELEY_CITATION_adfd4d58-b0d1-474d-9ea9-68f9d525f484&quot;,&quot;properties&quot;:{&quot;noteIndex&quot;:0},&quot;isEdited&quot;:false,&quot;manualOverride&quot;:{&quot;isManuallyOverridden&quot;:true,&quot;citeprocText&quot;:&quot;(García-Sánchez &lt;i&gt;et al.&lt;/i&gt;, 2019)&quot;,&quot;manualOverrideText&quot;:&quot;García-Sánchez et al (2019)&quot;},&quot;citationItems&quot;:[{&quot;id&quot;:&quot;9baf5018-c8b2-394c-9a2c-78f5ca5b39f0&quot;,&quot;itemData&quot;:{&quot;type&quot;:&quot;article-journal&quot;,&quot;id&quot;:&quot;9baf5018-c8b2-394c-9a2c-78f5ca5b39f0&quot;,&quot;title&quot;:&quot;Board independence and GRI-IFC performance standards: The mediating effect of the CSR committee&quot;,&quot;author&quot;:[{&quot;family&quot;:&quot;García-Sánchez&quot;,&quot;given&quot;:&quot;I. M.&quot;,&quot;parse-names&quot;:false,&quot;dropping-particle&quot;:&quot;&quot;,&quot;non-dropping-particle&quot;:&quot;&quot;},{&quot;family&quot;:&quot;Gómez-Miranda&quot;,&quot;given&quot;:&quot;M. E.&quot;,&quot;parse-names&quot;:false,&quot;dropping-particle&quot;:&quot;&quot;,&quot;non-dropping-particle&quot;:&quot;&quot;},{&quot;family&quot;:&quot;David&quot;,&quot;given&quot;:&quot;F.&quot;,&quot;parse-names&quot;:false,&quot;dropping-particle&quot;:&quot;&quot;,&quot;non-dropping-particle&quot;:&quot;&quot;},{&quot;family&quot;:&quot;Rodríguez-Ariza&quot;,&quot;given&quot;:&quot;L.&quot;,&quot;parse-names&quot;:false,&quot;dropping-particle&quot;:&quot;&quot;,&quot;non-dropping-particle&quot;:&quot;&quot;}],&quot;container-title&quot;:&quot;Journal of Cleaner Production&quot;,&quot;container-title-short&quot;:&quot;J Clean Prod&quot;,&quot;DOI&quot;:&quot;10.1016/j.jclepro.2019.03.337&quot;,&quot;ISSN&quot;:&quot;09596526&quot;,&quot;issued&quot;:{&quot;date-parts&quot;:[[2019,7,10]]},&quot;page&quot;:&quot;554-562&quot;,&quot;abstract&quot;:&quot;The aim of this paper is to analyse the role played by independent directors and their decisions regarding the disclosure of information on corporate social responsibility (CSR). We posit that these directors (i) drive the creation of a CSR committee to advise them on social and environmental issues, and (ii) promote the use of the Global Reporting Initiative guidelines and the International Finance Corporation Performance Standards (jointly, the GRI-IFC strategy) in their CSR disclosure. The GRI-IFC strategy requires the disclosure of key indicators, and is expected to strengthen stakeholder engagement and to enhance the firm's internal monitoring. Our analysis of an unbalanced sample of 750 international companies, spanning the period 2011–2016, in which logistic and ordinal regressions are applied to the panel data, reveals a generalised absence of direct involvement by independent directors in the adoption of the GRI-IFC strategy. However, in many cases these directors promote the creation of a CSR committee to advice the board on the voluntary implementation of the GRI-IFC strategy. Our evidence shows that the CSR committee plays a mediating role in the cause-effect relationship between independent directors and their adoption of the GRI-IFC strategy.&quot;,&quot;publisher&quot;:&quot;Elsevier Ltd&quot;,&quot;volume&quot;:&quot;225&quot;},&quot;isTemporary&quot;:false}],&quot;citationTag&quot;:&quot;MENDELEY_CITATION_v3_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&quot;},{&quot;citationID&quot;:&quot;MENDELEY_CITATION_c1cf6aea-a5b8-4ae6-b027-2646c0a1002a&quot;,&quot;properties&quot;:{&quot;noteIndex&quot;:0},&quot;isEdited&quot;:false,&quot;manualOverride&quot;:{&quot;isManuallyOverridden&quot;:true,&quot;citeprocText&quot;:&quot;(Helfaya &lt;i&gt;et al.&lt;/i&gt;, 2024)&quot;,&quot;manualOverrideText&quot;:&quot;Helfaya et al. (2024)&quot;},&quot;citationItems&quot;:[{&quot;id&quot;:&quot;4f2ff78d-280b-3ef4-a01b-742b825beb4c&quot;,&quot;itemData&quot;:{&quot;type&quot;:&quot;article-journal&quot;,&quot;id&quot;:&quot;4f2ff78d-280b-3ef4-a01b-742b825beb4c&quot;,&quot;title&quot;:&quot;Greening the Workplace: Exploring the Influence of Corporate Sustainability Governance on Corporate Labour Rights in the Case of Indian Listed Companies for the Period of 2010 to 2021&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Shirley&quot;,&quot;parse-names&quot;:false,&quot;dropping-particle&quot;:&quot;&quot;,&quot;non-dropping-particle&quot;:&quot;&quot;}],&quot;container-title&quot;:&quot;Sustainability&quot;,&quot;container-title-short&quot;:&quot;Sustainability&quot;,&quot;DOI&quot;:&quot;10.3390/su16104004&quot;,&quot;ISSN&quot;:&quot;2071-1050&quot;,&quot;issued&quot;:{&quot;date-parts&quot;:[[2024,5,10]]},&quot;page&quot;:&quot;4004&quot;,&quot;abstract&quot;:&quot;&lt;p&gt;Amidst today’s globalized economy, embedding sustainable practices into corporate governance frameworks has become important. This era underscores a heightened focus on CSR and sustainability, drawing considerable scholarly and practical interest to the nexus of corporate governance, sustainability initiatives, and corporate labour rights (CLRs). Hence, this study investigates the relationship between corporate sustainability governance initiatives (CSGIs) and CLR practices in India. Despite regulatory efforts, issues such as modern slavery and low wages persist in the country. Drawing on legitimacy, agency, stakeholder, and resource dependency theories, this study examines how CSGIs influence CLR practices. Data from 1212 observations of top Indian listed companies between 2010 and 2021 indicate positive correlations between CSGI dimensions and CLR practices across industries and board CSR orientations. This research underscores the importance of CSGIs in promoting sustainable corporate practices and improving CLRs in emerging economies. It also aligns with the United Nations sustainable development goals (SDGs), particularly SDG 3, SDG 5, SDG 8, and SDG 10. By combining theoretical rigour with practical relevance, this study provides insights for businesses, policymakers, workers, investors, and CSR scholars, contributing to efforts to enhance CLRs in India and beyond. For instance, the study offers actionable guidance for businesses and policymakers aiming to improve CLR practices. It highlights the positive correlation between specific attributes of CSGIs and CLR practices, providing insights for corporate decision-making and emphasizing the importance of aligning operations with the UN’s sustainable development goals. The findings serve as critical decision-making tools for investors concerned with corporate sustainability governance and CLRs to identify ethically responsible companies and mitigate investment risks.&lt;/p&gt;&quot;,&quot;issue&quot;:&quot;10&quot;,&quot;volume&quot;:&quot;16&quot;},&quot;isTemporary&quot;:false}],&quot;citationTag&quot;:&quot;MENDELEY_CITATION_v3_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&quot;},{&quot;citationID&quot;:&quot;MENDELEY_CITATION_3fb3ba7b-b92a-4367-b1ea-bed74aca3444&quot;,&quot;properties&quot;:{&quot;noteIndex&quot;:0},&quot;isEdited&quot;:false,&quot;manualOverride&quot;:{&quot;isManuallyOverridden&quot;:false,&quot;citeprocText&quot;:&quot;(DiMaggio and Powell, 1983; Vidal &lt;i&gt;et al.&lt;/i&gt;, 202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M2ZiM2JhN2ItYjkyYS00MzY3LWIxZWEtYmVkNzRhY2EzNDQ0IiwicHJvcGVydGllcyI6eyJub3RlSW5kZXgiOjB9LCJpc0VkaXRlZCI6ZmFsc2UsIm1hbnVhbE92ZXJyaWRlIjp7ImlzTWFudWFsbHlPdmVycmlkZGVuIjpmYWxzZSwiY2l0ZXByb2NUZXh0IjoiKERpTWFnZ2lvIGFuZCBQb3dlbGwsIDE5ODM7IFZpZGFsIDxpPmV0IGFsLjwvaT4sIDIwMj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quot;},{&quot;citationID&quot;:&quot;MENDELEY_CITATION_91e4f0d6-7a73-4754-840c-bb9a7def85dc&quot;,&quot;properties&quot;:{&quot;noteIndex&quot;:0},&quot;isEdited&quot;:false,&quot;manualOverride&quot;:{&quot;isManuallyOverridden&quot;:false,&quot;citeprocText&quot;:&quot;(FRC, 2022)&quot;,&quot;manualOverrideText&quot;:&quot;&quot;},&quot;citationItems&quot;:[{&quot;id&quot;:&quot;add0a007-c6de-33e5-9c85-92241358b87f&quot;,&quot;itemData&quot;:{&quot;type&quot;:&quot;report&quot;,&quot;id&quot;:&quot;add0a007-c6de-33e5-9c85-92241358b87f&quot;,&quot;title&quot;:&quot;Research Team The Pentland Centre for Sustainability in Business&quot;,&quot;author&quot;:[{&quot;family&quot;:&quot;FRC&quot;,&quot;given&quot;:&quot;&quot;,&quot;parse-names&quot;:false,&quot;dropping-particle&quot;:&quot;&quot;,&quot;non-dropping-particle&quot;:&quot;&quot;}],&quot;accessed&quot;:{&quot;date-parts&quot;:[[2023,1,26]]},&quot;URL&quot;:&quot;https://www.frc.org.uk/getattachment/77c053d9-fe30-42c6-8236-d9821c8a1e2b/FRC-Modern-Slavery-Reporting-Practices-in-the-UK-2022.pdf&quot;,&quot;issued&quot;:{&quot;date-parts&quot;:[[2022]]},&quot;number-of-pages&quot;:&quot;1-28&quot;,&quot;container-title-short&quot;:&quot;&quot;},&quot;isTemporary&quot;:false}],&quot;citationTag&quot;:&quot;MENDELEY_CITATION_v3_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&quot;},{&quot;citationID&quot;:&quot;MENDELEY_CITATION_26c34eb1-303b-4f57-b2a0-2bbef59d5dd2&quot;,&quot;properties&quot;:{&quot;noteIndex&quot;:0},&quot;isEdited&quot;:false,&quot;manualOverride&quot;:{&quot;isManuallyOverridden&quot;:false,&quot;citeprocText&quot;:&quot;(Crane &lt;i&gt;et al.&lt;/i&gt;, 2019; Islam and Van Staden, 2022)&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82b24819-91de-3dcf-a528-5b420cd933ab&quot;,&quot;itemData&quot;:{&quot;type&quot;:&quot;article-journal&quot;,&quot;id&quot;:&quot;82b24819-91de-3dcf-a528-5b420cd933ab&quot;,&quot;title&quot;:&quot;Modern Slavery Disclosure Regulation and Global Supply Chains: Insights from Stakeholder Narratives on the UK Modern Slavery Act&quot;,&quot;author&quot;:[{&quot;family&quot;:&quot;Islam&quot;,&quot;given&quot;:&quot;Muhammad  Azizul&quot;,&quot;parse-names&quot;:false,&quot;dropping-particle&quot;:&quot;&quot;,&quot;non-dropping-particle&quot;:&quot;&quot;},{&quot;family&quot;:&quot;Staden&quot;,&quot;given&quot;:&quot;C J&quot;,&quot;parse-names&quot;:false,&quot;dropping-particle&quot;:&quot;&quot;,&quot;non-dropping-particle&quot;:&quot;Van&quot;}],&quot;container-title&quot;:&quot;Journal of Business Ethics&quot;,&quot;DOI&quot;:&quot;10.1007/s10551-021-04878-1&quot;,&quot;ISSN&quot;:&quot;15730697&quot;,&quot;issued&quot;:{&quot;date-parts&quot;:[[2022,10,1]]},&quot;page&quot;:&quot;455-479&quot;,&quot;abstract&quot;:&quot;The purpose of this article is to problematise a particular social transparency and disclosure regulation in the UK, that transcend national boundaries in order to control (modern) slavery in supply chains operating in the developing world. Drawing on notions from the regulatory and sociology literature, i.e. transparency and normativity, and by interviewing anti-slavery activists and experts, this study explores the limitations of the disclosure and transparency requirements of the UK Modern Slavery Act and, more specifically, how anti-slavery activists experience and interpret the new regulations and the regulators’ implementation of the regulation. This research found limited confidence among anti-slavery activists regarding the Act’s call for transparency in relation to the elimination of slavery from global supply chains. The research also found that the limits of the transparency provisions within the Act appear to hinder the attainment of normativity. This study provides new and unique insights into the critical role that social activists play in exposing the lack of corporate transparency and failures of responsibility to protect workers within global supply chains.&quot;,&quot;publisher&quot;:&quot;Springer Science and Business Media B.V.&quot;,&quot;issue&quot;:&quot;2&quot;,&quot;volume&quot;:&quot;180&quot;,&quot;container-title-short&quot;:&quot;&quot;},&quot;isTemporary&quot;:false}],&quot;citationTag&quot;:&quot;MENDELEY_CITATION_v3_eyJjaXRhdGlvbklEIjoiTUVOREVMRVlfQ0lUQVRJT05fMjZjMzRlYjEtMzAzYi00ZjU3LWIyYTAtMmJiZWY1OWQ1ZGQyIiwicHJvcGVydGllcyI6eyJub3RlSW5kZXgiOjB9LCJpc0VkaXRlZCI6ZmFsc2UsIm1hbnVhbE92ZXJyaWRlIjp7ImlzTWFudWFsbHlPdmVycmlkZGVuIjpmYWxzZSwiY2l0ZXByb2NUZXh0IjoiKENyYW5lIDxpPmV0IGFsLjwvaT4sIDIwMTk7IElzbGFtIGFuZCBWYW4gU3RhZGVuLCAyMDIy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&quot;},{&quot;citationID&quot;:&quot;MENDELEY_CITATION_3dfbf355-bf15-48cf-a568-abb4d3096750&quot;,&quot;properties&quot;:{&quot;noteIndex&quot;:0},&quot;isEdited&quot;:false,&quot;manualOverride&quot;:{&quot;isManuallyOverridden&quot;:false,&quot;citeprocText&quot;:&quot;(García-Sánchez &lt;i&gt;et al.&lt;/i&gt;, 2022; Mat Zain &lt;i&gt;et al.&lt;/i&gt;, 2015)&quot;,&quot;manualOverrideText&quot;:&quot;&quot;},&quot;citationItems&quot;:[{&quot;id&quot;:&quot;13ea31cd-51e9-3d48-ae06-f415688c598a&quot;,&quot;itemData&quot;:{&quot;type&quot;:&quot;article-journal&quot;,&quot;id&quot;:&quot;13ea31cd-51e9-3d48-ae06-f415688c598a&quot;,&quot;title&quot;:&quot;The Effect of Internal Audit Function Quality and Internal Audit Contribution to External Audit on Audit Fees&quot;,&quot;author&quot;:[{&quot;family&quot;:&quot;Mat Zain&quot;,&quot;given&quot;:&quot;Mazlina&quot;,&quot;parse-names&quot;:false,&quot;dropping-particle&quot;:&quot;&quot;,&quot;non-dropping-particle&quot;:&quot;&quot;},{&quot;family&quot;:&quot;Zaman&quot;,&quot;given&quot;:&quot;Mahbub&quot;,&quot;parse-names&quot;:false,&quot;dropping-particle&quot;:&quot;&quot;,&quot;non-dropping-particle&quot;:&quot;&quot;},{&quot;family&quot;:&quot;Mohamed&quot;,&quot;given&quot;:&quot;Zulkifflee&quot;,&quot;parse-names&quot;:false,&quot;dropping-particle&quot;:&quot;&quot;,&quot;non-dropping-particle&quot;:&quot;&quot;}],&quot;container-title&quot;:&quot;International Journal of Auditing&quot;,&quot;DOI&quot;:&quot;10.1111/ijau.12043&quot;,&quot;ISSN&quot;:&quot;10991123&quot;,&quot;issued&quot;:{&quot;date-parts&quot;:[[2015,11,1]]},&quot;page&quot;:&quot;134-147&quot;,&quot;abstract&quot;:&quot;Corporate governance mandates and listing rules identify internal audit functions (IAF) as a central internal control mechanism. External auditors are expected to assess the quality of IAF before placing reliance on its work. We provide evidence on the effect of IAF quality and IAF contribution to external audit on audit fees. Using data from a matched survey of both external and internal auditors, we extend prior research which is based mainly on internal auditors' assessment and conducted predominantly in highly developed markets. We find a positive relationship between IAF quality and audit fees as well as a reduction in audit fees as a result of external auditors' reliance on IAF. The interaction between IAF quality and IAF contribution to external audit suggests that higher quality IAF induces greater external auditor reliance on internal auditors' work and thus result in lower external audit fees.&quot;,&quot;publisher&quot;:&quot;Wiley-Blackwell&quot;,&quot;issue&quot;:&quot;3&quot;,&quot;volume&quot;:&quot;19&quot;,&quot;container-title-short&quot;:&quot;&quot;},&quot;isTemporary&quot;:false},{&quot;id&quot;:&quot;8b6df0d7-d24c-3eb9-8246-e52c0f324f08&quot;,&quot;itemData&quot;:{&quot;type&quot;:&quot;article-journal&quot;,&quot;id&quot;:&quot;8b6df0d7-d24c-3eb9-8246-e52c0f324f08&quot;,&quot;title&quot;:&quot;Assurance of corporate social responsibility reports: Does it reduce decoupling practices?&quot;,&quot;author&quot;:[{&quot;family&quot;:&quot;García-Sánchez&quot;,&quot;given&quot;:&quot;Isabel María&quot;,&quot;parse-names&quot;:false,&quot;dropping-particle&quot;:&quot;&quot;,&quot;non-dropping-particle&quot;:&quot;&quot;},{&quot;family&quot;:&quot;Hussain&quot;,&quot;given&quot;:&quot;Nazim&quot;,&quot;parse-names&quot;:false,&quot;dropping-particle&quot;:&quot;&quot;,&quot;non-dropping-particle&quot;:&quot;&quot;},{&quot;family&quot;:&quot;Aibar-Guzmán&quot;,&quot;given&quot;:&quot;Cristina&quot;,&quot;parse-names&quot;:false,&quot;dropping-particle&quot;:&quot;&quot;,&quot;non-dropping-particle&quot;:&quot;&quot;},{&quot;family&quot;:&quot;Aibar-Guzmán&quot;,&quot;given&quot;:&quot;Beatriz&quot;,&quot;parse-names&quot;:false,&quot;dropping-particle&quot;:&quot;&quot;,&quot;non-dropping-particle&quot;:&quot;&quot;}],&quot;container-title&quot;:&quot;Business Ethics, Environment and Responsibility&quot;,&quot;DOI&quot;:&quot;10.1111/beer.12394&quot;,&quot;ISSN&quot;:&quot;26946424&quot;,&quot;issued&quot;:{&quot;date-parts&quot;:[[2022,1,1]]},&quot;page&quot;:&quot;118-138&quot;,&quot;abstract&quot;:&quot;Recent research shows the existence of a selective corporate social responsibility (CSR) disclosure strategy that creates a gap between CSR disclosure and actual performance. These CSR decoupling practices compromise the credibility of CSR reports and have triggered a demand for the adoption of credibility enhancement mechanisms, such as adherence to the global reporting initiative (GRI) reporting guidelines, and the external assurance of CSR reports. The effectiveness of such mechanisms is not clear, however. This paper draws on legitimacy theory and addresses the issue of symbolic versus substantive use of assurance, and compliance with GRI reporting standards, by analysing their effect on CSR decoupling using an international sample of 1,939 companies (15,219 observations from 2002 to 2017). Analysis of a sub-sample of 708 firms (3,730 observations from 2011 to 2017) also shows that the application of GRI guidelines and the specific characteristics of the assurance provider—accountant, experience and specialisation—reduce CSR decoupling practices. The results provide researchers, managers, assurance providers, investors, stakeholders and regulators with additional insight into the value of the external assurance of sustainability reports and have important managerial and policy implications.&quot;,&quot;publisher&quot;:&quot;John Wiley and Sons Inc&quot;,&quot;issue&quot;:&quot;1&quot;,&quot;volume&quot;:&quot;31&quot;,&quot;container-title-short&quot;:&quot;&quot;},&quot;isTemporary&quot;:false}],&quot;citationTag&quot;:&quot;MENDELEY_CITATION_v3_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&quot;},{&quot;citationID&quot;:&quot;MENDELEY_CITATION_372000a3-2ceb-4184-96af-9eb0cfe1f357&quot;,&quot;properties&quot;:{&quot;noteIndex&quot;:0},&quot;isEdited&quot;:false,&quot;manualOverride&quot;:{&quot;isManuallyOverridden&quot;:true,&quot;citeprocText&quot;:&quot;(Adelopo &lt;i&gt;et al.&lt;/i&gt;, 2024; Al-Shaer &lt;i&gt;et al.&lt;/i&gt;, 2022; Sayari and Marcum, 2022)&quot;,&quot;manualOverrideText&quot;:&quot;(Al-Shaer, Malik, and Zaman, 2022; Sayari and Marcum, 2022a; Adelopo, Cheung, and Zaman, 2024)&quot;},&quot;citationItems&quot;:[{&quot;id&quot;:&quot;cb44d156-61f2-3a55-adc5-9def0060228c&quot;,&quot;itemData&quot;:{&quot;type&quot;:&quot;article-journal&quot;,&quot;id&quot;:&quot;cb44d156-61f2-3a55-adc5-9def0060228c&quot;,&quot;title&quot;:&quot;Board systems, employee representation, and neo-institutional theory: The moderating effect of economic freedom on corporate boards and financial performance&quot;,&quot;author&quot;:[{&quot;family&quot;:&quot;Sayari&quot;,&quot;given&quot;:&quot;Naz&quot;,&quot;parse-names&quot;:false,&quot;dropping-particle&quot;:&quot;&quot;,&quot;non-dropping-particle&quot;:&quot;&quot;},{&quot;family&quot;:&quot;Marcum&quot;,&quot;given&quot;:&quot;Bill&quot;,&quot;parse-names&quot;:false,&quot;dropping-particle&quot;:&quot;&quot;,&quot;non-dropping-particle&quot;:&quot;&quot;}],&quot;container-title&quot;:&quot;Managerial and Decision Economics&quot;,&quot;DOI&quot;:&quot;10.1002/mde.3638&quot;,&quot;ISSN&quot;:&quot;10991468&quot;,&quot;issued&quot;:{&quot;date-parts&quot;:[[2022,12,1]]},&quot;page&quot;:&quot;3931-3952&quot;,&quot;abstract&quot;:&quot;This study assesses the relative financial performance of firms operating in an environment in which economic freedom is protected by effective institutions. To do this, we examine the moderating effect of economic freedom on the relationship between board structure and financial performance. Using longitudinal data across 30 European countries, we find that firms with a one-tier board consistently outperform those with a two-tier board, but the relative underperformance of two-tier boards is partially mitigated by the inclusion of employee representatives. The positive influence of employee representatives on the performance of firms with two-tier boards is bolstered by greater economic freedom.&quot;,&quot;publisher&quot;:&quot;John Wiley and Sons Ltd&quot;,&quot;issue&quot;:&quot;8&quot;,&quot;volume&quot;:&quot;43&quot;,&quot;container-title-short&quot;:&quot;&quot;},&quot;isTemporary&quot;:false},{&quot;id&quot;:&quot;d2bd309a-29d4-3200-a26d-75854eecd659&quot;,&quot;itemData&quot;:{&quot;type&quot;:&quot;article-journal&quot;,&quot;id&quot;:&quot;d2bd309a-29d4-3200-a26d-75854eecd659&quot;,&quot;title&quot;:&quot;Auditors’ Trust in Audit Committees and Audit Quality&quot;,&quot;author&quot;:[{&quot;family&quot;:&quot;Adelopo&quot;,&quot;given&quot;:&quot;Ismail&quot;,&quot;parse-names&quot;:false,&quot;dropping-particle&quot;:&quot;&quot;,&quot;non-dropping-particle&quot;:&quot;&quot;},{&quot;family&quot;:&quot;Cheung&quot;,&quot;given&quot;:&quot;Kwok Yip&quot;,&quot;parse-names&quot;:false,&quot;dropping-particle&quot;:&quot;&quot;,&quot;non-dropping-particle&quot;:&quot;&quot;},{&quot;family&quot;:&quot;Zaman&quot;,&quot;given&quot;:&quot;Mahbub&quot;,&quot;parse-names&quot;:false,&quot;dropping-particle&quot;:&quot;&quot;,&quot;non-dropping-particle&quot;:&quot;&quot;}],&quot;container-title&quot;:&quot;Journal of Corporate Accounting and Finance&quot;,&quot;DOI&quot;:&quot;10.1002/jcaf.22758&quot;,&quot;ISSN&quot;:&quot;10970053&quot;,&quot;issued&quot;:{&quot;date-parts&quot;:[[2024]]},&quot;page&quot;:&quot;1-18&quot;,&quot;abstract&quot;:&quot;In light of global advancements in corporate governance, it is imperative for external auditors and audit committees to engage in communication and interactions to ensure that external audits are conducted to a high standard and quality. While many studies report that audit committee expertise, diligence, and independence are associated with monitoring, often they do not provide explanation of the mechanisms through which these happen. There is limited research on how external auditors’ trust in audit committees affects their interactions and therefore audit quality. This paper examines external auditors’ trust and their interactions with audit committees. We find that external auditors’ perceptions of audit committee members’ competence, goodwill, and integrity shape their trust in audit committees. Overall, our findings suggest that auditors’ trust in audit committees enhances their perception of the quality of their interactions, affects information sharing and the conduct of the audit, and thus helps to improve the quality of auditing.&quot;,&quot;publisher&quot;:&quot;John Wiley and Sons Inc&quot;,&quot;container-title-short&quot;:&quot;&quot;},&quot;isTemporary&quot;:false},{&quot;id&quot;:&quot;d13259b3-fd23-3ca9-90bb-011b01a3cdb7&quot;,&quot;itemData&quot;:{&quot;type&quot;:&quot;article-journal&quot;,&quot;id&quot;:&quot;d13259b3-fd23-3ca9-90bb-011b01a3cdb7&quot;,&quot;title&quot;:&quot;What do audit committees do? Transparency and impression management&quot;,&quot;author&quot;:[{&quot;family&quot;:&quot;Al-Shaer&quot;,&quot;given&quot;:&quot;Habiba&quot;,&quot;parse-names&quot;:false,&quot;dropping-particle&quot;:&quot;&quot;,&quot;non-dropping-particle&quot;:&quot;&quot;},{&quot;family&quot;:&quot;Malik&quot;,&quot;given&quot;:&quot;Muhammad Farhan&quot;,&quot;parse-names&quot;:false,&quot;dropping-particle&quot;:&quot;&quot;,&quot;non-dropping-particle&quot;:&quot;&quot;},{&quot;family&quot;:&quot;Zaman&quot;,&quot;given&quot;:&quot;Mahbub&quot;,&quot;parse-names&quot;:false,&quot;dropping-particle&quot;:&quot;&quot;,&quot;non-dropping-particle&quot;:&quot;&quot;}],&quot;container-title&quot;:&quot;Journal of Management and Governance&quot;,&quot;DOI&quot;:&quot;10.1007/s10997-021-09591-9&quot;,&quot;ISSN&quot;:&quot;1572963X&quot;,&quot;issued&quot;:{&quot;date-parts&quot;:[[2022,12,1]]},&quot;page&quot;:&quot;1443-1468&quot;,&quot;abstract&quot;:&quot;Marking a significant step aimed at making governance more transparent the UK requires audit committees (ACs) to publish a report on their activities. Although regulators continue to emphasise the roles of ACs, there is limited evidence on what the AC does in practice. This paper provides evidence on the nature of AC actions as reported in AC reports relating to external audit, internal audit and financial reporting. We use summative content analysis to analyze AC reports of UK FTSE 350 firms and find that AC actions mainly entail reviewing processes and reports and there is limited incidence of them reporting that they have undertaken investigations into auditing and reporting issues. Moreover, what is reported is mainly general and descriptive of process. Our findings highlight the importance of AC reports providing meaningful information rather than engaging in symbolism. ACs can use their reports to signal their substantive monitoring and how they have contributed to improving auditing and reporting quality. The findings also suggest that future research examining the reviewing, investigating and outsourcing activities of boards and ACs can contribute to a better understanding of the governance process and outcomes.&quot;,&quot;publisher&quot;:&quot;Springer&quot;,&quot;issue&quot;:&quot;4&quot;,&quot;volume&quot;:&quot;26&quot;,&quot;container-title-short&quot;:&quot;&quot;},&quot;isTemporary&quot;:false}],&quot;citationTag&quot;:&quot;MENDELEY_CITATION_v3_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&quot;},{&quot;citationID&quot;:&quot;MENDELEY_CITATION_2d626b6f-d893-4db7-9656-9557fbf4d055&quot;,&quot;properties&quot;:{&quot;noteIndex&quot;:0},&quot;isEdited&quot;:false,&quot;manualOverride&quot;:{&quot;isManuallyOverridden&quot;:false,&quot;citeprocText&quot;:&quot;(Liu and Cheng, 2024; Lopatta &lt;i&gt;et al.&lt;/i&gt;, 2023; Pesterfield and Rogerson, 2024)&quot;,&quot;manualOverrideText&quot;:&quot;&quot;},&quot;citationItems&quot;:[{&quot;id&quot;:&quot;d336c6f2-4f18-35b7-96e8-7451b44cac51&quot;,&quot;itemData&quot;:{&quot;type&quot;:&quot;article-journal&quot;,&quot;id&quot;:&quot;d336c6f2-4f18-35b7-96e8-7451b44cac51&quot;,&quot;title&quot;:&quot;The current state of corporate human rights disclosure of the global top 500 business enterprises: Measurement and determinants&quot;,&quot;author&quot;:[{&quot;family&quot;:&quot;Lopatta&quot;,&quot;given&quot;:&quot;Kerstin&quot;,&quot;parse-names&quot;:false,&quot;dropping-particle&quot;:&quot;&quot;,&quot;non-dropping-particle&quot;:&quot;&quot;},{&quot;family&quot;:&quot;Tideman&quot;,&quot;given&quot;:&quot;Sebastian A.&quot;,&quot;parse-names&quot;:false,&quot;dropping-particle&quot;:&quot;&quot;,&quot;non-dropping-particle&quot;:&quot;&quot;},{&quot;family&quot;:&quot;Scheil&quot;,&quot;given&quot;:&quot;Carolin&quot;,&quot;parse-names&quot;:false,&quot;dropping-particle&quot;:&quot;&quot;,&quot;non-dropping-particle&quot;:&quot;&quot;},{&quot;family&quot;:&quot;Makarem&quot;,&quot;given&quot;:&quot;Naser&quot;,&quot;parse-names&quot;:false,&quot;dropping-particle&quot;:&quot;&quot;,&quot;non-dropping-particle&quot;:&quot;&quot;}],&quot;container-title&quot;:&quot;Critical Perspectives on Accounting&quot;,&quot;DOI&quot;:&quot;10.1016/j.cpa.2022.102512&quot;,&quot;ISSN&quot;:&quot;10959955&quot;,&quot;issued&quot;:{&quot;date-parts&quot;:[[2023,11,1]]},&quot;abstract&quot;:&quot;This study contributes to the ongoing debate on business and human rights by providing insight into the current state and determinants of corporate human rights disclosures among the top 500 largest business enterprises worldwide. To do so, we use a 13-item human rights disclosure score to evaluate disclosure in two dimensions: scope and quality. Overall, the measured global level of corporate human rights disclosure is low, with business enterprises scoring on average only 3.72 out of 13 points. This indicates a lack of transparency, awareness, and sensitivity regarding corporate responsibility to respect human rights as described in the United Nations Guiding Principles on Business and Human Rights. However, there are considerable differences across countries. The higher-scoring business enterprises are predominantly based in Australia and Europe. Multivariate analyses reveal that corporate visibility, sector sensitivity in terms of higher litigation risk, and institutional pressure in the form of soft law are positively associated with corporate human rights disclosure levels. However, we find that current forms of national mandatory regulation do not achieve the desired impact on high-quality corporate human rights disclosure, which suggests more targeted and concrete reporting requirements as well as better enforcement may be necessary to improve corporate human rights disclosures.&quot;,&quot;publisher&quot;:&quot;Academic Press&quot;,&quot;volume&quot;:&quot;96&quot;,&quot;container-title-short&quot;:&quot;&quot;},&quot;isTemporary&quot;:false},{&quot;id&quot;:&quot;c1f10bf8-3f76-3507-8d81-025c89c3713e&quot;,&quot;itemData&quot;:{&quot;type&quot;:&quot;article-journal&quot;,&quot;id&quot;:&quot;c1f10bf8-3f76-3507-8d81-025c89c3713e&quot;,&quot;title&quot;:&quot;Board skill diversity and corporate environmental responsibility: the moderating effects of formal and informal pressures&quot;,&quot;author&quot;:[{&quot;family&quot;:&quot;Liu&quot;,&quot;given&quot;:&quot;Chunli&quot;,&quot;parse-names&quot;:false,&quot;dropping-particle&quot;:&quot;&quot;,&quot;non-dropping-particle&quot;:&quot;&quot;},{&quot;family&quot;:&quot;Cheng&quot;,&quot;given&quot;:&quot;Jing&quot;,&quot;parse-names&quot;:false,&quot;dropping-particle&quot;:&quot;&quot;,&quot;non-dropping-particle&quot;:&quot;&quot;}],&quot;container-title&quot;:&quot;Sustainability Accounting, Management and Policy Journal&quot;,&quot;DOI&quot;:&quot;10.1108/SAMPJ-08-2023-0597&quot;,&quot;ISSN&quot;:&quot;2040803X&quot;,&quot;issued&quot;:{&quot;date-parts&quot;:[[2024,1,2]]},&quot;abstract&quot;:&quot;Purpose: This study aims to investigate the impact of board skill diversity (BSD) on corporate environmental responsibility (CER). In addition, this study explores the moderating effects of formal regulatory pressure and informal media pressure. Design/methodology/approach: This study uses Chinese high polluting companies as the sample and uses regression analysis. Robustness checks, including instrumental variable regression, Heckman two-stage model and propensity score matching method, are performed to test the robustness of the results. Findings: The findings suggest that BSD significantly improves CER performance. Both formal regulatory pressure and informal media pressure strengthen the positive impact of BSD on CER. Further channel analyses reveal that BSD improves CER performance by promoting corporate proenvironmental behaviors rather than by restricting environmental violations; skill diversity of executive directors has a more significant effect on CER than that of independent directors. Finally, the moderating effect of regulatory pressure is only significant after the implementation of the Environmental Protection Law, and the moderating effect of media pressure mainly concentrates on negative media coverage. Practical implications: The involvement of directors with more diverse skills is essential to improve corporate proenvironmental behaviors. Companies should select qualified directors with different skills to further improve their performance on environmental protection and sustainable development. Social implications: Regulators and standard-setters should develop efficient guidelines on corporate board governance to enhance the positive role of companies in environmental and sustainable development. Originality/value: This study broadens the research on the determinants of CER by examining the influence of BSD on CER and the moderating roles of various stakeholder pressures, thereby providing a deeper understanding of corporate environmental performance and sustainable development.&quot;,&quot;publisher&quot;:&quot;Emerald Publishing&quot;,&quot;container-title-short&quot;:&quot;&quot;},&quot;isTemporary&quot;:false},{&quot;id&quot;:&quot;98652407-819c-3ecc-8802-3200dece5106&quot;,&quot;itemData&quot;:{&quot;type&quot;:&quot;article-journal&quot;,&quot;id&quot;:&quot;98652407-819c-3ecc-8802-3200dece5106&quot;,&quot;title&quot;:&quot;Institutional Logics in the UK Construction Industry’s Response to Modern Slavery Risk: Complementarity and Conflict&quot;,&quot;author&quot;:[{&quot;family&quot;:&quot;Pesterfield&quot;,&quot;given&quot;:&quot;Christopher&quot;,&quot;parse-names&quot;:false,&quot;dropping-particle&quot;:&quot;&quot;,&quot;non-dropping-particle&quot;:&quot;&quot;},{&quot;family&quot;:&quot;Rogerson&quot;,&quot;given&quot;:&quot;Michael&quot;,&quot;parse-names&quot;:false,&quot;dropping-particle&quot;:&quot;&quot;,&quot;non-dropping-particle&quot;:&quot;&quot;}],&quot;container-title&quot;:&quot;Journal of Business Ethics&quot;,&quot;DOI&quot;:&quot;10.1007/s10551-023-05455-4&quot;,&quot;ISSN&quot;:&quot;15730697&quot;,&quot;issued&quot;:{&quot;date-parts&quot;:[[2024,4,1]]},&quot;page&quot;:&quot;59-75&quot;,&quot;abstract&quot;:&quot;There is a growing understanding that modern slavery is a phenomenon ‘hidden in plain sight’ in the home countries of multinational firms. Yet, business scholarship on modern slavery has so far focussed on product supply chains. To address this, we direct attention to the various institutional pressures on the UK construction industry, and managers of firms within it, around modern slavery risk for on-site labour. Based on a unique data set of 30 in-depth interviews with construction firm managers and directors, we identify two institutional logics as being integral to explaining how these companies have responded to the Modern Slavery Act: a market logic and a state logic. While the institutional logics literature largely assumes that institutional complexity will lead to a conciliation of multiple logics, we find both complementarity and continued conflict in the logics in our study. Though we identify conciliation between aspects of the market logic and the state logic, conflict remains as engagement with actions which could potentially address modern slavery is limited by the trade-offs between the two logics.&quot;,&quot;publisher&quot;:&quot;Springer Science and Business Media B.V.&quot;,&quot;issue&quot;:&quot;1&quot;,&quot;volume&quot;:&quot;191&quot;,&quot;container-title-short&quot;:&quot;&quot;},&quot;isTemporary&quot;:false}],&quot;citationTag&quot;:&quot;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&quot;},{&quot;citationID&quot;:&quot;MENDELEY_CITATION_8d688a30-d039-4d56-8706-11f78be426a3&quot;,&quot;properties&quot;:{&quot;noteIndex&quot;:0},&quot;isEdited&quot;:false,&quot;manualOverride&quot;:{&quot;isManuallyOverridden&quot;:false,&quot;citeprocText&quot;:&quot;(Pesterfield and Rogerson, 2024; Zainuddin &lt;i&gt;et al.&lt;/i&gt;, 2025)&quot;,&quot;manualOverrideText&quot;:&quot;&quot;},&quot;citationItems&quot;:[{&quot;id&quot;:&quot;98652407-819c-3ecc-8802-3200dece5106&quot;,&quot;itemData&quot;:{&quot;type&quot;:&quot;article-journal&quot;,&quot;id&quot;:&quot;98652407-819c-3ecc-8802-3200dece5106&quot;,&quot;title&quot;:&quot;Institutional Logics in the UK Construction Industry’s Response to Modern Slavery Risk: Complementarity and Conflict&quot;,&quot;author&quot;:[{&quot;family&quot;:&quot;Pesterfield&quot;,&quot;given&quot;:&quot;Christopher&quot;,&quot;parse-names&quot;:false,&quot;dropping-particle&quot;:&quot;&quot;,&quot;non-dropping-particle&quot;:&quot;&quot;},{&quot;family&quot;:&quot;Rogerson&quot;,&quot;given&quot;:&quot;Michael&quot;,&quot;parse-names&quot;:false,&quot;dropping-particle&quot;:&quot;&quot;,&quot;non-dropping-particle&quot;:&quot;&quot;}],&quot;container-title&quot;:&quot;Journal of Business Ethics&quot;,&quot;DOI&quot;:&quot;10.1007/s10551-023-05455-4&quot;,&quot;ISSN&quot;:&quot;15730697&quot;,&quot;issued&quot;:{&quot;date-parts&quot;:[[2024,4,1]]},&quot;page&quot;:&quot;59-75&quot;,&quot;abstract&quot;:&quot;There is a growing understanding that modern slavery is a phenomenon ‘hidden in plain sight’ in the home countries of multinational firms. Yet, business scholarship on modern slavery has so far focussed on product supply chains. To address this, we direct attention to the various institutional pressures on the UK construction industry, and managers of firms within it, around modern slavery risk for on-site labour. Based on a unique data set of 30 in-depth interviews with construction firm managers and directors, we identify two institutional logics as being integral to explaining how these companies have responded to the Modern Slavery Act: a market logic and a state logic. While the institutional logics literature largely assumes that institutional complexity will lead to a conciliation of multiple logics, we find both complementarity and continued conflict in the logics in our study. Though we identify conciliation between aspects of the market logic and the state logic, conflict remains as engagement with actions which could potentially address modern slavery is limited by the trade-offs between the two logics.&quot;,&quot;publisher&quot;:&quot;Springer Science and Business Media B.V.&quot;,&quot;issue&quot;:&quot;1&quot;,&quot;volume&quot;:&quot;191&quot;,&quot;container-title-short&quot;:&quot;&quot;},&quot;isTemporary&quot;:false},{&quot;id&quot;:&quot;c414c01c-f289-3aaf-9afa-0bfecfd5ad79&quot;,&quot;itemData&quot;:{&quot;type&quot;:&quot;article&quot;,&quot;id&quot;:&quot;c414c01c-f289-3aaf-9afa-0bfecfd5ad79&quot;,&quot;title&quot;:&quot;A critical review of modern slavery disclosure legislation: an academic response to Australia’s Modern Slavery Act 2018&quot;,&quot;author&quot;:[{&quot;family&quot;:&quot;Zainuddin&quot;,&quot;given&quot;:&quot;Zairul Nurshazana&quot;,&quot;parse-names&quot;:false,&quot;dropping-particle&quot;:&quot;&quot;,&quot;non-dropping-particle&quot;:&quot;&quot;},{&quot;family&quot;:&quot;Dumay&quot;,&quot;given&quot;:&quot;John&quot;,&quot;parse-names&quot;:false,&quot;dropping-particle&quot;:&quot;&quot;,&quot;non-dropping-particle&quot;:&quot;&quot;},{&quot;family&quot;:&quot;Bui&quot;,&quot;given&quot;:&quot;Binh&quot;,&quot;parse-names&quot;:false,&quot;dropping-particle&quot;:&quot;&quot;,&quot;non-dropping-particle&quot;:&quot;&quot;}],&quot;container-title&quot;:&quot;Meditari Accountancy Research&quot;,&quot;DOI&quot;:&quot;10.1108/MEDAR-03-2025-2931&quot;,&quot;ISSN&quot;:&quot;20493738&quot;,&quot;issued&quot;:{&quot;date-parts&quot;:[[2025]]},&quot;abstract&quot;:&quot;Purpose: This paper details an opportunity to provide feedback on the Australian government’s review of Australia’s Modern Slavery Act 2018 (MSA) and address the critical issues required to increase the Act’s effectiveness. Design/methodology/approach: This paper reviewed 62 academic papers that report findings on modern slavery disclosure legislation currently enacted in Australia, California and the United Kingdom. Using content analysis, this paper identifies key issues that need addressing that align with the questions outlined in the MSA’s review issues paper. Findings: Researchers critique modern slavery legislation on four key issues. First, it focuses on large entities rather than high-risk industries. Second, it makes the reporting entity solely responsible for eliminating modern slavery from their supply chains. Third, it expresses more concern for corporate risk than the risk for the victims. Last, it imposes a “soft touch” approach without penalties and unclear links to criminal legislation. Hence, there is a pressing need for modifications to the MSA. Social implications: This paper also demonstrates that the review was considered and cited in the government report of the review, demonstrating how academic research can influence policymaking. Originality/value: This paper provides insights into the MSA and provides evidence to help inform further improvements from an academic point of view. This paper also contributes to policy by proposing recommendations to policymakers and critiquing the government’s review report.&quot;,&quot;publisher&quot;:&quot;Emerald Publishing&quot;,&quot;container-title-short&quot;:&quot;&quot;},&quot;isTemporary&quot;:false}],&quot;citationTag&quot;:&quot;MENDELEY_CITATION_v3_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&quot;},{&quot;citationID&quot;:&quot;MENDELEY_CITATION_732dc077-3525-4e6d-b2d0-51456ac6db30&quot;,&quot;properties&quot;:{&quot;noteIndex&quot;:0},&quot;isEdited&quot;:false,&quot;manualOverride&quot;:{&quot;isManuallyOverridden&quot;:false,&quot;citeprocText&quot;:&quot;(Al-Shaer and Zaman, 2019; Dando and Swift, 2003; Martínez-Ferrero and García-Sánchez, 2016)&quot;,&quot;manualOverrideText&quot;:&quot;&quot;},&quot;citationItems&quot;:[{&quot;id&quot;:&quot;854f32e2-5dd6-3ad0-85bd-a9bcf8dccb6b&quot;,&quot;itemData&quot;:{&quot;type&quot;:&quot;article-journal&quot;,&quot;id&quot;:&quot;854f32e2-5dd6-3ad0-85bd-a9bcf8dccb6b&quot;,&quot;title&quot;:&quot;CEO Compensation and Sustainability Reporting Assurance: Evidence from the UK&quot;,&quot;author&quot;:[{&quot;family&quot;:&quot;Al-Shaer&quot;,&quot;given&quot;:&quot;Habiba&quot;,&quot;parse-names&quot;:false,&quot;dropping-particle&quot;:&quot;&quot;,&quot;non-dropping-particle&quot;:&quot;&quot;},{&quot;family&quot;:&quot;Zaman&quot;,&quot;given&quot;:&quot;Mahbub&quot;,&quot;parse-names&quot;:false,&quot;dropping-particle&quot;:&quot;&quot;,&quot;non-dropping-particle&quot;:&quot;&quot;}],&quot;container-title&quot;:&quot;Journal of Business Ethics&quot;,&quot;DOI&quot;:&quot;10.1007/s10551-017-3735-8&quot;,&quot;ISSN&quot;:&quot;15730697&quot;,&quot;issued&quot;:{&quot;date-parts&quot;:[[2019,8,15]]},&quot;page&quot;:&quot;233-252&quot;,&quot;abstract&quot;:&quot;Companies are expected to monitor sustainable behaviour to help improve performance, enhance reputation and increase chances of survival. This paper examines the relationship between sustainability committees and independent external assurance on the inclusion of sustainability-related targets in CEO compensation contracts. Using a sample of UK FTSE350 companies for 2011–2015 and controlling for governance and firm characteristics, we find both board-level sustainability committees and sustainability reporting assurance have a positive and significant association with the inclusion of sustainability terms in compensation contracts. However, there is no joint impact between the voluntary use of independent external assurance and the role of sustainability committees on CEO compensation contracts. Sustainability-related terms in compensation contracts are more likely to be included, and higher compensation is likely to be paid, when assurance is provided by a Big4 firm and when a company operates in a sustainability-sensitive industry. Our findings highlight the potential of assured sustainability reports in assessing CEO performance in sustainability-related tasks, especially when sustainability metrics are included in CEO compensation contracts. Overall, our results suggest companies that invest in voluntary assurance are more likely to monitor management’s behaviour and be concerned about the achievement of sustainability goals.&quot;,&quot;publisher&quot;:&quot;Springer Netherlands&quot;,&quot;issue&quot;:&quot;1&quot;,&quot;volume&quot;:&quot;158&quot;,&quot;container-title-short&quot;:&quot;&quot;},&quot;isTemporary&quot;:false},{&quot;id&quot;:&quot;1b6f484d-37ae-33c1-8e4c-4cc32793a8f2&quot;,&quot;itemData&quot;:{&quot;type&quot;:&quot;article-journal&quot;,&quot;id&quot;:&quot;1b6f484d-37ae-33c1-8e4c-4cc32793a8f2&quot;,&quot;title&quot;:&quot;Sustainability assurance and assurance providers: Corporate governance determinants in stakeholder-oriented countries&quot;,&quot;author&quot;:[{&quot;family&quot;:&quot;Martínez-Ferrero&quot;,&quot;given&quot;:&quot;Jennifer&quot;,&quot;parse-names&quot;:false,&quot;dropping-particle&quot;:&quot;&quot;,&quot;non-dropping-particle&quot;:&quot;&quot;},{&quot;family&quot;:&quot;García-Sánchez&quot;,&quot;given&quot;:&quot;Isabel-María&quot;,&quot;parse-names&quot;:false,&quot;dropping-particle&quot;:&quot;&quot;,&quot;non-dropping-particle&quot;:&quot;&quot;}],&quot;container-title&quot;:&quot;Journal of Management &amp; Organization&quot;,&quot;accessed&quot;:{&quot;date-parts&quot;:[[2023,4,2]]},&quot;DOI&quot;:&quot;10.1017/jmo.2016.65&quot;,&quot;URL&quot;:&quot;https://doi.org/10.1017/jmo.2016.65&quot;,&quot;issued&quot;:{&quot;date-parts&quot;:[[2016]]},&quot;page&quot;:&quot;647-670&quot;,&quot;abstract&quot;:&quot;This paper examines the effect of corporate governance mechanisms on companies' decision to assure their sustainability reports and their choice of assurance provider in countries with a greater stakeholder orientation. The corporate governance factors analyzed are related to the strength of the board's monitoring function, which is determined by the size, independence and activity of the sustainability committee. The international sample consists of 610 companies operating in countries that are more stakeholder oriented from the period 2007-2014. We propose alternative logit models of analysis using the random effects estimator. Consistently with our propositions, our results provide evidence that a firm's sustainability assurance and its choice of the accounting profession are positively associated with board independence and the activity of the sustainability committee. In addition, the empirical evidence obtained shows a U-shaped relationship between the board size and assurance issues.&quot;,&quot;volume&quot;:&quot;23&quot;,&quot;container-title-short&quot;:&quot;&quot;},&quot;isTemporary&quot;:false},{&quot;id&quot;:&quot;fcdc7033-0173-3cb4-bf45-408572c17ec7&quot;,&quot;itemData&quot;:{&quot;type&quot;:&quot;article-journal&quot;,&quot;id&quot;:&quot;fcdc7033-0173-3cb4-bf45-408572c17ec7&quot;,&quot;title&quot;:&quot;Transparency and assurance minding the credibility gap.&quot;,&quot;author&quot;:[{&quot;family&quot;:&quot;Dando&quot;,&quot;given&quot;:&quot;N.&quot;,&quot;parse-names&quot;:false,&quot;dropping-particle&quot;:&quot;&quot;,&quot;non-dropping-particle&quot;:&quot;&quot;},{&quot;family&quot;:&quot;Swift&quot;,&quot;given&quot;:&quot;T&quot;,&quot;parse-names&quot;:false,&quot;dropping-particle&quot;:&quot;&quot;,&quot;non-dropping-particle&quot;:&quot;&quot;}],&quot;container-title&quot;:&quot;Journal of Business Ethics,&quot;,&quot;accessed&quot;:{&quot;date-parts&quot;:[[2022,9,29]]},&quot;URL&quot;:&quot;https://link.springer.com/content/pdf/10.1023/A:1023351816790.pdf&quot;,&quot;issued&quot;:{&quot;date-parts&quot;:[[2003]]},&quot;page&quot;:&quot;195-200&quot;,&quot;issue&quot;:&quot;2&quot;,&quot;volume&quot;:&quot;44&quot;,&quot;container-title-short&quot;:&quot;&quot;},&quot;isTemporary&quot;:false}],&quot;citationTag&quot;:&quot;MENDELEY_CITATION_v3_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&quot;},{&quot;citationID&quot;:&quot;MENDELEY_CITATION_de61637a-dbcc-4afd-aa3f-f61c70a2f33a&quot;,&quot;properties&quot;:{&quot;noteIndex&quot;:0},&quot;isEdited&quot;:false,&quot;manualOverride&quot;:{&quot;isManuallyOverridden&quot;:true,&quot;citeprocText&quot;:&quot;(Kolk and Perego, 2010; Obayi and Ebrahimi, 2021; Young and Gad, 2022)&quot;,&quot;manualOverrideText&quot;:&quot;(Kolk and Perego, 2010; Obayi and Ebrahimi, 2021a; Young and Gad, 2022)&quot;},&quot;citationItems&quot;:[{&quot;id&quot;:&quot;306c554e-f7cc-3861-99c0-1639ed9e0141&quot;,&quot;itemData&quot;:{&quot;type&quot;:&quot;article-journal&quot;,&quot;id&quot;:&quot;306c554e-f7cc-3861-99c0-1639ed9e0141&quot;,&quot;title&quot;:&quot;Determinants of the adoption of sustainability assurance statements: An international investigation&quot;,&quot;author&quot;:[{&quot;family&quot;:&quot;Kolk&quot;,&quot;given&quot;:&quot;Ans&quot;,&quot;parse-names&quot;:false,&quot;dropping-particle&quot;:&quot;&quot;,&quot;non-dropping-particle&quot;:&quot;&quot;},{&quot;family&quot;:&quot;Perego&quot;,&quot;given&quot;:&quot;Paolo&quot;,&quot;parse-names&quot;:false,&quot;dropping-particle&quot;:&quot;&quot;,&quot;non-dropping-particle&quot;:&quot;&quot;}],&quot;container-title&quot;:&quot;Business Strategy and the Environment&quot;,&quot;container-title-short&quot;:&quot;Bus Strategy Environ&quot;,&quot;issued&quot;:{&quot;date-parts&quot;:[[2010,3]]},&quot;page&quot;:&quot;182-198&quot;,&quot;abstract&quot;:&quot;This paper explores the factors associated with voluntary decisions to assure social, environmental and sustainability reports. Since the market for assurance services in this area is in its formative stages, there is a limited understanding of the demand for this emergent non-fi nancial auditing practice, which is evolving rapidly across different countries. Drawing from extant literature in international auditing and environmental accounting, we focus on a set of country-level institutional factors to explain the adoption of sustainability assurance statements among an international panel of 212 Fortune Global 250 companies for the years 1999, 2002 and 2005. Consistent with our expectations, our results provide evidence that companies operating in countries that are more stakeholder oriented and have a weaker governance enforcement regime are more likely to adopt a sustainability assurance statement. Further, the demand for assurance is higher in countries where sustainable corporate practices are better enabled by market and institutional mechanisms. Our exploratory fi ndings also indicate that the likelihood of choosing a large accounting fi rm as assurance provider increases for companies domiciled in countries that are shareholder oriented and have a lower level of litigation. We conclude the paper by suggesting three directions of research in the area of sustainability assurance that have relevant academic and practical implications. Copyright © 2008 John Wiley &amp; Sons, Ltd and ERP Environment.&quot;,&quot;issue&quot;:&quot;3&quot;,&quot;volume&quot;:&quot;19&quot;},&quot;isTemporary&quot;:false},{&quot;id&quot;:&quot;0328897a-b571-31e2-aa19-b00f3c00c109&quot;,&quot;itemData&quot;:{&quot;type&quot;:&quot;article-journal&quot;,&quot;id&quot;:&quot;0328897a-b571-31e2-aa19-b00f3c00c109&quot;,&quot;title&quot;:&quot;A neo-institutional view of the transaction cost drivers of construction supply chain risk management&quot;,&quot;author&quot;:[{&quot;family&quot;:&quot;Obayi&quot;,&quot;given&quot;:&quot;Raymond&quot;,&quot;parse-names&quot;:false,&quot;dropping-particle&quot;:&quot;&quot;,&quot;non-dropping-particle&quot;:&quot;&quot;},{&quot;family&quot;:&quot;Ebrahimi&quot;,&quot;given&quot;:&quot;Seyed Nasrollah&quot;,&quot;parse-names&quot;:false,&quot;dropping-particle&quot;:&quot;&quot;,&quot;non-dropping-particle&quot;:&quot;&quot;}],&quot;container-title&quot;:&quot;Supply Chain Management: An International Journal&quot;,&quot;DOI&quot;:&quot;10.1108/SCM-09-2019-0350&quot;,&quot;ISSN&quot;:&quot;1359-8546&quot;,&quot;issued&quot;:{&quot;date-parts&quot;:[[2021,7,13]]},&quot;page&quot;:&quot;592-609&quot;,&quot;issue&quot;:&quot;5&quot;,&quot;volume&quot;:&quot;26&quot;,&quot;container-title-short&quot;:&quot;&quot;},&quot;isTemporary&quot;:false},{&quot;id&quot;:&quot;38773d4e-23d1-388d-9c83-5dfd0d8214af&quot;,&quot;itemData&quot;:{&quot;type&quot;:&quot;report&quot;,&quot;id&quot;:&quot;38773d4e-23d1-388d-9c83-5dfd0d8214af&quot;,&quot;title&quot;:&quot;Modern Slavery Reporting\nPractices in the UK: Evidence from Modern Slavery\nStatements and Annual Reports&quot;,&quot;author&quot;:[{&quot;family&quot;:&quot;Young&quot;,&quot;given&quot;:&quot;Steven&quot;,&quot;parse-names&quot;:false,&quot;dropping-particle&quot;:&quot;&quot;,&quot;non-dropping-particle&quot;:&quot;&quot;},{&quot;family&quot;:&quot;Gad&quot;,&quot;given&quot;:&quot;Mahmoud&quot;,&quot;parse-names&quot;:false,&quot;dropping-particle&quot;:&quot;&quot;,&quot;non-dropping-particle&quot;:&quot;&quot;}],&quot;issued&quot;:{&quot;date-parts&quot;:[[2022]]},&quot;number-of-pages&quot;:&quot;1-28&quot;,&quot;container-title-short&quot;:&quot;&quot;},&quot;isTemporary&quot;:false}],&quot;citationTag&quot;:&quot;MENDELEY_CITATION_v3_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XX0=&quot;},{&quot;citationID&quot;:&quot;MENDELEY_CITATION_8d286526-2bc7-4b2e-af2a-2c20bd3ddcea&quot;,&quot;properties&quot;:{&quot;noteIndex&quot;:0},&quot;isEdited&quot;:false,&quot;manualOverride&quot;:{&quot;isManuallyOverridden&quot;:true,&quot;citeprocText&quot;:&quot;(Lopatta &lt;i&gt;et al.&lt;/i&gt;, 2023)&quot;,&quot;manualOverrideText&quot;:&quot;Lopatta et al. (2023)&quot;},&quot;citationItems&quot;:[{&quot;id&quot;:&quot;d336c6f2-4f18-35b7-96e8-7451b44cac51&quot;,&quot;itemData&quot;:{&quot;type&quot;:&quot;article-journal&quot;,&quot;id&quot;:&quot;d336c6f2-4f18-35b7-96e8-7451b44cac51&quot;,&quot;title&quot;:&quot;The current state of corporate human rights disclosure of the global top 500 business enterprises: Measurement and determinants&quot;,&quot;author&quot;:[{&quot;family&quot;:&quot;Lopatta&quot;,&quot;given&quot;:&quot;Kerstin&quot;,&quot;parse-names&quot;:false,&quot;dropping-particle&quot;:&quot;&quot;,&quot;non-dropping-particle&quot;:&quot;&quot;},{&quot;family&quot;:&quot;Tideman&quot;,&quot;given&quot;:&quot;Sebastian A.&quot;,&quot;parse-names&quot;:false,&quot;dropping-particle&quot;:&quot;&quot;,&quot;non-dropping-particle&quot;:&quot;&quot;},{&quot;family&quot;:&quot;Scheil&quot;,&quot;given&quot;:&quot;Carolin&quot;,&quot;parse-names&quot;:false,&quot;dropping-particle&quot;:&quot;&quot;,&quot;non-dropping-particle&quot;:&quot;&quot;},{&quot;family&quot;:&quot;Makarem&quot;,&quot;given&quot;:&quot;Naser&quot;,&quot;parse-names&quot;:false,&quot;dropping-particle&quot;:&quot;&quot;,&quot;non-dropping-particle&quot;:&quot;&quot;}],&quot;container-title&quot;:&quot;Critical Perspectives on Accounting&quot;,&quot;DOI&quot;:&quot;10.1016/j.cpa.2022.102512&quot;,&quot;ISSN&quot;:&quot;10959955&quot;,&quot;issued&quot;:{&quot;date-parts&quot;:[[2023,11,1]]},&quot;abstract&quot;:&quot;This study contributes to the ongoing debate on business and human rights by providing insight into the current state and determinants of corporate human rights disclosures among the top 500 largest business enterprises worldwide. To do so, we use a 13-item human rights disclosure score to evaluate disclosure in two dimensions: scope and quality. Overall, the measured global level of corporate human rights disclosure is low, with business enterprises scoring on average only 3.72 out of 13 points. This indicates a lack of transparency, awareness, and sensitivity regarding corporate responsibility to respect human rights as described in the United Nations Guiding Principles on Business and Human Rights. However, there are considerable differences across countries. The higher-scoring business enterprises are predominantly based in Australia and Europe. Multivariate analyses reveal that corporate visibility, sector sensitivity in terms of higher litigation risk, and institutional pressure in the form of soft law are positively associated with corporate human rights disclosure levels. However, we find that current forms of national mandatory regulation do not achieve the desired impact on high-quality corporate human rights disclosure, which suggests more targeted and concrete reporting requirements as well as better enforcement may be necessary to improve corporate human rights disclosures.&quot;,&quot;publisher&quot;:&quot;Academic Press&quot;,&quot;volume&quot;:&quot;96&quot;,&quot;container-title-short&quot;:&quot;&quot;},&quot;isTemporary&quot;:false}],&quot;citationTag&quot;:&quot;MENDELEY_CITATION_v3_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&quot;},{&quot;citationID&quot;:&quot;MENDELEY_CITATION_43521aa6-beca-40e3-8eda-1447b56a7c3f&quot;,&quot;properties&quot;:{&quot;noteIndex&quot;:0},&quot;isEdited&quot;:false,&quot;manualOverride&quot;:{&quot;isManuallyOverridden&quot;:false,&quot;citeprocText&quot;:&quot;(Burritt and Christ, 2021; Strauss &lt;i&gt;et al.&lt;/i&gt;, 2025; Zhang &lt;i&gt;et al.&lt;/i&gt;, 2025)&quot;,&quot;manualOverrideText&quot;:&quot;&quot;},&quot;citationItems&quot;:[{&quot;id&quot;:&quot;654048c7-0fb1-3208-b2e8-9a5603d5f8bf&quot;,&quot;itemData&quot;:{&quot;type&quot;:&quot;report&quot;,&quot;id&quot;:&quot;654048c7-0fb1-3208-b2e8-9a5603d5f8bf&quot;,&quot;title&quot;:&quot;ESG Communication: Insights into Issue Management, Greenwashing, and Crisis Communication&quot;,&quot;author&quot;:[{&quot;family&quot;:&quot;Strauß&quot;,&quot;given&quot;:&quot;Nadine&quot;,&quot;parse-names&quot;:false,&quot;dropping-particle&quot;:&quot;&quot;,&quot;non-dropping-particle&quot;:&quot;&quot;},{&quot;family&quot;:&quot;Cinceoglu&quot;,&quot;given&quot;:&quot;Vesile&quot;,&quot;parse-names&quot;:false,&quot;dropping-particle&quot;:&quot;&quot;,&quot;non-dropping-particle&quot;:&quot;&quot;},{&quot;family&quot;:&quot;Binder-Tietz&quot;,&quot;given&quot;:&quot;Sandra&quot;,&quot;parse-names&quot;:false,&quot;dropping-particle&quot;:&quot;&quot;,&quot;non-dropping-particle&quot;:&quot;&quot;},{&quot;family&quot;:&quot;Marie&quot;,&quot;given&quot;:&quot;Ingrid&quot;,&quot;parse-names&quot;:false,&quot;dropping-particle&quot;:&quot;&quot;,&quot;non-dropping-particle&quot;:&quot;&quot;},{&quot;family&quot;:&quot;Alvarado&quot;,&quot;given&quot;:&quot;Oliva&quot;,&quot;parse-names&quot;:false,&quot;dropping-particle&quot;:&quot;&quot;,&quot;non-dropping-particle&quot;:&quot;&quot;}],&quot;issued&quot;:{&quot;date-parts&quot;:[[2025]]},&quot;container-title-short&quot;:&quot;&quot;},&quot;isTemporary&quot;:false},{&quot;id&quot;:&quot;dc5479f9-4187-39c8-bc87-871ae40c31f5&quot;,&quot;itemData&quot;:{&quot;type&quot;:&quot;article-journal&quot;,&quot;id&quot;:&quot;dc5479f9-4187-39c8-bc87-871ae40c31f5&quot;,&quot;title&quot;:&quot;How Do SMEs Strategically Response to ESG Dynamics: Evidence From US Fashion Industry&quot;,&quot;author&quot;:[{&quot;family&quot;:&quot;Zhang&quot;,&quot;given&quot;:&quot;Ruirui&quot;,&quot;parse-names&quot;:false,&quot;dropping-particle&quot;:&quot;&quot;,&quot;non-dropping-particle&quot;:&quot;&quot;},{&quot;family&quot;:&quot;Tung&quot;,&quot;given&quot;:&quot;Tracie&quot;,&quot;parse-names&quot;:false,&quot;dropping-particle&quot;:&quot;&quot;,&quot;non-dropping-particle&quot;:&quot;&quot;},{&quot;family&quot;:&quot;Lang&quot;,&quot;given&quot;:&quot;Chunmin&quot;,&quot;parse-names&quot;:false,&quot;dropping-particle&quot;:&quot;&quot;,&quot;non-dropping-particle&quot;:&quot;&quot;}],&quot;container-title&quot;:&quot;Business Strategy and the Environment&quot;,&quot;container-title-short&quot;:&quot;Bus Strategy Environ&quot;,&quot;DOI&quot;:&quot;10.1002/bse.70133&quot;,&quot;ISSN&quot;:&quot;10990836&quot;,&quot;issued&quot;:{&quot;date-parts&quot;:[[2025]]},&quot;abstract&quot;:&quot;As ESG reporting becomes a strategic priority, small fashion businesses in the United States face mounting institutional pressure despite limited resources and ambiguous regulatory guidance. This study explores how these firms navigate ESG disclosure by analyzing 31 institutional themes through the lens of institutional theory. Findings reveal that companies employ varied strategic responses, including avoidance, acquiescence, defiance, and compromise, depending on how they interpret and manage external pressures. These responses reflect not only resource constraints but also differing perceptions of legitimacy and strategic alignment. The paper contributes to a nuanced understanding of how small enterprises negotiate fragmented institutional environments in the evolving ESG landscape.&quot;,&quot;publisher&quot;:&quot;John Wiley and Sons Ltd&quot;},&quot;isTemporary&quot;:false},{&quot;id&quot;:&quot;f8ea0c0d-9691-3d82-9d7f-4561d5202dfe&quot;,&quot;itemData&quot;:{&quot;type&quot;:&quot;article-journal&quot;,&quot;id&quot;:&quot;f8ea0c0d-9691-3d82-9d7f-4561d5202dfe&quot;,&quot;title&quot;:&quot;Exploring effectiveness of entity actions to eliminate modern slavery risk – Early Australian evidence&quot;,&quot;author&quot;:[{&quot;family&quot;:&quot;Burritt&quot;,&quot;given&quot;:&quot;Roger Leonard&quot;,&quot;parse-names&quot;:false,&quot;dropping-particle&quot;:&quot;&quot;,&quot;non-dropping-particle&quot;:&quot;&quot;},{&quot;family&quot;:&quot;Christ&quot;,&quot;given&quot;:&quot;Katherine Leanne&quot;,&quot;parse-names&quot;:false,&quot;dropping-particle&quot;:&quot;&quot;,&quot;non-dropping-particle&quot;:&quot;&quot;}],&quot;container-title&quot;:&quot; The British Accounting Review&quot;,&quot;ISSN&quot;:&quot;10958347&quot;,&quot;issued&quot;:{&quot;date-parts&quot;:[[2021]]},&quot;abstract&quot;:&quot;The need for entities to eliminate the unethical and illegal practice of modern slavery in their operations and supply chains has led different jurisdictions to require large entities to report on how they assess the effectiveness of actions taken. In Australia, to build awareness of practices for internal and external stakeholders, the Australian Modern Slavery Act 2018 (Cth) mandates annual reporting in modern slavery statements and provides guidance as to how effectiveness of actions might be reported on. Based on theories/frameworks/models from literature addressing organisational effectiveness, an inductive analysis is conducted on the first 255 modern slavery statements published on the Australian Modern Slavery Register. Results indicate great diversity in approaches to reporting on effectiveness of actions, ranging from a total lack of reporting, through basic compliance, to going beyond compliance. The observations are used to develop a comprehensive framework for assessment of organisational effectiveness and an assessment of the extent to which current effectiveness theories/frameworks/models can guide future developments. The paper suggests adoption of the proposed framework can lead entities to improved transparency and validation of the effectiveness of their actions, as an important first step towards elimination of modern slavery in their supply chains.&quot;,&quot;publisher&quot;:&quot;Academic Press&quot;,&quot;container-title-short&quot;:&quot;&quot;},&quot;isTemporary&quot;:false}],&quot;citationTag&quot;:&quot;MENDELEY_CITATION_v3_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&quot;},{&quot;citationID&quot;:&quot;MENDELEY_CITATION_4c963b47-e885-4474-b5f7-7da4ff72332f&quot;,&quot;properties&quot;:{&quot;noteIndex&quot;:0},&quot;isEdited&quot;:false,&quot;manualOverride&quot;:{&quot;isManuallyOverridden&quot;:false,&quot;citeprocText&quot;:&quot;(DiMaggio and Powell, 198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citationTag&quot;:&quot;MENDELEY_CITATION_v3_eyJjaXRhdGlvbklEIjoiTUVOREVMRVlfQ0lUQVRJT05fNGM5NjNiNDctZTg4NS00NDc0LWI1ZjctN2RhNGZmNzIzMzJmIiwicHJvcGVydGllcyI6eyJub3RlSW5kZXgiOjB9LCJpc0VkaXRlZCI6ZmFsc2UsIm1hbnVhbE92ZXJyaWRlIjp7ImlzTWFudWFsbHlPdmVycmlkZGVuIjpmYWxzZSwiY2l0ZXByb2NUZXh0IjoiKERpTWFnZ2lvIGFuZCBQb3dlbGwsIDE5OD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quot;},{&quot;citationID&quot;:&quot;MENDELEY_CITATION_ca87f39f-2905-40da-a987-502d076e181b&quot;,&quot;properties&quot;:{&quot;noteIndex&quot;:0},&quot;isEdited&quot;:false,&quot;manualOverride&quot;:{&quot;isManuallyOverridden&quot;:false,&quot;citeprocText&quot;:&quot;(Moussa &lt;i&gt;et al.&lt;/i&gt;, 2023; Vidal &lt;i&gt;et al.&lt;/i&gt;, 2023)&quot;,&quot;manualOverrideText&quot;:&quot;&quot;},&quot;citationItems&quot;:[{&quot;id&quot;:&quot;672531eb-5245-300e-8778-f5d0052546ed&quot;,&quot;itemData&quot;:{&quot;type&quot;:&quot;article-journal&quot;,&quot;id&quot;:&quot;672531eb-5245-300e-8778-f5d0052546ed&quot;,&quot;title&quot;:&quot;An examination of UK companies' modern slavery disclosure practices: Does board gender diversity matter?&quot;,&quot;author&quot;:[{&quot;family&quot;:&quot;Moussa&quot;,&quot;given&quot;:&quot;Tantawy&quot;,&quot;parse-names&quot;:false,&quot;dropping-particle&quot;:&quot;&quot;,&quot;non-dropping-particle&quot;:&quot;&quot;},{&quot;family&quot;:&quot;Allam&quot;,&quot;given&quot;:&quot;| 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accessed&quot;:{&quot;date-parts&quot;:[[2023,4,27]]},&quot;DOI&quot;:&quot;10.1002/BSE.3426&quot;,&quot;ISSN&quot;:&quot;1099-0836&quot;,&quot;URL&quot;:&quot;https://onlinelibrary.wiley.com/doi/full/10.1002/bse.3426&quot;,&quot;issued&quot;:{&quot;date-parts&quot;:[[2023,4,25]]},&quot;abstract&quot;:&quot;The United Nations' Sustainable Development Goals persuade governments and businesses to fight modern slavery as part of the 2030 Agenda for Sustainable Development. The UK government took the initiative by introducing the Modern Slavery Act in 2015. Despite this, little is known about how companies disclose information about their efforts to tackle modern slavery as required by the Act and the role of corporate governance as a determinant of modern slavery disclosure (MSD) levels. This study, therefore, investigates the extent to which companies engage in MSD and empirically examines the impact of board gender diversity (BGD) on MSD. Based on a content analysis of FTSE 100 companies' modern slavery statements during the 2016-2020 period, we find that MSD improved over time but is still relatively low. Our results show that companies pay less attention to the core practices of modern slavery, such as key performance indicators (KPIs), due diligence procedures, risk assessment and management, and training. This evidence suggests that companies tend to comply with the Act by focusing largely on symbolic structures rather than providing a comprehensive disclosure of their impacts on modern slavery practices to minimise regulatory risks and manage stakeholders' perceptions. We also find that boards with greater female representation have a positive and significant association with MSD. This finding is consistent with the gender socialisation theory in that women are more sensitive to communal values and ethics. Consequently, companies with a greater proportion of female directors are more transparent about their strategies and actions related to fighting modern slavery. Furthermore, a critical mass of at least four female directors is necessary before any positive impact on MSD can be observed. Our findings shed new light on this under-researched area and the role of female directors in addressing modern slavery risk and can be of interest to companies , policymakers, and other stakeholders.&quot;,&quot;publisher&quot;:&quot;John Wiley &amp; Sons, Ltd&quot;,&quot;container-title-short&quot;:&quot;Bus Strategy Environ&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XX0=&quot;},{&quot;citationID&quot;:&quot;MENDELEY_CITATION_cdd07831-925d-4f5f-8b75-fa9a85280cb3&quot;,&quot;properties&quot;:{&quot;noteIndex&quot;:0},&quot;isEdited&quot;:false,&quot;manualOverride&quot;:{&quot;isManuallyOverridden&quot;:false,&quot;citeprocText&quot;:&quot;(García-Sánchez &lt;i&gt;et al.&lt;/i&gt;, 2022; Rogerson and Parry, 2020)&quot;,&quot;manualOverrideText&quot;:&quot;&quot;},&quot;citationItems&quot;:[{&quot;id&quot;:&quot;8b6df0d7-d24c-3eb9-8246-e52c0f324f08&quot;,&quot;itemData&quot;:{&quot;type&quot;:&quot;article-journal&quot;,&quot;id&quot;:&quot;8b6df0d7-d24c-3eb9-8246-e52c0f324f08&quot;,&quot;title&quot;:&quot;Assurance of corporate social responsibility reports: Does it reduce decoupling practices?&quot;,&quot;author&quot;:[{&quot;family&quot;:&quot;García-Sánchez&quot;,&quot;given&quot;:&quot;Isabel María&quot;,&quot;parse-names&quot;:false,&quot;dropping-particle&quot;:&quot;&quot;,&quot;non-dropping-particle&quot;:&quot;&quot;},{&quot;family&quot;:&quot;Hussain&quot;,&quot;given&quot;:&quot;Nazim&quot;,&quot;parse-names&quot;:false,&quot;dropping-particle&quot;:&quot;&quot;,&quot;non-dropping-particle&quot;:&quot;&quot;},{&quot;family&quot;:&quot;Aibar-Guzmán&quot;,&quot;given&quot;:&quot;Cristina&quot;,&quot;parse-names&quot;:false,&quot;dropping-particle&quot;:&quot;&quot;,&quot;non-dropping-particle&quot;:&quot;&quot;},{&quot;family&quot;:&quot;Aibar-Guzmán&quot;,&quot;given&quot;:&quot;Beatriz&quot;,&quot;parse-names&quot;:false,&quot;dropping-particle&quot;:&quot;&quot;,&quot;non-dropping-particle&quot;:&quot;&quot;}],&quot;container-title&quot;:&quot;Business Ethics, Environment and Responsibility&quot;,&quot;DOI&quot;:&quot;10.1111/beer.12394&quot;,&quot;ISSN&quot;:&quot;26946424&quot;,&quot;issued&quot;:{&quot;date-parts&quot;:[[2022,1,1]]},&quot;page&quot;:&quot;118-138&quot;,&quot;abstract&quot;:&quot;Recent research shows the existence of a selective corporate social responsibility (CSR) disclosure strategy that creates a gap between CSR disclosure and actual performance. These CSR decoupling practices compromise the credibility of CSR reports and have triggered a demand for the adoption of credibility enhancement mechanisms, such as adherence to the global reporting initiative (GRI) reporting guidelines, and the external assurance of CSR reports. The effectiveness of such mechanisms is not clear, however. This paper draws on legitimacy theory and addresses the issue of symbolic versus substantive use of assurance, and compliance with GRI reporting standards, by analysing their effect on CSR decoupling using an international sample of 1,939 companies (15,219 observations from 2002 to 2017). Analysis of a sub-sample of 708 firms (3,730 observations from 2011 to 2017) also shows that the application of GRI guidelines and the specific characteristics of the assurance provider—accountant, experience and specialisation—reduce CSR decoupling practices. The results provide researchers, managers, assurance providers, investors, stakeholders and regulators with additional insight into the value of the external assurance of sustainability reports and have important managerial and policy implications.&quot;,&quot;publisher&quot;:&quot;John Wiley and Sons Inc&quot;,&quot;issue&quot;:&quot;1&quot;,&quot;volume&quot;:&quot;31&quot;,&quot;container-title-short&quot;:&quot;&quot;},&quot;isTemporary&quot;:false},{&quot;id&quot;:&quot;0318c5d3-ca9f-3a55-9e75-e4153721fd82&quot;,&quot;itemData&quot;:{&quot;type&quot;:&quot;article-journal&quot;,&quot;id&quot;:&quot;0318c5d3-ca9f-3a55-9e75-e4153721fd82&quot;,&quot;title&quot;:&quot;Blockchain: case studies in food supply chain visibility&quot;,&quot;author&quot;:[{&quot;family&quot;:&quot;Rogerson&quot;,&quot;given&quot;:&quot;Michael&quot;,&quot;parse-names&quot;:false,&quot;dropping-particle&quot;:&quot;&quot;,&quot;non-dropping-particle&quot;:&quot;&quot;},{&quot;family&quot;:&quot;Parry&quot;,&quot;given&quot;:&quot;Glenn C.&quot;,&quot;parse-names&quot;:false,&quot;dropping-particle&quot;:&quot;&quot;,&quot;non-dropping-particle&quot;:&quot;&quot;}],&quot;container-title&quot;:&quot;Supply Chain Management: An International Journal&quot;,&quot;DOI&quot;:&quot;10.1108/SCM-08-2019-0300&quot;,&quot;ISSN&quot;:&quot;13598546&quot;,&quot;issued&quot;:{&quot;date-parts&quot;:[[2020,6,16]]},&quot;page&quot;:&quot;601-614&quot;,&quot;abstract&quot;:&quot;Purpose: This paper aims to investigate how blockchain has moved beyond cryptocurrencies and is being deployed to enhance visibility and trust in supply chains, their limitations and potential impact. Design/methodology/approach: Qualitative analysis are undertaken via case studies drawn from food companies using semi-structured interviews. Findings: Blockchain is demonstrated as an enabler of visibility in supply chains. Applications at scale are most likely for products where the end consumer is prepared to pay the premium currently required to fund the technology, e.g. baby food. Challenges remain in four areas: trust of the technology, human error and fraud at the boundaries, governance, consumer data access and willingness to pay. Research limitations/implications: The paper shows that blockchain can be utilised as part of a system generating visibility and trust in supply chains. Research directs academic attention to issues that remain to be addressed. The challenges pertaining to the technology itself we believe to be generalisable; those specific to the food industry may not hold elsewhere. Practical implications: From live case studies, we provide empirical evidence that blockchain provides visibility of exchanges and reliable data in fully digitised supply chains. This provides provenance and guards against counterfeit goods. However, firms will need to work to gain consumer buy-in for the technology following repeated past claims of trustworthiness. Originality/value: This paper provides primary evidence from blockchain use cases “in the wild”. The exploratory case studies examine application of blockchain for supply chain visibility.&quot;,&quot;publisher&quot;:&quot;Emerald Group Holdings Ltd.&quot;,&quot;issue&quot;:&quot;5&quot;,&quot;volume&quot;:&quot;25&quot;,&quot;container-title-short&quot;:&quot;&quot;},&quot;isTemporary&quot;:false}],&quot;citationTag&quot;:&quot;MENDELEY_CITATION_v3_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&quot;},{&quot;citationID&quot;:&quot;MENDELEY_CITATION_efa2557b-e313-4289-ab1f-250506bce852&quot;,&quot;properties&quot;:{&quot;noteIndex&quot;:0},&quot;isEdited&quot;:false,&quot;manualOverride&quot;:{&quot;isManuallyOverridden&quot;:false,&quot;citeprocText&quot;:&quot;(Crane &lt;i&gt;et al.&lt;/i&gt;, 2019; Vidal &lt;i&gt;et al.&lt;/i&gt;, 2023)&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quot;},{&quot;citationID&quot;:&quot;MENDELEY_CITATION_ce41da57-e866-4b98-998f-b5186688dde6&quot;,&quot;properties&quot;:{&quot;noteIndex&quot;:0},&quot;isEdited&quot;:false,&quot;manualOverride&quot;:{&quot;isManuallyOverridden&quot;:false,&quot;citeprocText&quot;:&quot;(Crane &lt;i&gt;et al.&lt;/i&gt;, 2019; Moussa &lt;i&gt;et al.&lt;/i&gt;, 2022; Shepherd &lt;i&gt;et al.&lt;/i&gt;, 2022)&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c6d97186-ec45-3455-8e43-6375ad398c58&quot;,&quot;itemData&quot;:{&quot;type&quot;:&quot;article-journal&quot;,&quot;id&quot;:&quot;c6d97186-ec45-3455-8e43-6375ad398c58&quot;,&quot;title&quot;:&quot;Organizing the Exploitation of Vulnerable People: A Qualitative Assessment of Human Trafficking&quot;,&quot;author&quot;:[{&quot;family&quot;:&quot;Shepherd&quot;,&quot;given&quot;:&quot;Dean A.&quot;,&quot;parse-names&quot;:false,&quot;dropping-particle&quot;:&quot;&quot;,&quot;non-dropping-particle&quot;:&quot;&quot;},{&quot;family&quot;:&quot;Parida&quot;,&quot;given&quot;:&quot;Vinit&quot;,&quot;parse-names&quot;:false,&quot;dropping-particle&quot;:&quot;&quot;,&quot;non-dropping-particle&quot;:&quot;&quot;},{&quot;family&quot;:&quot;Williams&quot;,&quot;given&quot;:&quot;Trent&quot;,&quot;parse-names&quot;:false,&quot;dropping-particle&quot;:&quot;&quot;,&quot;non-dropping-particle&quot;:&quot;&quot;},{&quot;family&quot;:&quot;Wincent&quot;,&quot;given&quot;:&quot;Joakim&quot;,&quot;parse-names&quot;:false,&quot;dropping-particle&quot;:&quot;&quot;,&quot;non-dropping-particle&quot;:&quot;&quot;}],&quot;container-title&quot;:&quot;Journal of Management&quot;,&quot;container-title-short&quot;:&quot;J Manage&quot;,&quot;DOI&quot;:&quot;10.1177/01492063211046908&quot;,&quot;ISSN&quot;:&quot;15571211&quot;,&quot;issued&quot;:{&quot;date-parts&quot;:[[2022,11,1]]},&quot;page&quot;:&quot;2421-2457&quot;,&quot;abstract&quot;:&quot;Focusing on the organizing practices by which vulnerable individuals are exploited for their labor, we build a model that depicts how human traffickers systematically target impoverished girls and women and transform their autonomous objection into unquestioned compliance. Drawing from qualitative interviews with women forced into labor in the sex industry, human traffickers, brothel managers, and other sources (e.g., doctors, nongovernment organizations, and police officers fighting human trafficking), we inductively theorize that organizing of vulnerable individuals for human exploitation involves four interrelated practices—(1) deceptive recruiting of the vulnerable, (2) entrapping through isolation, (3) extinguishing alternatives by building barriers, and (4) converting the exploited into exploiters—that together erode and eventually eliminate workers’ autonomy. We conclude by discussing implications of our research for theory—specifically, the literature on human exploitation and loss of worker agency.&quot;,&quot;publisher&quot;:&quot;SAGE Publications Inc.&quot;,&quot;issue&quot;:&quot;8&quot;,&quot;volume&quot;:&quot;48&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Y2U0MWRhNTctZTg2Ni00Yjk4LTk5OGYtYjUxODY2ODhkZGU2IiwicHJvcGVydGllcyI6eyJub3RlSW5kZXgiOjB9LCJpc0VkaXRlZCI6ZmFsc2UsIm1hbnVhbE92ZXJyaWRlIjp7ImlzTWFudWFsbHlPdmVycmlkZGVuIjpmYWxzZSwiY2l0ZXByb2NUZXh0IjoiKENyYW5lIDxpPmV0IGFsLjwvaT4sIDIwMTk7IE1vdXNzYSA8aT5ldCBhbC48L2k+LCAyMDIyOyBTaGVwaGVyZCA8aT5ldCBhbC48L2k+LCAyMDIy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quot;},{&quot;citationID&quot;:&quot;MENDELEY_CITATION_73f849c6-86c9-4e71-bd3e-d8c357c76fdb&quot;,&quot;properties&quot;:{&quot;noteIndex&quot;:0},&quot;isEdited&quot;:false,&quot;manualOverride&quot;:{&quot;isManuallyOverridden&quot;:true,&quot;citeprocText&quot;:&quot;(HR Government, 2015; KPMG, 2023; Vidal &lt;i&gt;et al.&lt;/i&gt;, 2023)&quot;,&quot;manualOverrideText&quot;:&quot;(HR Government, 2015; KPMG, 2023; Makower, 2023; Vidal et al., 2023)&quot;},&quot;citationItems&quot;:[{&quot;id&quot;:&quot;5283ed9a-20c3-3d04-91ed-83325e912058&quot;,&quot;itemData&quot;:{&quot;type&quot;:&quot;legislation&quot;,&quot;id&quot;:&quot;5283ed9a-20c3-3d04-91ed-83325e912058&quot;,&quot;title&quot;:&quot;Modern Slavery Act 2015&quot;,&quot;author&quot;:[{&quot;family&quot;:&quot;HR Government&quot;,&quot;given&quot;:&quot;&quot;,&quot;parse-names&quot;:false,&quot;dropping-particle&quot;:&quot;&quot;,&quot;non-dropping-particle&quot;:&quot;&quot;}],&quot;container-title&quot;:&quot;TSO (The Stationery Office), The Houses of Parliament&quot;,&quot;URL&quot;:&quot;http://www.legislation.gov.uk/ukpga/2015/30/pdfs/ukpga_20150030_en.pdf&quot;,&quot;issued&quot;:{&quot;date-parts&quot;:[[2015]]},&quot;publisher-place&quot;:&quot;London&quot;,&quot;page&quot;:&quot;84&quot;,&quot;abstract&quot;:&quot;An Act to make provision about slavery, servitude and forced or compulsory labour and about human trafficking, including provision for the protection of victims; to make provision for an Independent Anti-slavery Commissioner; and for connected purposes.&quot;,&quot;issue&quot;:&quot;March&quot;,&quot;container-title-short&quot;:&quot;&quot;},&quot;isTemporary&quot;:false},{&quot;id&quot;:&quot;8b3bf09b-e329-3703-9726-d250de6ddd55&quot;,&quot;itemData&quot;:{&quot;type&quot;:&quot;webpage&quot;,&quot;id&quot;:&quot;8b3bf09b-e329-3703-9726-d250de6ddd55&quot;,&quot;title&quot;:&quot;The EU’s Corporate Sustainability Due Diligence Directive Human Rights and the Environment&quot;,&quot;author&quot;:[{&quot;family&quot;:&quot;KPMG&quot;,&quot;given&quot;:&quot;&quot;,&quot;parse-names&quot;:false,&quot;dropping-particle&quot;:&quot;&quot;,&quot;non-dropping-particle&quot;:&quot;&quot;}],&quot;accessed&quot;:{&quot;date-parts&quot;:[[2023,6,20]]},&quot;URL&quot;:&quot;https://kpmg.com/xx/en/home/insights/2023/02/the-eu-corporate-sustainability-due-diligence-directive.html&quot;,&quot;issued&quot;:{&quot;date-parts&quot;:[[2023]]},&quot;container-title-short&quot;:&quot;&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&quot;},{&quot;citationID&quot;:&quot;MENDELEY_CITATION_1570e70a-cbd0-40cf-a33e-cb20b24da4a4&quot;,&quot;properties&quot;:{&quot;noteIndex&quot;:0},&quot;isEdited&quot;:false,&quot;manualOverride&quot;:{&quot;isManuallyOverridden&quot;:false,&quot;citeprocText&quot;:&quot;(DiMaggio and Powell, 1983; Ntim and Soobaroyen, 2013; Vidal &lt;i&gt;et al.&lt;/i&gt;, 202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MTU3MGU3MGEtY2JkMC00MGNmLWEzM2UtY2IyMGIyNGRhNGE0IiwicHJvcGVydGllcyI6eyJub3RlSW5kZXgiOjB9LCJpc0VkaXRlZCI6ZmFsc2UsIm1hbnVhbE92ZXJyaWRlIjp7ImlzTWFudWFsbHlPdmVycmlkZGVuIjpmYWxzZSwiY2l0ZXByb2NUZXh0IjoiKERpTWFnZ2lvIGFuZCBQb3dlbGwsIDE5ODM7IE50aW0gYW5kIFNvb2Jhcm95ZW4sIDIwMTM7IFZpZGFsIDxpPmV0IGFsLjwvaT4sIDIwMjMpIiwibWFudWFsT3ZlcnJpZGVUZXh0IjoiIn0sImNpdGF0aW9uSXRlbXMiOlt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V19&quot;},{&quot;citationID&quot;:&quot;MENDELEY_CITATION_10b0b0be-0e96-46cc-b8af-a9e521dc579a&quot;,&quot;properties&quot;:{&quot;noteIndex&quot;:0},&quot;isEdited&quot;:false,&quot;manualOverride&quot;:{&quot;isManuallyOverridden&quot;:false,&quot;citeprocText&quot;:&quot;(Meyer and Rowan, 1977)&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citationTag&quot;:&quot;MENDELEY_CITATION_v3_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&quot;},{&quot;citationID&quot;:&quot;MENDELEY_CITATION_5cef0f40-af72-4842-a272-199de5f6bee6&quot;,&quot;properties&quot;:{&quot;noteIndex&quot;:0},&quot;isEdited&quot;:false,&quot;manualOverride&quot;:{&quot;isManuallyOverridden&quot;:false,&quot;citeprocText&quot;:&quot;(Flynn and Walker, 2021b; Moussa &lt;i&gt;et al.&lt;/i&gt;, 2023; Vidal &lt;i&gt;et al.&lt;/i&gt;, 2023)&quot;,&quot;manualOverrideText&quot;:&quot;&quot;},&quot;citationItems&quot;:[{&quot;id&quot;:&quot;336c159a-b55a-33bb-b8a0-14b7a77aeb9d&quot;,&quot;itemData&quot;:{&quot;type&quot;:&quot;article-journal&quot;,&quot;id&quot;:&quot;336c159a-b55a-33bb-b8a0-14b7a77aeb9d&quot;,&quot;title&quot;:&quot;Corporate responses to modern slavery risks: an institutional theory perspective&quot;,&quot;author&quot;:[{&quot;family&quot;:&quot;Flynn&quot;,&quot;given&quot;:&quot;Anthony&quot;,&quot;parse-names&quot;:false,&quot;dropping-particle&quot;:&quot;&quot;,&quot;non-dropping-particle&quot;:&quot;&quot;},{&quot;family&quot;:&quot;Walker&quot;,&quot;given&quot;:&quot;Helen&quot;,&quot;parse-names&quot;:false,&quot;dropping-particle&quot;:&quot;&quot;,&quot;non-dropping-particle&quot;:&quot;&quot;}],&quot;container-title&quot;:&quot;European Business Review&quot;,&quot;DOI&quot;:&quot;10.1108/EBR-05-2019-0092&quot;,&quot;ISSN&quot;:&quot;0955534X&quot;,&quot;issued&quot;:{&quot;date-parts&quot;:[[2021,2,4]]},&quot;page&quot;:&quot;295-315&quot;,&quot;abstract&quot;:&quot;Purpose: Drawing on statements made under the transparency in supply chains provision of the UK Modern Slavery Act, this paper aims to examine how firms are responding to modern slavery risks in their supply chains. Design/methodology/approach: Using an institutional theory lens, a content analysis of modern slavery statements by financial times stock exchange (FTSE) firms is carried out. The analysis focusses on sources of modern slavery institutional pressure and changes that firms have made in their structures, policies and practices in response to modern slavery risks. Findings: Three sources of institutional pressure are inferred from modern slavery statements: international human rights accords (coercive), multi-stakeholder initiatives (mimetic) and professional standards (normative). Changes made by firms in direct response to modern slavery include adopting new policies, strengthening contract terms, establishing working/steering groups and creating new key performance indicators. FTSE 100 firms have been more proactive than FTSE 250 firms in making these changes, as have firms in higher risk industries. Research limitations/implications: The analysis covers FTSE firms only. Responses to modern slavery risks by non-FTSE firms deserve attention. Practical implications: The UK Modern Slavery Act relies on non-government organisations and consumers to hold firms to account over modern slavery. Policymakers should be aware that while this strategy might work with high profile firms, it is less applicable to firms that operate below the public radar. Originality/value: The paper shows that institutional theory has validity for explaining corporate responses to modern slavery risks.&quot;,&quot;publisher&quot;:&quot;Emerald Group Holdings Ltd.&quot;,&quot;issue&quot;:&quot;2&quot;,&quot;volume&quot;:&quot;33&quot;,&quot;container-title-short&quot;:&quot;&quot;},&quot;isTemporary&quot;:false},{&quot;id&quot;:&quot;672531eb-5245-300e-8778-f5d0052546ed&quot;,&quot;itemData&quot;:{&quot;type&quot;:&quot;article-journal&quot;,&quot;id&quot;:&quot;672531eb-5245-300e-8778-f5d0052546ed&quot;,&quot;title&quot;:&quot;An examination of UK companies' modern slavery disclosure practices: Does board gender diversity matter?&quot;,&quot;author&quot;:[{&quot;family&quot;:&quot;Moussa&quot;,&quot;given&quot;:&quot;Tantawy&quot;,&quot;parse-names&quot;:false,&quot;dropping-particle&quot;:&quot;&quot;,&quot;non-dropping-particle&quot;:&quot;&quot;},{&quot;family&quot;:&quot;Allam&quot;,&quot;given&quot;:&quot;| 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accessed&quot;:{&quot;date-parts&quot;:[[2023,4,27]]},&quot;DOI&quot;:&quot;10.1002/BSE.3426&quot;,&quot;ISSN&quot;:&quot;1099-0836&quot;,&quot;URL&quot;:&quot;https://onlinelibrary.wiley.com/doi/full/10.1002/bse.3426&quot;,&quot;issued&quot;:{&quot;date-parts&quot;:[[2023,4,25]]},&quot;abstract&quot;:&quot;The United Nations' Sustainable Development Goals persuade governments and businesses to fight modern slavery as part of the 2030 Agenda for Sustainable Development. The UK government took the initiative by introducing the Modern Slavery Act in 2015. Despite this, little is known about how companies disclose information about their efforts to tackle modern slavery as required by the Act and the role of corporate governance as a determinant of modern slavery disclosure (MSD) levels. This study, therefore, investigates the extent to which companies engage in MSD and empirically examines the impact of board gender diversity (BGD) on MSD. Based on a content analysis of FTSE 100 companies' modern slavery statements during the 2016-2020 period, we find that MSD improved over time but is still relatively low. Our results show that companies pay less attention to the core practices of modern slavery, such as key performance indicators (KPIs), due diligence procedures, risk assessment and management, and training. This evidence suggests that companies tend to comply with the Act by focusing largely on symbolic structures rather than providing a comprehensive disclosure of their impacts on modern slavery practices to minimise regulatory risks and manage stakeholders' perceptions. We also find that boards with greater female representation have a positive and significant association with MSD. This finding is consistent with the gender socialisation theory in that women are more sensitive to communal values and ethics. Consequently, companies with a greater proportion of female directors are more transparent about their strategies and actions related to fighting modern slavery. Furthermore, a critical mass of at least four female directors is necessary before any positive impact on MSD can be observed. Our findings shed new light on this under-researched area and the role of female directors in addressing modern slavery risk and can be of interest to companies , policymakers, and other stakeholders.&quot;,&quot;publisher&quot;:&quot;John Wiley &amp; Sons, Ltd&quot;,&quot;container-title-short&quot;:&quot;Bus Strategy Environ&quot;},&quot;isTemporary&quot;:false},{&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citationTag&quot;:&quot;MENDELEY_CITATION_v3_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&quot;},{&quot;citationID&quot;:&quot;MENDELEY_CITATION_a3e6205f-917d-44e2-82a2-76359c6443f3&quot;,&quot;properties&quot;:{&quot;noteIndex&quot;:0},&quot;isEdited&quot;:false,&quot;manualOverride&quot;:{&quot;isManuallyOverridden&quot;:false,&quot;citeprocText&quot;:&quot;(DiMaggio and Powell, 1983; 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citationTag&quot;:&quot;MENDELEY_CITATION_v3_eyJjaXRhdGlvbklEIjoiTUVOREVMRVlfQ0lUQVRJT05fYTNlNjIwNWYtOTE3ZC00NGUyLTgyYTItNzYzNTljNjQ0M2YzIiwicHJvcGVydGllcyI6eyJub3RlSW5kZXgiOjB9LCJpc0VkaXRlZCI6ZmFsc2UsIm1hbnVhbE92ZXJyaWRlIjp7ImlzTWFudWFsbHlPdmVycmlkZGVuIjpmYWxzZSwiY2l0ZXByb2NUZXh0IjoiKERpTWFnZ2lvIGFuZCBQb3dlbGwsIDE5ODM7I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0s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XX0=&quot;},{&quot;citationID&quot;:&quot;MENDELEY_CITATION_8bce021c-6a0c-469c-9c11-33d05c51b06d&quot;,&quot;properties&quot;:{&quot;noteIndex&quot;:0},&quot;isEdited&quot;:false,&quot;manualOverride&quot;:{&quot;isManuallyOverridden&quot;:false,&quot;citeprocText&quot;:&quot;(Creswell and Plano, 2018)&quot;,&quot;manualOverrideText&quot;:&quot;&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OGJjZTAyMWMtNmEwYy00NjljLTljMTEtMzNkMDVjNTFiMDZk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quot;},{&quot;citationID&quot;:&quot;MENDELEY_CITATION_8c7a603e-bc1b-467f-aebc-ed84f8e66300&quot;,&quot;properties&quot;:{&quot;noteIndex&quot;:0},&quot;isEdited&quot;:false,&quot;manualOverride&quot;:{&quot;isManuallyOverridden&quot;:true,&quot;citeprocText&quot;:&quot;(Bell &lt;i&gt;et al.&lt;/i&gt;, 2019; Bryman and Bell, 2015)&quot;,&quot;manualOverrideText&quot;:&quot;Bryman and Bell (2015) and Bell et al (2019)&quot;},&quot;citationItems&quot;:[{&quot;id&quot;:&quot;941c3a12-d4dd-30c5-a479-1507c54e8745&quot;,&quot;itemData&quot;:{&quot;type&quot;:&quot;book&quot;,&quot;id&quot;:&quot;941c3a12-d4dd-30c5-a479-1507c54e8745&quot;,&quot;title&quot;:&quot;Business Research Methods&quot;,&quot;author&quot;:[{&quot;family&quot;:&quot;Bell&quot;,&quot;given&quot;:&quot;Emma&quot;,&quot;parse-names&quot;:false,&quot;dropping-particle&quot;:&quot;&quot;,&quot;non-dropping-particle&quot;:&quot;&quot;},{&quot;family&quot;:&quot;Bryman&quot;,&quot;given&quot;:&quot;Alan&quot;,&quot;parse-names&quot;:false,&quot;dropping-particle&quot;:&quot;&quot;,&quot;non-dropping-particle&quot;:&quot;&quot;},{&quot;family&quot;:&quot;Harley&quot;,&quot;given&quot;:&quot;Bill&quot;,&quot;parse-names&quot;:false,&quot;dropping-particle&quot;:&quot;&quot;,&quot;non-dropping-particle&quot;:&quot;&quot;}],&quot;issued&quot;:{&quot;date-parts&quot;:[[2019]]},&quot;publisher-place&quot;:&quot;Oxford&quot;,&quot;edition&quot;:&quot;6&quot;,&quot;publisher&quot;:&quot;Oxford iniversity Press&quot;,&quot;container-title-short&quot;:&quot;&quot;},&quot;isTemporary&quot;:false},{&quot;id&quot;:&quot;0c4d008a-515b-3dfd-ad00-53942057f219&quot;,&quot;itemData&quot;:{&quot;type&quot;:&quot;book&quot;,&quot;id&quot;:&quot;0c4d008a-515b-3dfd-ad00-53942057f219&quot;,&quot;title&quot;:&quot;Business Research Methods&quot;,&quot;author&quot;:[{&quot;family&quot;:&quot;Bryman&quot;,&quot;given&quot;:&quot;Alan.&quot;,&quot;parse-names&quot;:false,&quot;dropping-particle&quot;:&quot;&quot;,&quot;non-dropping-particle&quot;:&quot;&quot;},{&quot;family&quot;:&quot;Bell&quot;,&quot;given&quot;:&quot;Emma.&quot;,&quot;parse-names&quot;:false,&quot;dropping-particle&quot;:&quot;&quot;,&quot;non-dropping-particle&quot;:&quot;&quot;}],&quot;issued&quot;:{&quot;date-parts&quot;:[[2015]]},&quot;publisher-place&quot;:&quot;London&quot;,&quot;number-of-pages&quot;:&quot;1-778&quot;,&quot;edition&quot;:&quot;4&quot;,&quot;publisher&quot;:&quot;Oxford iniversity Press&quot;,&quot;container-title-short&quot;:&quot;&quot;},&quot;isTemporary&quot;:false}],&quot;citationTag&quot;:&quot;MENDELEY_CITATION_v3_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&quot;},{&quot;citationID&quot;:&quot;MENDELEY_CITATION_d3a6f1ec-946b-47dd-abeb-3e7082df28e7&quot;,&quot;properties&quot;:{&quot;noteIndex&quot;:0},&quot;isEdited&quot;:false,&quot;manualOverride&quot;:{&quot;isManuallyOverridden&quot;:false,&quot;citeprocText&quot;:&quot;(Creswell and Plano Clark, 2011)&quot;,&quot;manualOverrideText&quot;:&quot;&quot;},&quot;citationItems&quot;:[{&quot;id&quot;:&quot;3cd06a10-3716-306b-8b5a-37be7bf340dd&quot;,&quot;itemData&quot;:{&quot;type&quot;:&quot;book&quot;,&quot;id&quot;:&quot;3cd06a10-3716-306b-8b5a-37be7bf340dd&quot;,&quot;title&quot;:&quot;Designing and conducting mixed methods research&quot;,&quot;author&quot;:[{&quot;family&quot;:&quot;Creswell&quot;,&quot;given&quot;:&quot;John W.&quot;,&quot;parse-names&quot;:false,&quot;dropping-particle&quot;:&quot;&quot;,&quot;non-dropping-particle&quot;:&quot;&quot;},{&quot;family&quot;:&quot;Plano Clark&quot;,&quot;given&quot;:&quot;Vicki L.&quot;,&quot;parse-names&quot;:false,&quot;dropping-particle&quot;:&quot;&quot;,&quot;non-dropping-particle&quot;:&quot;&quot;}],&quot;issued&quot;:{&quot;date-parts&quot;:[[2011]]},&quot;publisher-place&quot;:&quot;Los Angeles&quot;,&quot;number-of-pages&quot;:&quot;1-457&quot;,&quot;edition&quot;:&quot;2&quot;,&quot;publisher&quot;:&quot;Sage Publications.&quot;,&quot;container-title-short&quot;:&quot;&quot;},&quot;isTemporary&quot;:false}],&quot;citationTag&quot;:&quot;MENDELEY_CITATION_v3_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&quot;},{&quot;citationID&quot;:&quot;MENDELEY_CITATION_6aec216f-44f1-41ee-93a5-7144684debb7&quot;,&quot;properties&quot;:{&quot;noteIndex&quot;:0},&quot;isEdited&quot;:false,&quot;manualOverride&quot;:{&quot;isManuallyOverridden&quot;:true,&quot;citeprocText&quot;:&quot;(Guest and Fleming, 2015)&quot;,&quot;manualOverrideText&quot;:&quot;Guest and Fleming (2015, p. 587)&quot;},&quot;citationItems&quot;:[{&quot;id&quot;:&quot;14d9181a-2a87-3148-be75-f5df3f5870d3&quot;,&quot;itemData&quot;:{&quot;type&quot;:&quot;chapter&quot;,&quot;id&quot;:&quot;14d9181a-2a87-3148-be75-f5df3f5870d3&quot;,&quot;title&quot;:&quot;Mixed Methods Research&quot;,&quot;author&quot;:[{&quot;family&quot;:&quot;Guest&quot;,&quot;given&quot;:&quot;Greg&quot;,&quot;parse-names&quot;:false,&quot;dropping-particle&quot;:&quot;&quot;,&quot;non-dropping-particle&quot;:&quot;&quot;},{&quot;family&quot;:&quot;Fleming&quot;,&quot;given&quot;:&quot;Paul&quot;,&quot;parse-names&quot;:false,&quot;dropping-particle&quot;:&quot;&quot;,&quot;non-dropping-particle&quot;:&quot;&quot;}],&quot;container-title&quot;:&quot;Public Health Research Methods&quot;,&quot;DOI&quot;:&quot;10.4135/9781483398839.n19&quot;,&quot;URL&quot;:&quot;https://methods.sagepub.com/book/public-health-research-methods/i2807.xml&quot;,&quot;issued&quot;:{&quot;date-parts&quot;:[[2015]]},&quot;publisher-place&quot;:&quot;1 Oliver's Yard, 55 City Road London EC1Y 1SP &quot;,&quot;page&quot;:&quot;581-614&quot;,&quot;publisher&quot;:&quot;SAGE Publications, Inc.&quot;,&quot;container-title-short&quot;:&quot;&quot;},&quot;isTemporary&quot;:false}],&quot;citationTag&quot;:&quot;MENDELEY_CITATION_v3_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&quot;},{&quot;citationID&quot;:&quot;MENDELEY_CITATION_81bcc3b0-de77-4e38-82c6-1695f2b11770&quot;,&quot;properties&quot;:{&quot;noteIndex&quot;:0},&quot;isEdited&quot;:false,&quot;manualOverride&quot;:{&quot;isManuallyOverridden&quot;:true,&quot;citeprocText&quot;:&quot;(Bell &lt;i&gt;et al.&lt;/i&gt;, 2019)&quot;,&quot;manualOverrideText&quot;:&quot;Bell et al., 2019, p. 573)&quot;},&quot;citationItems&quot;:[{&quot;id&quot;:&quot;941c3a12-d4dd-30c5-a479-1507c54e8745&quot;,&quot;itemData&quot;:{&quot;type&quot;:&quot;book&quot;,&quot;id&quot;:&quot;941c3a12-d4dd-30c5-a479-1507c54e8745&quot;,&quot;title&quot;:&quot;Business Research Methods&quot;,&quot;author&quot;:[{&quot;family&quot;:&quot;Bell&quot;,&quot;given&quot;:&quot;Emma&quot;,&quot;parse-names&quot;:false,&quot;dropping-particle&quot;:&quot;&quot;,&quot;non-dropping-particle&quot;:&quot;&quot;},{&quot;family&quot;:&quot;Bryman&quot;,&quot;given&quot;:&quot;Alan&quot;,&quot;parse-names&quot;:false,&quot;dropping-particle&quot;:&quot;&quot;,&quot;non-dropping-particle&quot;:&quot;&quot;},{&quot;family&quot;:&quot;Harley&quot;,&quot;given&quot;:&quot;Bill&quot;,&quot;parse-names&quot;:false,&quot;dropping-particle&quot;:&quot;&quot;,&quot;non-dropping-particle&quot;:&quot;&quot;}],&quot;issued&quot;:{&quot;date-parts&quot;:[[2019]]},&quot;publisher-place&quot;:&quot;Oxford&quot;,&quot;edition&quot;:&quot;6&quot;,&quot;publisher&quot;:&quot;Oxford iniversity Press&quot;,&quot;container-title-short&quot;:&quot;&quot;},&quot;isTemporary&quot;:false}],&quot;citationTag&quot;:&quot;MENDELEY_CITATION_v3_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&quot;},{&quot;citationID&quot;:&quot;MENDELEY_CITATION_97c768ac-94f6-4cb9-be2c-1da4127a6ebf&quot;,&quot;properties&quot;:{&quot;noteIndex&quot;:0},&quot;isEdited&quot;:false,&quot;manualOverride&quot;:{&quot;isManuallyOverridden&quot;:true,&quot;citeprocText&quot;:&quot;(Creswell and Plano, 2018; Teddlie and Tashakkori, 2009)&quot;,&quot;manualOverrideText&quot;:&quot;(Creswell and Plano Clark, 2018; Teddlie and Tashakkori, 2009)&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id&quot;:&quot;9e8fece2-3956-3746-9fff-49cef85747cf&quot;,&quot;itemData&quot;:{&quot;type&quot;:&quot;book&quot;,&quot;id&quot;:&quot;9e8fece2-3956-3746-9fff-49cef85747cf&quot;,&quot;title&quot;:&quot;Foundations of mixed methods research: Integrating quantitative and qualitative approaches in the social and behavioral sciences. &quot;,&quot;author&quot;:[{&quot;family&quot;:&quot;Teddlie&quot;,&quot;given&quot;:&quot;C.,&quot;,&quot;parse-names&quot;:false,&quot;dropping-particle&quot;:&quot;&quot;,&quot;non-dropping-particle&quot;:&quot;&quot;},{&quot;family&quot;:&quot;Tashakkori&quot;,&quot;given&quot;:&quot;A&quot;,&quot;parse-names&quot;:false,&quot;dropping-particle&quot;:&quot;&quot;,&quot;non-dropping-particle&quot;:&quot;&quot;}],&quot;issued&quot;:{&quot;date-parts&quot;:[[2009]]},&quot;publisher-place&quot;:&quot;California &quot;,&quot;number-of-pages&quot;:&quot;1-229&quot;,&quot;publisher&quot;:&quot;Sage publications.&quot;,&quot;container-title-short&quot;:&quot;&quot;},&quot;isTemporary&quot;:false}],&quot;citationTag&quot;:&quot;MENDELEY_CITATION_v3_eyJjaXRhdGlvbklEIjoiTUVOREVMRVlfQ0lUQVRJT05fOTdjNzY4YWMtOTRmNi00Y2I5LWJlMmMtMWRhNDEyN2E2ZWJmIiwicHJvcGVydGllcyI6eyJub3RlSW5kZXgiOjB9LCJpc0VkaXRlZCI6ZmFsc2UsIm1hbnVhbE92ZXJyaWRlIjp7ImlzTWFudWFsbHlPdmVycmlkZGVuIjp0cnVlLCJjaXRlcHJvY1RleHQiOiIoQ3Jlc3dlbGwgYW5kIFBsYW5vLCAyMDE4OyBUZWRkbGllIGFuZCBUYXNoYWtrb3JpLCAyMDA5KSIsIm1hbnVhbE92ZXJyaWRlVGV4dCI6IihDcmVzd2VsbCBhbmQgUGxhbm8gQ2xhcmssIDIwMTg7IFRlZGRsaWUgYW5kIFRhc2hha2tvcmksIDIwMDkpIn0sImNpdGF0aW9uSXRlbXMiOlt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&quot;},{&quot;citationID&quot;:&quot;MENDELEY_CITATION_95990be5-3aa9-4436-ac2b-152ed87b00b9&quot;,&quot;properties&quot;:{&quot;noteIndex&quot;:0},&quot;isEdited&quot;:false,&quot;manualOverride&quot;:{&quot;isManuallyOverridden&quot;:false,&quot;citeprocText&quot;:&quot;(Bergman, 2008; Gibson, 2017)&quot;,&quot;manualOverrideText&quot;:&quot;&quot;},&quot;citationItems&quot;:[{&quot;id&quot;:&quot;2c8785c1-f9a4-35a8-8b8f-f034e97389ef&quot;,&quot;itemData&quot;:{&quot;type&quot;:&quot;chapter&quot;,&quot;id&quot;:&quot;2c8785c1-f9a4-35a8-8b8f-f034e97389ef&quot;,&quot;title&quot;:&quot;Advances in Mixed Methods Research: Theories and Applications &quot;,&quot;author&quot;:[{&quot;family&quot;:&quot;Bergman&quot;,&quot;given&quot;:&quot;M.M.&quot;,&quot;parse-names&quot;:false,&quot;dropping-particle&quot;:&quot;&quot;,&quot;non-dropping-particle&quot;:&quot;&quot;}],&quot;container-title&quot;:&quot;Sage Publications ltd&quot;,&quot;accessed&quot;:{&quot;date-parts&quot;:[[2022,9,5]]},&quot;URL&quot;:&quot;https://books.google.co.uk/books?hl=en&amp;lr=&amp;id=hWT6mWbnGC0C&amp;oi=fnd&amp;pg=PR5&amp;dq=manfred+max+bergman&amp;ots=Tow9l45PqI&amp;sig=-SVb80Bntrq9fEG2DIcQNuV-sjM&amp;redir_esc=y#v=onepage&amp;q=manfred%20max%20bergman&amp;f=false&quot;,&quot;issued&quot;:{&quot;date-parts&quot;:[[2008]]},&quot;publisher-place&quot;:&quot;London&quot;,&quot;page&quot;:&quot;1-199&quot;,&quot;container-title-short&quot;:&quot;&quot;},&quot;isTemporary&quot;:false},{&quot;id&quot;:&quot;13229b4c-78de-3c8d-8ee4-0b415026b080&quot;,&quot;itemData&quot;:{&quot;type&quot;:&quot;article-journal&quot;,&quot;id&quot;:&quot;13229b4c-78de-3c8d-8ee4-0b415026b080&quot;,&quot;title&quot;:&quot;Elaboration, Generalization, Triangulation, and Interpretation: On Enhancing the Value of Mixed Method Research&quot;,&quot;author&quot;:[{&quot;family&quot;:&quot;Gibson&quot;,&quot;given&quot;:&quot;Cristina B.&quot;,&quot;parse-names&quot;:false,&quot;dropping-particle&quot;:&quot;&quot;,&quot;non-dropping-particle&quot;:&quot;&quot;}],&quot;container-title&quot;:&quot;Organizational Research Methods&quot;,&quot;container-title-short&quot;:&quot;Organ Res Methods&quot;,&quot;DOI&quot;:&quot;10.1177/1094428116639133&quot;,&quot;ISSN&quot;:&quot;15527425&quot;,&quot;issued&quot;:{&quot;date-parts&quot;:[[2017,4,1]]},&quot;page&quot;:&quot;193-223&quot;,&quot;abstract&quot;:&quot;This article examines means of enhancing the value of mixed method research for organizational science. Conclusions are based on a comprehensive analysis of 69 mixed method articles published in four empirical journals between 2009 and 2014, detailed case comparison of four illustrative articles, and personal interviews with lead authors for each case. Findings provide three key contributions. First, documenting the prevalence of mixed methods over the past six years in a broad selection of journals, five approaches to mixed method research are identified—including three novel approaches not yet elaborated on in prior treatises on research methods, expanding the feasible options for mixed method scholarship and bolstering confidence in considering such approaches. Second, themes pertaining to enhancing the value of mixed method research are revealed, including elaboration, generalization, triangulation, and interpretation. Finally, findings uncovered four sets of practical techniques by which this value can be increased. Together, these contributions provide guidance for those endeavoring to utilize a mixed method approach in organizational science.&quot;,&quot;publisher&quot;:&quot;SAGE Publications Inc.&quot;,&quot;issue&quot;:&quot;2&quot;,&quot;volume&quot;:&quot;20&quot;},&quot;isTemporary&quot;:false}],&quot;citationTag&quot;:&quot;MENDELEY_CITATION_v3_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&quot;},{&quot;citationID&quot;:&quot;MENDELEY_CITATION_f8097852-7bfb-42cc-9c53-f5c5842c3636&quot;,&quot;properties&quot;:{&quot;noteIndex&quot;:0},&quot;isEdited&quot;:false,&quot;manualOverride&quot;:{&quot;isManuallyOverridden&quot;:false,&quot;citeprocText&quot;:&quot;(Creswell and Plano, 2018; Teddlie and Tashakkori, 2009)&quot;,&quot;manualOverrideText&quot;:&quot;&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id&quot;:&quot;9e8fece2-3956-3746-9fff-49cef85747cf&quot;,&quot;itemData&quot;:{&quot;type&quot;:&quot;book&quot;,&quot;id&quot;:&quot;9e8fece2-3956-3746-9fff-49cef85747cf&quot;,&quot;title&quot;:&quot;Foundations of mixed methods research: Integrating quantitative and qualitative approaches in the social and behavioral sciences. &quot;,&quot;author&quot;:[{&quot;family&quot;:&quot;Teddlie&quot;,&quot;given&quot;:&quot;C.,&quot;,&quot;parse-names&quot;:false,&quot;dropping-particle&quot;:&quot;&quot;,&quot;non-dropping-particle&quot;:&quot;&quot;},{&quot;family&quot;:&quot;Tashakkori&quot;,&quot;given&quot;:&quot;A&quot;,&quot;parse-names&quot;:false,&quot;dropping-particle&quot;:&quot;&quot;,&quot;non-dropping-particle&quot;:&quot;&quot;}],&quot;issued&quot;:{&quot;date-parts&quot;:[[2009]]},&quot;publisher-place&quot;:&quot;California &quot;,&quot;number-of-pages&quot;:&quot;1-229&quot;,&quot;publisher&quot;:&quot;Sage publications.&quot;,&quot;container-title-short&quot;:&quot;&quot;},&quot;isTemporary&quot;:false}],&quot;citationTag&quot;:&quot;MENDELEY_CITATION_v3_eyJjaXRhdGlvbklEIjoiTUVOREVMRVlfQ0lUQVRJT05fZjgwOTc4NTItN2JmYi00MmNjLTljNTMtZjVjNTg0MmMzNjM2IiwicHJvcGVydGllcyI6eyJub3RlSW5kZXgiOjB9LCJpc0VkaXRlZCI6ZmFsc2UsIm1hbnVhbE92ZXJyaWRlIjp7ImlzTWFudWFsbHlPdmVycmlkZGVuIjpmYWxzZSwiY2l0ZXByb2NUZXh0IjoiKENyZXN3ZWxsIGFuZCBQbGFubywgMjAxODsgVGVkZGxpZSBhbmQgVGFzaGFra29yaSwgMjAwOS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&quot;},{&quot;citationID&quot;:&quot;MENDELEY_CITATION_300ab260-aced-412b-ba58-641bf027e22f&quot;,&quot;properties&quot;:{&quot;noteIndex&quot;:0},&quot;isEdited&quot;:false,&quot;manualOverride&quot;:{&quot;isManuallyOverridden&quot;:false,&quot;citeprocText&quot;:&quot;(Brannen, 1992; Teddlie and Tashakkori, 2009)&quot;,&quot;manualOverrideText&quot;:&quot;&quot;},&quot;citationItems&quot;:[{&quot;id&quot;:&quot;9e8fece2-3956-3746-9fff-49cef85747cf&quot;,&quot;itemData&quot;:{&quot;type&quot;:&quot;book&quot;,&quot;id&quot;:&quot;9e8fece2-3956-3746-9fff-49cef85747cf&quot;,&quot;title&quot;:&quot;Foundations of mixed methods research: Integrating quantitative and qualitative approaches in the social and behavioral sciences. &quot;,&quot;author&quot;:[{&quot;family&quot;:&quot;Teddlie&quot;,&quot;given&quot;:&quot;C.,&quot;,&quot;parse-names&quot;:false,&quot;dropping-particle&quot;:&quot;&quot;,&quot;non-dropping-particle&quot;:&quot;&quot;},{&quot;family&quot;:&quot;Tashakkori&quot;,&quot;given&quot;:&quot;A&quot;,&quot;parse-names&quot;:false,&quot;dropping-particle&quot;:&quot;&quot;,&quot;non-dropping-particle&quot;:&quot;&quot;}],&quot;issued&quot;:{&quot;date-parts&quot;:[[2009]]},&quot;publisher-place&quot;:&quot;California &quot;,&quot;number-of-pages&quot;:&quot;1-229&quot;,&quot;publisher&quot;:&quot;Sage publications.&quot;,&quot;container-title-short&quot;:&quot;&quot;},&quot;isTemporary&quot;:false},{&quot;id&quot;:&quot;edfeda4d-ff45-385c-98d9-9c294c59732a&quot;,&quot;itemData&quot;:{&quot;type&quot;:&quot;book&quot;,&quot;id&quot;:&quot;edfeda4d-ff45-385c-98d9-9c294c59732a&quot;,&quot;title&quot;:&quot; Mixing Methods: Qualitative and Quantitative Research&quot;,&quot;author&quot;:[{&quot;family&quot;:&quot;Brannen&quot;,&quot;given&quot;:&quot;Julia,&quot;,&quot;parse-names&quot;:false,&quot;dropping-particle&quot;:&quot;&quot;,&quot;non-dropping-particle&quot;:&quot;&quot;}],&quot;issued&quot;:{&quot;date-parts&quot;:[[1992]]},&quot;number-of-pages&quot;:&quot;1-35&quot;,&quot;edition&quot;:&quot;1&quot;,&quot;publisher&quot;:&quot;Routledge&quot;,&quot;container-title-short&quot;:&quot;&quot;},&quot;isTemporary&quot;:false}],&quot;citationTag&quot;:&quot;MENDELEY_CITATION_v3_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&quot;},{&quot;citationID&quot;:&quot;MENDELEY_CITATION_6becfb20-931e-488d-8d95-70a5cbc4945c&quot;,&quot;properties&quot;:{&quot;noteIndex&quot;:0},&quot;isEdited&quot;:false,&quot;manualOverride&quot;:{&quot;isManuallyOverridden&quot;:false,&quot;citeprocText&quot;:&quot;(Bryman and Bell, 2015; Morse &lt;i&gt;et al.&lt;/i&gt;, 2002)&quot;,&quot;manualOverrideText&quot;:&quot;&quot;},&quot;citationItems&quot;:[{&quot;id&quot;:&quot;bab4c3db-32d5-3adf-9e2f-a676805fc5dc&quot;,&quot;itemData&quot;:{&quot;type&quot;:&quot;report&quot;,&quot;id&quot;:&quot;bab4c3db-32d5-3adf-9e2f-a676805fc5dc&quot;,&quot;title&quot;:&quot;Verification Strategies for Establishing Reliability and Validity in Qualitative Research&quot;,&quot;author&quot;:[{&quot;family&quot;:&quot;Morse&quot;,&quot;given&quot;:&quot;Janice M&quot;,&quot;parse-names&quot;:false,&quot;dropping-particle&quot;:&quot;&quot;,&quot;non-dropping-particle&quot;:&quot;&quot;},{&quot;family&quot;:&quot;Barrett&quot;,&quot;given&quot;:&quot;Michael&quot;,&quot;parse-names&quot;:false,&quot;dropping-particle&quot;:&quot;&quot;,&quot;non-dropping-particle&quot;:&quot;&quot;},{&quot;family&quot;:&quot;Mayan&quot;,&quot;given&quot;:&quot;Maria&quot;,&quot;parse-names&quot;:false,&quot;dropping-particle&quot;:&quot;&quot;,&quot;non-dropping-particle&quot;:&quot;&quot;},{&quot;family&quot;:&quot;Olson&quot;,&quot;given&quot;:&quot;Karin&quot;,&quot;parse-names&quot;:false,&quot;dropping-particle&quot;:&quot;&quot;,&quot;non-dropping-particle&quot;:&quot;&quot;},{&quot;family&quot;:&quot;Spiers&quot;,&quot;given&quot;:&quot;Jude&quot;,&quot;parse-names&quot;:false,&quot;dropping-particle&quot;:&quot;&quot;,&quot;non-dropping-particle&quot;:&quot;&quot;}],&quot;container-title&quot;:&quot;International Journal of Qualitative Methods&quot;,&quot;container-title-short&quot;:&quot;Int J Qual Methods&quot;,&quot;issued&quot;:{&quot;date-parts&quot;:[[2002]]},&quot;abstract&quot;:&quot;The rejection of reliability and validity in qualitative inquiry in the 1980s has resulted in an interesting shift for \&quot;ensuring rigor\&quot; from the investigator's actions during the course of the research, to the reader or consumer of qualitative inquiry. The emphasis on strategies that are implemented during the research process has been replaced by strategies for evaluating trustworthiness and utility that are implemented once a study is completed. In this article, we argue that reliability and validity remain appropriate concepts for attaining rigor in qualitative research. We argue that qualitative researchers should reclaim responsibility for reliability and validity by implementing verification strategies integral and self-correcting during the conduct of inquiry itself. This ensures the attainment of rigor using strategies inherent within each qualitative design, and moves the responsibility for incorporating and maintaining reliability and validity from external reviewers' judgements to the investigators themselves. Finally, we make a plea for a return to terminology for ensuring rigor that is used by mainstream science.&quot;,&quot;issue&quot;:&quot;2&quot;,&quot;volume&quot;:&quot;1&quot;},&quot;isTemporary&quot;:false},{&quot;id&quot;:&quot;0c4d008a-515b-3dfd-ad00-53942057f219&quot;,&quot;itemData&quot;:{&quot;type&quot;:&quot;book&quot;,&quot;id&quot;:&quot;0c4d008a-515b-3dfd-ad00-53942057f219&quot;,&quot;title&quot;:&quot;Business Research Methods&quot;,&quot;author&quot;:[{&quot;family&quot;:&quot;Bryman&quot;,&quot;given&quot;:&quot;Alan.&quot;,&quot;parse-names&quot;:false,&quot;dropping-particle&quot;:&quot;&quot;,&quot;non-dropping-particle&quot;:&quot;&quot;},{&quot;family&quot;:&quot;Bell&quot;,&quot;given&quot;:&quot;Emma.&quot;,&quot;parse-names&quot;:false,&quot;dropping-particle&quot;:&quot;&quot;,&quot;non-dropping-particle&quot;:&quot;&quot;}],&quot;issued&quot;:{&quot;date-parts&quot;:[[2015]]},&quot;publisher-place&quot;:&quot;London&quot;,&quot;number-of-pages&quot;:&quot;1-778&quot;,&quot;edition&quot;:&quot;4&quot;,&quot;publisher&quot;:&quot;Oxford iniversity Press&quot;,&quot;container-title-short&quot;:&quot;&quot;},&quot;isTemporary&quot;:false}],&quot;citationTag&quot;:&quot;MENDELEY_CITATION_v3_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&quot;},{&quot;citationID&quot;:&quot;MENDELEY_CITATION_8b671278-d20b-4e48-b441-5eaf1f05da14&quot;,&quot;properties&quot;:{&quot;noteIndex&quot;:0},&quot;isEdited&quot;:false,&quot;manualOverride&quot;:{&quot;isManuallyOverridden&quot;:false,&quot;citeprocText&quot;:&quot;(Creswell and Plano, 2018; Guest and Fleming, 2015)&quot;,&quot;manualOverrideText&quot;:&quot;&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id&quot;:&quot;14d9181a-2a87-3148-be75-f5df3f5870d3&quot;,&quot;itemData&quot;:{&quot;type&quot;:&quot;chapter&quot;,&quot;id&quot;:&quot;14d9181a-2a87-3148-be75-f5df3f5870d3&quot;,&quot;title&quot;:&quot;Mixed Methods Research&quot;,&quot;author&quot;:[{&quot;family&quot;:&quot;Guest&quot;,&quot;given&quot;:&quot;Greg&quot;,&quot;parse-names&quot;:false,&quot;dropping-particle&quot;:&quot;&quot;,&quot;non-dropping-particle&quot;:&quot;&quot;},{&quot;family&quot;:&quot;Fleming&quot;,&quot;given&quot;:&quot;Paul&quot;,&quot;parse-names&quot;:false,&quot;dropping-particle&quot;:&quot;&quot;,&quot;non-dropping-particle&quot;:&quot;&quot;}],&quot;container-title&quot;:&quot;Public Health Research Methods&quot;,&quot;DOI&quot;:&quot;10.4135/9781483398839.n19&quot;,&quot;URL&quot;:&quot;https://methods.sagepub.com/book/public-health-research-methods/i2807.xml&quot;,&quot;issued&quot;:{&quot;date-parts&quot;:[[2015]]},&quot;publisher-place&quot;:&quot;1 Oliver's Yard, 55 City Road London EC1Y 1SP &quot;,&quot;page&quot;:&quot;581-614&quot;,&quot;publisher&quot;:&quot;SAGE Publications, Inc.&quot;,&quot;container-title-short&quot;:&quot;&quot;},&quot;isTemporary&quot;:false}],&quot;citationTag&quot;:&quot;MENDELEY_CITATION_v3_eyJjaXRhdGlvbklEIjoiTUVOREVMRVlfQ0lUQVRJT05fOGI2NzEyNzgtZDIwYi00ZTQ4LWI0NDEtNWVhZjFmMDVkYTE0IiwicHJvcGVydGllcyI6eyJub3RlSW5kZXgiOjB9LCJpc0VkaXRlZCI6ZmFsc2UsIm1hbnVhbE92ZXJyaWRlIjp7ImlzTWFudWFsbHlPdmVycmlkZGVuIjpmYWxzZSwiY2l0ZXByb2NUZXh0IjoiKENyZXN3ZWxsIGFuZCBQbGFubywgMjAxODsgR3Vlc3QgYW5kIEZsZW1pbmcsIDIwMTUpIiwibWFudWFsT3ZlcnJpZGVUZXh0IjoiIn0sImNpdGF0aW9uSXRlbXMiOlt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&quot;},{&quot;citationID&quot;:&quot;MENDELEY_CITATION_9285a0e2-d4c1-4f4d-aba3-d879322fccf6&quot;,&quot;properties&quot;:{&quot;noteIndex&quot;:0},&quot;isEdited&quot;:false,&quot;manualOverride&quot;:{&quot;isManuallyOverridden&quot;:false,&quot;citeprocText&quot;:&quot;(Bergman, 2008; Creswell and Plano, 2018)&quot;,&quot;manualOverrideText&quot;:&quot;&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id&quot;:&quot;2c8785c1-f9a4-35a8-8b8f-f034e97389ef&quot;,&quot;itemData&quot;:{&quot;type&quot;:&quot;chapter&quot;,&quot;id&quot;:&quot;2c8785c1-f9a4-35a8-8b8f-f034e97389ef&quot;,&quot;title&quot;:&quot;Advances in Mixed Methods Research: Theories and Applications &quot;,&quot;author&quot;:[{&quot;family&quot;:&quot;Bergman&quot;,&quot;given&quot;:&quot;M.M.&quot;,&quot;parse-names&quot;:false,&quot;dropping-particle&quot;:&quot;&quot;,&quot;non-dropping-particle&quot;:&quot;&quot;}],&quot;container-title&quot;:&quot;Sage Publications ltd&quot;,&quot;accessed&quot;:{&quot;date-parts&quot;:[[2022,9,5]]},&quot;URL&quot;:&quot;https://books.google.co.uk/books?hl=en&amp;lr=&amp;id=hWT6mWbnGC0C&amp;oi=fnd&amp;pg=PR5&amp;dq=manfred+max+bergman&amp;ots=Tow9l45PqI&amp;sig=-SVb80Bntrq9fEG2DIcQNuV-sjM&amp;redir_esc=y#v=onepage&amp;q=manfred%20max%20bergman&amp;f=false&quot;,&quot;issued&quot;:{&quot;date-parts&quot;:[[2008]]},&quot;publisher-place&quot;:&quot;London&quot;,&quot;page&quot;:&quot;1-199&quot;,&quot;container-title-short&quot;:&quot;&quot;},&quot;isTemporary&quot;:false}],&quot;citationTag&quot;:&quot;MENDELEY_CITATION_v3_eyJjaXRhdGlvbklEIjoiTUVOREVMRVlfQ0lUQVRJT05fOTI4NWEwZTItZDRjMS00ZjRkLWFiYTMtZDg3OTMyMmZjY2Y2IiwicHJvcGVydGllcyI6eyJub3RlSW5kZXgiOjB9LCJpc0VkaXRlZCI6ZmFsc2UsIm1hbnVhbE92ZXJyaWRlIjp7ImlzTWFudWFsbHlPdmVycmlkZGVuIjpmYWxzZSwiY2l0ZXByb2NUZXh0IjoiKEJlcmdtYW4sIDIwMDg7I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1dfQ==&quot;},{&quot;citationID&quot;:&quot;MENDELEY_CITATION_d50ff8ba-4c0e-40c8-b093-6643ca4307f0&quot;,&quot;properties&quot;:{&quot;noteIndex&quot;:0},&quot;isEdited&quot;:false,&quot;manualOverride&quot;:{&quot;isManuallyOverridden&quot;:false,&quot;citeprocText&quot;:&quot;(Brannen, 1992; Creswell and Plano, 2018; Gibson, 2017)&quot;,&quot;manualOverrideText&quot;:&quot;&quot;},&quot;citationItems&quot;:[{&quot;id&quot;:&quot;edfeda4d-ff45-385c-98d9-9c294c59732a&quot;,&quot;itemData&quot;:{&quot;type&quot;:&quot;book&quot;,&quot;id&quot;:&quot;edfeda4d-ff45-385c-98d9-9c294c59732a&quot;,&quot;title&quot;:&quot; Mixing Methods: Qualitative and Quantitative Research&quot;,&quot;author&quot;:[{&quot;family&quot;:&quot;Brannen&quot;,&quot;given&quot;:&quot;Julia,&quot;,&quot;parse-names&quot;:false,&quot;dropping-particle&quot;:&quot;&quot;,&quot;non-dropping-particle&quot;:&quot;&quot;}],&quot;issued&quot;:{&quot;date-parts&quot;:[[1992]]},&quot;number-of-pages&quot;:&quot;1-35&quot;,&quot;edition&quot;:&quot;1&quot;,&quot;publisher&quot;:&quot;Routledge&quot;,&quot;container-title-short&quot;:&quot;&quot;},&quot;isTemporary&quot;:false},{&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id&quot;:&quot;13229b4c-78de-3c8d-8ee4-0b415026b080&quot;,&quot;itemData&quot;:{&quot;type&quot;:&quot;article-journal&quot;,&quot;id&quot;:&quot;13229b4c-78de-3c8d-8ee4-0b415026b080&quot;,&quot;title&quot;:&quot;Elaboration, Generalization, Triangulation, and Interpretation: On Enhancing the Value of Mixed Method Research&quot;,&quot;author&quot;:[{&quot;family&quot;:&quot;Gibson&quot;,&quot;given&quot;:&quot;Cristina B.&quot;,&quot;parse-names&quot;:false,&quot;dropping-particle&quot;:&quot;&quot;,&quot;non-dropping-particle&quot;:&quot;&quot;}],&quot;container-title&quot;:&quot;Organizational Research Methods&quot;,&quot;container-title-short&quot;:&quot;Organ Res Methods&quot;,&quot;DOI&quot;:&quot;10.1177/1094428116639133&quot;,&quot;ISSN&quot;:&quot;15527425&quot;,&quot;issued&quot;:{&quot;date-parts&quot;:[[2017,4,1]]},&quot;page&quot;:&quot;193-223&quot;,&quot;abstract&quot;:&quot;This article examines means of enhancing the value of mixed method research for organizational science. Conclusions are based on a comprehensive analysis of 69 mixed method articles published in four empirical journals between 2009 and 2014, detailed case comparison of four illustrative articles, and personal interviews with lead authors for each case. Findings provide three key contributions. First, documenting the prevalence of mixed methods over the past six years in a broad selection of journals, five approaches to mixed method research are identified—including three novel approaches not yet elaborated on in prior treatises on research methods, expanding the feasible options for mixed method scholarship and bolstering confidence in considering such approaches. Second, themes pertaining to enhancing the value of mixed method research are revealed, including elaboration, generalization, triangulation, and interpretation. Finally, findings uncovered four sets of practical techniques by which this value can be increased. Together, these contributions provide guidance for those endeavoring to utilize a mixed method approach in organizational science.&quot;,&quot;publisher&quot;:&quot;SAGE Publications Inc.&quot;,&quot;issue&quot;:&quot;2&quot;,&quot;volume&quot;:&quot;20&quot;},&quot;isTemporary&quot;:false}],&quot;citationTag&quot;:&quot;MENDELEY_CITATION_v3_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&quot;},{&quot;citationID&quot;:&quot;MENDELEY_CITATION_e8c17baf-ac07-4e18-97cc-cd0fece2fd78&quot;,&quot;properties&quot;:{&quot;noteIndex&quot;:0},&quot;isEdited&quot;:false,&quot;manualOverride&quot;:{&quot;isManuallyOverridden&quot;:false,&quot;citeprocText&quot;:&quot;(Bergman, 2008; Creswell and Plano, 2018)&quot;,&quot;manualOverrideText&quot;:&quot;&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id&quot;:&quot;2c8785c1-f9a4-35a8-8b8f-f034e97389ef&quot;,&quot;itemData&quot;:{&quot;type&quot;:&quot;chapter&quot;,&quot;id&quot;:&quot;2c8785c1-f9a4-35a8-8b8f-f034e97389ef&quot;,&quot;title&quot;:&quot;Advances in Mixed Methods Research: Theories and Applications &quot;,&quot;author&quot;:[{&quot;family&quot;:&quot;Bergman&quot;,&quot;given&quot;:&quot;M.M.&quot;,&quot;parse-names&quot;:false,&quot;dropping-particle&quot;:&quot;&quot;,&quot;non-dropping-particle&quot;:&quot;&quot;}],&quot;container-title&quot;:&quot;Sage Publications ltd&quot;,&quot;accessed&quot;:{&quot;date-parts&quot;:[[2022,9,5]]},&quot;URL&quot;:&quot;https://books.google.co.uk/books?hl=en&amp;lr=&amp;id=hWT6mWbnGC0C&amp;oi=fnd&amp;pg=PR5&amp;dq=manfred+max+bergman&amp;ots=Tow9l45PqI&amp;sig=-SVb80Bntrq9fEG2DIcQNuV-sjM&amp;redir_esc=y#v=onepage&amp;q=manfred%20max%20bergman&amp;f=false&quot;,&quot;issued&quot;:{&quot;date-parts&quot;:[[2008]]},&quot;publisher-place&quot;:&quot;London&quot;,&quot;page&quot;:&quot;1-199&quot;,&quot;container-title-short&quot;:&quot;&quot;},&quot;isTemporary&quot;:false}],&quot;citationTag&quot;:&quot;MENDELEY_CITATION_v3_eyJjaXRhdGlvbklEIjoiTUVOREVMRVlfQ0lUQVRJT05fZThjMTdiYWYtYWMwNy00ZTE4LTk3Y2MtY2QwZmVjZTJmZDc4IiwicHJvcGVydGllcyI6eyJub3RlSW5kZXgiOjB9LCJpc0VkaXRlZCI6ZmFsc2UsIm1hbnVhbE92ZXJyaWRlIjp7ImlzTWFudWFsbHlPdmVycmlkZGVuIjpmYWxzZSwiY2l0ZXByb2NUZXh0IjoiKEJlcmdtYW4sIDIwMDg7I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1dfQ==&quot;},{&quot;citationID&quot;:&quot;MENDELEY_CITATION_44638974-344a-44b1-ba02-8e63e522e975&quot;,&quot;properties&quot;:{&quot;noteIndex&quot;:0},&quot;isEdited&quot;:false,&quot;manualOverride&quot;:{&quot;isManuallyOverridden&quot;:false,&quot;citeprocText&quot;:&quot;(Creswell and Plano, 2018; Guest and Fleming, 2015)&quot;,&quot;manualOverrideText&quot;:&quot;&quot;},&quot;citationItems&quot;:[{&quot;id&quot;:&quot;14d9181a-2a87-3148-be75-f5df3f5870d3&quot;,&quot;itemData&quot;:{&quot;type&quot;:&quot;chapter&quot;,&quot;id&quot;:&quot;14d9181a-2a87-3148-be75-f5df3f5870d3&quot;,&quot;title&quot;:&quot;Mixed Methods Research&quot;,&quot;author&quot;:[{&quot;family&quot;:&quot;Guest&quot;,&quot;given&quot;:&quot;Greg&quot;,&quot;parse-names&quot;:false,&quot;dropping-particle&quot;:&quot;&quot;,&quot;non-dropping-particle&quot;:&quot;&quot;},{&quot;family&quot;:&quot;Fleming&quot;,&quot;given&quot;:&quot;Paul&quot;,&quot;parse-names&quot;:false,&quot;dropping-particle&quot;:&quot;&quot;,&quot;non-dropping-particle&quot;:&quot;&quot;}],&quot;container-title&quot;:&quot;Public Health Research Methods&quot;,&quot;DOI&quot;:&quot;10.4135/9781483398839.n19&quot;,&quot;URL&quot;:&quot;https://methods.sagepub.com/book/public-health-research-methods/i2807.xml&quot;,&quot;issued&quot;:{&quot;date-parts&quot;:[[2015]]},&quot;publisher-place&quot;:&quot;1 Oliver's Yard, 55 City Road London EC1Y 1SP &quot;,&quot;page&quot;:&quot;581-614&quot;,&quot;publisher&quot;:&quot;SAGE Publications, Inc.&quot;,&quot;container-title-short&quot;:&quot;&quot;},&quot;isTemporary&quot;:false},{&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XX0=&quot;},{&quot;citationID&quot;:&quot;MENDELEY_CITATION_0af362a6-be37-49a8-a26b-01fb9e4ac5e2&quot;,&quot;properties&quot;:{&quot;noteIndex&quot;:0},&quot;isEdited&quot;:false,&quot;manualOverride&quot;:{&quot;isManuallyOverridden&quot;:false,&quot;citeprocText&quot;:&quot;(DiMaggio and Powell, 1983; Meyer and Rowan, 1977)&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citationTag&quot;:&quot;MENDELEY_CITATION_v3_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XX0=&quot;},{&quot;citationID&quot;:&quot;MENDELEY_CITATION_1ae71b87-a69a-4a8f-8385-bbea076f9c0c&quot;,&quot;properties&quot;:{&quot;noteIndex&quot;:0},&quot;isEdited&quot;:false,&quot;manualOverride&quot;:{&quot;isManuallyOverridden&quot;:false,&quot;citeprocText&quot;:&quot;(Creswell and Plano, 2018)&quot;,&quot;manualOverrideText&quot;:&quot;&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MWFlNzFiODctYTY5YS00YThmLTgzODUtYmJlYTA3NmY5YzBjIiwicHJvcGVydGllcyI6eyJub3RlSW5kZXgiOjB9LCJpc0VkaXRlZCI6ZmFsc2UsIm1hbnVhbE92ZXJyaWRlIjp7ImlzTWFudWFsbHlPdmVycmlkZGVuIjpmYWxzZSwiY2l0ZXByb2NUZXh0IjoiKENyZXN3ZWxsIGFuZCBQbGFubywgMjAxOCkiLCJtYW51YWxPdmVycmlkZVRleHQiOiI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quot;},{&quot;citationID&quot;:&quot;MENDELEY_CITATION_9d5a900c-77cf-4814-877f-8e1b3401d2ae&quot;,&quot;properties&quot;:{&quot;noteIndex&quot;:0},&quot;isEdited&quot;:false,&quot;manualOverride&quot;:{&quot;isManuallyOverridden&quot;:true,&quot;citeprocText&quot;:&quot;(Bell &lt;i&gt;et al.&lt;/i&gt;, 2019; Bryman and Bell, 2015; Creswell, 2009; Creswell and Plano Clark, 2011; Creswell and Plano, 2018; Guest and Fleming, 2015)&quot;,&quot;manualOverrideText&quot;:&quot;(Bell et al., 2019; Bryman and Bell, 2015; Creswell, 2009; Creswell and Plano Clark, 2011, 2018; Guest and Fleming, 2015)&quot;},&quot;citationItems&quot;:[{&quot;id&quot;:&quot;0c4d008a-515b-3dfd-ad00-53942057f219&quot;,&quot;itemData&quot;:{&quot;type&quot;:&quot;book&quot;,&quot;id&quot;:&quot;0c4d008a-515b-3dfd-ad00-53942057f219&quot;,&quot;title&quot;:&quot;Business Research Methods&quot;,&quot;author&quot;:[{&quot;family&quot;:&quot;Bryman&quot;,&quot;given&quot;:&quot;Alan.&quot;,&quot;parse-names&quot;:false,&quot;dropping-particle&quot;:&quot;&quot;,&quot;non-dropping-particle&quot;:&quot;&quot;},{&quot;family&quot;:&quot;Bell&quot;,&quot;given&quot;:&quot;Emma.&quot;,&quot;parse-names&quot;:false,&quot;dropping-particle&quot;:&quot;&quot;,&quot;non-dropping-particle&quot;:&quot;&quot;}],&quot;issued&quot;:{&quot;date-parts&quot;:[[2015]]},&quot;publisher-place&quot;:&quot;London&quot;,&quot;number-of-pages&quot;:&quot;1-778&quot;,&quot;edition&quot;:&quot;4&quot;,&quot;publisher&quot;:&quot;Oxford iniversity Press&quot;,&quot;container-title-short&quot;:&quot;&quot;},&quot;isTemporary&quot;:false},{&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id&quot;:&quot;eaf12b7b-aca7-387e-b909-8231b4974235&quot;,&quot;itemData&quot;:{&quot;type&quot;:&quot;book&quot;,&quot;id&quot;:&quot;eaf12b7b-aca7-387e-b909-8231b4974235&quot;,&quot;title&quot;:&quot;John W. Creswell's Research Design 3rd Ed&quot;,&quot;author&quot;:[{&quot;family&quot;:&quot;Creswell&quot;,&quot;given&quot;:&quot;J.W&quot;,&quot;parse-names&quot;:false,&quot;dropping-particle&quot;:&quot;&quot;,&quot;non-dropping-particle&quot;:&quot;&quot;}],&quot;issued&quot;:{&quot;date-parts&quot;:[[2009]]},&quot;publisher-place&quot;:&quot;California &quot;,&quot;number-of-pages&quot;:&quot;1-295&quot;,&quot;edition&quot;:&quot;3&quot;,&quot;publisher&quot;:&quot;Sage Publications.&quot;,&quot;container-title-short&quot;:&quot;&quot;},&quot;isTemporary&quot;:false},{&quot;id&quot;:&quot;14d9181a-2a87-3148-be75-f5df3f5870d3&quot;,&quot;itemData&quot;:{&quot;type&quot;:&quot;chapter&quot;,&quot;id&quot;:&quot;14d9181a-2a87-3148-be75-f5df3f5870d3&quot;,&quot;title&quot;:&quot;Mixed Methods Research&quot;,&quot;author&quot;:[{&quot;family&quot;:&quot;Guest&quot;,&quot;given&quot;:&quot;Greg&quot;,&quot;parse-names&quot;:false,&quot;dropping-particle&quot;:&quot;&quot;,&quot;non-dropping-particle&quot;:&quot;&quot;},{&quot;family&quot;:&quot;Fleming&quot;,&quot;given&quot;:&quot;Paul&quot;,&quot;parse-names&quot;:false,&quot;dropping-particle&quot;:&quot;&quot;,&quot;non-dropping-particle&quot;:&quot;&quot;}],&quot;container-title&quot;:&quot;Public Health Research Methods&quot;,&quot;DOI&quot;:&quot;10.4135/9781483398839.n19&quot;,&quot;URL&quot;:&quot;https://methods.sagepub.com/book/public-health-research-methods/i2807.xml&quot;,&quot;issued&quot;:{&quot;date-parts&quot;:[[2015]]},&quot;publisher-place&quot;:&quot;1 Oliver's Yard, 55 City Road London EC1Y 1SP &quot;,&quot;page&quot;:&quot;581-614&quot;,&quot;publisher&quot;:&quot;SAGE Publications, Inc.&quot;,&quot;container-title-short&quot;:&quot;&quot;},&quot;isTemporary&quot;:false},{&quot;id&quot;:&quot;3cd06a10-3716-306b-8b5a-37be7bf340dd&quot;,&quot;itemData&quot;:{&quot;type&quot;:&quot;book&quot;,&quot;id&quot;:&quot;3cd06a10-3716-306b-8b5a-37be7bf340dd&quot;,&quot;title&quot;:&quot;Designing and conducting mixed methods research&quot;,&quot;author&quot;:[{&quot;family&quot;:&quot;Creswell&quot;,&quot;given&quot;:&quot;John W.&quot;,&quot;parse-names&quot;:false,&quot;dropping-particle&quot;:&quot;&quot;,&quot;non-dropping-particle&quot;:&quot;&quot;},{&quot;family&quot;:&quot;Plano Clark&quot;,&quot;given&quot;:&quot;Vicki L.&quot;,&quot;parse-names&quot;:false,&quot;dropping-particle&quot;:&quot;&quot;,&quot;non-dropping-particle&quot;:&quot;&quot;}],&quot;issued&quot;:{&quot;date-parts&quot;:[[2011]]},&quot;publisher-place&quot;:&quot;Los Angeles&quot;,&quot;number-of-pages&quot;:&quot;1-457&quot;,&quot;edition&quot;:&quot;2&quot;,&quot;publisher&quot;:&quot;Sage Publications.&quot;,&quot;container-title-short&quot;:&quot;&quot;},&quot;isTemporary&quot;:false},{&quot;id&quot;:&quot;941c3a12-d4dd-30c5-a479-1507c54e8745&quot;,&quot;itemData&quot;:{&quot;type&quot;:&quot;book&quot;,&quot;id&quot;:&quot;941c3a12-d4dd-30c5-a479-1507c54e8745&quot;,&quot;title&quot;:&quot;Business Research Methods&quot;,&quot;author&quot;:[{&quot;family&quot;:&quot;Bell&quot;,&quot;given&quot;:&quot;Emma&quot;,&quot;parse-names&quot;:false,&quot;dropping-particle&quot;:&quot;&quot;,&quot;non-dropping-particle&quot;:&quot;&quot;},{&quot;family&quot;:&quot;Bryman&quot;,&quot;given&quot;:&quot;Alan&quot;,&quot;parse-names&quot;:false,&quot;dropping-particle&quot;:&quot;&quot;,&quot;non-dropping-particle&quot;:&quot;&quot;},{&quot;family&quot;:&quot;Harley&quot;,&quot;given&quot;:&quot;Bill&quot;,&quot;parse-names&quot;:false,&quot;dropping-particle&quot;:&quot;&quot;,&quot;non-dropping-particle&quot;:&quot;&quot;}],&quot;issued&quot;:{&quot;date-parts&quot;:[[2019]]},&quot;publisher-place&quot;:&quot;Oxford&quot;,&quot;edition&quot;:&quot;6&quot;,&quot;publisher&quot;:&quot;Oxford iniversity Press&quot;,&quot;container-title-short&quot;:&quot;&quot;},&quot;isTemporary&quot;:false}],&quot;citationTag&quot;:&quot;MENDELEY_CITATION_v3_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&quot;},{&quot;citationID&quot;:&quot;MENDELEY_CITATION_7c84e60a-1f56-44a3-b9e7-a0fdda356d08&quot;,&quot;properties&quot;:{&quot;noteIndex&quot;:0},&quot;isEdited&quot;:false,&quot;manualOverride&quot;:{&quot;isManuallyOverridden&quot;:false,&quot;citeprocText&quot;:&quot;(Creswell, 2014)&quot;,&quot;manualOverrideText&quot;:&quot;&quot;},&quot;citationItems&quot;:[{&quot;id&quot;:&quot;d268c94b-ad95-3170-8ee7-927e2975029c&quot;,&quot;itemData&quot;:{&quot;type&quot;:&quot;book&quot;,&quot;id&quot;:&quot;d268c94b-ad95-3170-8ee7-927e2975029c&quot;,&quot;title&quot;:&quot;Research design: Qualitative, quantitative, and mixed methods approaches&quot;,&quot;author&quot;:[{&quot;family&quot;:&quot;Creswell&quot;,&quot;given&quot;:&quot;J. W&quot;,&quot;parse-names&quot;:false,&quot;dropping-particle&quot;:&quot;&quot;,&quot;non-dropping-particle&quot;:&quot;&quot;}],&quot;issued&quot;:{&quot;date-parts&quot;:[[2014]]},&quot;publisher-place&quot;:&quot;London&quot;,&quot;number-of-pages&quot;:&quot;1-265&quot;,&quot;edition&quot;:&quot;4&quot;,&quot;publisher&quot;:&quot;Sage Publications.&quot;,&quot;container-title-short&quot;:&quot;&quot;},&quot;isTemporary&quot;:false}],&quot;citationTag&quot;:&quot;MENDELEY_CITATION_v3_eyJjaXRhdGlvbklEIjoiTUVOREVMRVlfQ0lUQVRJT05fN2M4NGU2MGEtMWY1Ni00NGEzLWI5ZTctYTBmZGRhMzU2ZDA4IiwicHJvcGVydGllcyI6eyJub3RlSW5kZXgiOjB9LCJpc0VkaXRlZCI6ZmFsc2UsIm1hbnVhbE92ZXJyaWRlIjp7ImlzTWFudWFsbHlPdmVycmlkZGVuIjpmYWxzZSwiY2l0ZXByb2NUZXh0IjoiKENyZXN3ZWxsLCAyMDE0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1dfQ==&quot;},{&quot;citationID&quot;:&quot;MENDELEY_CITATION_7e67ae18-a5f9-42e6-9fd7-f9b8d205aac5&quot;,&quot;properties&quot;:{&quot;noteIndex&quot;:0},&quot;isEdited&quot;:false,&quot;manualOverride&quot;:{&quot;isManuallyOverridden&quot;:true,&quot;citeprocText&quot;:&quot;(Bell &lt;i&gt;et al.&lt;/i&gt;, 2019; Bryman and Bell, 2015)&quot;,&quot;manualOverrideText&quot;:&quot;(Bryman and Bell, 2015; Bell et al, 2019)&quot;},&quot;citationItems&quot;:[{&quot;id&quot;:&quot;0c4d008a-515b-3dfd-ad00-53942057f219&quot;,&quot;itemData&quot;:{&quot;type&quot;:&quot;book&quot;,&quot;id&quot;:&quot;0c4d008a-515b-3dfd-ad00-53942057f219&quot;,&quot;title&quot;:&quot;Business Research Methods&quot;,&quot;author&quot;:[{&quot;family&quot;:&quot;Bryman&quot;,&quot;given&quot;:&quot;Alan.&quot;,&quot;parse-names&quot;:false,&quot;dropping-particle&quot;:&quot;&quot;,&quot;non-dropping-particle&quot;:&quot;&quot;},{&quot;family&quot;:&quot;Bell&quot;,&quot;given&quot;:&quot;Emma.&quot;,&quot;parse-names&quot;:false,&quot;dropping-particle&quot;:&quot;&quot;,&quot;non-dropping-particle&quot;:&quot;&quot;}],&quot;issued&quot;:{&quot;date-parts&quot;:[[2015]]},&quot;publisher-place&quot;:&quot;London&quot;,&quot;number-of-pages&quot;:&quot;1-778&quot;,&quot;edition&quot;:&quot;4&quot;,&quot;publisher&quot;:&quot;Oxford iniversity Press&quot;,&quot;container-title-short&quot;:&quot;&quot;},&quot;isTemporary&quot;:false},{&quot;id&quot;:&quot;941c3a12-d4dd-30c5-a479-1507c54e8745&quot;,&quot;itemData&quot;:{&quot;type&quot;:&quot;book&quot;,&quot;id&quot;:&quot;941c3a12-d4dd-30c5-a479-1507c54e8745&quot;,&quot;title&quot;:&quot;Business Research Methods&quot;,&quot;author&quot;:[{&quot;family&quot;:&quot;Bell&quot;,&quot;given&quot;:&quot;Emma&quot;,&quot;parse-names&quot;:false,&quot;dropping-particle&quot;:&quot;&quot;,&quot;non-dropping-particle&quot;:&quot;&quot;},{&quot;family&quot;:&quot;Bryman&quot;,&quot;given&quot;:&quot;Alan&quot;,&quot;parse-names&quot;:false,&quot;dropping-particle&quot;:&quot;&quot;,&quot;non-dropping-particle&quot;:&quot;&quot;},{&quot;family&quot;:&quot;Harley&quot;,&quot;given&quot;:&quot;Bill&quot;,&quot;parse-names&quot;:false,&quot;dropping-particle&quot;:&quot;&quot;,&quot;non-dropping-particle&quot;:&quot;&quot;}],&quot;issued&quot;:{&quot;date-parts&quot;:[[2019]]},&quot;publisher-place&quot;:&quot;Oxford&quot;,&quot;edition&quot;:&quot;6&quot;,&quot;publisher&quot;:&quot;Oxford iniversity Press&quot;,&quot;container-title-short&quot;:&quot;&quot;},&quot;isTemporary&quot;:false}],&quot;citationTag&quot;:&quot;MENDELEY_CITATION_v3_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&quot;},{&quot;citationID&quot;:&quot;MENDELEY_CITATION_f7097f9e-52a3-4147-b6bb-51e01dbbc647&quot;,&quot;properties&quot;:{&quot;noteIndex&quot;:0},&quot;isEdited&quot;:false,&quot;manualOverride&quot;:{&quot;isManuallyOverridden&quot;:true,&quot;citeprocText&quot;:&quot;(Creswell and Plano, 2018)&quot;,&quot;manualOverrideText&quot;:&quot;Creswell and Plano (2018)&quot;},&quot;citationItems&quot;:[{&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&quot;},{&quot;citationID&quot;:&quot;MENDELEY_CITATION_bfe4193b-d91e-4b92-82aa-5fa44381c369&quot;,&quot;properties&quot;:{&quot;noteIndex&quot;:0},&quot;isEdited&quot;:false,&quot;manualOverride&quot;:{&quot;isManuallyOverridden&quot;:false,&quot;citeprocText&quot;:&quot;(Collis and Hussey, 2021)&quot;,&quot;manualOverrideText&quot;:&quot;&quot;},&quot;citationItems&quot;:[{&quot;id&quot;:&quot;beff1917-50a7-394c-afd2-b166bfe53c0b&quot;,&quot;itemData&quot;:{&quot;type&quot;:&quot;book&quot;,&quot;id&quot;:&quot;beff1917-50a7-394c-afd2-b166bfe53c0b&quot;,&quot;title&quot;:&quot;Business Research&quot;,&quot;author&quot;:[{&quot;family&quot;:&quot;Collis&quot;,&quot;given&quot;:&quot;Jill&quot;,&quot;parse-names&quot;:false,&quot;dropping-particle&quot;:&quot;&quot;,&quot;non-dropping-particle&quot;:&quot;&quot;},{&quot;family&quot;:&quot;Hussey&quot;,&quot;given&quot;:&quot;Roger&quot;,&quot;parse-names&quot;:false,&quot;dropping-particle&quot;:&quot;&quot;,&quot;non-dropping-particle&quot;:&quot;&quot;}],&quot;issued&quot;:{&quot;date-parts&quot;:[[2021]]},&quot;number-of-pages&quot;:&quot;1-351&quot;,&quot;edition&quot;:&quot;5&quot;,&quot;publisher&quot;:&quot;Red Globe Press&quot;,&quot;container-title-short&quot;:&quot;&quot;},&quot;isTemporary&quot;:false}],&quot;citationTag&quot;:&quot;MENDELEY_CITATION_v3_eyJjaXRhdGlvbklEIjoiTUVOREVMRVlfQ0lUQVRJT05fYmZlNDE5M2ItZDkxZS00YjkyLTgyYWEtNWZhNDQzODFjMzY5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quot;},{&quot;citationID&quot;:&quot;MENDELEY_CITATION_5d5b9590-667a-46b6-8f13-be42240696dd&quot;,&quot;properties&quot;:{&quot;noteIndex&quot;:0},&quot;isEdited&quot;:false,&quot;manualOverride&quot;:{&quot;isManuallyOverridden&quot;:false,&quot;citeprocText&quot;:&quot;(Creswell and Plano, 2018; Guest and Fleming, 2015)&quot;,&quot;manualOverrideText&quot;:&quot;&quot;},&quot;citationItems&quot;:[{&quot;id&quot;:&quot;14d9181a-2a87-3148-be75-f5df3f5870d3&quot;,&quot;itemData&quot;:{&quot;type&quot;:&quot;chapter&quot;,&quot;id&quot;:&quot;14d9181a-2a87-3148-be75-f5df3f5870d3&quot;,&quot;title&quot;:&quot;Mixed Methods Research&quot;,&quot;author&quot;:[{&quot;family&quot;:&quot;Guest&quot;,&quot;given&quot;:&quot;Greg&quot;,&quot;parse-names&quot;:false,&quot;dropping-particle&quot;:&quot;&quot;,&quot;non-dropping-particle&quot;:&quot;&quot;},{&quot;family&quot;:&quot;Fleming&quot;,&quot;given&quot;:&quot;Paul&quot;,&quot;parse-names&quot;:false,&quot;dropping-particle&quot;:&quot;&quot;,&quot;non-dropping-particle&quot;:&quot;&quot;}],&quot;container-title&quot;:&quot;Public Health Research Methods&quot;,&quot;DOI&quot;:&quot;10.4135/9781483398839.n19&quot;,&quot;URL&quot;:&quot;https://methods.sagepub.com/book/public-health-research-methods/i2807.xml&quot;,&quot;issued&quot;:{&quot;date-parts&quot;:[[2015]]},&quot;publisher-place&quot;:&quot;1 Oliver's Yard, 55 City Road London EC1Y 1SP &quot;,&quot;page&quot;:&quot;581-614&quot;,&quot;publisher&quot;:&quot;SAGE Publications, Inc.&quot;,&quot;container-title-short&quot;:&quot;&quot;},&quot;isTemporary&quot;:false},{&quot;id&quot;:&quot;b9ae2833-452a-37af-a3ef-888a096800a2&quot;,&quot;itemData&quot;:{&quot;type&quot;:&quot;book&quot;,&quot;id&quot;:&quot;b9ae2833-452a-37af-a3ef-888a096800a2&quot;,&quot;title&quot;:&quot;Designing and Conducting Mixed Methods Research&quot;,&quot;author&quot;:[{&quot;family&quot;:&quot;Creswell&quot;,&quot;given&quot;:&quot;John W&quot;,&quot;parse-names&quot;:false,&quot;dropping-particle&quot;:&quot;&quot;,&quot;non-dropping-particle&quot;:&quot;&quot;},{&quot;family&quot;:&quot;Plano&quot;,&quot;given&quot;:&quot;Clark V.L.&quot;,&quot;parse-names&quot;:false,&quot;dropping-particle&quot;:&quot;&quot;,&quot;non-dropping-particle&quot;:&quot;&quot;}],&quot;issued&quot;:{&quot;date-parts&quot;:[[2018]]},&quot;publisher-place&quot;:&quot;California &quot;,&quot;number-of-pages&quot;:&quot;1-737&quot;,&quot;edition&quot;:&quot;3&quot;,&quot;publisher&quot;:&quot;Sage Publications.&quot;,&quot;container-title-short&quot;:&quot;&quot;},&quot;isTemporary&quot;:false}],&quot;citationTag&quot;:&quot;MENDELEY_CITATION_v3_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&quot;},{&quot;citationID&quot;:&quot;MENDELEY_CITATION_8a2b7d96-d430-4923-981c-2a431fad926e&quot;,&quot;properties&quot;:{&quot;noteIndex&quot;:0},&quot;isEdited&quot;:false,&quot;manualOverride&quot;:{&quot;isManuallyOverridden&quot;:false,&quot;citeprocText&quot;:&quot;(Albitar &lt;i&gt;et al.&lt;/i&gt;, 2025; Cheng &lt;i&gt;et al.&lt;/i&gt;, 2014; Ullah &lt;i&gt;et al.&lt;/i&gt;, 2021)&quot;,&quot;manualOverrideText&quot;:&quot;&quot;},&quot;citationItems&quot;:[{&quot;id&quot;:&quot;7b23b52c-1850-3b10-be0b-2edbc7de9f3e&quot;,&quot;itemData&quot;:{&quot;type&quot;:&quot;article-journal&quot;,&quot;id&quot;:&quot;7b23b52c-1850-3b10-be0b-2edbc7de9f3e&quot;,&quot;title&quot;:&quot;Corporate social responsibility and access to finance&quot;,&quot;author&quot;:[{&quot;family&quot;:&quot;Cheng&quot;,&quot;given&quot;:&quot;Beiting&quot;,&quot;parse-names&quot;:false,&quot;dropping-particle&quot;:&quot;&quot;,&quot;non-dropping-particle&quot;:&quot;&quot;},{&quot;family&quot;:&quot;Ioannou&quot;,&quot;given&quot;:&quot;Ioannis&quot;,&quot;parse-names&quot;:false,&quot;dropping-particle&quot;:&quot;&quot;,&quot;non-dropping-particle&quot;:&quot;&quot;},{&quot;family&quot;:&quot;Serafeim&quot;,&quot;given&quot;:&quot;George&quot;,&quot;parse-names&quot;:false,&quot;dropping-particle&quot;:&quot;&quot;,&quot;non-dropping-particle&quot;:&quot;&quot;}],&quot;container-title&quot;:&quot;Strategic Management Journal&quot;,&quot;ISSN&quot;:&quot;01432095&quot;,&quot;issued&quot;:{&quot;date-parts&quot;:[[2014,1]]},&quot;page&quot;:&quot;1-23&quot;,&quot;abstract&quot;:&quot;We investigate whether superior performance on corporate social responsibility (CSR) strategies leads to better access to finance. We hypothesize that better access to finance can be attributed to (1) reduced agency costs due to enhanced stakeholder engagement and (2) reduced informational asymmetry due to increased transparency. Using a large cross-section of firms, we find that firms with better CSR performance face significantly lower capital constraints. We provide evidence that both better stakeholder engagement and transparency around CSR performance are important in reducing capital constraints. The results are further confirmed using several alternative measures of capital constraints, a paired analysis based on a ratings shock to CSR performance, an instrumental variables approach, and a simultaneous equations approach. Finally, we show that the relation is driven by both the social and environmental dimension of CSR. Copyright © 2013 John Wiley &amp; Sons, Ltd.&quot;,&quot;issue&quot;:&quot;1&quot;,&quot;volume&quot;:&quot;35&quot;,&quot;container-title-short&quot;:&quot;&quot;},&quot;isTemporary&quot;:false},{&quot;id&quot;:&quot;65369d26-61e9-382d-b5b0-3f642c85fd4c&quot;,&quot;itemData&quot;:{&quot;type&quot;:&quot;article-journal&quot;,&quot;id&quot;:&quot;65369d26-61e9-382d-b5b0-3f642c85fd4c&quot;,&quot;title&quot;:&quot;Multinational corporations and human right violations in emerging economies: Do commitment to social and environmental responsibility matter?&quot;,&quot;author&quot;:[{&quot;family&quot;:&quot;Ullah&quot;,&quot;given&quot;:&quot;Subhan&quot;,&quot;parse-names&quot;:false,&quot;dropping-particle&quot;:&quot;&quot;,&quot;non-dropping-particle&quot;:&quot;&quot;},{&quot;family&quot;:&quot;Adams&quot;,&quot;given&quot;:&quot;Kweku&quot;,&quot;parse-names&quot;:false,&quot;dropping-particle&quot;:&quot;&quot;,&quot;non-dropping-particle&quot;:&quot;&quot;},{&quot;family&quot;:&quot;Adams&quot;,&quot;given&quot;:&quot;Dawda&quot;,&quot;parse-names&quot;:false,&quot;dropping-particle&quot;:&quot;&quot;,&quot;non-dropping-particle&quot;:&quot;&quot;},{&quot;family&quot;:&quot;Attah-Boakye&quot;,&quot;given&quot;:&quot;Rexford&quot;,&quot;parse-names&quot;:false,&quot;dropping-particle&quot;:&quot;&quot;,&quot;non-dropping-particle&quot;:&quot;&quot;}],&quot;container-title&quot;:&quot;Journal of Environmental Management&quot;,&quot;container-title-short&quot;:&quot;J Environ Manage&quot;,&quot;issued&quot;:{&quot;date-parts&quot;:[[2021,2,15]]},&quot;abstract&quot;:&quot;With the surge in economic growth in the global-north vis-a-vis social and economic inequalities in the global-south (north-south dichotomy), there is an increasing requirement for critical research and an examination of the policy implications with respect to human rights in emerging economies. This paper draws on the concept of convergence and institutional theories to enhance our understanding of how multinational corporations (MNCs) fulfil their profit maximisation agendas using capitalist principles; and the extent to which these ideologies produce human rights violations in emerging economies. Using multiple data sources from the Human Rights Watch, our study provides a comprehensive list of various human rights violations perpetrated by MNCs from 2002 to 2017. We verified 273 violations by 160 MNCs mostly from developed countries. More than 90% of our sample firms have CSR/sustainability committees, are signatories to the UN Global Compact and have reported compliance with the International Labour Organisation (ILO). This raises questions about the effectiveness of these programmes for CSR compliance. We contribute to the CSR/sustainability literature by providing new insights into the nature and location of human rights violations committed by MNCs.&quot;,&quot;publisher&quot;:&quot;Academic Press&quot;,&quot;volume&quot;:&quot;280&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quot;},{&quot;citationID&quot;:&quot;MENDELEY_CITATION_ff5d4dc9-9177-4a05-98b7-ea0d38843203&quot;,&quot;properties&quot;:{&quot;noteIndex&quot;:0},&quot;isEdited&quot;:false,&quot;manualOverride&quot;:{&quot;isManuallyOverridden&quot;:false,&quot;citeprocText&quot;:&quot;(DiMaggio and Powell, 1983; Scott, 201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ZmY1ZDRkYzktOTE3Ny00YTA1LTk4YjctZWEwZDM4ODQzMjAz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quot;},{&quot;citationID&quot;:&quot;MENDELEY_CITATION_a8839bbc-87fa-42bc-8940-0f9806fc43ce&quot;,&quot;properties&quot;:{&quot;noteIndex&quot;:0},&quot;isEdited&quot;:false,&quot;manualOverride&quot;:{&quot;isManuallyOverridden&quot;:false,&quot;citeprocText&quot;:&quot;(Elamer &lt;i&gt;et al.&lt;/i&gt;, 2020;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4b8c4cf9-6b55-31a1-88a4-68716459e483&quot;,&quot;itemData&quot;:{&quot;type&quot;:&quot;article-journal&quot;,&quot;id&quot;:&quot;4b8c4cf9-6b55-31a1-88a4-68716459e483&quot;,&quot;title&quot;:&quot;Islamic Governance, National Governance, and Bank Risk Management and Disclosure in MENA Countries&quot;,&quot;author&quot;:[{&quot;family&quot;:&quot;Elamer&quot;,&quot;given&quot;:&quot;Ahmed A.&quot;,&quot;parse-names&quot;:false,&quot;dropping-particle&quot;:&quot;&quot;,&quot;non-dropping-particle&quot;:&quot;&quot;},{&quot;family&quot;:&quot;Ntim&quot;,&quot;given&quot;:&quot;Collins G.&quot;,&quot;parse-names&quot;:false,&quot;dropping-particle&quot;:&quot;&quot;,&quot;non-dropping-particle&quot;:&quot;&quot;},{&quot;family&quot;:&quot;Abdou&quot;,&quot;given&quot;:&quot;Hussein A.&quot;,&quot;parse-names&quot;:false,&quot;dropping-particle&quot;:&quot;&quot;,&quot;non-dropping-particle&quot;:&quot;&quot;}],&quot;container-title&quot;:&quot;Business and Society&quot;,&quot;container-title-short&quot;:&quot;Bus Soc&quot;,&quot;DOI&quot;:&quot;10.1177/0007650317746108&quot;,&quot;ISSN&quot;:&quot;15524205&quot;,&quot;issued&quot;:{&quot;date-parts&quot;:[[2020,5,1]]},&quot;page&quot;:&quot;914-955&quot;,&quot;abstract&quot;:&quot;We examine the relationships among religious governance, especially Islamic governance quality (IGQ), national governance quality (NGQ), and risk management and disclosure practices (RDPs), and consequently ascertain whether NGQ has a moderating influence on the IGQ–RDPs nexus. Using one of the largest data sets relating to Islamic banks from 10 Middle East and North Africa (MENA) countries from 2006 to 2013, our findings are threefold. First, we find that RDPs are higher in banks with higher IGQ. Second, we find that RDPs are higher in banks from countries with higher NGQ. Finally, we find that NGQ has a moderating effect on the IGQ–RDPs nexus. Our findings are robust to alternative RDP measures and estimation techniques. These results imply that the quality of disclosure depends on the nature of the macro-social-level factors, such as religion that have remained largely unexplored in business and society research, and, therefore, have important implications for policy makers.&quot;,&quot;publisher&quot;:&quot;SAGE Publications Ltd&quot;,&quot;issue&quot;:&quot;5&quot;,&quot;volume&quot;:&quot;59&quot;},&quot;isTemporary&quot;:false}],&quot;citationTag&quot;:&quot;MENDELEY_CITATION_v3_eyJjaXRhdGlvbklEIjoiTUVOREVMRVlfQ0lUQVRJT05fYTg4MzliYmMtODdmYS00MmJjLTg5NDAtMGY5ODA2ZmM0M2NlIiwicHJvcGVydGllcyI6eyJub3RlSW5kZXgiOjB9LCJpc0VkaXRlZCI6ZmFsc2UsIm1hbnVhbE92ZXJyaWRlIjp7ImlzTWFudWFsbHlPdmVycmlkZGVuIjpmYWxzZSwiY2l0ZXByb2NUZXh0IjoiKEVsYW1lciA8aT5ldCBhbC48L2k+LCAyMDIwOyBNb3Vzc2EgPGk+ZXQgYWwuPC9pPiwgMjAyMikiLCJtYW51YWxPdmVycmlkZVRleHQiOiI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fSwiaXNUZW1wb3JhcnkiOmZhbHNlfV19&quot;},{&quot;citationID&quot;:&quot;MENDELEY_CITATION_fa78492d-2e79-40e8-a980-464fb98b5777&quot;,&quot;properties&quot;:{&quot;noteIndex&quot;:0},&quot;isEdited&quot;:false,&quot;manualOverride&quot;:{&quot;isManuallyOverridden&quot;:false,&quot;citeprocText&quot;:&quot;(Collis and Hussey, 2021)&quot;,&quot;manualOverrideText&quot;:&quot;&quot;},&quot;citationItems&quot;:[{&quot;id&quot;:&quot;beff1917-50a7-394c-afd2-b166bfe53c0b&quot;,&quot;itemData&quot;:{&quot;type&quot;:&quot;book&quot;,&quot;id&quot;:&quot;beff1917-50a7-394c-afd2-b166bfe53c0b&quot;,&quot;title&quot;:&quot;Business Research&quot;,&quot;author&quot;:[{&quot;family&quot;:&quot;Collis&quot;,&quot;given&quot;:&quot;Jill&quot;,&quot;parse-names&quot;:false,&quot;dropping-particle&quot;:&quot;&quot;,&quot;non-dropping-particle&quot;:&quot;&quot;},{&quot;family&quot;:&quot;Hussey&quot;,&quot;given&quot;:&quot;Roger&quot;,&quot;parse-names&quot;:false,&quot;dropping-particle&quot;:&quot;&quot;,&quot;non-dropping-particle&quot;:&quot;&quot;}],&quot;issued&quot;:{&quot;date-parts&quot;:[[2021]]},&quot;number-of-pages&quot;:&quot;1-351&quot;,&quot;edition&quot;:&quot;5&quot;,&quot;publisher&quot;:&quot;Red Globe Press&quot;,&quot;container-title-short&quot;:&quot;&quot;},&quot;isTemporary&quot;:false}],&quot;citationTag&quot;:&quot;MENDELEY_CITATION_v3_eyJjaXRhdGlvbklEIjoiTUVOREVMRVlfQ0lUQVRJT05fZmE3ODQ5MmQtMmU3OS00MGU4LWE5ODAtNDY0ZmI5OGI1Nzc3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quot;},{&quot;citationID&quot;:&quot;MENDELEY_CITATION_a6aa0eb2-c72d-4aa9-9874-d1c100f7d8e3&quot;,&quot;properties&quot;:{&quot;noteIndex&quot;:0},&quot;isEdited&quot;:false,&quot;manualOverride&quot;:{&quot;isManuallyOverridden&quot;:false,&quot;citeprocText&quot;:&quot;(Bergman, 2008)&quot;,&quot;manualOverrideText&quot;:&quot;&quot;},&quot;citationItems&quot;:[{&quot;id&quot;:&quot;2c8785c1-f9a4-35a8-8b8f-f034e97389ef&quot;,&quot;itemData&quot;:{&quot;type&quot;:&quot;chapter&quot;,&quot;id&quot;:&quot;2c8785c1-f9a4-35a8-8b8f-f034e97389ef&quot;,&quot;title&quot;:&quot;Advances in Mixed Methods Research: Theories and Applications &quot;,&quot;author&quot;:[{&quot;family&quot;:&quot;Bergman&quot;,&quot;given&quot;:&quot;M.M.&quot;,&quot;parse-names&quot;:false,&quot;dropping-particle&quot;:&quot;&quot;,&quot;non-dropping-particle&quot;:&quot;&quot;}],&quot;container-title&quot;:&quot;Sage Publications ltd&quot;,&quot;accessed&quot;:{&quot;date-parts&quot;:[[2022,9,5]]},&quot;URL&quot;:&quot;https://books.google.co.uk/books?hl=en&amp;lr=&amp;id=hWT6mWbnGC0C&amp;oi=fnd&amp;pg=PR5&amp;dq=manfred+max+bergman&amp;ots=Tow9l45PqI&amp;sig=-SVb80Bntrq9fEG2DIcQNuV-sjM&amp;redir_esc=y#v=onepage&amp;q=manfred%20max%20bergman&amp;f=false&quot;,&quot;issued&quot;:{&quot;date-parts&quot;:[[2008]]},&quot;publisher-place&quot;:&quot;London&quot;,&quot;page&quot;:&quot;1-199&quot;,&quot;container-title-short&quot;:&quot;&quot;},&quot;isTemporary&quot;:false}],&quot;citationTag&quot;:&quot;MENDELEY_CITATION_v3_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&quot;},{&quot;citationID&quot;:&quot;MENDELEY_CITATION_b773dfcb-4724-49d8-b75b-f0a174e122b6&quot;,&quot;properties&quot;:{&quot;noteIndex&quot;:0},&quot;isEdited&quot;:false,&quot;manualOverride&quot;:{&quot;isManuallyOverridden&quot;:false,&quot;citeprocText&quot;:&quot;(Collis and Hussey, 2021)&quot;,&quot;manualOverrideText&quot;:&quot;&quot;},&quot;citationItems&quot;:[{&quot;id&quot;:&quot;beff1917-50a7-394c-afd2-b166bfe53c0b&quot;,&quot;itemData&quot;:{&quot;type&quot;:&quot;book&quot;,&quot;id&quot;:&quot;beff1917-50a7-394c-afd2-b166bfe53c0b&quot;,&quot;title&quot;:&quot;Business Research&quot;,&quot;author&quot;:[{&quot;family&quot;:&quot;Collis&quot;,&quot;given&quot;:&quot;Jill&quot;,&quot;parse-names&quot;:false,&quot;dropping-particle&quot;:&quot;&quot;,&quot;non-dropping-particle&quot;:&quot;&quot;},{&quot;family&quot;:&quot;Hussey&quot;,&quot;given&quot;:&quot;Roger&quot;,&quot;parse-names&quot;:false,&quot;dropping-particle&quot;:&quot;&quot;,&quot;non-dropping-particle&quot;:&quot;&quot;}],&quot;issued&quot;:{&quot;date-parts&quot;:[[2021]]},&quot;number-of-pages&quot;:&quot;1-351&quot;,&quot;edition&quot;:&quot;5&quot;,&quot;publisher&quot;:&quot;Red Globe Press&quot;,&quot;container-title-short&quot;:&quot;&quot;},&quot;isTemporary&quot;:false}],&quot;citationTag&quot;:&quot;MENDELEY_CITATION_v3_eyJjaXRhdGlvbklEIjoiTUVOREVMRVlfQ0lUQVRJT05fYjc3M2RmY2ItNDcyNC00OWQ4LWI3NWItZjBhMTc0ZTEyMmI2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quot;},{&quot;citationID&quot;:&quot;MENDELEY_CITATION_b54a79bc-7df8-4305-a405-250ddbc0e2c0&quot;,&quot;properties&quot;:{&quot;noteIndex&quot;:0},&quot;isEdited&quot;:false,&quot;manualOverride&quot;:{&quot;isManuallyOverridden&quot;:false,&quot;citeprocText&quot;:&quot;(Bergman, 2008; Creswell, 2014)&quot;,&quot;manualOverrideText&quot;:&quot;&quot;},&quot;citationItems&quot;:[{&quot;id&quot;:&quot;d268c94b-ad95-3170-8ee7-927e2975029c&quot;,&quot;itemData&quot;:{&quot;type&quot;:&quot;book&quot;,&quot;id&quot;:&quot;d268c94b-ad95-3170-8ee7-927e2975029c&quot;,&quot;title&quot;:&quot;Research design: Qualitative, quantitative, and mixed methods approaches&quot;,&quot;author&quot;:[{&quot;family&quot;:&quot;Creswell&quot;,&quot;given&quot;:&quot;J. W&quot;,&quot;parse-names&quot;:false,&quot;dropping-particle&quot;:&quot;&quot;,&quot;non-dropping-particle&quot;:&quot;&quot;}],&quot;issued&quot;:{&quot;date-parts&quot;:[[2014]]},&quot;publisher-place&quot;:&quot;London&quot;,&quot;number-of-pages&quot;:&quot;1-265&quot;,&quot;edition&quot;:&quot;4&quot;,&quot;publisher&quot;:&quot;Sage Publications.&quot;,&quot;container-title-short&quot;:&quot;&quot;},&quot;isTemporary&quot;:false},{&quot;id&quot;:&quot;2c8785c1-f9a4-35a8-8b8f-f034e97389ef&quot;,&quot;itemData&quot;:{&quot;type&quot;:&quot;chapter&quot;,&quot;id&quot;:&quot;2c8785c1-f9a4-35a8-8b8f-f034e97389ef&quot;,&quot;title&quot;:&quot;Advances in Mixed Methods Research: Theories and Applications &quot;,&quot;author&quot;:[{&quot;family&quot;:&quot;Bergman&quot;,&quot;given&quot;:&quot;M.M.&quot;,&quot;parse-names&quot;:false,&quot;dropping-particle&quot;:&quot;&quot;,&quot;non-dropping-particle&quot;:&quot;&quot;}],&quot;container-title&quot;:&quot;Sage Publications ltd&quot;,&quot;accessed&quot;:{&quot;date-parts&quot;:[[2022,9,5]]},&quot;URL&quot;:&quot;https://books.google.co.uk/books?hl=en&amp;lr=&amp;id=hWT6mWbnGC0C&amp;oi=fnd&amp;pg=PR5&amp;dq=manfred+max+bergman&amp;ots=Tow9l45PqI&amp;sig=-SVb80Bntrq9fEG2DIcQNuV-sjM&amp;redir_esc=y#v=onepage&amp;q=manfred%20max%20bergman&amp;f=false&quot;,&quot;issued&quot;:{&quot;date-parts&quot;:[[2008]]},&quot;publisher-place&quot;:&quot;London&quot;,&quot;page&quot;:&quot;1-199&quot;,&quot;container-title-short&quot;:&quot;&quot;},&quot;isTemporary&quot;:false}],&quot;citationTag&quot;:&quot;MENDELEY_CITATION_v3_eyJjaXRhdGlvbklEIjoiTUVOREVMRVlfQ0lUQVRJT05fYjU0YTc5YmMtN2RmOC00MzA1LWE0MDUtMjUwZGRiYzBlMmMwIiwicHJvcGVydGllcyI6eyJub3RlSW5kZXgiOjB9LCJpc0VkaXRlZCI6ZmFsc2UsIm1hbnVhbE92ZXJyaWRlIjp7ImlzTWFudWFsbHlPdmVycmlkZGVuIjpmYWxzZSwiY2l0ZXByb2NUZXh0IjoiKEJlcmdtYW4sIDIwMDg7IENyZXN3ZWxsLCAyMDE0KSIsIm1hbnVhbE92ZXJyaWRlVGV4dCI6IiJ9LCJjaXRhdGlvbkl0ZW1zIjpb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0s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1dfQ==&quot;},{&quot;citationID&quot;:&quot;MENDELEY_CITATION_22c8f294-0cfb-4b38-bcb8-3428166eb286&quot;,&quot;properties&quot;:{&quot;noteIndex&quot;:0},&quot;isEdited&quot;:false,&quot;manualOverride&quot;:{&quot;isManuallyOverridden&quot;:true,&quot;citeprocText&quot;:&quot;(Creswell, 2014; Helfaya and Moussa, 2017)&quot;,&quot;manualOverrideText&quot;:&quot;(Creswell, 2014; Karamatzanis et al., 2025)&quot;},&quot;citationItems&quot;:[{&quot;id&quot;:&quot;19df8b13-8bb0-3029-8918-5827c0f859a2&quot;,&quot;itemData&quot;:{&quot;type&quot;:&quot;article-journal&quot;,&quot;id&quot;:&quot;19df8b13-8bb0-3029-8918-5827c0f859a2&quot;,&quot;title&quot;:&quot;Do Board's Corporate Social Responsibility Strategy and Orientation Influence Environmental Sustainability Disclosure? UK Evidence&quot;,&quot;author&quot;:[{&quot;family&quot;:&quot;Helfaya&quot;,&quot;given&quot;:&quot;Akrum&quot;,&quot;parse-names&quot;:false,&quot;dropping-particle&quot;:&quot;&quot;,&quot;non-dropping-particle&quot;:&quot;&quot;},{&quot;family&quot;:&quot;Moussa&quot;,&quot;given&quot;:&quot;Tantawy&quot;,&quot;parse-names&quot;:false,&quot;dropping-particle&quot;:&quot;&quot;,&quot;non-dropping-particle&quot;:&quot;&quot;}],&quot;container-title&quot;:&quot;Business Strategy and the Environment&quot;,&quot;container-title-short&quot;:&quot;Bus Strategy Environ&quot;,&quot;issued&quot;:{&quot;date-parts&quot;:[[2017,12,1]]},&quot;page&quot;:&quot;1061-1077&quot;,&quot;abstract&quot;:&quot;The environmental implications of corporate economic activities have led to growing demands for firms and their boards to adopt sustainable strategies and to disseminate more useful information about their activities and impacts on environment. This paper investigates the impact of board's corporate social responsibility (CSR) strategy and orientation on the quantity and quality of environmental sustainability disclosure in UK listed firms. We find that effective board CSR strategy and CSR-oriented directors have a positive and significant impact on the quality of environmental sustainability disclosure, but not on the quantity. Our findings also suggest that the existence of a CSR committee and issuance of a stand-alone CSR report are positively and significantly related to environmental sustainability disclosure. When we distinguish between firms with high and low environmental risk, we find that the board CSR/sustainability practices that affect the quantity (quality) of environmental sustainability disclosure appear to be driven more by highly (lowly) environmentally sensitive firms. These results suggest that the board CSR/sustainability practices play an important role in ensuring a firm's legitimacy and accountability towards stakeholders. Our findings shed new light on this under-researched area and could be of interest to companies, policy-makers and other stakeholders. Copyright © 2017 John Wiley &amp; Sons, Ltd and ERP Environment.&quot;,&quot;publisher&quot;:&quot;John Wiley and Sons Ltd&quot;,&quot;issue&quot;:&quot;8&quot;,&quot;volume&quot;:&quot;26&quot;},&quot;isTemporary&quot;:false},{&quot;id&quot;:&quot;d268c94b-ad95-3170-8ee7-927e2975029c&quot;,&quot;itemData&quot;:{&quot;type&quot;:&quot;book&quot;,&quot;id&quot;:&quot;d268c94b-ad95-3170-8ee7-927e2975029c&quot;,&quot;title&quot;:&quot;Research design: Qualitative, quantitative, and mixed methods approaches&quot;,&quot;author&quot;:[{&quot;family&quot;:&quot;Creswell&quot;,&quot;given&quot;:&quot;J. W&quot;,&quot;parse-names&quot;:false,&quot;dropping-particle&quot;:&quot;&quot;,&quot;non-dropping-particle&quot;:&quot;&quot;}],&quot;issued&quot;:{&quot;date-parts&quot;:[[2014]]},&quot;publisher-place&quot;:&quot;London&quot;,&quot;number-of-pages&quot;:&quot;1-265&quot;,&quot;edition&quot;:&quot;4&quot;,&quot;publisher&quot;:&quot;Sage Publications.&quot;,&quot;container-title-short&quot;:&quot;&quot;},&quot;isTemporary&quot;:false}],&quot;citationTag&quot;:&quot;MENDELEY_CITATION_v3_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&quot;},{&quot;citationID&quot;:&quot;MENDELEY_CITATION_f9eec854-1775-4719-95b4-1105ba7dde47&quot;,&quot;properties&quot;:{&quot;noteIndex&quot;:0},&quot;isEdited&quot;:false,&quot;manualOverride&quot;:{&quot;isManuallyOverridden&quot;:false,&quot;citeprocText&quot;:&quot;(Collis and Hussey, 2021)&quot;,&quot;manualOverrideText&quot;:&quot;&quot;},&quot;citationItems&quot;:[{&quot;id&quot;:&quot;beff1917-50a7-394c-afd2-b166bfe53c0b&quot;,&quot;itemData&quot;:{&quot;type&quot;:&quot;book&quot;,&quot;id&quot;:&quot;beff1917-50a7-394c-afd2-b166bfe53c0b&quot;,&quot;title&quot;:&quot;Business Research&quot;,&quot;author&quot;:[{&quot;family&quot;:&quot;Collis&quot;,&quot;given&quot;:&quot;Jill&quot;,&quot;parse-names&quot;:false,&quot;dropping-particle&quot;:&quot;&quot;,&quot;non-dropping-particle&quot;:&quot;&quot;},{&quot;family&quot;:&quot;Hussey&quot;,&quot;given&quot;:&quot;Roger&quot;,&quot;parse-names&quot;:false,&quot;dropping-particle&quot;:&quot;&quot;,&quot;non-dropping-particle&quot;:&quot;&quot;}],&quot;issued&quot;:{&quot;date-parts&quot;:[[2021]]},&quot;number-of-pages&quot;:&quot;1-351&quot;,&quot;edition&quot;:&quot;5&quot;,&quot;publisher&quot;:&quot;Red Globe Press&quot;,&quot;container-title-short&quot;:&quot;&quot;},&quot;isTemporary&quot;:false}],&quot;citationTag&quot;:&quot;MENDELEY_CITATION_v3_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&quot;},{&quot;citationID&quot;:&quot;MENDELEY_CITATION_ffab13ab-7d44-4991-938f-08a796941d3f&quot;,&quot;properties&quot;:{&quot;noteIndex&quot;:0},&quot;isEdited&quot;:false,&quot;manualOverride&quot;:{&quot;isManuallyOverridden&quot;:true,&quot;citeprocText&quot;:&quot;(Creswell, 2009)&quot;,&quot;manualOverrideText&quot;:&quot;Creswell (2009)&quot;},&quot;citationItems&quot;:[{&quot;id&quot;:&quot;eaf12b7b-aca7-387e-b909-8231b4974235&quot;,&quot;itemData&quot;:{&quot;type&quot;:&quot;book&quot;,&quot;id&quot;:&quot;eaf12b7b-aca7-387e-b909-8231b4974235&quot;,&quot;title&quot;:&quot;John W. Creswell's Research Design 3rd Ed&quot;,&quot;author&quot;:[{&quot;family&quot;:&quot;Creswell&quot;,&quot;given&quot;:&quot;J.W&quot;,&quot;parse-names&quot;:false,&quot;dropping-particle&quot;:&quot;&quot;,&quot;non-dropping-particle&quot;:&quot;&quot;}],&quot;issued&quot;:{&quot;date-parts&quot;:[[2009]]},&quot;publisher-place&quot;:&quot;California &quot;,&quot;number-of-pages&quot;:&quot;1-295&quot;,&quot;edition&quot;:&quot;3&quot;,&quot;publisher&quot;:&quot;Sage Publications.&quot;,&quot;container-title-short&quot;:&quot;&quot;},&quot;isTemporary&quot;:false}],&quot;citationTag&quot;:&quot;MENDELEY_CITATION_v3_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&quot;},{&quot;citationID&quot;:&quot;MENDELEY_CITATION_20829c69-4c33-40c4-834a-063c1c7c89c3&quot;,&quot;properties&quot;:{&quot;noteIndex&quot;:0},&quot;isEdited&quot;:false,&quot;manualOverride&quot;:{&quot;isManuallyOverridden&quot;:false,&quot;citeprocText&quot;:&quot;(Bergman, 2008; Creswell and Plano Clark, 2011; Gibson, 2017)&quot;,&quot;manualOverrideText&quot;:&quot;&quot;},&quot;citationItems&quot;:[{&quot;id&quot;:&quot;2c8785c1-f9a4-35a8-8b8f-f034e97389ef&quot;,&quot;itemData&quot;:{&quot;type&quot;:&quot;chapter&quot;,&quot;id&quot;:&quot;2c8785c1-f9a4-35a8-8b8f-f034e97389ef&quot;,&quot;title&quot;:&quot;Advances in Mixed Methods Research: Theories and Applications &quot;,&quot;author&quot;:[{&quot;family&quot;:&quot;Bergman&quot;,&quot;given&quot;:&quot;M.M.&quot;,&quot;parse-names&quot;:false,&quot;dropping-particle&quot;:&quot;&quot;,&quot;non-dropping-particle&quot;:&quot;&quot;}],&quot;container-title&quot;:&quot;Sage Publications ltd&quot;,&quot;accessed&quot;:{&quot;date-parts&quot;:[[2022,9,5]]},&quot;URL&quot;:&quot;https://books.google.co.uk/books?hl=en&amp;lr=&amp;id=hWT6mWbnGC0C&amp;oi=fnd&amp;pg=PR5&amp;dq=manfred+max+bergman&amp;ots=Tow9l45PqI&amp;sig=-SVb80Bntrq9fEG2DIcQNuV-sjM&amp;redir_esc=y#v=onepage&amp;q=manfred%20max%20bergman&amp;f=false&quot;,&quot;issued&quot;:{&quot;date-parts&quot;:[[2008]]},&quot;publisher-place&quot;:&quot;London&quot;,&quot;page&quot;:&quot;1-199&quot;,&quot;container-title-short&quot;:&quot;&quot;},&quot;isTemporary&quot;:false},{&quot;id&quot;:&quot;3cd06a10-3716-306b-8b5a-37be7bf340dd&quot;,&quot;itemData&quot;:{&quot;type&quot;:&quot;book&quot;,&quot;id&quot;:&quot;3cd06a10-3716-306b-8b5a-37be7bf340dd&quot;,&quot;title&quot;:&quot;Designing and conducting mixed methods research&quot;,&quot;author&quot;:[{&quot;family&quot;:&quot;Creswell&quot;,&quot;given&quot;:&quot;John W.&quot;,&quot;parse-names&quot;:false,&quot;dropping-particle&quot;:&quot;&quot;,&quot;non-dropping-particle&quot;:&quot;&quot;},{&quot;family&quot;:&quot;Plano Clark&quot;,&quot;given&quot;:&quot;Vicki L.&quot;,&quot;parse-names&quot;:false,&quot;dropping-particle&quot;:&quot;&quot;,&quot;non-dropping-particle&quot;:&quot;&quot;}],&quot;issued&quot;:{&quot;date-parts&quot;:[[2011]]},&quot;publisher-place&quot;:&quot;Los Angeles&quot;,&quot;number-of-pages&quot;:&quot;1-457&quot;,&quot;edition&quot;:&quot;2&quot;,&quot;publisher&quot;:&quot;Sage Publications.&quot;,&quot;container-title-short&quot;:&quot;&quot;},&quot;isTemporary&quot;:false},{&quot;id&quot;:&quot;13229b4c-78de-3c8d-8ee4-0b415026b080&quot;,&quot;itemData&quot;:{&quot;type&quot;:&quot;article-journal&quot;,&quot;id&quot;:&quot;13229b4c-78de-3c8d-8ee4-0b415026b080&quot;,&quot;title&quot;:&quot;Elaboration, Generalization, Triangulation, and Interpretation: On Enhancing the Value of Mixed Method Research&quot;,&quot;author&quot;:[{&quot;family&quot;:&quot;Gibson&quot;,&quot;given&quot;:&quot;Cristina B.&quot;,&quot;parse-names&quot;:false,&quot;dropping-particle&quot;:&quot;&quot;,&quot;non-dropping-particle&quot;:&quot;&quot;}],&quot;container-title&quot;:&quot;Organizational Research Methods&quot;,&quot;container-title-short&quot;:&quot;Organ Res Methods&quot;,&quot;DOI&quot;:&quot;10.1177/1094428116639133&quot;,&quot;ISSN&quot;:&quot;15527425&quot;,&quot;issued&quot;:{&quot;date-parts&quot;:[[2017,4,1]]},&quot;page&quot;:&quot;193-223&quot;,&quot;abstract&quot;:&quot;This article examines means of enhancing the value of mixed method research for organizational science. Conclusions are based on a comprehensive analysis of 69 mixed method articles published in four empirical journals between 2009 and 2014, detailed case comparison of four illustrative articles, and personal interviews with lead authors for each case. Findings provide three key contributions. First, documenting the prevalence of mixed methods over the past six years in a broad selection of journals, five approaches to mixed method research are identified—including three novel approaches not yet elaborated on in prior treatises on research methods, expanding the feasible options for mixed method scholarship and bolstering confidence in considering such approaches. Second, themes pertaining to enhancing the value of mixed method research are revealed, including elaboration, generalization, triangulation, and interpretation. Finally, findings uncovered four sets of practical techniques by which this value can be increased. Together, these contributions provide guidance for those endeavoring to utilize a mixed method approach in organizational science.&quot;,&quot;publisher&quot;:&quot;SAGE Publications Inc.&quot;,&quot;issue&quot;:&quot;2&quot;,&quot;volume&quot;:&quot;20&quot;},&quot;isTemporary&quot;:false}],&quot;citationTag&quot;:&quot;MENDELEY_CITATION_v3_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&quot;},{&quot;citationID&quot;:&quot;MENDELEY_CITATION_ec357722-16d8-4fa1-acf4-b75202d3b43c&quot;,&quot;properties&quot;:{&quot;noteIndex&quot;:0},&quot;isEdited&quot;:false,&quot;manualOverride&quot;:{&quot;isManuallyOverridden&quot;:false,&quot;citeprocText&quot;:&quot;(Bergman, 2008; Creswell and Plano Clark, 2011; Morse &lt;i&gt;et al.&lt;/i&gt;, 2002)&quot;,&quot;manualOverrideText&quot;:&quot;&quot;},&quot;citationItems&quot;:[{&quot;id&quot;:&quot;3cd06a10-3716-306b-8b5a-37be7bf340dd&quot;,&quot;itemData&quot;:{&quot;type&quot;:&quot;book&quot;,&quot;id&quot;:&quot;3cd06a10-3716-306b-8b5a-37be7bf340dd&quot;,&quot;title&quot;:&quot;Designing and conducting mixed methods research&quot;,&quot;author&quot;:[{&quot;family&quot;:&quot;Creswell&quot;,&quot;given&quot;:&quot;John W.&quot;,&quot;parse-names&quot;:false,&quot;dropping-particle&quot;:&quot;&quot;,&quot;non-dropping-particle&quot;:&quot;&quot;},{&quot;family&quot;:&quot;Plano Clark&quot;,&quot;given&quot;:&quot;Vicki L.&quot;,&quot;parse-names&quot;:false,&quot;dropping-particle&quot;:&quot;&quot;,&quot;non-dropping-particle&quot;:&quot;&quot;}],&quot;issued&quot;:{&quot;date-parts&quot;:[[2011]]},&quot;publisher-place&quot;:&quot;Los Angeles&quot;,&quot;number-of-pages&quot;:&quot;1-457&quot;,&quot;edition&quot;:&quot;2&quot;,&quot;publisher&quot;:&quot;Sage Publications.&quot;,&quot;container-title-short&quot;:&quot;&quot;},&quot;isTemporary&quot;:false},{&quot;id&quot;:&quot;bab4c3db-32d5-3adf-9e2f-a676805fc5dc&quot;,&quot;itemData&quot;:{&quot;type&quot;:&quot;report&quot;,&quot;id&quot;:&quot;bab4c3db-32d5-3adf-9e2f-a676805fc5dc&quot;,&quot;title&quot;:&quot;Verification Strategies for Establishing Reliability and Validity in Qualitative Research&quot;,&quot;author&quot;:[{&quot;family&quot;:&quot;Morse&quot;,&quot;given&quot;:&quot;Janice M&quot;,&quot;parse-names&quot;:false,&quot;dropping-particle&quot;:&quot;&quot;,&quot;non-dropping-particle&quot;:&quot;&quot;},{&quot;family&quot;:&quot;Barrett&quot;,&quot;given&quot;:&quot;Michael&quot;,&quot;parse-names&quot;:false,&quot;dropping-particle&quot;:&quot;&quot;,&quot;non-dropping-particle&quot;:&quot;&quot;},{&quot;family&quot;:&quot;Mayan&quot;,&quot;given&quot;:&quot;Maria&quot;,&quot;parse-names&quot;:false,&quot;dropping-particle&quot;:&quot;&quot;,&quot;non-dropping-particle&quot;:&quot;&quot;},{&quot;family&quot;:&quot;Olson&quot;,&quot;given&quot;:&quot;Karin&quot;,&quot;parse-names&quot;:false,&quot;dropping-particle&quot;:&quot;&quot;,&quot;non-dropping-particle&quot;:&quot;&quot;},{&quot;family&quot;:&quot;Spiers&quot;,&quot;given&quot;:&quot;Jude&quot;,&quot;parse-names&quot;:false,&quot;dropping-particle&quot;:&quot;&quot;,&quot;non-dropping-particle&quot;:&quot;&quot;}],&quot;container-title&quot;:&quot;International Journal of Qualitative Methods&quot;,&quot;issued&quot;:{&quot;date-parts&quot;:[[2002]]},&quot;abstract&quot;:&quot;The rejection of reliability and validity in qualitative inquiry in the 1980s has resulted in an interesting shift for \&quot;ensuring rigor\&quot; from the investigator's actions during the course of the research, to the reader or consumer of qualitative inquiry. The emphasis on strategies that are implemented during the research process has been replaced by strategies for evaluating trustworthiness and utility that are implemented once a study is completed. In this article, we argue that reliability and validity remain appropriate concepts for attaining rigor in qualitative research. We argue that qualitative researchers should reclaim responsibility for reliability and validity by implementing verification strategies integral and self-correcting during the conduct of inquiry itself. This ensures the attainment of rigor using strategies inherent within each qualitative design, and moves the responsibility for incorporating and maintaining reliability and validity from external reviewers' judgements to the investigators themselves. Finally, we make a plea for a return to terminology for ensuring rigor that is used by mainstream science.&quot;,&quot;issue&quot;:&quot;2&quot;,&quot;volume&quot;:&quot;1&quot;,&quot;container-title-short&quot;:&quot;Int J Qual Methods&quot;},&quot;isTemporary&quot;:false},{&quot;id&quot;:&quot;2c8785c1-f9a4-35a8-8b8f-f034e97389ef&quot;,&quot;itemData&quot;:{&quot;type&quot;:&quot;chapter&quot;,&quot;id&quot;:&quot;2c8785c1-f9a4-35a8-8b8f-f034e97389ef&quot;,&quot;title&quot;:&quot;Advances in Mixed Methods Research: Theories and Applications &quot;,&quot;author&quot;:[{&quot;family&quot;:&quot;Bergman&quot;,&quot;given&quot;:&quot;M.M.&quot;,&quot;parse-names&quot;:false,&quot;dropping-particle&quot;:&quot;&quot;,&quot;non-dropping-particle&quot;:&quot;&quot;}],&quot;container-title&quot;:&quot;Sage Publications ltd&quot;,&quot;accessed&quot;:{&quot;date-parts&quot;:[[2022,9,5]]},&quot;URL&quot;:&quot;https://books.google.co.uk/books?hl=en&amp;lr=&amp;id=hWT6mWbnGC0C&amp;oi=fnd&amp;pg=PR5&amp;dq=manfred+max+bergman&amp;ots=Tow9l45PqI&amp;sig=-SVb80Bntrq9fEG2DIcQNuV-sjM&amp;redir_esc=y#v=onepage&amp;q=manfred%20max%20bergman&amp;f=false&quot;,&quot;issued&quot;:{&quot;date-parts&quot;:[[2008]]},&quot;publisher-place&quot;:&quot;London&quot;,&quot;page&quot;:&quot;1-199&quot;,&quot;container-title-short&quot;:&quot;&quot;},&quot;isTemporary&quot;:false}],&quot;citationTag&quot;:&quot;MENDELEY_CITATION_v3_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&quot;},{&quot;citationID&quot;:&quot;MENDELEY_CITATION_87568ade-051f-4a9e-80cd-ec07f9ff3bcd&quot;,&quot;properties&quot;:{&quot;noteIndex&quot;:0},&quot;isEdited&quot;:false,&quot;manualOverride&quot;:{&quot;isManuallyOverridden&quot;:false,&quot;citeprocText&quot;:&quot;(Creswell, 2014; Creswell and Plano Clark, 2011; Gibson, 2017)&quot;,&quot;manualOverrideText&quot;:&quot;&quot;},&quot;citationItems&quot;:[{&quot;id&quot;:&quot;d268c94b-ad95-3170-8ee7-927e2975029c&quot;,&quot;itemData&quot;:{&quot;type&quot;:&quot;book&quot;,&quot;id&quot;:&quot;d268c94b-ad95-3170-8ee7-927e2975029c&quot;,&quot;title&quot;:&quot;Research design: Qualitative, quantitative, and mixed methods approaches&quot;,&quot;author&quot;:[{&quot;family&quot;:&quot;Creswell&quot;,&quot;given&quot;:&quot;J. W&quot;,&quot;parse-names&quot;:false,&quot;dropping-particle&quot;:&quot;&quot;,&quot;non-dropping-particle&quot;:&quot;&quot;}],&quot;issued&quot;:{&quot;date-parts&quot;:[[2014]]},&quot;publisher-place&quot;:&quot;London&quot;,&quot;number-of-pages&quot;:&quot;1-265&quot;,&quot;edition&quot;:&quot;4&quot;,&quot;publisher&quot;:&quot;Sage Publications.&quot;,&quot;container-title-short&quot;:&quot;&quot;},&quot;isTemporary&quot;:false},{&quot;id&quot;:&quot;3cd06a10-3716-306b-8b5a-37be7bf340dd&quot;,&quot;itemData&quot;:{&quot;type&quot;:&quot;book&quot;,&quot;id&quot;:&quot;3cd06a10-3716-306b-8b5a-37be7bf340dd&quot;,&quot;title&quot;:&quot;Designing and conducting mixed methods research&quot;,&quot;author&quot;:[{&quot;family&quot;:&quot;Creswell&quot;,&quot;given&quot;:&quot;John W.&quot;,&quot;parse-names&quot;:false,&quot;dropping-particle&quot;:&quot;&quot;,&quot;non-dropping-particle&quot;:&quot;&quot;},{&quot;family&quot;:&quot;Plano Clark&quot;,&quot;given&quot;:&quot;Vicki L.&quot;,&quot;parse-names&quot;:false,&quot;dropping-particle&quot;:&quot;&quot;,&quot;non-dropping-particle&quot;:&quot;&quot;}],&quot;issued&quot;:{&quot;date-parts&quot;:[[2011]]},&quot;publisher-place&quot;:&quot;Los Angeles&quot;,&quot;number-of-pages&quot;:&quot;1-457&quot;,&quot;edition&quot;:&quot;2&quot;,&quot;publisher&quot;:&quot;Sage Publications.&quot;,&quot;container-title-short&quot;:&quot;&quot;},&quot;isTemporary&quot;:false},{&quot;id&quot;:&quot;13229b4c-78de-3c8d-8ee4-0b415026b080&quot;,&quot;itemData&quot;:{&quot;type&quot;:&quot;article-journal&quot;,&quot;id&quot;:&quot;13229b4c-78de-3c8d-8ee4-0b415026b080&quot;,&quot;title&quot;:&quot;Elaboration, Generalization, Triangulation, and Interpretation: On Enhancing the Value of Mixed Method Research&quot;,&quot;author&quot;:[{&quot;family&quot;:&quot;Gibson&quot;,&quot;given&quot;:&quot;Cristina B.&quot;,&quot;parse-names&quot;:false,&quot;dropping-particle&quot;:&quot;&quot;,&quot;non-dropping-particle&quot;:&quot;&quot;}],&quot;container-title&quot;:&quot;Organizational Research Methods&quot;,&quot;DOI&quot;:&quot;10.1177/1094428116639133&quot;,&quot;ISSN&quot;:&quot;15527425&quot;,&quot;issued&quot;:{&quot;date-parts&quot;:[[2017,4,1]]},&quot;page&quot;:&quot;193-223&quot;,&quot;abstract&quot;:&quot;This article examines means of enhancing the value of mixed method research for organizational science. Conclusions are based on a comprehensive analysis of 69 mixed method articles published in four empirical journals between 2009 and 2014, detailed case comparison of four illustrative articles, and personal interviews with lead authors for each case. Findings provide three key contributions. First, documenting the prevalence of mixed methods over the past six years in a broad selection of journals, five approaches to mixed method research are identified—including three novel approaches not yet elaborated on in prior treatises on research methods, expanding the feasible options for mixed method scholarship and bolstering confidence in considering such approaches. Second, themes pertaining to enhancing the value of mixed method research are revealed, including elaboration, generalization, triangulation, and interpretation. Finally, findings uncovered four sets of practical techniques by which this value can be increased. Together, these contributions provide guidance for those endeavoring to utilize a mixed method approach in organizational science.&quot;,&quot;publisher&quot;:&quot;SAGE Publications Inc.&quot;,&quot;issue&quot;:&quot;2&quot;,&quot;volume&quot;:&quot;20&quot;,&quot;container-title-short&quot;:&quot;Organ Res Methods&quot;},&quot;isTemporary&quot;:false}],&quot;citationTag&quot;:&quot;MENDELEY_CITATION_v3_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&quot;},{&quot;citationID&quot;:&quot;MENDELEY_CITATION_dc07a667-9644-4eac-ba01-edea7db88139&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ZGMwN2E2NjctOTY0NC00ZWFjLWJhMDEtZWRlYTdkYjg4MTM5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efdd2dbf-378b-4258-a4d8-f5bbd80150a2&quot;,&quot;properties&quot;:{&quot;noteIndex&quot;:0},&quot;isEdited&quot;:false,&quot;manualOverride&quot;:{&quot;isManuallyOverridden&quot;:false,&quot;citeprocText&quot;:&quot;(Alves &lt;i&gt;et al.&lt;/i&gt;, 2024)&quot;,&quot;manualOverrideText&quot;:&quot;&quot;},&quot;citationItems&quot;:[{&quot;id&quot;:&quot;f0fd6f5a-07cd-32d7-bc43-0f2081ec50c7&quot;,&quot;itemData&quot;:{&quot;type&quot;:&quot;article-journal&quot;,&quot;id&quot;:&quot;f0fd6f5a-07cd-32d7-bc43-0f2081ec50c7&quot;,&quot;title&quot;:&quot;Uncovering effects of supply chain distance on sustainability adoption: empirical evidence from a multi-stakeholder partnership&quot;,&quot;author&quot;:[{&quot;family&quot;:&quot;Alves&quot;,&quot;given&quot;:&quot;Ana P.Ferreira&quot;,&quot;parse-names&quot;:false,&quot;dropping-particle&quot;:&quot;&quot;,&quot;non-dropping-particle&quot;:&quot;&quot;},{&quot;family&quot;:&quot;Silva&quot;,&quot;given&quot;:&quot;Minelle E.&quot;,&quot;parse-names&quot;:false,&quot;dropping-particle&quot;:&quot;&quot;,&quot;non-dropping-particle&quot;:&quot;&quot;},{&quot;family&quot;:&quot;Sauer&quot;,&quot;given&quot;:&quot;Philipp C.&quot;,&quot;parse-names&quot;:false,&quot;dropping-particle&quot;:&quot;&quot;,&quot;non-dropping-particle&quot;:&quot;&quot;}],&quot;container-title&quot;:&quot;Supply Chain Management: An International Journal&quot;,&quot;DOI&quot;:&quot;10.1108/SCM-12-2023-0637&quot;,&quot;ISSN&quot;:&quot;13598546&quot;,&quot;issued&quot;:{&quot;date-parts&quot;:[[2024,11,19]]},&quot;abstract&quot;:&quot;Purpose: To investigate the effects of supply chain (SC) distance on sustainability adoption, this study aims to advance the way prior studies on SC sustainability presume that SC structures are well-developed and stable. Since SC members face structural voids in different regions, we recognize that the information flow is impacted as SC partners often have limited knowledge of their direct partners. Thus, by studying a multi-stakeholder partnership, this article sheds light on the institutional foundation of sustainability adoption issues largely neglected to date. Design/methodology/approach: A qualitative case study was used with members of an MSP (i.e. a roundtable), to understand the beef SC located in Brazil. Overall, 18 h of interview recordings and notes from 18 h of meeting observations were gathered, equaling 36 h of primary data. Findings: Four dimensions of SC distance (physical, organizational, cultural and institutional) were identified, generating three driving effects on symbolic sustainability adoption and, consequently, a degree of invisibility for beef SC members. The results explain the process of sustainability adoption and highlight that smaller and more upstream suppliers show lower degrees of substantive adoption of SC sustainability practices. Originality/value: This study investigates how SC distance affects the alignment of SC members in terms of sustainability adoption. By providing reflections on how institutional distance can hinder suppliers from adopting sustainability requirements they received from the SC, this research contributes to shifting from sustainability discourse to real practice and proactive partner engagement.&quot;,&quot;publisher&quot;:&quot;Emerald Publishing&quot;,&quot;container-title-short&quot;:&quot;&quot;},&quot;isTemporary&quot;:false}],&quot;citationTag&quot;:&quot;MENDELEY_CITATION_v3_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&quot;},{&quot;citationID&quot;:&quot;MENDELEY_CITATION_f159b725-412e-4f0d-96a7-5049e538534e&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ZjE1OWI3MjUtNDEyZS00ZjBkLTk2YTctNTA0OWU1Mzg1MzRl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48440af3-59c1-4c80-ba05-665b3e7be465&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Dg0NDBhZjMtNTljMS00YzgwLWJhMDUtNjY1YjNlN2JlNDY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f6917c3c-ed62-4477-85dd-4d5391287188&quot;,&quot;properties&quot;:{&quot;noteIndex&quot;:0},&quot;isEdited&quot;:false,&quot;manualOverride&quot;:{&quot;isManuallyOverridden&quot;:false,&quot;citeprocText&quot;:&quot;(Guest and Fleming, 2015)&quot;,&quot;manualOverrideText&quot;:&quot;&quot;},&quot;citationItems&quot;:[{&quot;id&quot;:&quot;14d9181a-2a87-3148-be75-f5df3f5870d3&quot;,&quot;itemData&quot;:{&quot;type&quot;:&quot;chapter&quot;,&quot;id&quot;:&quot;14d9181a-2a87-3148-be75-f5df3f5870d3&quot;,&quot;title&quot;:&quot;Mixed Methods Research&quot;,&quot;author&quot;:[{&quot;family&quot;:&quot;Guest&quot;,&quot;given&quot;:&quot;Greg&quot;,&quot;parse-names&quot;:false,&quot;dropping-particle&quot;:&quot;&quot;,&quot;non-dropping-particle&quot;:&quot;&quot;},{&quot;family&quot;:&quot;Fleming&quot;,&quot;given&quot;:&quot;Paul&quot;,&quot;parse-names&quot;:false,&quot;dropping-particle&quot;:&quot;&quot;,&quot;non-dropping-particle&quot;:&quot;&quot;}],&quot;container-title&quot;:&quot;Public Health Research Methods&quot;,&quot;DOI&quot;:&quot;10.4135/9781483398839.n19&quot;,&quot;URL&quot;:&quot;https://methods.sagepub.com/book/public-health-research-methods/i2807.xml&quot;,&quot;issued&quot;:{&quot;date-parts&quot;:[[2015]]},&quot;publisher-place&quot;:&quot;1 Oliver's Yard, 55 City Road London EC1Y 1SP &quot;,&quot;page&quot;:&quot;581-614&quot;,&quot;publisher&quot;:&quot;SAGE Publications, Inc.&quot;,&quot;container-title-short&quot;:&quot;&quot;},&quot;isTemporary&quot;:false}],&quot;citationTag&quot;:&quot;MENDELEY_CITATION_v3_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&quot;},{&quot;citationID&quot;:&quot;MENDELEY_CITATION_8df4f089-78be-4eab-9d28-ce7d09f70963&quot;,&quot;properties&quot;:{&quot;noteIndex&quot;:0},&quot;isEdited&quot;:false,&quot;manualOverride&quot;:{&quot;isManuallyOverridden&quot;:false,&quot;citeprocText&quot;:&quot;(Guest and Fleming, 2015)&quot;,&quot;manualOverrideText&quot;:&quot;&quot;},&quot;citationItems&quot;:[{&quot;id&quot;:&quot;14d9181a-2a87-3148-be75-f5df3f5870d3&quot;,&quot;itemData&quot;:{&quot;type&quot;:&quot;chapter&quot;,&quot;id&quot;:&quot;14d9181a-2a87-3148-be75-f5df3f5870d3&quot;,&quot;title&quot;:&quot;Mixed Methods Research&quot;,&quot;author&quot;:[{&quot;family&quot;:&quot;Guest&quot;,&quot;given&quot;:&quot;Greg&quot;,&quot;parse-names&quot;:false,&quot;dropping-particle&quot;:&quot;&quot;,&quot;non-dropping-particle&quot;:&quot;&quot;},{&quot;family&quot;:&quot;Fleming&quot;,&quot;given&quot;:&quot;Paul&quot;,&quot;parse-names&quot;:false,&quot;dropping-particle&quot;:&quot;&quot;,&quot;non-dropping-particle&quot;:&quot;&quot;}],&quot;container-title&quot;:&quot;Public Health Research Methods&quot;,&quot;DOI&quot;:&quot;10.4135/9781483398839.n19&quot;,&quot;URL&quot;:&quot;https://methods.sagepub.com/book/public-health-research-methods/i2807.xml&quot;,&quot;issued&quot;:{&quot;date-parts&quot;:[[2015]]},&quot;publisher-place&quot;:&quot;1 Oliver's Yard, 55 City Road London EC1Y 1SP &quot;,&quot;page&quot;:&quot;581-614&quot;,&quot;publisher&quot;:&quot;SAGE Publications, Inc.&quot;,&quot;container-title-short&quot;:&quot;&quot;},&quot;isTemporary&quot;:false}],&quot;citationTag&quot;:&quot;MENDELEY_CITATION_v3_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&quot;},{&quot;citationID&quot;:&quot;MENDELEY_CITATION_d5884389-58e5-44e0-808d-84d6be75fd6c&quot;,&quot;properties&quot;:{&quot;noteIndex&quot;:0},&quot;isEdited&quot;:false,&quot;manualOverride&quot;:{&quot;isManuallyOverridden&quot;:false,&quot;citeprocText&quot;:&quot;(Houqe and Khan, 2025)&quot;,&quot;manualOverrideText&quot;:&quot;&quot;},&quot;citationItems&quot;:[{&quot;id&quot;:&quot;36c73eb7-c044-3ca3-9d8f-a7edb5e752c5&quot;,&quot;itemData&quot;:{&quot;type&quot;:&quot;article-journal&quot;,&quot;id&quot;:&quot;36c73eb7-c044-3ca3-9d8f-a7edb5e752c5&quot;,&quot;title&quot;:&quot;Corruption, sustainable development goals performance and modern slavery practices: an international evidence&quot;,&quot;author&quot;:[{&quot;family&quot;:&quot;Houqe&quot;,&quot;given&quot;:&quot;Muhammad Nurul&quot;,&quot;parse-names&quot;:false,&quot;dropping-particle&quot;:&quot;&quot;,&quot;non-dropping-particle&quot;:&quot;&quot;},{&quot;family&quot;:&quot;Khan&quot;,&quot;given&quot;:&quot;Habib Zaman&quot;,&quot;parse-names&quot;:false,&quot;dropping-particle&quot;:&quot;&quot;,&quot;non-dropping-particle&quot;:&quot;&quot;}],&quot;container-title&quot;:&quot;Journal of Accounting Literature&quot;,&quot;DOI&quot;:&quot;10.1108/JAL-03-2024-0045&quot;,&quot;ISSN&quot;:&quot;07374607&quot;,&quot;issued&quot;:{&quot;date-parts&quot;:[[2025]]},&quot;page&quot;:&quot;323-351&quot;,&quot;abstract&quot;:&quot;Purpose: This study examines the two key research question; (1) Does country-level corruption give rise to modern slavery (MS) practices and (2) Does sustainable development goals (SDGs) performance of different jurisdictions reduce MS practices? Design/methodology/approach: Using a sample of 431 country-year observations (for the period of 2016, 2018 and 2023) from 146 countries, the study test hypotheses applying different econometrics analysis and conducts robustness tests. Findings: Our results indicate that country-level corruption practices increase MS practices in different contexts. These results hold when we use alternative measures for MS construct. Our study also reported that MS practices in different jurisdictions are lessened when country-level SDGs performance is higher. Our additional analysis finds that higher country-level debt serves as a channel between corruption and MS practices. Research limitations/implications: Practically, the findings of the study have a take-away message for different global actors, in particular, different countries’ governments, national regulators working to abate corruption and slavery issues. For other actors such as the United Nations, the ILO and others, the findings will have practical value for their new policy development and interventions. Originality/value: To the best of our knowledge, this study is the first that investigated the role of country-level corruption on MS practice at the country level. Similarly, our attempt towards exploring the impact of country-level sustainable development goals (SDGs) performance on the MS practices is also primary in the literature. Lastly, developing a single framework by integrating different countries’ MS practices with corruption and SDGs performance and providing related empirical evidence with global level data is a new initiative in the accounting and sustainability literature.&quot;,&quot;publisher&quot;:&quot;Emerald Publishing&quot;,&quot;issue&quot;:&quot;5&quot;,&quot;volume&quot;:&quot;47&quot;,&quot;container-title-short&quot;:&quot;&quot;},&quot;isTemporary&quot;:false}],&quot;citationTag&quot;:&quot;MENDELEY_CITATION_v3_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&quot;},{&quot;citationID&quot;:&quot;MENDELEY_CITATION_9eb232eb-f8b1-4b35-9a29-6924598b9ade&quot;,&quot;properties&quot;:{&quot;noteIndex&quot;:0},&quot;isEdited&quot;:false,&quot;manualOverride&quot;:{&quot;isManuallyOverridden&quot;:true,&quot;citeprocText&quot;:&quot;(Walk Free, 2016, 2018, 2023)&quot;,&quot;manualOverrideText&quot;:&quot;(Walk Free , 2016, 2018, 2023a).&quot;},&quot;citationItems&quot;:[{&quot;id&quot;:&quot;94a75878-c583-38cd-8838-0919ba0c670a&quot;,&quot;itemData&quot;:{&quot;type&quot;:&quot;report&quot;,&quot;id&quot;:&quot;94a75878-c583-38cd-8838-0919ba0c670a&quot;,&quot;title&quot;:&quot;The global slavery index&quot;,&quot;author&quot;:[{&quot;family&quot;:&quot;Walk Free&quot;,&quot;given&quot;:&quot;&quot;,&quot;parse-names&quot;:false,&quot;dropping-particle&quot;:&quot;&quot;,&quot;non-dropping-particle&quot;:&quot;&quot;}],&quot;accessed&quot;:{&quot;date-parts&quot;:[[2022,6,19]]},&quot;URL&quot;:&quot;https://www.globalslaveryindex.org/&quot;,&quot;issued&quot;:{&quot;date-parts&quot;:[[2016]]},&quot;container-title-short&quot;:&quot;&quot;},&quot;isTemporary&quot;:false},{&quot;id&quot;:&quot;5d6d5e53-c11e-37a9-b3b5-721909e7763f&quot;,&quot;itemData&quot;:{&quot;type&quot;:&quot;report&quot;,&quot;id&quot;:&quot;5d6d5e53-c11e-37a9-b3b5-721909e7763f&quot;,&quot;title&quot;:&quot;The global slavery index&quot;,&quot;author&quot;:[{&quot;family&quot;:&quot;Walk Free&quot;,&quot;given&quot;:&quot;&quot;,&quot;parse-names&quot;:false,&quot;dropping-particle&quot;:&quot;&quot;,&quot;non-dropping-particle&quot;:&quot;&quot;}],&quot;accessed&quot;:{&quot;date-parts&quot;:[[2022,8,8]]},&quot;URL&quot;:&quot;https://www.walkfree.org/projects/the-global-slavery-index/&quot;,&quot;issued&quot;:{&quot;date-parts&quot;:[[2018]]},&quot;number-of-pages&quot;:&quot;1-292&quot;,&quot;container-title-short&quot;:&quot;&quot;},&quot;isTemporary&quot;:false},{&quot;id&quot;:&quot;47b9b193-1e21-3051-a13f-e2f48fd0e14b&quot;,&quot;itemData&quot;:{&quot;type&quot;:&quot;report&quot;,&quot;id&quot;:&quot;47b9b193-1e21-3051-a13f-e2f48fd0e14b&quot;,&quot;title&quot;:&quot;The global Slavery Index&quot;,&quot;author&quot;:[{&quot;family&quot;:&quot;Walk Free&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bnVtYmVyLW9mLXBhZ2VzIjoiMS0yOTIiLCJjb250YWluZXItdGl0bGUtc2hvcnQiOiIifSwiaXNUZW1wb3JhcnkiOmZhbHNlfSx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quot;},{&quot;citationID&quot;:&quot;MENDELEY_CITATION_3b8cb3c5-048a-49aa-9747-791a90e70e0d&quot;,&quot;properties&quot;:{&quot;noteIndex&quot;:0},&quot;isEdited&quot;:false,&quot;manualOverride&quot;:{&quot;isManuallyOverridden&quot;:true,&quot;citeprocText&quot;:&quot;(ILO, 2017, 2022a; Landman and Silverman, 2019)&quot;,&quot;manualOverrideText&quot;:&quot;(ILO, 2017a; Landman and Silverman, 2019; ILO, 2022)&quot;},&quot;citationItems&quot;:[{&quot;id&quot;:&quot;cca384ab-1fc3-3eea-8c84-37c87d89c66c&quot;,&quot;itemData&quot;:{&quot;type&quot;:&quot;article-journal&quot;,&quot;id&quot;:&quot;cca384ab-1fc3-3eea-8c84-37c87d89c66c&quot;,&quot;title&quot;:&quot;Globalization and modern slavery&quot;,&quot;author&quot;:[{&quot;family&quot;:&quot;Landman&quot;,&quot;given&quot;:&quot;Todd&quot;,&quot;parse-names&quot;:false,&quot;dropping-particle&quot;:&quot;&quot;,&quot;non-dropping-particle&quot;:&quot;&quot;},{&quot;family&quot;:&quot;Silverman&quot;,&quot;given&quot;:&quot;Bernard W.&quot;,&quot;parse-names&quot;:false,&quot;dropping-particle&quot;:&quot;&quot;,&quot;non-dropping-particle&quot;:&quot;&quot;}],&quot;container-title&quot;:&quot;Politics and Governance&quot;,&quot;DOI&quot;:&quot;10.17645/pag.v7i4.2233&quot;,&quot;ISSN&quot;:&quot;21832463&quot;,&quot;issued&quot;:{&quot;date-parts&quot;:[[2019]]},&quot;page&quot;:&quot;275-290&quot;,&quot;abstract&quot;:&quot;This article presents a cross-national comparative analysis of the relationship between different dimensions of globalization and modern slavery. It argues that both the economic and political dimensions of globalization are strongly associated with lower levels of slavery prevalence. Recent estimates suggest there are more than 40 million people in some form of slavery and the United Nations has committed the world to ending this problem by 2030. Some argue that a race to the bottom, and the structure of economic incentives associated with globalization have contributed to the problem of modern slavery. Others argue that increased openness and the diffusion of values, the spread of democratic forms of rule, and the advance of human rights that come with globalization limit modern slavery. This article presents a preliminary empirical analysis of these arguments using data on slavery prevalence across more than 60 countries and various measures of economic and political globalization. The analysis shows that economic measures of globalization and higher levels of democracy are significantly related to lower levels of slavery prevalence, even after controlling for armed conflict and regional differentiation. In order to support these findings, the article examines the international law on slavery, definitions and conceptions of modern slavery, and comparative data on slavery prevalence modeled across indicators of economic and political globalization. It concludes with a discussion of the implications of these findings for the trade-offs between globalization and modern slavery.&quot;,&quot;publisher&quot;:&quot;Cogitatio Press&quot;,&quot;issue&quot;:&quot;4&quot;,&quot;volume&quot;:&quot;7&quot;,&quot;container-title-short&quot;:&quot;&quot;},&quot;isTemporary&quot;:false},{&quot;id&quot;:&quot;d9985c41-eedb-31e9-bfd9-dec36b9ace0c&quot;,&quot;itemData&quot;:{&quot;type&quot;:&quot;report&quot;,&quot;id&quot;:&quot;d9985c41-eedb-31e9-bfd9-dec36b9ace0c&quot;,&quot;title&quot;:&quot;ILO Declaration on Fundamental Principles and Rights at Work and its Follow-up&quot;,&quot;author&quot;:[{&quot;family&quot;:&quot;ILO&quot;,&quot;given&quot;:&quot;&quot;,&quot;parse-names&quot;:false,&quot;dropping-particle&quot;:&quot;&quot;,&quot;non-dropping-particle&quot;:&quot;&quot;}],&quot;accessed&quot;:{&quot;date-parts&quot;:[[2022,12,8]]},&quot;ISBN&quot;:&quot;9789220372531&quot;,&quot;URL&quot;:&quot;www.ilo.org/publns.&quot;,&quot;issued&quot;:{&quot;date-parts&quot;:[[2022]]},&quot;number-of-pages&quot;:&quot;1-18&quot;,&quot;container-title-short&quot;:&quot;&quot;},&quot;isTemporary&quot;:false},{&quot;id&quot;:&quot;920c343f-bb52-39b2-ba86-faccdb11ceba&quot;,&quot;itemData&quot;:{&quot;type&quot;:&quot;report&quot;,&quot;id&quot;:&quot;920c343f-bb52-39b2-ba86-faccdb11ceba&quot;,&quot;title&quot;:&quot;Global Estimates of Child Labour; Results and trends 2012-2016&quot;,&quot;author&quot;:[{&quot;family&quot;:&quot;ILO&quot;,&quot;given&quot;:&quot;&quot;,&quot;parse-names&quot;:false,&quot;dropping-particle&quot;:&quot;&quot;,&quot;non-dropping-particle&quot;:&quot;&quot;}],&quot;accessed&quot;:{&quot;date-parts&quot;:[[2023,2,6]]},&quot;issued&quot;:{&quot;date-parts&quot;:[[2017]]},&quot;number-of-pages&quot;:&quot;4-68&quot;,&quot;container-title-short&quot;:&quot;&quot;},&quot;isTemporary&quot;:false}],&quot;citationTag&quot;:&quot;MENDELEY_CITATION_v3_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&quot;},{&quot;citationID&quot;:&quot;MENDELEY_CITATION_3384556e-be77-4c25-9f34-99eee1e90f4e&quot;,&quot;properties&quot;:{&quot;noteIndex&quot;:0},&quot;isEdited&quot;:false,&quot;manualOverride&quot;:{&quot;isManuallyOverridden&quot;:false,&quot;citeprocText&quot;:&quot;(ILO, 2020a; Walk Free, 2023)&quot;,&quot;manualOverrideText&quot;:&quot;&quot;},&quot;citationItems&quot;:[{&quot;id&quot;:&quot;70302ec1-284e-341a-aa7c-e336289e1c49&quot;,&quot;itemData&quot;:{&quot;type&quot;:&quot;webpage&quot;,&quot;id&quot;:&quot;70302ec1-284e-341a-aa7c-e336289e1c49&quot;,&quot;title&quot;:&quot;COVID-19: Protecting workers in the workplace; Almost 25 million jobs could be lost worldwide as a result of COVID-19, says ILO&quot;,&quot;author&quot;:[{&quot;family&quot;:&quot;ILO&quot;,&quot;given&quot;:&quot;&quot;,&quot;parse-names&quot;:false,&quot;dropping-particle&quot;:&quot;&quot;,&quot;non-dropping-particle&quot;:&quot;&quot;}],&quot;accessed&quot;:{&quot;date-parts&quot;:[[2023,5,8]]},&quot;URL&quot;:&quot;https://www.ilo.org/global/about-the-ilo/newsroom/news/WCMS_738742/lang--en/index.htm.&quot;,&quot;issued&quot;:{&quot;date-parts&quot;:[[2020,3,18]]},&quot;container-title-short&quot;:&quot;&quot;},&quot;isTemporary&quot;:false},{&quot;id&quot;:&quot;47b9b193-1e21-3051-a13f-e2f48fd0e14b&quot;,&quot;itemData&quot;:{&quot;type&quot;:&quot;report&quot;,&quot;id&quot;:&quot;47b9b193-1e21-3051-a13f-e2f48fd0e14b&quot;,&quot;title&quot;:&quot;The global Slavery Index&quot;,&quot;author&quot;:[{&quot;family&quot;:&quot;Walk Free&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&quot;},{&quot;citationID&quot;:&quot;MENDELEY_CITATION_8448d274-e0b7-49e7-bef0-676c1db069e0&quot;,&quot;properties&quot;:{&quot;noteIndex&quot;:0},&quot;isEdited&quot;:false,&quot;manualOverride&quot;:{&quot;isManuallyOverridden&quot;:false,&quot;citeprocText&quot;:&quot;(ILO, 2020b; Kent &lt;i&gt;et al.&lt;/i&gt;, 2021)&quot;,&quot;manualOverrideText&quot;:&quot;&quot;},&quot;citationItems&quot;:[{&quot;id&quot;:&quot;3e2a5630-8775-3c8b-9538-fa554eca92fd&quot;,&quot;itemData&quot;:{&quot;type&quot;:&quot;report&quot;,&quot;id&quot;:&quot;3e2a5630-8775-3c8b-9538-fa554eca92fd&quot;,&quot;title&quot;:&quot;COVID-19 and the world of work: Updated estimates and analysis&quot;,&quot;author&quot;:[{&quot;family&quot;:&quot;ILO&quot;,&quot;given&quot;:&quot;&quot;,&quot;parse-names&quot;:false,&quot;dropping-particle&quot;:&quot;&quot;,&quot;non-dropping-particle&quot;:&quot;&quot;}],&quot;container-title&quot;:&quot;ILO Monitor&quot;,&quot;URL&quot;:&quot;https://www.ilo.org/wcmsp5/groups/public/@dgreports/@dcomm/documents/briefingnote/wcms_749399.pdf&quot;,&quot;issued&quot;:{&quot;date-parts&quot;:[[2020]]},&quot;number-of-pages&quot;:&quot;1-22&quot;,&quot;abstract&quot;:&quot;Key messages Looking back: Labour market disruptions in the first half of 2020 Workplace closures � The vast majority, namely, 93 per cent, of the world's workers continue to reside in countries with some sort of workplace closure measure in place. This global share has remained relatively stable since mid-March, but with a marked shift towards softer measures. Currently, the Americas is experiencing the highest level of restrictions on workers and workplaces. Working-hour losses: Much larger than previously estimated � The latest ILO estimates show that working-hour losses have worsened during the first half of 2020, reflecting the deteriorating situation in recent weeks, especially in developing countries. During the first quarter of the year, an estimated 5.4 per cent of global working hours (equivalent to 155 million full-time jobs) were lost relative to the fourth quarter of 2019. Working-hour losses for the second quarter of 2020 relative to the last quarter of 2019 are estimated to reach 14.0 per cent worldwide (equivalent to 400 million full-time jobs), with the largest reduction (18.3 per cent) occurring in the Americas. � The factors driving the decline in working hours vary considerably across the countries for which relevant data are available. In some countries, shorter working hours and \&quot;being employed but not working\&quot; (e.g. where workers are put on temporary leave) contributed significantly to the decline, while in others, the main driving factor was people being pushed into unemployment and inactivity. These variations suggest that a narrow focus on unemployment does not allow a proper assessment of the pandemic's impact on the labour market. With disproportionate impact on women workers � Since the COVID-19 crisis is disproportionately affecting women workers in many ways, there is a risk of losing some of the gains made in recent decades and exacerbating gender inequalities in the labour market. In contrast to previous crises, women's employment is at greater risk than men's, particularly owing to the impact of the downturn on the service sector. At the same time, women account for a large proportion of workers in front-line occupations, especially in the health and social care sectors. Moreover, the increased burden of unpaid care brought by the crisis affects women more than men. Looking ahead: Outlook and policy challenges Outlook for the second half of 2020 � ILO projections suggest that the labour market recovery during the second half of 2020 will be uncertain and incomplete. In the baseline scenario, working-hour losses are likely to still be in the order of 4.9 per cent (equivalent to 140 million full-time jobs) in the fourth quarter of the year. However, under the pessimistic scenario, which assumes a second wave of the pandemic in the second half of 2020, working-hour losses would be as high as 11.9 per cent (equivalent to 340 million full-time jobs) in the last quarter. Even in the optimistic scenario, which assumes a fast recovery, global working hours are unlikely to return to the pre-crisis level by the end of 2020. Policies for a job-rich recovery � The actual labour market outcomes in the remainder of 2020 will be shaped by policy choices and actions as well as by the pandemic's&quot;,&quot;container-title-short&quot;:&quot;&quot;},&quot;isTemporary&quot;:false},{&quot;id&quot;:&quot;e12255c3-1ece-300d-9e16-5e3357b75a84&quot;,&quot;itemData&quot;:{&quot;type&quot;:&quot;article-journal&quot;,&quot;id&quot;:&quot;e12255c3-1ece-300d-9e16-5e3357b75a84&quot;,&quot;title&quot;:&quot;Employee disclosures in the grocery industry before the COVID-19 pandemic&quot;,&quot;author&quot;:[{&quot;family&quot;:&quot;Kent&quot;,&quot;given&quot;:&quot;Pamela&quot;,&quot;parse-names&quot;:false,&quot;dropping-particle&quot;:&quot;&quot;,&quot;non-dropping-particle&quot;:&quot;&quot;},{&quot;family&quot;:&quot;McCormack&quot;,&quot;given&quot;:&quot;Robyn&quot;,&quot;parse-names&quot;:false,&quot;dropping-particle&quot;:&quot;&quot;,&quot;non-dropping-particle&quot;:&quot;&quot;},{&quot;family&quot;:&quot;Zunker&quot;,&quot;given&quot;:&quot;Tamara&quot;,&quot;parse-names&quot;:false,&quot;dropping-particle&quot;:&quot;&quot;,&quot;non-dropping-particle&quot;:&quot;&quot;}],&quot;container-title&quot;:&quot;Accounting &amp; Finance&quot;,&quot;accessed&quot;:{&quot;date-parts&quot;:[[2023,2,9]]},&quot;DOI&quot;:&quot;10.1111/ACFI.12755&quot;,&quot;ISSN&quot;:&quot;1467-629X&quot;,&quot;URL&quot;:&quot;https://onlinelibrary.wiley.com/doi/full/10.1111/acfi.12755&quot;,&quot;issued&quot;:{&quot;date-parts&quot;:[[2021,9,1]]},&quot;page&quot;:&quot;4833-4858&quot;,&quot;abstract&quot;:&quot;We provide evidence on the consumer staples industry's commitment and accountability to employees prior to the COVID-19 pandemic by analysing their employee-related disclosures in annual reports. A high level of disclosure exists from 2004 to 2019 with 93 percent of the industry disclosing some information about employees. The highest categories of disclosure are remuneration, health and safety, and training and development. We find that total disclosure is significantly related to having employee share ownership, a Big 4 auditor, a larger board of directors, a majority independent board, independent chair, an audit and nomination committee and higher ROA.&quot;,&quot;publisher&quot;:&quot;John Wiley &amp; Sons, Ltd&quot;,&quot;issue&quot;:&quot;3&quot;,&quot;volume&quot;:&quot;61&quot;,&quot;container-title-short&quot;:&quot;&quot;},&quot;isTemporary&quot;:false}],&quot;citationTag&quot;:&quot;MENDELEY_CITATION_v3_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&quot;},{&quot;citationID&quot;:&quot;MENDELEY_CITATION_58f7e631-5dff-4067-83f4-4ba25e65899d&quot;,&quot;properties&quot;:{&quot;noteIndex&quot;:0},&quot;isEdited&quot;:false,&quot;manualOverride&quot;:{&quot;isManuallyOverridden&quot;:false,&quot;citeprocText&quot;:&quot;(Walk Free, 2016)&quot;,&quot;manualOverrideText&quot;:&quot;&quot;},&quot;citationItems&quot;:[{&quot;id&quot;:&quot;94a75878-c583-38cd-8838-0919ba0c670a&quot;,&quot;itemData&quot;:{&quot;type&quot;:&quot;report&quot;,&quot;id&quot;:&quot;94a75878-c583-38cd-8838-0919ba0c670a&quot;,&quot;title&quot;:&quot;The global slavery index&quot;,&quot;author&quot;:[{&quot;family&quot;:&quot;Walk Free Foundation&quot;,&quot;given&quot;:&quot;&quot;,&quot;parse-names&quot;:false,&quot;dropping-particle&quot;:&quot;&quot;,&quot;non-dropping-particle&quot;:&quot;&quot;}],&quot;accessed&quot;:{&quot;date-parts&quot;:[[2022,6,19]]},&quot;URL&quot;:&quot;https://www.globalslaveryindex.org/&quot;,&quot;issued&quot;:{&quot;date-parts&quot;:[[2016]]},&quot;container-title-short&quot;:&quot;&quot;},&quot;isTemporary&quot;:false}],&quot;citationTag&quot;:&quot;MENDELEY_CITATION_v3_eyJjaXRhdGlvbklEIjoiTUVOREVMRVlfQ0lUQVRJT05fNThmN2U2MzEtNWRmZi00MDY3LTgzZjQtNGJhMjVlNjU4OTlkIiwicHJvcGVydGllcyI6eyJub3RlSW5kZXgiOjB9LCJpc0VkaXRlZCI6ZmFsc2UsIm1hbnVhbE92ZXJyaWRlIjp7ImlzTWFudWFsbHlPdmVycmlkZGVuIjpmYWxzZSwiY2l0ZXByb2NUZXh0IjoiK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quot;},{&quot;citationID&quot;:&quot;MENDELEY_CITATION_a67e13fa-cd84-4300-a736-55b6ca29ae82&quot;,&quot;properties&quot;:{&quot;noteIndex&quot;:0},&quot;isEdited&quot;:false,&quot;manualOverride&quot;:{&quot;isManuallyOverridden&quot;:false,&quot;citeprocText&quot;:&quot;(Walk Free, 2016)&quot;,&quot;manualOverrideText&quot;:&quot;&quot;},&quot;citationItems&quot;:[{&quot;id&quot;:&quot;94a75878-c583-38cd-8838-0919ba0c670a&quot;,&quot;itemData&quot;:{&quot;type&quot;:&quot;report&quot;,&quot;id&quot;:&quot;94a75878-c583-38cd-8838-0919ba0c670a&quot;,&quot;title&quot;:&quot;The global slavery index&quot;,&quot;author&quot;:[{&quot;family&quot;:&quot;Walk Free Foundation&quot;,&quot;given&quot;:&quot;&quot;,&quot;parse-names&quot;:false,&quot;dropping-particle&quot;:&quot;&quot;,&quot;non-dropping-particle&quot;:&quot;&quot;}],&quot;accessed&quot;:{&quot;date-parts&quot;:[[2022,6,19]]},&quot;URL&quot;:&quot;https://www.globalslaveryindex.org/&quot;,&quot;issued&quot;:{&quot;date-parts&quot;:[[2016]]},&quot;container-title-short&quot;:&quot;&quot;},&quot;isTemporary&quot;:false}],&quot;citationTag&quot;:&quot;MENDELEY_CITATION_v3_eyJjaXRhdGlvbklEIjoiTUVOREVMRVlfQ0lUQVRJT05fYTY3ZTEzZmEtY2Q4NC00MzAwLWE3MzYtNTViNmNhMjlhZTgyIiwicHJvcGVydGllcyI6eyJub3RlSW5kZXgiOjB9LCJpc0VkaXRlZCI6ZmFsc2UsIm1hbnVhbE92ZXJyaWRlIjp7ImlzTWFudWFsbHlPdmVycmlkZGVuIjpmYWxzZSwiY2l0ZXByb2NUZXh0IjoiK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quot;},{&quot;citationID&quot;:&quot;MENDELEY_CITATION_202d590e-07c7-44c4-aae3-d5ec60431846&quot;,&quot;properties&quot;:{&quot;noteIndex&quot;:0},&quot;isEdited&quot;:false,&quot;manualOverride&quot;:{&quot;isManuallyOverridden&quot;:false,&quot;citeprocText&quot;:&quot;(Walk Free, 2016)&quot;,&quot;manualOverrideText&quot;:&quot;&quot;},&quot;citationItems&quot;:[{&quot;id&quot;:&quot;94a75878-c583-38cd-8838-0919ba0c670a&quot;,&quot;itemData&quot;:{&quot;type&quot;:&quot;report&quot;,&quot;id&quot;:&quot;94a75878-c583-38cd-8838-0919ba0c670a&quot;,&quot;title&quot;:&quot;The global slavery index&quot;,&quot;author&quot;:[{&quot;family&quot;:&quot;Walk Free Foundation&quot;,&quot;given&quot;:&quot;&quot;,&quot;parse-names&quot;:false,&quot;dropping-particle&quot;:&quot;&quot;,&quot;non-dropping-particle&quot;:&quot;&quot;}],&quot;accessed&quot;:{&quot;date-parts&quot;:[[2022,6,19]]},&quot;URL&quot;:&quot;https://www.globalslaveryindex.org/&quot;,&quot;issued&quot;:{&quot;date-parts&quot;:[[2016]]},&quot;container-title-short&quot;:&quot;&quot;},&quot;isTemporary&quot;:false}],&quot;citationTag&quot;:&quot;MENDELEY_CITATION_v3_eyJjaXRhdGlvbklEIjoiTUVOREVMRVlfQ0lUQVRJT05fMjAyZDU5MGUtMDdjNy00NGM0LWFhZTMtZDVlYzYwNDMxODQ2IiwicHJvcGVydGllcyI6eyJub3RlSW5kZXgiOjB9LCJpc0VkaXRlZCI6ZmFsc2UsIm1hbnVhbE92ZXJyaWRlIjp7ImlzTWFudWFsbHlPdmVycmlkZGVuIjpmYWxzZSwiY2l0ZXByb2NUZXh0IjoiK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quot;},{&quot;citationID&quot;:&quot;MENDELEY_CITATION_91f6cdae-3b9d-4537-a83e-76cf88d134b1&quot;,&quot;properties&quot;:{&quot;noteIndex&quot;:0},&quot;isEdited&quot;:false,&quot;manualOverride&quot;:{&quot;isManuallyOverridden&quot;:false,&quot;citeprocText&quot;:&quot;(Kaufmann, 2022)&quot;,&quot;manualOverrideText&quot;:&quot;&quot;},&quot;citationItems&quot;:[{&quot;id&quot;:&quot;a89b8503-e633-3cae-9e51-1bb0120f571f&quot;,&quot;itemData&quot;:{&quot;type&quot;:&quot;webpage&quot;,&quot;id&quot;:&quot;a89b8503-e633-3cae-9e51-1bb0120f571f&quot;,&quot;title&quot;:&quot;The Worldwide Governance Indicators&quot;,&quot;author&quot;:[{&quot;family&quot;:&quot;Kaufmann&quot;,&quot;given&quot;:&quot;D&quot;,&quot;parse-names&quot;:false,&quot;dropping-particle&quot;:&quot;&quot;,&quot;non-dropping-particle&quot;:&quot;&quot;}],&quot;accessed&quot;:{&quot;date-parts&quot;:[[2023,3,22]]},&quot;URL&quot;:&quot;https://info.worldbank.org/governance/wgi/&quot;,&quot;issued&quot;:{&quot;date-parts&quot;:[[2022]]},&quot;container-title-short&quot;:&quot;&quot;},&quot;isTemporary&quot;:false}],&quot;citationTag&quot;:&quot;MENDELEY_CITATION_v3_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&quot;},{&quot;citationID&quot;:&quot;MENDELEY_CITATION_c08ae63f-34ff-4556-9ae9-589d26ab5849&quot;,&quot;properties&quot;:{&quot;noteIndex&quot;:0},&quot;isEdited&quot;:false,&quot;manualOverride&quot;:{&quot;isManuallyOverridden&quot;:false,&quot;citeprocText&quot;:&quot;(United Nations, 2022)&quot;,&quot;manualOverrideText&quot;:&quot;&quot;},&quot;citationItems&quot;:[{&quot;id&quot;:&quot;5a892519-0d61-3301-bf1f-527f05b5747f&quot;,&quot;itemData&quot;:{&quot;type&quot;:&quot;report&quot;,&quot;id&quot;:&quot;5a892519-0d61-3301-bf1f-527f05b5747f&quot;,&quot;title&quot;:&quot;The Sustainable Development Goals Report&quot;,&quot;author&quot;:[{&quot;family&quot;:&quot;United Nations SDGs&quot;,&quot;given&quot;:&quot;&quot;,&quot;parse-names&quot;:false,&quot;dropping-particle&quot;:&quot;&quot;,&quot;non-dropping-particle&quot;:&quot;&quot;}],&quot;ISSN&quot;:&quot;978-921-101448-8&quot;,&quot;issued&quot;:{&quot;date-parts&quot;:[[2022]]},&quot;publisher-place&quot;:&quot;New York&quot;,&quot;number-of-pages&quot;:&quot;2-64&quot;,&quot;container-title-short&quot;:&quot;&quot;},&quot;isTemporary&quot;:false}],&quot;citationTag&quot;:&quot;MENDELEY_CITATION_v3_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&quot;},{&quot;citationID&quot;:&quot;MENDELEY_CITATION_9640b981-1fca-4e6d-9a6c-972e1930a33f&quot;,&quot;properties&quot;:{&quot;noteIndex&quot;:0},&quot;isEdited&quot;:false,&quot;manualOverride&quot;:{&quot;isManuallyOverridden&quot;:false,&quot;citeprocText&quot;:&quot;(UNDP, 2025)&quot;,&quot;manualOverrideText&quot;:&quot;&quot;},&quot;citationItems&quot;:[{&quot;id&quot;:&quot;f21f08a7-4c30-349f-840d-759a3e875b04&quot;,&quot;itemData&quot;:{&quot;type&quot;:&quot;webpage&quot;,&quot;id&quot;:&quot;f21f08a7-4c30-349f-840d-759a3e875b04&quot;,&quot;title&quot;:&quot;Inequality-adjusted Human Development Index (IHDI)&quot;,&quot;author&quot;:[{&quot;family&quot;:&quot;UNDP&quot;,&quot;given&quot;:&quot;&quot;,&quot;parse-names&quot;:false,&quot;dropping-particle&quot;:&quot;&quot;,&quot;non-dropping-particle&quot;:&quot;&quot;}],&quot;accessed&quot;:{&quot;date-parts&quot;:[[2025,4,28]]},&quot;URL&quot;:&quot;https://hdr.undp.org/inequality-adjusted-human-development-index#/indicies/IHDI&quot;,&quot;issued&quot;:{&quot;date-parts&quot;:[[2025]]},&quot;container-title-short&quot;:&quot;&quot;},&quot;isTemporary&quot;:false}],&quot;citationTag&quot;:&quot;MENDELEY_CITATION_v3_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&quot;},{&quot;citationID&quot;:&quot;MENDELEY_CITATION_773e826f-7773-44bc-a197-bb47815d5abb&quot;,&quot;properties&quot;:{&quot;noteIndex&quot;:0},&quot;isEdited&quot;:false,&quot;manualOverride&quot;:{&quot;isManuallyOverridden&quot;:false,&quot;citeprocText&quot;:&quot;(Transparency International, 2023)&quot;,&quot;manualOverrideText&quot;:&quot;&quot;},&quot;citationItems&quot;:[{&quot;id&quot;:&quot;69ec290e-3013-3a8e-bc5d-a9d6a3a56bd8&quot;,&quot;itemData&quot;:{&quot;type&quot;:&quot;webpage&quot;,&quot;id&quot;:&quot;69ec290e-3013-3a8e-bc5d-a9d6a3a56bd8&quot;,&quot;title&quot;:&quot;Corruption Perception Index&quot;,&quot;author&quot;:[{&quot;family&quot;:&quot;Transparency International&quot;,&quot;given&quot;:&quot;&quot;,&quot;parse-names&quot;:false,&quot;dropping-particle&quot;:&quot;&quot;,&quot;non-dropping-particle&quot;:&quot;&quot;}],&quot;accessed&quot;:{&quot;date-parts&quot;:[[2024,2,16]]},&quot;URL&quot;:&quot;https://www.transparency.org/en/cpi/2023&quot;,&quot;issued&quot;:{&quot;date-parts&quot;:[[2023]]},&quot;container-title-short&quot;:&quot;&quot;},&quot;isTemporary&quot;:false}],&quot;citationTag&quot;:&quot;MENDELEY_CITATION_v3_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&quot;},{&quot;citationID&quot;:&quot;MENDELEY_CITATION_6b4dadfb-afc1-4449-9f45-758e9abe0697&quot;,&quot;properties&quot;:{&quot;noteIndex&quot;:0},&quot;isEdited&quot;:false,&quot;manualOverride&quot;:{&quot;isManuallyOverridden&quot;:false,&quot;citeprocText&quot;:&quot;(The World Bank, 2023)&quot;,&quot;manualOverrideText&quot;:&quot;&quot;},&quot;citationItems&quot;:[{&quot;id&quot;:&quot;edf6a943-68b6-3540-9dbb-62daa9640de4&quot;,&quot;itemData&quot;:{&quot;type&quot;:&quot;webpage&quot;,&quot;id&quot;:&quot;edf6a943-68b6-3540-9dbb-62daa9640de4&quot;,&quot;title&quot;:&quot;Data bank: The World development indicators&quot;,&quot;author&quot;:[{&quot;family&quot;:&quot;The World Bank&quot;,&quot;given&quot;:&quot;&quot;,&quot;parse-names&quot;:false,&quot;dropping-particle&quot;:&quot;&quot;,&quot;non-dropping-particle&quot;:&quot;&quot;}],&quot;container-title&quot;:&quot;The World Bank group&quot;,&quot;accessed&quot;:{&quot;date-parts&quot;:[[2023,6,12]]},&quot;URL&quot;:&quot;https://databank.worldbank.org/source/world-development-indicators&quot;,&quot;issued&quot;:{&quot;date-parts&quot;:[[2023]]},&quot;container-title-short&quot;:&quot;&quot;},&quot;isTemporary&quot;:false}],&quot;citationTag&quot;:&quot;MENDELEY_CITATION_v3_eyJjaXRhdGlvbklEIjoiTUVOREVMRVlfQ0lUQVRJT05fNmI0ZGFkZmItYWZjMS00NDQ5LTlmNDUtNzU4ZTlhYmUwNjk3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quot;},{&quot;citationID&quot;:&quot;MENDELEY_CITATION_4d22ee08-309e-4007-95f1-972cf12c7aca&quot;,&quot;properties&quot;:{&quot;noteIndex&quot;:0},&quot;isEdited&quot;:false,&quot;manualOverride&quot;:{&quot;isManuallyOverridden&quot;:false,&quot;citeprocText&quot;:&quot;(The World Bank, 2023)&quot;,&quot;manualOverrideText&quot;:&quot;&quot;},&quot;citationItems&quot;:[{&quot;id&quot;:&quot;edf6a943-68b6-3540-9dbb-62daa9640de4&quot;,&quot;itemData&quot;:{&quot;type&quot;:&quot;webpage&quot;,&quot;id&quot;:&quot;edf6a943-68b6-3540-9dbb-62daa9640de4&quot;,&quot;title&quot;:&quot;Data bank: The World development indicators&quot;,&quot;author&quot;:[{&quot;family&quot;:&quot;The World Bank&quot;,&quot;given&quot;:&quot;&quot;,&quot;parse-names&quot;:false,&quot;dropping-particle&quot;:&quot;&quot;,&quot;non-dropping-particle&quot;:&quot;&quot;}],&quot;container-title&quot;:&quot;The World Bank group&quot;,&quot;accessed&quot;:{&quot;date-parts&quot;:[[2023,6,12]]},&quot;URL&quot;:&quot;https://databank.worldbank.org/source/world-development-indicators&quot;,&quot;issued&quot;:{&quot;date-parts&quot;:[[2023]]},&quot;container-title-short&quot;:&quot;&quot;},&quot;isTemporary&quot;:false}],&quot;citationTag&quot;:&quot;MENDELEY_CITATION_v3_eyJjaXRhdGlvbklEIjoiTUVOREVMRVlfQ0lUQVRJT05fNGQyMmVlMDgtMzA5ZS00MDA3LTk1ZjEtOTcyY2YxMmM3YWNh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quot;},{&quot;citationID&quot;:&quot;MENDELEY_CITATION_fc72a72b-5da0-4559-b455-87936c2e6ed0&quot;,&quot;properties&quot;:{&quot;noteIndex&quot;:0},&quot;isEdited&quot;:false,&quot;manualOverride&quot;:{&quot;isManuallyOverridden&quot;:false,&quot;citeprocText&quot;:&quot;(The World Bank, 2023)&quot;,&quot;manualOverrideText&quot;:&quot;&quot;},&quot;citationItems&quot;:[{&quot;id&quot;:&quot;edf6a943-68b6-3540-9dbb-62daa9640de4&quot;,&quot;itemData&quot;:{&quot;type&quot;:&quot;webpage&quot;,&quot;id&quot;:&quot;edf6a943-68b6-3540-9dbb-62daa9640de4&quot;,&quot;title&quot;:&quot;Data bank: The World development indicators&quot;,&quot;author&quot;:[{&quot;family&quot;:&quot;The World Bank&quot;,&quot;given&quot;:&quot;&quot;,&quot;parse-names&quot;:false,&quot;dropping-particle&quot;:&quot;&quot;,&quot;non-dropping-particle&quot;:&quot;&quot;}],&quot;container-title&quot;:&quot;The World Bank group&quot;,&quot;accessed&quot;:{&quot;date-parts&quot;:[[2023,6,12]]},&quot;URL&quot;:&quot;https://databank.worldbank.org/source/world-development-indicators&quot;,&quot;issued&quot;:{&quot;date-parts&quot;:[[2023]]},&quot;container-title-short&quot;:&quot;&quot;},&quot;isTemporary&quot;:false}],&quot;citationTag&quot;:&quot;MENDELEY_CITATION_v3_eyJjaXRhdGlvbklEIjoiTUVOREVMRVlfQ0lUQVRJT05fZmM3MmE3MmItNWRhMC00NTU5LWI0NTUtODc5MzZjMmU2ZWQw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quot;},{&quot;citationID&quot;:&quot;MENDELEY_CITATION_bdade5f1-7b03-47df-a0f6-28afb32b4393&quot;,&quot;properties&quot;:{&quot;noteIndex&quot;:0},&quot;isEdited&quot;:false,&quot;manualOverride&quot;:{&quot;isManuallyOverridden&quot;:false,&quot;citeprocText&quot;:&quot;(The World Bank, 2023)&quot;,&quot;manualOverrideText&quot;:&quot;&quot;},&quot;citationItems&quot;:[{&quot;id&quot;:&quot;edf6a943-68b6-3540-9dbb-62daa9640de4&quot;,&quot;itemData&quot;:{&quot;type&quot;:&quot;webpage&quot;,&quot;id&quot;:&quot;edf6a943-68b6-3540-9dbb-62daa9640de4&quot;,&quot;title&quot;:&quot;Data bank: The World development indicators&quot;,&quot;author&quot;:[{&quot;family&quot;:&quot;The World Bank&quot;,&quot;given&quot;:&quot;&quot;,&quot;parse-names&quot;:false,&quot;dropping-particle&quot;:&quot;&quot;,&quot;non-dropping-particle&quot;:&quot;&quot;}],&quot;container-title&quot;:&quot;The World Bank group&quot;,&quot;accessed&quot;:{&quot;date-parts&quot;:[[2023,6,12]]},&quot;URL&quot;:&quot;https://databank.worldbank.org/source/world-development-indicators&quot;,&quot;issued&quot;:{&quot;date-parts&quot;:[[2023]]},&quot;container-title-short&quot;:&quot;&quot;},&quot;isTemporary&quot;:false}],&quot;citationTag&quot;:&quot;MENDELEY_CITATION_v3_eyJjaXRhdGlvbklEIjoiTUVOREVMRVlfQ0lUQVRJT05fYmRhZGU1ZjEtN2IwMy00N2RmLWEwZjYtMjhhZmIzMmI0Mzkz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quot;},{&quot;citationID&quot;:&quot;MENDELEY_CITATION_212af06d-dcd8-4cc3-8dc1-4485870ad9c2&quot;,&quot;properties&quot;:{&quot;noteIndex&quot;:0},&quot;isEdited&quot;:false,&quot;manualOverride&quot;:{&quot;isManuallyOverridden&quot;:false,&quot;citeprocText&quot;:&quot;(The World Bank, 2023)&quot;,&quot;manualOverrideText&quot;:&quot;&quot;},&quot;citationItems&quot;:[{&quot;id&quot;:&quot;edf6a943-68b6-3540-9dbb-62daa9640de4&quot;,&quot;itemData&quot;:{&quot;type&quot;:&quot;webpage&quot;,&quot;id&quot;:&quot;edf6a943-68b6-3540-9dbb-62daa9640de4&quot;,&quot;title&quot;:&quot;Data bank: The World development indicators&quot;,&quot;author&quot;:[{&quot;family&quot;:&quot;The World Bank&quot;,&quot;given&quot;:&quot;&quot;,&quot;parse-names&quot;:false,&quot;dropping-particle&quot;:&quot;&quot;,&quot;non-dropping-particle&quot;:&quot;&quot;}],&quot;container-title&quot;:&quot;The World Bank group&quot;,&quot;accessed&quot;:{&quot;date-parts&quot;:[[2023,6,12]]},&quot;URL&quot;:&quot;https://databank.worldbank.org/source/world-development-indicators&quot;,&quot;issued&quot;:{&quot;date-parts&quot;:[[2023]]},&quot;container-title-short&quot;:&quot;&quot;},&quot;isTemporary&quot;:false}],&quot;citationTag&quot;:&quot;MENDELEY_CITATION_v3_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&quot;},{&quot;citationID&quot;:&quot;MENDELEY_CITATION_995f694d-e30e-47d5-b5cd-d5f8b0b96905&quot;,&quot;properties&quot;:{&quot;noteIndex&quot;:0},&quot;isEdited&quot;:false,&quot;manualOverride&quot;:{&quot;isManuallyOverridden&quot;:true,&quot;citeprocText&quot;:&quot;(Moussa &lt;i&gt;et al.&lt;/i&gt;, 2022)&quot;,&quot;manualOverrideText&quot;:&quot;Moussa et al. (2022)&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&quot;},{&quot;citationID&quot;:&quot;MENDELEY_CITATION_12613ce8-d525-4895-b3f5-16a215805516&quot;,&quot;properties&quot;:{&quot;noteIndex&quot;:0},&quot;isEdited&quot;:false,&quot;manualOverride&quot;:{&quot;isManuallyOverridden&quot;:false,&quot;citeprocText&quot;:&quot;(Moussa &lt;i&gt;et al.&lt;/i&gt;, 2022; Walk Free, 2016)&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94a75878-c583-38cd-8838-0919ba0c670a&quot;,&quot;itemData&quot;:{&quot;type&quot;:&quot;report&quot;,&quot;id&quot;:&quot;94a75878-c583-38cd-8838-0919ba0c670a&quot;,&quot;title&quot;:&quot;The global slavery index&quot;,&quot;author&quot;:[{&quot;family&quot;:&quot;Walk Free&quot;,&quot;given&quot;:&quot;&quot;,&quot;parse-names&quot;:false,&quot;dropping-particle&quot;:&quot;&quot;,&quot;non-dropping-particle&quot;:&quot;&quot;}],&quot;accessed&quot;:{&quot;date-parts&quot;:[[2022,6,19]]},&quot;URL&quot;:&quot;https://www.globalslaveryindex.org/&quot;,&quot;issued&quot;:{&quot;date-parts&quot;:[[2016]]},&quot;container-title-short&quot;:&quot;&quot;},&quot;isTemporary&quot;:false}],&quot;citationTag&quot;:&quot;MENDELEY_CITATION_v3_eyJjaXRhdGlvbklEIjoiTUVOREVMRVlfQ0lUQVRJT05fMTI2MTNjZTgtZDUyNS00ODk1LWIzZjUtMTZhMjE1ODA1NTE2IiwicHJvcGVydGllcyI6eyJub3RlSW5kZXgiOjB9LCJpc0VkaXRlZCI6ZmFsc2UsIm1hbnVhbE92ZXJyaWRlIjp7ImlzTWFudWFsbHlPdmVycmlkZGVuIjpmYWxzZSwiY2l0ZXByb2NUZXh0IjoiKE1vdXNzYSA8aT5ldCBhbC48L2k+LCAyMDIyOyBXYWxrIEZyZWUsIDIwMTY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k0YTc1ODc4LWM1ODMtMzhjZC04ODM4LTA5MTliYTBjNjcwYSIsIml0ZW1EYXRhIjp7InR5cGUiOiJyZXBvcnQiLCJpZCI6Ijk0YTc1ODc4LWM1ODMtMzhjZC04ODM4LTA5MTliYTBjNjcwYSIsInRpdGxlIjoiVGhlIGdsb2JhbCBzbGF2ZXJ5IGluZGV4IiwiYXV0aG9yIjpbeyJmYW1pbHkiOiJXYWxrIEZyZWU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XX0=&quot;},{&quot;citationID&quot;:&quot;MENDELEY_CITATION_8a375b1b-8fec-4b65-ad88-554f812f97dc&quot;,&quot;properties&quot;:{&quot;noteIndex&quot;:0},&quot;isEdited&quot;:false,&quot;manualOverride&quot;:{&quot;isManuallyOverridden&quot;:false,&quot;citeprocText&quot;:&quot;(Albitar &lt;i&gt;et al.&lt;/i&gt;, 2025; Moussa &lt;i&gt;et al.&lt;/i&gt;, 2022; Walk Free, 2016)&quot;,&quot;manualOverrideText&quot;:&quot;&quot;},&quot;citationItems&quot;:[{&quot;id&quot;:&quot;94a75878-c583-38cd-8838-0919ba0c670a&quot;,&quot;itemData&quot;:{&quot;type&quot;:&quot;report&quot;,&quot;id&quot;:&quot;94a75878-c583-38cd-8838-0919ba0c670a&quot;,&quot;title&quot;:&quot;The global slavery index&quot;,&quot;author&quot;:[{&quot;family&quot;:&quot;Walk Free&quot;,&quot;given&quot;:&quot;&quot;,&quot;parse-names&quot;:false,&quot;dropping-particle&quot;:&quot;&quot;,&quot;non-dropping-particle&quot;:&quot;&quot;}],&quot;accessed&quot;:{&quot;date-parts&quot;:[[2022,6,19]]},&quot;URL&quot;:&quot;https://www.globalslaveryindex.org/&quot;,&quot;issued&quot;:{&quot;date-parts&quot;:[[2016]]},&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007330ad-f3c0-32f3-b58d-4e5138a2c8c8&quot;,&quot;itemData&quot;:{&quot;type&quot;:&quot;article-journal&quot;,&quot;id&quot;:&quot;007330ad-f3c0-32f3-b58d-4e5138a2c8c8&quot;,&quot;title&quot;:&quot;The nexus between governance quality, modern slavery disclosure and corporate financial performance&quot;,&quot;author&quot;:[{&quot;family&quot;:&quot;Albitar&quot;,&quot;given&quot;:&quot;Khaldoon&quot;,&quot;parse-names&quot;:false,&quot;dropping-particle&quot;:&quot;&quot;,&quot;non-dropping-particle&quot;:&quot;&quot;},{&quot;family&quot;:&quot;Hussainey&quot;,&quot;given&quot;:&quot;Khaled&quot;,&quot;parse-names&quot;:false,&quot;dropping-particle&quot;:&quot;&quot;,&quot;non-dropping-particle&quot;:&quot;&quot;},{&quot;family&quot;:&quot;El-Masry&quot;,&quot;given&quot;:&quot;Ahmed A.&quot;,&quot;parse-names&quot;:false,&quot;dropping-particle&quot;:&quot;&quot;,&quot;non-dropping-particle&quot;:&quot;&quot;},{&quot;family&quot;:&quot;Lawati&quot;,&quot;given&quot;:&quot;Hidaya&quot;,&quot;parse-names&quot;:false,&quot;dropping-particle&quot;:&quot;&quot;,&quot;non-dropping-particle&quot;:&quot;Al&quot;}],&quot;container-title&quot;:&quot;Journal of Accounting Literature&quot;,&quot;DOI&quot;:&quot;10.1108/JAL-08-2024-0204&quot;,&quot;ISSN&quot;:&quot;07374607&quot;,&quot;issued&quot;:{&quot;date-parts&quot;:[[2025]]},&quot;abstract&quot;:&quot;Purpose: Modern slavery is a significant issue addressed in the United Nations’ Sustainable Development Goals. In 2015, the UK Government introduced the Modern Slavery Act as part of a crucial broader set of initiatives that aimed to attack modern slavery. Regardless of the initiatives taken to mitigate this risk, little is known about how modern slavery disclosure affects corporate financial performance (CFP). Hence, our study aims to examine the impact of MSD on CFP empirically. It also examines the moderating role of governance quality on the MSD–CFP nexus. Design/methodology/approach: We use computer-based content analysis to assess MSD levels for a sample of non-financial companies' annual reports. We use regression analysis to test our research hypotheses for a sample period of 2013–2019 for Financial Times Stock Exchange (FTSE) All-Share non-financial UK firms. Our sample consisted of 786 observations. Findings: We provide new empirical evidence that externally communicating modern slavery information in annual report narratives is associated with CFP. The finding is in line with stakeholder theory, which states that engaging in social responsibility practices and responding favourably to the stakeholders’ interests and desires would enhance corporations’ reputation and ultimately improve their performance. We further highlight the role of governance quality in this nexus and find that the interaction between governance quality and MSD is negative, suggesting a replacement effect. Social implications: Our findings can be of interest to government, policymakers and other stakeholders. Policymakers need to establish a new, broader set of enforcement arrangements for MSD that may lead to better CFP. Originality/value: Our research idea is original as it links emerging global issues (e.g. MSD) with traditional corporate concerns (financial performance) in a way that is likely to provide new insights as well as managerial and policy implications.&quot;,&quot;publisher&quot;:&quot;Emerald Publishing&quot;,&quot;container-title-short&quot;:&quot;&quot;},&quot;isTemporary&quot;:false}],&quot;citationTag&quot;:&quot;MENDELEY_CITATION_v3_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&quot;},{&quot;citationID&quot;:&quot;MENDELEY_CITATION_f5495d64-2c58-47d1-822b-74bccd0a615d&quot;,&quot;properties&quot;:{&quot;noteIndex&quot;:0},&quot;isEdited&quot;:false,&quot;manualOverride&quot;:{&quot;isManuallyOverridden&quot;:true,&quot;citeprocText&quot;:&quot;(ILO, 2016, 2022b)&quot;,&quot;manualOverrideText&quot;:&quot;(ILO, 2016, 2022b&quot;},&quot;citationItems&quot;:[{&quot;id&quot;:&quot;796aa549-c08c-313d-9133-561167c7c0fc&quot;,&quot;itemData&quot;:{&quot;type&quot;:&quot;webpage&quot;,&quot;id&quot;:&quot;796aa549-c08c-313d-9133-561167c7c0fc&quot;,&quot;title&quot;:&quot;Modern slavery:  50 million people worldwide in modern slavery&quot;,&quot;author&quot;:[{&quot;family&quot;:&quot;ILO&quot;,&quot;given&quot;:&quot;&quot;,&quot;parse-names&quot;:false,&quot;dropping-particle&quot;:&quot;&quot;,&quot;non-dropping-particle&quot;:&quot;&quot;}],&quot;container-title&quot;:&quot;International Labour Organisation&quot;,&quot;accessed&quot;:{&quot;date-parts&quot;:[[2022,11,23]]},&quot;URL&quot;:&quot;https://www.ilo.org/global/about-the-ilo/newsroom/news/WCMS_855019/lang--en/index.htm&quot;,&quot;issued&quot;:{&quot;date-parts&quot;:[[2022,10,12]]},&quot;container-title-short&quot;:&quot;&quot;},&quot;isTemporary&quot;:false},{&quot;id&quot;:&quot;cc6b0b25-f82b-300a-9d1e-ed955e71d76b&quot;,&quot;itemData&quot;:{&quot;type&quot;:&quot;report&quot;,&quot;id&quot;:&quot;cc6b0b25-f82b-300a-9d1e-ed955e71d76b&quot;,&quot;title&quot;:&quot;SDG Alliance 8.7 Joining forces globally to end child labour, forced labour, modern slavery and human trafficking&quot;,&quot;author&quot;:[{&quot;family&quot;:&quot;ILO&quot;,&quot;given&quot;:&quot;&quot;,&quot;parse-names&quot;:false,&quot;dropping-particle&quot;:&quot;&quot;,&quot;non-dropping-particle&quot;:&quot;&quot;}],&quot;accessed&quot;:{&quot;date-parts&quot;:[[2023,1,17]]},&quot;URL&quot;:&quot;https://www.ilo.org/wcmsp5/groups/public/---ed_norm/---declaration/documents/publication/wcms_450718.pdf&quot;,&quot;issued&quot;:{&quot;date-parts&quot;:[[2016]]},&quot;number-of-pages&quot;:&quot;1-8&quot;,&quot;container-title-short&quot;:&quot;&quot;},&quot;isTemporary&quot;:false}],&quot;citationTag&quot;:&quot;MENDELEY_CITATION_v3_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&quot;},{&quot;citationID&quot;:&quot;MENDELEY_CITATION_cac72a68-33c4-4bd5-aaad-20bd5e49d96e&quot;,&quot;properties&quot;:{&quot;noteIndex&quot;:0},&quot;isEdited&quot;:false,&quot;manualOverride&quot;:{&quot;isManuallyOverridden&quot;:false,&quot;citeprocText&quot;:&quot;(Moussa &lt;i&gt;et al.&lt;/i&gt;, 2022; Walk Free, 2016)&quot;,&quot;manualOverrideText&quot;:&quot;&quot;},&quot;citationItems&quot;:[{&quot;id&quot;:&quot;94a75878-c583-38cd-8838-0919ba0c670a&quot;,&quot;itemData&quot;:{&quot;type&quot;:&quot;report&quot;,&quot;id&quot;:&quot;94a75878-c583-38cd-8838-0919ba0c670a&quot;,&quot;title&quot;:&quot;The global slavery index&quot;,&quot;author&quot;:[{&quot;family&quot;:&quot;Walk Free Foundation&quot;,&quot;given&quot;:&quot;&quot;,&quot;parse-names&quot;:false,&quot;dropping-particle&quot;:&quot;&quot;,&quot;non-dropping-particle&quot;:&quot;&quot;}],&quot;accessed&quot;:{&quot;date-parts&quot;:[[2022,6,19]]},&quot;URL&quot;:&quot;https://www.globalslaveryindex.org/&quot;,&quot;issued&quot;:{&quot;date-parts&quot;:[[2016]]},&quot;container-title-short&quot;:&quot;&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1dfQ==&quot;},{&quot;citationID&quot;:&quot;MENDELEY_CITATION_e36bb953-1dc5-45b5-a8ef-fddf787d62ac&quot;,&quot;properties&quot;:{&quot;noteIndex&quot;:0},&quot;isEdited&quot;:false,&quot;manualOverride&quot;:{&quot;isManuallyOverridden&quot;:true,&quot;citeprocText&quot;:&quot;(ILO &lt;i&gt;et al.&lt;/i&gt;, 2022)&quot;,&quot;manualOverrideText&quot;:&quot;(ILO, Walk Free, et al., 2022)&quot;},&quot;citationItems&quot;:[{&quot;id&quot;:&quot;59885942-6a11-376a-a1ff-9e159b56b3e2&quot;,&quot;itemData&quot;:{&quot;type&quot;:&quot;report&quot;,&quot;id&quot;:&quot;59885942-6a11-376a-a1ff-9e159b56b3e2&quot;,&quot;title&quot;:&quot;Global Estimates of Modern Slavery Forced Labour and Forced Marriage&quot;,&quot;author&quot;:[{&quot;family&quot;:&quot;ILO&quot;,&quot;given&quot;:&quot;&quot;,&quot;parse-names&quot;:false,&quot;dropping-particle&quot;:&quot;&quot;,&quot;non-dropping-particle&quot;:&quot;&quot;},{&quot;family&quot;:&quot;Walk  Free&quot;,&quot;given&quot;:&quot;&quot;,&quot;parse-names&quot;:false,&quot;dropping-particle&quot;:&quot;&quot;,&quot;non-dropping-particle&quot;:&quot;&quot;},{&quot;family&quot;:&quot;International  Organization for Migration&quot;,&quot;given&quot;:&quot;&quot;,&quot;parse-names&quot;:false,&quot;dropping-particle&quot;:&quot;&quot;,&quot;non-dropping-particle&quot;:&quot;&quot;}],&quot;accessed&quot;:{&quot;date-parts&quot;:[[2022,9,8]]},&quot;URL&quot;:&quot;https://www.ilo.org/global/topics/forced-labour/publications/WCMS_854733/lang--en/index.htm&quot;,&quot;issued&quot;:{&quot;date-parts&quot;:[[2022]]},&quot;container-title-short&quot;:&quot;&quot;},&quot;isTemporary&quot;:false}],&quot;citationTag&quot;:&quot;MENDELEY_CITATION_v3_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&quot;},{&quot;citationID&quot;:&quot;MENDELEY_CITATION_b2147749-68fb-4488-9d21-fe7fc7ebb788&quot;,&quot;properties&quot;:{&quot;noteIndex&quot;:0},&quot;isEdited&quot;:false,&quot;manualOverride&quot;:{&quot;isManuallyOverridden&quot;:true,&quot;citeprocText&quot;:&quot;(ILO, 2022b; Kara, 2017)&quot;,&quot;manualOverrideText&quot;:&quot;(Kara, 2017; ILO, 2022).&quot;},&quot;citationItems&quot;:[{&quot;id&quot;:&quot;5b0964f5-1ea7-3f39-bb30-dd043b06c810&quot;,&quot;itemData&quot;:{&quot;type&quot;:&quot;book&quot;,&quot;id&quot;:&quot;5b0964f5-1ea7-3f39-bb30-dd043b06c810&quot;,&quot;title&quot;:&quot;Modern slavery: A global perspective&quot;,&quot;author&quot;:[{&quot;family&quot;:&quot;Kara&quot;,&quot;given&quot;:&quot;Siddharth&quot;,&quot;parse-names&quot;:false,&quot;dropping-particle&quot;:&quot;&quot;,&quot;non-dropping-particle&quot;:&quot;&quot;}],&quot;DOI&quot;:&quot;doi.org/10.7312/kara15846-003&quot;,&quot;issued&quot;:{&quot;date-parts&quot;:[[2017]]},&quot;publisher&quot;:&quot;Columbia University Press.&quot;,&quot;container-title-short&quot;:&quot;&quot;},&quot;isTemporary&quot;:false},{&quot;id&quot;:&quot;796aa549-c08c-313d-9133-561167c7c0fc&quot;,&quot;itemData&quot;:{&quot;type&quot;:&quot;webpage&quot;,&quot;id&quot;:&quot;796aa549-c08c-313d-9133-561167c7c0fc&quot;,&quot;title&quot;:&quot;Modern slavery:  50 million people worldwide in modern slavery&quot;,&quot;author&quot;:[{&quot;family&quot;:&quot;ILO&quot;,&quot;given&quot;:&quot;&quot;,&quot;parse-names&quot;:false,&quot;dropping-particle&quot;:&quot;&quot;,&quot;non-dropping-particle&quot;:&quot;&quot;}],&quot;container-title&quot;:&quot;International Labour Organisation&quot;,&quot;accessed&quot;:{&quot;date-parts&quot;:[[2022,11,23]]},&quot;URL&quot;:&quot;https://www.ilo.org/global/about-the-ilo/newsroom/news/WCMS_855019/lang--en/index.htm&quot;,&quot;issued&quot;:{&quot;date-parts&quot;:[[2022,10,12]]},&quot;container-title-short&quot;:&quot;&quot;},&quot;isTemporary&quot;:false}],&quot;citationTag&quot;:&quot;MENDELEY_CITATION_v3_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&quot;},{&quot;citationID&quot;:&quot;MENDELEY_CITATION_3a90804d-1adc-4e38-bf70-2285d6b7105d&quot;,&quot;properties&quot;:{&quot;noteIndex&quot;:0},&quot;isEdited&quot;:false,&quot;manualOverride&quot;:{&quot;isManuallyOverridden&quot;:false,&quot;citeprocText&quot;:&quot;(DiMaggio and Powell, 1983; Hazelton, 201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1faa93ab-3015-3d36-9bb0-8cbf3b0fd65a&quot;,&quot;itemData&quot;:{&quot;type&quot;:&quot;article-journal&quot;,&quot;id&quot;:&quot;1faa93ab-3015-3d36-9bb0-8cbf3b0fd65a&quot;,&quot;title&quot;:&quot;Accounting as a human right: The case of water information&quot;,&quot;author&quot;:[{&quot;family&quot;:&quot;Hazelton&quot;,&quot;given&quot;:&quot;James&quot;,&quot;parse-names&quot;:false,&quot;dropping-particle&quot;:&quot;&quot;,&quot;non-dropping-particle&quot;:&quot;&quot;}],&quot;container-title&quot;:&quot;Accounting, Auditing and Accountability Journal&quot;,&quot;ISSN&quot;:&quot;09513574&quot;,&quot;issued&quot;:{&quot;date-parts&quot;:[[2013,2]]},&quot;page&quot;:&quot;267-311&quot;,&quot;abstract&quot;:&quot;Purpose: This paper aims to respond to increasing interest in the intersection between accounting and human rights and to explore whether access to information might itself constitute a human right. As human rights have \&quot;moral force\&quot;, establishing access to information as a human right may act as a catalyst for policy change. The paper also aims to focus on environmental information, and specifically the case of corporate water-related disclosures. Design/methodology/approach: This paper follows Griffin and Sen, who suggest that a candidate human right might be recognised when it is consistent with \&quot;founding\&quot; human rights, it is important and it may be influenced by societal action. The specific case for access to corporate water-related information to constitute a human right is evaluated against these principles. Findings: Access to corporate water-related disclosures may indeed constitute a human right. Political participation is a founding human right, water is a critical subject of political debate, water-related information is required in order for political participation and the state is in a position to facilitate provision of such information. Corporate water disclosures may not necessarily be in the form of annual sustainability reports, however, but may include reporting by government agencies via public databases and product labelling. A countervailing corporate right to privacy is considered and found to be relevant but not necessarily incompatible with heightened disclosure obligations. Originality/value: This paper seeks to make both a theoretical and a practical contribution. Theoretically, the paper explores how reporting might be conceived from a rights-based perspective and provides a method for determining which disclosures might constitute a human right. Practically, the paper may assist those calling for improved disclosure regulation by showing how such calls might be embedded within human rights discourse. © Emerald Group Publishing Limited.&quot;,&quot;issue&quot;:&quot;2&quot;,&quot;volume&quot;:&quot;26&quot;,&quot;container-title-short&quot;:&quot;&quot;},&quot;isTemporary&quot;:false}],&quot;citationTag&quot;:&quot;MENDELEY_CITATION_v3_eyJjaXRhdGlvbklEIjoiTUVOREVMRVlfQ0lUQVRJT05fM2E5MDgwNGQtMWFkYy00ZTM4LWJmNzAtMjI4NWQ2YjcxMDVkIiwicHJvcGVydGllcyI6eyJub3RlSW5kZXgiOjB9LCJpc0VkaXRlZCI6ZmFsc2UsIm1hbnVhbE92ZXJyaWRlIjp7ImlzTWFudWFsbHlPdmVycmlkZGVuIjpmYWxzZSwiY2l0ZXByb2NUZXh0IjoiKERpTWFnZ2lvIGFuZCBQb3dlbGwsIDE5ODM7IEhhemVsdG9u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W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&quot;},{&quot;citationID&quot;:&quot;MENDELEY_CITATION_e76994a7-0d61-4440-a19b-8f563d8f5121&quot;,&quot;properties&quot;:{&quot;noteIndex&quot;:0},&quot;isEdited&quot;:false,&quot;manualOverride&quot;:{&quot;isManuallyOverridden&quot;:true,&quot;citeprocText&quot;:&quot;(ILO &lt;i&gt;et al.&lt;/i&gt;, 2022)&quot;,&quot;manualOverrideText&quot;:&quot;(ILO, Walk Free, et al., 2022)&quot;},&quot;citationItems&quot;:[{&quot;id&quot;:&quot;59885942-6a11-376a-a1ff-9e159b56b3e2&quot;,&quot;itemData&quot;:{&quot;type&quot;:&quot;report&quot;,&quot;id&quot;:&quot;59885942-6a11-376a-a1ff-9e159b56b3e2&quot;,&quot;title&quot;:&quot;Global Estimates of Modern Slavery Forced Labour and Forced Marriage&quot;,&quot;author&quot;:[{&quot;family&quot;:&quot;ILO&quot;,&quot;given&quot;:&quot;&quot;,&quot;parse-names&quot;:false,&quot;dropping-particle&quot;:&quot;&quot;,&quot;non-dropping-particle&quot;:&quot;&quot;},{&quot;family&quot;:&quot;Walk  Free&quot;,&quot;given&quot;:&quot;&quot;,&quot;parse-names&quot;:false,&quot;dropping-particle&quot;:&quot;&quot;,&quot;non-dropping-particle&quot;:&quot;&quot;},{&quot;family&quot;:&quot;International  Organization for Migration&quot;,&quot;given&quot;:&quot;&quot;,&quot;parse-names&quot;:false,&quot;dropping-particle&quot;:&quot;&quot;,&quot;non-dropping-particle&quot;:&quot;&quot;}],&quot;accessed&quot;:{&quot;date-parts&quot;:[[2022,9,8]]},&quot;URL&quot;:&quot;https://www.ilo.org/global/topics/forced-labour/publications/WCMS_854733/lang--en/index.htm&quot;,&quot;issued&quot;:{&quot;date-parts&quot;:[[2022]]},&quot;container-title-short&quot;:&quot;&quot;},&quot;isTemporary&quot;:false}],&quot;citationTag&quot;:&quot;MENDELEY_CITATION_v3_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&quot;},{&quot;citationID&quot;:&quot;MENDELEY_CITATION_45e70257-cbb7-4e9c-b0c2-1efa8a117ec0&quot;,&quot;properties&quot;:{&quot;noteIndex&quot;:0},&quot;isEdited&quot;:false,&quot;manualOverride&quot;:{&quot;isManuallyOverridden&quot;:false,&quot;citeprocText&quot;:&quot;(Ritu Bharadwaj &lt;i&gt;et al.&lt;/i&gt;, 2021; Rogerson &lt;i&gt;et al.&lt;/i&gt;, 2024)&quot;,&quot;manualOverrideText&quot;:&quot;&quot;},&quot;citationItems&quot;:[{&quot;id&quot;:&quot;ce4e6116-407a-30c1-8490-0086aa49014c&quot;,&quot;itemData&quot;:{&quot;type&quot;:&quot;report&quot;,&quot;id&quot;:&quot;ce4e6116-407a-30c1-8490-0086aa49014c&quot;,&quot;title&quot;:&quot;Climate change and modern slavery in public procurement&quot;,&quot;author&quot;:[{&quot;family&quot;:&quot;Rogerson&quot;,&quot;given&quot;:&quot;M&quot;,&quot;parse-names&quot;:false,&quot;dropping-particle&quot;:&quot;&quot;,&quot;non-dropping-particle&quot;:&quot;&quot;},{&quot;family&quot;:&quot;Grosvold&quot;,&quot;given&quot;:&quot;J&quot;,&quot;parse-names&quot;:false,&quot;dropping-particle&quot;:&quot;&quot;,&quot;non-dropping-particle&quot;:&quot;&quot;},{&quot;family&quot;:&quot;Alves&quot;,&quot;given&quot;:&quot;K&quot;,&quot;parse-names&quot;:false,&quot;dropping-particle&quot;:&quot;&quot;,&quot;non-dropping-particle&quot;:&quot;&quot;}],&quot;DOI&quot;:&quot;10.1108/IJOPM-05-2022&quot;,&quot;URL&quot;:&quot;https://doi.org/10.1108/IJOPM-05-2022-&quot;,&quot;issued&quot;:{&quot;date-parts&quot;:[[2024]]},&quot;publisher-place&quot;:&quot;London&quot;,&quot;number-of-pages&quot;:&quot;1-30&quot;,&quot;container-title-short&quot;:&quot;&quot;},&quot;isTemporary&quot;:false},{&quot;id&quot;:&quot;bcd0d7dd-bf04-3fa5-9e89-6ac9bf9c9619&quot;,&quot;itemData&quot;:{&quot;type&quot;:&quot;report&quot;,&quot;id&quot;:&quot;bcd0d7dd-bf04-3fa5-9e89-6ac9bf9c9619&quot;,&quot;title&quot;:&quot;Climate-induced migration and modern slavery&quot;,&quot;author&quot;:[{&quot;family&quot;:&quot;Ritu Bharadwaj&quot;,&quot;given&quot;:&quot;by&quot;,&quot;parse-names&quot;:false,&quot;dropping-particle&quot;:&quot;&quot;,&quot;non-dropping-particle&quot;:&quot;&quot;},{&quot;family&quot;:&quot;Bishop&quot;,&quot;given&quot;:&quot;Danielle&quot;,&quot;parse-names&quot;:false,&quot;dropping-particle&quot;:&quot;&quot;,&quot;non-dropping-particle&quot;:&quot;&quot;},{&quot;family&quot;:&quot;Hazra&quot;,&quot;given&quot;:&quot;Somnath&quot;,&quot;parse-names&quot;:false,&quot;dropping-particle&quot;:&quot;&quot;,&quot;non-dropping-particle&quot;:&quot;&quot;},{&quot;family&quot;:&quot;Pufaa&quot;,&quot;given&quot;:&quot;Enock&quot;,&quot;parse-names&quot;:false,&quot;dropping-particle&quot;:&quot;&quot;,&quot;non-dropping-particle&quot;:&quot;&quot;},{&quot;family&quot;:&quot;Kofi Annan&quot;,&quot;given&quot;:&quot;James&quot;,&quot;parse-names&quot;:false,&quot;dropping-particle&quot;:&quot;&quot;,&quot;non-dropping-particle&quot;:&quot;&quot;},{&quot;family&quot;:&quot;Hawkey&quot;,&quot;given&quot;:&quot;Sean&quot;,&quot;parse-names&quot;:false,&quot;dropping-particle&quot;:&quot;&quot;,&quot;non-dropping-particle&quot;:&quot;&quot;},{&quot;family&quot;:&quot;Clarkson House&quot;,&quot;given&quot;:&quot;Thomas&quot;,&quot;parse-names&quot;:false,&quot;dropping-particle&quot;:&quot;&quot;,&quot;non-dropping-particle&quot;:&quot;&quot;}],&quot;URL&quot;:&quot;www.antislavery.orgwww.iied.orghttp://pubs.iied.org&quot;,&quot;issued&quot;:{&quot;date-parts&quot;:[[2021,9]]},&quot;number-of-pages&quot;:&quot;1-38&quot;,&quot;container-title-short&quot;:&quot;&quot;},&quot;isTemporary&quot;:false}],&quot;citationTag&quot;:&quot;MENDELEY_CITATION_v3_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&quot;},{&quot;citationID&quot;:&quot;MENDELEY_CITATION_27fcf1df-bc94-4467-89f6-f8d325cc6f2e&quot;,&quot;properties&quot;:{&quot;noteIndex&quot;:0},&quot;isEdited&quot;:false,&quot;manualOverride&quot;:{&quot;isManuallyOverridden&quot;:false,&quot;citeprocText&quot;:&quot;(Biermann &lt;i&gt;et al.&lt;/i&gt;, 2022; Craig &lt;i&gt;et al.&lt;/i&gt;, 2019)&quot;,&quot;manualOverrideText&quot;:&quot;&quot;},&quot;citationItems&quot;:[{&quot;id&quot;:&quot;57ae5126-bece-31ad-bd4a-02087195c11a&quot;,&quot;itemData&quot;:{&quot;type&quot;:&quot;book&quot;,&quot;id&quot;:&quot;57ae5126-bece-31ad-bd4a-02087195c11a&quot;,&quot;title&quot;:&quot;The Political Impact of the Sustainable Development Goals. Transforming Governance Through Global Goals.  &quot;,&quot;author&quot;:[{&quot;family&quot;:&quot;Biermann&quot;,&quot;given&quot;:&quot;Frank&quot;,&quot;parse-names&quot;:false,&quot;dropping-particle&quot;:&quot;&quot;,&quot;non-dropping-particle&quot;:&quot;&quot;},{&quot;family&quot;:&quot;Hickmann&quot;,&quot;given&quot;:&quot;Thomas&quot;,&quot;parse-names&quot;:false,&quot;dropping-particle&quot;:&quot;&quot;,&quot;non-dropping-particle&quot;:&quot;&quot;},{&quot;family&quot;:&quot;Senit&quot;,&quot;given&quot;:&quot;Carole-Anne&quot;,&quot;parse-names&quot;:false,&quot;dropping-particle&quot;:&quot;&quot;,&quot;non-dropping-particle&quot;:&quot;&quot;}],&quot;DOI&quot;:&quot;10.1017/9781009082945&quot;,&quot;ISBN&quot;:&quot;9781009082945&quot;,&quot;issued&quot;:{&quot;date-parts&quot;:[[2022,7,31]]},&quot;publisher&quot;:&quot;Cambridge University Press&quot;,&quot;container-title-short&quot;:&quot;&quot;},&quot;isTemporary&quot;:false},{&quot;id&quot;:&quot;1f881f16-32bf-3eec-b941-e6b96284ca26&quot;,&quot;itemData&quot;:{&quot;type&quot;:&quot;book&quot;,&quot;id&quot;:&quot;1f881f16-32bf-3eec-b941-e6b96284ca26&quot;,&quot;title&quot;:&quot;The Modern Slavery Agenda: Policy, Politics and Practice  in the UK&quot;,&quot;author&quot;:[{&quot;family&quot;:&quot;Craig&quot;,&quot;given&quot;:&quot;Gary&quot;,&quot;parse-names&quot;:false,&quot;dropping-particle&quot;:&quot;&quot;,&quot;non-dropping-particle&quot;:&quot;&quot;},{&quot;family&quot;:&quot;Balch&quot;,&quot;given&quot;:&quot;A&quot;,&quot;parse-names&quot;:false,&quot;dropping-particle&quot;:&quot;&quot;,&quot;non-dropping-particle&quot;:&quot;&quot;},{&quot;family&quot;:&quot;Hannah&quot;,&quot;given&quot;:&quot;Lewis&quot;,&quot;parse-names&quot;:false,&quot;dropping-particle&quot;:&quot;&quot;,&quot;non-dropping-particle&quot;:&quot;&quot;},{&quot;family&quot;:&quot;Louise&quot;,&quot;given&quot;:&quot;Waite&quot;,&quot;parse-names&quot;:false,&quot;dropping-particle&quot;:&quot;&quot;,&quot;non-dropping-particle&quot;:&quot;&quot;}],&quot;accessed&quot;:{&quot;date-parts&quot;:[[2023,3,15]]},&quot;URL&quot;:&quot;https://books.google.co.uk/books?hl=en&amp;lr=&amp;id=nfeCDwAAQBAJ&amp;oi=fnd&amp;pg=PR1&amp;dq=modern+slavery+Craig,+G.&amp;ots=sq_MR8yYE_&amp;sig=JCYscWcUZvxqFvFP1bdkP4DaiT0&amp;redir_esc=y#v=onepage&amp;q=modern%20slavery%20Craig%2C%20G.&amp;f=false&quot;,&quot;issued&quot;:{&quot;date-parts&quot;:[[2019]]},&quot;publisher-place&quot;:&quot;Bristol&quot;,&quot;number-of-pages&quot;:&quot;1-117&quot;,&quot;publisher&quot;:&quot;Policy Press&quot;,&quot;container-title-short&quot;:&quot;&quot;},&quot;isTemporary&quot;:false}],&quot;citationTag&quot;:&quot;MENDELEY_CITATION_v3_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&quot;},{&quot;citationID&quot;:&quot;MENDELEY_CITATION_bef7dfff-2263-45ff-aa36-321f80ff6401&quot;,&quot;properties&quot;:{&quot;noteIndex&quot;:0},&quot;isEdited&quot;:false,&quot;manualOverride&quot;:{&quot;isManuallyOverridden&quot;:false,&quot;citeprocText&quot;:&quot;(Forestier and Kim, 2020; HR Government, 2015; Kara, 2017)&quot;,&quot;manualOverrideText&quot;:&quot;&quot;},&quot;citationItems&quot;:[{&quot;id&quot;:&quot;5b0964f5-1ea7-3f39-bb30-dd043b06c810&quot;,&quot;itemData&quot;:{&quot;type&quot;:&quot;book&quot;,&quot;id&quot;:&quot;5b0964f5-1ea7-3f39-bb30-dd043b06c810&quot;,&quot;title&quot;:&quot;Modern slavery: A global perspective&quot;,&quot;author&quot;:[{&quot;family&quot;:&quot;Kara&quot;,&quot;given&quot;:&quot;Siddharth&quot;,&quot;parse-names&quot;:false,&quot;dropping-particle&quot;:&quot;&quot;,&quot;non-dropping-particle&quot;:&quot;&quot;}],&quot;DOI&quot;:&quot;doi.org/10.7312/kara15846-003&quot;,&quot;issued&quot;:{&quot;date-parts&quot;:[[2017]]},&quot;publisher&quot;:&quot;Columbia University Press.&quot;,&quot;container-title-short&quot;:&quot;&quot;},&quot;isTemporary&quot;:false},{&quot;id&quot;:&quot;5283ed9a-20c3-3d04-91ed-83325e912058&quot;,&quot;itemData&quot;:{&quot;type&quot;:&quot;legislation&quot;,&quot;id&quot;:&quot;5283ed9a-20c3-3d04-91ed-83325e912058&quot;,&quot;title&quot;:&quot;Modern Slavery Act 2015&quot;,&quot;author&quot;:[{&quot;family&quot;:&quot;HR Government&quot;,&quot;given&quot;:&quot;&quot;,&quot;parse-names&quot;:false,&quot;dropping-particle&quot;:&quot;&quot;,&quot;non-dropping-particle&quot;:&quot;&quot;}],&quot;container-title&quot;:&quot;TSO (The Stationery Office), The Houses of Parliament&quot;,&quot;URL&quot;:&quot;http://www.legislation.gov.uk/ukpga/2015/30/pdfs/ukpga_20150030_en.pdf&quot;,&quot;issued&quot;:{&quot;date-parts&quot;:[[2015]]},&quot;publisher-place&quot;:&quot;London&quot;,&quot;page&quot;:&quot;84&quot;,&quot;abstract&quot;:&quot;An Act to make provision about slavery, servitude and forced or compulsory labour and about human trafficking, including provision for the protection of victims; to make provision for an Independent Anti-slavery Commissioner; and for connected purposes.&quot;,&quot;issue&quot;:&quot;March&quot;,&quot;container-title-short&quot;:&quot;&quot;},&quot;isTemporary&quot;:false},{&quot;id&quot;:&quot;c9341a08-de76-3496-b3e1-c4f868087179&quot;,&quot;itemData&quot;:{&quot;type&quot;:&quot;article-journal&quot;,&quot;id&quot;:&quot;c9341a08-de76-3496-b3e1-c4f868087179&quot;,&quot;title&quot;:&quot;Cherry-picking the Sustainable Development Goals: Goal prioritization by national governments and implications for global governance&quot;,&quot;author&quot;:[{&quot;family&quot;:&quot;Forestier&quot;,&quot;given&quot;:&quot;Oana&quot;,&quot;parse-names&quot;:false,&quot;dropping-particle&quot;:&quot;&quot;,&quot;non-dropping-particle&quot;:&quot;&quot;},{&quot;family&quot;:&quot;Kim&quot;,&quot;given&quot;:&quot;Rakhyun E.&quot;,&quot;parse-names&quot;:false,&quot;dropping-particle&quot;:&quot;&quot;,&quot;non-dropping-particle&quot;:&quot;&quot;}],&quot;container-title&quot;:&quot;Sustainable Development&quot;,&quot;DOI&quot;:&quot;10.1002/sd.2082&quot;,&quot;ISSN&quot;:&quot;10991719&quot;,&quot;issued&quot;:{&quot;date-parts&quot;:[[2020,9,1]]},&quot;page&quot;:&quot;1269-1278&quot;,&quot;abstract&quot;:&quot;The member states of the United Nations collectively agreed on the Sustainable Development Goals (SDGs) as equally important global objectives. Yet the same states seem to prioritize certain SDGs in national implementation. Such cherry-picking defies the “integrated and indivisible” nature of the SDGs, and could negatively impact overall progress on sustainable development globally. Which SDGs receive more attention than the others in national policies, and what implications can we draw for global governance? We address these questions in two parts. Through a content analysis of the Voluntary National Reviews of 19 countries of varying income levels, we find that SDGs 1 and 8 on poverty eradication and economic growth are by far most widely prioritized. We then look specifically into Bhutan and Vietnam to explore possible explanations for goal prioritization as well as the potential steering effects of international organizations on their national policies. The findings have important policy implications for global governance. We argue that the High-level Political Forum on Sustainable Development, in particular, has an important role to play to better coordinate international organizations to help mitigate unhealthy goal prioritization.&quot;,&quot;publisher&quot;:&quot;John Wiley and Sons Ltd&quot;,&quot;issue&quot;:&quot;5&quot;,&quot;volume&quot;:&quot;28&quot;,&quot;container-title-short&quot;:&quot;&quot;},&quot;isTemporary&quot;:false}],&quot;citationTag&quot;:&quot;MENDELEY_CITATION_v3_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&quot;},{&quot;citationID&quot;:&quot;MENDELEY_CITATION_4bdceff5-65a7-49b6-b2cc-f9bf639c89a0&quot;,&quot;properties&quot;:{&quot;noteIndex&quot;:0},&quot;isEdited&quot;:false,&quot;manualOverride&quot;:{&quot;isManuallyOverridden&quot;:true,&quot;citeprocText&quot;:&quot;(Australian Government, 2022; Young and Gad, 2022)&quot;,&quot;manualOverrideText&quot;:&quot;(Australian Government, 2022; Young and Gad, 2022).&quot;},&quot;citationItems&quot;:[{&quot;id&quot;:&quot;38773d4e-23d1-388d-9c83-5dfd0d8214af&quot;,&quot;itemData&quot;:{&quot;type&quot;:&quot;report&quot;,&quot;id&quot;:&quot;38773d4e-23d1-388d-9c83-5dfd0d8214af&quot;,&quot;title&quot;:&quot;Modern Slavery Reporting\nPractices in the UK: Evidence from Modern Slavery\nStatements and Annual Reports&quot;,&quot;author&quot;:[{&quot;family&quot;:&quot;Young&quot;,&quot;given&quot;:&quot;Steven&quot;,&quot;parse-names&quot;:false,&quot;dropping-particle&quot;:&quot;&quot;,&quot;non-dropping-particle&quot;:&quot;&quot;},{&quot;family&quot;:&quot;Gad&quot;,&quot;given&quot;:&quot;Mahmoud&quot;,&quot;parse-names&quot;:false,&quot;dropping-particle&quot;:&quot;&quot;,&quot;non-dropping-particle&quot;:&quot;&quot;}],&quot;issued&quot;:{&quot;date-parts&quot;:[[2022]]},&quot;number-of-pages&quot;:&quot;1-28&quot;,&quot;container-title-short&quot;:&quot;&quot;},&quot;isTemporary&quot;:false},{&quot;id&quot;:&quot;59eb189f-5c0a-31ae-afc8-d74885addff5&quot;,&quot;itemData&quot;:{&quot;type&quot;:&quot;webpage&quot;,&quot;id&quot;:&quot;59eb189f-5c0a-31ae-afc8-d74885addff5&quot;,&quot;title&quot;:&quot;Review of Australia’s Modern Slavery Act 2018 - Attorney-General's Department - Citizen Space&quot;,&quot;author&quot;:[{&quot;family&quot;:&quot;Australian Government&quot;,&quot;given&quot;:&quot;&quot;,&quot;parse-names&quot;:false,&quot;dropping-particle&quot;:&quot;&quot;,&quot;non-dropping-particle&quot;:&quot;&quot;}],&quot;accessed&quot;:{&quot;date-parts&quot;:[[2023,5,5]]},&quot;URL&quot;:&quot;https://consultations.ag.gov.au/crime/modern-slavery-act-review/&quot;,&quot;issued&quot;:{&quot;date-parts&quot;:[[2022]]},&quot;container-title-short&quot;:&quot;&quot;},&quot;isTemporary&quot;:false}],&quot;citationTag&quot;:&quot;MENDELEY_CITATION_v3_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&quot;},{&quot;citationID&quot;:&quot;MENDELEY_CITATION_f53a7fca-764f-413c-b305-233cdd81d26e&quot;,&quot;properties&quot;:{&quot;noteIndex&quot;:0},&quot;isEdited&quot;:false,&quot;manualOverride&quot;:{&quot;isManuallyOverridden&quot;:false,&quot;citeprocText&quot;:&quot;(Boyd &lt;i&gt;et al.&lt;/i&gt;, 2021; Geels, 2020)&quot;,&quot;manualOverrideText&quot;:&quot;&quot;},&quot;citationItems&quot;:[{&quot;id&quot;:&quot;9f173216-a79f-35c8-858b-9247b6adaab8&quot;,&quot;itemData&quot;:{&quot;type&quot;:&quot;article-journal&quot;,&quot;id&quot;:&quot;9f173216-a79f-35c8-858b-9247b6adaab8&quot;,&quot;title&quot;:&quot;Micro-foundations of the multi-level perspective on socio-technical transitions: Developing a multi-dimensional model of agency through crossovers between social constructivism, evolutionary economics and neo-institutional theory&quot;,&quot;author&quot;:[{&quot;family&quot;:&quot;Geels&quot;,&quot;given&quot;:&quot;Frank W.&quot;,&quot;parse-names&quot;:false,&quot;dropping-particle&quot;:&quot;&quot;,&quot;non-dropping-particle&quot;:&quot;&quot;}],&quot;container-title&quot;:&quot;Technological Forecasting and Social Change&quot;,&quot;DOI&quot;:&quot;10.1016/j.techfore.2019.119894&quot;,&quot;ISSN&quot;:&quot;00401625&quot;,&quot;issued&quot;:{&quot;date-parts&quot;:[[2020,3,1]]},&quot;abstract&quot;:&quot;The Multi-Level Perspective (MLP) is a prominent framework to understand socio-technical transitions, but its micro-foundations have remained under-developed. The paper's first aim is therefore to develop the MLP's theoretical micro-foundations, which are rooted in Social Construction of Technology, evolutionary economics and neoinstitutional theory. The second aim is to further identify crossovers between these theories. To achieve these goals, the paper analytically reviews the three theories, focusing on: (1) the relevance of each theory for transitions and the MLP, (2) the theory's conceptualisation of agency, (3) criticisms of each theory and subsequent conceptual elaborations (which prepare the ground for potential crossovers between them). Mobilizing insights from the analytical reviews, the paper articulates a multi-dimensional model of agency, which also provides a relational and processual conceptualization of ongoing trajectories in which actors are embedded. Specific conceptual linking points between the three theories are identified, leading to an understanding of socio-technical transitions as evolutionary, interpretive and conflictual processes.&quot;,&quot;publisher&quot;:&quot;Elsevier Inc.&quot;,&quot;volume&quot;:&quot;152&quot;,&quot;container-title-short&quot;:&quot;Technol Forecast Soc Change&quot;},&quot;isTemporary&quot;:false},{&quot;id&quot;:&quot;e3b8d130-f93e-3fe2-b5fa-91a6c40f06a0&quot;,&quot;itemData&quot;:{&quot;type&quot;:&quot;article-journal&quot;,&quot;id&quot;:&quot;e3b8d130-f93e-3fe2-b5fa-91a6c40f06a0&quot;,&quot;title&quot;:&quot;Informing action for United Nations SDG target 8.7 and interdependent SDGs: Examining modern slavery from space&quot;,&quot;author&quot;:[{&quot;family&quot;:&quot;Boyd&quot;,&quot;given&quot;:&quot;Doreen S&quot;,&quot;parse-names&quot;:false,&quot;dropping-particle&quot;:&quot;&quot;,&quot;non-dropping-particle&quot;:&quot;&quot;},{&quot;family&quot;:&quot;Perrat&quot;,&quot;given&quot;:&quot;Bertrand&quot;,&quot;parse-names&quot;:false,&quot;dropping-particle&quot;:&quot;&quot;,&quot;non-dropping-particle&quot;:&quot;&quot;},{&quot;family&quot;:&quot;Li&quot;,&quot;given&quot;:&quot;Xiaodong&quot;,&quot;parse-names&quot;:false,&quot;dropping-particle&quot;:&quot;&quot;,&quot;non-dropping-particle&quot;:&quot;&quot;},{&quot;family&quot;:&quot;Jackson&quot;,&quot;given&quot;:&quot;Bethany&quot;,&quot;parse-names&quot;:false,&quot;dropping-particle&quot;:&quot;&quot;,&quot;non-dropping-particle&quot;:&quot;&quot;},{&quot;family&quot;:&quot;Landman&quot;,&quot;given&quot;:&quot;Todd&quot;,&quot;parse-names&quot;:false,&quot;dropping-particle&quot;:&quot;&quot;,&quot;non-dropping-particle&quot;:&quot;&quot;},{&quot;family&quot;:&quot;Ling&quot;,&quot;given&quot;:&quot;Feng&quot;,&quot;parse-names&quot;:false,&quot;dropping-particle&quot;:&quot;&quot;,&quot;non-dropping-particle&quot;:&quot;&quot;},{&quot;family&quot;:&quot;Bales&quot;,&quot;given&quot;:&quot;Kevin&quot;,&quot;parse-names&quot;:false,&quot;dropping-particle&quot;:&quot;&quot;,&quot;non-dropping-particle&quot;:&quot;&quot;},{&quot;family&quot;:&quot;Choi-Fitzpatrick&quot;,&quot;given&quot;:&quot;Austin&quot;,&quot;parse-names&quot;:false,&quot;dropping-particle&quot;:&quot;&quot;,&quot;non-dropping-particle&quot;:&quot;&quot;},{&quot;family&quot;:&quot;Goulding&quot;,&quot;given&quot;:&quot;James&quot;,&quot;parse-names&quot;:false,&quot;dropping-particle&quot;:&quot;&quot;,&quot;non-dropping-particle&quot;:&quot;&quot;},{&quot;family&quot;:&quot;Marsh&quot;,&quot;given&quot;:&quot;Stuart&quot;,&quot;parse-names&quot;:false,&quot;dropping-particle&quot;:&quot;&quot;,&quot;non-dropping-particle&quot;:&quot;&quot;},{&quot;family&quot;:&quot;Foody&quot;,&quot;given&quot;:&quot;Giles M&quot;,&quot;parse-names&quot;:false,&quot;dropping-particle&quot;:&quot;&quot;,&quot;non-dropping-particle&quot;:&quot;&quot;}],&quot;container-title&quot;:&quot; Humanities and Social Sciences Communications&quot;,&quot;accessed&quot;:{&quot;date-parts&quot;:[[2023,3,15]]},&quot;DOI&quot;:&quot;10.1057/s41599-021-00792-z&quot;,&quot;URL&quot;:&quot;https://doi.org/10.1057/s41599-021-00792-z&quot;,&quot;issued&quot;:{&quot;date-parts&quot;:[[2021]]},&quot;container-title-short&quot;:&quot;&quot;},&quot;isTemporary&quot;:false}],&quot;citationTag&quot;:&quot;MENDELEY_CITATION_v3_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&quot;},{&quot;citationID&quot;:&quot;MENDELEY_CITATION_94d7b8b7-23b9-44e6-9d6e-654199ada81d&quot;,&quot;properties&quot;:{&quot;noteIndex&quot;:0},&quot;isEdited&quot;:false,&quot;manualOverride&quot;:{&quot;isManuallyOverridden&quot;:false,&quot;citeprocText&quot;:&quot;(Helfaya &lt;i&gt;et al.&lt;/i&gt;, 2025;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OTRkN2I4YjctMjNiOS00NGU2LTlkNmUtNjU0MTk5YWRhODFkIiwicHJvcGVydGllcyI6eyJub3RlSW5kZXgiOjB9LCJpc0VkaXRlZCI6ZmFsc2UsIm1hbnVhbE92ZXJyaWRlIjp7ImlzTWFudWFsbHlPdmVycmlkZGVuIjpmYWxzZSwiY2l0ZXByb2NUZXh0IjoiKEhlbGZheWEgPGk+ZXQgYWwuPC9pPiwgMjAyNT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quot;},{&quot;citationID&quot;:&quot;MENDELEY_CITATION_467e4954-4b1b-4f0f-959a-d6259be58ede&quot;,&quot;properties&quot;:{&quot;noteIndex&quot;:0},&quot;isEdited&quot;:false,&quot;manualOverride&quot;:{&quot;isManuallyOverridden&quot;:false,&quot;citeprocText&quot;:&quot;(Kaufmann &lt;i&gt;et al.&lt;/i&gt;, 2011)&quot;,&quot;manualOverrideText&quot;:&quot;&quot;},&quot;citationItems&quot;:[{&quot;id&quot;:&quot;d54ee7b6-aa59-392d-9ca5-f3497acaca83&quot;,&quot;itemData&quot;:{&quot;type&quot;:&quot;article-journal&quot;,&quot;id&quot;:&quot;d54ee7b6-aa59-392d-9ca5-f3497acaca83&quot;,&quot;title&quot;:&quot;The worldwide governance indicators: Methodology and analytical issues&quot;,&quot;author&quot;:[{&quot;family&quot;:&quot;Kaufmann&quot;,&quot;given&quot;:&quot;Daniel&quot;,&quot;parse-names&quot;:false,&quot;dropping-particle&quot;:&quot;&quot;,&quot;non-dropping-particle&quot;:&quot;&quot;},{&quot;family&quot;:&quot;Kraay&quot;,&quot;given&quot;:&quot;Aart&quot;,&quot;parse-names&quot;:false,&quot;dropping-particle&quot;:&quot;&quot;,&quot;non-dropping-particle&quot;:&quot;&quot;},{&quot;family&quot;:&quot;Mastruzzi&quot;,&quot;given&quot;:&quot;Massimo&quot;,&quot;parse-names&quot;:false,&quot;dropping-particle&quot;:&quot;&quot;,&quot;non-dropping-particle&quot;:&quot;&quot;}],&quot;container-title&quot;:&quot;Hague Journal on the Rule of Law&quot;,&quot;DOI&quot;:&quot;10.1017/S1876404511200046&quot;,&quot;ISSN&quot;:&quot;18764053&quot;,&quot;issued&quot;:{&quot;date-parts&quot;:[[2011,6,4]]},&quot;page&quot;:&quot;220-246&quot;,&quot;abstract&quot;:&quot;This paper summarizes the methodology of the Worldwide Governance Indicators (WGI) project, and related analytical issues. The WGI has covered over two hundred countries and territories, measuring six dimensions of governance starting in 1996: Voice and Accountability, Political Stability and Absence of Violence/Terrorism, Government Effectiveness, Regulatory Quality, Rule of Law, and Control of Corruption. The aggregate indicators are based on several hundred individual underlying variables, taken from a wide variety of existing data sources. The data reflect the views on governance of survey respondents and public, private, and NGO sector experts worldwide. We also explicitly report margins of error accompanying each country estimate. These reflect the inherent difficulties in measuring governance using any kind of data. We find that even after taking margins of error into account, the WGI permit meaningful cross-country and over-time comparisons. The aggregate indicators, together with the disaggregated underlying source data, are available at www.govindicators.org.&quot;,&quot;publisher&quot;:&quot;Springer Science and Business Media B.V.&quot;,&quot;issue&quot;:&quot;2&quot;,&quot;volume&quot;:&quot;3&quot;,&quot;container-title-short&quot;:&quot;&quot;},&quot;isTemporary&quot;:false}],&quot;citationTag&quot;:&quot;MENDELEY_CITATION_v3_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&quot;},{&quot;citationID&quot;:&quot;MENDELEY_CITATION_c2b63601-5ff5-425a-a431-961018c97d5f&quot;,&quot;properties&quot;:{&quot;noteIndex&quot;:0},&quot;isEdited&quot;:false,&quot;manualOverride&quot;:{&quot;isManuallyOverridden&quot;:false,&quot;citeprocText&quot;:&quot;(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YzJiNjM2MDEtNWZmNS00MjVhLWE0MzEtOTYxMDE4Yzk3ZDVm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f5b9fcab-e8f5-479f-8718-7e4349cc222d&quot;,&quot;properties&quot;:{&quot;noteIndex&quot;:0},&quot;isEdited&quot;:false,&quot;manualOverride&quot;:{&quot;isManuallyOverridden&quot;:false,&quot;citeprocText&quot;:&quot;(Elamer &lt;i&gt;et al.&lt;/i&gt;, 2020; Helfaya &lt;i&gt;et al.&lt;/i&gt;, 2025;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4b8c4cf9-6b55-31a1-88a4-68716459e483&quot;,&quot;itemData&quot;:{&quot;type&quot;:&quot;article-journal&quot;,&quot;id&quot;:&quot;4b8c4cf9-6b55-31a1-88a4-68716459e483&quot;,&quot;title&quot;:&quot;Islamic Governance, National Governance, and Bank Risk Management and Disclosure in MENA Countries&quot;,&quot;author&quot;:[{&quot;family&quot;:&quot;Elamer&quot;,&quot;given&quot;:&quot;Ahmed A.&quot;,&quot;parse-names&quot;:false,&quot;dropping-particle&quot;:&quot;&quot;,&quot;non-dropping-particle&quot;:&quot;&quot;},{&quot;family&quot;:&quot;Ntim&quot;,&quot;given&quot;:&quot;Collins G.&quot;,&quot;parse-names&quot;:false,&quot;dropping-particle&quot;:&quot;&quot;,&quot;non-dropping-particle&quot;:&quot;&quot;},{&quot;family&quot;:&quot;Abdou&quot;,&quot;given&quot;:&quot;Hussein A.&quot;,&quot;parse-names&quot;:false,&quot;dropping-particle&quot;:&quot;&quot;,&quot;non-dropping-particle&quot;:&quot;&quot;}],&quot;container-title&quot;:&quot;Business and Society&quot;,&quot;DOI&quot;:&quot;10.1177/0007650317746108&quot;,&quot;ISSN&quot;:&quot;15524205&quot;,&quot;issued&quot;:{&quot;date-parts&quot;:[[2020,5,1]]},&quot;page&quot;:&quot;914-955&quot;,&quot;abstract&quot;:&quot;We examine the relationships among religious governance, especially Islamic governance quality (IGQ), national governance quality (NGQ), and risk management and disclosure practices (RDPs), and consequently ascertain whether NGQ has a moderating influence on the IGQ–RDPs nexus. Using one of the largest data sets relating to Islamic banks from 10 Middle East and North Africa (MENA) countries from 2006 to 2013, our findings are threefold. First, we find that RDPs are higher in banks with higher IGQ. Second, we find that RDPs are higher in banks from countries with higher NGQ. Finally, we find that NGQ has a moderating effect on the IGQ–RDPs nexus. Our findings are robust to alternative RDP measures and estimation techniques. These results imply that the quality of disclosure depends on the nature of the macro-social-level factors, such as religion that have remained largely unexplored in business and society research, and, therefore, have important implications for policy makers.&quot;,&quot;publisher&quot;:&quot;SAGE Publications Ltd&quot;,&quot;issue&quot;:&quot;5&quot;,&quot;volume&quot;:&quot;59&quot;,&quot;container-title-short&quot;:&quot;Bus Soc&quot;},&quot;isTemporary&quot;:false},{&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ZjViOWZjYWItZThmNS00NzlmLTg3MTgtN2U0MzQ5Y2MyMjJkIiwicHJvcGVydGllcyI6eyJub3RlSW5kZXgiOjB9LCJpc0VkaXRlZCI6ZmFsc2UsIm1hbnVhbE92ZXJyaWRlIjp7ImlzTWFudWFsbHlPdmVycmlkZGVuIjpmYWxzZSwiY2l0ZXByb2NUZXh0IjoiKEVsYW1lciA8aT5ldCBhbC48L2k+LCAyMDIwOyBIZWxmYXlhIDxpPmV0IGFsLjwvaT4sIDIwMjU7I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quot;},{&quot;citationID&quot;:&quot;MENDELEY_CITATION_cc3872f2-ac60-468a-8d4f-9b328301624e&quot;,&quot;properties&quot;:{&quot;noteIndex&quot;:0},&quot;isEdited&quot;:false,&quot;manualOverride&quot;:{&quot;isManuallyOverridden&quot;:false,&quot;citeprocText&quot;:&quot;(Daniel &lt;i&gt;et al.&lt;/i&gt;, 2012; Elamer &lt;i&gt;et al.&lt;/i&gt;, 2020; 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ceb0c47f-67d3-3705-aad1-e2a7542378f4&quot;,&quot;itemData&quot;:{&quot;type&quot;:&quot;article-journal&quot;,&quot;id&quot;:&quot;ceb0c47f-67d3-3705-aad1-e2a7542378f4&quot;,&quot;title&quot;:&quot;The Impact of National Economic Culture and Country-Level Institutional Environment on Corporate Governance Practices: Theory and Empirical Evidence&quot;,&quot;author&quot;:[{&quot;family&quot;:&quot;Daniel&quot;,&quot;given&quot;:&quot;Shirley J.&quot;,&quot;parse-names&quot;:false,&quot;dropping-particle&quot;:&quot;&quot;,&quot;non-dropping-particle&quot;:&quot;&quot;},{&quot;family&quot;:&quot;Cieslewicz&quot;,&quot;given&quot;:&quot;Joshua K.&quot;,&quot;parse-names&quot;:false,&quot;dropping-particle&quot;:&quot;&quot;,&quot;non-dropping-particle&quot;:&quot;&quot;},{&quot;family&quot;:&quot;Pourjalali&quot;,&quot;given&quot;:&quot;Hamid&quot;,&quot;parse-names&quot;:false,&quot;dropping-particle&quot;:&quot;&quot;,&quot;non-dropping-particle&quot;:&quot;&quot;}],&quot;container-title&quot;:&quot;Management International Review&quot;,&quot;DOI&quot;:&quot;10.1007/s11575-011-0108-x&quot;,&quot;ISSN&quot;:&quot;09388249&quot;,&quot;issued&quot;:{&quot;date-parts&quot;:[[2012,6]]},&quot;page&quot;:&quot;365-394&quot;,&quot;abstract&quot;:&quot;We posit that national cultural practices influence the institutional environment, which in turn has an influence on corporate governance practices. We empirically evaluate these relationships using structural equation modeling. We utilize measures of national culture from Culture, Leadership, and Organizations: The Globe study of 62 Societies. For the institutional environment, we employ the World Bank Worldwide Governance Indicators. Consistent with theory, we find a strong relationship between these constructs. We further find that the institutional environment mediates the relationship between national culture and corporate governance practices. Corporate governance practices include measures of board accountability, financial disclosure and internal controls, shareholder rights, executive compensation, takeover defenses and ownership base, and corporate accountability and are available from Governance Metrics International. As both culture and institutions are linked to corporate governance practices, efforts to change corporate governance practices around the world are best informed by an appreciation of cultural as well as institutional factors. © 2011 Gabler Verlag.&quot;,&quot;issue&quot;:&quot;3&quot;,&quot;volume&quot;:&quot;52&quot;,&quot;container-title-short&quot;:&quot;&quot;},&quot;isTemporary&quot;:false},{&quot;id&quot;:&quot;4b8c4cf9-6b55-31a1-88a4-68716459e483&quot;,&quot;itemData&quot;:{&quot;type&quot;:&quot;article-journal&quot;,&quot;id&quot;:&quot;4b8c4cf9-6b55-31a1-88a4-68716459e483&quot;,&quot;title&quot;:&quot;Islamic Governance, National Governance, and Bank Risk Management and Disclosure in MENA Countries&quot;,&quot;author&quot;:[{&quot;family&quot;:&quot;Elamer&quot;,&quot;given&quot;:&quot;Ahmed A.&quot;,&quot;parse-names&quot;:false,&quot;dropping-particle&quot;:&quot;&quot;,&quot;non-dropping-particle&quot;:&quot;&quot;},{&quot;family&quot;:&quot;Ntim&quot;,&quot;given&quot;:&quot;Collins G.&quot;,&quot;parse-names&quot;:false,&quot;dropping-particle&quot;:&quot;&quot;,&quot;non-dropping-particle&quot;:&quot;&quot;},{&quot;family&quot;:&quot;Abdou&quot;,&quot;given&quot;:&quot;Hussein A.&quot;,&quot;parse-names&quot;:false,&quot;dropping-particle&quot;:&quot;&quot;,&quot;non-dropping-particle&quot;:&quot;&quot;}],&quot;container-title&quot;:&quot;Business and Society&quot;,&quot;DOI&quot;:&quot;10.1177/0007650317746108&quot;,&quot;ISSN&quot;:&quot;15524205&quot;,&quot;issued&quot;:{&quot;date-parts&quot;:[[2020,5,1]]},&quot;page&quot;:&quot;914-955&quot;,&quot;abstract&quot;:&quot;We examine the relationships among religious governance, especially Islamic governance quality (IGQ), national governance quality (NGQ), and risk management and disclosure practices (RDPs), and consequently ascertain whether NGQ has a moderating influence on the IGQ–RDPs nexus. Using one of the largest data sets relating to Islamic banks from 10 Middle East and North Africa (MENA) countries from 2006 to 2013, our findings are threefold. First, we find that RDPs are higher in banks with higher IGQ. Second, we find that RDPs are higher in banks from countries with higher NGQ. Finally, we find that NGQ has a moderating effect on the IGQ–RDPs nexus. Our findings are robust to alternative RDP measures and estimation techniques. These results imply that the quality of disclosure depends on the nature of the macro-social-level factors, such as religion that have remained largely unexplored in business and society research, and, therefore, have important implications for policy makers.&quot;,&quot;publisher&quot;:&quot;SAGE Publications Ltd&quot;,&quot;issue&quot;:&quot;5&quot;,&quot;volume&quot;:&quot;59&quot;,&quot;container-title-short&quot;:&quot;Bus Soc&quot;},&quot;isTemporary&quot;:false}],&quot;citationTag&quot;:&quot;MENDELEY_CITATION_v3_eyJjaXRhdGlvbklEIjoiTUVOREVMRVlfQ0lUQVRJT05fY2MzODcyZjItYWM2MC00NjhhLThkNGYtOWIzMjgzMDE2MjRlIiwicHJvcGVydGllcyI6eyJub3RlSW5kZXgiOjB9LCJpc0VkaXRlZCI6ZmFsc2UsIm1hbnVhbE92ZXJyaWRlIjp7ImlzTWFudWFsbHlPdmVycmlkZGVuIjpmYWxzZSwiY2l0ZXByb2NUZXh0IjoiKERhbmllbCA8aT5ldCBhbC48L2k+LCAyMDEyOyBFbGFtZXIgPGk+ZXQgYWwuPC9pPiwgMjAyMDsgTW91c3NhIDxpPmV0IGFsLjwvaT4sIDIwMjIpIiwibWFudWFsT3ZlcnJpZGVUZXh0Ijoi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&quot;},{&quot;citationID&quot;:&quot;MENDELEY_CITATION_99f83bb7-5763-4ad0-82a7-ff24dae1413d&quot;,&quot;properties&quot;:{&quot;noteIndex&quot;:0},&quot;isEdited&quot;:false,&quot;manualOverride&quot;:{&quot;isManuallyOverridden&quot;:true,&quot;citeprocText&quot;:&quot;(Helfaya &lt;i&gt;et al.&lt;/i&gt;, 2025)&quot;,&quot;manualOverrideText&quot;:&quot;Helfaya et al. (2025)&quot;},&quot;citationItems&quot;:[{&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OTlmODNiYjctNTc2My00YWQwLTgyYTctZmYyNGRhZTE0MTNkIiwicHJvcGVydGllcyI6eyJub3RlSW5kZXgiOjB9LCJpc0VkaXRlZCI6ZmFsc2UsIm1hbnVhbE92ZXJyaWRlIjp7ImlzTWFudWFsbHlPdmVycmlkZGVuIjp0cnVlLCJjaXRlcHJvY1RleHQiOiIoSGVsZmF5YSA8aT5ldCBhbC48L2k+LCAyMDI1KSIsIm1hbnVhbE92ZXJyaWRlVGV4dCI6IkhlbGZheWEgZXQgYWwuICgyMDI1KSJ9LCJjaXRhdGlvbkl0ZW1zIjpb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quot;},{&quot;citationID&quot;:&quot;MENDELEY_CITATION_ff8cd80d-d519-434c-9753-80ba11d7f29a&quot;,&quot;properties&quot;:{&quot;noteIndex&quot;:0},&quot;isEdited&quot;:false,&quot;manualOverride&quot;:{&quot;isManuallyOverridden&quot;:true,&quot;citeprocText&quot;:&quot;(Elamer &lt;i&gt;et al.&lt;/i&gt;, 2020; Helfaya &lt;i&gt;et al.&lt;/i&gt;, 2025; Moussa &lt;i&gt;et al.&lt;/i&gt;, 2022)&quot;,&quot;manualOverrideText&quot;:&quot;(Elamer et al., 2020; Moussa et al., 2022; Helfaya et al., 2025)&quot;},&quot;citationItems&quot;:[{&quot;id&quot;:&quot;4b8c4cf9-6b55-31a1-88a4-68716459e483&quot;,&quot;itemData&quot;:{&quot;type&quot;:&quot;article-journal&quot;,&quot;id&quot;:&quot;4b8c4cf9-6b55-31a1-88a4-68716459e483&quot;,&quot;title&quot;:&quot;Islamic Governance, National Governance, and Bank Risk Management and Disclosure in MENA Countries&quot;,&quot;author&quot;:[{&quot;family&quot;:&quot;Elamer&quot;,&quot;given&quot;:&quot;Ahmed A.&quot;,&quot;parse-names&quot;:false,&quot;dropping-particle&quot;:&quot;&quot;,&quot;non-dropping-particle&quot;:&quot;&quot;},{&quot;family&quot;:&quot;Ntim&quot;,&quot;given&quot;:&quot;Collins G.&quot;,&quot;parse-names&quot;:false,&quot;dropping-particle&quot;:&quot;&quot;,&quot;non-dropping-particle&quot;:&quot;&quot;},{&quot;family&quot;:&quot;Abdou&quot;,&quot;given&quot;:&quot;Hussein A.&quot;,&quot;parse-names&quot;:false,&quot;dropping-particle&quot;:&quot;&quot;,&quot;non-dropping-particle&quot;:&quot;&quot;}],&quot;container-title&quot;:&quot;Business and Society&quot;,&quot;DOI&quot;:&quot;10.1177/0007650317746108&quot;,&quot;ISSN&quot;:&quot;15524205&quot;,&quot;issued&quot;:{&quot;date-parts&quot;:[[2020,5,1]]},&quot;page&quot;:&quot;914-955&quot;,&quot;abstract&quot;:&quot;We examine the relationships among religious governance, especially Islamic governance quality (IGQ), national governance quality (NGQ), and risk management and disclosure practices (RDPs), and consequently ascertain whether NGQ has a moderating influence on the IGQ–RDPs nexus. Using one of the largest data sets relating to Islamic banks from 10 Middle East and North Africa (MENA) countries from 2006 to 2013, our findings are threefold. First, we find that RDPs are higher in banks with higher IGQ. Second, we find that RDPs are higher in banks from countries with higher NGQ. Finally, we find that NGQ has a moderating effect on the IGQ–RDPs nexus. Our findings are robust to alternative RDP measures and estimation techniques. These results imply that the quality of disclosure depends on the nature of the macro-social-level factors, such as religion that have remained largely unexplored in business and society research, and, therefore, have important implications for policy makers.&quot;,&quot;publisher&quot;:&quot;SAGE Publications Ltd&quot;,&quot;issue&quot;:&quot;5&quot;,&quot;volume&quot;:&quot;59&quot;,&quot;container-title-short&quot;:&quot;Bus Soc&quot;},&quot;isTemporary&quot;:false},{&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LCJjb250YWluZXItdGl0bGUtc2hvcnQiOiJCdXMgU29jIn0sImlzVGVtcG9yYXJ5IjpmYWxzZX0s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LH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quot;},{&quot;citationID&quot;:&quot;MENDELEY_CITATION_216eed9f-bf6c-437d-af9a-2fb2dffffb50&quot;,&quot;properties&quot;:{&quot;noteIndex&quot;:0},&quot;isEdited&quot;:false,&quot;manualOverride&quot;:{&quot;isManuallyOverridden&quot;:true,&quot;citeprocText&quot;:&quot;(Helfaya &lt;i&gt;et al.&lt;/i&gt;, 2025; Moussa &lt;i&gt;et al.&lt;/i&gt;, 2022)&quot;,&quot;manualOverrideText&quot;:&quot;(Moussa et al., 2022; Helfaya et al., 2025)&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quot;},{&quot;citationID&quot;:&quot;MENDELEY_CITATION_728ccd18-9ffe-4592-aabc-9eeaa7e3db06&quot;,&quot;properties&quot;:{&quot;noteIndex&quot;:0},&quot;isEdited&quot;:false,&quot;manualOverride&quot;:{&quot;isManuallyOverridden&quot;:false,&quot;citeprocText&quot;:&quot;(Moussa &lt;i&gt;et al.&lt;/i&gt;, 2022)&quot;,&quot;manualOverrideText&quot;:&quot;&quot;},&quot;citationItems&quot;:[{&quot;id&quot;:&quot;b2b3c461-11aa-3bea-b9f1-57bb263a26d0&quot;,&quot;itemData&quot;:{&quot;type&quot;:&quot;article-journal&quot;,&quot;id&quot;:&quot;b2b3c461-11aa-3bea-b9f1-57bb263a26d0&quot;,&quot;title&quot;:&quot;Global modern slavery and sustainable development goals: Does institutional environment quality matter?&quot;,&quot;author&quot;:[{&quot;family&quot;:&quot;Moussa&quot;,&quot;given&quot;:&quot;Tantawy&quot;,&quot;parse-names&quot;:false,&quot;dropping-particle&quot;:&quot;&quot;,&quot;non-dropping-particle&quot;:&quot;&quot;},{&quot;family&quot;:&quot;Allam&quot;,&quot;given&quot;:&quot;Amir&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issued&quot;:{&quot;date-parts&quot;:[[2022]]},&quot;page&quot;:&quot;1-15&quot;,&quot;abstract&quot;:&quot;Modern slavery is a persistent human tragedy and a growing organisational risk. The United Nations' sustainable development goals highlight the significance of governments in shaping firms' sustainability agenda and combating modern slavery. However, little is known about the effects of the institutional environment on modern slavery risk. This study, therefore, investigates the crucial policy question of whether the quality of the institutional environment has any effect on modern slavery and whether sustainable human development reinforces this relationship. Using data from 167 countries, we find that institutional environment quality is negatively associated with the prevalence of and vulnerability to modern slavery and positively associated with its modern slavery risk mitigation. Our results suggest that democratically elected governments operating in politically stable societies with higher quality of voice and accountability, higher levels of control of corruption, and stricter rule of law are more accountable and responsive to modern slavery risks. We also find that sustainable human development (HDI) has a moderating effect on the relationship between institutional environment quality and modern slavery, and this effect is mainly noticeable in low HDI countries. These results imply that governance reforms alone might not yield the desired effects for all countries and, hence, have significant implications for policymakers, companies, and societal stakeholders.&quot;,&quot;publisher&quot;:&quot;John Wiley and Sons Ltd&quot;,&quot;issue&quot;:&quot;5&quot;,&quot;volume&quot;:&quot;31&quot;},&quot;isTemporary&quot;:false}],&quot;citationTag&quot;:&quot;MENDELEY_CITATION_v3_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&quot;},{&quot;citationID&quot;:&quot;MENDELEY_CITATION_d04aa5d2-4828-4e2c-9178-4a657fd32f8b&quot;,&quot;properties&quot;:{&quot;noteIndex&quot;:0},&quot;isEdited&quot;:false,&quot;manualOverride&quot;:{&quot;isManuallyOverridden&quot;:true,&quot;citeprocText&quot;:&quot;(Daniel &lt;i&gt;et al.&lt;/i&gt;, 2012; Elamer &lt;i&gt;et al.&lt;/i&gt;, 2020)&quot;,&quot;manualOverrideText&quot;:&quot;Daniel et al (2012) and Elamer et al (2020)&quot;},&quot;citationItems&quot;:[{&quot;id&quot;:&quot;ceb0c47f-67d3-3705-aad1-e2a7542378f4&quot;,&quot;itemData&quot;:{&quot;type&quot;:&quot;article-journal&quot;,&quot;id&quot;:&quot;ceb0c47f-67d3-3705-aad1-e2a7542378f4&quot;,&quot;title&quot;:&quot;The Impact of National Economic Culture and Country-Level Institutional Environment on Corporate Governance Practices: Theory and Empirical Evidence&quot;,&quot;author&quot;:[{&quot;family&quot;:&quot;Daniel&quot;,&quot;given&quot;:&quot;Shirley J.&quot;,&quot;parse-names&quot;:false,&quot;dropping-particle&quot;:&quot;&quot;,&quot;non-dropping-particle&quot;:&quot;&quot;},{&quot;family&quot;:&quot;Cieslewicz&quot;,&quot;given&quot;:&quot;Joshua K.&quot;,&quot;parse-names&quot;:false,&quot;dropping-particle&quot;:&quot;&quot;,&quot;non-dropping-particle&quot;:&quot;&quot;},{&quot;family&quot;:&quot;Pourjalali&quot;,&quot;given&quot;:&quot;Hamid&quot;,&quot;parse-names&quot;:false,&quot;dropping-particle&quot;:&quot;&quot;,&quot;non-dropping-particle&quot;:&quot;&quot;}],&quot;container-title&quot;:&quot;Management International Review&quot;,&quot;DOI&quot;:&quot;10.1007/s11575-011-0108-x&quot;,&quot;ISSN&quot;:&quot;09388249&quot;,&quot;issued&quot;:{&quot;date-parts&quot;:[[2012,6]]},&quot;page&quot;:&quot;365-394&quot;,&quot;abstract&quot;:&quot;We posit that national cultural practices influence the institutional environment, which in turn has an influence on corporate governance practices. We empirically evaluate these relationships using structural equation modeling. We utilize measures of national culture from Culture, Leadership, and Organizations: The Globe study of 62 Societies. For the institutional environment, we employ the World Bank Worldwide Governance Indicators. Consistent with theory, we find a strong relationship between these constructs. We further find that the institutional environment mediates the relationship between national culture and corporate governance practices. Corporate governance practices include measures of board accountability, financial disclosure and internal controls, shareholder rights, executive compensation, takeover defenses and ownership base, and corporate accountability and are available from Governance Metrics International. As both culture and institutions are linked to corporate governance practices, efforts to change corporate governance practices around the world are best informed by an appreciation of cultural as well as institutional factors. © 2011 Gabler Verlag.&quot;,&quot;issue&quot;:&quot;3&quot;,&quot;volume&quot;:&quot;52&quot;,&quot;container-title-short&quot;:&quot;&quot;},&quot;isTemporary&quot;:false},{&quot;id&quot;:&quot;4b8c4cf9-6b55-31a1-88a4-68716459e483&quot;,&quot;itemData&quot;:{&quot;type&quot;:&quot;article-journal&quot;,&quot;id&quot;:&quot;4b8c4cf9-6b55-31a1-88a4-68716459e483&quot;,&quot;title&quot;:&quot;Islamic Governance, National Governance, and Bank Risk Management and Disclosure in MENA Countries&quot;,&quot;author&quot;:[{&quot;family&quot;:&quot;Elamer&quot;,&quot;given&quot;:&quot;Ahmed A.&quot;,&quot;parse-names&quot;:false,&quot;dropping-particle&quot;:&quot;&quot;,&quot;non-dropping-particle&quot;:&quot;&quot;},{&quot;family&quot;:&quot;Ntim&quot;,&quot;given&quot;:&quot;Collins G.&quot;,&quot;parse-names&quot;:false,&quot;dropping-particle&quot;:&quot;&quot;,&quot;non-dropping-particle&quot;:&quot;&quot;},{&quot;family&quot;:&quot;Abdou&quot;,&quot;given&quot;:&quot;Hussein A.&quot;,&quot;parse-names&quot;:false,&quot;dropping-particle&quot;:&quot;&quot;,&quot;non-dropping-particle&quot;:&quot;&quot;}],&quot;container-title&quot;:&quot;Business and Society&quot;,&quot;DOI&quot;:&quot;10.1177/0007650317746108&quot;,&quot;ISSN&quot;:&quot;15524205&quot;,&quot;issued&quot;:{&quot;date-parts&quot;:[[2020,5,1]]},&quot;page&quot;:&quot;914-955&quot;,&quot;abstract&quot;:&quot;We examine the relationships among religious governance, especially Islamic governance quality (IGQ), national governance quality (NGQ), and risk management and disclosure practices (RDPs), and consequently ascertain whether NGQ has a moderating influence on the IGQ–RDPs nexus. Using one of the largest data sets relating to Islamic banks from 10 Middle East and North Africa (MENA) countries from 2006 to 2013, our findings are threefold. First, we find that RDPs are higher in banks with higher IGQ. Second, we find that RDPs are higher in banks from countries with higher NGQ. Finally, we find that NGQ has a moderating effect on the IGQ–RDPs nexus. Our findings are robust to alternative RDP measures and estimation techniques. These results imply that the quality of disclosure depends on the nature of the macro-social-level factors, such as religion that have remained largely unexplored in business and society research, and, therefore, have important implications for policy makers.&quot;,&quot;publisher&quot;:&quot;SAGE Publications Ltd&quot;,&quot;issue&quot;:&quot;5&quot;,&quot;volume&quot;:&quot;59&quot;,&quot;container-title-short&quot;:&quot;Bus Soc&quot;},&quot;isTemporary&quot;:false}],&quot;citationTag&quot;:&quot;MENDELEY_CITATION_v3_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&quot;},{&quot;citationID&quot;:&quot;MENDELEY_CITATION_bcdd3331-0fd6-42bd-8db1-ea8e15a12f07&quot;,&quot;properties&quot;:{&quot;noteIndex&quot;:0},&quot;isEdited&quot;:false,&quot;manualOverride&quot;:{&quot;isManuallyOverridden&quot;:false,&quot;citeprocText&quot;:&quot;(Helfaya &lt;i&gt;et al.&lt;/i&gt;, 2025)&quot;,&quot;manualOverrideText&quot;:&quot;&quot;},&quot;citationItems&quot;:[{&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&quot;},{&quot;citationID&quot;:&quot;MENDELEY_CITATION_1dcab5d1-9c5b-4b73-8665-9536bf37e1ca&quot;,&quot;properties&quot;:{&quot;noteIndex&quot;:0},&quot;isEdited&quot;:false,&quot;manualOverride&quot;:{&quot;isManuallyOverridden&quot;:false,&quot;citeprocText&quot;:&quot;(UNDP, 2020)&quot;,&quot;manualOverrideText&quot;:&quot;&quot;},&quot;citationItems&quot;:[{&quot;id&quot;:&quot;aa270c57-1fd6-322f-b0c5-07d187c0264b&quot;,&quot;itemData&quot;:{&quot;type&quot;:&quot;article-journal&quot;,&quot;id&quot;:&quot;aa270c57-1fd6-322f-b0c5-07d187c0264b&quot;,&quot;title&quot;:&quot;The next frontier Human development and the Anthropocene Human Development Report 2020&quot;,&quot;author&quot;:[{&quot;family&quot;:&quot;UNDP&quot;,&quot;given&quot;:&quot;&quot;,&quot;parse-names&quot;:false,&quot;dropping-particle&quot;:&quot;&quot;,&quot;non-dropping-particle&quot;:&quot;&quot;}],&quot;accessed&quot;:{&quot;date-parts&quot;:[[2023,5,13]]},&quot;ISBN&quot;:&quot;9789211264425&quot;,&quot;URL&quot;:&quot;http://hdr.undp.org.&quot;,&quot;issued&quot;:{&quot;date-parts&quot;:[[2020]]},&quot;page&quot;:&quot;1-412&quot;,&quot;container-title-short&quot;:&quot;&quot;},&quot;isTemporary&quot;:false}],&quot;citationTag&quot;:&quot;MENDELEY_CITATION_v3_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&quot;},{&quot;citationID&quot;:&quot;MENDELEY_CITATION_c95c6b48-47ef-4f6c-9a9b-44835dcf19ad&quot;,&quot;properties&quot;:{&quot;noteIndex&quot;:0},&quot;isEdited&quot;:false,&quot;manualOverride&quot;:{&quot;isManuallyOverridden&quot;:true,&quot;citeprocText&quot;:&quot;(Helfaya &lt;i&gt;et al.&lt;/i&gt;, 2025)&quot;,&quot;manualOverrideText&quot;:&quot;Helfaya et al., 2025)&quot;},&quot;citationItems&quot;:[{&quot;id&quot;:&quot;83194e55-9a01-3253-bb0c-b72318801f6f&quot;,&quot;itemData&quot;:{&quot;type&quot;:&quot;article-journal&quot;,&quot;id&quot;:&quot;83194e55-9a01-3253-bb0c-b72318801f6f&quot;,&quot;title&quot;:&quot;Fostering human development: do institutional environment quality and overall UN-SDGs attainment matter?&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Geyi&quot;,&quot;parse-names&quot;:false,&quot;dropping-particle&quot;:&quot;&quot;,&quot;non-dropping-particle&quot;:&quot;&quot;}],&quot;container-title&quot;:&quot;Sustainability Accounting, Management and Policy Journal&quot;,&quot;DOI&quot;:&quot;10.1108/SAMPJ-09-2024-0960&quot;,&quot;ISSN&quot;:&quot;2040-8021&quot;,&quot;issued&quot;:{&quot;date-parts&quot;:[[2025,10,1]]},&quot;container-title-short&quot;:&quot;&quot;},&quot;isTemporary&quot;:false}],&quot;citationTag&quot;:&quot;MENDELEY_CITATION_v3_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&quot;},{&quot;citationID&quot;:&quot;MENDELEY_CITATION_c48c4c4f-9a8f-4d25-b5c7-7cab42461780&quot;,&quot;properties&quot;:{&quot;noteIndex&quot;:0},&quot;isEdited&quot;:false,&quot;manualOverride&quot;:{&quot;isManuallyOverridden&quot;:false,&quot;citeprocText&quot;:&quot;(Crane &lt;i&gt;et al.&lt;/i&gt;, 2019; Pesterfield and Rogerson, 2024; Rogerson and Parry, 2020)&quot;,&quot;manualOverrideText&quot;:&quot;&quot;},&quot;citationItems&quot;:[{&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id&quot;:&quot;0318c5d3-ca9f-3a55-9e75-e4153721fd82&quot;,&quot;itemData&quot;:{&quot;type&quot;:&quot;article-journal&quot;,&quot;id&quot;:&quot;0318c5d3-ca9f-3a55-9e75-e4153721fd82&quot;,&quot;title&quot;:&quot;Blockchain: case studies in food supply chain visibility&quot;,&quot;author&quot;:[{&quot;family&quot;:&quot;Rogerson&quot;,&quot;given&quot;:&quot;Michael&quot;,&quot;parse-names&quot;:false,&quot;dropping-particle&quot;:&quot;&quot;,&quot;non-dropping-particle&quot;:&quot;&quot;},{&quot;family&quot;:&quot;Parry&quot;,&quot;given&quot;:&quot;Glenn C.&quot;,&quot;parse-names&quot;:false,&quot;dropping-particle&quot;:&quot;&quot;,&quot;non-dropping-particle&quot;:&quot;&quot;}],&quot;container-title&quot;:&quot;Supply Chain Management: An International Journal&quot;,&quot;DOI&quot;:&quot;10.1108/SCM-08-2019-0300&quot;,&quot;ISSN&quot;:&quot;13598546&quot;,&quot;issued&quot;:{&quot;date-parts&quot;:[[2020,6,16]]},&quot;page&quot;:&quot;601-614&quot;,&quot;abstract&quot;:&quot;Purpose: This paper aims to investigate how blockchain has moved beyond cryptocurrencies and is being deployed to enhance visibility and trust in supply chains, their limitations and potential impact. Design/methodology/approach: Qualitative analysis are undertaken via case studies drawn from food companies using semi-structured interviews. Findings: Blockchain is demonstrated as an enabler of visibility in supply chains. Applications at scale are most likely for products where the end consumer is prepared to pay the premium currently required to fund the technology, e.g. baby food. Challenges remain in four areas: trust of the technology, human error and fraud at the boundaries, governance, consumer data access and willingness to pay. Research limitations/implications: The paper shows that blockchain can be utilised as part of a system generating visibility and trust in supply chains. Research directs academic attention to issues that remain to be addressed. The challenges pertaining to the technology itself we believe to be generalisable; those specific to the food industry may not hold elsewhere. Practical implications: From live case studies, we provide empirical evidence that blockchain provides visibility of exchanges and reliable data in fully digitised supply chains. This provides provenance and guards against counterfeit goods. However, firms will need to work to gain consumer buy-in for the technology following repeated past claims of trustworthiness. Originality/value: This paper provides primary evidence from blockchain use cases “in the wild”. The exploratory case studies examine application of blockchain for supply chain visibility.&quot;,&quot;publisher&quot;:&quot;Emerald Group Holdings Ltd.&quot;,&quot;issue&quot;:&quot;5&quot;,&quot;volume&quot;:&quot;25&quot;,&quot;container-title-short&quot;:&quot;&quot;},&quot;isTemporary&quot;:false},{&quot;id&quot;:&quot;98652407-819c-3ecc-8802-3200dece5106&quot;,&quot;itemData&quot;:{&quot;type&quot;:&quot;article-journal&quot;,&quot;id&quot;:&quot;98652407-819c-3ecc-8802-3200dece5106&quot;,&quot;title&quot;:&quot;Institutional Logics in the UK Construction Industry’s Response to Modern Slavery Risk: Complementarity and Conflict&quot;,&quot;author&quot;:[{&quot;family&quot;:&quot;Pesterfield&quot;,&quot;given&quot;:&quot;Christopher&quot;,&quot;parse-names&quot;:false,&quot;dropping-particle&quot;:&quot;&quot;,&quot;non-dropping-particle&quot;:&quot;&quot;},{&quot;family&quot;:&quot;Rogerson&quot;,&quot;given&quot;:&quot;Michael&quot;,&quot;parse-names&quot;:false,&quot;dropping-particle&quot;:&quot;&quot;,&quot;non-dropping-particle&quot;:&quot;&quot;}],&quot;container-title&quot;:&quot;Journal of Business Ethics&quot;,&quot;DOI&quot;:&quot;10.1007/s10551-023-05455-4&quot;,&quot;ISSN&quot;:&quot;15730697&quot;,&quot;issued&quot;:{&quot;date-parts&quot;:[[2024,4,1]]},&quot;page&quot;:&quot;59-75&quot;,&quot;abstract&quot;:&quot;There is a growing understanding that modern slavery is a phenomenon ‘hidden in plain sight’ in the home countries of multinational firms. Yet, business scholarship on modern slavery has so far focussed on product supply chains. To address this, we direct attention to the various institutional pressures on the UK construction industry, and managers of firms within it, around modern slavery risk for on-site labour. Based on a unique data set of 30 in-depth interviews with construction firm managers and directors, we identify two institutional logics as being integral to explaining how these companies have responded to the Modern Slavery Act: a market logic and a state logic. While the institutional logics literature largely assumes that institutional complexity will lead to a conciliation of multiple logics, we find both complementarity and continued conflict in the logics in our study. Though we identify conciliation between aspects of the market logic and the state logic, conflict remains as engagement with actions which could potentially address modern slavery is limited by the trade-offs between the two logics.&quot;,&quot;publisher&quot;:&quot;Springer Science and Business Media B.V.&quot;,&quot;issue&quot;:&quot;1&quot;,&quot;volume&quot;:&quot;191&quot;,&quot;container-title-short&quot;:&quot;&quot;},&quot;isTemporary&quot;:false}],&quot;citationTag&quot;:&quot;MENDELEY_CITATION_v3_eyJjaXRhdGlvbklEIjoiTUVOREVMRVlfQ0lUQVRJT05fYzQ4YzRjNGYtOWE4Zi00ZDI1LWI1YzctN2NhYjQyNDYxNzgwIiwicHJvcGVydGllcyI6eyJub3RlSW5kZXgiOjB9LCJpc0VkaXRlZCI6ZmFsc2UsIm1hbnVhbE92ZXJyaWRlIjp7ImlzTWFudWFsbHlPdmVycmlkZGVuIjpmYWxzZSwiY2l0ZXByb2NUZXh0IjoiKENyYW5lIDxpPmV0IGFsLjwvaT4sIDIwMTk7IFBlc3RlcmZpZWxkIGFuZCBSb2dlcnNvbiwgMjAyNDsgUm9nZXJzb24gYW5kIFBhcnJ5LCAyMDIwKSIsIm1hbnVhbE92ZXJyaWRlVGV4dCI6IiJ9LCJjaXRhdGlvbkl0ZW1zIjpb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&quot;},{&quot;citationID&quot;:&quot;MENDELEY_CITATION_e39f7e04-cb4d-43cd-a2e0-ef6cffbd90fc&quot;,&quot;properties&quot;:{&quot;noteIndex&quot;:0},&quot;isEdited&quot;:false,&quot;manualOverride&quot;:{&quot;isManuallyOverridden&quot;:false,&quot;citeprocText&quot;:&quot;(Helfaya &lt;i&gt;et al.&lt;/i&gt;, 2024)&quot;,&quot;manualOverrideText&quot;:&quot;&quot;},&quot;citationItems&quot;:[{&quot;id&quot;:&quot;4f2ff78d-280b-3ef4-a01b-742b825beb4c&quot;,&quot;itemData&quot;:{&quot;type&quot;:&quot;article-journal&quot;,&quot;id&quot;:&quot;4f2ff78d-280b-3ef4-a01b-742b825beb4c&quot;,&quot;title&quot;:&quot;Greening the Workplace: Exploring the Influence of Corporate Sustainability Governance on Corporate Labour Rights in the Case of Indian Listed Companies for the Period of 2010 to 2021&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Shirley&quot;,&quot;parse-names&quot;:false,&quot;dropping-particle&quot;:&quot;&quot;,&quot;non-dropping-particle&quot;:&quot;&quot;}],&quot;container-title&quot;:&quot;Sustainability&quot;,&quot;container-title-short&quot;:&quot;Sustainability&quot;,&quot;DOI&quot;:&quot;10.3390/su16104004&quot;,&quot;ISSN&quot;:&quot;2071-1050&quot;,&quot;issued&quot;:{&quot;date-parts&quot;:[[2024,5,10]]},&quot;page&quot;:&quot;4004&quot;,&quot;abstract&quot;:&quot;&lt;p&gt;Amidst today’s globalized economy, embedding sustainable practices into corporate governance frameworks has become important. This era underscores a heightened focus on CSR and sustainability, drawing considerable scholarly and practical interest to the nexus of corporate governance, sustainability initiatives, and corporate labour rights (CLRs). Hence, this study investigates the relationship between corporate sustainability governance initiatives (CSGIs) and CLR practices in India. Despite regulatory efforts, issues such as modern slavery and low wages persist in the country. Drawing on legitimacy, agency, stakeholder, and resource dependency theories, this study examines how CSGIs influence CLR practices. Data from 1212 observations of top Indian listed companies between 2010 and 2021 indicate positive correlations between CSGI dimensions and CLR practices across industries and board CSR orientations. This research underscores the importance of CSGIs in promoting sustainable corporate practices and improving CLRs in emerging economies. It also aligns with the United Nations sustainable development goals (SDGs), particularly SDG 3, SDG 5, SDG 8, and SDG 10. By combining theoretical rigour with practical relevance, this study provides insights for businesses, policymakers, workers, investors, and CSR scholars, contributing to efforts to enhance CLRs in India and beyond. For instance, the study offers actionable guidance for businesses and policymakers aiming to improve CLR practices. It highlights the positive correlation between specific attributes of CSGIs and CLR practices, providing insights for corporate decision-making and emphasizing the importance of aligning operations with the UN’s sustainable development goals. The findings serve as critical decision-making tools for investors concerned with corporate sustainability governance and CLRs to identify ethically responsible companies and mitigate investment risks.&lt;/p&gt;&quot;,&quot;issue&quot;:&quot;10&quot;,&quot;volume&quot;:&quot;16&quot;},&quot;isTemporary&quot;:false}],&quot;citationTag&quot;:&quot;MENDELEY_CITATION_v3_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U2hpcmxleSIsInBhcnNlLW5hbWVzIjpmYWxzZSwiZHJvcHBpbmctcGFydGljbGUiOiIiLCJub24tZHJvcHBpbmctcGFydGljbGUiOiIifV0sImNvbnRhaW5lci10aXRsZSI6IlN1c3RhaW5hYmlsaXR5IiwiY29udGFpbmVyLXRpdGxlLXNob3J0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n0sImlzVGVtcG9yYXJ5IjpmYWxzZX1dfQ==&quot;},{&quot;citationID&quot;:&quot;MENDELEY_CITATION_6885c8d3-e7b3-4244-af01-c2c53427a139&quot;,&quot;properties&quot;:{&quot;noteIndex&quot;:0},&quot;isEdited&quot;:false,&quot;manualOverride&quot;:{&quot;isManuallyOverridden&quot;:false,&quot;citeprocText&quot;:&quot;(Helfaya &lt;i&gt;et al.&lt;/i&gt;, 2024)&quot;,&quot;manualOverrideText&quot;:&quot;&quot;},&quot;citationItems&quot;:[{&quot;id&quot;:&quot;4f2ff78d-280b-3ef4-a01b-742b825beb4c&quot;,&quot;itemData&quot;:{&quot;type&quot;:&quot;article-journal&quot;,&quot;id&quot;:&quot;4f2ff78d-280b-3ef4-a01b-742b825beb4c&quot;,&quot;title&quot;:&quot;Greening the Workplace: Exploring the Influence of Corporate Sustainability Governance on Corporate Labour Rights in the Case of Indian Listed Companies for the Period of 2010 to 2021&quot;,&quot;author&quot;:[{&quot;family&quot;:&quot;Helfaya&quot;,&quot;given&quot;:&quot;Akrum&quot;,&quot;parse-names&quot;:false,&quot;dropping-particle&quot;:&quot;&quot;,&quot;non-dropping-particle&quot;:&quot;&quot;},{&quot;family&quot;:&quot;Muthuthantrige&quot;,&quot;given&quot;:&quot;Nadeesha&quot;,&quot;parse-names&quot;:false,&quot;dropping-particle&quot;:&quot;&quot;,&quot;non-dropping-particle&quot;:&quot;&quot;},{&quot;family&quot;:&quot;Xu&quot;,&quot;given&quot;:&quot;Shirley&quot;,&quot;parse-names&quot;:false,&quot;dropping-particle&quot;:&quot;&quot;,&quot;non-dropping-particle&quot;:&quot;&quot;}],&quot;container-title&quot;:&quot;Sustainability&quot;,&quot;container-title-short&quot;:&quot;Sustainability&quot;,&quot;DOI&quot;:&quot;10.3390/su16104004&quot;,&quot;ISSN&quot;:&quot;2071-1050&quot;,&quot;issued&quot;:{&quot;date-parts&quot;:[[2024,5,10]]},&quot;page&quot;:&quot;4004&quot;,&quot;abstract&quot;:&quot;&lt;p&gt;Amidst today’s globalized economy, embedding sustainable practices into corporate governance frameworks has become important. This era underscores a heightened focus on CSR and sustainability, drawing considerable scholarly and practical interest to the nexus of corporate governance, sustainability initiatives, and corporate labour rights (CLRs). Hence, this study investigates the relationship between corporate sustainability governance initiatives (CSGIs) and CLR practices in India. Despite regulatory efforts, issues such as modern slavery and low wages persist in the country. Drawing on legitimacy, agency, stakeholder, and resource dependency theories, this study examines how CSGIs influence CLR practices. Data from 1212 observations of top Indian listed companies between 2010 and 2021 indicate positive correlations between CSGI dimensions and CLR practices across industries and board CSR orientations. This research underscores the importance of CSGIs in promoting sustainable corporate practices and improving CLRs in emerging economies. It also aligns with the United Nations sustainable development goals (SDGs), particularly SDG 3, SDG 5, SDG 8, and SDG 10. By combining theoretical rigour with practical relevance, this study provides insights for businesses, policymakers, workers, investors, and CSR scholars, contributing to efforts to enhance CLRs in India and beyond. For instance, the study offers actionable guidance for businesses and policymakers aiming to improve CLR practices. It highlights the positive correlation between specific attributes of CSGIs and CLR practices, providing insights for corporate decision-making and emphasizing the importance of aligning operations with the UN’s sustainable development goals. The findings serve as critical decision-making tools for investors concerned with corporate sustainability governance and CLRs to identify ethically responsible companies and mitigate investment risks.&lt;/p&gt;&quot;,&quot;issue&quot;:&quot;10&quot;,&quot;volume&quot;:&quot;16&quot;},&quot;isTemporary&quot;:false}],&quot;citationTag&quot;:&quot;MENDELEY_CITATION_v3_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&quot;},{&quot;citationID&quot;:&quot;MENDELEY_CITATION_41527500-6822-48c4-9700-f4d2cd254e9b&quot;,&quot;properties&quot;:{&quot;noteIndex&quot;:0},&quot;isEdited&quot;:false,&quot;manualOverride&quot;:{&quot;isManuallyOverridden&quot;:false,&quot;citeprocText&quot;:&quot;(Allam &lt;i&gt;et al.&lt;/i&gt;, 2024; Cousins &lt;i&gt;et al.&lt;/i&gt;, 2020)&quot;,&quot;manualOverrideText&quot;:&quot;&quot;},&quot;citationItems&quot;:[{&quot;id&quot;:&quot;2de4fa4d-f39d-3557-a984-028d685abebb&quot;,&quot;itemData&quot;:{&quot;type&quot;:&quot;article-journal&quot;,&quot;id&quot;:&quot;2de4fa4d-f39d-3557-a984-028d685abebb&quot;,&quot;title&quot;:&quot;Examining the relationship between CEO power and modern slavery disclosures: The moderating role of board gender diversity in UK companies&quot;,&quot;author&quot;:[{&quot;family&quot;:&quot;Allam&quot;,&quot;given&quot;:&quot;Amir&quot;,&quot;parse-names&quot;:false,&quot;dropping-particle&quot;:&quot;&quot;,&quot;non-dropping-particle&quot;:&quot;&quot;},{&quot;family&quot;:&quot;Moussa&quot;,&quot;given&quot;:&quot;Tantawy&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DOI&quot;:&quot;10.1002/bse.3910&quot;,&quot;ISSN&quot;:&quot;0964-4733&quot;,&quot;URL&quot;:&quot;https://onlinelibrary.wiley.com/doi/10.1002/bse.3910&quot;,&quot;issued&quot;:{&quot;date-parts&quot;:[[2024,8,11]]},&quot;abstract&quot;:&quot;&lt;p&gt;Drawing on agency and gender socialisation theories, this study examines the effect of Chief Executive Officer (CEO) power on corporate modern slavery disclosures (MSD) and investigates whether board gender diversity might influence this relationship. Based on a sample comprising the Financial Times Stock Exchange (FTSE) 100 companies from 2016 to 2020, the findings indicate that, although there has been progress in corporate transparency concerning modern slavery, a significant gap persists in the reporting on the measurement and monitoring of the effectiveness of their policies. This may stem from powerful CEOs' desires to maintain a positive corporate image, leading to minimal disclosure of potentially damaging information. The fixed effects panel regression analysis reveals a negative relationship between CEO power (CEOP) and the extent of modern slavery disclosures (MSD), with a significant moderating effect observed when female board representation is substantial. This evidence suggests that female board members may challenge groupthink and introduce diverse perspectives that can alter the board's dynamics, potentially mitigating the negative impact of CEOP on issues like modern slavery disclosure by encouraging more ethical and collective decision‐making. This research underscores the need for greater transparency and accountability in addressing modern slavery and promoting more responsible business practices.&lt;/p&gt;&quot;},&quot;isTemporary&quot;:false},{&quot;id&quot;:&quot;a50f8dea-1eb4-3fb2-a96d-6ff9a815b85d&quot;,&quot;itemData&quot;:{&quot;type&quot;:&quot;article-journal&quot;,&quot;id&quot;:&quot;a50f8dea-1eb4-3fb2-a96d-6ff9a815b85d&quot;,&quot;title&quot;:&quot;Shareholder Wealth Effects of Modern Slavery Regulation&quot;,&quot;author&quot;:[{&quot;family&quot;:&quot;Cousins&quot;,&quot;given&quot;:&quot;Paul&quot;,&quot;parse-names&quot;:false,&quot;dropping-particle&quot;:&quot;&quot;,&quot;non-dropping-particle&quot;:&quot;&quot;},{&quot;family&quot;:&quot;Dutordoir&quot;,&quot;given&quot;:&quot;Marie&quot;,&quot;parse-names&quot;:false,&quot;dropping-particle&quot;:&quot;&quot;,&quot;non-dropping-particle&quot;:&quot;&quot;},{&quot;family&quot;:&quot;Lawson&quot;,&quot;given&quot;:&quot;Benn&quot;,&quot;parse-names&quot;:false,&quot;dropping-particle&quot;:&quot;&quot;,&quot;non-dropping-particle&quot;:&quot;&quot;},{&quot;family&quot;:&quot;Neto&quot;,&quot;given&quot;:&quot;João Quariguasi Frota&quot;,&quot;parse-names&quot;:false,&quot;dropping-particle&quot;:&quot;&quot;,&quot;non-dropping-particle&quot;:&quot;&quot;}],&quot;container-title&quot;:&quot;Management Science&quot;,&quot;container-title-short&quot;:&quot;Manage Sci&quot;,&quot;DOI&quot;:&quot;10.1287/mnsc.2019.3456&quot;,&quot;ISSN&quot;:&quot;0025-1909&quot;,&quot;issued&quot;:{&quot;date-parts&quot;:[[2020,11]]},&quot;page&quot;:&quot;5265-5289&quot;,&quot;abstract&quot;:&quot;&lt;p&gt;We examine the shareholder wealth effects of the adoption of the UK Modern Slavery Act 2015 (MSA). The MSA’s Transparency in Supply Chains clause introduced new reporting requirements mandating certain firms to provide an annual statement outlining how they identify and mitigate modern slavery in their business and supply chain. An event study of stock price reactions of UK firms covered by the MSA to eight events associated with its adoption provides no evidence of abnormal stock returns. We do, however, uncover significant cross-sectional differences in stock price reactions, with results suggesting that the MSA provides a competitive advantage to firms with a demonstrated track record of addressing slavery risk. We find no effects for preregulatory corporate social responsibility disclosure levels on stock price reactions. Our findings highlight the economic value of maintaining socially responsible sourcing practices and inform the current policy debate on the importance of greater transparency in corporate supply chains.&lt;/p&gt;&quot;,&quot;issue&quot;:&quot;11&quot;,&quot;volume&quot;:&quot;66&quot;},&quot;isTemporary&quot;:false}],&quot;citationTag&quot;:&quot;MENDELEY_CITATION_v3_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&quot;},{&quot;citationID&quot;:&quot;MENDELEY_CITATION_65a03873-37ce-4ddf-8341-9eada90c0d30&quot;,&quot;properties&quot;:{&quot;noteIndex&quot;:0},&quot;isEdited&quot;:false,&quot;manualOverride&quot;:{&quot;isManuallyOverridden&quot;:true,&quot;citeprocText&quot;:&quot;(Allam &lt;i&gt;et al.&lt;/i&gt;, 2024; Cousins &lt;i&gt;et al.&lt;/i&gt;, 2020)&quot;,&quot;manualOverrideText&quot;:&quot;(Cousins et al., 2020; Allam et al., 2024)&quot;},&quot;citationItems&quot;:[{&quot;id&quot;:&quot;2de4fa4d-f39d-3557-a984-028d685abebb&quot;,&quot;itemData&quot;:{&quot;type&quot;:&quot;article-journal&quot;,&quot;id&quot;:&quot;2de4fa4d-f39d-3557-a984-028d685abebb&quot;,&quot;title&quot;:&quot;Examining the relationship between CEO power and modern slavery disclosures: The moderating role of board gender diversity in UK companies&quot;,&quot;author&quot;:[{&quot;family&quot;:&quot;Allam&quot;,&quot;given&quot;:&quot;Amir&quot;,&quot;parse-names&quot;:false,&quot;dropping-particle&quot;:&quot;&quot;,&quot;non-dropping-particle&quot;:&quot;&quot;},{&quot;family&quot;:&quot;Moussa&quot;,&quot;given&quot;:&quot;Tantawy&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DOI&quot;:&quot;10.1002/bse.3910&quot;,&quot;ISSN&quot;:&quot;0964-4733&quot;,&quot;URL&quot;:&quot;https://onlinelibrary.wiley.com/doi/10.1002/bse.3910&quot;,&quot;issued&quot;:{&quot;date-parts&quot;:[[2024,8,11]]},&quot;abstract&quot;:&quot;&lt;p&gt;Drawing on agency and gender socialisation theories, this study examines the effect of Chief Executive Officer (CEO) power on corporate modern slavery disclosures (MSD) and investigates whether board gender diversity might influence this relationship. Based on a sample comprising the Financial Times Stock Exchange (FTSE) 100 companies from 2016 to 2020, the findings indicate that, although there has been progress in corporate transparency concerning modern slavery, a significant gap persists in the reporting on the measurement and monitoring of the effectiveness of their policies. This may stem from powerful CEOs' desires to maintain a positive corporate image, leading to minimal disclosure of potentially damaging information. The fixed effects panel regression analysis reveals a negative relationship between CEO power (CEOP) and the extent of modern slavery disclosures (MSD), with a significant moderating effect observed when female board representation is substantial. This evidence suggests that female board members may challenge groupthink and introduce diverse perspectives that can alter the board's dynamics, potentially mitigating the negative impact of CEOP on issues like modern slavery disclosure by encouraging more ethical and collective decision‐making. This research underscores the need for greater transparency and accountability in addressing modern slavery and promoting more responsible business practices.&lt;/p&gt;&quot;},&quot;isTemporary&quot;:false},{&quot;id&quot;:&quot;a50f8dea-1eb4-3fb2-a96d-6ff9a815b85d&quot;,&quot;itemData&quot;:{&quot;type&quot;:&quot;article-journal&quot;,&quot;id&quot;:&quot;a50f8dea-1eb4-3fb2-a96d-6ff9a815b85d&quot;,&quot;title&quot;:&quot;Shareholder Wealth Effects of Modern Slavery Regulation&quot;,&quot;author&quot;:[{&quot;family&quot;:&quot;Cousins&quot;,&quot;given&quot;:&quot;Paul&quot;,&quot;parse-names&quot;:false,&quot;dropping-particle&quot;:&quot;&quot;,&quot;non-dropping-particle&quot;:&quot;&quot;},{&quot;family&quot;:&quot;Dutordoir&quot;,&quot;given&quot;:&quot;Marie&quot;,&quot;parse-names&quot;:false,&quot;dropping-particle&quot;:&quot;&quot;,&quot;non-dropping-particle&quot;:&quot;&quot;},{&quot;family&quot;:&quot;Lawson&quot;,&quot;given&quot;:&quot;Benn&quot;,&quot;parse-names&quot;:false,&quot;dropping-particle&quot;:&quot;&quot;,&quot;non-dropping-particle&quot;:&quot;&quot;},{&quot;family&quot;:&quot;Neto&quot;,&quot;given&quot;:&quot;João Quariguasi Frota&quot;,&quot;parse-names&quot;:false,&quot;dropping-particle&quot;:&quot;&quot;,&quot;non-dropping-particle&quot;:&quot;&quot;}],&quot;container-title&quot;:&quot;Management Science&quot;,&quot;container-title-short&quot;:&quot;Manage Sci&quot;,&quot;DOI&quot;:&quot;10.1287/mnsc.2019.3456&quot;,&quot;ISSN&quot;:&quot;0025-1909&quot;,&quot;issued&quot;:{&quot;date-parts&quot;:[[2020,11]]},&quot;page&quot;:&quot;5265-5289&quot;,&quot;abstract&quot;:&quot;&lt;p&gt;We examine the shareholder wealth effects of the adoption of the UK Modern Slavery Act 2015 (MSA). The MSA’s Transparency in Supply Chains clause introduced new reporting requirements mandating certain firms to provide an annual statement outlining how they identify and mitigate modern slavery in their business and supply chain. An event study of stock price reactions of UK firms covered by the MSA to eight events associated with its adoption provides no evidence of abnormal stock returns. We do, however, uncover significant cross-sectional differences in stock price reactions, with results suggesting that the MSA provides a competitive advantage to firms with a demonstrated track record of addressing slavery risk. We find no effects for preregulatory corporate social responsibility disclosure levels on stock price reactions. Our findings highlight the economic value of maintaining socially responsible sourcing practices and inform the current policy debate on the importance of greater transparency in corporate supply chains.&lt;/p&gt;&quot;,&quot;issue&quot;:&quot;11&quot;,&quot;volume&quot;:&quot;66&quot;},&quot;isTemporary&quot;:false}],&quot;citationTag&quot;:&quot;MENDELEY_CITATION_v3_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&quot;},{&quot;citationID&quot;:&quot;MENDELEY_CITATION_44a75151-af56-4bc7-bbcb-a40b57e3baf9&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DRhNzUxNTEtYWY1Ni00YmM3LWJiY2ItYTQwYjU3ZTNiYWY5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7ce13f2a-b7d5-4b65-abc2-0b8787c221cc&quot;,&quot;properties&quot;:{&quot;noteIndex&quot;:0},&quot;isEdited&quot;:false,&quot;manualOverride&quot;:{&quot;isManuallyOverridden&quot;:false,&quot;citeprocText&quot;:&quot;(Burritt and Christ, 2021; Islam and Van Staden, 2022; Young and Gad, 2022)&quot;,&quot;manualOverrideText&quot;:&quot;&quot;},&quot;citationItems&quot;:[{&quot;id&quot;:&quot;82b24819-91de-3dcf-a528-5b420cd933ab&quot;,&quot;itemData&quot;:{&quot;type&quot;:&quot;article-journal&quot;,&quot;id&quot;:&quot;82b24819-91de-3dcf-a528-5b420cd933ab&quot;,&quot;title&quot;:&quot;Modern Slavery Disclosure Regulation and Global Supply Chains: Insights from Stakeholder Narratives on the UK Modern Slavery Act&quot;,&quot;author&quot;:[{&quot;family&quot;:&quot;Islam&quot;,&quot;given&quot;:&quot;Muhammad  Azizul&quot;,&quot;parse-names&quot;:false,&quot;dropping-particle&quot;:&quot;&quot;,&quot;non-dropping-particle&quot;:&quot;&quot;},{&quot;family&quot;:&quot;Staden&quot;,&quot;given&quot;:&quot;C J&quot;,&quot;parse-names&quot;:false,&quot;dropping-particle&quot;:&quot;&quot;,&quot;non-dropping-particle&quot;:&quot;Van&quot;}],&quot;container-title&quot;:&quot;Journal of Business Ethics&quot;,&quot;DOI&quot;:&quot;10.1007/s10551-021-04878-1&quot;,&quot;ISSN&quot;:&quot;15730697&quot;,&quot;issued&quot;:{&quot;date-parts&quot;:[[2022,10,1]]},&quot;page&quot;:&quot;455-479&quot;,&quot;abstract&quot;:&quot;The purpose of this article is to problematise a particular social transparency and disclosure regulation in the UK, that transcend national boundaries in order to control (modern) slavery in supply chains operating in the developing world. Drawing on notions from the regulatory and sociology literature, i.e. transparency and normativity, and by interviewing anti-slavery activists and experts, this study explores the limitations of the disclosure and transparency requirements of the UK Modern Slavery Act and, more specifically, how anti-slavery activists experience and interpret the new regulations and the regulators’ implementation of the regulation. This research found limited confidence among anti-slavery activists regarding the Act’s call for transparency in relation to the elimination of slavery from global supply chains. The research also found that the limits of the transparency provisions within the Act appear to hinder the attainment of normativity. This study provides new and unique insights into the critical role that social activists play in exposing the lack of corporate transparency and failures of responsibility to protect workers within global supply chains.&quot;,&quot;publisher&quot;:&quot;Springer Science and Business Media B.V.&quot;,&quot;issue&quot;:&quot;2&quot;,&quot;volume&quot;:&quot;180&quot;,&quot;container-title-short&quot;:&quot;&quot;},&quot;isTemporary&quot;:false},{&quot;id&quot;:&quot;38773d4e-23d1-388d-9c83-5dfd0d8214af&quot;,&quot;itemData&quot;:{&quot;type&quot;:&quot;report&quot;,&quot;id&quot;:&quot;38773d4e-23d1-388d-9c83-5dfd0d8214af&quot;,&quot;title&quot;:&quot;Modern Slavery Reporting\nPractices in the UK: Evidence from Modern Slavery\nStatements and Annual Reports&quot;,&quot;author&quot;:[{&quot;family&quot;:&quot;Young&quot;,&quot;given&quot;:&quot;Steven&quot;,&quot;parse-names&quot;:false,&quot;dropping-particle&quot;:&quot;&quot;,&quot;non-dropping-particle&quot;:&quot;&quot;},{&quot;family&quot;:&quot;Gad&quot;,&quot;given&quot;:&quot;Mahmoud&quot;,&quot;parse-names&quot;:false,&quot;dropping-particle&quot;:&quot;&quot;,&quot;non-dropping-particle&quot;:&quot;&quot;}],&quot;issued&quot;:{&quot;date-parts&quot;:[[2022]]},&quot;number-of-pages&quot;:&quot;1-28&quot;,&quot;container-title-short&quot;:&quot;&quot;},&quot;isTemporary&quot;:false},{&quot;id&quot;:&quot;f8ea0c0d-9691-3d82-9d7f-4561d5202dfe&quot;,&quot;itemData&quot;:{&quot;type&quot;:&quot;article-journal&quot;,&quot;id&quot;:&quot;f8ea0c0d-9691-3d82-9d7f-4561d5202dfe&quot;,&quot;title&quot;:&quot;Exploring effectiveness of entity actions to eliminate modern slavery risk – Early Australian evidence&quot;,&quot;author&quot;:[{&quot;family&quot;:&quot;Burritt&quot;,&quot;given&quot;:&quot;Roger Leonard&quot;,&quot;parse-names&quot;:false,&quot;dropping-particle&quot;:&quot;&quot;,&quot;non-dropping-particle&quot;:&quot;&quot;},{&quot;family&quot;:&quot;Christ&quot;,&quot;given&quot;:&quot;Katherine Leanne&quot;,&quot;parse-names&quot;:false,&quot;dropping-particle&quot;:&quot;&quot;,&quot;non-dropping-particle&quot;:&quot;&quot;}],&quot;container-title&quot;:&quot; The British Accounting Review&quot;,&quot;ISSN&quot;:&quot;10958347&quot;,&quot;issued&quot;:{&quot;date-parts&quot;:[[2021]]},&quot;abstract&quot;:&quot;The need for entities to eliminate the unethical and illegal practice of modern slavery in their operations and supply chains has led different jurisdictions to require large entities to report on how they assess the effectiveness of actions taken. In Australia, to build awareness of practices for internal and external stakeholders, the Australian Modern Slavery Act 2018 (Cth) mandates annual reporting in modern slavery statements and provides guidance as to how effectiveness of actions might be reported on. Based on theories/frameworks/models from literature addressing organisational effectiveness, an inductive analysis is conducted on the first 255 modern slavery statements published on the Australian Modern Slavery Register. Results indicate great diversity in approaches to reporting on effectiveness of actions, ranging from a total lack of reporting, through basic compliance, to going beyond compliance. The observations are used to develop a comprehensive framework for assessment of organisational effectiveness and an assessment of the extent to which current effectiveness theories/frameworks/models can guide future developments. The paper suggests adoption of the proposed framework can lead entities to improved transparency and validation of the effectiveness of their actions, as an important first step towards elimination of modern slavery in their supply chains.&quot;,&quot;publisher&quot;:&quot;Academic Press&quot;,&quot;container-title-short&quot;:&quot;&quot;},&quot;isTemporary&quot;:false}],&quot;citationTag&quot;:&quot;MENDELEY_CITATION_v3_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&quot;},{&quot;citationID&quot;:&quot;MENDELEY_CITATION_97e95ba5-d08b-409c-87d8-6024e6e3a76c&quot;,&quot;properties&quot;:{&quot;noteIndex&quot;:0},&quot;isEdited&quot;:false,&quot;manualOverride&quot;:{&quot;isManuallyOverridden&quot;:true,&quot;citeprocText&quot;:&quot;(Locke, 2013)&quot;,&quot;manualOverrideText&quot;:&quot;Locke (2013)&quot;},&quot;citationItems&quot;:[{&quot;id&quot;:&quot;8970e2e6-9691-36fe-9919-59cdc6330e8c&quot;,&quot;itemData&quot;:{&quot;type&quot;:&quot;article-journal&quot;,&quot;id&quot;:&quot;8970e2e6-9691-36fe-9919-59cdc6330e8c&quot;,&quot;title&quot;:&quot;The Promise and Limits of Private Power&quot;,&quot;author&quot;:[{&quot;family&quot;:&quot;Locke&quot;,&quot;given&quot;:&quot;Richard M&quot;,&quot;parse-names&quot;:false,&quot;dropping-particle&quot;:&quot;&quot;,&quot;non-dropping-particle&quot;:&quot;&quot;}],&quot;container-title&quot;:&quot;Australian Journal of Human Rights&quot;,&quot;issued&quot;:{&quot;date-parts&quot;:[[2013]]},&quot;page&quot;:&quot;1-223&quot;,&quot;issue&quot;:&quot;3&quot;,&quot;volume&quot;:&quot;19&quot;,&quot;container-title-short&quot;:&quot;&quot;},&quot;isTemporary&quot;:false}],&quot;citationTag&quot;:&quot;MENDELEY_CITATION_v3_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&quot;},{&quot;citationID&quot;:&quot;MENDELEY_CITATION_54b23475-209c-49ea-9c73-d5a536eae169&quot;,&quot;properties&quot;:{&quot;noteIndex&quot;:0},&quot;isEdited&quot;:false,&quot;manualOverride&quot;:{&quot;isManuallyOverridden&quot;:true,&quot;citeprocText&quot;:&quot;(DiMaggio and Powell, 1983; Ntim and Soobaroyen, 2013)&quot;,&quot;manualOverrideText&quot;:&quot;ggio and Powell, 1983; Ntim and Soobaroyen, 2013)&quot;},&quot;citationItems&quot;:[{&quot;id&quot;:&quot;01b6cc8b-5002-3e04-a725-c2ae993b174d&quot;,&quot;itemData&quot;:{&quot;type&quot;:&quot;article-journal&quot;,&quot;id&quot;:&quot;01b6cc8b-5002-3e04-a725-c2ae993b174d&quot;,&quot;title&quot;:&quot;Corporate governance and performance in socially responsible corporations: New empirical insights from a neo-institutional framework&quot;,&quot;author&quot;:[{&quot;family&quot;:&quot;Ntim&quot;,&quot;given&quot;:&quot;Collins G.&quot;,&quot;parse-names&quot;:false,&quot;dropping-particle&quot;:&quot;&quot;,&quot;non-dropping-particle&quot;:&quot;&quot;},{&quot;family&quot;:&quot;Soobaroyen&quot;,&quot;given&quot;:&quot;Teerooven&quot;,&quot;parse-names&quot;:false,&quot;dropping-particle&quot;:&quot;&quot;,&quot;non-dropping-particle&quot;:&quot;&quot;}],&quot;container-title&quot;:&quot;Corporate Governance: An International Review&quot;,&quot;DOI&quot;:&quot;10.1111/corg.12026&quot;,&quot;ISSN&quot;:&quot;14678683&quot;,&quot;issued&quot;:{&quot;date-parts&quot;:[[2013]]},&quot;page&quot;:&quot;468-494&quot;,&quot;abstract&quot;:&quot;Manuscript Type: Empirical Research Question/Issue: This paper investigates the relationship between corporate governance (CG) and corporate social responsibility (CSR) and, consequently, examines whether CG can positively moderate the association between corporate financial performance (CFP) and CSR. Research Findings/Insights: Using a sample of large listed corporations from 2002 to 2009, we find that, on average, better-governed corporations tend to pursue a more socially responsible agenda through increased CSR practices. We also find that a combination of CSR and CG practices has a stronger positive effect on CFP than CSR alone, implying that CG positively influences the CFP-CSR relationship. Our results are robust to controlling for different types of endogeneities, as well as alternative CFP, CG and CSR proxies. Theoretical/Academic Implications: The paper generally contributes to the literature on CG, CSR, and CFP. Specifically, we make two main new contributions to the extant literature by drawing on new insights from an overarching neo-institutional framework. First, we show why and how better-governed corporations are more likely to pursue a more socially responsible agenda. Second, we provide evidence on why and how CG might strengthen the link between CFP and CSR. Practitioner/Policy Implications: Our findings have important implications for corporate regulators and policy-makers. Since our evidence suggests that better-governed corporations are more likely to be more socially responsible with a consequential positive effect on CFP, it provides corporate regulators, managers and policy-makers with a new impetus to develop a more explicit agenda of jointly pursuing CG and CSR reforms, instead of merely considering CSR as a peripheral component of CG or as an independent corporate activity. © 2013 John Wiley &amp; Sons Ltd.&quot;,&quot;publisher&quot;:&quot;Blackwell Publishing Ltd&quot;,&quot;issue&quot;:&quot;5&quot;,&quot;volume&quot;:&quot;21&quot;,&quot;container-title-short&quot;:&quot;&quot;},&quot;isTemporary&quot;:false},{&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citationTag&quot;:&quot;MENDELEY_CITATION_v3_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&quot;},{&quot;citationID&quot;:&quot;MENDELEY_CITATION_e43c1eb0-8b7a-4dc6-900e-c9549d268a7f&quot;,&quot;properties&quot;:{&quot;noteIndex&quot;:0},&quot;isEdited&quot;:false,&quot;manualOverride&quot;:{&quot;isManuallyOverridden&quot;:false,&quot;citeprocText&quot;:&quot;(Allain &lt;i&gt;et al.&lt;/i&gt;, 2013; Vidal &lt;i&gt;et al.&lt;/i&gt;, 2023)&quot;,&quot;manualOverrideText&quot;:&quot;&quot;},&quot;citationItems&quot;:[{&quot;id&quot;:&quot;5c6a49b8-0a5b-3be1-9237-efca79d320d0&quot;,&quot;itemData&quot;:{&quot;type&quot;:&quot;article-journal&quot;,&quot;id&quot;:&quot;5c6a49b8-0a5b-3be1-9237-efca79d320d0&quot;,&quot;title&quot;:&quot;Supply chain stakeholder pressure for the adoption of sustainable supply chain practices: examining the roles of entrepreneurial and sustainability orientations&quot;,&quot;author&quot;:[{&quot;family&quot;:&quot;Vidal&quot;,&quot;given&quot;:&quot;Natalia G.&quot;,&quot;parse-names&quot;:false,&quot;dropping-particle&quot;:&quot;&quot;,&quot;non-dropping-particle&quot;:&quot;&quot;},{&quot;family&quot;:&quot;Spetic&quot;,&quot;given&quot;:&quot;Wellington&quot;,&quot;parse-names&quot;:false,&quot;dropping-particle&quot;:&quot;&quot;,&quot;non-dropping-particle&quot;:&quot;&quot;},{&quot;family&quot;:&quot;Croom&quot;,&quot;given&quot;:&quot;Simon&quot;,&quot;parse-names&quot;:false,&quot;dropping-particle&quot;:&quot;&quot;,&quot;non-dropping-particle&quot;:&quot;&quot;},{&quot;family&quot;:&quot;Marshall&quot;,&quot;given&quot;:&quot;Donna&quot;,&quot;parse-names&quot;:false,&quot;dropping-particle&quot;:&quot;&quot;,&quot;non-dropping-particle&quot;:&quot;&quot;}],&quot;container-title&quot;:&quot;Supply Chain Management: An International Journal&quot;,&quot;DOI&quot;:&quot;10.1108/SCM-08-2021-0370&quot;,&quot;ISSN&quot;:&quot;13598546&quot;,&quot;issued&quot;:{&quot;date-parts&quot;:[[2023,3,28]]},&quot;page&quot;:&quot;598-618&quot;,&quot;abstract&quot;:&quot;Purpose: This study examines the relationship between supply chain stakeholder pressure from customers and suppliers for the adoption of social and environmental sustainable supply chain management (SSCM) practices given the simultaneous conditional effects of both entrepreneurial orientation (EO) and sustainability orientation (SO). Design/methodology/approach: The authors conducted a survey of US firms focused on their relationship with their top supplier or buyer by spend. This study used conditional process analysis to measure the relationship between stakeholder pressure and adoption of SSCM practices as well as the double moderation effects of EO and SO on this relationship. Findings: The results show that both EO and SO simultaneously function as moderators of the effect of supply chain stakeholder pressure on the adoption of social and environmental SSCM practices. However, EO will only get firms so far in the adoption of SSCM practices. Once a strong SO takes effect, higher practice adoption ensues but the effect of stakeholder pressure weakens. Practical implications: For those firms that have lower levels of SO, EO and supply chain stakeholder pressure are still essential drivers for the adoption of SSCM practice. The results of this study suggest that focal firms should work closely with suppliers to increase their levels of SO while also maintaining pressure for the adoption of SSCM practices. Originality/value: This study shows the concurrent effect of two organizational level drivers on the adoption of SSCM practices, indicating that efforts in developing a strong SO are more likely to prepare firms for the adoption of SSCM practices.&quot;,&quot;publisher&quot;:&quot;Emerald Publishing&quot;,&quot;issue&quot;:&quot;3&quot;,&quot;volume&quot;:&quot;28&quot;,&quot;container-title-short&quot;:&quot;&quot;},&quot;isTemporary&quot;:false},{&quot;id&quot;:&quot;8ce73ed9-500c-3a64-a825-3568af15b14d&quot;,&quot;itemData&quot;:{&quot;type&quot;:&quot;report&quot;,&quot;id&quot;:&quot;8ce73ed9-500c-3a64-a825-3568af15b14d&quot;,&quot;title&quot;:&quot;Forced Labour’s Business Models and Supply Chains&quot;,&quot;author&quot;:[{&quot;family&quot;:&quot;Allain&quot;,&quot;given&quot;:&quot;Jean&quot;,&quot;parse-names&quot;:false,&quot;dropping-particle&quot;:&quot;&quot;,&quot;non-dropping-particle&quot;:&quot;&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Behbahani&quot;,&quot;given&quot;:&quot;Laya&quot;,&quot;parse-names&quot;:false,&quot;dropping-particle&quot;:&quot;&quot;,&quot;non-dropping-particle&quot;:&quot;&quot;}],&quot;container-title&quot;:&quot;Joseph Rowntree Foundation&quot;,&quot;issued&quot;:{&quot;date-parts&quot;:[[2013]]},&quot;publisher-place&quot;:&quot;York, UK&quot;,&quot;number-of-pages&quot;:&quot;1-78&quot;,&quot;abstract&quot;:&quot;This report demonstrates how businesses profit from forced labour. It considers the construction industry, the food sector and cannabis 'grow-ops' to demonstrate where and how their labour supply chains may be vulnerable to forced labour. The United Kingdom is at the forefront in creating new responsibilities for businesses to ensure that their supply chains are free of forced labour. This report assists by examining vulnerabilities in hiring practices, social auditing and government policies. It maps how forced labour may find its way into legitimate supply chains. The report demonstrates that: • the UK economy creates a pool of people vulnerable to forced labour; • forced labour in the UK is not hidden; • informality and the informal market are associated with forced labour; • within construction, food and the cannabis industries, sector-specific conditions create the possibility of forced labour. 02&quot;,&quot;container-title-short&quot;:&quot;&quot;},&quot;isTemporary&quot;:false}],&quot;citationTag&quot;:&quot;MENDELEY_CITATION_v3_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&quot;},{&quot;citationID&quot;:&quot;MENDELEY_CITATION_3bdf7e30-3931-4bca-bef1-9fb5e069d4f0&quot;,&quot;properties&quot;:{&quot;noteIndex&quot;:0},&quot;isEdited&quot;:false,&quot;manualOverride&quot;:{&quot;isManuallyOverridden&quot;:false,&quot;citeprocText&quot;:&quot;(DiMaggio and Powell, 1983; Scott, 201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M2JkZjdlMzAtMzkzMS00YmNhLWJlZjEtOWZiNWUwNjlkNGYw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quot;},{&quot;citationID&quot;:&quot;MENDELEY_CITATION_e38c1c92-d98d-4046-a7cc-1740ae43d6aa&quot;,&quot;properties&quot;:{&quot;noteIndex&quot;:0},&quot;isEdited&quot;:false,&quot;manualOverride&quot;:{&quot;isManuallyOverridden&quot;:false,&quot;citeprocText&quot;:&quot;(Allam &lt;i&gt;et al.&lt;/i&gt;, 2024)&quot;,&quot;manualOverrideText&quot;:&quot;&quot;},&quot;citationItems&quot;:[{&quot;id&quot;:&quot;2de4fa4d-f39d-3557-a984-028d685abebb&quot;,&quot;itemData&quot;:{&quot;type&quot;:&quot;article-journal&quot;,&quot;id&quot;:&quot;2de4fa4d-f39d-3557-a984-028d685abebb&quot;,&quot;title&quot;:&quot;Examining the relationship between CEO power and modern slavery disclosures: The moderating role of board gender diversity in UK companies&quot;,&quot;author&quot;:[{&quot;family&quot;:&quot;Allam&quot;,&quot;given&quot;:&quot;Amir&quot;,&quot;parse-names&quot;:false,&quot;dropping-particle&quot;:&quot;&quot;,&quot;non-dropping-particle&quot;:&quot;&quot;},{&quot;family&quot;:&quot;Moussa&quot;,&quot;given&quot;:&quot;Tantawy&quot;,&quot;parse-names&quot;:false,&quot;dropping-particle&quot;:&quot;&quot;,&quot;non-dropping-particle&quot;:&quot;&quot;},{&quot;family&quot;:&quot;Elmarzouky&quot;,&quot;given&quot;:&quot;Mahmoud&quot;,&quot;parse-names&quot;:false,&quot;dropping-particle&quot;:&quot;&quot;,&quot;non-dropping-particle&quot;:&quot;&quot;}],&quot;container-title&quot;:&quot;Business Strategy and the Environment&quot;,&quot;container-title-short&quot;:&quot;Bus Strategy Environ&quot;,&quot;DOI&quot;:&quot;10.1002/bse.3910&quot;,&quot;ISSN&quot;:&quot;0964-4733&quot;,&quot;URL&quot;:&quot;https://onlinelibrary.wiley.com/doi/10.1002/bse.3910&quot;,&quot;issued&quot;:{&quot;date-parts&quot;:[[2024,8,11]]},&quot;abstract&quot;:&quot;&lt;p&gt;Drawing on agency and gender socialisation theories, this study examines the effect of Chief Executive Officer (CEO) power on corporate modern slavery disclosures (MSD) and investigates whether board gender diversity might influence this relationship. Based on a sample comprising the Financial Times Stock Exchange (FTSE) 100 companies from 2016 to 2020, the findings indicate that, although there has been progress in corporate transparency concerning modern slavery, a significant gap persists in the reporting on the measurement and monitoring of the effectiveness of their policies. This may stem from powerful CEOs' desires to maintain a positive corporate image, leading to minimal disclosure of potentially damaging information. The fixed effects panel regression analysis reveals a negative relationship between CEO power (CEOP) and the extent of modern slavery disclosures (MSD), with a significant moderating effect observed when female board representation is substantial. This evidence suggests that female board members may challenge groupthink and introduce diverse perspectives that can alter the board's dynamics, potentially mitigating the negative impact of CEOP on issues like modern slavery disclosure by encouraging more ethical and collective decision‐making. This research underscores the need for greater transparency and accountability in addressing modern slavery and promoting more responsible business practices.&lt;/p&gt;&quot;},&quot;isTemporary&quot;:false}],&quot;citationTag&quot;:&quot;MENDELEY_CITATION_v3_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&quot;},{&quot;citationID&quot;:&quot;MENDELEY_CITATION_e1d5dc6a-10fa-4cfe-b504-3651ce05a0fd&quot;,&quot;properties&quot;:{&quot;noteIndex&quot;:0},&quot;isEdited&quot;:false,&quot;manualOverride&quot;:{&quot;isManuallyOverridden&quot;:true,&quot;citeprocText&quot;:&quot;(Global Reporting Initiative (GRI) and Responsible Labour Initiative (RLI), 2019)&quot;,&quot;manualOverrideText&quot;:&quot;(GRI and RLI, 2019)&quot;},&quot;citationItems&quot;:[{&quot;id&quot;:&quot;6965598b-b91e-35d7-8c91-0351a9535c4a&quot;,&quot;itemData&quot;:{&quot;type&quot;:&quot;report&quot;,&quot;id&quot;:&quot;6965598b-b91e-35d7-8c91-0351a9535c4a&quot;,&quot;title&quot;:&quot;Advancing modern slavery reporting to meet stakeholder expectations&quot;,&quot;author&quot;:[{&quot;family&quot;:&quot;Global Reporting Initiative (GRI)&quot;,&quot;given&quot;:&quot;&quot;,&quot;parse-names&quot;:false,&quot;dropping-particle&quot;:&quot;&quot;,&quot;non-dropping-particle&quot;:&quot;&quot;},{&quot;family&quot;:&quot;Responsible Labour Initiative (RLI)&quot;,&quot;given&quot;:&quot;&quot;,&quot;parse-names&quot;:false,&quot;dropping-particle&quot;:&quot;&quot;,&quot;non-dropping-particle&quot;:&quot;&quot;}],&quot;issued&quot;:{&quot;date-parts&quot;:[[2019]]},&quot;number-of-pages&quot;:&quot;1-36&quot;,&quot;container-title-short&quot;:&quot;&quot;},&quot;isTemporary&quot;:false}],&quot;citationTag&quot;:&quot;MENDELEY_CITATION_v3_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&quot;},{&quot;citationID&quot;:&quot;MENDELEY_CITATION_e44aaa09-1b37-4246-9d85-75f3fa8a4135&quot;,&quot;properties&quot;:{&quot;noteIndex&quot;:0},&quot;isEdited&quot;:false,&quot;manualOverride&quot;:{&quot;isManuallyOverridden&quot;:false,&quot;citeprocText&quot;:&quot;(Wintoki &lt;i&gt;et al.&lt;/i&gt;, 2012)&quot;,&quot;manualOverrideText&quot;:&quot;&quot;},&quot;citationItems&quot;:[{&quot;id&quot;:&quot;4f376a1e-274e-3749-81d7-83f06f2214cf&quot;,&quot;itemData&quot;:{&quot;type&quot;:&quot;article-journal&quot;,&quot;id&quot;:&quot;4f376a1e-274e-3749-81d7-83f06f2214cf&quot;,&quot;title&quot;:&quot;Endogeneity and the dynamics of internal corporate governance&quot;,&quot;author&quot;:[{&quot;family&quot;:&quot;Wintoki&quot;,&quot;given&quot;:&quot;M. Babajide&quot;,&quot;parse-names&quot;:false,&quot;dropping-particle&quot;:&quot;&quot;,&quot;non-dropping-particle&quot;:&quot;&quot;},{&quot;family&quot;:&quot;Linck&quot;,&quot;given&quot;:&quot;James S.&quot;,&quot;parse-names&quot;:false,&quot;dropping-particle&quot;:&quot;&quot;,&quot;non-dropping-particle&quot;:&quot;&quot;},{&quot;family&quot;:&quot;Netter&quot;,&quot;given&quot;:&quot;Jeffry M.&quot;,&quot;parse-names&quot;:false,&quot;dropping-particle&quot;:&quot;&quot;,&quot;non-dropping-particle&quot;:&quot;&quot;}],&quot;container-title&quot;:&quot;Journal of Financial Economics&quot;,&quot;container-title-short&quot;:&quot;J financ econ&quot;,&quot;DOI&quot;:&quot;10.1016/j.jfineco.2012.03.005&quot;,&quot;ISSN&quot;:&quot;0304405X&quot;,&quot;issued&quot;:{&quot;date-parts&quot;:[[2012,9]]},&quot;page&quot;:&quot;581-606&quot;,&quot;abstract&quot;:&quot;We use a well-developed dynamic panel generalized method of moments (GMM) estimator to alleviate endogeneity concerns in two aspects of corporate governance research: the effect of board structure on firm performance and the determinants of board structure. The estimator incorporates the dynamic nature of internal governance choices to provide valid and powerful instruments that address unobserved heterogeneity and simultaneity. We re-examine the relation between board structure and performance using the GMM estimator in a panel of 6,000 firms over a period from 1991 to 2003, and find no causal relation between board structure and current firm performance. We illustrate why other commonly used estimators that ignore the dynamic relationship between current governance and past firm performance may be biased. We discuss where it may be appropriate to consider the dynamic panel GMM estimator in corporate governance research, as well as caveats to its use. © 2012 Elsevier B.V.&quot;,&quot;issue&quot;:&quot;3&quot;,&quot;volume&quot;:&quot;105&quot;},&quot;isTemporary&quot;:false}],&quot;citationTag&quot;:&quot;MENDELEY_CITATION_v3_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&quot;},{&quot;citationID&quot;:&quot;MENDELEY_CITATION_c2f022c8-f83e-4622-bc4c-00fd232349c0&quot;,&quot;properties&quot;:{&quot;noteIndex&quot;:0},&quot;isEdited&quot;:false,&quot;manualOverride&quot;:{&quot;isManuallyOverridden&quot;:false,&quot;citeprocText&quot;:&quot;(Alves &lt;i&gt;et al.&lt;/i&gt;, 2024)&quot;,&quot;manualOverrideText&quot;:&quot;&quot;},&quot;citationItems&quot;:[{&quot;id&quot;:&quot;f0fd6f5a-07cd-32d7-bc43-0f2081ec50c7&quot;,&quot;itemData&quot;:{&quot;type&quot;:&quot;article-journal&quot;,&quot;id&quot;:&quot;f0fd6f5a-07cd-32d7-bc43-0f2081ec50c7&quot;,&quot;title&quot;:&quot;Uncovering effects of supply chain distance on sustainability adoption: empirical evidence from a multi-stakeholder partnership&quot;,&quot;author&quot;:[{&quot;family&quot;:&quot;Alves&quot;,&quot;given&quot;:&quot;Ana P.Ferreira&quot;,&quot;parse-names&quot;:false,&quot;dropping-particle&quot;:&quot;&quot;,&quot;non-dropping-particle&quot;:&quot;&quot;},{&quot;family&quot;:&quot;Silva&quot;,&quot;given&quot;:&quot;Minelle E.&quot;,&quot;parse-names&quot;:false,&quot;dropping-particle&quot;:&quot;&quot;,&quot;non-dropping-particle&quot;:&quot;&quot;},{&quot;family&quot;:&quot;Sauer&quot;,&quot;given&quot;:&quot;Philipp C.&quot;,&quot;parse-names&quot;:false,&quot;dropping-particle&quot;:&quot;&quot;,&quot;non-dropping-particle&quot;:&quot;&quot;}],&quot;container-title&quot;:&quot;Supply Chain Management: An International Journal&quot;,&quot;DOI&quot;:&quot;10.1108/SCM-12-2023-0637&quot;,&quot;ISSN&quot;:&quot;13598546&quot;,&quot;issued&quot;:{&quot;date-parts&quot;:[[2024,11,19]]},&quot;abstract&quot;:&quot;Purpose: To investigate the effects of supply chain (SC) distance on sustainability adoption, this study aims to advance the way prior studies on SC sustainability presume that SC structures are well-developed and stable. Since SC members face structural voids in different regions, we recognize that the information flow is impacted as SC partners often have limited knowledge of their direct partners. Thus, by studying a multi-stakeholder partnership, this article sheds light on the institutional foundation of sustainability adoption issues largely neglected to date. Design/methodology/approach: A qualitative case study was used with members of an MSP (i.e. a roundtable), to understand the beef SC located in Brazil. Overall, 18 h of interview recordings and notes from 18 h of meeting observations were gathered, equaling 36 h of primary data. Findings: Four dimensions of SC distance (physical, organizational, cultural and institutional) were identified, generating three driving effects on symbolic sustainability adoption and, consequently, a degree of invisibility for beef SC members. The results explain the process of sustainability adoption and highlight that smaller and more upstream suppliers show lower degrees of substantive adoption of SC sustainability practices. Originality/value: This study investigates how SC distance affects the alignment of SC members in terms of sustainability adoption. By providing reflections on how institutional distance can hinder suppliers from adopting sustainability requirements they received from the SC, this research contributes to shifting from sustainability discourse to real practice and proactive partner engagement.&quot;,&quot;publisher&quot;:&quot;Emerald Publishing&quot;,&quot;container-title-short&quot;:&quot;&quot;},&quot;isTemporary&quot;:false}],&quot;citationTag&quot;:&quot;MENDELEY_CITATION_v3_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&quot;},{&quot;citationID&quot;:&quot;MENDELEY_CITATION_5172f88c-71f8-49ae-a4bd-1e60f9b7348b&quot;,&quot;properties&quot;:{&quot;noteIndex&quot;:0},&quot;isEdited&quot;:false,&quot;manualOverride&quot;:{&quot;isManuallyOverridden&quot;:false,&quot;citeprocText&quot;:&quot;(Mishra and Mishra, 2023; Page &lt;i&gt;et al.&lt;/i&gt;, 2021)&quot;,&quot;manualOverrideText&quot;:&quot;&quot;},&quot;citationItems&quot;:[{&quot;id&quot;:&quot;68c91a2f-fc01-3ee8-841e-9410ee37eb99&quot;,&quot;itemData&quot;:{&quot;type&quot;:&quot;article-journal&quot;,&quot;id&quot;:&quot;68c91a2f-fc01-3ee8-841e-9410ee37eb99&quot;,&quot;title&quot;:&quot;The PRISMA 2020 statement: an updated guideline for reporting systematic reviews&quot;,&quot;author&quot;:[{&quot;family&quot;:&quot;Page&quot;,&quot;given&quot;:&quot;Matthew J&quot;,&quot;parse-names&quot;:false,&quot;dropping-particle&quot;:&quot;&quot;,&quot;non-dropping-particle&quot;:&quot;&quot;},{&quot;family&quot;:&quot;McKenzie&quot;,&quot;given&quot;:&quot;Joanne E&quot;,&quot;parse-names&quot;:false,&quot;dropping-particle&quot;:&quot;&quot;,&quot;non-dropping-particle&quot;:&quot;&quot;},{&quot;family&quot;:&quot;Bossuyt&quot;,&quot;given&quot;:&quot;Patrick M&quot;,&quot;parse-names&quot;:false,&quot;dropping-particle&quot;:&quot;&quot;,&quot;non-dropping-particle&quot;:&quot;&quot;},{&quot;family&quot;:&quot;Boutron&quot;,&quot;given&quot;:&quot;Isabelle&quot;,&quot;parse-names&quot;:false,&quot;dropping-particle&quot;:&quot;&quot;,&quot;non-dropping-particle&quot;:&quot;&quot;},{&quot;family&quot;:&quot;Hoffmann&quot;,&quot;given&quot;:&quot;Tammy C&quot;,&quot;parse-names&quot;:false,&quot;dropping-particle&quot;:&quot;&quot;,&quot;non-dropping-particle&quot;:&quot;&quot;},{&quot;family&quot;:&quot;Mulrow&quot;,&quot;given&quot;:&quot;Cynthia D&quot;,&quot;parse-names&quot;:false,&quot;dropping-particle&quot;:&quot;&quot;,&quot;non-dropping-particle&quot;:&quot;&quot;},{&quot;family&quot;:&quot;Shamseer&quot;,&quot;given&quot;:&quot;Larissa&quot;,&quot;parse-names&quot;:false,&quot;dropping-particle&quot;:&quot;&quot;,&quot;non-dropping-particle&quot;:&quot;&quot;},{&quot;family&quot;:&quot;Tetzlaff&quot;,&quot;given&quot;:&quot;Jennifer M&quot;,&quot;parse-names&quot;:false,&quot;dropping-particle&quot;:&quot;&quot;,&quot;non-dropping-particle&quot;:&quot;&quot;},{&quot;family&quot;:&quot;Akl&quot;,&quot;given&quot;:&quot;Elie A&quot;,&quot;parse-names&quot;:false,&quot;dropping-particle&quot;:&quot;&quot;,&quot;non-dropping-particle&quot;:&quot;&quot;},{&quot;family&quot;:&quot;Brennan&quot;,&quot;given&quot;:&quot;Sue E&quot;,&quot;parse-names&quot;:false,&quot;dropping-particle&quot;:&quot;&quot;,&quot;non-dropping-particle&quot;:&quot;&quot;},{&quot;family&quot;:&quot;Chou&quot;,&quot;given&quot;:&quot;Roger&quot;,&quot;parse-names&quot;:false,&quot;dropping-particle&quot;:&quot;&quot;,&quot;non-dropping-particle&quot;:&quot;&quot;},{&quot;family&quot;:&quot;Glanville&quot;,&quot;given&quot;:&quot;Julie&quot;,&quot;parse-names&quot;:false,&quot;dropping-particle&quot;:&quot;&quot;,&quot;non-dropping-particle&quot;:&quot;&quot;},{&quot;family&quot;:&quot;Grimshaw&quot;,&quot;given&quot;:&quot;Jeremy M&quot;,&quot;parse-names&quot;:false,&quot;dropping-particle&quot;:&quot;&quot;,&quot;non-dropping-particle&quot;:&quot;&quot;},{&quot;family&quot;:&quot;Hróbjartsson&quot;,&quot;given&quot;:&quot;Asbjørn&quot;,&quot;parse-names&quot;:false,&quot;dropping-particle&quot;:&quot;&quot;,&quot;non-dropping-particle&quot;:&quot;&quot;},{&quot;family&quot;:&quot;Lalu&quot;,&quot;given&quot;:&quot;Manoj M&quot;,&quot;parse-names&quot;:false,&quot;dropping-particle&quot;:&quot;&quot;,&quot;non-dropping-particle&quot;:&quot;&quot;},{&quot;family&quot;:&quot;Li&quot;,&quot;given&quot;:&quot;Tianjing&quot;,&quot;parse-names&quot;:false,&quot;dropping-particle&quot;:&quot;&quot;,&quot;non-dropping-particle&quot;:&quot;&quot;},{&quot;family&quot;:&quot;Loder&quot;,&quot;given&quot;:&quot;Elizabeth W&quot;,&quot;parse-names&quot;:false,&quot;dropping-particle&quot;:&quot;&quot;,&quot;non-dropping-particle&quot;:&quot;&quot;},{&quot;family&quot;:&quot;Mayo-Wilson&quot;,&quot;given&quot;:&quot;Evan&quot;,&quot;parse-names&quot;:false,&quot;dropping-particle&quot;:&quot;&quot;,&quot;non-dropping-particle&quot;:&quot;&quot;},{&quot;family&quot;:&quot;McDonald&quot;,&quot;given&quot;:&quot;Steve&quot;,&quot;parse-names&quot;:false,&quot;dropping-particle&quot;:&quot;&quot;,&quot;non-dropping-particle&quot;:&quot;&quot;},{&quot;family&quot;:&quot;McGuinness&quot;,&quot;given&quot;:&quot;Luke A&quot;,&quot;parse-names&quot;:false,&quot;dropping-particle&quot;:&quot;&quot;,&quot;non-dropping-particle&quot;:&quot;&quot;},{&quot;family&quot;:&quot;Stewart&quot;,&quot;given&quot;:&quot;Lesley A&quot;,&quot;parse-names&quot;:false,&quot;dropping-particle&quot;:&quot;&quot;,&quot;non-dropping-particle&quot;:&quot;&quot;},{&quot;family&quot;:&quot;Thomas&quot;,&quot;given&quot;:&quot;James&quot;,&quot;parse-names&quot;:false,&quot;dropping-particle&quot;:&quot;&quot;,&quot;non-dropping-particle&quot;:&quot;&quot;},{&quot;family&quot;:&quot;Tricco&quot;,&quot;given&quot;:&quot;Andrea C&quot;,&quot;parse-names&quot;:false,&quot;dropping-particle&quot;:&quot;&quot;,&quot;non-dropping-particle&quot;:&quot;&quot;},{&quot;family&quot;:&quot;Welch&quot;,&quot;given&quot;:&quot;Vivian A&quot;,&quot;parse-names&quot;:false,&quot;dropping-particle&quot;:&quot;&quot;,&quot;non-dropping-particle&quot;:&quot;&quot;},{&quot;family&quot;:&quot;Whiting&quot;,&quot;given&quot;:&quot;Penny&quot;,&quot;parse-names&quot;:false,&quot;dropping-particle&quot;:&quot;&quot;,&quot;non-dropping-particle&quot;:&quot;&quot;},{&quot;family&quot;:&quot;Moher&quot;,&quot;given&quot;:&quot;David&quot;,&quot;parse-names&quot;:false,&quot;dropping-particle&quot;:&quot;&quot;,&quot;non-dropping-particle&quot;:&quot;&quot;}],&quot;container-title&quot;:&quot;BMJ&quot;,&quot;DOI&quot;:&quot;10.1136/bmj.n71&quot;,&quot;ISSN&quot;:&quot;1756-1833&quot;,&quot;issued&quot;:{&quot;date-parts&quot;:[[2021,3,29]]},&quot;page&quot;:&quot;n71&quot;,&quot;container-title-short&quot;:&quot;&quot;},&quot;isTemporary&quot;:false},{&quot;id&quot;:&quot;d75c3bf6-4202-3325-8937-f7149b95c3d5&quot;,&quot;itemData&quot;:{&quot;type&quot;:&quot;chapter&quot;,&quot;id&quot;:&quot;d75c3bf6-4202-3325-8937-f7149b95c3d5&quot;,&quot;title&quot;:&quot;PRISMA for Review of Management Literature – Method, Merits, and Limitations – An Academic Review&quot;,&quot;author&quot;:[{&quot;family&quot;:&quot;Mishra&quot;,&quot;given&quot;:&quot;Vinaytosh&quot;,&quot;parse-names&quot;:false,&quot;dropping-particle&quot;:&quot;&quot;,&quot;non-dropping-particle&quot;:&quot;&quot;},{&quot;family&quot;:&quot;Mishra&quot;,&quot;given&quot;:&quot;Monu Pandey&quot;,&quot;parse-names&quot;:false,&quot;dropping-particle&quot;:&quot;&quot;,&quot;non-dropping-particle&quot;:&quot;&quot;}],&quot;DOI&quot;:&quot;10.1108/S2754-586520230000002007&quot;,&quot;issued&quot;:{&quot;date-parts&quot;:[[2023,11,24]]},&quot;page&quot;:&quot;125-136&quot;,&quot;container-title-short&quot;:&quot;&quot;},&quot;isTemporary&quot;:false}],&quot;citationTag&quot;:&quot;MENDELEY_CITATION_v3_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&quot;},{&quot;citationID&quot;:&quot;MENDELEY_CITATION_cf12cc6f-f16a-4b64-8b30-a2a8861bd35f&quot;,&quot;properties&quot;:{&quot;noteIndex&quot;:0},&quot;isEdited&quot;:false,&quot;manualOverride&quot;:{&quot;isManuallyOverridden&quot;:false,&quot;citeprocText&quot;:&quot;(Bowen, 2009)&quot;,&quot;manualOverrideText&quot;:&quot;&quot;},&quot;citationItems&quot;:[{&quot;id&quot;:&quot;d2bca10e-8b36-3b39-b29a-aa2ae8859723&quot;,&quot;itemData&quot;:{&quot;type&quot;:&quot;article-journal&quot;,&quot;id&quot;:&quot;d2bca10e-8b36-3b39-b29a-aa2ae8859723&quot;,&quot;title&quot;:&quot;Document analysis as a qualitative research method&quot;,&quot;author&quot;:[{&quot;family&quot;:&quot;Bowen&quot;,&quot;given&quot;:&quot;Glenn A.&quot;,&quot;parse-names&quot;:false,&quot;dropping-particle&quot;:&quot;&quot;,&quot;non-dropping-particle&quot;:&quot;&quot;}],&quot;container-title&quot;:&quot;Qualitative Research Journal&quot;,&quot;DOI&quot;:&quot;10.3316/QRJ0902027&quot;,&quot;ISSN&quot;:&quot;14480980&quot;,&quot;issued&quot;:{&quot;date-parts&quot;:[[2009]]},&quot;page&quot;:&quot;27-40&quot;,&quot;abstract&quot;:&quot;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 © RMIT Publishing.&quot;,&quot;publisher&quot;:&quot;RMIT Publishing&quot;,&quot;issue&quot;:&quot;2&quot;,&quot;volume&quot;:&quot;9&quot;,&quot;container-title-short&quot;:&quot;&quot;},&quot;isTemporary&quot;:false}],&quot;citationTag&quot;:&quot;MENDELEY_CITATION_v3_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&quot;},{&quot;citationID&quot;:&quot;MENDELEY_CITATION_6eadaf55-0be8-4fe3-a321-fc2616804559&quot;,&quot;properties&quot;:{&quot;noteIndex&quot;:0},&quot;isEdited&quot;:false,&quot;manualOverride&quot;:{&quot;isManuallyOverridden&quot;:true,&quot;citeprocText&quot;:&quot;(Muthuthantrige &lt;i&gt;et al.&lt;/i&gt;, 2026)&quot;,&quot;manualOverrideText&quot;:&quot;(Muthuthantrige et al., 6)&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mVhZGFmNTUtMGJlOC00ZmUzLWEzMjEtZmMyNjE2ODA0NTU5IiwicHJvcGVydGllcyI6eyJub3RlSW5kZXgiOjB9LCJpc0VkaXRlZCI6ZmFsc2UsIm1hbnVhbE92ZXJyaWRlIjp7ImlzTWFudWFsbHlPdmVycmlkZGVuIjp0cnVlLCJjaXRlcHJvY1RleHQiOiIoTXV0aHV0aGFudHJpZ2UgPGk+ZXQgYWwuPC9pPiwgMjAyNikiLCJtYW51YWxPdmVycmlkZVRleHQiOiIoTXV0aHV0aGFudHJpZ2UgZXQgYWwuLCA2KSJ9LCJjaXRhdGlvbkl0ZW1zIjpb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quot;},{&quot;citationID&quot;:&quot;MENDELEY_CITATION_6ea55867-869f-4d27-8c38-2cbb21c82870&quot;,&quot;properties&quot;:{&quot;noteIndex&quot;:0},&quot;isEdited&quot;:false,&quot;manualOverride&quot;:{&quot;isManuallyOverridden&quot;:true,&quot;citeprocText&quot;:&quot;(Braun and Clarke, 2006)&quot;,&quot;manualOverrideText&quot;:&quot;Braun and Clarke’s (2006)&quot;},&quot;citationItems&quot;:[{&quot;id&quot;:&quot;66784f6c-f37b-38f1-8b1e-4c2600289326&quot;,&quot;itemData&quot;:{&quot;type&quot;:&quot;article-journal&quot;,&quot;id&quot;:&quot;66784f6c-f37b-38f1-8b1e-4c2600289326&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citationTag&quot;:&quot;MENDELEY_CITATION_v3_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&quot;},{&quot;citationID&quot;:&quot;MENDELEY_CITATION_c26cf356-0965-493d-a8e1-bf413fc166a3&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YzI2Y2YzNTYtMDk2NS00OTNkLWE4ZTEtYmY0MTNmYzE2NmEz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e996840f-875f-4ce5-ac58-ed8ce016673a&quot;,&quot;properties&quot;:{&quot;noteIndex&quot;:0},&quot;isEdited&quot;:false,&quot;manualOverride&quot;:{&quot;isManuallyOverridden&quot;:true,&quot;citeprocText&quot;:&quot;(ILO, 2020c; Muthuthantrige &lt;i&gt;et al.&lt;/i&gt;, 2026)&quot;,&quot;manualOverrideText&quot;:&quot;(ILO, 2020; Muthuthantrige et al., 2026)&quot;},&quot;citationItems&quot;:[{&quot;id&quot;:&quot;b8ac0d4c-64c2-375e-99a3-3b398921a269&quot;,&quot;itemData&quot;:{&quot;type&quot;:&quot;report&quot;,&quot;id&quot;:&quot;b8ac0d4c-64c2-375e-99a3-3b398921a269&quot;,&quot;title&quot;:&quot;ILO Brief; The supply chain ripple effect: How COVID-19 is affecting garment workers and factories in Asia and the Pacific&quot;,&quot;author&quot;:[{&quot;family&quot;:&quot;ILO&quot;,&quot;given&quot;:&quot;&quot;,&quot;parse-names&quot;:false,&quot;dropping-particle&quot;:&quot;&quot;,&quot;non-dropping-particle&quot;:&quot;&quot;}],&quot;issued&quot;:{&quot;date-parts&quot;:[[2020]]},&quot;number-of-pages&quot;:&quot;1-2&quot;,&quot;abstract&quot;:&quot;The supply chain ripple effect: How COVID-19 is affecting garment workers and factories in Asia and the Pacific  The supply chain ripple effect: How COVID-19 is affecting garment workers and factories in Asia and the Pacific * Research brief ILO brief Key points  The COVID-19 crisis is hitting the garment sector in Asia and the Pacific particularly hard, affecting millions of workers and enterprises in the supply chains and with observed \&quot;ripple effects\&quot; across a number of dimensions.  As of September 2020, about one in two garment workers in the region lived in countries with required closures of all but essential workplaces, including garment factories. Nearly half of all garment supply chain jobs in the region were dependent on domestic or foreign consumer demand from countries with highly stringent lockdown measures, where sharp declines in retail sales were also observed.  Global garment trade virtually collapsed in the first half of 2020. In some cases, imports from Asia's garment-producing countries to major buying countries dropped by as much as 70 per cent. Cancellations of buyers' orders were common at the onset of the crisis. Garment manufacturers also experienced disruptions of up to 60 per cent of their imported input supply.  With thousands of supplier factories closed, either temporarily or permanently, worker lay-offs and dismissals were widespread. Factories that have since reopened also saw reductions in their workforce capacity. The typical worker lost out on at least two to four weeks of work with only three in five workers being called back to the factory. Among those still employed in the second quarter of 2020, declines in earnings and delays in wage payments were also common.  Women make up the majority of the region's garment workers and are disproportionately affected by the crisis-further exacerbating existing inequalities on workload, occupational segregation, distribution of unpaid care work and earnings.  Although many factories took steps towards minimizing the risks of COVID-19 infection, in some cases, occupational safety and health measures were implemented inconsistently.  The garment sector in some countries continues to be marked by low levels of collective bargaining and significant restrictions of freedom of association. Social dialogue has been effective only in countries with existing dialogue structures or initiatives in place.  Governments in the region responded to the crisis by supporting workers and enterprises along various dimensions, but it remains to be seen whether this support is sufficient. The global Call to Action is an industry wide effort to support factories and workers during the crisis, requiring committed follow-up and action among garment supply chain stakeholders.  ILO policy recommendations and toolkits can provide governments and social partners with further guidance as the crisis unfolds, and help the industry build a more resilient and sustainable post-COVID-19 future.&quot;,&quot;issue&quot;:&quot;May&quot;,&quot;container-title-short&quot;:&quot;&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afbd1994-e3a7-4e1c-9fd4-f70c89d6f335&quot;,&quot;properties&quot;:{&quot;noteIndex&quot;:0},&quot;isEdited&quot;:false,&quot;manualOverride&quot;:{&quot;isManuallyOverridden&quot;:false,&quot;citeprocText&quot;:&quot;(Crane &lt;i&gt;et al.&lt;/i&gt;, 2019; LeBaron and Lister, 2021)&quot;,&quot;manualOverrideText&quot;:&quot;&quot;},&quot;citationItems&quot;:[{&quot;id&quot;:&quot;b00c8dd3-fe27-3b3b-8812-f171b9f1dfaf&quot;,&quot;itemData&quot;:{&quot;type&quot;:&quot;article-journal&quot;,&quot;id&quot;:&quot;b00c8dd3-fe27-3b3b-8812-f171b9f1dfaf&quot;,&quot;title&quot;:&quot;The hidden costs of global supply chain solutions&quot;,&quot;author&quot;:[{&quot;family&quot;:&quot;LeBaron&quot;,&quot;given&quot;:&quot;Genevieve&quot;,&quot;parse-names&quot;:false,&quot;dropping-particle&quot;:&quot;&quot;,&quot;non-dropping-particle&quot;:&quot;&quot;},{&quot;family&quot;:&quot;Lister&quot;,&quot;given&quot;:&quot;Jane&quot;,&quot;parse-names&quot;:false,&quot;dropping-particle&quot;:&quot;&quot;,&quot;non-dropping-particle&quot;:&quot;&quot;}],&quot;container-title&quot;:&quot;Review of International Political Economy&quot;,&quot;container-title-short&quot;:&quot;Rev Int Polit Econ&quot;,&quot;DOI&quot;:&quot;10.1080/09692290.2021.1956993&quot;,&quot;ISSN&quot;:&quot;14664526&quot;,&quot;issued&quot;:{&quot;date-parts&quot;:[[2021]]},&quot;page&quot;:&quot;669-695&quot;,&quot;abstract&quot;:&quot;Within the international political economy (IPE) literature on global supply chains, there is growing debate about the effectiveness of private global supply chain solutions to address social and environmental problems. Most scholarship takes supply chain solutions at face value, investigating the circumstances under which they are effective, lacking, and how effectiveness could be incrementally improved. These studies have helpfully investigated operational and procedural issues associated with private governance and relationships between stakeholders in standard-setting processes. But the literature often loses sight of broader and more fundamental questions about whether or not private governance initiatives are actually working to solve the problems they’ve been established to address, like pollution, modern slavery, and global North and South inequalities. In this introduction to the Review of International Political Economy special issue on the hidden costs of global supply chains, we analyse key trends in the effectiveness of private governance solutions, drawing on our literature review of 290 academic journal articles and contributions within this collection. We argue that not only are global supply chain solutions falling short when it comes to many of the indicators that matter most, but they come with hidden costs–including unintended consequences, perverse effects, and unacknowledged impacts.&quot;,&quot;publisher&quot;:&quot;Routledge&quot;,&quot;issue&quot;:&quot;3&quot;,&quot;volume&quot;:&quot;29&quot;},&quot;isTemporary&quot;:false},{&quot;id&quot;:&quot;bede0932-88b3-3999-85dc-3d20c3b34ca5&quot;,&quot;itemData&quot;:{&quot;type&quot;:&quot;article-journal&quot;,&quot;id&quot;:&quot;bede0932-88b3-3999-85dc-3d20c3b34ca5&quot;,&quot;title&quot;:&quot;Governance gaps in eradicating forced labor: From global to domestic supply chains&quot;,&quot;author&quot;:[{&quot;family&quot;:&quot;Crane&quot;,&quot;given&quot;:&quot;Andrew&quot;,&quot;parse-names&quot;:false,&quot;dropping-particle&quot;:&quot;&quot;,&quot;non-dropping-particle&quot;:&quot;&quot;},{&quot;family&quot;:&quot;LeBaron&quot;,&quot;given&quot;:&quot;Genevieve&quot;,&quot;parse-names&quot;:false,&quot;dropping-particle&quot;:&quot;&quot;,&quot;non-dropping-particle&quot;:&quot;&quot;},{&quot;family&quot;:&quot;Allain&quot;,&quot;given&quot;:&quot;Jean&quot;,&quot;parse-names&quot;:false,&quot;dropping-particle&quot;:&quot;&quot;,&quot;non-dropping-particle&quot;:&quot;&quot;},{&quot;family&quot;:&quot;Behbahani&quot;,&quot;given&quot;:&quot;Laya&quot;,&quot;parse-names&quot;:false,&quot;dropping-particle&quot;:&quot;&quot;,&quot;non-dropping-particle&quot;:&quot;&quot;}],&quot;container-title&quot;:&quot;Regulation and Governance&quot;,&quot;container-title-short&quot;:&quot;Regul Gov&quot;,&quot;DOI&quot;:&quot;10.1111/rego.12162&quot;,&quot;ISSN&quot;:&quot;17485991&quot;,&quot;issued&quot;:{&quot;date-parts&quot;:[[2019,3,1]]},&quot;page&quot;:&quot;86-106&quot;,&quot;abstract&quot;:&quot;A growing body of scholarship analyzes the emergence and resilience of forced labor in developing countries within global value chains. However, little is known about how forced labor arises within domestic supply chains concentrated within national borders, producing products for domestic consumption. We conduct one of the first studies of forced labor in domestic supply chains, through a cross-industry comparison of the regulatory gaps surrounding forced labor in the United Kingdom. We find that understanding the dynamics of forced labor in domestic supply chains requires us to conceptually modify the global value chain framework to understand similarities and differences across these contexts. We conclude that addressing the governance gaps that surround forced labor will require scholars and policymakers to carefully refine their thinking about how we might design operative governance that effectively engages with local variation.&quot;,&quot;publisher&quot;:&quot;Blackwell Publishing&quot;,&quot;issue&quot;:&quot;1&quot;,&quot;volume&quot;:&quot;13&quot;},&quot;isTemporary&quot;:false}],&quot;citationTag&quot;:&quot;MENDELEY_CITATION_v3_eyJjaXRhdGlvbklEIjoiTUVOREVMRVlfQ0lUQVRJT05fYWZiZDE5OTQtZTNhNy00ZTFjLTlmZDQtZjcwYzg5ZDZmMzM1IiwicHJvcGVydGllcyI6eyJub3RlSW5kZXgiOjB9LCJpc0VkaXRlZCI6ZmFsc2UsIm1hbnVhbE92ZXJyaWRlIjp7ImlzTWFudWFsbHlPdmVycmlkZGVuIjpmYWxzZSwiY2l0ZXByb2NUZXh0IjoiKENyYW5lIDxpPmV0IGFsLjwvaT4sIDIwMTk7IExlQmFyb24gYW5kIExpc3RlciwgMjAyMS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&quot;},{&quot;citationID&quot;:&quot;MENDELEY_CITATION_a6f8da5f-e256-460f-84e3-21962ada81b7&quot;,&quot;properties&quot;:{&quot;noteIndex&quot;:0},&quot;isEdited&quot;:false,&quot;manualOverride&quot;:{&quot;isManuallyOverridden&quot;:false,&quot;citeprocText&quot;:&quot;(DiMaggio and Powell, 1983; Scott, 2013)&quot;,&quot;manualOverrideText&quot;:&quot;&quot;},&quot;citationItems&quot;:[{&quot;id&quot;:&quot;35b1318a-d8c2-35da-bfd6-83055b74aac9&quot;,&quot;itemData&quot;:{&quot;type&quot;:&quot;article-journal&quot;,&quot;id&quot;:&quot;35b1318a-d8c2-35da-bfd6-83055b74aac9&quot;,&quot;title&quot;:&quot;The Iron Cage Revisited: Institutional Isomorphism and Collective Rationality in Organizational Fields&quot;,&quot;author&quot;:[{&quot;family&quot;:&quot;DiMaggio&quot;,&quot;given&quot;:&quot;Paul J&quot;,&quot;parse-names&quot;:false,&quot;dropping-particle&quot;:&quot;&quot;,&quot;non-dropping-particle&quot;:&quot;&quot;},{&quot;family&quot;:&quot;Powell&quot;,&quot;given&quot;:&quot;Walter W&quot;,&quot;parse-names&quot;:false,&quot;dropping-particle&quot;:&quot;&quot;,&quot;non-dropping-particle&quot;:&quot;&quot;}],&quot;container-title&quot;:&quot; American Sociological Review&quot;,&quot;issued&quot;:{&quot;date-parts&quot;:[[1983,4]]},&quot;page&quot;:&quot;147-160&quot;,&quot;publisher&quot;:&quot;American Sociological Review&quot;,&quot;issue&quot;:&quot;2&quot;,&quot;volume&quot;:&quot;48&quot;,&quot;container-title-short&quot;:&quot;&quot;},&quot;isTemporary&quot;:false},{&quot;id&quot;:&quot;7dbc9f95-64f2-3402-acb9-4000f896b765&quot;,&quot;itemData&quot;:{&quot;type&quot;:&quot;book&quot;,&quot;id&quot;:&quot;7dbc9f95-64f2-3402-acb9-4000f896b765&quot;,&quot;title&quot;:&quot;Institutions and organizations: Ideas, interests, and identities&quot;,&quot;author&quot;:[{&quot;family&quot;:&quot;Scott&quot;,&quot;given&quot;:&quot;W R.&quot;,&quot;parse-names&quot;:false,&quot;dropping-particle&quot;:&quot;&quot;,&quot;non-dropping-particle&quot;:&quot;&quot;}],&quot;editor&quot;:[{&quot;family&quot;:&quot;Thousand Oaks&quot;,&quot;given&quot;:&quot;&quot;,&quot;parse-names&quot;:false,&quot;dropping-particle&quot;:&quot;&quot;,&quot;non-dropping-particle&quot;:&quot;&quot;}],&quot;issued&quot;:{&quot;date-parts&quot;:[[2013]]},&quot;publisher-place&quot;:&quot;CA&quot;,&quot;number-of-pages&quot;:&quot;1-360&quot;,&quot;edition&quot;:&quot;4&quot;,&quot;publisher&quot;:&quot;Sage Publications&quot;,&quot;container-title-short&quot;:&quot;&quot;},&quot;isTemporary&quot;:false}],&quot;citationTag&quot;:&quot;MENDELEY_CITATION_v3_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&quot;},{&quot;citationID&quot;:&quot;MENDELEY_CITATION_ce1aa7cb-6255-4ff3-b925-edbcdfc28eac&quot;,&quot;properties&quot;:{&quot;noteIndex&quot;:0},&quot;isEdited&quot;:false,&quot;manualOverride&quot;:{&quot;isManuallyOverridden&quot;:false,&quot;citeprocText&quot;:&quot;(Islam and Van Staden, 2022; Meyer and Rowan, 1977)&quot;,&quot;manualOverrideText&quot;:&quot;&quot;},&quot;citationItems&quot;:[{&quot;id&quot;:&quot;0a89eba6-a14d-3dd8-8269-b0f932f1af67&quot;,&quot;itemData&quot;:{&quot;type&quot;:&quot;report&quot;,&quot;id&quot;:&quot;0a89eba6-a14d-3dd8-8269-b0f932f1af67&quot;,&quot;title&quot;:&quot;Institutionalized Organizations: Formal Structure as Myth and Ceremony&quot;,&quot;author&quot;:[{&quot;family&quot;:&quot;Meyer&quot;,&quot;given&quot;:&quot;John W&quot;,&quot;parse-names&quot;:false,&quot;dropping-particle&quot;:&quot;&quot;,&quot;non-dropping-particle&quot;:&quot;&quot;},{&quot;family&quot;:&quot;Rowan&quot;,&quot;given&quot;:&quot;Brian&quot;,&quot;parse-names&quot;:false,&quot;dropping-particle&quot;:&quot;&quot;,&quot;non-dropping-particle&quot;:&quot;&quot;}],&quot;container-title&quot;:&quot;American Journal of Sociology&quot;,&quot;URL&quot;:&quot;https://about.jstor.org/terms&quot;,&quot;issued&quot;:{&quot;date-parts&quot;:[[1977]]},&quot;number-of-pages&quot;:&quot;340-363&quot;,&quot;issue&quot;:&quot;2&quot;,&quot;volume&quot;:&quot;83&quot;,&quot;container-title-short&quot;:&quot;&quot;},&quot;isTemporary&quot;:false},{&quot;id&quot;:&quot;82b24819-91de-3dcf-a528-5b420cd933ab&quot;,&quot;itemData&quot;:{&quot;type&quot;:&quot;article-journal&quot;,&quot;id&quot;:&quot;82b24819-91de-3dcf-a528-5b420cd933ab&quot;,&quot;title&quot;:&quot;Modern Slavery Disclosure Regulation and Global Supply Chains: Insights from Stakeholder Narratives on the UK Modern Slavery Act&quot;,&quot;author&quot;:[{&quot;family&quot;:&quot;Islam&quot;,&quot;given&quot;:&quot;Muhammad  Azizul&quot;,&quot;parse-names&quot;:false,&quot;dropping-particle&quot;:&quot;&quot;,&quot;non-dropping-particle&quot;:&quot;&quot;},{&quot;family&quot;:&quot;Staden&quot;,&quot;given&quot;:&quot;C J&quot;,&quot;parse-names&quot;:false,&quot;dropping-particle&quot;:&quot;&quot;,&quot;non-dropping-particle&quot;:&quot;Van&quot;}],&quot;container-title&quot;:&quot;Journal of Business Ethics&quot;,&quot;DOI&quot;:&quot;10.1007/s10551-021-04878-1&quot;,&quot;ISSN&quot;:&quot;15730697&quot;,&quot;issued&quot;:{&quot;date-parts&quot;:[[2022,10,1]]},&quot;page&quot;:&quot;455-479&quot;,&quot;abstract&quot;:&quot;The purpose of this article is to problematise a particular social transparency and disclosure regulation in the UK, that transcend national boundaries in order to control (modern) slavery in supply chains operating in the developing world. Drawing on notions from the regulatory and sociology literature, i.e. transparency and normativity, and by interviewing anti-slavery activists and experts, this study explores the limitations of the disclosure and transparency requirements of the UK Modern Slavery Act and, more specifically, how anti-slavery activists experience and interpret the new regulations and the regulators’ implementation of the regulation. This research found limited confidence among anti-slavery activists regarding the Act’s call for transparency in relation to the elimination of slavery from global supply chains. The research also found that the limits of the transparency provisions within the Act appear to hinder the attainment of normativity. This study provides new and unique insights into the critical role that social activists play in exposing the lack of corporate transparency and failures of responsibility to protect workers within global supply chains.&quot;,&quot;publisher&quot;:&quot;Springer Science and Business Media B.V.&quot;,&quot;issue&quot;:&quot;2&quot;,&quot;volume&quot;:&quot;180&quot;,&quot;container-title-short&quot;:&quot;&quot;},&quot;isTemporary&quot;:false}],&quot;citationTag&quot;:&quot;MENDELEY_CITATION_v3_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&quot;},{&quot;citationID&quot;:&quot;MENDELEY_CITATION_10bc8852-0ce0-4345-b929-602e62127182&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MTBiYzg4NTItMGNlMC00MzQ1LWI5MjktNjAyZTYyMTI3MTgy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7b61858a-736c-45b6-a3d7-830f694ef43d&quot;,&quot;properties&quot;:{&quot;noteIndex&quot;:0},&quot;isEdited&quot;:false,&quot;manualOverride&quot;:{&quot;isManuallyOverridden&quot;:false,&quot;citeprocText&quot;:&quot;(Lewis &lt;i&gt;et al.&lt;/i&gt;, 2015; Muthuthantrige &lt;i&gt;et al.&lt;/i&gt;, 2026)&quot;,&quot;manualOverrideText&quot;:&quot;&quot;},&quot;citationItems&quot;:[{&quot;id&quot;:&quot;7710a3e5-f12c-30c6-89a8-1f6e86e4fa8c&quot;,&quot;itemData&quot;:{&quot;type&quot;:&quot;article-journal&quot;,&quot;id&quot;:&quot;7710a3e5-f12c-30c6-89a8-1f6e86e4fa8c&quot;,&quot;title&quot;:&quot;Hyper-precarious lives: Migrants, work and forced labour in the Global North&quot;,&quot;author&quot;:[{&quot;family&quot;:&quot;Lewis&quot;,&quot;given&quot;:&quot;Hannah&quot;,&quot;parse-names&quot;:false,&quot;dropping-particle&quot;:&quot;&quot;,&quot;non-dropping-particle&quot;:&quot;&quot;},{&quot;family&quot;:&quot;Dwyer&quot;,&quot;given&quot;:&quot;Peter&quot;,&quot;parse-names&quot;:false,&quot;dropping-particle&quot;:&quot;&quot;,&quot;non-dropping-particle&quot;:&quot;&quot;},{&quot;family&quot;:&quot;Hodkinson&quot;,&quot;given&quot;:&quot;Stuart&quot;,&quot;parse-names&quot;:false,&quot;dropping-particle&quot;:&quot;&quot;,&quot;non-dropping-particle&quot;:&quot;&quot;},{&quot;family&quot;:&quot;Waite&quot;,&quot;given&quot;:&quot;Louise&quot;,&quot;parse-names&quot;:false,&quot;dropping-particle&quot;:&quot;&quot;,&quot;non-dropping-particle&quot;:&quot;&quot;}],&quot;container-title&quot;:&quot;Progress in Human Geography&quot;,&quot;container-title-short&quot;:&quot;Prog Hum Geogr&quot;,&quot;DOI&quot;:&quot;10.1177/0309132514548303&quot;,&quot;ISSN&quot;:&quot;14770288&quot;,&quot;issued&quot;:{&quot;date-parts&quot;:[[2015,10,30]]},&quot;page&quot;:&quot;580-600&quot;,&quot;abstract&quot;:&quot;This paper unpacks the contested inter-connections between neoliberal work and welfare regimes, asylum and immigration controls, and the exploitation of migrant workers. The concept of precarity is explored as a way of understanding intensifying and insecure post-Fordist work in late capitalism. Migrants are centrally implicated in highly precarious work experiences at the bottom end of labour markets in Global North countries, including becoming trapped in forced labour. Building on existing research on the working experiences of migrants in the Global North, the main part of the article considers three questions. First, what is precarity and how does the concept relate to working lives? Second, how might we understand the causes of extreme forms of migrant labour exploitation in precarious lifeworlds? Third, how can we adequately theorize these particular experiences using the conceptual tools of forced labour, slavery, unfreedom and precarity? We use the concept of ‘hyper-precarity’ alongside notions of a ‘continuum of unfreedom’ as a way of furthering human geographical inquiry into the intersections between various terrains of social action and conceptual debate concerning migrants’ precarious working experiences.&quot;,&quot;publisher&quot;:&quot;SAGE Publications Ltd&quot;,&quot;issue&quot;:&quot;5&quot;,&quot;volume&quot;:&quot;39&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d358a8c0-5bd0-4340-8384-04674736adfe&quot;,&quot;properties&quot;:{&quot;noteIndex&quot;:0},&quot;isEdited&quot;:false,&quot;manualOverride&quot;:{&quot;isManuallyOverridden&quot;:false,&quot;citeprocText&quot;:&quot;(Anner, 2020; Barrientos, 2019)&quot;,&quot;manualOverrideText&quot;:&quot;&quot;},&quot;citationItems&quot;:[{&quot;id&quot;:&quot;0890c099-c15c-310e-b536-e2863b8bc94c&quot;,&quot;itemData&quot;:{&quot;type&quot;:&quot;report&quot;,&quot;id&quot;:&quot;0890c099-c15c-310e-b536-e2863b8bc94c&quot;,&quot;title&quot;:&quot;Abandoned? The impact of Covid-19 on Workers and Businesses at the Boom of Global Garment Supply Chains&quot;,&quot;author&quot;:[{&quot;family&quot;:&quot;Anner&quot;,&quot;given&quot;:&quot;Mark&quot;,&quot;parse-names&quot;:false,&quot;dropping-particle&quot;:&quot;&quot;,&quot;non-dropping-particle&quot;:&quot;&quot;}],&quot;URL&quot;:&quot;www.ilo.org/global/about-the-ilo/newsroom/news/WCMS_738742/lang--en/index.htm.&quot;,&quot;issued&quot;:{&quot;date-parts&quot;:[[2020]]},&quot;number-of-pages&quot;:&quot;1-18&quot;,&quot;abstract&quot;:&quot;Executive Summary e global Covid-19 pandemic has had a devastating impact on global garment supply chains, and the situation will get far worse before it gets beer. As clothing outlets have been shut by lockdowns in developed market economies , sinking demand for apparel, brands and retailers have moved quickly to cancel or postpone production orders-refusing, in many cases, to pay for clothing their supplier factories have already produced. e result has been the partial or complete shutdown of thousands of factories in producing countries. As a result, millions of factory workers have been sent home, oen without legally-mandated pay or severance. is Research Brief draws from responses from an online survey of Bangladesh employers, administered between March 21 and March 25, 2020, to document these trends. It reveals the devastating impact order cancellations have had on businesses and on workers. Crucially, it illustrates the extreme fragility of a system based on decades of buyers squeezing down on prices paid to suppliers: factory closures, unpaid workers with no savings to survive the hard times ahead, and a government with such a low tax revenue that it has very limited ability to provide meaningful support to workers and the industry. 1. Since the coronavirus pandemic took hold, more than half of Bangladesh suppliers have had the bulk of their in-process, or already completed, production canceled (45.8% of suppliers report that 'a lot' to 'most' of their nearly completed or entirely completed orders have been canceled by their buyers; 5.9% had all of these orders canceled). is is despite the fact that buyers have a contractual obligation to pay for these orders. But many are making dubious use of general force majeure clauses to justify their violations of the terms of the contract. 2. When orders were canceled, 72.1% of buyers refused to pay for raw materials (fabric, etc.) already purchased by the supplier, and 91.3% of buyers refused to pay for the cut-make-trim cost (production cost) of the supplier. As a result of order cancellations and lack of payment, 58% of factories surveyed report having to shutdown most or all of their operations.&quot;,&quot;container-title-short&quot;:&quot;&quot;},&quot;isTemporary&quot;:false},{&quot;id&quot;:&quot;018d63f9-cdbb-389a-a0f1-15bd7c738a51&quot;,&quot;itemData&quot;:{&quot;type&quot;:&quot;book&quot;,&quot;id&quot;:&quot;018d63f9-cdbb-389a-a0f1-15bd7c738a51&quot;,&quot;title&quot;:&quot;Gender and Work in Global Value Chains&quot;,&quot;author&quot;:[{&quot;family&quot;:&quot;Barrientos&quot;,&quot;given&quot;:&quot;Stephanie&quot;,&quot;parse-names&quot;:false,&quot;dropping-particle&quot;:&quot;&quot;,&quot;non-dropping-particle&quot;:&quot;&quot;}],&quot;DOI&quot;:&quot;10.1017/9781108679459&quot;,&quot;ISBN&quot;:&quot;9781108492317&quot;,&quot;issued&quot;:{&quot;date-parts&quot;:[[2019,6,30]]},&quot;publisher&quot;:&quot;Cambridge University Press&quot;,&quot;container-title-short&quot;:&quot;&quot;},&quot;isTemporary&quot;:false}],&quot;citationTag&quot;:&quot;MENDELEY_CITATION_v3_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&quot;},{&quot;citationID&quot;:&quot;MENDELEY_CITATION_fa31ba6a-eb75-4eda-8093-6b479c5a96c1&quot;,&quot;properties&quot;:{&quot;noteIndex&quot;:0},&quot;isEdited&quot;:false,&quot;manualOverride&quot;:{&quot;isManuallyOverridden&quot;:false,&quot;citeprocText&quot;:&quot;(LeBaron and Lister, 2021; Parsa &lt;i&gt;et al.&lt;/i&gt;, 2018)&quot;,&quot;manualOverrideText&quot;:&quot;&quot;},&quot;citationItems&quot;:[{&quot;id&quot;:&quot;b00c8dd3-fe27-3b3b-8812-f171b9f1dfaf&quot;,&quot;itemData&quot;:{&quot;type&quot;:&quot;article-journal&quot;,&quot;id&quot;:&quot;b00c8dd3-fe27-3b3b-8812-f171b9f1dfaf&quot;,&quot;title&quot;:&quot;The hidden costs of global supply chain solutions&quot;,&quot;author&quot;:[{&quot;family&quot;:&quot;LeBaron&quot;,&quot;given&quot;:&quot;Genevieve&quot;,&quot;parse-names&quot;:false,&quot;dropping-particle&quot;:&quot;&quot;,&quot;non-dropping-particle&quot;:&quot;&quot;},{&quot;family&quot;:&quot;Lister&quot;,&quot;given&quot;:&quot;Jane&quot;,&quot;parse-names&quot;:false,&quot;dropping-particle&quot;:&quot;&quot;,&quot;non-dropping-particle&quot;:&quot;&quot;}],&quot;container-title&quot;:&quot;Review of International Political Economy&quot;,&quot;container-title-short&quot;:&quot;Rev Int Polit Econ&quot;,&quot;DOI&quot;:&quot;10.1080/09692290.2021.1956993&quot;,&quot;ISSN&quot;:&quot;14664526&quot;,&quot;issued&quot;:{&quot;date-parts&quot;:[[2021]]},&quot;page&quot;:&quot;669-695&quot;,&quot;abstract&quot;:&quot;Within the international political economy (IPE) literature on global supply chains, there is growing debate about the effectiveness of private global supply chain solutions to address social and environmental problems. Most scholarship takes supply chain solutions at face value, investigating the circumstances under which they are effective, lacking, and how effectiveness could be incrementally improved. These studies have helpfully investigated operational and procedural issues associated with private governance and relationships between stakeholders in standard-setting processes. But the literature often loses sight of broader and more fundamental questions about whether or not private governance initiatives are actually working to solve the problems they’ve been established to address, like pollution, modern slavery, and global North and South inequalities. In this introduction to the Review of International Political Economy special issue on the hidden costs of global supply chains, we analyse key trends in the effectiveness of private governance solutions, drawing on our literature review of 290 academic journal articles and contributions within this collection. We argue that not only are global supply chain solutions falling short when it comes to many of the indicators that matter most, but they come with hidden costs–including unintended consequences, perverse effects, and unacknowledged impacts.&quot;,&quot;publisher&quot;:&quot;Routledge&quot;,&quot;issue&quot;:&quot;3&quot;,&quot;volume&quot;:&quot;29&quot;},&quot;isTemporary&quot;:false},{&quot;id&quot;:&quot;4423ce05-aeda-3fda-a556-caf48691b8e4&quot;,&quot;itemData&quot;:{&quot;type&quot;:&quot;article-journal&quot;,&quot;id&quot;:&quot;4423ce05-aeda-3fda-a556-caf48691b8e4&quot;,&quot;title&quot;:&quot;Have labour practices and human rights disclosures enhanced corporate accountability? The case of the GRI framework&quot;,&quot;author&quot;:[{&quot;family&quot;:&quot;Parsa&quot;,&quot;given&quot;:&quot;Sepideh&quot;,&quot;parse-names&quot;:false,&quot;dropping-particle&quot;:&quot;&quot;,&quot;non-dropping-particle&quot;:&quot;&quot;},{&quot;family&quot;:&quot;Roper&quot;,&quot;given&quot;:&quot;Ian&quot;,&quot;parse-names&quot;:false,&quot;dropping-particle&quot;:&quot;&quot;,&quot;non-dropping-particle&quot;:&quot;&quot;},{&quot;family&quot;:&quot;Muller-Camen&quot;,&quot;given&quot;:&quot;Michael&quot;,&quot;parse-names&quot;:false,&quot;dropping-particle&quot;:&quot;&quot;,&quot;non-dropping-particle&quot;:&quot;&quot;},{&quot;family&quot;:&quot;Szigetvari&quot;,&quot;given&quot;:&quot;Eva&quot;,&quot;parse-names&quot;:false,&quot;dropping-particle&quot;:&quot;&quot;,&quot;non-dropping-particle&quot;:&quot;&quot;}],&quot;container-title&quot;:&quot;Accounting Forum&quot;,&quot;ISSN&quot;:&quot;14676303&quot;,&quot;issued&quot;:{&quot;date-parts&quot;:[[2018,3,1]]},&quot;page&quot;:&quot;47-64&quot;,&quot;abstract&quot;:&quot;This paper critically evaluates Transnational Corporations’ (TNCs) claimed adherence to the Global Reporting Initiative (GRI)’s ‘labour’ and ‘human rights’ reporting guidelines and examines how successful the GRI has been in enhancing comparability and transparency. We found limited evidence of TNCs discharging their accountability to their workforce and, rather, we found evidence to suggest that disclosure was motivated more by enhancing their legitimacy. TNCs failed to adhere to the guidelines, which meant that material information items were often missing, rendering comparability of information meaningless. Instead, TNCs reported large volumes of generic/anecdotal information without acknowledging the impediments they faced in practice.&quot;,&quot;publisher&quot;:&quot;Elsevier Ltd&quot;,&quot;issue&quot;:&quot;1&quot;,&quot;volume&quot;:&quot;42&quot;,&quot;container-title-short&quot;:&quot;&quot;},&quot;isTemporary&quot;:false}],&quot;citationTag&quot;:&quot;MENDELEY_CITATION_v3_eyJjaXRhdGlvbklEIjoiTUVOREVMRVlfQ0lUQVRJT05fZmEzMWJhNmEtZWI3NS00ZWRhLTgwOTMtNmI0NzljNWE5NmMxIiwicHJvcGVydGllcyI6eyJub3RlSW5kZXgiOjB9LCJpc0VkaXRlZCI6ZmFsc2UsIm1hbnVhbE92ZXJyaWRlIjp7ImlzTWFudWFsbHlPdmVycmlkZGVuIjpmYWxzZSwiY2l0ZXByb2NUZXh0IjoiKExlQmFyb24gYW5kIExpc3RlciwgMjAyMTsgUGFyc2EgPGk+ZXQgYWwuPC9pPiwgMjAxOC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&quot;},{&quot;citationID&quot;:&quot;MENDELEY_CITATION_464c8b23-13f8-4900-ade2-5901c23db9ec&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DY0YzhiMjMtMTNmOC00OTAwLWFkZTItNTkwMWMyM2RiOWVj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505bf97f-d413-456b-b0e7-eff4bd676be6&quot;,&quot;properties&quot;:{&quot;noteIndex&quot;:0},&quot;isEdited&quot;:false,&quot;manualOverride&quot;:{&quot;isManuallyOverridden&quot;:false,&quot;citeprocText&quot;:&quot;(EDB, 2024; International Trade Union Confederation (ITUC), 2010)&quot;,&quot;manualOverrideText&quot;:&quot;&quot;},&quot;citationItems&quot;:[{&quot;id&quot;:&quot;0296c268-fdb2-3ba2-9662-0a7af2774c81&quot;,&quot;itemData&quot;:{&quot;type&quot;:&quot;webpage&quot;,&quot;id&quot;:&quot;0296c268-fdb2-3ba2-9662-0a7af2774c81&quot;,&quot;title&quot;:&quot;Why Sri Lankan Apparel?&quot;,&quot;author&quot;:[{&quot;family&quot;:&quot;EDB&quot;,&quot;given&quot;:&quot;&quot;,&quot;parse-names&quot;:false,&quot;dropping-particle&quot;:&quot;&quot;,&quot;non-dropping-particle&quot;:&quot;&quot;}],&quot;accessed&quot;:{&quot;date-parts&quot;:[[2024,2,24]]},&quot;URL&quot;:&quot;https://www.srilankabusiness.com/apparel/why-sri-lankan-apparel.html&quot;,&quot;issued&quot;:{&quot;date-parts&quot;:[[2024]]},&quot;container-title-short&quot;:&quot;&quot;},&quot;isTemporary&quot;:false},{&quot;id&quot;:&quot;1a4d622d-b42a-36d6-91d3-f853b5714d82&quot;,&quot;itemData&quot;:{&quot;type&quot;:&quot;report&quot;,&quot;id&quot;:&quot;1a4d622d-b42a-36d6-91d3-f853b5714d82&quot;,&quot;title&quot;:&quot;Internationally recognised core labour standards in Sri Lanka: Report for the WTO General Council review trade policies of Sri Lanka&quot;,&quot;author&quot;:[{&quot;family&quot;:&quot;International Trade Union Confederation (ITUC)&quot;,&quot;given&quot;:&quot;&quot;,&quot;parse-names&quot;:false,&quot;dropping-particle&quot;:&quot;&quot;,&quot;non-dropping-particle&quot;:&quot;&quot;}],&quot;issued&quot;:{&quot;date-parts&quot;:[[2010,5,3]]},&quot;publisher-place&quot;:&quot;Geneva&quot;,&quot;abstract&quot;:&quot;EXECUTIVE SUMMARY Sri Lanka has ratified all eight core ILO labour Conventions, but has fallen far short of implementing these conventions and continues to restrict trade union rights. Determined measures are needed to comply with the commitments Sri Lanka accepted in several WTO Ministerial Declarations and in the ILO's Declaration on Fundamental Principles and Rights at Work and Social Justice Declaration. Sri Lanka maintains some legal restrictions on union organising and collective bargaining. In practice, the right to organise and the right to collective bargaining are often violated, especially in the Export Processing Zones. Discrimination is prohibited by law in the public sector, but not in the private sector. Some jobs explicitly pay different wages for men and women. More generally, women are concentrated in low-wage and low-skill sectors. Child labour is prevalent in Sri Lanka, particularly in agriculture. Forced labour exists in prostitution and domestic work. In response to human rights violations in Sri Lanka, the European Union (EU) recently revoked trade preferences previously granted under its Generalised System of Preferences. The United States Trade Representative is reviewing whether Sri Lanka meets the American Generalized System of Preferences criteria on workers' rights.&quot;,&quot;container-title-short&quot;:&quot;&quot;},&quot;isTemporary&quot;:false}],&quot;citationTag&quot;:&quot;MENDELEY_CITATION_v3_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&quot;},{&quot;citationID&quot;:&quot;MENDELEY_CITATION_cf04bb5e-b0c6-4308-8c02-bcbb8f56c449&quot;,&quot;properties&quot;:{&quot;noteIndex&quot;:0},&quot;isEdited&quot;:false,&quot;manualOverride&quot;:{&quot;isManuallyOverridden&quot;:true,&quot;citeprocText&quot;:&quot;(Export Development Board (EDB), 2025)&quot;,&quot;manualOverrideText&quot;:&quot;Export Development Board (EDB) (2025)&quot;},&quot;citationItems&quot;:[{&quot;id&quot;:&quot;1fae3112-edc5-30f1-8932-d97e3fbf8d03&quot;,&quot;itemData&quot;:{&quot;type&quot;:&quot;report&quot;,&quot;id&quot;:&quot;1fae3112-edc5-30f1-8932-d97e3fbf8d03&quot;,&quot;title&quot;:&quot;Industry Capability Report: Sri Lankan Apparel Sector&quot;,&quot;author&quot;:[{&quot;family&quot;:&quot;Export Development Board (EDB)&quot;,&quot;given&quot;:&quot;&quot;,&quot;parse-names&quot;:false,&quot;dropping-particle&quot;:&quot;&quot;,&quot;non-dropping-particle&quot;:&quot;&quot;}],&quot;accessed&quot;:{&quot;date-parts&quot;:[[2025,8,4]]},&quot;URL&quot;:&quot;https://www.srilankabusiness.com/ebooks/industry-capability-report-apparel-2025.pdf&quot;,&quot;issued&quot;:{&quot;date-parts&quot;:[[2025,2]]},&quot;number-of-pages&quot;:&quot;1-8&quot;,&quot;container-title-short&quot;:&quot;&quot;},&quot;isTemporary&quot;:false}],&quot;citationTag&quot;:&quot;MENDELEY_CITATION_v3_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&quot;},{&quot;citationID&quot;:&quot;MENDELEY_CITATION_143e5802-2d96-471e-9087-4923b6f405db&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MTQzZTU4MDItMmQ5Ni00NzFlLTkwODctNDkyM2I2ZjQwNWRi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1ac450aa-5ca4-40dd-9ad1-b03080822021&quot;,&quot;properties&quot;:{&quot;noteIndex&quot;:0},&quot;isEdited&quot;:false,&quot;manualOverride&quot;:{&quot;isManuallyOverridden&quot;:true,&quot;citeprocText&quot;:&quot;(Muthuthantrige &lt;i&gt;et al.&lt;/i&gt;, 2026)&quot;,&quot;manualOverrideText&quot;:&quot;Muthuthantrige et al (2026) study, the micro-level interview data were analysed using the six-phase thematic analysis framework (Braun and Clarke, 2006), adapted for labour exploitation and CMS research (see Table&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quot;},{&quot;citationID&quot;:&quot;MENDELEY_CITATION_6bc3e891-b7fa-4609-bb60-bb370c2b45bc&quot;,&quot;properties&quot;:{&quot;noteIndex&quot;:0},&quot;isEdited&quot;:false,&quot;manualOverride&quot;:{&quot;isManuallyOverridden&quot;:false,&quot;citeprocText&quot;:&quot;(Fereday &lt;i&gt;et al.&lt;/i&gt;, 2006)&quot;,&quot;manualOverrideText&quot;:&quot;&quot;},&quot;citationItems&quot;:[{&quot;id&quot;:&quot;508c7ab2-0948-3d84-b946-1e426aad379c&quot;,&quot;itemData&quot;:{&quot;type&quot;:&quot;report&quot;,&quot;id&quot;:&quot;508c7ab2-0948-3d84-b946-1e426aad379c&quot;,&quot;title&quot;:&quot;Demonstrating Rigor Using Thematic Analysis: A Hybrid Approach of Inductive and Deductive Coding and Theme Development&quot;,&quot;author&quot;:[{&quot;family&quot;:&quot;Fereday&quot;,&quot;given&quot;:&quot;Jennifer&quot;,&quot;parse-names&quot;:false,&quot;dropping-particle&quot;:&quot;&quot;,&quot;non-dropping-particle&quot;:&quot;&quot;},{&quot;family&quot;:&quot;Adelaide&quot;,&quot;given&quot;:&quot;North&quot;,&quot;parse-names&quot;:false,&quot;dropping-particle&quot;:&quot;&quot;,&quot;non-dropping-particle&quot;:&quot;&quot;},{&quot;family&quot;:&quot;Australia&quot;,&quot;given&quot;:&quot;South&quot;,&quot;parse-names&quot;:false,&quot;dropping-particle&quot;:&quot;&quot;,&quot;non-dropping-particle&quot;:&quot;&quot;},{&quot;family&quot;:&quot;Eimear Muir-Cochrane&quot;,&quot;given&quot;:&quot;Australia&quot;,&quot;parse-names&quot;:false,&quot;dropping-particle&quot;:&quot;&quot;,&quot;non-dropping-particle&quot;:&quot;&quot;}],&quot;issued&quot;:{&quot;date-parts&quot;:[[2006]]},&quot;abstract&quot;:&quot;In this article, the authors describe how they used a hybrid process of inductive and deductive thematic analysis to interpret raw data in a doctoral study on the role of performance feedback in the self-assessment of nursing practice. The methodological approach integrated data-driven codes with theory-driven ones based on the tenets of social phenomenology. The authors present a detailed exemplar of the staged process of data coding and identification of themes. This process demonstrates how analysis of the raw data from interview transcripts and organizational documents progressed toward the identification of overarching themes that captured the phenomenon of performance feedback as described by participants in the study.&quot;,&quot;container-title-short&quot;:&quot;&quot;},&quot;isTemporary&quot;:false}],&quot;citationTag&quot;:&quot;MENDELEY_CITATION_v3_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&quot;},{&quot;citationID&quot;:&quot;MENDELEY_CITATION_407c2f27-caae-4b7f-a170-7f42eed28490&quot;,&quot;properties&quot;:{&quot;noteIndex&quot;:0},&quot;isEdited&quot;:false,&quot;manualOverride&quot;:{&quot;isManuallyOverridden&quot;:false,&quot;citeprocText&quot;:&quot;(Braun and Clarke, 2006; Creswell, 2014)&quot;,&quot;manualOverrideText&quot;:&quot;&quot;},&quot;citationItems&quot;:[{&quot;id&quot;:&quot;66784f6c-f37b-38f1-8b1e-4c2600289326&quot;,&quot;itemData&quot;:{&quot;type&quot;:&quot;article-journal&quot;,&quot;id&quot;:&quot;66784f6c-f37b-38f1-8b1e-4c2600289326&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id&quot;:&quot;d268c94b-ad95-3170-8ee7-927e2975029c&quot;,&quot;itemData&quot;:{&quot;type&quot;:&quot;book&quot;,&quot;id&quot;:&quot;d268c94b-ad95-3170-8ee7-927e2975029c&quot;,&quot;title&quot;:&quot;Research design: Qualitative, quantitative, and mixed methods approaches&quot;,&quot;author&quot;:[{&quot;family&quot;:&quot;Creswell&quot;,&quot;given&quot;:&quot;J. W&quot;,&quot;parse-names&quot;:false,&quot;dropping-particle&quot;:&quot;&quot;,&quot;non-dropping-particle&quot;:&quot;&quot;}],&quot;issued&quot;:{&quot;date-parts&quot;:[[2014]]},&quot;publisher-place&quot;:&quot;London&quot;,&quot;number-of-pages&quot;:&quot;1-265&quot;,&quot;edition&quot;:&quot;4&quot;,&quot;publisher&quot;:&quot;Sage Publications.&quot;,&quot;container-title-short&quot;:&quot;&quot;},&quot;isTemporary&quot;:false}],&quot;citationTag&quot;:&quot;MENDELEY_CITATION_v3_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&quot;},{&quot;citationID&quot;:&quot;MENDELEY_CITATION_74b585c2-44cc-4337-b8d2-70b042e0b5d2&quot;,&quot;properties&quot;:{&quot;noteIndex&quot;:0},&quot;isEdited&quot;:false,&quot;manualOverride&quot;:{&quot;isManuallyOverridden&quot;:true,&quot;citeprocText&quot;:&quot;(Muthuthantrige &lt;i&gt;et al.&lt;/i&gt;, 2026)&quot;,&quot;manualOverrideText&quot;:&quot;Muthuthantrige et al (2026, p)&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zRiNTg1YzItNDRjYy00MzM3LWI4ZDItNzBiMDQyZTBiNWQyIiwicHJvcGVydGllcyI6eyJub3RlSW5kZXgiOjB9LCJpc0VkaXRlZCI6ZmFsc2UsIm1hbnVhbE92ZXJyaWRlIjp7ImlzTWFudWFsbHlPdmVycmlkZGVuIjp0cnVlLCJjaXRlcHJvY1RleHQiOiIoTXV0aHV0aGFudHJpZ2UgPGk+ZXQgYWwuPC9pPiwgMjAyNikiLCJtYW51YWxPdmVycmlkZVRleHQiOiJNdXRodXRoYW50cmlnZSBldCBhbCAoMjAyNiwgcCk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V19&quot;},{&quot;citationID&quot;:&quot;MENDELEY_CITATION_58b18049-9c47-4f4d-b39f-dae6ebac5e6e&quot;,&quot;properties&quot;:{&quot;noteIndex&quot;:0},&quot;isEdited&quot;:false,&quot;manualOverride&quot;:{&quot;isManuallyOverridden&quot;:false,&quot;citeprocText&quot;:&quot;(Lewis &lt;i&gt;et al.&lt;/i&gt;, 2015; Skrivankova, 2010)&quot;,&quot;manualOverrideText&quot;:&quot;&quot;},&quot;citationItems&quot;:[{&quot;id&quot;:&quot;7710a3e5-f12c-30c6-89a8-1f6e86e4fa8c&quot;,&quot;itemData&quot;:{&quot;type&quot;:&quot;article-journal&quot;,&quot;id&quot;:&quot;7710a3e5-f12c-30c6-89a8-1f6e86e4fa8c&quot;,&quot;title&quot;:&quot;Hyper-precarious lives: Migrants, work and forced labour in the Global North&quot;,&quot;author&quot;:[{&quot;family&quot;:&quot;Lewis&quot;,&quot;given&quot;:&quot;Hannah&quot;,&quot;parse-names&quot;:false,&quot;dropping-particle&quot;:&quot;&quot;,&quot;non-dropping-particle&quot;:&quot;&quot;},{&quot;family&quot;:&quot;Dwyer&quot;,&quot;given&quot;:&quot;Peter&quot;,&quot;parse-names&quot;:false,&quot;dropping-particle&quot;:&quot;&quot;,&quot;non-dropping-particle&quot;:&quot;&quot;},{&quot;family&quot;:&quot;Hodkinson&quot;,&quot;given&quot;:&quot;Stuart&quot;,&quot;parse-names&quot;:false,&quot;dropping-particle&quot;:&quot;&quot;,&quot;non-dropping-particle&quot;:&quot;&quot;},{&quot;family&quot;:&quot;Waite&quot;,&quot;given&quot;:&quot;Louise&quot;,&quot;parse-names&quot;:false,&quot;dropping-particle&quot;:&quot;&quot;,&quot;non-dropping-particle&quot;:&quot;&quot;}],&quot;container-title&quot;:&quot;Progress in Human Geography&quot;,&quot;container-title-short&quot;:&quot;Prog Hum Geogr&quot;,&quot;DOI&quot;:&quot;10.1177/0309132514548303&quot;,&quot;ISSN&quot;:&quot;14770288&quot;,&quot;issued&quot;:{&quot;date-parts&quot;:[[2015,10,30]]},&quot;page&quot;:&quot;580-600&quot;,&quot;abstract&quot;:&quot;This paper unpacks the contested inter-connections between neoliberal work and welfare regimes, asylum and immigration controls, and the exploitation of migrant workers. The concept of precarity is explored as a way of understanding intensifying and insecure post-Fordist work in late capitalism. Migrants are centrally implicated in highly precarious work experiences at the bottom end of labour markets in Global North countries, including becoming trapped in forced labour. Building on existing research on the working experiences of migrants in the Global North, the main part of the article considers three questions. First, what is precarity and how does the concept relate to working lives? Second, how might we understand the causes of extreme forms of migrant labour exploitation in precarious lifeworlds? Third, how can we adequately theorize these particular experiences using the conceptual tools of forced labour, slavery, unfreedom and precarity? We use the concept of ‘hyper-precarity’ alongside notions of a ‘continuum of unfreedom’ as a way of furthering human geographical inquiry into the intersections between various terrains of social action and conceptual debate concerning migrants’ precarious working experiences.&quot;,&quot;publisher&quot;:&quot;SAGE Publications Ltd&quot;,&quot;issue&quot;:&quot;5&quot;,&quot;volume&quot;:&quot;39&quot;},&quot;isTemporary&quot;:false},{&quot;id&quot;:&quot;e4b1b93f-68fc-3ba8-bca1-550f24405012&quot;,&quot;itemData&quot;:{&quot;type&quot;:&quot;book&quot;,&quot;id&quot;:&quot;e4b1b93f-68fc-3ba8-bca1-550f24405012&quot;,&quot;title&quot;:&quot;Between decent work and forced labour: examining the continuum of exploitation&quot;,&quot;author&quot;:[{&quot;family&quot;:&quot;Skrivankova&quot;,&quot;given&quot;:&quot;Klara&quot;,&quot;parse-names&quot;:false,&quot;dropping-particle&quot;:&quot;&quot;,&quot;non-dropping-particle&quot;:&quot;&quot;}],&quot;ISBN&quot;:&quot;9781859357828&quot;,&quot;URL&quot;:&quot;www.jrf.org.uk&quot;,&quot;issued&quot;:{&quot;date-parts&quot;:[[2010]]},&quot;publisher-place&quot;:&quot;York&quot;,&quot;number-of-pages&quot;:&quot;1-38&quot;,&quot;publisher&quot;:&quot;Joseph Rowntree Foundation&quot;,&quot;container-title-short&quot;:&quot;&quot;},&quot;isTemporary&quot;:false}],&quot;citationTag&quot;:&quot;MENDELEY_CITATION_v3_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&quot;},{&quot;citationID&quot;:&quot;MENDELEY_CITATION_90b7fd54-1b01-4da8-bad0-f8de7c4ba22b&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OTBiN2ZkNTQtMWIwMS00ZGE4LWJhZDAtZjhkZTdjNGJhMjJi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fcdccce7-2bb7-47f7-8e11-ba85183d3679&quot;,&quot;properties&quot;:{&quot;noteIndex&quot;:0},&quot;isEdited&quot;:false,&quot;manualOverride&quot;:{&quot;isManuallyOverridden&quot;:false,&quot;citeprocText&quot;:&quot;(LeBaron and Lister, 2021; 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id&quot;:&quot;b00c8dd3-fe27-3b3b-8812-f171b9f1dfaf&quot;,&quot;itemData&quot;:{&quot;type&quot;:&quot;article-journal&quot;,&quot;id&quot;:&quot;b00c8dd3-fe27-3b3b-8812-f171b9f1dfaf&quot;,&quot;title&quot;:&quot;The hidden costs of global supply chain solutions&quot;,&quot;author&quot;:[{&quot;family&quot;:&quot;LeBaron&quot;,&quot;given&quot;:&quot;Genevieve&quot;,&quot;parse-names&quot;:false,&quot;dropping-particle&quot;:&quot;&quot;,&quot;non-dropping-particle&quot;:&quot;&quot;},{&quot;family&quot;:&quot;Lister&quot;,&quot;given&quot;:&quot;Jane&quot;,&quot;parse-names&quot;:false,&quot;dropping-particle&quot;:&quot;&quot;,&quot;non-dropping-particle&quot;:&quot;&quot;}],&quot;container-title&quot;:&quot;Review of International Political Economy&quot;,&quot;container-title-short&quot;:&quot;Rev Int Polit Econ&quot;,&quot;DOI&quot;:&quot;10.1080/09692290.2021.1956993&quot;,&quot;ISSN&quot;:&quot;14664526&quot;,&quot;issued&quot;:{&quot;date-parts&quot;:[[2021]]},&quot;page&quot;:&quot;669-695&quot;,&quot;abstract&quot;:&quot;Within the international political economy (IPE) literature on global supply chains, there is growing debate about the effectiveness of private global supply chain solutions to address social and environmental problems. Most scholarship takes supply chain solutions at face value, investigating the circumstances under which they are effective, lacking, and how effectiveness could be incrementally improved. These studies have helpfully investigated operational and procedural issues associated with private governance and relationships between stakeholders in standard-setting processes. But the literature often loses sight of broader and more fundamental questions about whether or not private governance initiatives are actually working to solve the problems they’ve been established to address, like pollution, modern slavery, and global North and South inequalities. In this introduction to the Review of International Political Economy special issue on the hidden costs of global supply chains, we analyse key trends in the effectiveness of private governance solutions, drawing on our literature review of 290 academic journal articles and contributions within this collection. We argue that not only are global supply chain solutions falling short when it comes to many of the indicators that matter most, but they come with hidden costs–including unintended consequences, perverse effects, and unacknowledged impacts.&quot;,&quot;publisher&quot;:&quot;Routledge&quot;,&quot;issue&quot;:&quot;3&quot;,&quot;volume&quot;:&quot;29&quot;},&quot;isTemporary&quot;:false}],&quot;citationTag&quot;:&quot;MENDELEY_CITATION_v3_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&quot;},{&quot;citationID&quot;:&quot;MENDELEY_CITATION_92e98db6-6eb9-4379-be1b-3432b5e42f4b&quot;,&quot;properties&quot;:{&quot;noteIndex&quot;:0},&quot;isEdited&quot;:false,&quot;manualOverride&quot;:{&quot;isManuallyOverridden&quot;:false,&quot;citeprocText&quot;:&quot;(Creswell, 2014; 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id&quot;:&quot;d268c94b-ad95-3170-8ee7-927e2975029c&quot;,&quot;itemData&quot;:{&quot;type&quot;:&quot;book&quot;,&quot;id&quot;:&quot;d268c94b-ad95-3170-8ee7-927e2975029c&quot;,&quot;title&quot;:&quot;Research design: Qualitative, quantitative, and mixed methods approaches&quot;,&quot;author&quot;:[{&quot;family&quot;:&quot;Creswell&quot;,&quot;given&quot;:&quot;J. W&quot;,&quot;parse-names&quot;:false,&quot;dropping-particle&quot;:&quot;&quot;,&quot;non-dropping-particle&quot;:&quot;&quot;}],&quot;issued&quot;:{&quot;date-parts&quot;:[[2014]]},&quot;publisher-place&quot;:&quot;London&quot;,&quot;number-of-pages&quot;:&quot;1-265&quot;,&quot;edition&quot;:&quot;4&quot;,&quot;publisher&quot;:&quot;Sage Publications.&quot;,&quot;container-title-short&quot;:&quot;&quot;},&quot;isTemporary&quot;:false}],&quot;citationTag&quot;:&quot;MENDELEY_CITATION_v3_eyJjaXRhdGlvbklEIjoiTUVOREVMRVlfQ0lUQVRJT05fOTJlOThkYjYtNmViOS00Mzc5LWJlMWItMzQzMmI1ZTQyZjRiIiwicHJvcGVydGllcyI6eyJub3RlSW5kZXgiOjB9LCJpc0VkaXRlZCI6ZmFsc2UsIm1hbnVhbE92ZXJyaWRlIjp7ImlzTWFudWFsbHlPdmVycmlkZGVuIjpmYWxzZSwiY2l0ZXByb2NUZXh0IjoiKENyZXN3ZWxsLCAyMDE0OyBNdXRodXRoYW50cmlnZSA8aT5ldCBhbC48L2k+LCAyMDI2KSIsIm1hbnVhbE92ZXJyaWRlVGV4dCI6IiJ9LCJjaXRhdGlvbkl0ZW1zIjpb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&quot;},{&quot;citationID&quot;:&quot;MENDELEY_CITATION_29469de7-3d64-4830-88eb-dc3c2fe72f41&quot;,&quot;properties&quot;:{&quot;noteIndex&quot;:0},&quot;isEdited&quot;:false,&quot;manualOverride&quot;:{&quot;isManuallyOverridden&quot;:false,&quot;citeprocText&quot;:&quot;(Ahmad &lt;i&gt;et al.&lt;/i&gt;, 2022; Islam and McPhail, 2011)&quot;,&quot;manualOverrideText&quot;:&quot;&quot;},&quot;citationItems&quot;:[{&quot;id&quot;:&quot;d9fa4c91-5b5f-3da1-86d3-73c794ce750d&quot;,&quot;itemData&quot;:{&quot;type&quot;:&quot;article-journal&quot;,&quot;id&quot;:&quot;d9fa4c91-5b5f-3da1-86d3-73c794ce750d&quot;,&quot;title&quot;:&quot;Regulating for corporate human rights abuses: The emergence of corporate reporting on the ILO's human rights standards within the global garment manufacturing and retail industry&quot;,&quot;author&quot;:[{&quot;family&quot;:&quot;Islam&quot;,&quot;given&quot;:&quot;Muhammad Azizul&quot;,&quot;parse-names&quot;:false,&quot;dropping-particle&quot;:&quot;&quot;,&quot;non-dropping-particle&quot;:&quot;&quot;},{&quot;family&quot;:&quot;McPhail&quot;,&quot;given&quot;:&quot;Ken&quot;,&quot;parse-names&quot;:false,&quot;dropping-particle&quot;:&quot;&quot;,&quot;non-dropping-particle&quot;:&quot;&quot;}],&quot;container-title&quot;:&quot;Critical Perspectives on Accounting&quot;,&quot;DOI&quot;:&quot;10.1016/j.cpa.2011.07.003&quot;,&quot;ISSN&quot;:&quot;10452354&quot;,&quot;issued&quot;:{&quot;date-parts&quot;:[[2011,11]]},&quot;page&quot;:&quot;790-810&quot;,&quot;abstract&quot;:&quot;Despite the ubiquitous nature of the discourse on human rights there is currently little research on the emergence of disclosure by multinational corporations on their human rights obligations or the regulatory dynamic that may lie behind this trend. In an attempt to begin to explore the extent to which, if any, the language of human rights has entered the discourse of corporate accountability, this paper investigates the adoption of the International Labour Organisation's (ILO) human rights standards by major multinational garment retail companies that source products from developing countries, as disclosed through their reporting media. The paper has three objectives. Firstly, to empirically explore the extent to which a group of multinational garment retailers invoke the language of human rights when disclosing their corporate responsibilities. The paper reviews corporate reporting media including social responsibility codes of conduct, annual reports and stand-alone social responsibility reports released by 18 major global clothing and retail companies during a period from 1990 to 2007. We find that the number of companies adopting and disclosing on the ILO's workplace human rights standards has significantly increased since 1998 - the year in which the ILO's standards were endorsed and accepted by the global community (ILO, 1998). Secondly, drawing on a combination of Responsive Regulation theory and neo-institutional theory, we tentatively seek to understand the regulatory space that may have influenced these large corporations to adopt the language of human rights obligations. In particular, we study the role that International Governmental Organisation's (IGO) such as ILO may have played in these disclosures. Finally, we provide some critical reflections on the power and potential within the corporate adoption of the language of human rights. © 2011 Elsevier Ltd.&quot;,&quot;issue&quot;:&quot;8&quot;,&quot;volume&quot;:&quot;22&quot;,&quot;container-title-short&quot;:&quot;&quot;},&quot;isTemporary&quot;:false},{&quot;id&quot;:&quot;ba6f4902-16cf-320a-a1e0-160e11ca8998&quot;,&quot;itemData&quot;:{&quot;type&quot;:&quot;article-journal&quot;,&quot;id&quot;:&quot;ba6f4902-16cf-320a-a1e0-160e11ca8998&quot;,&quot;title&quot;:&quot;COVID-19 and global clothing retailers' responsibility to vulnerable workers: NGO counter-rhetoric&quot;,&quot;author&quot;:[{&quot;family&quot;:&quot;Ahmad&quot;,&quot;given&quot;:&quot;Nglaa&quot;,&quot;parse-names&quot;:false,&quot;dropping-particle&quot;:&quot;&quot;,&quot;non-dropping-particle&quot;:&quot;&quot;},{&quot;family&quot;:&quot;Haque&quot;,&quot;given&quot;:&quot;Shamima&quot;,&quot;parse-names&quot;:false,&quot;dropping-particle&quot;:&quot;&quot;,&quot;non-dropping-particle&quot;:&quot;&quot;},{&quot;family&quot;:&quot;Islam&quot;,&quot;given&quot;:&quot;A.Z&quot;,&quot;parse-names&quot;:false,&quot;dropping-particle&quot;:&quot;&quot;,&quot;non-dropping-particle&quot;:&quot;&quot;}],&quot;container-title&quot;:&quot;Accounting, Auditing and Accountability Journal&quot;,&quot;issued&quot;:{&quot;date-parts&quot;:[[2022,1,3]]},&quot;page&quot;:&quot;216-228&quot;,&quot;abstract&quot;:&quot;Purpose: This article aims to examine how non-governmental organisations (NGOs)' narratives portray the vulnerability of workers in global clothing supply chains during the COVID-19 crisis. Design/methodology/approach: The research analyses the rhetoric in global clothing retailers' and NGOs' counter-rhetoric during the first seven months of 2020. Findings: During this period, retailers employed rhetorical strategies to legitimise irresponsible actions (corporate hegemony prevailed), while NGOs embraced forms of counter-rhetoric trying to delegitimise the retailers' logic, stressing the role of neoliberalism in worsening the situation. Originality/value: The authors contribute to the literature by providing new insight into the consequences of COVID-19 for retailers' neoliberal practices and the livelihood of workers in global supply chains. Findings of this study extend authors’ knowledge about retailers' COVID-19 measures: These have contributed to the plights of workers working for their supply factories in the global South.&quot;,&quot;publisher&quot;:&quot;Emerald Group Holdings Ltd.&quot;,&quot;issue&quot;:&quot;1&quot;,&quot;volume&quot;:&quot;35&quot;,&quot;container-title-short&quot;:&quot;&quot;},&quot;isTemporary&quot;:false}],&quot;citationTag&quot;:&quot;MENDELEY_CITATION_v3_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&quot;},{&quot;citationID&quot;:&quot;MENDELEY_CITATION_61670a67-eff6-4c7c-836e-a8dff8e77c18&quot;,&quot;properties&quot;:{&quot;noteIndex&quot;:0},&quot;isEdited&quot;:false,&quot;manualOverride&quot;:{&quot;isManuallyOverridden&quot;:true,&quot;citeprocText&quot;:&quot;(Muthuthantrige &lt;i&gt;et al.&lt;/i&gt;, 2026)&quot;,&quot;manualOverrideText&quot;:&quot;(Muthuthantrige et al (2026)&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NjE2NzBhNjctZWZmNi00YzdjLTgzNmUtYThkZmY4ZTc3YzE4IiwicHJvcGVydGllcyI6eyJub3RlSW5kZXgiOjB9LCJpc0VkaXRlZCI6ZmFsc2UsIm1hbnVhbE92ZXJyaWRlIjp7ImlzTWFudWFsbHlPdmVycmlkZGVuIjp0cnVlLCJjaXRlcHJvY1RleHQiOiIoTXV0aHV0aGFudHJpZ2UgPGk+ZXQgYWwuPC9pPiwgMjAyNikiLCJtYW51YWxPdmVycmlkZVRleHQiOiIoTXV0aHV0aGFudHJpZ2UgZXQgYWwgKDIwMjYp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cd5f4581-bc9d-4583-8e9a-e766d69c0905&quot;,&quot;properties&quot;:{&quot;noteIndex&quot;:0},&quot;isEdited&quot;:false,&quot;manualOverride&quot;:{&quot;isManuallyOverridden&quot;:false,&quot;citeprocText&quot;:&quot;(Muthuthantrige &lt;i&gt;et al.&lt;/i&gt;, 2026)&quot;,&quot;manualOverrideText&quot;:&quot;&quot;},&quot;citationItems&quot;:[{&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&quot;},{&quot;citationID&quot;:&quot;MENDELEY_CITATION_e5218854-f49c-491d-8a7d-4034a65d9fe0&quot;,&quot;properties&quot;:{&quot;noteIndex&quot;:0},&quot;isEdited&quot;:false,&quot;manualOverride&quot;:{&quot;isManuallyOverridden&quot;:false,&quot;citeprocText&quot;:&quot;(Braun and Clarke, 2006)&quot;,&quot;manualOverrideText&quot;:&quot;&quot;},&quot;citationItems&quot;:[{&quot;id&quot;:&quot;66784f6c-f37b-38f1-8b1e-4c2600289326&quot;,&quot;itemData&quot;:{&quot;type&quot;:&quot;article-journal&quot;,&quot;id&quot;:&quot;66784f6c-f37b-38f1-8b1e-4c2600289326&quot;,&quot;title&quot;:&quot;Using thematic analysis in psychology&quot;,&quot;author&quot;:[{&quot;family&quot;:&quot;Braun&quot;,&quot;given&quot;:&quot;Virginia&quot;,&quot;parse-names&quot;:false,&quot;dropping-particle&quot;:&quot;&quot;,&quot;non-dropping-particle&quot;:&quot;&quot;},{&quot;family&quot;:&quot;Clarke&quot;,&quot;given&quot;:&quot;Victoria&quot;,&quot;parse-names&quot;:false,&quot;dropping-particle&quot;:&quot;&quot;,&quot;non-dropping-particle&quot;:&quot;&quot;}],&quot;container-title&quot;:&quot;Qualitative Research in Psychology&quot;,&quot;container-title-short&quot;:&quot;Qual Res Psychol&quot;,&quot;DOI&quot;:&quot;10.1191/1478088706qp063oa&quot;,&quot;ISSN&quot;:&quot;14780887&quot;,&quot;issued&quot;:{&quot;date-parts&quot;:[[2006]]},&quot;page&quot;:&quot;77-101&quot;,&quot;abstract&quot;:&quot;Thematic analysis is a poorly demarcated, rarely acknowledged, yet widely used qualitative analytic method within psychology. In this paper, we argue that it offers an accessible and theoretically flexible approach to analysing qualitative data. We outline what thematic analysis is, locating it in relation to other qualitative analytic methods that search for themes or patterns, and in relation to different epistemological and ontological positions. We then provide clear guidelines to those wanting to start thematic analysis, or conduct it in a more deliberate and rigorous way, and consider potential pitfalls in conducting thematic analysis. Finally, we outline the disadvantages and advantages of thematic analysis. We conclude by advocating thematic analysis as a useful and flexible method for qualitative research in and beyond psychology. © 2006 Edward Arnold (Publishers) Ltd.&quot;,&quot;issue&quot;:&quot;2&quot;,&quot;volume&quot;:&quot;3&quot;},&quot;isTemporary&quot;:false}],&quot;citationTag&quot;:&quot;MENDELEY_CITATION_v3_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&quot;},{&quot;citationID&quot;:&quot;MENDELEY_CITATION_ba70b23e-8c5a-47b8-8547-abcad7cfc12b&quot;,&quot;properties&quot;:{&quot;noteIndex&quot;:0},&quot;isEdited&quot;:false,&quot;manualOverride&quot;:{&quot;isManuallyOverridden&quot;:false,&quot;citeprocText&quot;:&quot;(LeBaron and Lister, 2021; Muthuthantrige &lt;i&gt;et al.&lt;/i&gt;, 2026)&quot;,&quot;manualOverrideText&quot;:&quot;&quot;},&quot;citationItems&quot;:[{&quot;id&quot;:&quot;b00c8dd3-fe27-3b3b-8812-f171b9f1dfaf&quot;,&quot;itemData&quot;:{&quot;type&quot;:&quot;article-journal&quot;,&quot;id&quot;:&quot;b00c8dd3-fe27-3b3b-8812-f171b9f1dfaf&quot;,&quot;title&quot;:&quot;The hidden costs of global supply chain solutions&quot;,&quot;author&quot;:[{&quot;family&quot;:&quot;LeBaron&quot;,&quot;given&quot;:&quot;Genevieve&quot;,&quot;parse-names&quot;:false,&quot;dropping-particle&quot;:&quot;&quot;,&quot;non-dropping-particle&quot;:&quot;&quot;},{&quot;family&quot;:&quot;Lister&quot;,&quot;given&quot;:&quot;Jane&quot;,&quot;parse-names&quot;:false,&quot;dropping-particle&quot;:&quot;&quot;,&quot;non-dropping-particle&quot;:&quot;&quot;}],&quot;container-title&quot;:&quot;Review of International Political Economy&quot;,&quot;container-title-short&quot;:&quot;Rev Int Polit Econ&quot;,&quot;DOI&quot;:&quot;10.1080/09692290.2021.1956993&quot;,&quot;ISSN&quot;:&quot;14664526&quot;,&quot;issued&quot;:{&quot;date-parts&quot;:[[2021]]},&quot;page&quot;:&quot;669-695&quot;,&quot;abstract&quot;:&quot;Within the international political economy (IPE) literature on global supply chains, there is growing debate about the effectiveness of private global supply chain solutions to address social and environmental problems. Most scholarship takes supply chain solutions at face value, investigating the circumstances under which they are effective, lacking, and how effectiveness could be incrementally improved. These studies have helpfully investigated operational and procedural issues associated with private governance and relationships between stakeholders in standard-setting processes. But the literature often loses sight of broader and more fundamental questions about whether or not private governance initiatives are actually working to solve the problems they’ve been established to address, like pollution, modern slavery, and global North and South inequalities. In this introduction to the Review of International Political Economy special issue on the hidden costs of global supply chains, we analyse key trends in the effectiveness of private governance solutions, drawing on our literature review of 290 academic journal articles and contributions within this collection. We argue that not only are global supply chain solutions falling short when it comes to many of the indicators that matter most, but they come with hidden costs–including unintended consequences, perverse effects, and unacknowledged impacts.&quot;,&quot;publisher&quot;:&quot;Routledge&quot;,&quot;issue&quot;:&quot;3&quot;,&quot;volume&quot;:&quot;29&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quot;},{&quot;citationID&quot;:&quot;MENDELEY_CITATION_6e93393d-3a16-47cb-9aff-82b5ab1b9e3b&quot;,&quot;properties&quot;:{&quot;noteIndex&quot;:0},&quot;isEdited&quot;:false,&quot;manualOverride&quot;:{&quot;isManuallyOverridden&quot;:true,&quot;citeprocText&quot;:&quot;(Walk Free, 2023)&quot;,&quot;manualOverrideText&quot;:&quot;(Walk Free, 2023a, p.25)&quot;},&quot;citationItems&quot;:[{&quot;id&quot;:&quot;47b9b193-1e21-3051-a13f-e2f48fd0e14b&quot;,&quot;itemData&quot;:{&quot;type&quot;:&quot;report&quot;,&quot;id&quot;:&quot;47b9b193-1e21-3051-a13f-e2f48fd0e14b&quot;,&quot;title&quot;:&quot;The global Slavery Index&quot;,&quot;author&quot;:[{&quot;family&quot;:&quot;Walk Free&quot;,&quot;given&quot;:&quot;&quot;,&quot;parse-names&quot;:false,&quot;dropping-particle&quot;:&quot;&quot;,&quot;non-dropping-particle&quot;:&quot;&quot;}],&quot;accessed&quot;:{&quot;date-parts&quot;:[[2023,6,2]]},&quot;URL&quot;:&quot;https://www.walkfree.org/global-slavery-index/downloads/&quot;,&quot;issued&quot;:{&quot;date-parts&quot;:[[2023]]},&quot;number-of-pages&quot;:&quot;1-172&quot;,&quot;container-title-short&quot;:&quot;&quot;},&quot;isTemporary&quot;:false}],&quot;citationTag&quot;:&quot;MENDELEY_CITATION_v3_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&quot;},{&quot;citationID&quot;:&quot;MENDELEY_CITATION_2d47a874-8905-44ee-ba3f-eaf3ec5fdab4&quot;,&quot;properties&quot;:{&quot;noteIndex&quot;:0},&quot;isEdited&quot;:false,&quot;manualOverride&quot;:{&quot;isManuallyOverridden&quot;:false,&quot;citeprocText&quot;:&quot;(Lin and Israel, 2012; Muthuthantrige &lt;i&gt;et al.&lt;/i&gt;, 2026)&quot;,&quot;manualOverrideText&quot;:&quot;&quot;},&quot;citationItems&quot;:[{&quot;id&quot;:&quot;facedb2c-b84e-36bd-91f8-8616966735a8&quot;,&quot;itemData&quot;:{&quot;type&quot;:&quot;article-journal&quot;,&quot;id&quot;:&quot;facedb2c-b84e-36bd-91f8-8616966735a8&quot;,&quot;title&quot;:&quot;Development and validation of a psychological sense of lgbt community scale&quot;,&quot;author&quot;:[{&quot;family&quot;:&quot;Lin&quot;,&quot;given&quot;:&quot;Yen Jui&quot;,&quot;parse-names&quot;:false,&quot;dropping-particle&quot;:&quot;&quot;,&quot;non-dropping-particle&quot;:&quot;&quot;},{&quot;family&quot;:&quot;Israel&quot;,&quot;given&quot;:&quot;Tania&quot;,&quot;parse-names&quot;:false,&quot;dropping-particle&quot;:&quot;&quot;,&quot;non-dropping-particle&quot;:&quot;&quot;}],&quot;container-title&quot;:&quot;Journal of Community Psychology&quot;,&quot;DOI&quot;:&quot;10.1002/jcop.21483&quot;,&quot;ISSN&quot;:&quot;00904392&quot;,&quot;issued&quot;:{&quot;date-parts&quot;:[[2012,7]]},&quot;page&quot;:&quot;573-587&quot;,&quot;abstract&quot;:&quot;The focus of this study was the development and validation of a Psychological Sense of LGBT Community Scale (PSOC-LGBT), designed to assess the degree to which self-identified lesbian, gay, bisexual, and transgender (LGBT) persons report feelings of belonging to and being able to depend on their local LGBT community, as well as the degree to which they believe an LGBT community exists in their local area. The scale is a modification of an existing Psychological Sense of Community Scale (PSOCS) that was designed for gay and bisexual men (Proescholdbell et al., 2005). A total of 356 participants completed either an Internet-based or a paper survey. Exploratory factor analysis, internal consistency, and validity coefficients supported the use and continued development of the modified instrument. Implications for future research and application are discussed. © 2012 Wiley Periodicals, Inc.&quot;,&quot;issue&quot;:&quot;5&quot;,&quot;volume&quot;:&quot;40&quot;,&quot;container-title-short&quot;:&quot;J Community Psychol&quot;},&quot;isTemporary&quot;:false},{&quot;id&quot;:&quot;b9864718-e94d-3def-8349-5f8506bf65f4&quot;,&quot;itemData&quot;:{&quot;type&quot;:&quot;article-journal&quot;,&quot;id&quot;:&quot;b9864718-e94d-3def-8349-5f8506bf65f4&quot;,&quot;title&quot;:&quot;‘The persistence of corporate modern slavery in the Global South: A case study of Sri Lanka’s apparel and textile industry&quot;,&quot;author&quot;:[{&quot;family&quot;:&quot;Muthuthantrige&quot;,&quot;given&quot;:&quot;Nadeesha&quot;,&quot;parse-names&quot;:false,&quot;dropping-particle&quot;:&quot;&quot;,&quot;non-dropping-particle&quot;:&quot;&quot;},{&quot;family&quot;:&quot;Xu&quot;,&quot;given&quot;:&quot;Shirely&quot;,&quot;parse-names&quot;:false,&quot;dropping-particle&quot;:&quot;&quot;,&quot;non-dropping-particle&quot;:&quot;&quot;},{&quot;family&quot;:&quot;Helfaya&quot;,&quot;given&quot;:&quot;Akrum&quot;,&quot;parse-names&quot;:false,&quot;dropping-particle&quot;:&quot;&quot;,&quot;non-dropping-particle&quot;:&quot;&quot;}],&quot;container-title&quot;:&quot;Supply Chain Management: An International Journal&quot;,&quot;issued&quot;:{&quot;date-parts&quot;:[[2026]]},&quot;container-title-short&quot;:&quot;&quot;},&quot;isTemporary&quot;:false}],&quot;citationTag&quot;:&quot;MENDELEY_CITATION_v3_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&quot;},{&quot;citationID&quot;:&quot;MENDELEY_CITATION_70c0faf1-5cb8-45be-bc7d-aa8aa071dc49&quot;,&quot;properties&quot;:{&quot;noteIndex&quot;:0},&quot;isEdited&quot;:false,&quot;manualOverride&quot;:{&quot;isManuallyOverridden&quot;:false,&quot;citeprocText&quot;:&quot;(Kaufmann, 2021)&quot;,&quot;manualOverrideText&quot;:&quot;&quot;},&quot;citationItems&quot;:[{&quot;id&quot;:&quot;49f8aa7a-2b2f-3976-9f71-a8c5b6f7c587&quot;,&quot;itemData&quot;:{&quot;type&quot;:&quot;webpage&quot;,&quot;id&quot;:&quot;49f8aa7a-2b2f-3976-9f71-a8c5b6f7c587&quot;,&quot;title&quot;:&quot;Worldwide Governance indicators&quot;,&quot;author&quot;:[{&quot;family&quot;:&quot;Kaufmann&quot;,&quot;given&quot;:&quot;Daniel&quot;,&quot;parse-names&quot;:false,&quot;dropping-particle&quot;:&quot;&quot;,&quot;non-dropping-particle&quot;:&quot;&quot;}],&quot;accessed&quot;:{&quot;date-parts&quot;:[[2023,4,20]]},&quot;URL&quot;:&quot;https://info.worldbank.org/governance/wgi/Home/Documents&quot;,&quot;issued&quot;:{&quot;date-parts&quot;:[[2021]]},&quot;container-title-short&quot;:&quot;&quot;},&quot;isTemporary&quot;:false}],&quot;citationTag&quot;:&quot;MENDELEY_CITATION_v3_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&quot;},{&quot;citationID&quot;:&quot;MENDELEY_CITATION_d502a1fa-f1ff-4112-84c1-715f2a167ab8&quot;,&quot;properties&quot;:{&quot;noteIndex&quot;:0},&quot;isEdited&quot;:false,&quot;manualOverride&quot;:{&quot;isManuallyOverridden&quot;:false,&quot;citeprocText&quot;:&quot;(Walk Free and Minderoo, 2018)&quot;,&quot;manualOverrideText&quot;:&quot;&quot;},&quot;citationItems&quot;:[{&quot;id&quot;:&quot;70addc1e-7888-3306-957d-c3c3e6c6cd4d&quot;,&quot;itemData&quot;:{&quot;type&quot;:&quot;report&quot;,&quot;id&quot;:&quot;70addc1e-7888-3306-957d-c3c3e6c6cd4d&quot;,&quot;title&quot;:&quot;Understanding Modern Slavery: What is modern slavery?&quot;,&quot;author&quot;:[{&quot;family&quot;:&quot;Walk Free&quot;,&quot;given&quot;:&quot;&quot;,&quot;parse-names&quot;:false,&quot;dropping-particle&quot;:&quot;&quot;,&quot;non-dropping-particle&quot;:&quot;&quot;},{&quot;family&quot;:&quot;Minderoo&quot;,&quot;given&quot;:&quot;&quot;,&quot;parse-names&quot;:false,&quot;dropping-particle&quot;:&quot;&quot;,&quot;non-dropping-particle&quot;:&quot;&quot;}],&quot;accessed&quot;:{&quot;date-parts&quot;:[[2023,1,20]]},&quot;URL&quot;:&quot;www.minderoo.org.au/walk-free&quot;,&quot;issued&quot;:{&quot;date-parts&quot;:[[2018]]},&quot;container-title-short&quot;:&quot;&quot;},&quot;isTemporary&quot;:false}],&quot;citationTag&quot;:&quot;MENDELEY_CITATION_v3_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&quot;},{&quot;citationID&quot;:&quot;MENDELEY_CITATION_cfdca543-6799-4d2e-80c6-70808bd82e3a&quot;,&quot;properties&quot;:{&quot;noteIndex&quot;:0},&quot;isEdited&quot;:false,&quot;manualOverride&quot;:{&quot;isManuallyOverridden&quot;:true,&quot;citeprocText&quot;:&quot;(Walk Free, 2016; Walk Free Foundation, 2018)&quot;,&quot;manualOverrideText&quot;:&quot;(Walk Free, 2016, 2018b)&quot;},&quot;citationItems&quot;:[{&quot;id&quot;:&quot;94a75878-c583-38cd-8838-0919ba0c670a&quot;,&quot;itemData&quot;:{&quot;type&quot;:&quot;report&quot;,&quot;id&quot;:&quot;94a75878-c583-38cd-8838-0919ba0c670a&quot;,&quot;title&quot;:&quot;The global slavery index&quot;,&quot;author&quot;:[{&quot;family&quot;:&quot;Walk Free Foundation&quot;,&quot;given&quot;:&quot;&quot;,&quot;parse-names&quot;:false,&quot;dropping-particle&quot;:&quot;&quot;,&quot;non-dropping-particle&quot;:&quot;&quot;}],&quot;accessed&quot;:{&quot;date-parts&quot;:[[2022,6,19]]},&quot;URL&quot;:&quot;https://www.globalslaveryindex.org/&quot;,&quot;issued&quot;:{&quot;date-parts&quot;:[[2016]]},&quot;container-title-short&quot;:&quot;&quot;},&quot;isTemporary&quot;:false},{&quot;id&quot;:&quot;5d6d5e53-c11e-37a9-b3b5-721909e7763f&quot;,&quot;itemData&quot;:{&quot;type&quot;:&quot;report&quot;,&quot;id&quot;:&quot;5d6d5e53-c11e-37a9-b3b5-721909e7763f&quot;,&quot;title&quot;:&quot;The global slavery index&quot;,&quot;author&quot;:[{&quot;family&quot;:&quot;Walk Free Foundation&quot;,&quot;given&quot;:&quot;&quot;,&quot;parse-names&quot;:false,&quot;dropping-particle&quot;:&quot;&quot;,&quot;non-dropping-particle&quot;:&quot;&quot;}],&quot;accessed&quot;:{&quot;date-parts&quot;:[[2022,8,8]]},&quot;URL&quot;:&quot;https://www.walkfree.org/projects/the-global-slavery-index/&quot;,&quot;issued&quot;:{&quot;date-parts&quot;:[[2018]]},&quot;container-title-short&quot;:&quot;&quot;},&quot;isTemporary&quot;:false}],&quot;citationTag&quot;:&quot;MENDELEY_CITATION_v3_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&quot;},{&quot;citationID&quot;:&quot;MENDELEY_CITATION_b7e61078-f09f-4b6b-ade3-5517f497ac05&quot;,&quot;properties&quot;:{&quot;noteIndex&quot;:0},&quot;isEdited&quot;:false,&quot;manualOverride&quot;:{&quot;isManuallyOverridden&quot;:false,&quot;citeprocText&quot;:&quot;(Christ &lt;i&gt;et al.&lt;/i&gt;, 2019)&quot;,&quot;manualOverrideText&quot;:&quot;&quot;},&quot;citationItems&quot;:[{&quot;id&quot;:&quot;82322cf6-816e-3310-91d0-70f13480a611&quot;,&quot;itemData&quot;:{&quot;type&quot;:&quot;article-journal&quot;,&quot;id&quot;:&quot;82322cf6-816e-3310-91d0-70f13480a611&quot;,&quot;title&quot;:&quot;Accounting for modern slavery: an analysis of Australian listed company disclosures&quot;,&quot;author&quot;:[{&quot;family&quot;:&quot;Christ&quot;,&quot;given&quot;:&quot;Katherine Leanne&quot;,&quot;parse-names&quot;:false,&quot;dropping-particle&quot;:&quot;&quot;,&quot;non-dropping-particle&quot;:&quot;&quot;},{&quot;family&quot;:&quot;Rao&quot;,&quot;given&quot;:&quot;Kathyayini Kathy&quot;,&quot;parse-names&quot;:false,&quot;dropping-particle&quot;:&quot;&quot;,&quot;non-dropping-particle&quot;:&quot;&quot;},{&quot;family&quot;:&quot;Burritt&quot;,&quot;given&quot;:&quot;Roger Leonard&quot;,&quot;parse-names&quot;:false,&quot;dropping-particle&quot;:&quot;&quot;,&quot;non-dropping-particle&quot;:&quot;&quot;}],&quot;container-title&quot;:&quot;Accounting, Auditing and Accountability Journal&quot;,&quot;issued&quot;:{&quot;date-parts&quot;:[[2019,6,14]]},&quot;page&quot;:&quot;836-865&quot;,&quot;abstract&quot;:&quot;Purpose: Given the impending introduction of legislation requiring large Australian listed companies to make supply chain disclosures about modern slavery, the paper aims to reveal current voluntary practice. The purpose of this paper is to provide a benchmark for assessing the current engagement of large companies with modern slavery in Australia. Design/methodology/approach: Institutional theory provides the foundation for assessing current voluntary practice in relation to modern slavery disclosures by large Australian listed companies. Content analysis is used to identify quantity and quality of modern slavery disclosures of the top 100 companies listed on the Australian Stock Exchange. The contents of annual and standalone reports available on websites, as well as other online disclosures, are examined using terms associated with modern slavery identified from the literature. Findings: Evidence gathered about modern slavery disclosures by ASX 100 companies shows information in annual and standalone reports reveal far less than other disclosures on company websites. Overall, the volume and quality of disclosures are low and, where made, narrative. A wide range of themes on modern slavery are disclosed with bribery and corruption and human rights issues dominant. Although currently in line with institutional theory, as there appear to be mimetic processes encouraging disclosure, results support the idea that legislation is needed to encourage further engagement. Research limitations/implications: The paper provides a baseline of understanding about the volume and quality of modern slavery disclosures as a foundation for future research into the practices of Australian companies prior to the signalled introduction of legislation mandating reporting. It also identifies potential lines of research. The sample only examines large Australian listed companies which restricts generalisation from the results. Originality/value: This is the first academic research paper to examine quantity and quality of modern slavery disclosures of large Australian companies. Results add support for the introduction of legislation by government.&quot;,&quot;publisher&quot;:&quot;Emerald Group Holdings Ltd.&quot;,&quot;issue&quot;:&quot;3&quot;,&quot;volume&quot;:&quot;32&quot;,&quot;container-title-short&quot;:&quot;&quot;},&quot;isTemporary&quot;:false}],&quot;citationTag&quot;:&quot;MENDELEY_CITATION_v3_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&quot;},{&quot;citationID&quot;:&quot;MENDELEY_CITATION_579d835f-38ea-4283-bb5f-072d0073c7b6&quot;,&quot;properties&quot;:{&quot;noteIndex&quot;:0},&quot;isEdited&quot;:false,&quot;manualOverride&quot;:{&quot;isManuallyOverridden&quot;:false,&quot;citeprocText&quot;:&quot;(Mamic, 2007)&quot;,&quot;manualOverrideText&quot;:&quot;&quot;},&quot;citationItems&quot;:[{&quot;id&quot;:&quot;94303342-68fd-383c-9e7a-d9ded7deefb0&quot;,&quot;itemData&quot;:{&quot;type&quot;:&quot;report&quot;,&quot;id&quot;:&quot;94303342-68fd-383c-9e7a-d9ded7deefb0&quot;,&quot;title&quot;:&quot;Implementing Codes of Conduct How Businesses Manage Social Performance in Global Supply Chains&quot;,&quot;author&quot;:[{&quot;family&quot;:&quot;Mamic&quot;,&quot;given&quot;:&quot;I.&quot;,&quot;parse-names&quot;:false,&quot;dropping-particle&quot;:&quot;&quot;,&quot;non-dropping-particle&quot;:&quot;&quot;}],&quot;accessed&quot;:{&quot;date-parts&quot;:[[2023,5,7]]},&quot;URL&quot;:&quot;https://www.taylorfrancis.com/books/mono/10.4324/9781351280723/implementing-codes-conduct-ivanka-mamic&quot;,&quot;issued&quot;:{&quot;date-parts&quot;:[[2007]]},&quot;publisher-place&quot;:&quot;London and NewYork&quot;,&quot;number-of-pages&quot;:&quot;1-26&quot;,&quot;publisher&quot;:&quot;Routledge&quot;,&quot;container-title-short&quot;:&quot;&quot;},&quot;isTemporary&quot;:false}],&quot;citationTag&quot;:&quot;MENDELEY_CITATION_v3_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&quot;},{&quot;citationID&quot;:&quot;MENDELEY_CITATION_8b82a26a-c562-4822-bb8f-48a367e65bbf&quot;,&quot;properties&quot;:{&quot;noteIndex&quot;:0},&quot;isEdited&quot;:false,&quot;manualOverride&quot;:{&quot;isManuallyOverridden&quot;:true,&quot;citeprocText&quot;:&quot;(LeBaron, 2020a)&quot;,&quot;manualOverrideText&quot;:&quot;(LeBaron, 2020)&quot;},&quot;citationItems&quot;:[{&quot;id&quot;:&quot;f6de1282-9487-3c33-be2b-b61509a933f1&quot;,&quot;itemData&quot;:{&quot;type&quot;:&quot;book&quot;,&quot;id&quot;:&quot;f6de1282-9487-3c33-be2b-b61509a933f1&quot;,&quot;title&quot;:&quot;Combatting Modern Slavery : Why Labour Governance is Failing and What We Can Do About It&quot;,&quot;author&quot;:[{&quot;family&quot;:&quot;LeBaron&quot;,&quot;given&quot;:&quot;Genevieve&quot;,&quot;parse-names&quot;:false,&quot;dropping-particle&quot;:&quot;&quot;,&quot;non-dropping-particle&quot;:&quot;&quot;}],&quot;accessed&quot;:{&quot;date-parts&quot;:[[2025,10,11]]},&quot;ISBN&quot;:&quot;9781509513680&quot;,&quot;URL&quot;:&quot;https://books.google.com/books/about/Combatting_Modern_Slavery.html?id=4pb-DwAAQBAJ&quot;,&quot;issued&quot;:{&quot;date-parts&quot;:[[2020,9,22]]},&quot;number-of-pages&quot;:&quot;1-224&quot;,&quot;abstract&quot;:&quot;Cover -- Title page -- Copyright page -- Contents -- Acknowledgements -- 1 Who Does Labour Governance Work For? -- What is Labour Governance? -- What is Modern Slavery? -- Why Global Labour Governance Is Failing -- This Book's Approach -- Corporations as Cause and Solution to Labour Abuse -- Corporations Save the World's Workers -- This Book's Arguments and Structure -- Labour exploitation in global supply chains -- Corporate power and the state -- The recruitment industry -- The enforcement industry -- Corporate Fairytales vs. Worker Power -- 2 Labour Exploitation in Global Supply Chains&quot;,&quot;publisher&quot;:&quot;Wiley Publication&quot;,&quot;container-title-short&quot;:&quot;&quot;},&quot;isTemporary&quot;:false}],&quot;citationTag&quot;:&quot;MENDELEY_CITATION_v3_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&quot;},{&quot;citationID&quot;:&quot;MENDELEY_CITATION_b9fcb4a1-b996-431c-b1e9-9a65bcda6156&quot;,&quot;properties&quot;:{&quot;noteIndex&quot;:0},&quot;isEdited&quot;:false,&quot;manualOverride&quot;:{&quot;isManuallyOverridden&quot;:false,&quot;citeprocText&quot;:&quot;(Parliament of the Democratic Socialist Republic of Sri Lanka, 1954)&quot;,&quot;manualOverrideText&quot;:&quot;&quot;},&quot;citationItems&quot;:[{&quot;id&quot;:&quot;dee52ecc-49de-3b89-8c53-8e0031280c14&quot;,&quot;itemData&quot;:{&quot;type&quot;:&quot;legislation&quot;,&quot;id&quot;:&quot;dee52ecc-49de-3b89-8c53-8e0031280c14&quot;,&quot;title&quot;:&quot;Shop and Office employee (regulation of employment  and remuneration)&quot;,&quot;author&quot;:[{&quot;family&quot;:&quot;Parliament of the Democratic Socialist Republic of Sri Lanka:&quot;,&quot;given&quot;:&quot;&quot;,&quot;parse-names&quot;:false,&quot;dropping-particle&quot;:&quot;&quot;,&quot;non-dropping-particle&quot;:&quot;&quot;}],&quot;issued&quot;:{&quot;date-parts&quot;:[[1954,8,9]]},&quot;publisher-place&quot;:&quot;Sri Lanka&quot;,&quot;page&quot;:&quot;1-56&quot;,&quot;publisher&quot;:&quot;Gazette No.10724&quot;,&quot;container-title-short&quot;:&quot;&quot;},&quot;isTemporary&quot;:false}],&quot;citationTag&quot;:&quot;MENDELEY_CITATION_v3_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&quot;}]"/>
    <we:property name="MENDELEY_CITATIONS_LOCALE_CODE" value="&quot;en-US&quot;"/>
    <we:property name="MENDELEY_CITATIONS_STYLE" value="{&quot;id&quot;:&quot;https://www.zotero.org/styles/emerald-harvard&quot;,&quot;title&quot;:&quot;Emerald - Harvard&quot;,&quot;format&quot;:&quot;author-date&quot;,&quot;defaultLocale&quot;:&quot;en-US&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f39d2f8-b4df-403a-9060-77581e31f3f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49F71226010E64D86BEF30A3F00C9DE" ma:contentTypeVersion="17" ma:contentTypeDescription="Create a new document." ma:contentTypeScope="" ma:versionID="164aaabbd492e1cd230de87e61e8eef7">
  <xsd:schema xmlns:xsd="http://www.w3.org/2001/XMLSchema" xmlns:xs="http://www.w3.org/2001/XMLSchema" xmlns:p="http://schemas.microsoft.com/office/2006/metadata/properties" xmlns:ns3="af39d2f8-b4df-403a-9060-77581e31f3f8" xmlns:ns4="65423663-b6b7-4b71-84fa-348198b177d9" targetNamespace="http://schemas.microsoft.com/office/2006/metadata/properties" ma:root="true" ma:fieldsID="bcd1ef2a6aab445f62b65fecf4ebcb1e" ns3:_="" ns4:_="">
    <xsd:import namespace="af39d2f8-b4df-403a-9060-77581e31f3f8"/>
    <xsd:import namespace="65423663-b6b7-4b71-84fa-348198b177d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_activity"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39d2f8-b4df-403a-9060-77581e31f3f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description=""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5423663-b6b7-4b71-84fa-348198b177d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542976-87F8-4748-A03E-C58300C69FEF}">
  <ds:schemaRefs>
    <ds:schemaRef ds:uri="http://schemas.microsoft.com/office/2006/metadata/properties"/>
    <ds:schemaRef ds:uri="http://schemas.microsoft.com/office/infopath/2007/PartnerControls"/>
    <ds:schemaRef ds:uri="af39d2f8-b4df-403a-9060-77581e31f3f8"/>
  </ds:schemaRefs>
</ds:datastoreItem>
</file>

<file path=customXml/itemProps2.xml><?xml version="1.0" encoding="utf-8"?>
<ds:datastoreItem xmlns:ds="http://schemas.openxmlformats.org/officeDocument/2006/customXml" ds:itemID="{728F1946-EB81-48A9-A26E-7897D78EB17B}">
  <ds:schemaRefs>
    <ds:schemaRef ds:uri="http://schemas.microsoft.com/sharepoint/v3/contenttype/forms"/>
  </ds:schemaRefs>
</ds:datastoreItem>
</file>

<file path=customXml/itemProps3.xml><?xml version="1.0" encoding="utf-8"?>
<ds:datastoreItem xmlns:ds="http://schemas.openxmlformats.org/officeDocument/2006/customXml" ds:itemID="{3F48BD9A-00A4-4AE9-8BBF-5C7B710F28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39d2f8-b4df-403a-9060-77581e31f3f8"/>
    <ds:schemaRef ds:uri="65423663-b6b7-4b71-84fa-348198b177d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B7CAD9-2F60-44A7-A9BB-12D223D229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2225</TotalTime>
  <Pages>9</Pages>
  <Words>74694</Words>
  <Characters>425760</Characters>
  <Application>Microsoft Office Word</Application>
  <DocSecurity>0</DocSecurity>
  <Lines>3548</Lines>
  <Paragraphs>998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Nadeesha Muthuthantrige Alias Polwaththage</dc:creator>
  <cp:keywords/>
  <dc:description/>
  <cp:lastModifiedBy>Nadeesha Muthuthantrige Alias Polwaththage</cp:lastModifiedBy>
  <cp:revision>1</cp:revision>
  <cp:lastPrinted>2025-12-23T12:37:00Z</cp:lastPrinted>
  <dcterms:created xsi:type="dcterms:W3CDTF">2025-12-14T23:12:00Z</dcterms:created>
  <dcterms:modified xsi:type="dcterms:W3CDTF">2026-01-20T02:38:00Z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0x010100649F71226010E64D86BEF30A3F00C9DE</vt:lpwstr>
  </property>
</Properties>
</file>