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D782C" w14:textId="77777777" w:rsidR="00286124" w:rsidRPr="00244BD7" w:rsidRDefault="00286124" w:rsidP="00F15825">
      <w:pPr>
        <w:spacing w:after="0" w:line="360" w:lineRule="auto"/>
        <w:jc w:val="center"/>
        <w:rPr>
          <w:rFonts w:ascii="Arial" w:hAnsi="Arial" w:cs="Arial"/>
          <w:sz w:val="24"/>
          <w:szCs w:val="24"/>
        </w:rPr>
      </w:pPr>
    </w:p>
    <w:p w14:paraId="5A9D782D" w14:textId="77777777" w:rsidR="00286124" w:rsidRPr="00244BD7" w:rsidRDefault="00286124" w:rsidP="00286124">
      <w:pPr>
        <w:spacing w:after="0" w:line="360" w:lineRule="auto"/>
        <w:jc w:val="both"/>
        <w:rPr>
          <w:rFonts w:ascii="Arial" w:hAnsi="Arial" w:cs="Arial"/>
          <w:sz w:val="24"/>
          <w:szCs w:val="24"/>
        </w:rPr>
      </w:pPr>
    </w:p>
    <w:p w14:paraId="5A9D782E" w14:textId="77777777" w:rsidR="00286124" w:rsidRPr="00244BD7" w:rsidRDefault="00286124" w:rsidP="00286124">
      <w:pPr>
        <w:spacing w:after="0" w:line="360" w:lineRule="auto"/>
        <w:jc w:val="both"/>
        <w:rPr>
          <w:rFonts w:ascii="Arial" w:hAnsi="Arial" w:cs="Arial"/>
          <w:sz w:val="24"/>
          <w:szCs w:val="24"/>
        </w:rPr>
      </w:pPr>
    </w:p>
    <w:p w14:paraId="5A9D782F" w14:textId="77777777" w:rsidR="00286124" w:rsidRPr="00244BD7" w:rsidRDefault="00286124" w:rsidP="00286124">
      <w:pPr>
        <w:spacing w:after="0" w:line="360" w:lineRule="auto"/>
        <w:jc w:val="both"/>
        <w:rPr>
          <w:rFonts w:ascii="Arial" w:hAnsi="Arial" w:cs="Arial"/>
          <w:sz w:val="24"/>
          <w:szCs w:val="24"/>
        </w:rPr>
      </w:pPr>
    </w:p>
    <w:p w14:paraId="5A9D7834" w14:textId="19286AB7" w:rsidR="00286124" w:rsidRDefault="00E83D3A" w:rsidP="00F15825">
      <w:pPr>
        <w:spacing w:after="0" w:line="360" w:lineRule="auto"/>
        <w:jc w:val="center"/>
        <w:rPr>
          <w:rFonts w:ascii="Arial" w:hAnsi="Arial" w:cs="Arial"/>
          <w:b/>
          <w:bCs/>
          <w:sz w:val="24"/>
          <w:szCs w:val="24"/>
        </w:rPr>
      </w:pPr>
      <w:r w:rsidRPr="00E83D3A">
        <w:rPr>
          <w:rFonts w:ascii="Arial" w:hAnsi="Arial" w:cs="Arial"/>
          <w:b/>
          <w:bCs/>
          <w:sz w:val="24"/>
          <w:szCs w:val="24"/>
        </w:rPr>
        <w:t>Organisational Consultancy</w:t>
      </w:r>
    </w:p>
    <w:p w14:paraId="4981DF10" w14:textId="56ED625E" w:rsidR="00E83D3A" w:rsidRDefault="00E31F0C" w:rsidP="00F15825">
      <w:pPr>
        <w:spacing w:after="0" w:line="360" w:lineRule="auto"/>
        <w:jc w:val="center"/>
        <w:rPr>
          <w:rFonts w:ascii="Arial" w:hAnsi="Arial" w:cs="Arial"/>
          <w:b/>
          <w:bCs/>
          <w:sz w:val="24"/>
          <w:szCs w:val="24"/>
        </w:rPr>
      </w:pPr>
      <w:r w:rsidRPr="00E31F0C">
        <w:rPr>
          <w:rFonts w:ascii="Arial" w:hAnsi="Arial" w:cs="Arial"/>
          <w:b/>
          <w:bCs/>
          <w:sz w:val="24"/>
          <w:szCs w:val="24"/>
        </w:rPr>
        <w:t>BMIH6005</w:t>
      </w:r>
    </w:p>
    <w:p w14:paraId="0E2148E6" w14:textId="0EAD43CC" w:rsidR="00E31F0C" w:rsidRPr="00E83D3A" w:rsidRDefault="00E31F0C" w:rsidP="00F15825">
      <w:pPr>
        <w:spacing w:after="0" w:line="360" w:lineRule="auto"/>
        <w:jc w:val="center"/>
        <w:rPr>
          <w:rFonts w:ascii="Arial" w:hAnsi="Arial" w:cs="Arial"/>
          <w:b/>
          <w:bCs/>
          <w:sz w:val="24"/>
          <w:szCs w:val="24"/>
        </w:rPr>
      </w:pPr>
      <w:r w:rsidRPr="00E31F0C">
        <w:rPr>
          <w:rFonts w:ascii="Arial" w:hAnsi="Arial" w:cs="Arial"/>
          <w:b/>
          <w:bCs/>
          <w:sz w:val="24"/>
          <w:szCs w:val="24"/>
        </w:rPr>
        <w:t>Consultancy Report</w:t>
      </w:r>
    </w:p>
    <w:p w14:paraId="5A9D7837" w14:textId="12DE008B" w:rsidR="00286124" w:rsidRPr="00244BD7" w:rsidRDefault="00286124" w:rsidP="0097743D">
      <w:pPr>
        <w:spacing w:after="0" w:line="360" w:lineRule="auto"/>
        <w:jc w:val="center"/>
        <w:rPr>
          <w:rFonts w:ascii="Arial" w:hAnsi="Arial" w:cs="Arial"/>
          <w:b/>
          <w:bCs/>
          <w:sz w:val="24"/>
          <w:szCs w:val="24"/>
        </w:rPr>
      </w:pPr>
      <w:r w:rsidRPr="00244BD7">
        <w:rPr>
          <w:rFonts w:ascii="Arial" w:hAnsi="Arial" w:cs="Arial"/>
          <w:b/>
          <w:bCs/>
          <w:sz w:val="24"/>
          <w:szCs w:val="24"/>
        </w:rPr>
        <w:t>The Ritz London</w:t>
      </w:r>
    </w:p>
    <w:p w14:paraId="5A9D7838" w14:textId="77777777" w:rsidR="00286124" w:rsidRPr="00244BD7" w:rsidRDefault="00286124" w:rsidP="00F15825">
      <w:pPr>
        <w:spacing w:after="0" w:line="360" w:lineRule="auto"/>
        <w:jc w:val="center"/>
        <w:rPr>
          <w:rFonts w:ascii="Arial" w:hAnsi="Arial" w:cs="Arial"/>
          <w:b/>
          <w:bCs/>
          <w:sz w:val="24"/>
          <w:szCs w:val="24"/>
        </w:rPr>
      </w:pPr>
      <w:r w:rsidRPr="00244BD7">
        <w:rPr>
          <w:rFonts w:ascii="Arial" w:hAnsi="Arial" w:cs="Arial"/>
          <w:b/>
          <w:bCs/>
          <w:sz w:val="24"/>
          <w:szCs w:val="24"/>
        </w:rPr>
        <w:t>Location: 150 Piccadilly, London, UK</w:t>
      </w:r>
    </w:p>
    <w:p w14:paraId="5A9D7839" w14:textId="77777777" w:rsidR="00286124" w:rsidRDefault="00286124" w:rsidP="00F15825">
      <w:pPr>
        <w:spacing w:after="0" w:line="360" w:lineRule="auto"/>
        <w:jc w:val="center"/>
        <w:rPr>
          <w:rFonts w:ascii="Arial" w:hAnsi="Arial" w:cs="Arial"/>
          <w:b/>
          <w:bCs/>
          <w:sz w:val="24"/>
          <w:szCs w:val="24"/>
        </w:rPr>
      </w:pPr>
      <w:r w:rsidRPr="00244BD7">
        <w:rPr>
          <w:rFonts w:ascii="Arial" w:hAnsi="Arial" w:cs="Arial"/>
          <w:b/>
          <w:bCs/>
          <w:sz w:val="24"/>
          <w:szCs w:val="24"/>
        </w:rPr>
        <w:t>Issue: Employee Retention and Engagement</w:t>
      </w:r>
    </w:p>
    <w:p w14:paraId="31616AC1" w14:textId="70D7B2F1" w:rsidR="005D48CF" w:rsidRDefault="005D48CF" w:rsidP="00F15825">
      <w:pPr>
        <w:spacing w:after="0" w:line="360" w:lineRule="auto"/>
        <w:jc w:val="center"/>
        <w:rPr>
          <w:rFonts w:ascii="Arial" w:hAnsi="Arial" w:cs="Arial"/>
          <w:b/>
          <w:bCs/>
          <w:sz w:val="24"/>
          <w:szCs w:val="24"/>
        </w:rPr>
      </w:pPr>
      <w:r>
        <w:rPr>
          <w:rFonts w:ascii="Arial" w:hAnsi="Arial" w:cs="Arial"/>
          <w:b/>
          <w:bCs/>
          <w:sz w:val="24"/>
          <w:szCs w:val="24"/>
        </w:rPr>
        <w:t>Student: Alina Radoi</w:t>
      </w:r>
    </w:p>
    <w:p w14:paraId="7F500A0E" w14:textId="6EC8A906" w:rsidR="005D48CF" w:rsidRDefault="005D48CF" w:rsidP="00F15825">
      <w:pPr>
        <w:spacing w:after="0" w:line="360" w:lineRule="auto"/>
        <w:jc w:val="center"/>
        <w:rPr>
          <w:rFonts w:ascii="Arial" w:hAnsi="Arial" w:cs="Arial"/>
          <w:b/>
          <w:bCs/>
          <w:sz w:val="24"/>
          <w:szCs w:val="24"/>
        </w:rPr>
      </w:pPr>
      <w:r>
        <w:rPr>
          <w:rFonts w:ascii="Arial" w:hAnsi="Arial" w:cs="Arial"/>
          <w:b/>
          <w:bCs/>
          <w:sz w:val="24"/>
          <w:szCs w:val="24"/>
        </w:rPr>
        <w:t>Student no: 2126976</w:t>
      </w:r>
    </w:p>
    <w:p w14:paraId="155E5CC0" w14:textId="6380E9C8" w:rsidR="006E5F5B" w:rsidRPr="00244BD7" w:rsidRDefault="006E5F5B" w:rsidP="00F15825">
      <w:pPr>
        <w:spacing w:after="0" w:line="360" w:lineRule="auto"/>
        <w:jc w:val="center"/>
        <w:rPr>
          <w:rFonts w:ascii="Arial" w:hAnsi="Arial" w:cs="Arial"/>
          <w:b/>
          <w:bCs/>
          <w:sz w:val="24"/>
          <w:szCs w:val="24"/>
        </w:rPr>
      </w:pPr>
      <w:r>
        <w:rPr>
          <w:rFonts w:ascii="Arial" w:hAnsi="Arial" w:cs="Arial"/>
          <w:b/>
          <w:bCs/>
          <w:sz w:val="24"/>
          <w:szCs w:val="24"/>
        </w:rPr>
        <w:t xml:space="preserve">Tutor: </w:t>
      </w:r>
      <w:r w:rsidR="00A01A50" w:rsidRPr="00A01A50">
        <w:rPr>
          <w:rFonts w:ascii="Arial" w:hAnsi="Arial" w:cs="Arial"/>
          <w:b/>
          <w:bCs/>
          <w:sz w:val="24"/>
          <w:szCs w:val="24"/>
        </w:rPr>
        <w:t>Natalie Brailsford</w:t>
      </w:r>
    </w:p>
    <w:p w14:paraId="5A9D783A" w14:textId="77777777" w:rsidR="00286124" w:rsidRPr="00244BD7" w:rsidRDefault="00286124" w:rsidP="00F15825">
      <w:pPr>
        <w:spacing w:after="0" w:line="360" w:lineRule="auto"/>
        <w:jc w:val="center"/>
        <w:rPr>
          <w:rFonts w:ascii="Arial" w:hAnsi="Arial" w:cs="Arial"/>
          <w:b/>
          <w:bCs/>
          <w:sz w:val="24"/>
          <w:szCs w:val="24"/>
        </w:rPr>
      </w:pPr>
      <w:r w:rsidRPr="00244BD7">
        <w:rPr>
          <w:rFonts w:ascii="Arial" w:hAnsi="Arial" w:cs="Arial"/>
          <w:b/>
          <w:bCs/>
          <w:sz w:val="24"/>
          <w:szCs w:val="24"/>
        </w:rPr>
        <w:br w:type="page"/>
      </w:r>
    </w:p>
    <w:p w14:paraId="5A9D783B"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lastRenderedPageBreak/>
        <w:t xml:space="preserve">Executive Summary 15% of word count </w:t>
      </w:r>
    </w:p>
    <w:p w14:paraId="5A9D783C"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Introduction</w:t>
      </w:r>
    </w:p>
    <w:p w14:paraId="5A9D783D"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The Ritz London is a luxury hotel located at 150 Piccadilly, London, UK, that requires urgent and comprehensive measures aimed to retain and engage the organization’s personnel. The in-depth analysis of the organization’s organizational culture and related matters included in the 8 critical objective areas encompassed multiple insights. Most notably, the organization’s high turnover rates were identified as a problem “related to ineffective systems of recognition of people”. </w:t>
      </w:r>
      <w:proofErr w:type="gramStart"/>
      <w:r w:rsidRPr="00244BD7">
        <w:rPr>
          <w:rFonts w:ascii="Arial" w:hAnsi="Arial" w:cs="Arial"/>
          <w:sz w:val="24"/>
          <w:szCs w:val="24"/>
        </w:rPr>
        <w:t>As a consequence</w:t>
      </w:r>
      <w:proofErr w:type="gramEnd"/>
      <w:r w:rsidRPr="00244BD7">
        <w:rPr>
          <w:rFonts w:ascii="Arial" w:hAnsi="Arial" w:cs="Arial"/>
          <w:sz w:val="24"/>
          <w:szCs w:val="24"/>
        </w:rPr>
        <w:t>, a low level of organizational culture, aspersions in leadership, and poor organizational development lead to multiple issues, up to and including the decrease in customer satisfaction. Thus, the main agenda for the required interventions is set by the identified causes and contributors to the subject problem. The proposal for an effective solution includes a complex system of strategies that target the development of a welcoming organizational environment. Such factors as recognition of employees, the establishment of a positive and inclusive organizational culture, as well as improved leadership must be taken into consideration. Rectifying these issues will result in the complete elimination of subject problems, as well as the development of an effective foundation for promoting the Ritz London to its customers or guests.</w:t>
      </w:r>
    </w:p>
    <w:p w14:paraId="5A9D783E"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Analysis and Action Plan</w:t>
      </w:r>
    </w:p>
    <w:p w14:paraId="5A9D783F"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Our consultancy firm has developed comprehensive and well-thought-out action plan aimed at addressing challenges faced by The Ritz London. The present plan is an ambitious one, as it lists many challenges that need to be resolved, and because it posits a variety of actions aimed at driving positive change at the organization. The plan consists of numerous measures the need to be taken, such as launching ambitious training and development programs for employees, rebuilding the ineffective recognition and reward system, and introducing different actions to improve employee relations, employee engagement, and employee retention. I believe that </w:t>
      </w:r>
      <w:proofErr w:type="gramStart"/>
      <w:r w:rsidRPr="00244BD7">
        <w:rPr>
          <w:rFonts w:ascii="Arial" w:hAnsi="Arial" w:cs="Arial"/>
          <w:sz w:val="24"/>
          <w:szCs w:val="24"/>
        </w:rPr>
        <w:t>the vast majority of</w:t>
      </w:r>
      <w:proofErr w:type="gramEnd"/>
      <w:r w:rsidRPr="00244BD7">
        <w:rPr>
          <w:rFonts w:ascii="Arial" w:hAnsi="Arial" w:cs="Arial"/>
          <w:sz w:val="24"/>
          <w:szCs w:val="24"/>
        </w:rPr>
        <w:t xml:space="preserve"> the proposed measures can lead to a substantial improvement in the situation with employee disengagement and turnover and, ultimately, boost the quality and the profitability of the organization’s operations. I also want to and a few inferences about the measures related to career retirement, work-life balance, and performance evaluation that would not work </w:t>
      </w:r>
      <w:r w:rsidRPr="00244BD7">
        <w:rPr>
          <w:rFonts w:ascii="Arial" w:hAnsi="Arial" w:cs="Arial"/>
          <w:sz w:val="24"/>
          <w:szCs w:val="24"/>
        </w:rPr>
        <w:lastRenderedPageBreak/>
        <w:t xml:space="preserve">in the long run. Improving Employee Skills, Enhancing Job Satisfaction, and Repositioning Job Rewards This part of the action plan consists of the measures aimed at enhancing </w:t>
      </w:r>
      <w:proofErr w:type="gramStart"/>
      <w:r w:rsidRPr="00244BD7">
        <w:rPr>
          <w:rFonts w:ascii="Arial" w:hAnsi="Arial" w:cs="Arial"/>
          <w:sz w:val="24"/>
          <w:szCs w:val="24"/>
        </w:rPr>
        <w:t>employees</w:t>
      </w:r>
      <w:proofErr w:type="gramEnd"/>
      <w:r w:rsidRPr="00244BD7">
        <w:rPr>
          <w:rFonts w:ascii="Arial" w:hAnsi="Arial" w:cs="Arial"/>
          <w:sz w:val="24"/>
          <w:szCs w:val="24"/>
        </w:rPr>
        <w:t xml:space="preserve"> skills, improving their job satisfaction, and optimizing their contact with the organization. The first group of measures, the training and development programs, is very likely to improve the situation, as it can either build the employees’ skills themselves or provide them with more information about their vision and mission. The measures related to the recognition and rewards system are also very likely to facilitate positive change, as they will help encourage positive </w:t>
      </w:r>
      <w:proofErr w:type="spellStart"/>
      <w:r w:rsidRPr="00244BD7">
        <w:rPr>
          <w:rFonts w:ascii="Arial" w:hAnsi="Arial" w:cs="Arial"/>
          <w:sz w:val="24"/>
          <w:szCs w:val="24"/>
        </w:rPr>
        <w:t>behavior</w:t>
      </w:r>
      <w:proofErr w:type="spellEnd"/>
      <w:r w:rsidRPr="00244BD7">
        <w:rPr>
          <w:rFonts w:ascii="Arial" w:hAnsi="Arial" w:cs="Arial"/>
          <w:sz w:val="24"/>
          <w:szCs w:val="24"/>
        </w:rPr>
        <w:t xml:space="preserve"> and discourage negative one. It can also allow the employees to receive and accumulate the recognition of their hard work they crave. The measures aimed at the promotion of communication, inclusion, and collaboration are very likely to build a positive workplace organization, as they can allow the employees to feel respected and belong to the organization. As the supportive measures related to employee relations, they are also likely to work. In conclusion, the measures specified enough are likely to significantly improve the situation at The Ritz London and rest </w:t>
      </w:r>
      <w:proofErr w:type="gramStart"/>
      <w:r w:rsidRPr="00244BD7">
        <w:rPr>
          <w:rFonts w:ascii="Arial" w:hAnsi="Arial" w:cs="Arial"/>
          <w:sz w:val="24"/>
          <w:szCs w:val="24"/>
        </w:rPr>
        <w:t>he</w:t>
      </w:r>
      <w:proofErr w:type="gramEnd"/>
      <w:r w:rsidRPr="00244BD7">
        <w:rPr>
          <w:rFonts w:ascii="Arial" w:hAnsi="Arial" w:cs="Arial"/>
          <w:sz w:val="24"/>
          <w:szCs w:val="24"/>
        </w:rPr>
        <w:t xml:space="preserve"> list of measures can and will work to a certain extent in my opinion.</w:t>
      </w:r>
    </w:p>
    <w:p w14:paraId="5A9D7840"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Expected Benefits</w:t>
      </w:r>
    </w:p>
    <w:p w14:paraId="5A9D7841"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The Ritz London stands to benefit significantly from investing in the proposed initiatives. First, the initiatives will increase employee satisfaction and morale, laying a foundation for fostering a positive work culture at the hotel. The initiatives will make the employees happier about themselves; therefore, they will give their best for the hotel. This way, the hotel will register increased retention rates due to enhanced employee satisfaction. Moreover, the initiatives will increase guest satisfaction, which is closely linked to employee engagement. When the employees are motivated and feel satisfied with their work, they will understand the essence of serving the guests well. Consequently, the hotel will provide outstanding services to the guests, increasing their satisfaction and loyalty to The Ritz London. This move will improve the hotel’s reputation, promoting it with its long-established status as the epitome of quality in the hospitality sector. In addition, the initiatives will increase employee productivity and performance, which is crucial for achieving operational efficiency. When performance and productivity levels peak, the hotel will cut costs while increasing its revenue generation capacity. In this respect, the initiatives will increase the disproportionately high operating costs at the hotel, which </w:t>
      </w:r>
      <w:r w:rsidRPr="00244BD7">
        <w:rPr>
          <w:rFonts w:ascii="Arial" w:hAnsi="Arial" w:cs="Arial"/>
          <w:sz w:val="24"/>
          <w:szCs w:val="24"/>
        </w:rPr>
        <w:lastRenderedPageBreak/>
        <w:t xml:space="preserve">currently erode its profitability. The initiatives are also instrumental for addressing the prevailing concerns of limited career advancement opportunities and poor work-life balance. Consequently, The Ritz London will be perceived as an employer of choice, thus gaining an advertising edge over its competitors. Thus, the audience should embrace the initiatives for the </w:t>
      </w:r>
      <w:proofErr w:type="gramStart"/>
      <w:r w:rsidRPr="00244BD7">
        <w:rPr>
          <w:rFonts w:ascii="Arial" w:hAnsi="Arial" w:cs="Arial"/>
          <w:sz w:val="24"/>
          <w:szCs w:val="24"/>
        </w:rPr>
        <w:t>aforementioned reasons</w:t>
      </w:r>
      <w:proofErr w:type="gramEnd"/>
      <w:r w:rsidRPr="00244BD7">
        <w:rPr>
          <w:rFonts w:ascii="Arial" w:hAnsi="Arial" w:cs="Arial"/>
          <w:sz w:val="24"/>
          <w:szCs w:val="24"/>
        </w:rPr>
        <w:t>.</w:t>
      </w:r>
    </w:p>
    <w:p w14:paraId="5A9D7842"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Implementation Strategies</w:t>
      </w:r>
    </w:p>
    <w:p w14:paraId="5A9D7843"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Our recommendations at The Ritz London aim to support the successful implementation of changes. To minimize disruption, they should be approached gradually. Additionally, the administration should ensure employee buy-in and address every setback potentially affecting the quality of the organization’s performance. At each stage, the feedback from the employees should be collected, and the staff should be engaged in the process of strategy shaping. Since the performance indicators available for the organization will point to the changes in a timely manner, no strategic vision should be implemented too rigidly, and adjustments should be made based on the information available. Moreover, ensuring specific goals, timelines, and budgets in the context of the process will create a competitive edge for the organization and motivate the staff to excel. It will also allow the organization to track successes easily. Lastly, the company’s strategic vision should be perpetually informed by KPIs and similar performance indicators. By adhering to these guiding principles, the organization will be able to develop a versatile and, therefore, sustainable strategy that allows it to balance between tradition and modern customer needs effectively. Consequently, significant improvements in employee motivation and customer experience, as well as performance, can be expected.</w:t>
      </w:r>
    </w:p>
    <w:p w14:paraId="5A9D7844"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Conclusion</w:t>
      </w:r>
    </w:p>
    <w:p w14:paraId="5A9D7845"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In summation, </w:t>
      </w:r>
      <w:proofErr w:type="gramStart"/>
      <w:r w:rsidRPr="00244BD7">
        <w:rPr>
          <w:rFonts w:ascii="Arial" w:hAnsi="Arial" w:cs="Arial"/>
          <w:sz w:val="24"/>
          <w:szCs w:val="24"/>
        </w:rPr>
        <w:t>it can be seen that the</w:t>
      </w:r>
      <w:proofErr w:type="gramEnd"/>
      <w:r w:rsidRPr="00244BD7">
        <w:rPr>
          <w:rFonts w:ascii="Arial" w:hAnsi="Arial" w:cs="Arial"/>
          <w:sz w:val="24"/>
          <w:szCs w:val="24"/>
        </w:rPr>
        <w:t xml:space="preserve"> future of The Ritz London is on the brink of an exciting new chapter, one in which the creation of a thriving and effective new workplace culture and operational strategy is possible as a result of the efforts undertaken by our consultancy and the company’s leadership. A practical and effective plan of action has been developed as part of a close partnership between our firm and the hotel’s leaders, and </w:t>
      </w:r>
      <w:proofErr w:type="gramStart"/>
      <w:r w:rsidRPr="00244BD7">
        <w:rPr>
          <w:rFonts w:ascii="Arial" w:hAnsi="Arial" w:cs="Arial"/>
          <w:sz w:val="24"/>
          <w:szCs w:val="24"/>
        </w:rPr>
        <w:t>all of</w:t>
      </w:r>
      <w:proofErr w:type="gramEnd"/>
      <w:r w:rsidRPr="00244BD7">
        <w:rPr>
          <w:rFonts w:ascii="Arial" w:hAnsi="Arial" w:cs="Arial"/>
          <w:sz w:val="24"/>
          <w:szCs w:val="24"/>
        </w:rPr>
        <w:t xml:space="preserve"> the planned for the future provide very high levels of potential. The company’s employees will benefit from a new focus on their growth, satisfaction levels, and long-term commitment to the hotel, which will ensure The Ritz London becomes the kind of </w:t>
      </w:r>
      <w:r w:rsidRPr="00244BD7">
        <w:rPr>
          <w:rFonts w:ascii="Arial" w:hAnsi="Arial" w:cs="Arial"/>
          <w:sz w:val="24"/>
          <w:szCs w:val="24"/>
        </w:rPr>
        <w:lastRenderedPageBreak/>
        <w:t>workplace where talented professionals work and provide guests with excellent experiences. Better employee morale, happier guests, and new levels of operational efficiency are all likely outcomes of the planned for the future and should result in further cements the hotel’s already excellent reputation. With our dedication to change management, transparency, and ongoing review of the planned for the future, we are confident that The Ritz London is now well-placed to enjoy a long and prosperous new lease of life, firmly establishing new paradigms of excellence in the field of hospitality.</w:t>
      </w:r>
    </w:p>
    <w:p w14:paraId="5A9D7846" w14:textId="77777777" w:rsidR="00286124" w:rsidRPr="00244BD7" w:rsidRDefault="00286124" w:rsidP="00286124">
      <w:pPr>
        <w:rPr>
          <w:rFonts w:ascii="Arial" w:hAnsi="Arial" w:cs="Arial"/>
          <w:sz w:val="24"/>
          <w:szCs w:val="24"/>
        </w:rPr>
      </w:pPr>
      <w:r w:rsidRPr="00244BD7">
        <w:rPr>
          <w:rFonts w:ascii="Arial" w:hAnsi="Arial" w:cs="Arial"/>
          <w:sz w:val="24"/>
          <w:szCs w:val="24"/>
        </w:rPr>
        <w:br w:type="page"/>
      </w:r>
    </w:p>
    <w:p w14:paraId="5A9D7847"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lastRenderedPageBreak/>
        <w:t xml:space="preserve">Introduction: </w:t>
      </w:r>
    </w:p>
    <w:p w14:paraId="5A9D7848"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The Ritz London is a well-known business that operates at 150 Piccadilly in the heart of London. Since its opening in 1906, the Ritz has been the undisputed epitome of grace and magnificence. As an organization in the highly- competitive world of hospitality, The Ritz has attracted a niche for itself by being in the highest echelon of high class offers, exceptional service and historical background. However, employee retention and engagement are a major detriment that affects the organization’s operational performance as well as its long-term survival (Dong et al., 2020). There is a dark side to this problem that is masked by the glitz and glamour that we see from the outside. In recent years, The Ritz London has been unable to rise to the occasion of maintaining its valuable workforce and ensuring that they are fully engaged in their maintenance of the job. This is a particularly troubling problem for the accommodation institution because of the high standards of excellence in service of the hotel. In either case, the level of employee turnover will have a significant impact on </w:t>
      </w:r>
      <w:proofErr w:type="gramStart"/>
      <w:r w:rsidRPr="00244BD7">
        <w:rPr>
          <w:rFonts w:ascii="Arial" w:hAnsi="Arial" w:cs="Arial"/>
          <w:sz w:val="24"/>
          <w:szCs w:val="24"/>
        </w:rPr>
        <w:t>either the</w:t>
      </w:r>
      <w:proofErr w:type="gramEnd"/>
      <w:r w:rsidRPr="00244BD7">
        <w:rPr>
          <w:rFonts w:ascii="Arial" w:hAnsi="Arial" w:cs="Arial"/>
          <w:sz w:val="24"/>
          <w:szCs w:val="24"/>
        </w:rPr>
        <w:t xml:space="preserve"> continuance of the operations. Since the problem is excessive, it needs to be resolved before it </w:t>
      </w:r>
      <w:proofErr w:type="gramStart"/>
      <w:r w:rsidRPr="00244BD7">
        <w:rPr>
          <w:rFonts w:ascii="Arial" w:hAnsi="Arial" w:cs="Arial"/>
          <w:sz w:val="24"/>
          <w:szCs w:val="24"/>
        </w:rPr>
        <w:t>completely destroys</w:t>
      </w:r>
      <w:proofErr w:type="gramEnd"/>
      <w:r w:rsidRPr="00244BD7">
        <w:rPr>
          <w:rFonts w:ascii="Arial" w:hAnsi="Arial" w:cs="Arial"/>
          <w:sz w:val="24"/>
          <w:szCs w:val="24"/>
        </w:rPr>
        <w:t xml:space="preserve"> the standing of the hotel. As one of the most well-known organisational consulting firms, we bring along extensive experiences and skills to the work (Griffin et al., 2020). We are dedicated to helping The Ritz London overcome its current dilemma and we are confident in being able to assist productive industrial companies in constructive work. The basis of our approach is the application of well-established management theories and frameworks.  This week, we are going to apply some familiar frameworks and tools, such as the PESTEL analysis, SWOT, and TOWS analysis, to our best advantage, as doing so will help us learn as much as possible about the external and internal variables impacting employee retention and engagement within The Ritz London. Specifically, we need to explore the macro-environmental forces affecting the hotel, industry trends, internal capacities, and competitive environment, all of which should provide us with comprehensive insight into the powerful drivers of employee satisfaction and loyalty as well as debilitating barriers (</w:t>
      </w:r>
      <w:proofErr w:type="spellStart"/>
      <w:r w:rsidRPr="00244BD7">
        <w:rPr>
          <w:rFonts w:ascii="Arial" w:hAnsi="Arial" w:cs="Arial"/>
          <w:sz w:val="24"/>
          <w:szCs w:val="24"/>
        </w:rPr>
        <w:t>Halofsky</w:t>
      </w:r>
      <w:proofErr w:type="spellEnd"/>
      <w:r w:rsidRPr="00244BD7">
        <w:rPr>
          <w:rFonts w:ascii="Arial" w:hAnsi="Arial" w:cs="Arial"/>
          <w:sz w:val="24"/>
          <w:szCs w:val="24"/>
        </w:rPr>
        <w:t xml:space="preserve"> et al., 2020). The focus will allow us to gain more specific insight into each of the foregoing variables. In addition, with the help of a SWOT analysis, we will learn about the hotel’s strengths and weaknesses and various opportunities and threats that could be present in the market. </w:t>
      </w:r>
      <w:r w:rsidRPr="00244BD7">
        <w:rPr>
          <w:rFonts w:ascii="Arial" w:hAnsi="Arial" w:cs="Arial"/>
          <w:sz w:val="24"/>
          <w:szCs w:val="24"/>
        </w:rPr>
        <w:lastRenderedPageBreak/>
        <w:t>Finally, the TOWS matrix will provide us with a set of pertinent strategic insights and recommendations that can be accomplished and applicable to The Ritz London. At the end of the day, we want to have a practical plan that will allow our target to increasingly adopt the culture of employee retention and engagement, capitalizing on its strengths through opportunities while trying to reduce its weaknesses and combat threats. Thus, our tactics should provide The Ritz London with the instruments and solutions needed to overcome all existing and potential obstacles, turning it into a recognized leader in talent and performance management in the hospitality sector. (Hasan et al., 2020).</w:t>
      </w:r>
    </w:p>
    <w:p w14:paraId="5A9D7849"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t xml:space="preserve">Analysis </w:t>
      </w:r>
    </w:p>
    <w:p w14:paraId="5A9D784A"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Issue Identification:</w:t>
      </w:r>
    </w:p>
    <w:p w14:paraId="5A9D784B"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The problem of preserving the workforce and making sure that the latter is engaged at the premises of “The Ritz London” is a very important one for several reasons, as it affects many aspects of hotels’ functioning. In the first turn, it is worth noting that the entire tourism industry has very high turnover rates, which means that even the luxury hotels struggle to keep talented and hardworking employees. The problem is rooted in the specifics of the hospitality sector that are exacerbated by the unique challenges that luxury hotels must face. Given the demanding nature of the job and the challenging job market, The Ritz experiences a considerable issue with the attrition, affecting many aspects of the hotel’s performance (Hurtt et al., 2020). The problem affects the operation of the hotel, its guests’ satisfaction, and, as a result, the hotel’s profitability. In terms of the operation of the hotel, high turnover rates are often associated with high spending on employee recruitment and training. A constant inflow-per-outflow of staff members undermines the stability of the teams and affects their efficiency and performance. Moreover, hiring new workers only shifts the extra load on those who must dedicate a substantial portion of their time to adapt and train the newcomers. These circumstances affect the service delivered by the teams and cause a decrease in One of the critical challenges is the turnover of employees during the year and frequent changes of the hotel’s staff personnel (Jones et al., 2020). Notably, it arises because that the luxury hospitality sector presupposes stability and professional service provision. In this view, the employees’ turnover problem also impacts hotels’ guests who receive services from various specialists. Evidently, this results in the fact that hired workers may not be inspired </w:t>
      </w:r>
      <w:r w:rsidRPr="00244BD7">
        <w:rPr>
          <w:rFonts w:ascii="Arial" w:hAnsi="Arial" w:cs="Arial"/>
          <w:sz w:val="24"/>
          <w:szCs w:val="24"/>
        </w:rPr>
        <w:lastRenderedPageBreak/>
        <w:t>enough to provide top-quality services and go the extra mile in terms of service personalization and guest experience. Further, it is necessary to state that it is essential not only to consider the challenge from the point of view of the human resource department that needs to turn to a more stable model but also in terms of the overall strategic performance of the hotel. In particular, the inability to overcome the discussed issue can lead to decreased competitiveness, worse brand image, and, consequentially, overall disastrous financial performance of the hotel (Kinicki and Williams, 2020).</w:t>
      </w:r>
    </w:p>
    <w:p w14:paraId="5A9D784C"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Impact on the Hotel:</w:t>
      </w:r>
    </w:p>
    <w:p w14:paraId="5A9D784D"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implications of high employee turnover and low levels of engagement are twofold. First, operational continuity and service consistency are jeopardized. High levels of staff turnover disrupt team dynamics and mean constant recruitment and training efforts. According to industry data, the average turnover rate in hospitality roughly reaches 74.9%, with luxury hotels experiencing even higher turnover rates more than the industry average (Liu et al., 2020). This means increased recruitment costs for The Ritz London, potentially decreased productivity while staff are on training, and most importantly, lapses in service performance since some employees are still in the process of adapting. Moreover, low level of engagement may worsen guest satisfaction and thus affect reputation. Past studies indicate that engaged employees tend to provide superior service which results in high levels of guests’ satisfaction scores and a higher repeat business. Disengaged employees, on their end, may be emotionally indifferent and lack proactive enthusiasm in their dealing with guests, who may be affected as a result (Mishra et al., 2020).</w:t>
      </w:r>
    </w:p>
    <w:p w14:paraId="5A9D784E"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Causes of the Issue:</w:t>
      </w:r>
    </w:p>
    <w:p w14:paraId="5A9D784F"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Several reasons make the retention and engagement of employees difficult at The Ritz London. The most obvious one is the stressful nature of the hospitality profession, with long hours, difficult clients, and high-pressure situations being the standard. According to a recent study, 42% of all hospitality workers experience a lot of pressure in their jobs (</w:t>
      </w:r>
      <w:proofErr w:type="spellStart"/>
      <w:r w:rsidRPr="00244BD7">
        <w:rPr>
          <w:rFonts w:ascii="Arial" w:hAnsi="Arial" w:cs="Arial"/>
          <w:sz w:val="24"/>
          <w:szCs w:val="24"/>
        </w:rPr>
        <w:t>Rocklöv</w:t>
      </w:r>
      <w:proofErr w:type="spellEnd"/>
      <w:r w:rsidRPr="00244BD7">
        <w:rPr>
          <w:rFonts w:ascii="Arial" w:hAnsi="Arial" w:cs="Arial"/>
          <w:sz w:val="24"/>
          <w:szCs w:val="24"/>
        </w:rPr>
        <w:t xml:space="preserve"> and Dubrow, 2020). However, aside from these general industry issues, there are also some specific problems that contribute to the corporation’s inability to retain its employees. For example, one of these issues is the hotel workers’ limited access to the further promotion, heightening the degree of generality of the experience and providing </w:t>
      </w:r>
      <w:r w:rsidRPr="00244BD7">
        <w:rPr>
          <w:rFonts w:ascii="Arial" w:hAnsi="Arial" w:cs="Arial"/>
          <w:sz w:val="24"/>
          <w:szCs w:val="24"/>
        </w:rPr>
        <w:lastRenderedPageBreak/>
        <w:t>them with little motivation to get fully invested in their roles at The Ritz London. Although the rates of pay and bonuses at The Ritz London are more than competitive, defined career prospects would make the employees who are determined to succeed in their field to stay – as of now, 45% of all employees’ help wanted information cannot get any clearer than that they are not satisfied with the career paths that The Ritz London has for them McCloy (Sokal et al., 2020).</w:t>
      </w:r>
    </w:p>
    <w:p w14:paraId="5A9D7850"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Feedback and Reputation:</w:t>
      </w:r>
    </w:p>
    <w:p w14:paraId="5A9D7851"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feedback mechanisms within a hotel are vital in addressing employee concerns and improving levels of engagement. At The Ritz London, the hotel’s feedback channels may be insufficient or not adequately used, as no such assessment is performed by management from the information provided. Indeed, to determine what the employees want, the hotel’s managers need to introduce such tools as employee feedback surveys, performance reviews, and one-on-one meetings with team members. In companies where feedback systems are in place, turnover rates are 14.9% lower than in companies where they do not exist (Tidd and Bessant, 2020). In response, if current levels of low employee retention continue, and especially if the officers’ dissatisfaction grows, The Ritz London may no longer be able to rely on its unofficial status as one of Britain’s best employers and world leaders in the industry. A poor reputation may also discourage top talent from applying for job openings, in addition to making disgruntled former employees post negative reviews and put off guests. Since a hotel’s reputation is vital in the hospitality industry, it is essential not to ignore the employees’ declining morale or engagement to protect The Ritz London’s image and position on the market (Weiskopf et al., 2020).</w:t>
      </w:r>
    </w:p>
    <w:p w14:paraId="5A9D7852"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Income and Scope:</w:t>
      </w:r>
    </w:p>
    <w:p w14:paraId="5A9D7853"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From a financial viewpoint, the issue of employee retention and engagement could be perceived as directly related to the hotel’s bottom line. On the one hand, high turnover rates result in significant expenditures on recruitment and training, an amount that is currently estimated at around £20,000 per employee by industry data. On the other hand, however, the loss of experienced and well-trained staff members appears to be associated with employees’ decreased productivity and efficiency. Simply put, the newly employed workforces need to acquire </w:t>
      </w:r>
      <w:proofErr w:type="gramStart"/>
      <w:r w:rsidRPr="00244BD7">
        <w:rPr>
          <w:rFonts w:ascii="Arial" w:hAnsi="Arial" w:cs="Arial"/>
          <w:sz w:val="24"/>
          <w:szCs w:val="24"/>
        </w:rPr>
        <w:t>particular skills</w:t>
      </w:r>
      <w:proofErr w:type="gramEnd"/>
      <w:r w:rsidRPr="00244BD7">
        <w:rPr>
          <w:rFonts w:ascii="Arial" w:hAnsi="Arial" w:cs="Arial"/>
          <w:sz w:val="24"/>
          <w:szCs w:val="24"/>
        </w:rPr>
        <w:t xml:space="preserve"> necessary for completing their </w:t>
      </w:r>
      <w:r w:rsidRPr="00244BD7">
        <w:rPr>
          <w:rFonts w:ascii="Arial" w:hAnsi="Arial" w:cs="Arial"/>
          <w:sz w:val="24"/>
          <w:szCs w:val="24"/>
        </w:rPr>
        <w:lastRenderedPageBreak/>
        <w:t>duties with similar proficiency, and this requires a certain period during which the employee’s productivity is lower than the average at The Ritz (Acton, 2021). Due to the scope of this issue, it is essential to acknowledge that the problem is not just operational but has broader strategic implications for the hotel. Employee retention and engagement are part of The Ritz London’s competitive strategy, directly affecting the satisfaction of its guests, the reputation of its brand, and its position in the market. As such, the scope of the solution should be equally broad, incorporating relevant HR practices, management approaches, and cultural strategies to create an environment at the workplace that is conducive to promoting the growth, satisfaction, and loyalty of employees (</w:t>
      </w:r>
      <w:proofErr w:type="spellStart"/>
      <w:r w:rsidRPr="00244BD7">
        <w:rPr>
          <w:rFonts w:ascii="Arial" w:hAnsi="Arial" w:cs="Arial"/>
          <w:sz w:val="24"/>
          <w:szCs w:val="24"/>
        </w:rPr>
        <w:t>Appio</w:t>
      </w:r>
      <w:proofErr w:type="spellEnd"/>
      <w:r w:rsidRPr="00244BD7">
        <w:rPr>
          <w:rFonts w:ascii="Arial" w:hAnsi="Arial" w:cs="Arial"/>
          <w:sz w:val="24"/>
          <w:szCs w:val="24"/>
        </w:rPr>
        <w:t xml:space="preserve"> et al., 2021).</w:t>
      </w:r>
      <w:r w:rsidRPr="00244BD7">
        <w:rPr>
          <w:rFonts w:ascii="Arial" w:hAnsi="Arial" w:cs="Arial"/>
          <w:vanish/>
          <w:sz w:val="24"/>
          <w:szCs w:val="24"/>
        </w:rPr>
        <w:t>Top of Form</w:t>
      </w:r>
    </w:p>
    <w:p w14:paraId="5A9D7854"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PESTLE Analysis </w:t>
      </w:r>
    </w:p>
    <w:tbl>
      <w:tblPr>
        <w:tblStyle w:val="TableGrid"/>
        <w:tblW w:w="10680" w:type="dxa"/>
        <w:tblLook w:val="04A0" w:firstRow="1" w:lastRow="0" w:firstColumn="1" w:lastColumn="0" w:noHBand="0" w:noVBand="1"/>
      </w:tblPr>
      <w:tblGrid>
        <w:gridCol w:w="1751"/>
        <w:gridCol w:w="4616"/>
        <w:gridCol w:w="4313"/>
      </w:tblGrid>
      <w:tr w:rsidR="00286124" w:rsidRPr="00244BD7" w14:paraId="5A9D7858" w14:textId="77777777" w:rsidTr="009B0332">
        <w:tc>
          <w:tcPr>
            <w:tcW w:w="0" w:type="auto"/>
            <w:hideMark/>
          </w:tcPr>
          <w:p w14:paraId="5A9D7855"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Factor</w:t>
            </w:r>
          </w:p>
        </w:tc>
        <w:tc>
          <w:tcPr>
            <w:tcW w:w="0" w:type="auto"/>
            <w:hideMark/>
          </w:tcPr>
          <w:p w14:paraId="5A9D7856"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Description</w:t>
            </w:r>
          </w:p>
        </w:tc>
        <w:tc>
          <w:tcPr>
            <w:tcW w:w="0" w:type="auto"/>
            <w:hideMark/>
          </w:tcPr>
          <w:p w14:paraId="5A9D7857"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Impact on The Ritz London</w:t>
            </w:r>
          </w:p>
        </w:tc>
      </w:tr>
      <w:tr w:rsidR="00286124" w:rsidRPr="00244BD7" w14:paraId="5A9D785C" w14:textId="77777777" w:rsidTr="009B0332">
        <w:tc>
          <w:tcPr>
            <w:tcW w:w="0" w:type="auto"/>
            <w:hideMark/>
          </w:tcPr>
          <w:p w14:paraId="5A9D7859"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Political</w:t>
            </w:r>
          </w:p>
        </w:tc>
        <w:tc>
          <w:tcPr>
            <w:tcW w:w="0" w:type="auto"/>
            <w:hideMark/>
          </w:tcPr>
          <w:p w14:paraId="5A9D785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Government regulations and policies related to </w:t>
            </w:r>
            <w:proofErr w:type="spellStart"/>
            <w:r w:rsidRPr="00244BD7">
              <w:rPr>
                <w:rFonts w:ascii="Arial" w:hAnsi="Arial" w:cs="Arial"/>
                <w:sz w:val="24"/>
                <w:szCs w:val="24"/>
              </w:rPr>
              <w:t>labor</w:t>
            </w:r>
            <w:proofErr w:type="spellEnd"/>
            <w:r w:rsidRPr="00244BD7">
              <w:rPr>
                <w:rFonts w:ascii="Arial" w:hAnsi="Arial" w:cs="Arial"/>
                <w:sz w:val="24"/>
                <w:szCs w:val="24"/>
              </w:rPr>
              <w:t xml:space="preserve"> laws, immigration, taxation, and tourism can impact staffing and operating costs (Mihailova, 2020).</w:t>
            </w:r>
          </w:p>
        </w:tc>
        <w:tc>
          <w:tcPr>
            <w:tcW w:w="0" w:type="auto"/>
            <w:hideMark/>
          </w:tcPr>
          <w:p w14:paraId="5A9D785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Compliance with </w:t>
            </w:r>
            <w:proofErr w:type="spellStart"/>
            <w:r w:rsidRPr="00244BD7">
              <w:rPr>
                <w:rFonts w:ascii="Arial" w:hAnsi="Arial" w:cs="Arial"/>
                <w:sz w:val="24"/>
                <w:szCs w:val="24"/>
              </w:rPr>
              <w:t>labor</w:t>
            </w:r>
            <w:proofErr w:type="spellEnd"/>
            <w:r w:rsidRPr="00244BD7">
              <w:rPr>
                <w:rFonts w:ascii="Arial" w:hAnsi="Arial" w:cs="Arial"/>
                <w:sz w:val="24"/>
                <w:szCs w:val="24"/>
              </w:rPr>
              <w:t xml:space="preserve"> laws and regulations may affect hiring practices and payroll management (Agyekum </w:t>
            </w:r>
            <w:r w:rsidRPr="00244BD7">
              <w:rPr>
                <w:rFonts w:ascii="Arial" w:hAnsi="Arial" w:cs="Arial"/>
                <w:i/>
                <w:iCs/>
                <w:sz w:val="24"/>
                <w:szCs w:val="24"/>
              </w:rPr>
              <w:t>et al.</w:t>
            </w:r>
            <w:r w:rsidRPr="00244BD7">
              <w:rPr>
                <w:rFonts w:ascii="Arial" w:hAnsi="Arial" w:cs="Arial"/>
                <w:sz w:val="24"/>
                <w:szCs w:val="24"/>
              </w:rPr>
              <w:t>, 2021).</w:t>
            </w:r>
          </w:p>
        </w:tc>
      </w:tr>
      <w:tr w:rsidR="00286124" w:rsidRPr="00244BD7" w14:paraId="5A9D7860" w14:textId="77777777" w:rsidTr="009B0332">
        <w:tc>
          <w:tcPr>
            <w:tcW w:w="0" w:type="auto"/>
            <w:hideMark/>
          </w:tcPr>
          <w:p w14:paraId="5A9D785D"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5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Political stability and diplomatic relations can influence international guest arrivals and business partnerships (Demirtas </w:t>
            </w:r>
            <w:r w:rsidRPr="00244BD7">
              <w:rPr>
                <w:rFonts w:ascii="Arial" w:hAnsi="Arial" w:cs="Arial"/>
                <w:i/>
                <w:iCs/>
                <w:sz w:val="24"/>
                <w:szCs w:val="24"/>
              </w:rPr>
              <w:t>et al.</w:t>
            </w:r>
            <w:r w:rsidRPr="00244BD7">
              <w:rPr>
                <w:rFonts w:ascii="Arial" w:hAnsi="Arial" w:cs="Arial"/>
                <w:sz w:val="24"/>
                <w:szCs w:val="24"/>
              </w:rPr>
              <w:t>, 2021).</w:t>
            </w:r>
          </w:p>
        </w:tc>
        <w:tc>
          <w:tcPr>
            <w:tcW w:w="0" w:type="auto"/>
            <w:hideMark/>
          </w:tcPr>
          <w:p w14:paraId="5A9D785F"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Changes in taxation policies may affect the hotel's financial performance and pricing strategies (Debnath </w:t>
            </w:r>
            <w:r w:rsidRPr="00244BD7">
              <w:rPr>
                <w:rFonts w:ascii="Arial" w:hAnsi="Arial" w:cs="Arial"/>
                <w:i/>
                <w:iCs/>
                <w:sz w:val="24"/>
                <w:szCs w:val="24"/>
              </w:rPr>
              <w:t>et al.</w:t>
            </w:r>
            <w:r w:rsidRPr="00244BD7">
              <w:rPr>
                <w:rFonts w:ascii="Arial" w:hAnsi="Arial" w:cs="Arial"/>
                <w:sz w:val="24"/>
                <w:szCs w:val="24"/>
              </w:rPr>
              <w:t>, 2021).</w:t>
            </w:r>
          </w:p>
        </w:tc>
      </w:tr>
      <w:tr w:rsidR="00286124" w:rsidRPr="00244BD7" w14:paraId="5A9D7864" w14:textId="77777777" w:rsidTr="009B0332">
        <w:tc>
          <w:tcPr>
            <w:tcW w:w="0" w:type="auto"/>
            <w:hideMark/>
          </w:tcPr>
          <w:p w14:paraId="5A9D786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Economic</w:t>
            </w:r>
          </w:p>
        </w:tc>
        <w:tc>
          <w:tcPr>
            <w:tcW w:w="0" w:type="auto"/>
            <w:hideMark/>
          </w:tcPr>
          <w:p w14:paraId="5A9D786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Economic cycles, inflation rates, exchange rates, and GDP growth affect consumer spending on luxury hospitality services (Do </w:t>
            </w:r>
            <w:proofErr w:type="spellStart"/>
            <w:r w:rsidRPr="00244BD7">
              <w:rPr>
                <w:rFonts w:ascii="Arial" w:hAnsi="Arial" w:cs="Arial"/>
                <w:sz w:val="24"/>
                <w:szCs w:val="24"/>
              </w:rPr>
              <w:t>Thi</w:t>
            </w:r>
            <w:proofErr w:type="spellEnd"/>
            <w:r w:rsidRPr="00244BD7">
              <w:rPr>
                <w:rFonts w:ascii="Arial" w:hAnsi="Arial" w:cs="Arial"/>
                <w:sz w:val="24"/>
                <w:szCs w:val="24"/>
              </w:rPr>
              <w:t xml:space="preserve"> </w:t>
            </w:r>
            <w:r w:rsidRPr="00244BD7">
              <w:rPr>
                <w:rFonts w:ascii="Arial" w:hAnsi="Arial" w:cs="Arial"/>
                <w:i/>
                <w:iCs/>
                <w:sz w:val="24"/>
                <w:szCs w:val="24"/>
              </w:rPr>
              <w:t>et al.</w:t>
            </w:r>
            <w:r w:rsidRPr="00244BD7">
              <w:rPr>
                <w:rFonts w:ascii="Arial" w:hAnsi="Arial" w:cs="Arial"/>
                <w:sz w:val="24"/>
                <w:szCs w:val="24"/>
              </w:rPr>
              <w:t>, 2021).</w:t>
            </w:r>
          </w:p>
        </w:tc>
        <w:tc>
          <w:tcPr>
            <w:tcW w:w="0" w:type="auto"/>
            <w:hideMark/>
          </w:tcPr>
          <w:p w14:paraId="5A9D7863"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Economic downturns may lead to decreased consumer spending on luxury accommodations and services (Khan </w:t>
            </w:r>
            <w:r w:rsidRPr="00244BD7">
              <w:rPr>
                <w:rFonts w:ascii="Arial" w:hAnsi="Arial" w:cs="Arial"/>
                <w:i/>
                <w:iCs/>
                <w:sz w:val="24"/>
                <w:szCs w:val="24"/>
              </w:rPr>
              <w:t>et al.</w:t>
            </w:r>
            <w:r w:rsidRPr="00244BD7">
              <w:rPr>
                <w:rFonts w:ascii="Arial" w:hAnsi="Arial" w:cs="Arial"/>
                <w:sz w:val="24"/>
                <w:szCs w:val="24"/>
              </w:rPr>
              <w:t xml:space="preserve">, 2021). </w:t>
            </w:r>
          </w:p>
        </w:tc>
      </w:tr>
      <w:tr w:rsidR="00286124" w:rsidRPr="00244BD7" w14:paraId="5A9D7868" w14:textId="77777777" w:rsidTr="009B0332">
        <w:tc>
          <w:tcPr>
            <w:tcW w:w="0" w:type="auto"/>
            <w:hideMark/>
          </w:tcPr>
          <w:p w14:paraId="5A9D7865"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6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Income levels and employment rates impact the disposable income of potential guests and staff (Njoh, 2021).</w:t>
            </w:r>
          </w:p>
        </w:tc>
        <w:tc>
          <w:tcPr>
            <w:tcW w:w="0" w:type="auto"/>
            <w:hideMark/>
          </w:tcPr>
          <w:p w14:paraId="5A9D7867"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Fluctuations in exchange rates may affect the purchasing power of international guests and the hotel's revenue from foreign markets (Thomas </w:t>
            </w:r>
            <w:r w:rsidRPr="00244BD7">
              <w:rPr>
                <w:rFonts w:ascii="Arial" w:hAnsi="Arial" w:cs="Arial"/>
                <w:i/>
                <w:iCs/>
                <w:sz w:val="24"/>
                <w:szCs w:val="24"/>
              </w:rPr>
              <w:t>et al.</w:t>
            </w:r>
            <w:r w:rsidRPr="00244BD7">
              <w:rPr>
                <w:rFonts w:ascii="Arial" w:hAnsi="Arial" w:cs="Arial"/>
                <w:sz w:val="24"/>
                <w:szCs w:val="24"/>
              </w:rPr>
              <w:t>, 2021).</w:t>
            </w:r>
          </w:p>
        </w:tc>
      </w:tr>
      <w:tr w:rsidR="00286124" w:rsidRPr="00244BD7" w14:paraId="5A9D786C" w14:textId="77777777" w:rsidTr="009B0332">
        <w:tc>
          <w:tcPr>
            <w:tcW w:w="0" w:type="auto"/>
            <w:hideMark/>
          </w:tcPr>
          <w:p w14:paraId="5A9D7869"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Social</w:t>
            </w:r>
          </w:p>
        </w:tc>
        <w:tc>
          <w:tcPr>
            <w:tcW w:w="0" w:type="auto"/>
            <w:hideMark/>
          </w:tcPr>
          <w:p w14:paraId="5A9D786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Demographic trends such as aging populations, cultural preferences, and </w:t>
            </w:r>
            <w:r w:rsidRPr="00244BD7">
              <w:rPr>
                <w:rFonts w:ascii="Arial" w:hAnsi="Arial" w:cs="Arial"/>
                <w:sz w:val="24"/>
                <w:szCs w:val="24"/>
              </w:rPr>
              <w:lastRenderedPageBreak/>
              <w:t xml:space="preserve">lifestyle changes influence consumer preferences and travel </w:t>
            </w:r>
            <w:proofErr w:type="spellStart"/>
            <w:r w:rsidRPr="00244BD7">
              <w:rPr>
                <w:rFonts w:ascii="Arial" w:hAnsi="Arial" w:cs="Arial"/>
                <w:sz w:val="24"/>
                <w:szCs w:val="24"/>
              </w:rPr>
              <w:t>behavior</w:t>
            </w:r>
            <w:proofErr w:type="spellEnd"/>
            <w:r w:rsidRPr="00244BD7">
              <w:rPr>
                <w:rFonts w:ascii="Arial" w:hAnsi="Arial" w:cs="Arial"/>
                <w:sz w:val="24"/>
                <w:szCs w:val="24"/>
              </w:rPr>
              <w:t xml:space="preserve"> (</w:t>
            </w:r>
            <w:proofErr w:type="spellStart"/>
            <w:r w:rsidRPr="00244BD7">
              <w:rPr>
                <w:rFonts w:ascii="Arial" w:hAnsi="Arial" w:cs="Arial"/>
                <w:sz w:val="24"/>
                <w:szCs w:val="24"/>
              </w:rPr>
              <w:t>Vardopoulos</w:t>
            </w:r>
            <w:proofErr w:type="spellEnd"/>
            <w:r w:rsidRPr="00244BD7">
              <w:rPr>
                <w:rFonts w:ascii="Arial" w:hAnsi="Arial" w:cs="Arial"/>
                <w:sz w:val="24"/>
                <w:szCs w:val="24"/>
              </w:rPr>
              <w:t xml:space="preserve"> </w:t>
            </w:r>
            <w:r w:rsidRPr="00244BD7">
              <w:rPr>
                <w:rFonts w:ascii="Arial" w:hAnsi="Arial" w:cs="Arial"/>
                <w:i/>
                <w:iCs/>
                <w:sz w:val="24"/>
                <w:szCs w:val="24"/>
              </w:rPr>
              <w:t>et al.</w:t>
            </w:r>
            <w:r w:rsidRPr="00244BD7">
              <w:rPr>
                <w:rFonts w:ascii="Arial" w:hAnsi="Arial" w:cs="Arial"/>
                <w:sz w:val="24"/>
                <w:szCs w:val="24"/>
              </w:rPr>
              <w:t>, 2021).</w:t>
            </w:r>
          </w:p>
        </w:tc>
        <w:tc>
          <w:tcPr>
            <w:tcW w:w="0" w:type="auto"/>
            <w:hideMark/>
          </w:tcPr>
          <w:p w14:paraId="5A9D786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 xml:space="preserve">- Catering to diverse cultural preferences and dietary requirements </w:t>
            </w:r>
            <w:r w:rsidRPr="00244BD7">
              <w:rPr>
                <w:rFonts w:ascii="Arial" w:hAnsi="Arial" w:cs="Arial"/>
                <w:sz w:val="24"/>
                <w:szCs w:val="24"/>
              </w:rPr>
              <w:lastRenderedPageBreak/>
              <w:t>enhances guest satisfaction and loyalty (Cox, 2021).</w:t>
            </w:r>
          </w:p>
        </w:tc>
      </w:tr>
      <w:tr w:rsidR="00286124" w:rsidRPr="00244BD7" w14:paraId="5A9D7870" w14:textId="77777777" w:rsidTr="009B0332">
        <w:tc>
          <w:tcPr>
            <w:tcW w:w="0" w:type="auto"/>
            <w:hideMark/>
          </w:tcPr>
          <w:p w14:paraId="5A9D786D"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6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Changing attitudes towards sustainability and ethical practices demand eco-friendly initiatives and responsible tourism efforts (</w:t>
            </w:r>
            <w:proofErr w:type="spellStart"/>
            <w:r w:rsidRPr="00244BD7">
              <w:rPr>
                <w:rFonts w:ascii="Arial" w:hAnsi="Arial" w:cs="Arial"/>
                <w:sz w:val="24"/>
                <w:szCs w:val="24"/>
              </w:rPr>
              <w:t>Arefieva</w:t>
            </w:r>
            <w:proofErr w:type="spellEnd"/>
            <w:r w:rsidRPr="00244BD7">
              <w:rPr>
                <w:rFonts w:ascii="Arial" w:hAnsi="Arial" w:cs="Arial"/>
                <w:sz w:val="24"/>
                <w:szCs w:val="24"/>
              </w:rPr>
              <w:t xml:space="preserve"> et al., 2021).</w:t>
            </w:r>
          </w:p>
        </w:tc>
        <w:tc>
          <w:tcPr>
            <w:tcW w:w="0" w:type="auto"/>
            <w:hideMark/>
          </w:tcPr>
          <w:p w14:paraId="5A9D786F"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Implementing sustainable practices and community engagement initiatives enhance the hotel's brand image and appeal to socially conscious guests (Li et al., 2021).</w:t>
            </w:r>
          </w:p>
        </w:tc>
      </w:tr>
      <w:tr w:rsidR="00286124" w:rsidRPr="00244BD7" w14:paraId="5A9D7874" w14:textId="77777777" w:rsidTr="009B0332">
        <w:tc>
          <w:tcPr>
            <w:tcW w:w="0" w:type="auto"/>
            <w:hideMark/>
          </w:tcPr>
          <w:p w14:paraId="5A9D787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Technological</w:t>
            </w:r>
          </w:p>
        </w:tc>
        <w:tc>
          <w:tcPr>
            <w:tcW w:w="0" w:type="auto"/>
            <w:hideMark/>
          </w:tcPr>
          <w:p w14:paraId="5A9D787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Advancements in technology impact service delivery, guest experiences, and operational efficiency through automation, digitalization, and data analytics (</w:t>
            </w:r>
            <w:proofErr w:type="spellStart"/>
            <w:r w:rsidRPr="00244BD7">
              <w:rPr>
                <w:rFonts w:ascii="Arial" w:hAnsi="Arial" w:cs="Arial"/>
                <w:sz w:val="24"/>
                <w:szCs w:val="24"/>
              </w:rPr>
              <w:t>Panpatte</w:t>
            </w:r>
            <w:proofErr w:type="spellEnd"/>
            <w:r w:rsidRPr="00244BD7">
              <w:rPr>
                <w:rFonts w:ascii="Arial" w:hAnsi="Arial" w:cs="Arial"/>
                <w:sz w:val="24"/>
                <w:szCs w:val="24"/>
              </w:rPr>
              <w:t xml:space="preserve"> and Ganeshkumar, 2021).</w:t>
            </w:r>
          </w:p>
        </w:tc>
        <w:tc>
          <w:tcPr>
            <w:tcW w:w="0" w:type="auto"/>
            <w:hideMark/>
          </w:tcPr>
          <w:p w14:paraId="5A9D7873"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Adoption of state-of-the-art technology enhances guest convenience, operational efficiency, and competitive advantage (Singh et al., 2021).</w:t>
            </w:r>
          </w:p>
        </w:tc>
      </w:tr>
      <w:tr w:rsidR="00286124" w:rsidRPr="00244BD7" w14:paraId="5A9D7878" w14:textId="77777777" w:rsidTr="009B0332">
        <w:tc>
          <w:tcPr>
            <w:tcW w:w="0" w:type="auto"/>
            <w:hideMark/>
          </w:tcPr>
          <w:p w14:paraId="5A9D7875"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7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Cybersecurity threats require robust IT infrastructure and data protection measures to safeguard guest information and maintain trust (Yang et al., 2021).</w:t>
            </w:r>
          </w:p>
        </w:tc>
        <w:tc>
          <w:tcPr>
            <w:tcW w:w="0" w:type="auto"/>
            <w:hideMark/>
          </w:tcPr>
          <w:p w14:paraId="5A9D7877"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Investing in cybersecurity measures and staff training mitigates the risk of data breaches and reputational damage (Anjos et al., 2022).</w:t>
            </w:r>
          </w:p>
        </w:tc>
      </w:tr>
      <w:tr w:rsidR="00286124" w:rsidRPr="00244BD7" w14:paraId="5A9D787C" w14:textId="77777777" w:rsidTr="009B0332">
        <w:tc>
          <w:tcPr>
            <w:tcW w:w="0" w:type="auto"/>
            <w:hideMark/>
          </w:tcPr>
          <w:p w14:paraId="5A9D7879"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Environmental</w:t>
            </w:r>
          </w:p>
        </w:tc>
        <w:tc>
          <w:tcPr>
            <w:tcW w:w="0" w:type="auto"/>
            <w:hideMark/>
          </w:tcPr>
          <w:p w14:paraId="5A9D787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Environmental regulations, climate change, and natural disasters affect sustainability practices, energy consumption, and property maintenance (</w:t>
            </w:r>
            <w:proofErr w:type="spellStart"/>
            <w:r w:rsidRPr="00244BD7">
              <w:rPr>
                <w:rFonts w:ascii="Arial" w:hAnsi="Arial" w:cs="Arial"/>
                <w:sz w:val="24"/>
                <w:szCs w:val="24"/>
              </w:rPr>
              <w:t>Febrianty</w:t>
            </w:r>
            <w:proofErr w:type="spellEnd"/>
            <w:r w:rsidRPr="00244BD7">
              <w:rPr>
                <w:rFonts w:ascii="Arial" w:hAnsi="Arial" w:cs="Arial"/>
                <w:sz w:val="24"/>
                <w:szCs w:val="24"/>
              </w:rPr>
              <w:t xml:space="preserve"> et al., 2022).</w:t>
            </w:r>
          </w:p>
        </w:tc>
        <w:tc>
          <w:tcPr>
            <w:tcW w:w="0" w:type="auto"/>
            <w:hideMark/>
          </w:tcPr>
          <w:p w14:paraId="5A9D787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Implementing eco-friendly initiatives such as energy conservation and waste reduction minimizes environmental impact and operational costs (</w:t>
            </w:r>
            <w:proofErr w:type="spellStart"/>
            <w:r w:rsidRPr="00244BD7">
              <w:rPr>
                <w:rFonts w:ascii="Arial" w:hAnsi="Arial" w:cs="Arial"/>
                <w:sz w:val="24"/>
                <w:szCs w:val="24"/>
              </w:rPr>
              <w:t>Razmjoo</w:t>
            </w:r>
            <w:proofErr w:type="spellEnd"/>
            <w:r w:rsidRPr="00244BD7">
              <w:rPr>
                <w:rFonts w:ascii="Arial" w:hAnsi="Arial" w:cs="Arial"/>
                <w:sz w:val="24"/>
                <w:szCs w:val="24"/>
              </w:rPr>
              <w:t xml:space="preserve"> et al., 2022).</w:t>
            </w:r>
          </w:p>
        </w:tc>
      </w:tr>
      <w:tr w:rsidR="00286124" w:rsidRPr="00244BD7" w14:paraId="5A9D7880" w14:textId="77777777" w:rsidTr="009B0332">
        <w:tc>
          <w:tcPr>
            <w:tcW w:w="0" w:type="auto"/>
            <w:hideMark/>
          </w:tcPr>
          <w:p w14:paraId="5A9D787D"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7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Rising awareness of environmental issues among guests necessitates green certifications and eco-friendly amenities to maintain competitiveness (Charles and </w:t>
            </w:r>
            <w:proofErr w:type="spellStart"/>
            <w:r w:rsidRPr="00244BD7">
              <w:rPr>
                <w:rFonts w:ascii="Arial" w:hAnsi="Arial" w:cs="Arial"/>
                <w:sz w:val="24"/>
                <w:szCs w:val="24"/>
              </w:rPr>
              <w:t>Uford</w:t>
            </w:r>
            <w:proofErr w:type="spellEnd"/>
            <w:r w:rsidRPr="00244BD7">
              <w:rPr>
                <w:rFonts w:ascii="Arial" w:hAnsi="Arial" w:cs="Arial"/>
                <w:sz w:val="24"/>
                <w:szCs w:val="24"/>
              </w:rPr>
              <w:t>, 2023).</w:t>
            </w:r>
          </w:p>
        </w:tc>
        <w:tc>
          <w:tcPr>
            <w:tcW w:w="0" w:type="auto"/>
            <w:hideMark/>
          </w:tcPr>
          <w:p w14:paraId="5A9D787F"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Demonstrating commitment to environmental sustainability enhances brand reputation and attracts environmentally conscious guests (Naim, 2023).</w:t>
            </w:r>
          </w:p>
        </w:tc>
      </w:tr>
      <w:tr w:rsidR="00286124" w:rsidRPr="00244BD7" w14:paraId="5A9D7884" w14:textId="77777777" w:rsidTr="009B0332">
        <w:tc>
          <w:tcPr>
            <w:tcW w:w="0" w:type="auto"/>
            <w:hideMark/>
          </w:tcPr>
          <w:p w14:paraId="5A9D788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Legal</w:t>
            </w:r>
          </w:p>
        </w:tc>
        <w:tc>
          <w:tcPr>
            <w:tcW w:w="0" w:type="auto"/>
            <w:hideMark/>
          </w:tcPr>
          <w:p w14:paraId="5A9D788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Legal requirements related to health and safety standards, employment laws, and contract regulations govern hotel </w:t>
            </w:r>
            <w:r w:rsidRPr="00244BD7">
              <w:rPr>
                <w:rFonts w:ascii="Arial" w:hAnsi="Arial" w:cs="Arial"/>
                <w:sz w:val="24"/>
                <w:szCs w:val="24"/>
              </w:rPr>
              <w:lastRenderedPageBreak/>
              <w:t xml:space="preserve">operations and employee relations (Agyekum </w:t>
            </w:r>
            <w:r w:rsidRPr="00244BD7">
              <w:rPr>
                <w:rFonts w:ascii="Arial" w:hAnsi="Arial" w:cs="Arial"/>
                <w:i/>
                <w:iCs/>
                <w:sz w:val="24"/>
                <w:szCs w:val="24"/>
              </w:rPr>
              <w:t>et al.</w:t>
            </w:r>
            <w:r w:rsidRPr="00244BD7">
              <w:rPr>
                <w:rFonts w:ascii="Arial" w:hAnsi="Arial" w:cs="Arial"/>
                <w:sz w:val="24"/>
                <w:szCs w:val="24"/>
              </w:rPr>
              <w:t>, 2021).</w:t>
            </w:r>
          </w:p>
        </w:tc>
        <w:tc>
          <w:tcPr>
            <w:tcW w:w="0" w:type="auto"/>
            <w:hideMark/>
          </w:tcPr>
          <w:p w14:paraId="5A9D7883"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 xml:space="preserve">- Compliance with health and safety regulations ensures guest and staff well-being, reducing the risk of </w:t>
            </w:r>
            <w:r w:rsidRPr="00244BD7">
              <w:rPr>
                <w:rFonts w:ascii="Arial" w:hAnsi="Arial" w:cs="Arial"/>
                <w:sz w:val="24"/>
                <w:szCs w:val="24"/>
              </w:rPr>
              <w:lastRenderedPageBreak/>
              <w:t>liabilities and legal disputes (Mihailova, 2020).</w:t>
            </w:r>
          </w:p>
        </w:tc>
      </w:tr>
      <w:tr w:rsidR="00286124" w:rsidRPr="00244BD7" w14:paraId="5A9D7888" w14:textId="77777777" w:rsidTr="009B0332">
        <w:tc>
          <w:tcPr>
            <w:tcW w:w="0" w:type="auto"/>
            <w:hideMark/>
          </w:tcPr>
          <w:p w14:paraId="5A9D7885" w14:textId="77777777" w:rsidR="00286124" w:rsidRPr="00244BD7" w:rsidRDefault="00286124" w:rsidP="009B0332">
            <w:pPr>
              <w:spacing w:line="360" w:lineRule="auto"/>
              <w:jc w:val="both"/>
              <w:rPr>
                <w:rFonts w:ascii="Arial" w:hAnsi="Arial" w:cs="Arial"/>
                <w:sz w:val="24"/>
                <w:szCs w:val="24"/>
              </w:rPr>
            </w:pPr>
          </w:p>
        </w:tc>
        <w:tc>
          <w:tcPr>
            <w:tcW w:w="0" w:type="auto"/>
            <w:hideMark/>
          </w:tcPr>
          <w:p w14:paraId="5A9D788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Intellectual property laws protect the hotel's brand identity, trademarks, and proprietary information from infringement and misuse (Debnath </w:t>
            </w:r>
            <w:r w:rsidRPr="00244BD7">
              <w:rPr>
                <w:rFonts w:ascii="Arial" w:hAnsi="Arial" w:cs="Arial"/>
                <w:i/>
                <w:iCs/>
                <w:sz w:val="24"/>
                <w:szCs w:val="24"/>
              </w:rPr>
              <w:t>et al.</w:t>
            </w:r>
            <w:r w:rsidRPr="00244BD7">
              <w:rPr>
                <w:rFonts w:ascii="Arial" w:hAnsi="Arial" w:cs="Arial"/>
                <w:sz w:val="24"/>
                <w:szCs w:val="24"/>
              </w:rPr>
              <w:t>, 2021).</w:t>
            </w:r>
          </w:p>
        </w:tc>
        <w:tc>
          <w:tcPr>
            <w:tcW w:w="0" w:type="auto"/>
            <w:hideMark/>
          </w:tcPr>
          <w:p w14:paraId="5A9D7887"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Enforcing intellectual property rights safeguards the hotel's assets and preserves its unique brand positioning in the market (Do </w:t>
            </w:r>
            <w:proofErr w:type="spellStart"/>
            <w:r w:rsidRPr="00244BD7">
              <w:rPr>
                <w:rFonts w:ascii="Arial" w:hAnsi="Arial" w:cs="Arial"/>
                <w:sz w:val="24"/>
                <w:szCs w:val="24"/>
              </w:rPr>
              <w:t>Thi</w:t>
            </w:r>
            <w:proofErr w:type="spellEnd"/>
            <w:r w:rsidRPr="00244BD7">
              <w:rPr>
                <w:rFonts w:ascii="Arial" w:hAnsi="Arial" w:cs="Arial"/>
                <w:sz w:val="24"/>
                <w:szCs w:val="24"/>
              </w:rPr>
              <w:t xml:space="preserve"> </w:t>
            </w:r>
            <w:r w:rsidRPr="00244BD7">
              <w:rPr>
                <w:rFonts w:ascii="Arial" w:hAnsi="Arial" w:cs="Arial"/>
                <w:i/>
                <w:iCs/>
                <w:sz w:val="24"/>
                <w:szCs w:val="24"/>
              </w:rPr>
              <w:t>et al.</w:t>
            </w:r>
            <w:r w:rsidRPr="00244BD7">
              <w:rPr>
                <w:rFonts w:ascii="Arial" w:hAnsi="Arial" w:cs="Arial"/>
                <w:sz w:val="24"/>
                <w:szCs w:val="24"/>
              </w:rPr>
              <w:t>, 2021).</w:t>
            </w:r>
          </w:p>
        </w:tc>
      </w:tr>
    </w:tbl>
    <w:p w14:paraId="5A9D7889" w14:textId="77777777" w:rsidR="00286124" w:rsidRPr="00244BD7" w:rsidRDefault="00286124" w:rsidP="00286124">
      <w:pPr>
        <w:spacing w:after="0" w:line="360" w:lineRule="auto"/>
        <w:jc w:val="both"/>
        <w:rPr>
          <w:rFonts w:ascii="Arial" w:hAnsi="Arial" w:cs="Arial"/>
          <w:sz w:val="24"/>
          <w:szCs w:val="24"/>
        </w:rPr>
      </w:pPr>
    </w:p>
    <w:p w14:paraId="5A9D788A"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SWOT Analysis </w:t>
      </w:r>
    </w:p>
    <w:tbl>
      <w:tblPr>
        <w:tblStyle w:val="TableGrid"/>
        <w:tblW w:w="10680" w:type="dxa"/>
        <w:tblLook w:val="04A0" w:firstRow="1" w:lastRow="0" w:firstColumn="1" w:lastColumn="0" w:noHBand="0" w:noVBand="1"/>
      </w:tblPr>
      <w:tblGrid>
        <w:gridCol w:w="2265"/>
        <w:gridCol w:w="8415"/>
      </w:tblGrid>
      <w:tr w:rsidR="00286124" w:rsidRPr="00244BD7" w14:paraId="5A9D788D" w14:textId="77777777" w:rsidTr="009B0332">
        <w:tc>
          <w:tcPr>
            <w:tcW w:w="0" w:type="auto"/>
            <w:hideMark/>
          </w:tcPr>
          <w:p w14:paraId="5A9D788B"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Strengths</w:t>
            </w:r>
          </w:p>
        </w:tc>
        <w:tc>
          <w:tcPr>
            <w:tcW w:w="0" w:type="auto"/>
            <w:hideMark/>
          </w:tcPr>
          <w:p w14:paraId="5A9D788C"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Description</w:t>
            </w:r>
          </w:p>
        </w:tc>
      </w:tr>
      <w:tr w:rsidR="00286124" w:rsidRPr="00244BD7" w14:paraId="5A9D7890" w14:textId="77777777" w:rsidTr="009B0332">
        <w:tc>
          <w:tcPr>
            <w:tcW w:w="0" w:type="auto"/>
            <w:hideMark/>
          </w:tcPr>
          <w:p w14:paraId="5A9D788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Prestigious Brand</w:t>
            </w:r>
          </w:p>
        </w:tc>
        <w:tc>
          <w:tcPr>
            <w:tcW w:w="0" w:type="auto"/>
            <w:hideMark/>
          </w:tcPr>
          <w:p w14:paraId="5A9D788F"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The Ritz London boasts a long-standing reputation as an iconic luxury hotel, synonymous with elegance, sophistication, and impeccable service (Bosch et al., 2020).</w:t>
            </w:r>
          </w:p>
        </w:tc>
      </w:tr>
      <w:tr w:rsidR="00286124" w:rsidRPr="00244BD7" w14:paraId="5A9D7893" w14:textId="77777777" w:rsidTr="009B0332">
        <w:tc>
          <w:tcPr>
            <w:tcW w:w="0" w:type="auto"/>
            <w:hideMark/>
          </w:tcPr>
          <w:p w14:paraId="5A9D789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Prime Location</w:t>
            </w:r>
          </w:p>
        </w:tc>
        <w:tc>
          <w:tcPr>
            <w:tcW w:w="0" w:type="auto"/>
            <w:hideMark/>
          </w:tcPr>
          <w:p w14:paraId="5A9D789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Situated in the heart of London at 150 Piccadilly, the hotel enjoys a prime location near major attractions, business districts, and transportation hubs (</w:t>
            </w:r>
            <w:proofErr w:type="spellStart"/>
            <w:r w:rsidRPr="00244BD7">
              <w:rPr>
                <w:rFonts w:ascii="Arial" w:hAnsi="Arial" w:cs="Arial"/>
                <w:sz w:val="24"/>
                <w:szCs w:val="24"/>
              </w:rPr>
              <w:t>Puyt</w:t>
            </w:r>
            <w:proofErr w:type="spellEnd"/>
            <w:r w:rsidRPr="00244BD7">
              <w:rPr>
                <w:rFonts w:ascii="Arial" w:hAnsi="Arial" w:cs="Arial"/>
                <w:sz w:val="24"/>
                <w:szCs w:val="24"/>
              </w:rPr>
              <w:t xml:space="preserve"> et al., 2020).</w:t>
            </w:r>
          </w:p>
        </w:tc>
      </w:tr>
      <w:tr w:rsidR="00286124" w:rsidRPr="00244BD7" w14:paraId="5A9D7896" w14:textId="77777777" w:rsidTr="009B0332">
        <w:tc>
          <w:tcPr>
            <w:tcW w:w="0" w:type="auto"/>
            <w:hideMark/>
          </w:tcPr>
          <w:p w14:paraId="5A9D7894"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Historic Heritage</w:t>
            </w:r>
          </w:p>
        </w:tc>
        <w:tc>
          <w:tcPr>
            <w:tcW w:w="0" w:type="auto"/>
            <w:hideMark/>
          </w:tcPr>
          <w:p w14:paraId="5A9D7895"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With a history dating back to 1906, The Ritz London exudes timeless charm and heritage, attracting guests seeking a traditional and authentic hospitality experience (</w:t>
            </w:r>
            <w:proofErr w:type="spellStart"/>
            <w:r w:rsidRPr="00244BD7">
              <w:rPr>
                <w:rFonts w:ascii="Arial" w:hAnsi="Arial" w:cs="Arial"/>
                <w:sz w:val="24"/>
                <w:szCs w:val="24"/>
              </w:rPr>
              <w:t>Benzaghta</w:t>
            </w:r>
            <w:proofErr w:type="spellEnd"/>
            <w:r w:rsidRPr="00244BD7">
              <w:rPr>
                <w:rFonts w:ascii="Arial" w:hAnsi="Arial" w:cs="Arial"/>
                <w:sz w:val="24"/>
                <w:szCs w:val="24"/>
              </w:rPr>
              <w:t xml:space="preserve"> et al., 2021).</w:t>
            </w:r>
          </w:p>
        </w:tc>
      </w:tr>
      <w:tr w:rsidR="00286124" w:rsidRPr="00244BD7" w14:paraId="5A9D7899" w14:textId="77777777" w:rsidTr="009B0332">
        <w:tc>
          <w:tcPr>
            <w:tcW w:w="0" w:type="auto"/>
            <w:hideMark/>
          </w:tcPr>
          <w:p w14:paraId="5A9D7897"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Outstanding Service</w:t>
            </w:r>
          </w:p>
        </w:tc>
        <w:tc>
          <w:tcPr>
            <w:tcW w:w="0" w:type="auto"/>
            <w:hideMark/>
          </w:tcPr>
          <w:p w14:paraId="5A9D7898"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The hotel prides itself on delivering exceptional service, characterized by personalized attention, attention to detail, and a commitment to exceeding guest expectations (</w:t>
            </w:r>
            <w:proofErr w:type="spellStart"/>
            <w:r w:rsidRPr="00244BD7">
              <w:rPr>
                <w:rFonts w:ascii="Arial" w:hAnsi="Arial" w:cs="Arial"/>
                <w:sz w:val="24"/>
                <w:szCs w:val="24"/>
              </w:rPr>
              <w:t>Boitrelle</w:t>
            </w:r>
            <w:proofErr w:type="spellEnd"/>
            <w:r w:rsidRPr="00244BD7">
              <w:rPr>
                <w:rFonts w:ascii="Arial" w:hAnsi="Arial" w:cs="Arial"/>
                <w:sz w:val="24"/>
                <w:szCs w:val="24"/>
              </w:rPr>
              <w:t xml:space="preserve"> et al., 2021).</w:t>
            </w:r>
          </w:p>
        </w:tc>
      </w:tr>
      <w:tr w:rsidR="00286124" w:rsidRPr="00244BD7" w14:paraId="5A9D789C" w14:textId="77777777" w:rsidTr="009B0332">
        <w:tc>
          <w:tcPr>
            <w:tcW w:w="0" w:type="auto"/>
            <w:vAlign w:val="bottom"/>
          </w:tcPr>
          <w:p w14:paraId="5A9D789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b/>
                <w:bCs/>
                <w:sz w:val="24"/>
                <w:szCs w:val="24"/>
              </w:rPr>
              <w:t>Weaknesses</w:t>
            </w:r>
          </w:p>
        </w:tc>
        <w:tc>
          <w:tcPr>
            <w:tcW w:w="0" w:type="auto"/>
            <w:vAlign w:val="bottom"/>
          </w:tcPr>
          <w:p w14:paraId="5A9D789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b/>
                <w:bCs/>
                <w:sz w:val="24"/>
                <w:szCs w:val="24"/>
              </w:rPr>
              <w:t>Description</w:t>
            </w:r>
          </w:p>
        </w:tc>
      </w:tr>
      <w:tr w:rsidR="00286124" w:rsidRPr="00244BD7" w14:paraId="5A9D789F" w14:textId="77777777" w:rsidTr="009B0332">
        <w:tc>
          <w:tcPr>
            <w:tcW w:w="0" w:type="auto"/>
            <w:vAlign w:val="bottom"/>
          </w:tcPr>
          <w:p w14:paraId="5A9D789D"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High Operating Costs</w:t>
            </w:r>
          </w:p>
        </w:tc>
        <w:tc>
          <w:tcPr>
            <w:tcW w:w="0" w:type="auto"/>
            <w:vAlign w:val="bottom"/>
          </w:tcPr>
          <w:p w14:paraId="5A9D789E"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Maintaining the standards of luxury synonymous with The Ritz London requires substantial investment in staff training, property upkeep, and premium amenities (Palomares et al., 2021).</w:t>
            </w:r>
          </w:p>
        </w:tc>
      </w:tr>
      <w:tr w:rsidR="00286124" w:rsidRPr="00244BD7" w14:paraId="5A9D78A2" w14:textId="77777777" w:rsidTr="009B0332">
        <w:tc>
          <w:tcPr>
            <w:tcW w:w="0" w:type="auto"/>
            <w:vAlign w:val="bottom"/>
          </w:tcPr>
          <w:p w14:paraId="5A9D78A0"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Staff Turnover</w:t>
            </w:r>
          </w:p>
        </w:tc>
        <w:tc>
          <w:tcPr>
            <w:tcW w:w="0" w:type="auto"/>
            <w:vAlign w:val="bottom"/>
          </w:tcPr>
          <w:p w14:paraId="5A9D78A1"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High turnover rates among employees, particularly in frontline roles, can impact service consistency, morale, and operational efficiency (</w:t>
            </w:r>
            <w:proofErr w:type="spellStart"/>
            <w:r w:rsidRPr="00244BD7">
              <w:rPr>
                <w:rFonts w:ascii="Arial" w:hAnsi="Arial" w:cs="Arial"/>
                <w:sz w:val="24"/>
                <w:szCs w:val="24"/>
              </w:rPr>
              <w:t>Rizki</w:t>
            </w:r>
            <w:proofErr w:type="spellEnd"/>
            <w:r w:rsidRPr="00244BD7">
              <w:rPr>
                <w:rFonts w:ascii="Arial" w:hAnsi="Arial" w:cs="Arial"/>
                <w:sz w:val="24"/>
                <w:szCs w:val="24"/>
              </w:rPr>
              <w:t xml:space="preserve"> et al., 2021).</w:t>
            </w:r>
          </w:p>
        </w:tc>
      </w:tr>
      <w:tr w:rsidR="00286124" w:rsidRPr="00244BD7" w14:paraId="5A9D78A5" w14:textId="77777777" w:rsidTr="009B0332">
        <w:tc>
          <w:tcPr>
            <w:tcW w:w="0" w:type="auto"/>
            <w:vAlign w:val="bottom"/>
          </w:tcPr>
          <w:p w14:paraId="5A9D78A3"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lastRenderedPageBreak/>
              <w:t>Limited Room Capacity</w:t>
            </w:r>
          </w:p>
        </w:tc>
        <w:tc>
          <w:tcPr>
            <w:tcW w:w="0" w:type="auto"/>
            <w:vAlign w:val="bottom"/>
          </w:tcPr>
          <w:p w14:paraId="5A9D78A4"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Despite its prestigious status, The Ritz London has a finite number of rooms, limiting its ability to accommodate a large volume of guests compared to larger establishments (Hanis and Yusuf, 2022).</w:t>
            </w:r>
          </w:p>
        </w:tc>
      </w:tr>
      <w:tr w:rsidR="00286124" w:rsidRPr="00244BD7" w14:paraId="5A9D78A8" w14:textId="77777777" w:rsidTr="009B0332">
        <w:tc>
          <w:tcPr>
            <w:tcW w:w="0" w:type="auto"/>
            <w:vAlign w:val="bottom"/>
          </w:tcPr>
          <w:p w14:paraId="5A9D78A6"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Opportunities</w:t>
            </w:r>
          </w:p>
        </w:tc>
        <w:tc>
          <w:tcPr>
            <w:tcW w:w="0" w:type="auto"/>
            <w:vAlign w:val="bottom"/>
          </w:tcPr>
          <w:p w14:paraId="5A9D78A7"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Description</w:t>
            </w:r>
          </w:p>
        </w:tc>
      </w:tr>
      <w:tr w:rsidR="00286124" w:rsidRPr="00244BD7" w14:paraId="5A9D78AB" w14:textId="77777777" w:rsidTr="009B0332">
        <w:tc>
          <w:tcPr>
            <w:tcW w:w="0" w:type="auto"/>
            <w:vAlign w:val="bottom"/>
          </w:tcPr>
          <w:p w14:paraId="5A9D78A9"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Market Expansion</w:t>
            </w:r>
          </w:p>
        </w:tc>
        <w:tc>
          <w:tcPr>
            <w:tcW w:w="0" w:type="auto"/>
            <w:vAlign w:val="bottom"/>
          </w:tcPr>
          <w:p w14:paraId="5A9D78AA"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Capitalizing on the growing global demand for luxury travel, The Ritz London can explore opportunities for expansion into emerging markets and international destinations (Yusuf et al., 2022).</w:t>
            </w:r>
          </w:p>
        </w:tc>
      </w:tr>
      <w:tr w:rsidR="00286124" w:rsidRPr="00244BD7" w14:paraId="5A9D78AE" w14:textId="77777777" w:rsidTr="009B0332">
        <w:tc>
          <w:tcPr>
            <w:tcW w:w="0" w:type="auto"/>
            <w:vAlign w:val="bottom"/>
          </w:tcPr>
          <w:p w14:paraId="5A9D78AC"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Diversification</w:t>
            </w:r>
          </w:p>
        </w:tc>
        <w:tc>
          <w:tcPr>
            <w:tcW w:w="0" w:type="auto"/>
            <w:vAlign w:val="bottom"/>
          </w:tcPr>
          <w:p w14:paraId="5A9D78AD"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The hotel can diversify its revenue streams by offering additional services such as spa facilities, culinary experiences, and bespoke event planning services (</w:t>
            </w:r>
            <w:proofErr w:type="spellStart"/>
            <w:r w:rsidRPr="00244BD7">
              <w:rPr>
                <w:rFonts w:ascii="Arial" w:hAnsi="Arial" w:cs="Arial"/>
                <w:sz w:val="24"/>
                <w:szCs w:val="24"/>
              </w:rPr>
              <w:t>Puyt</w:t>
            </w:r>
            <w:proofErr w:type="spellEnd"/>
            <w:r w:rsidRPr="00244BD7">
              <w:rPr>
                <w:rFonts w:ascii="Arial" w:hAnsi="Arial" w:cs="Arial"/>
                <w:sz w:val="24"/>
                <w:szCs w:val="24"/>
              </w:rPr>
              <w:t xml:space="preserve"> et al., 2023).</w:t>
            </w:r>
          </w:p>
        </w:tc>
      </w:tr>
      <w:tr w:rsidR="00286124" w:rsidRPr="00244BD7" w14:paraId="5A9D78B1" w14:textId="77777777" w:rsidTr="009B0332">
        <w:tc>
          <w:tcPr>
            <w:tcW w:w="0" w:type="auto"/>
            <w:vAlign w:val="bottom"/>
          </w:tcPr>
          <w:p w14:paraId="5A9D78AF"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Technological Advancement</w:t>
            </w:r>
          </w:p>
        </w:tc>
        <w:tc>
          <w:tcPr>
            <w:tcW w:w="0" w:type="auto"/>
            <w:vAlign w:val="bottom"/>
          </w:tcPr>
          <w:p w14:paraId="5A9D78B0"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Embracing cutting-edge technology and digital platforms can enhance guest engagement, streamline operations, and capture new market segments (</w:t>
            </w:r>
            <w:proofErr w:type="spellStart"/>
            <w:r w:rsidRPr="00244BD7">
              <w:rPr>
                <w:rFonts w:ascii="Arial" w:hAnsi="Arial" w:cs="Arial"/>
                <w:sz w:val="24"/>
                <w:szCs w:val="24"/>
              </w:rPr>
              <w:t>Farrokhnia</w:t>
            </w:r>
            <w:proofErr w:type="spellEnd"/>
            <w:r w:rsidRPr="00244BD7">
              <w:rPr>
                <w:rFonts w:ascii="Arial" w:hAnsi="Arial" w:cs="Arial"/>
                <w:sz w:val="24"/>
                <w:szCs w:val="24"/>
              </w:rPr>
              <w:t xml:space="preserve"> et al., 2024).</w:t>
            </w:r>
          </w:p>
        </w:tc>
      </w:tr>
      <w:tr w:rsidR="00286124" w:rsidRPr="00244BD7" w14:paraId="5A9D78B4" w14:textId="77777777" w:rsidTr="009B0332">
        <w:tc>
          <w:tcPr>
            <w:tcW w:w="0" w:type="auto"/>
            <w:vAlign w:val="bottom"/>
          </w:tcPr>
          <w:p w14:paraId="5A9D78B2"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Economic Uncertainty</w:t>
            </w:r>
          </w:p>
        </w:tc>
        <w:tc>
          <w:tcPr>
            <w:tcW w:w="0" w:type="auto"/>
            <w:vAlign w:val="bottom"/>
          </w:tcPr>
          <w:p w14:paraId="5A9D78B3"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Fluctuations in the economy, currency exchange rates, and geopolitical tensions can impact consumer spending on luxury hospitality services (Bosch et al., 2020).</w:t>
            </w:r>
          </w:p>
        </w:tc>
      </w:tr>
      <w:tr w:rsidR="00286124" w:rsidRPr="00244BD7" w14:paraId="5A9D78B7" w14:textId="77777777" w:rsidTr="009B0332">
        <w:tc>
          <w:tcPr>
            <w:tcW w:w="0" w:type="auto"/>
            <w:vAlign w:val="bottom"/>
          </w:tcPr>
          <w:p w14:paraId="5A9D78B5"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Competition</w:t>
            </w:r>
          </w:p>
        </w:tc>
        <w:tc>
          <w:tcPr>
            <w:tcW w:w="0" w:type="auto"/>
            <w:vAlign w:val="bottom"/>
          </w:tcPr>
          <w:p w14:paraId="5A9D78B6"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Intense competition from other luxury hotels, boutique accommodations, and alternative lodging options poses a threat to The Ritz London's market share and pricing power (</w:t>
            </w:r>
            <w:proofErr w:type="spellStart"/>
            <w:r w:rsidRPr="00244BD7">
              <w:rPr>
                <w:rFonts w:ascii="Arial" w:hAnsi="Arial" w:cs="Arial"/>
                <w:sz w:val="24"/>
                <w:szCs w:val="24"/>
              </w:rPr>
              <w:t>Puyt</w:t>
            </w:r>
            <w:proofErr w:type="spellEnd"/>
            <w:r w:rsidRPr="00244BD7">
              <w:rPr>
                <w:rFonts w:ascii="Arial" w:hAnsi="Arial" w:cs="Arial"/>
                <w:sz w:val="24"/>
                <w:szCs w:val="24"/>
              </w:rPr>
              <w:t xml:space="preserve"> et al., 2020).</w:t>
            </w:r>
          </w:p>
        </w:tc>
      </w:tr>
      <w:tr w:rsidR="00286124" w:rsidRPr="00244BD7" w14:paraId="5A9D78BA" w14:textId="77777777" w:rsidTr="009B0332">
        <w:tc>
          <w:tcPr>
            <w:tcW w:w="0" w:type="auto"/>
            <w:vAlign w:val="bottom"/>
          </w:tcPr>
          <w:p w14:paraId="5A9D78B8"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Regulatory Changes</w:t>
            </w:r>
          </w:p>
        </w:tc>
        <w:tc>
          <w:tcPr>
            <w:tcW w:w="0" w:type="auto"/>
            <w:vAlign w:val="bottom"/>
          </w:tcPr>
          <w:p w14:paraId="5A9D78B9"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sz w:val="24"/>
                <w:szCs w:val="24"/>
              </w:rPr>
              <w:t xml:space="preserve">- Changes in government regulations, taxation policies, and </w:t>
            </w:r>
            <w:proofErr w:type="spellStart"/>
            <w:r w:rsidRPr="00244BD7">
              <w:rPr>
                <w:rFonts w:ascii="Arial" w:hAnsi="Arial" w:cs="Arial"/>
                <w:sz w:val="24"/>
                <w:szCs w:val="24"/>
              </w:rPr>
              <w:t>labor</w:t>
            </w:r>
            <w:proofErr w:type="spellEnd"/>
            <w:r w:rsidRPr="00244BD7">
              <w:rPr>
                <w:rFonts w:ascii="Arial" w:hAnsi="Arial" w:cs="Arial"/>
                <w:sz w:val="24"/>
                <w:szCs w:val="24"/>
              </w:rPr>
              <w:t xml:space="preserve"> laws can increase operational costs and compliance burdens for the hotel (</w:t>
            </w:r>
            <w:proofErr w:type="spellStart"/>
            <w:r w:rsidRPr="00244BD7">
              <w:rPr>
                <w:rFonts w:ascii="Arial" w:hAnsi="Arial" w:cs="Arial"/>
                <w:sz w:val="24"/>
                <w:szCs w:val="24"/>
              </w:rPr>
              <w:t>Benzaghta</w:t>
            </w:r>
            <w:proofErr w:type="spellEnd"/>
            <w:r w:rsidRPr="00244BD7">
              <w:rPr>
                <w:rFonts w:ascii="Arial" w:hAnsi="Arial" w:cs="Arial"/>
                <w:sz w:val="24"/>
                <w:szCs w:val="24"/>
              </w:rPr>
              <w:t xml:space="preserve"> et al., 2021).</w:t>
            </w:r>
          </w:p>
        </w:tc>
      </w:tr>
    </w:tbl>
    <w:p w14:paraId="5A9D78BB" w14:textId="77777777" w:rsidR="00286124" w:rsidRPr="00244BD7" w:rsidRDefault="00286124" w:rsidP="00286124">
      <w:pPr>
        <w:spacing w:after="0" w:line="360" w:lineRule="auto"/>
        <w:jc w:val="both"/>
        <w:rPr>
          <w:rFonts w:ascii="Arial" w:hAnsi="Arial" w:cs="Arial"/>
          <w:sz w:val="24"/>
          <w:szCs w:val="24"/>
        </w:rPr>
      </w:pPr>
    </w:p>
    <w:p w14:paraId="5A9D78BC"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TOWS Matrix</w:t>
      </w:r>
    </w:p>
    <w:tbl>
      <w:tblPr>
        <w:tblStyle w:val="TableGrid"/>
        <w:tblW w:w="10680" w:type="dxa"/>
        <w:tblLook w:val="04A0" w:firstRow="1" w:lastRow="0" w:firstColumn="1" w:lastColumn="0" w:noHBand="0" w:noVBand="1"/>
      </w:tblPr>
      <w:tblGrid>
        <w:gridCol w:w="1684"/>
        <w:gridCol w:w="4516"/>
        <w:gridCol w:w="4480"/>
      </w:tblGrid>
      <w:tr w:rsidR="00286124" w:rsidRPr="00244BD7" w14:paraId="5A9D78BF" w14:textId="77777777" w:rsidTr="009B0332">
        <w:trPr>
          <w:gridAfter w:val="1"/>
        </w:trPr>
        <w:tc>
          <w:tcPr>
            <w:tcW w:w="0" w:type="auto"/>
            <w:hideMark/>
          </w:tcPr>
          <w:p w14:paraId="5A9D78BD"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br/>
              <w:t>Strengths (S)</w:t>
            </w:r>
          </w:p>
        </w:tc>
        <w:tc>
          <w:tcPr>
            <w:tcW w:w="0" w:type="auto"/>
            <w:hideMark/>
          </w:tcPr>
          <w:p w14:paraId="5A9D78BE"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Weaknesses (W)</w:t>
            </w:r>
          </w:p>
        </w:tc>
      </w:tr>
      <w:tr w:rsidR="00286124" w:rsidRPr="00244BD7" w14:paraId="5A9D78C3" w14:textId="77777777" w:rsidTr="009B0332">
        <w:tc>
          <w:tcPr>
            <w:tcW w:w="0" w:type="auto"/>
            <w:hideMark/>
          </w:tcPr>
          <w:p w14:paraId="5A9D78C0"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Opportunities (O)</w:t>
            </w:r>
          </w:p>
        </w:tc>
        <w:tc>
          <w:tcPr>
            <w:tcW w:w="0" w:type="auto"/>
            <w:hideMark/>
          </w:tcPr>
          <w:p w14:paraId="5A9D78C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w:t>
            </w:r>
            <w:r w:rsidRPr="00244BD7">
              <w:rPr>
                <w:rFonts w:ascii="Arial" w:hAnsi="Arial" w:cs="Arial"/>
                <w:b/>
                <w:bCs/>
                <w:sz w:val="24"/>
                <w:szCs w:val="24"/>
              </w:rPr>
              <w:t>S-O Strategy</w:t>
            </w:r>
            <w:r w:rsidRPr="00244BD7">
              <w:rPr>
                <w:rFonts w:ascii="Arial" w:hAnsi="Arial" w:cs="Arial"/>
                <w:sz w:val="24"/>
                <w:szCs w:val="24"/>
              </w:rPr>
              <w:t xml:space="preserve">: Leverage prestigious brand and prime location to expand into emerging markets and offer exclusive experiences, such as cultural packages </w:t>
            </w:r>
            <w:r w:rsidRPr="00244BD7">
              <w:rPr>
                <w:rFonts w:ascii="Arial" w:hAnsi="Arial" w:cs="Arial"/>
                <w:sz w:val="24"/>
                <w:szCs w:val="24"/>
              </w:rPr>
              <w:lastRenderedPageBreak/>
              <w:t>and themed events (</w:t>
            </w:r>
            <w:proofErr w:type="spellStart"/>
            <w:r w:rsidRPr="00244BD7">
              <w:rPr>
                <w:rFonts w:ascii="Arial" w:hAnsi="Arial" w:cs="Arial"/>
                <w:sz w:val="24"/>
                <w:szCs w:val="24"/>
              </w:rPr>
              <w:t>Asadpourian</w:t>
            </w:r>
            <w:proofErr w:type="spellEnd"/>
            <w:r w:rsidRPr="00244BD7">
              <w:rPr>
                <w:rFonts w:ascii="Arial" w:hAnsi="Arial" w:cs="Arial"/>
                <w:sz w:val="24"/>
                <w:szCs w:val="24"/>
              </w:rPr>
              <w:t xml:space="preserve"> et al., 2020). &lt;</w:t>
            </w:r>
            <w:proofErr w:type="spellStart"/>
            <w:r w:rsidRPr="00244BD7">
              <w:rPr>
                <w:rFonts w:ascii="Arial" w:hAnsi="Arial" w:cs="Arial"/>
                <w:sz w:val="24"/>
                <w:szCs w:val="24"/>
              </w:rPr>
              <w:t>br</w:t>
            </w:r>
            <w:proofErr w:type="spellEnd"/>
            <w:r w:rsidRPr="00244BD7">
              <w:rPr>
                <w:rFonts w:ascii="Arial" w:hAnsi="Arial" w:cs="Arial"/>
                <w:sz w:val="24"/>
                <w:szCs w:val="24"/>
              </w:rPr>
              <w:t xml:space="preserve">&gt;- </w:t>
            </w:r>
            <w:r w:rsidRPr="00244BD7">
              <w:rPr>
                <w:rFonts w:ascii="Arial" w:hAnsi="Arial" w:cs="Arial"/>
                <w:b/>
                <w:bCs/>
                <w:sz w:val="24"/>
                <w:szCs w:val="24"/>
              </w:rPr>
              <w:t>W-O Strategy</w:t>
            </w:r>
            <w:r w:rsidRPr="00244BD7">
              <w:rPr>
                <w:rFonts w:ascii="Arial" w:hAnsi="Arial" w:cs="Arial"/>
                <w:sz w:val="24"/>
                <w:szCs w:val="24"/>
              </w:rPr>
              <w:t>: Invest in staff training programs and retention initiatives to enhance service quality and capitalize on growing demand for luxury hospitality services (Datta, 2020).</w:t>
            </w:r>
          </w:p>
        </w:tc>
        <w:tc>
          <w:tcPr>
            <w:tcW w:w="0" w:type="auto"/>
            <w:hideMark/>
          </w:tcPr>
          <w:p w14:paraId="5A9D78C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 xml:space="preserve">- </w:t>
            </w:r>
            <w:r w:rsidRPr="00244BD7">
              <w:rPr>
                <w:rFonts w:ascii="Arial" w:hAnsi="Arial" w:cs="Arial"/>
                <w:b/>
                <w:bCs/>
                <w:sz w:val="24"/>
                <w:szCs w:val="24"/>
              </w:rPr>
              <w:t>W-O Strategy</w:t>
            </w:r>
            <w:r w:rsidRPr="00244BD7">
              <w:rPr>
                <w:rFonts w:ascii="Arial" w:hAnsi="Arial" w:cs="Arial"/>
                <w:sz w:val="24"/>
                <w:szCs w:val="24"/>
              </w:rPr>
              <w:t xml:space="preserve">: Implement efficient operational processes and cost-effective measures to minimize the impact of economic uncertainties and competition, </w:t>
            </w:r>
            <w:r w:rsidRPr="00244BD7">
              <w:rPr>
                <w:rFonts w:ascii="Arial" w:hAnsi="Arial" w:cs="Arial"/>
                <w:sz w:val="24"/>
                <w:szCs w:val="24"/>
              </w:rPr>
              <w:lastRenderedPageBreak/>
              <w:t>allowing the hotel to maintain profitability and sustain market share (\</w:t>
            </w:r>
            <w:proofErr w:type="spellStart"/>
            <w:r w:rsidRPr="00244BD7">
              <w:rPr>
                <w:rFonts w:ascii="Arial" w:hAnsi="Arial" w:cs="Arial"/>
                <w:sz w:val="24"/>
                <w:szCs w:val="24"/>
              </w:rPr>
              <w:t>DJalić</w:t>
            </w:r>
            <w:proofErr w:type="spellEnd"/>
            <w:r w:rsidRPr="00244BD7">
              <w:rPr>
                <w:rFonts w:ascii="Arial" w:hAnsi="Arial" w:cs="Arial"/>
                <w:sz w:val="24"/>
                <w:szCs w:val="24"/>
              </w:rPr>
              <w:t xml:space="preserve"> et al., 2021). &lt;</w:t>
            </w:r>
            <w:proofErr w:type="spellStart"/>
            <w:r w:rsidRPr="00244BD7">
              <w:rPr>
                <w:rFonts w:ascii="Arial" w:hAnsi="Arial" w:cs="Arial"/>
                <w:sz w:val="24"/>
                <w:szCs w:val="24"/>
              </w:rPr>
              <w:t>br</w:t>
            </w:r>
            <w:proofErr w:type="spellEnd"/>
            <w:r w:rsidRPr="00244BD7">
              <w:rPr>
                <w:rFonts w:ascii="Arial" w:hAnsi="Arial" w:cs="Arial"/>
                <w:sz w:val="24"/>
                <w:szCs w:val="24"/>
              </w:rPr>
              <w:t xml:space="preserve">&gt;- </w:t>
            </w:r>
            <w:r w:rsidRPr="00244BD7">
              <w:rPr>
                <w:rFonts w:ascii="Arial" w:hAnsi="Arial" w:cs="Arial"/>
                <w:b/>
                <w:bCs/>
                <w:sz w:val="24"/>
                <w:szCs w:val="24"/>
              </w:rPr>
              <w:t>S-O Strategy</w:t>
            </w:r>
            <w:r w:rsidRPr="00244BD7">
              <w:rPr>
                <w:rFonts w:ascii="Arial" w:hAnsi="Arial" w:cs="Arial"/>
                <w:sz w:val="24"/>
                <w:szCs w:val="24"/>
              </w:rPr>
              <w:t>: Utilize the Ritz London's historic heritage and outstanding service to develop unique offerings, such as heritage tours and personalized guest experiences, attracting new market segments and enhancing guest loyalty (Roy, 2021).</w:t>
            </w:r>
          </w:p>
        </w:tc>
      </w:tr>
      <w:tr w:rsidR="00286124" w:rsidRPr="00244BD7" w14:paraId="5A9D78C7" w14:textId="77777777" w:rsidTr="009B0332">
        <w:tc>
          <w:tcPr>
            <w:tcW w:w="0" w:type="auto"/>
            <w:hideMark/>
          </w:tcPr>
          <w:p w14:paraId="5A9D78C4"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Threats (T)</w:t>
            </w:r>
          </w:p>
        </w:tc>
        <w:tc>
          <w:tcPr>
            <w:tcW w:w="0" w:type="auto"/>
            <w:hideMark/>
          </w:tcPr>
          <w:p w14:paraId="5A9D78C5"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w:t>
            </w:r>
            <w:r w:rsidRPr="00244BD7">
              <w:rPr>
                <w:rFonts w:ascii="Arial" w:hAnsi="Arial" w:cs="Arial"/>
                <w:b/>
                <w:bCs/>
                <w:sz w:val="24"/>
                <w:szCs w:val="24"/>
              </w:rPr>
              <w:t>S-T Strategy</w:t>
            </w:r>
            <w:r w:rsidRPr="00244BD7">
              <w:rPr>
                <w:rFonts w:ascii="Arial" w:hAnsi="Arial" w:cs="Arial"/>
                <w:sz w:val="24"/>
                <w:szCs w:val="24"/>
              </w:rPr>
              <w:t>: Utilize strong brand reputation and historic heritage to differentiate from competitors and mitigate the impact of economic downturns through targeted marketing campaigns and promotions (Yamagishi et al., 2021). &lt;</w:t>
            </w:r>
            <w:proofErr w:type="spellStart"/>
            <w:r w:rsidRPr="00244BD7">
              <w:rPr>
                <w:rFonts w:ascii="Arial" w:hAnsi="Arial" w:cs="Arial"/>
                <w:sz w:val="24"/>
                <w:szCs w:val="24"/>
              </w:rPr>
              <w:t>br</w:t>
            </w:r>
            <w:proofErr w:type="spellEnd"/>
            <w:r w:rsidRPr="00244BD7">
              <w:rPr>
                <w:rFonts w:ascii="Arial" w:hAnsi="Arial" w:cs="Arial"/>
                <w:sz w:val="24"/>
                <w:szCs w:val="24"/>
              </w:rPr>
              <w:t xml:space="preserve">&gt;- </w:t>
            </w:r>
            <w:r w:rsidRPr="00244BD7">
              <w:rPr>
                <w:rFonts w:ascii="Arial" w:hAnsi="Arial" w:cs="Arial"/>
                <w:b/>
                <w:bCs/>
                <w:sz w:val="24"/>
                <w:szCs w:val="24"/>
              </w:rPr>
              <w:t>W-T Strategy</w:t>
            </w:r>
            <w:r w:rsidRPr="00244BD7">
              <w:rPr>
                <w:rFonts w:ascii="Arial" w:hAnsi="Arial" w:cs="Arial"/>
                <w:sz w:val="24"/>
                <w:szCs w:val="24"/>
              </w:rPr>
              <w:t>: Implement cost-saving measures, streamline operations, and diversify revenue streams to mitigate the impact of high operating costs and economic uncertainties (</w:t>
            </w:r>
            <w:proofErr w:type="spellStart"/>
            <w:r w:rsidRPr="00244BD7">
              <w:rPr>
                <w:rFonts w:ascii="Arial" w:hAnsi="Arial" w:cs="Arial"/>
                <w:sz w:val="24"/>
                <w:szCs w:val="24"/>
              </w:rPr>
              <w:t>Savari</w:t>
            </w:r>
            <w:proofErr w:type="spellEnd"/>
            <w:r w:rsidRPr="00244BD7">
              <w:rPr>
                <w:rFonts w:ascii="Arial" w:hAnsi="Arial" w:cs="Arial"/>
                <w:sz w:val="24"/>
                <w:szCs w:val="24"/>
              </w:rPr>
              <w:t xml:space="preserve"> and </w:t>
            </w:r>
            <w:proofErr w:type="spellStart"/>
            <w:r w:rsidRPr="00244BD7">
              <w:rPr>
                <w:rFonts w:ascii="Arial" w:hAnsi="Arial" w:cs="Arial"/>
                <w:sz w:val="24"/>
                <w:szCs w:val="24"/>
              </w:rPr>
              <w:t>Amghani</w:t>
            </w:r>
            <w:proofErr w:type="spellEnd"/>
            <w:r w:rsidRPr="00244BD7">
              <w:rPr>
                <w:rFonts w:ascii="Arial" w:hAnsi="Arial" w:cs="Arial"/>
                <w:sz w:val="24"/>
                <w:szCs w:val="24"/>
              </w:rPr>
              <w:t>, 2022).</w:t>
            </w:r>
          </w:p>
        </w:tc>
        <w:tc>
          <w:tcPr>
            <w:tcW w:w="0" w:type="auto"/>
            <w:hideMark/>
          </w:tcPr>
          <w:p w14:paraId="5A9D78C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 </w:t>
            </w:r>
            <w:r w:rsidRPr="00244BD7">
              <w:rPr>
                <w:rFonts w:ascii="Arial" w:hAnsi="Arial" w:cs="Arial"/>
                <w:b/>
                <w:bCs/>
                <w:sz w:val="24"/>
                <w:szCs w:val="24"/>
              </w:rPr>
              <w:t>W-T Strategy</w:t>
            </w:r>
            <w:r w:rsidRPr="00244BD7">
              <w:rPr>
                <w:rFonts w:ascii="Arial" w:hAnsi="Arial" w:cs="Arial"/>
                <w:sz w:val="24"/>
                <w:szCs w:val="24"/>
              </w:rPr>
              <w:t>: Implement rigorous quality control measures and performance evaluation systems to address service gaps and improve guest satisfaction, thereby mitigating the risk of negative reviews and reputational damage (Fitriani, 2022). &lt;</w:t>
            </w:r>
            <w:proofErr w:type="spellStart"/>
            <w:r w:rsidRPr="00244BD7">
              <w:rPr>
                <w:rFonts w:ascii="Arial" w:hAnsi="Arial" w:cs="Arial"/>
                <w:sz w:val="24"/>
                <w:szCs w:val="24"/>
              </w:rPr>
              <w:t>br</w:t>
            </w:r>
            <w:proofErr w:type="spellEnd"/>
            <w:r w:rsidRPr="00244BD7">
              <w:rPr>
                <w:rFonts w:ascii="Arial" w:hAnsi="Arial" w:cs="Arial"/>
                <w:sz w:val="24"/>
                <w:szCs w:val="24"/>
              </w:rPr>
              <w:t xml:space="preserve">&gt;- </w:t>
            </w:r>
            <w:r w:rsidRPr="00244BD7">
              <w:rPr>
                <w:rFonts w:ascii="Arial" w:hAnsi="Arial" w:cs="Arial"/>
                <w:b/>
                <w:bCs/>
                <w:sz w:val="24"/>
                <w:szCs w:val="24"/>
              </w:rPr>
              <w:t>S-T Strategy</w:t>
            </w:r>
            <w:r w:rsidRPr="00244BD7">
              <w:rPr>
                <w:rFonts w:ascii="Arial" w:hAnsi="Arial" w:cs="Arial"/>
                <w:sz w:val="24"/>
                <w:szCs w:val="24"/>
              </w:rPr>
              <w:t>: Enhance risk management protocols and contingency plans to effectively respond to unforeseen events, such as natural disasters or security threats, safeguarding the hotel's assets and reputation (Maity et al., 2023).</w:t>
            </w:r>
          </w:p>
        </w:tc>
      </w:tr>
    </w:tbl>
    <w:p w14:paraId="5A9D78C8" w14:textId="77777777" w:rsidR="00286124" w:rsidRPr="00244BD7" w:rsidRDefault="00286124" w:rsidP="00286124">
      <w:pPr>
        <w:spacing w:after="0" w:line="360" w:lineRule="auto"/>
        <w:jc w:val="both"/>
        <w:rPr>
          <w:rFonts w:ascii="Arial" w:hAnsi="Arial" w:cs="Arial"/>
          <w:sz w:val="24"/>
          <w:szCs w:val="24"/>
        </w:rPr>
      </w:pPr>
    </w:p>
    <w:p w14:paraId="5A9D78C9"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t xml:space="preserve">Recommendations and Change Management </w:t>
      </w:r>
    </w:p>
    <w:p w14:paraId="5A9D78CA"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1. Implement Comprehensive Training and Development Programs: </w:t>
      </w:r>
    </w:p>
    <w:p w14:paraId="5A9D78CB" w14:textId="77777777" w:rsidR="00286124" w:rsidRPr="00244BD7" w:rsidRDefault="00286124" w:rsidP="00286124">
      <w:pPr>
        <w:spacing w:after="0" w:line="360" w:lineRule="auto"/>
        <w:jc w:val="both"/>
        <w:rPr>
          <w:rFonts w:ascii="Arial" w:hAnsi="Arial" w:cs="Arial"/>
          <w:sz w:val="24"/>
          <w:szCs w:val="24"/>
        </w:rPr>
      </w:pPr>
      <w:proofErr w:type="spellStart"/>
      <w:r w:rsidRPr="00244BD7">
        <w:rPr>
          <w:rFonts w:ascii="Arial" w:hAnsi="Arial" w:cs="Arial"/>
          <w:sz w:val="24"/>
          <w:szCs w:val="24"/>
        </w:rPr>
        <w:t>Extrendsive</w:t>
      </w:r>
      <w:proofErr w:type="spellEnd"/>
      <w:r w:rsidRPr="00244BD7">
        <w:rPr>
          <w:rFonts w:ascii="Arial" w:hAnsi="Arial" w:cs="Arial"/>
          <w:sz w:val="24"/>
          <w:szCs w:val="24"/>
        </w:rPr>
        <w:t xml:space="preserve"> training and development programs can be key to the successful development of employees’ skills, job satisfaction, and level of engagement. By providing a chance for employees to learn new technical skills and emerging trends in their respective departments, the Ritz London’s managers can assure that all workers are given a chance for advancement and related employment benefits. Although specific </w:t>
      </w:r>
      <w:r w:rsidRPr="00244BD7">
        <w:rPr>
          <w:rFonts w:ascii="Arial" w:hAnsi="Arial" w:cs="Arial"/>
          <w:sz w:val="24"/>
          <w:szCs w:val="24"/>
        </w:rPr>
        <w:lastRenderedPageBreak/>
        <w:t>types of training and development sessions will be defined by the selected department, the Ritz London’ s training programs need to focus on both hard and soft skills, therefore, addressing technical skills such as the use of specific equipment, marketing strategies, and financial management, as well as soft skills, such as the art of effective communication and dealing with customers (Atkin and Brooks, 2021). The latter will require vast differences in the approaches since the specifics of work in different departments of the Ritz imply that the employees in the Food and Beverages department will need to develop their professional, while the employees of the Human Resources department will be trained in soft skills only. However, even though the introduction of extensive training sessions may seem as though it is the only plausible at a given point, and the goals, it is still crucial to recognize that there are obvious limitations of the target programs, with the two key factors that will make the latter less effective being the factual reliance on the information tra8ined and the perceptions of the programs being coercive in nature (De Frenne et al., 2021).</w:t>
      </w:r>
    </w:p>
    <w:p w14:paraId="5A9D78CC"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The importance of the reliance on </w:t>
      </w:r>
      <w:proofErr w:type="spellStart"/>
      <w:r w:rsidRPr="00244BD7">
        <w:rPr>
          <w:rFonts w:ascii="Arial" w:hAnsi="Arial" w:cs="Arial"/>
          <w:sz w:val="24"/>
          <w:szCs w:val="24"/>
        </w:rPr>
        <w:t>mannerial</w:t>
      </w:r>
      <w:proofErr w:type="spellEnd"/>
      <w:r w:rsidRPr="00244BD7">
        <w:rPr>
          <w:rFonts w:ascii="Arial" w:hAnsi="Arial" w:cs="Arial"/>
          <w:sz w:val="24"/>
          <w:szCs w:val="24"/>
        </w:rPr>
        <w:t xml:space="preserve"> support in the scenario at the Ritz London shows the given statement and requirement to be true. Even though the creation of learning opportunities for the Ritz London’s staff is crucial, the managers will still </w:t>
      </w:r>
      <w:proofErr w:type="gramStart"/>
      <w:r w:rsidRPr="00244BD7">
        <w:rPr>
          <w:rFonts w:ascii="Arial" w:hAnsi="Arial" w:cs="Arial"/>
          <w:sz w:val="24"/>
          <w:szCs w:val="24"/>
        </w:rPr>
        <w:t>be in charge of</w:t>
      </w:r>
      <w:proofErr w:type="gramEnd"/>
      <w:r w:rsidRPr="00244BD7">
        <w:rPr>
          <w:rFonts w:ascii="Arial" w:hAnsi="Arial" w:cs="Arial"/>
          <w:sz w:val="24"/>
          <w:szCs w:val="24"/>
        </w:rPr>
        <w:t xml:space="preserve"> both promoting the programs and tracking the ways in which the employees view the proposed training projects. Given the premises, the only conclusion that can be made is that the programs in question will have a chance to succeed of the employees recognize their need for a particular type of training so that they become invested in the process (</w:t>
      </w:r>
      <w:proofErr w:type="spellStart"/>
      <w:r w:rsidRPr="00244BD7">
        <w:rPr>
          <w:rFonts w:ascii="Arial" w:hAnsi="Arial" w:cs="Arial"/>
          <w:sz w:val="24"/>
          <w:szCs w:val="24"/>
        </w:rPr>
        <w:t>Ebi</w:t>
      </w:r>
      <w:proofErr w:type="spellEnd"/>
      <w:r w:rsidRPr="00244BD7">
        <w:rPr>
          <w:rFonts w:ascii="Arial" w:hAnsi="Arial" w:cs="Arial"/>
          <w:sz w:val="24"/>
          <w:szCs w:val="24"/>
        </w:rPr>
        <w:t xml:space="preserve"> et al., 2021).</w:t>
      </w:r>
    </w:p>
    <w:p w14:paraId="5A9D78CD"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Change Management Approach: </w:t>
      </w:r>
    </w:p>
    <w:p w14:paraId="5A9D78CE"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Implementing training programs step by step is the best way to manage the available resources and define contradictions and weak sides of the training before it is too late. Meanwhile, such an approach requires additional coordination because of the necessity to continue maintaining the interest of the employees. Employee engagement can be achieved with the help of the constant and clear reflection of all opportunities associated with training and development (Gfrerer et al., 2021). Also, employees’ feedback can be a good way to improve professional training opportunities because the implemented </w:t>
      </w:r>
      <w:r w:rsidRPr="00244BD7">
        <w:rPr>
          <w:rFonts w:ascii="Arial" w:hAnsi="Arial" w:cs="Arial"/>
          <w:sz w:val="24"/>
          <w:szCs w:val="24"/>
        </w:rPr>
        <w:lastRenderedPageBreak/>
        <w:t>suggestions help to follow employees’ needs and demonstrate the arguments for participating in the training.</w:t>
      </w:r>
    </w:p>
    <w:p w14:paraId="5A9D78CF"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Measurement of Success: </w:t>
      </w:r>
    </w:p>
    <w:p w14:paraId="5A9D78D0"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One of the ways to measure success of employee training programs is conducting employee feedback surveys. These can help assess employees’ satisfaction with and understanding of the training. Other methods involve measuring the efficiency or time savings associated with using newly acquired skills, monitoring changes in performance following the training, and tracking retention. To measure the success of training programs in terms of improvements in employee and customer satisfaction as well as operational efficiency I would compare the results of follow-up employee feedback surveys both before and after training. Another metric to use in determining the impact of training programs is improvement of skills and higher level of proficiency following the achieved training (Hanelt et al., 2021). Focus groups or interviews can be used to understand the employees’ sentiments and their experiences after training. I would also consider hard and fast metrics, such as guest satisfaction and efficiency ratings, which can be tracked over time, to determine whether the training resulted in improvements across the board. This way both quantitative and qualitative measures can provide The Ritz London hotel with a comprehensive insight into the impact of employee training programs.</w:t>
      </w:r>
    </w:p>
    <w:p w14:paraId="5A9D78D1"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2. Enhance Employee Recognition and Reward Systems: </w:t>
      </w:r>
    </w:p>
    <w:p w14:paraId="5A9D78D2"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Establishing robust recognition and reward systems can cultivate a culture of appreciation and drive motivation among staff members. At the Ritz London, one of such systems could include creating a formal program to recognize individual accomplishments, exceptional customer service, and contributions to team victories. Rewards may vary from monetary forms, such as bonuses or gift cards, to non-monetary means, including extra hours off and career development opportunities. On the one hand, there is no doubt that implementing robust recognition and reward systems can generate a culture of appreciation and motivation (</w:t>
      </w:r>
      <w:proofErr w:type="spellStart"/>
      <w:r w:rsidRPr="00244BD7">
        <w:rPr>
          <w:rFonts w:ascii="Arial" w:hAnsi="Arial" w:cs="Arial"/>
          <w:sz w:val="24"/>
          <w:szCs w:val="24"/>
        </w:rPr>
        <w:t>Kalogiannidis</w:t>
      </w:r>
      <w:proofErr w:type="spellEnd"/>
      <w:r w:rsidRPr="00244BD7">
        <w:rPr>
          <w:rFonts w:ascii="Arial" w:hAnsi="Arial" w:cs="Arial"/>
          <w:sz w:val="24"/>
          <w:szCs w:val="24"/>
        </w:rPr>
        <w:t xml:space="preserve">, 2021). On the other hand, it is vital to assure that these systems are fair, transparent, and in line with the hotel’s objectives and values. I believe that one of the most significant challenges in this respect is avoiding </w:t>
      </w:r>
      <w:proofErr w:type="spellStart"/>
      <w:r w:rsidRPr="00244BD7">
        <w:rPr>
          <w:rFonts w:ascii="Arial" w:hAnsi="Arial" w:cs="Arial"/>
          <w:sz w:val="24"/>
          <w:szCs w:val="24"/>
        </w:rPr>
        <w:t>favoritism</w:t>
      </w:r>
      <w:proofErr w:type="spellEnd"/>
      <w:r w:rsidRPr="00244BD7">
        <w:rPr>
          <w:rFonts w:ascii="Arial" w:hAnsi="Arial" w:cs="Arial"/>
          <w:sz w:val="24"/>
          <w:szCs w:val="24"/>
        </w:rPr>
        <w:t xml:space="preserve"> or a bias in the nominating scheme of recognition and rewards. If the employees believe </w:t>
      </w:r>
      <w:r w:rsidRPr="00244BD7">
        <w:rPr>
          <w:rFonts w:ascii="Arial" w:hAnsi="Arial" w:cs="Arial"/>
          <w:sz w:val="24"/>
          <w:szCs w:val="24"/>
        </w:rPr>
        <w:lastRenderedPageBreak/>
        <w:t>that a person is being rewarded because of personal relationships rather than work performance, they will feel discouraged and demotivated. For the mentioned purposes, I would suggest preparing a written procedure for nominating and assessing employees for recognition to make sure that the achievements are being rewarded not for any other reason outside the performance (Masson-Delmotte et al., 2021).</w:t>
      </w:r>
    </w:p>
    <w:p w14:paraId="5A9D78D3"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Change Management Approach: </w:t>
      </w:r>
    </w:p>
    <w:p w14:paraId="5A9D78D4"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Introduce recognize and reward systems gradually, ensure they are fair, transparent, and based on the hotel’s values and objectives. Train managers and supervisors on how to recognize and reward employees properly; stress the importance of consistency and fairness. Introducing recognize and reward systems gradually, enables their better integration into existing organizational structures and processes and reduces the extent of resistance to change, ensuring a smoother transition to new systems. However, these systems should be fair, transparent, and based on the hotel’s values and objectives, and managers and supervisors need training on how to recognize and reward employee effort (Peng et al., 2021). This training should focus on the importance of consistency and fairness and should also discuss the need for unbiased decision-making. Managers and supervisors should also learn the value of consistent and regular feedback, to ensure that no employees do feel unrecognized and unmotivated.</w:t>
      </w:r>
    </w:p>
    <w:p w14:paraId="5A9D78D5"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Measurement of Success: </w:t>
      </w:r>
    </w:p>
    <w:p w14:paraId="5A9D78D6"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Success can be measured through improvements in employee morale, motivation, and retention rates. In the context of people who receive rewards and recognition at the workplace, the scholar explains that “no recognition emphasis is positive negative recognition”. Since the study evaluates the effect of reward and recognition schemes where employees perform, it can also measure success by monitoring employee turnover rates and changes in absenteeism levels. Nonetheless, while improvements in employee morale, motivation, and retention rates are reliable indicators of success, it is important to consider the broader implications of reward and recognition programs on business performance (</w:t>
      </w:r>
      <w:proofErr w:type="spellStart"/>
      <w:r w:rsidRPr="00244BD7">
        <w:rPr>
          <w:rFonts w:ascii="Arial" w:hAnsi="Arial" w:cs="Arial"/>
          <w:sz w:val="24"/>
          <w:szCs w:val="24"/>
        </w:rPr>
        <w:t>Ratten</w:t>
      </w:r>
      <w:proofErr w:type="spellEnd"/>
      <w:r w:rsidRPr="00244BD7">
        <w:rPr>
          <w:rFonts w:ascii="Arial" w:hAnsi="Arial" w:cs="Arial"/>
          <w:sz w:val="24"/>
          <w:szCs w:val="24"/>
        </w:rPr>
        <w:t xml:space="preserve"> and </w:t>
      </w:r>
      <w:proofErr w:type="spellStart"/>
      <w:r w:rsidRPr="00244BD7">
        <w:rPr>
          <w:rFonts w:ascii="Arial" w:hAnsi="Arial" w:cs="Arial"/>
          <w:sz w:val="24"/>
          <w:szCs w:val="24"/>
        </w:rPr>
        <w:t>Usmanij</w:t>
      </w:r>
      <w:proofErr w:type="spellEnd"/>
      <w:r w:rsidRPr="00244BD7">
        <w:rPr>
          <w:rFonts w:ascii="Arial" w:hAnsi="Arial" w:cs="Arial"/>
          <w:sz w:val="24"/>
          <w:szCs w:val="24"/>
        </w:rPr>
        <w:t xml:space="preserve">, 2021). Businesses can measure success by monitoring changes in employee turnover rates and absenteeism levels to assess the extent to which such programs are effective in reducing staff turnover and absenteeism, thus improving operational efficiency and guest satisfaction. Collecting qualitative data in </w:t>
      </w:r>
      <w:r w:rsidRPr="00244BD7">
        <w:rPr>
          <w:rFonts w:ascii="Arial" w:hAnsi="Arial" w:cs="Arial"/>
          <w:sz w:val="24"/>
          <w:szCs w:val="24"/>
        </w:rPr>
        <w:lastRenderedPageBreak/>
        <w:t>the form of employee feedback regarding the success of implemented reward and recognition programs is also critical to understanding what reward and recognition schemes need to be improved and what actions need to be taken to refine such programs to ensure greater staff satisfaction leading to more engaged and productive staff (</w:t>
      </w:r>
      <w:proofErr w:type="spellStart"/>
      <w:r w:rsidRPr="00244BD7">
        <w:rPr>
          <w:rFonts w:ascii="Arial" w:hAnsi="Arial" w:cs="Arial"/>
          <w:sz w:val="24"/>
          <w:szCs w:val="24"/>
        </w:rPr>
        <w:t>Skendžić</w:t>
      </w:r>
      <w:proofErr w:type="spellEnd"/>
      <w:r w:rsidRPr="00244BD7">
        <w:rPr>
          <w:rFonts w:ascii="Arial" w:hAnsi="Arial" w:cs="Arial"/>
          <w:sz w:val="24"/>
          <w:szCs w:val="24"/>
        </w:rPr>
        <w:t xml:space="preserve"> et al., 2021).</w:t>
      </w:r>
    </w:p>
    <w:p w14:paraId="5A9D78D7"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3. Foster a Positive Work Environment and Organizational Culture: </w:t>
      </w:r>
    </w:p>
    <w:p w14:paraId="5A9D78D8"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Creating an open work environment and building a positive organizational culture are critical for enhancing employee satisfaction and engagement. At the Ritz London, open communication among the staff members and fostering collaboration and teamwork can help create a sense of belonging and camaraderie. Positive work-life balance initiatives, such as flexible scheduling and wellness programs, can also contribute to the well-being of employees and satisfaction with their work. At the same time, despite potential effectiveness, these opportunities may not be systemic approaches to building a </w:t>
      </w:r>
      <w:proofErr w:type="spellStart"/>
      <w:r w:rsidRPr="00244BD7">
        <w:rPr>
          <w:rFonts w:ascii="Arial" w:hAnsi="Arial" w:cs="Arial"/>
          <w:sz w:val="24"/>
          <w:szCs w:val="24"/>
        </w:rPr>
        <w:t>favorable</w:t>
      </w:r>
      <w:proofErr w:type="spellEnd"/>
      <w:r w:rsidRPr="00244BD7">
        <w:rPr>
          <w:rFonts w:ascii="Arial" w:hAnsi="Arial" w:cs="Arial"/>
          <w:sz w:val="24"/>
          <w:szCs w:val="24"/>
        </w:rPr>
        <w:t xml:space="preserve"> working environment and corporate culture. For instance, at The Ritz London in addition to the limited practicing of interaction between the employees and other mentioned strategies, the mechanisms of closed communications, the presence of certain barriers between the staff members, hierarchical features of employees’ relationships, and the culture of submission with all its negative implications may also serve as barriers to effective teamwork at the above-mentioned coefficients levels of their interaction. To remove these barriers and to implement the opportunities that can lead to an increased indicators of working environment and corporate culture, The Ritz London should develop and promote the following approaches (Kraus et al., 2022).</w:t>
      </w:r>
    </w:p>
    <w:p w14:paraId="5A9D78D9"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Transparent communication that eliminates the barriers to discussion and the subdivision culture should be achieved; moreover, employees should not be afraid of retribution from their superiors for their feedback, whereas there should be opportunities for employees to talk to and share their thoughts and ideas. The sense of belonging and cohesion of the team should be implemented through diversity practices protecting the impartiality and opportunities for everyone’s participation – such mechanisms may allow celebrating the achievements outside the work context and learning more about the company’s staff. In turn, work-life balance opportunities such as flexible time-keeping and varied health programs can also add to the effectiveness of employees’ satisfaction with their job and </w:t>
      </w:r>
      <w:r w:rsidRPr="00244BD7">
        <w:rPr>
          <w:rFonts w:ascii="Arial" w:hAnsi="Arial" w:cs="Arial"/>
          <w:sz w:val="24"/>
          <w:szCs w:val="24"/>
        </w:rPr>
        <w:lastRenderedPageBreak/>
        <w:t xml:space="preserve">the preservation of the mentioned positive indicators, but they should be combined with the systemic changes of the organizational staff policies to ensure the priorities of the discussed initiatives and not just make them secondary objectives, the implementation of which depends on the attitude of the managers (Kobrin, 2022). Overall, fostering a positive work environment and organizational culture is a complex issue that </w:t>
      </w:r>
      <w:proofErr w:type="gramStart"/>
      <w:r w:rsidRPr="00244BD7">
        <w:rPr>
          <w:rFonts w:ascii="Arial" w:hAnsi="Arial" w:cs="Arial"/>
          <w:sz w:val="24"/>
          <w:szCs w:val="24"/>
        </w:rPr>
        <w:t>has to</w:t>
      </w:r>
      <w:proofErr w:type="gramEnd"/>
      <w:r w:rsidRPr="00244BD7">
        <w:rPr>
          <w:rFonts w:ascii="Arial" w:hAnsi="Arial" w:cs="Arial"/>
          <w:sz w:val="24"/>
          <w:szCs w:val="24"/>
        </w:rPr>
        <w:t xml:space="preserve"> consider both tangible and intangible aspects of the workplace (Ackerman, 2023).</w:t>
      </w:r>
    </w:p>
    <w:p w14:paraId="5A9D78DA"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Change Management Approach:  </w:t>
      </w:r>
    </w:p>
    <w:p w14:paraId="5A9D78DB"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Some have also suggested that, at least on an organizational level, it may be more effective to implement cultural initiatives gradually through small-fit pilot projects, allowing the organization to experiment and learn before the full effort’ is underway. As with holding discussions, it is also important to ensure that all staff members are included and their experiences are fairly represented, that staff members are involved in the process, and that the emphasis is on their collective responsibility for shaping the organizational culture (Burke, 2023). Being involved in the decision-making process can help employees feel more attached to both the organization and the initiative, and sharing the narrative that all staff members are “agents of change” helps dispel the notion that employees are simply passive recipients of change. Making it clear that change is everyone’s responsibility will make it easier to facilitate meaningful change.</w:t>
      </w:r>
    </w:p>
    <w:p w14:paraId="5A9D78DC"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Measurement of Success: </w:t>
      </w:r>
    </w:p>
    <w:p w14:paraId="5A9D78DD"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progress can be defined by an improved level of morale among employees, a higher rate of their retention, the increase in job satisfaction, and respective feedback. PROGRESS can be monitored through the observation of employee engagement scores as well as turnover rates and information concerning the perceived culture within a firm and their personal attitude towards their workplaces. Indeed, high levels of morale, retention among employees, and their satisfaction are the key criteria by which success can be evaluated (</w:t>
      </w:r>
      <w:proofErr w:type="spellStart"/>
      <w:r w:rsidRPr="00244BD7">
        <w:rPr>
          <w:rFonts w:ascii="Arial" w:hAnsi="Arial" w:cs="Arial"/>
          <w:sz w:val="24"/>
          <w:szCs w:val="24"/>
        </w:rPr>
        <w:t>Deszca</w:t>
      </w:r>
      <w:proofErr w:type="spellEnd"/>
      <w:r w:rsidRPr="00244BD7">
        <w:rPr>
          <w:rFonts w:ascii="Arial" w:hAnsi="Arial" w:cs="Arial"/>
          <w:sz w:val="24"/>
          <w:szCs w:val="24"/>
        </w:rPr>
        <w:t xml:space="preserve"> et al., 2024). However, one of the essential aspects of evaluating progress lies in the identification of the actual factors that affect the above-mentioned issues. As a result, the changes in engagement scores will reflect how well the cultural initiatives in a firm are received by the target audience in the work environment. At the same time, the analysis of turnover rates will also produce valuable information concerning the development of the problem and ways in which the company’s </w:t>
      </w:r>
      <w:r w:rsidRPr="00244BD7">
        <w:rPr>
          <w:rFonts w:ascii="Arial" w:hAnsi="Arial" w:cs="Arial"/>
          <w:sz w:val="24"/>
          <w:szCs w:val="24"/>
        </w:rPr>
        <w:lastRenderedPageBreak/>
        <w:t>culture discourages potential workers from applying for a position. Finally, substantial data about the perceived company’s culture and work environment will be useful in making a sounder assessment of the firm’s cultural approach and corresponding adjustments (Hurtt et al., 2020).</w:t>
      </w:r>
    </w:p>
    <w:p w14:paraId="5A9D78DE"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4. Strengthen Leadership and Management Practices: </w:t>
      </w:r>
    </w:p>
    <w:p w14:paraId="5A9D78DF"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Ritz London should focus on investments in personnel as well. While the right incentives and better pay in comparison to competitors can attract workers, it is crucial to ensure that the staff is motivated to perform to their best. Effective leadership and management practices are often required to inspire, empower, and motivate employees. Therefore, the first action in this area should be investments in leadership development programs for managers and supervisors (Jones et al., 2020). The current knowledge shows that to lead a high-performing team, who individuals in this role should have strong communication, empathy, and coaching skills. This way, the managers instead of just being bosses will become leaders that the staff can trust and rely on.</w:t>
      </w:r>
    </w:p>
    <w:p w14:paraId="5A9D78E0"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Change Management Approach: </w:t>
      </w:r>
    </w:p>
    <w:p w14:paraId="5A9D78E1"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Continuously provide training and support for managers and supervisors to develop their leadership skills and meet the needs of employees. Stress on open dialogue between leaders and their teams </w:t>
      </w:r>
      <w:proofErr w:type="gramStart"/>
      <w:r w:rsidRPr="00244BD7">
        <w:rPr>
          <w:rFonts w:ascii="Arial" w:hAnsi="Arial" w:cs="Arial"/>
          <w:sz w:val="24"/>
          <w:szCs w:val="24"/>
        </w:rPr>
        <w:t>taking into account</w:t>
      </w:r>
      <w:proofErr w:type="gramEnd"/>
      <w:r w:rsidRPr="00244BD7">
        <w:rPr>
          <w:rFonts w:ascii="Arial" w:hAnsi="Arial" w:cs="Arial"/>
          <w:sz w:val="24"/>
          <w:szCs w:val="24"/>
        </w:rPr>
        <w:t xml:space="preserve"> the results of the performance appraisal process (Kinicki and Williams, 2020). Let employees contribute to the improvement of the working environment and promote a culture of accountability and respect.</w:t>
      </w:r>
    </w:p>
    <w:p w14:paraId="5A9D78E2" w14:textId="77777777" w:rsidR="00286124" w:rsidRPr="00244BD7" w:rsidRDefault="00286124" w:rsidP="00286124">
      <w:pPr>
        <w:pStyle w:val="Heading3"/>
        <w:spacing w:before="0" w:line="360" w:lineRule="auto"/>
        <w:jc w:val="both"/>
        <w:rPr>
          <w:rFonts w:ascii="Arial" w:hAnsi="Arial" w:cs="Arial"/>
        </w:rPr>
      </w:pPr>
      <w:r w:rsidRPr="00244BD7">
        <w:rPr>
          <w:rFonts w:ascii="Arial" w:hAnsi="Arial" w:cs="Arial"/>
        </w:rPr>
        <w:t xml:space="preserve">Measurement of Success: </w:t>
      </w:r>
    </w:p>
    <w:p w14:paraId="5A9D78E3"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effectiveness of these strategies can be seen in the improvement of scores measuring employee satisfaction, manager effectiveness, and team performance (Liu et al., 2020). Assessment of the improvement or decline in employee perception about the quality of leadership and the effectiveness of the corresponding strategy.</w:t>
      </w:r>
    </w:p>
    <w:p w14:paraId="5A9D78E4"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b/>
          <w:bCs/>
          <w:sz w:val="24"/>
          <w:szCs w:val="24"/>
        </w:rPr>
        <w:t>Cost Considerations:</w:t>
      </w:r>
      <w:r w:rsidRPr="00244BD7">
        <w:rPr>
          <w:rFonts w:ascii="Arial" w:hAnsi="Arial" w:cs="Arial"/>
          <w:sz w:val="24"/>
          <w:szCs w:val="24"/>
        </w:rPr>
        <w:t xml:space="preserve"> The implementation of the provided recommendations will incur certain costs requiring from The Ritz London to make investments. However, the costs and expenditures will be different in their nature but will have long-term benefits. For instance, training and the introduction of various development programs require investments in the materials and development of the programs and will need the incorporation of instructors and facilities too (Mishra et al., 2020). In this way, this is long-</w:t>
      </w:r>
      <w:r w:rsidRPr="00244BD7">
        <w:rPr>
          <w:rFonts w:ascii="Arial" w:hAnsi="Arial" w:cs="Arial"/>
          <w:sz w:val="24"/>
          <w:szCs w:val="24"/>
        </w:rPr>
        <w:lastRenderedPageBreak/>
        <w:t>term investment that will not provide immediate results as far as the improvement in employees’ performance and retention will be achieved only after the completion of the training. Still, even despite these costs, the implementation of this recommendation will ensure considerable benefits and a high rate of ROI. Similar will be the impact of the recommendation associated with the creation of recognition and reward programs. Namely, this action will require investment in the incentive and the development of prizes. However, the most salient positive aspect that should be mentioned is the improvements in guests’ satisfaction and service quality that will result from the increased motivation and satisfaction of employees (</w:t>
      </w:r>
      <w:proofErr w:type="spellStart"/>
      <w:r w:rsidRPr="00244BD7">
        <w:rPr>
          <w:rFonts w:ascii="Arial" w:hAnsi="Arial" w:cs="Arial"/>
          <w:sz w:val="24"/>
          <w:szCs w:val="24"/>
        </w:rPr>
        <w:t>Rocklöv</w:t>
      </w:r>
      <w:proofErr w:type="spellEnd"/>
      <w:r w:rsidRPr="00244BD7">
        <w:rPr>
          <w:rFonts w:ascii="Arial" w:hAnsi="Arial" w:cs="Arial"/>
          <w:sz w:val="24"/>
          <w:szCs w:val="24"/>
        </w:rPr>
        <w:t xml:space="preserve"> and Dubrow, 2020).</w:t>
      </w:r>
    </w:p>
    <w:p w14:paraId="5A9D78E5" w14:textId="77777777" w:rsidR="00286124" w:rsidRPr="00244BD7" w:rsidRDefault="00286124" w:rsidP="00286124">
      <w:pPr>
        <w:pStyle w:val="Heading2"/>
        <w:spacing w:before="0" w:line="360" w:lineRule="auto"/>
        <w:jc w:val="both"/>
        <w:rPr>
          <w:rFonts w:ascii="Arial" w:hAnsi="Arial" w:cs="Arial"/>
          <w:sz w:val="24"/>
          <w:szCs w:val="24"/>
        </w:rPr>
      </w:pPr>
      <w:r w:rsidRPr="00244BD7">
        <w:rPr>
          <w:rFonts w:ascii="Arial" w:hAnsi="Arial" w:cs="Arial"/>
          <w:sz w:val="24"/>
          <w:szCs w:val="24"/>
        </w:rPr>
        <w:t xml:space="preserve">Potential Benefits: </w:t>
      </w:r>
    </w:p>
    <w:p w14:paraId="5A9D78E6"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The implementation of the recommendations provided above has the potential to produce several outcomes for The Ritz London. In the first place, focusing on the satisfaction and morale of the workforce regarding training, recognition, and the promotion of a workplace environment is expected to impress the happiness and engagement of the entire team. As a result, the retention rates of the workers at the hotel are likely to increase, and the costs of the workers’ turnover will be reduced. Moreover, the enhancement of the employees’ skills and communication is expected to lead to better quality of service provided and, further, to the increased satisfaction of the guests (Sokal et al., 2020). Additionally, increased focus on continuous learning and empowerment will result in a more productive and efficient workforce at The Ritz London. Finally, the promotion of an organizational culture of open communication, collaboration, and inclusion is expected to motivate the employees to further engage and be loyal toward the company, thereby cementing the hotel’s status as an employer.</w:t>
      </w:r>
    </w:p>
    <w:p w14:paraId="5A9D78E7"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t xml:space="preserve">Action Plan </w:t>
      </w:r>
    </w:p>
    <w:tbl>
      <w:tblPr>
        <w:tblStyle w:val="TableGrid"/>
        <w:tblW w:w="10680" w:type="dxa"/>
        <w:tblLook w:val="04A0" w:firstRow="1" w:lastRow="0" w:firstColumn="1" w:lastColumn="0" w:noHBand="0" w:noVBand="1"/>
      </w:tblPr>
      <w:tblGrid>
        <w:gridCol w:w="1123"/>
        <w:gridCol w:w="1791"/>
        <w:gridCol w:w="2074"/>
        <w:gridCol w:w="1986"/>
        <w:gridCol w:w="1008"/>
        <w:gridCol w:w="1541"/>
        <w:gridCol w:w="1157"/>
      </w:tblGrid>
      <w:tr w:rsidR="00286124" w:rsidRPr="00244BD7" w14:paraId="5A9D78EF" w14:textId="77777777" w:rsidTr="009B0332">
        <w:tc>
          <w:tcPr>
            <w:tcW w:w="0" w:type="auto"/>
            <w:hideMark/>
          </w:tcPr>
          <w:p w14:paraId="5A9D78E8"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Number</w:t>
            </w:r>
          </w:p>
        </w:tc>
        <w:tc>
          <w:tcPr>
            <w:tcW w:w="0" w:type="auto"/>
            <w:hideMark/>
          </w:tcPr>
          <w:p w14:paraId="5A9D78E9"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Problem</w:t>
            </w:r>
          </w:p>
        </w:tc>
        <w:tc>
          <w:tcPr>
            <w:tcW w:w="0" w:type="auto"/>
            <w:hideMark/>
          </w:tcPr>
          <w:p w14:paraId="5A9D78EA"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Solution</w:t>
            </w:r>
          </w:p>
        </w:tc>
        <w:tc>
          <w:tcPr>
            <w:tcW w:w="0" w:type="auto"/>
            <w:hideMark/>
          </w:tcPr>
          <w:p w14:paraId="5A9D78EB"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Desired Outcome</w:t>
            </w:r>
          </w:p>
        </w:tc>
        <w:tc>
          <w:tcPr>
            <w:tcW w:w="0" w:type="auto"/>
            <w:hideMark/>
          </w:tcPr>
          <w:p w14:paraId="5A9D78EC"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Time Scale</w:t>
            </w:r>
          </w:p>
        </w:tc>
        <w:tc>
          <w:tcPr>
            <w:tcW w:w="0" w:type="auto"/>
            <w:hideMark/>
          </w:tcPr>
          <w:p w14:paraId="5A9D78ED"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Completion Date</w:t>
            </w:r>
          </w:p>
        </w:tc>
        <w:tc>
          <w:tcPr>
            <w:tcW w:w="0" w:type="auto"/>
            <w:hideMark/>
          </w:tcPr>
          <w:p w14:paraId="5A9D78EE" w14:textId="77777777" w:rsidR="00286124" w:rsidRPr="00244BD7" w:rsidRDefault="00286124" w:rsidP="009B0332">
            <w:pPr>
              <w:spacing w:line="360" w:lineRule="auto"/>
              <w:jc w:val="both"/>
              <w:rPr>
                <w:rFonts w:ascii="Arial" w:hAnsi="Arial" w:cs="Arial"/>
                <w:b/>
                <w:bCs/>
                <w:sz w:val="24"/>
                <w:szCs w:val="24"/>
              </w:rPr>
            </w:pPr>
            <w:r w:rsidRPr="00244BD7">
              <w:rPr>
                <w:rFonts w:ascii="Arial" w:hAnsi="Arial" w:cs="Arial"/>
                <w:b/>
                <w:bCs/>
                <w:sz w:val="24"/>
                <w:szCs w:val="24"/>
              </w:rPr>
              <w:t>Planned Budget</w:t>
            </w:r>
          </w:p>
        </w:tc>
      </w:tr>
      <w:tr w:rsidR="00286124" w:rsidRPr="00244BD7" w14:paraId="5A9D78F7" w14:textId="77777777" w:rsidTr="009B0332">
        <w:tc>
          <w:tcPr>
            <w:tcW w:w="0" w:type="auto"/>
            <w:hideMark/>
          </w:tcPr>
          <w:p w14:paraId="5A9D78F0"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1</w:t>
            </w:r>
          </w:p>
        </w:tc>
        <w:tc>
          <w:tcPr>
            <w:tcW w:w="0" w:type="auto"/>
            <w:hideMark/>
          </w:tcPr>
          <w:p w14:paraId="5A9D78F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High Employee Turnover and Low Engagement</w:t>
            </w:r>
          </w:p>
        </w:tc>
        <w:tc>
          <w:tcPr>
            <w:tcW w:w="0" w:type="auto"/>
            <w:hideMark/>
          </w:tcPr>
          <w:p w14:paraId="5A9D78F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Implement comprehensive training and development programs </w:t>
            </w:r>
            <w:r w:rsidRPr="00244BD7">
              <w:rPr>
                <w:rFonts w:ascii="Arial" w:hAnsi="Arial" w:cs="Arial"/>
                <w:sz w:val="24"/>
                <w:szCs w:val="24"/>
              </w:rPr>
              <w:lastRenderedPageBreak/>
              <w:t>gradually, starting with pilot groups and expanding to all staff. Provide opportunities for career advancement, skill enhancement, and cross-training.</w:t>
            </w:r>
          </w:p>
        </w:tc>
        <w:tc>
          <w:tcPr>
            <w:tcW w:w="0" w:type="auto"/>
            <w:hideMark/>
          </w:tcPr>
          <w:p w14:paraId="5A9D78F3"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 xml:space="preserve">Improved employee skills, job satisfaction, and engagement. </w:t>
            </w:r>
            <w:r w:rsidRPr="00244BD7">
              <w:rPr>
                <w:rFonts w:ascii="Arial" w:hAnsi="Arial" w:cs="Arial"/>
                <w:sz w:val="24"/>
                <w:szCs w:val="24"/>
              </w:rPr>
              <w:lastRenderedPageBreak/>
              <w:t>Increased retention rates and reduced turnover costs. Enhanced service quality and guest satisfaction. Higher productivity and efficiency.</w:t>
            </w:r>
          </w:p>
        </w:tc>
        <w:tc>
          <w:tcPr>
            <w:tcW w:w="0" w:type="auto"/>
            <w:hideMark/>
          </w:tcPr>
          <w:p w14:paraId="5A9D78F4"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6 months</w:t>
            </w:r>
          </w:p>
        </w:tc>
        <w:tc>
          <w:tcPr>
            <w:tcW w:w="0" w:type="auto"/>
            <w:hideMark/>
          </w:tcPr>
          <w:p w14:paraId="5A9D78F5"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30/09/2024</w:t>
            </w:r>
          </w:p>
        </w:tc>
        <w:tc>
          <w:tcPr>
            <w:tcW w:w="0" w:type="auto"/>
            <w:hideMark/>
          </w:tcPr>
          <w:p w14:paraId="5A9D78F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£50,000</w:t>
            </w:r>
          </w:p>
        </w:tc>
      </w:tr>
      <w:tr w:rsidR="00286124" w:rsidRPr="00244BD7" w14:paraId="5A9D78FF" w14:textId="77777777" w:rsidTr="009B0332">
        <w:tc>
          <w:tcPr>
            <w:tcW w:w="0" w:type="auto"/>
            <w:hideMark/>
          </w:tcPr>
          <w:p w14:paraId="5A9D78F8"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2</w:t>
            </w:r>
          </w:p>
        </w:tc>
        <w:tc>
          <w:tcPr>
            <w:tcW w:w="0" w:type="auto"/>
            <w:hideMark/>
          </w:tcPr>
          <w:p w14:paraId="5A9D78F9"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Ineffective Recognition and Reward Systems</w:t>
            </w:r>
          </w:p>
        </w:tc>
        <w:tc>
          <w:tcPr>
            <w:tcW w:w="0" w:type="auto"/>
            <w:hideMark/>
          </w:tcPr>
          <w:p w14:paraId="5A9D78F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Enhance recognition and reward systems by establishing formal programs and providing both monetary and non-monetary incentives. Provide training for managers on effective recognition and reward practices.</w:t>
            </w:r>
          </w:p>
        </w:tc>
        <w:tc>
          <w:tcPr>
            <w:tcW w:w="0" w:type="auto"/>
            <w:hideMark/>
          </w:tcPr>
          <w:p w14:paraId="5A9D78F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Increased employee motivation and morale. Improved retention rates and reduced turnover costs. Enhanced organizational culture and employee engagement.</w:t>
            </w:r>
          </w:p>
        </w:tc>
        <w:tc>
          <w:tcPr>
            <w:tcW w:w="0" w:type="auto"/>
            <w:hideMark/>
          </w:tcPr>
          <w:p w14:paraId="5A9D78FC"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4 months</w:t>
            </w:r>
          </w:p>
        </w:tc>
        <w:tc>
          <w:tcPr>
            <w:tcW w:w="0" w:type="auto"/>
            <w:hideMark/>
          </w:tcPr>
          <w:p w14:paraId="5A9D78FD"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30/07/2024</w:t>
            </w:r>
          </w:p>
        </w:tc>
        <w:tc>
          <w:tcPr>
            <w:tcW w:w="0" w:type="auto"/>
            <w:hideMark/>
          </w:tcPr>
          <w:p w14:paraId="5A9D78F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£30,000</w:t>
            </w:r>
          </w:p>
        </w:tc>
      </w:tr>
      <w:tr w:rsidR="00286124" w:rsidRPr="00244BD7" w14:paraId="5A9D7907" w14:textId="77777777" w:rsidTr="009B0332">
        <w:tc>
          <w:tcPr>
            <w:tcW w:w="0" w:type="auto"/>
            <w:hideMark/>
          </w:tcPr>
          <w:p w14:paraId="5A9D7900"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w:t>
            </w:r>
          </w:p>
        </w:tc>
        <w:tc>
          <w:tcPr>
            <w:tcW w:w="0" w:type="auto"/>
            <w:hideMark/>
          </w:tcPr>
          <w:p w14:paraId="5A9D7901"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Negative Organizational Culture</w:t>
            </w:r>
          </w:p>
        </w:tc>
        <w:tc>
          <w:tcPr>
            <w:tcW w:w="0" w:type="auto"/>
            <w:hideMark/>
          </w:tcPr>
          <w:p w14:paraId="5A9D7902"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 xml:space="preserve">Introduce cultural initiatives gradually, starting with </w:t>
            </w:r>
            <w:r w:rsidRPr="00244BD7">
              <w:rPr>
                <w:rFonts w:ascii="Arial" w:hAnsi="Arial" w:cs="Arial"/>
                <w:sz w:val="24"/>
                <w:szCs w:val="24"/>
              </w:rPr>
              <w:lastRenderedPageBreak/>
              <w:t>small-scale pilot projects. Solicit employee feedback and involvement to shape the organizational culture. Promote open communication and collaboration.</w:t>
            </w:r>
          </w:p>
        </w:tc>
        <w:tc>
          <w:tcPr>
            <w:tcW w:w="0" w:type="auto"/>
            <w:hideMark/>
          </w:tcPr>
          <w:p w14:paraId="5A9D7903"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 xml:space="preserve">Fostering a positive work environment and strong </w:t>
            </w:r>
            <w:r w:rsidRPr="00244BD7">
              <w:rPr>
                <w:rFonts w:ascii="Arial" w:hAnsi="Arial" w:cs="Arial"/>
                <w:sz w:val="24"/>
                <w:szCs w:val="24"/>
              </w:rPr>
              <w:lastRenderedPageBreak/>
              <w:t>organizational culture. Increased employee satisfaction, engagement, and retention. Stronger sense of belonging and camaraderie among staff.</w:t>
            </w:r>
          </w:p>
        </w:tc>
        <w:tc>
          <w:tcPr>
            <w:tcW w:w="0" w:type="auto"/>
            <w:hideMark/>
          </w:tcPr>
          <w:p w14:paraId="5A9D7904"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lastRenderedPageBreak/>
              <w:t>8 months</w:t>
            </w:r>
          </w:p>
        </w:tc>
        <w:tc>
          <w:tcPr>
            <w:tcW w:w="0" w:type="auto"/>
            <w:hideMark/>
          </w:tcPr>
          <w:p w14:paraId="5A9D7905"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30/11/2024</w:t>
            </w:r>
          </w:p>
        </w:tc>
        <w:tc>
          <w:tcPr>
            <w:tcW w:w="0" w:type="auto"/>
            <w:hideMark/>
          </w:tcPr>
          <w:p w14:paraId="5A9D7906"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£40,000</w:t>
            </w:r>
          </w:p>
        </w:tc>
      </w:tr>
      <w:tr w:rsidR="00286124" w:rsidRPr="00244BD7" w14:paraId="5A9D790F" w14:textId="77777777" w:rsidTr="009B0332">
        <w:tc>
          <w:tcPr>
            <w:tcW w:w="0" w:type="auto"/>
            <w:hideMark/>
          </w:tcPr>
          <w:p w14:paraId="5A9D7908"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4</w:t>
            </w:r>
          </w:p>
        </w:tc>
        <w:tc>
          <w:tcPr>
            <w:tcW w:w="0" w:type="auto"/>
            <w:hideMark/>
          </w:tcPr>
          <w:p w14:paraId="5A9D7909"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Lack of Leadership Effectiveness</w:t>
            </w:r>
          </w:p>
        </w:tc>
        <w:tc>
          <w:tcPr>
            <w:tcW w:w="0" w:type="auto"/>
            <w:hideMark/>
          </w:tcPr>
          <w:p w14:paraId="5A9D790A"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Strengthen leadership and management practices through training and development programs for managers and supervisors. Emphasize communication, empathy, and coaching skills.</w:t>
            </w:r>
          </w:p>
        </w:tc>
        <w:tc>
          <w:tcPr>
            <w:tcW w:w="0" w:type="auto"/>
            <w:hideMark/>
          </w:tcPr>
          <w:p w14:paraId="5A9D790B"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Improved leadership effectiveness and employee satisfaction. Enhanced team performance and collaboration. Increased employee motivation and engagement.</w:t>
            </w:r>
          </w:p>
        </w:tc>
        <w:tc>
          <w:tcPr>
            <w:tcW w:w="0" w:type="auto"/>
            <w:hideMark/>
          </w:tcPr>
          <w:p w14:paraId="5A9D790C"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6 months</w:t>
            </w:r>
          </w:p>
        </w:tc>
        <w:tc>
          <w:tcPr>
            <w:tcW w:w="0" w:type="auto"/>
            <w:hideMark/>
          </w:tcPr>
          <w:p w14:paraId="5A9D790D"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30/09/2024</w:t>
            </w:r>
          </w:p>
        </w:tc>
        <w:tc>
          <w:tcPr>
            <w:tcW w:w="0" w:type="auto"/>
            <w:hideMark/>
          </w:tcPr>
          <w:p w14:paraId="5A9D790E" w14:textId="77777777" w:rsidR="00286124" w:rsidRPr="00244BD7" w:rsidRDefault="00286124" w:rsidP="009B0332">
            <w:pPr>
              <w:spacing w:line="360" w:lineRule="auto"/>
              <w:jc w:val="both"/>
              <w:rPr>
                <w:rFonts w:ascii="Arial" w:hAnsi="Arial" w:cs="Arial"/>
                <w:sz w:val="24"/>
                <w:szCs w:val="24"/>
              </w:rPr>
            </w:pPr>
            <w:r w:rsidRPr="00244BD7">
              <w:rPr>
                <w:rFonts w:ascii="Arial" w:hAnsi="Arial" w:cs="Arial"/>
                <w:sz w:val="24"/>
                <w:szCs w:val="24"/>
              </w:rPr>
              <w:t>£35,000</w:t>
            </w:r>
          </w:p>
        </w:tc>
      </w:tr>
      <w:tr w:rsidR="00286124" w:rsidRPr="00244BD7" w14:paraId="5A9D7917" w14:textId="77777777" w:rsidTr="009B0332">
        <w:tc>
          <w:tcPr>
            <w:tcW w:w="0" w:type="auto"/>
            <w:hideMark/>
          </w:tcPr>
          <w:p w14:paraId="5A9D7910"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5</w:t>
            </w:r>
          </w:p>
        </w:tc>
        <w:tc>
          <w:tcPr>
            <w:tcW w:w="0" w:type="auto"/>
            <w:hideMark/>
          </w:tcPr>
          <w:p w14:paraId="5A9D7911"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Insufficient Feedback Mechanisms</w:t>
            </w:r>
          </w:p>
        </w:tc>
        <w:tc>
          <w:tcPr>
            <w:tcW w:w="0" w:type="auto"/>
            <w:hideMark/>
          </w:tcPr>
          <w:p w14:paraId="5A9D7912"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Implement regular feedback mechanisms such as surveys, suggestion boxes, and open-</w:t>
            </w:r>
            <w:r w:rsidRPr="00244BD7">
              <w:rPr>
                <w:rFonts w:ascii="Arial" w:hAnsi="Arial" w:cs="Arial"/>
                <w:sz w:val="24"/>
                <w:szCs w:val="24"/>
                <w:lang w:eastAsia="en-GB"/>
              </w:rPr>
              <w:lastRenderedPageBreak/>
              <w:t>door policies. Encourage transparent communication between management and staff to address concerns and solicit input.</w:t>
            </w:r>
          </w:p>
        </w:tc>
        <w:tc>
          <w:tcPr>
            <w:tcW w:w="0" w:type="auto"/>
            <w:hideMark/>
          </w:tcPr>
          <w:p w14:paraId="5A9D7913"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lastRenderedPageBreak/>
              <w:t xml:space="preserve">Increased employee engagement and satisfaction. Improved communication </w:t>
            </w:r>
            <w:r w:rsidRPr="00244BD7">
              <w:rPr>
                <w:rFonts w:ascii="Arial" w:hAnsi="Arial" w:cs="Arial"/>
                <w:sz w:val="24"/>
                <w:szCs w:val="24"/>
                <w:lang w:eastAsia="en-GB"/>
              </w:rPr>
              <w:lastRenderedPageBreak/>
              <w:t>and problem-solving. Enhanced organizational transparency and trust.</w:t>
            </w:r>
          </w:p>
        </w:tc>
        <w:tc>
          <w:tcPr>
            <w:tcW w:w="0" w:type="auto"/>
            <w:hideMark/>
          </w:tcPr>
          <w:p w14:paraId="5A9D7914"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lastRenderedPageBreak/>
              <w:t>3 months</w:t>
            </w:r>
          </w:p>
        </w:tc>
        <w:tc>
          <w:tcPr>
            <w:tcW w:w="0" w:type="auto"/>
            <w:hideMark/>
          </w:tcPr>
          <w:p w14:paraId="5A9D7915"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30/06/2024</w:t>
            </w:r>
          </w:p>
        </w:tc>
        <w:tc>
          <w:tcPr>
            <w:tcW w:w="0" w:type="auto"/>
            <w:hideMark/>
          </w:tcPr>
          <w:p w14:paraId="5A9D7916"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£25,000</w:t>
            </w:r>
          </w:p>
        </w:tc>
      </w:tr>
      <w:tr w:rsidR="00286124" w:rsidRPr="00244BD7" w14:paraId="5A9D791F" w14:textId="77777777" w:rsidTr="009B0332">
        <w:tc>
          <w:tcPr>
            <w:tcW w:w="0" w:type="auto"/>
            <w:hideMark/>
          </w:tcPr>
          <w:p w14:paraId="5A9D7918"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6</w:t>
            </w:r>
          </w:p>
        </w:tc>
        <w:tc>
          <w:tcPr>
            <w:tcW w:w="0" w:type="auto"/>
            <w:hideMark/>
          </w:tcPr>
          <w:p w14:paraId="5A9D7919"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Lack of Career Advancement Opportunities</w:t>
            </w:r>
          </w:p>
        </w:tc>
        <w:tc>
          <w:tcPr>
            <w:tcW w:w="0" w:type="auto"/>
            <w:hideMark/>
          </w:tcPr>
          <w:p w14:paraId="5A9D791A"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Establish clear pathways for career progression within the organization, including mentorship programs, skills development initiatives, and promotional opportunities. Ensure transparency and fairness in the promotion process.</w:t>
            </w:r>
          </w:p>
        </w:tc>
        <w:tc>
          <w:tcPr>
            <w:tcW w:w="0" w:type="auto"/>
            <w:hideMark/>
          </w:tcPr>
          <w:p w14:paraId="5A9D791B"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Increased employee motivation and commitment. Reduced turnover due to opportunities for growth and advancement. Enhanced talent retention and succession planning.</w:t>
            </w:r>
          </w:p>
        </w:tc>
        <w:tc>
          <w:tcPr>
            <w:tcW w:w="0" w:type="auto"/>
            <w:hideMark/>
          </w:tcPr>
          <w:p w14:paraId="5A9D791C"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6 months</w:t>
            </w:r>
          </w:p>
        </w:tc>
        <w:tc>
          <w:tcPr>
            <w:tcW w:w="0" w:type="auto"/>
            <w:hideMark/>
          </w:tcPr>
          <w:p w14:paraId="5A9D791D"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30/09/2024</w:t>
            </w:r>
          </w:p>
        </w:tc>
        <w:tc>
          <w:tcPr>
            <w:tcW w:w="0" w:type="auto"/>
            <w:hideMark/>
          </w:tcPr>
          <w:p w14:paraId="5A9D791E" w14:textId="77777777" w:rsidR="00286124" w:rsidRPr="00244BD7" w:rsidRDefault="00286124" w:rsidP="009B0332">
            <w:pPr>
              <w:spacing w:line="360" w:lineRule="auto"/>
              <w:jc w:val="both"/>
              <w:rPr>
                <w:rFonts w:ascii="Arial" w:hAnsi="Arial" w:cs="Arial"/>
                <w:sz w:val="24"/>
                <w:szCs w:val="24"/>
                <w:lang w:eastAsia="en-GB"/>
              </w:rPr>
            </w:pPr>
            <w:r w:rsidRPr="00244BD7">
              <w:rPr>
                <w:rFonts w:ascii="Arial" w:hAnsi="Arial" w:cs="Arial"/>
                <w:sz w:val="24"/>
                <w:szCs w:val="24"/>
                <w:lang w:eastAsia="en-GB"/>
              </w:rPr>
              <w:t>£45,000</w:t>
            </w:r>
          </w:p>
        </w:tc>
      </w:tr>
    </w:tbl>
    <w:p w14:paraId="5A9D7920" w14:textId="77777777" w:rsidR="00286124" w:rsidRPr="00244BD7" w:rsidRDefault="00286124" w:rsidP="00286124">
      <w:pPr>
        <w:spacing w:after="0" w:line="360" w:lineRule="auto"/>
        <w:jc w:val="both"/>
        <w:rPr>
          <w:rFonts w:ascii="Arial" w:hAnsi="Arial" w:cs="Arial"/>
          <w:sz w:val="24"/>
          <w:szCs w:val="24"/>
        </w:rPr>
      </w:pPr>
    </w:p>
    <w:p w14:paraId="5A9D7921" w14:textId="77777777" w:rsidR="00286124" w:rsidRPr="00244BD7" w:rsidRDefault="00286124" w:rsidP="00286124">
      <w:pPr>
        <w:pStyle w:val="Heading1"/>
        <w:spacing w:before="0" w:line="360" w:lineRule="auto"/>
        <w:jc w:val="both"/>
        <w:rPr>
          <w:rFonts w:ascii="Arial" w:hAnsi="Arial" w:cs="Arial"/>
          <w:bCs/>
          <w:sz w:val="24"/>
          <w:szCs w:val="24"/>
        </w:rPr>
      </w:pPr>
      <w:r w:rsidRPr="00244BD7">
        <w:rPr>
          <w:rFonts w:ascii="Arial" w:hAnsi="Arial" w:cs="Arial"/>
          <w:sz w:val="24"/>
          <w:szCs w:val="24"/>
        </w:rPr>
        <w:t xml:space="preserve">Conclusion </w:t>
      </w:r>
    </w:p>
    <w:p w14:paraId="5A9D7922"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In conclusion, the challenges related to employee retention and engagement in The Ritz London are multi-faceted and require thorough and systematic approaches to manage </w:t>
      </w:r>
      <w:r w:rsidRPr="00244BD7">
        <w:rPr>
          <w:rFonts w:ascii="Arial" w:hAnsi="Arial" w:cs="Arial"/>
          <w:sz w:val="24"/>
          <w:szCs w:val="24"/>
        </w:rPr>
        <w:lastRenderedPageBreak/>
        <w:t xml:space="preserve">them properly. At the same time, the analysis conducted in this report has revealed that their causes, including high turnover rates, poor recognition, and reward policy, weak organizational culture, as well as leadership shortcomings, are rather specific and can be overcome if the hotel follows the steps described in the action plan. The latter not only helps to clarify how the challenges and their causes can be managed but also offers a structured and systematic approach to ensure that the hotel follows an optimal course towards creating a working environment that is most favourable for employees and fits their needs perfectly. Training and development activities, suitable rewards, and good leadership can motivate and empower employees to develop their skills and achieve high proficiency levels. Moreover, a positive work environment and organizational culture can create built-in motivations to work effectively and behave in line with the hotel’s vision and objectives. They are well-recommended to achieve better outcomes in the form of higher service quality and guest satisfaction. </w:t>
      </w:r>
      <w:proofErr w:type="gramStart"/>
      <w:r w:rsidRPr="00244BD7">
        <w:rPr>
          <w:rFonts w:ascii="Arial" w:hAnsi="Arial" w:cs="Arial"/>
          <w:sz w:val="24"/>
          <w:szCs w:val="24"/>
        </w:rPr>
        <w:t>In order to</w:t>
      </w:r>
      <w:proofErr w:type="gramEnd"/>
      <w:r w:rsidRPr="00244BD7">
        <w:rPr>
          <w:rFonts w:ascii="Arial" w:hAnsi="Arial" w:cs="Arial"/>
          <w:sz w:val="24"/>
          <w:szCs w:val="24"/>
        </w:rPr>
        <w:t xml:space="preserve"> ensure that the hotel solves all the major challenges related to employee retention and engagement, it also needs to address other lesser challenges, such as poor work-life balance and lack of evaluation. In other words, the hotel should motivate employees by providing them with opportunities for future advancement while ensuring that they are evaluated regularly and understand the areas where they can grow.</w:t>
      </w:r>
    </w:p>
    <w:p w14:paraId="5A9D7923"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Clearly observable and transparent roles for progress, as well as regular performance evaluation, can take the weight of the employees’ shoulders and show them that they are cared for. The lack of such opportunities and procedures for performance evaluation are major concerns for employees who strive to move up the career ladder but do not know how to do it effectively. Another point that </w:t>
      </w:r>
      <w:proofErr w:type="gramStart"/>
      <w:r w:rsidRPr="00244BD7">
        <w:rPr>
          <w:rFonts w:ascii="Arial" w:hAnsi="Arial" w:cs="Arial"/>
          <w:sz w:val="24"/>
          <w:szCs w:val="24"/>
        </w:rPr>
        <w:t>has to</w:t>
      </w:r>
      <w:proofErr w:type="gramEnd"/>
      <w:r w:rsidRPr="00244BD7">
        <w:rPr>
          <w:rFonts w:ascii="Arial" w:hAnsi="Arial" w:cs="Arial"/>
          <w:sz w:val="24"/>
          <w:szCs w:val="24"/>
        </w:rPr>
        <w:t xml:space="preserve"> be noted is that, when managing these changes, the change management process should be implemented, which means that the hotel is recommended to proceed with the changes gradually and monitor their impact on the business through a range of performance indicators. An improvement in employee satisfaction and better retention rates signifies successful implementation and is key to ensuring that the hotel can indeed create an environment that is conducive to better employee satisfaction. In this case, the benefits are not limited to better performance figures, as mentioned above, but also involve improved attractiveness as an employer and a better overall brand. I believe that my future action will be similar in nature, although </w:t>
      </w:r>
      <w:r w:rsidRPr="00244BD7">
        <w:rPr>
          <w:rFonts w:ascii="Arial" w:hAnsi="Arial" w:cs="Arial"/>
          <w:sz w:val="24"/>
          <w:szCs w:val="24"/>
        </w:rPr>
        <w:lastRenderedPageBreak/>
        <w:t>I will have to pay more attention to the preliminary work on involving employees in the creation of procedures before their actual implementation.</w:t>
      </w:r>
    </w:p>
    <w:p w14:paraId="5A9D7924"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br w:type="page"/>
      </w:r>
    </w:p>
    <w:p w14:paraId="5A9D7925" w14:textId="77777777" w:rsidR="00286124" w:rsidRPr="00244BD7" w:rsidRDefault="00286124" w:rsidP="00286124">
      <w:pPr>
        <w:pStyle w:val="Heading1"/>
        <w:spacing w:before="0" w:line="360" w:lineRule="auto"/>
        <w:jc w:val="both"/>
        <w:rPr>
          <w:rFonts w:ascii="Arial" w:hAnsi="Arial" w:cs="Arial"/>
          <w:sz w:val="24"/>
          <w:szCs w:val="24"/>
        </w:rPr>
      </w:pPr>
      <w:r w:rsidRPr="00244BD7">
        <w:rPr>
          <w:rFonts w:ascii="Arial" w:hAnsi="Arial" w:cs="Arial"/>
          <w:sz w:val="24"/>
          <w:szCs w:val="24"/>
        </w:rPr>
        <w:lastRenderedPageBreak/>
        <w:t>References</w:t>
      </w:r>
    </w:p>
    <w:p w14:paraId="5A9D7926"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DJalić</w:t>
      </w:r>
      <w:proofErr w:type="spellEnd"/>
      <w:r w:rsidRPr="00244BD7">
        <w:rPr>
          <w:rFonts w:ascii="Arial" w:hAnsi="Arial" w:cs="Arial"/>
          <w:sz w:val="24"/>
          <w:szCs w:val="24"/>
        </w:rPr>
        <w:t xml:space="preserve">, I. et al. (2021) ‘A novel integrated MCDM-SWOT-TOWS model for the strategic decision analysis in transportation company’, </w:t>
      </w:r>
      <w:proofErr w:type="spellStart"/>
      <w:r w:rsidRPr="00244BD7">
        <w:rPr>
          <w:rFonts w:ascii="Arial" w:hAnsi="Arial" w:cs="Arial"/>
          <w:sz w:val="24"/>
          <w:szCs w:val="24"/>
        </w:rPr>
        <w:t>Facta</w:t>
      </w:r>
      <w:proofErr w:type="spellEnd"/>
      <w:r w:rsidRPr="00244BD7">
        <w:rPr>
          <w:rFonts w:ascii="Arial" w:hAnsi="Arial" w:cs="Arial"/>
          <w:sz w:val="24"/>
          <w:szCs w:val="24"/>
        </w:rPr>
        <w:t xml:space="preserve"> Universitatis, Series: Mechanical Engineering, 19(3), pp. 401–422.</w:t>
      </w:r>
    </w:p>
    <w:p w14:paraId="5A9D7927"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Ackerman, L.S. (2023) ‘Development, Transition, or Transformation: The Question of Change in Organizations.’, Organization Development Review, 55(1). Available at: https://search.ebscohost.com/login.aspx?direct=true&amp;profile=ehost&amp;scope=site&amp;authtype=crawler&amp;jrnl=26400669&amp;asa=N&amp;AN=162606796&amp;h=nvkJAMjfaIrdrT6GCOjWKeNyqYp26vSEK9QyxGC2Eu5QW1vn1JB9JKFtzOxbfi61JjXvmVR6qhkvyH8otHmgIQ%3D%3D&amp;crl=c (Accessed: 16 May 2024).</w:t>
      </w:r>
    </w:p>
    <w:p w14:paraId="5A9D7928"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Acton, K.S. (2021) ‘School leaders as change agents: Do principals have the tools they need?’, Management in Education, 35(1), pp. 43–51. Available at: https://doi.org/10.1177/0892020620927415.</w:t>
      </w:r>
    </w:p>
    <w:p w14:paraId="5A9D7929"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Agyekum, E.B. et al. (2021) ‘A bird’s eye view of Ghana’s renewable energy sector environment: a Multi-Criteria Decision-Making approach’, Utilities Policy, 70, p. 101219.</w:t>
      </w:r>
    </w:p>
    <w:p w14:paraId="5A9D792A"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Anjos, D.V. et al. (2022) ‘The effects of ants on pest control: a meta-analysis’, Proceedings of the Royal Society B: Biological Sciences, 289(1981), p. 20221316. Available at: https://doi.org/10.1098/rspb.2022.1316.</w:t>
      </w:r>
    </w:p>
    <w:p w14:paraId="5A9D792B"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Appio</w:t>
      </w:r>
      <w:proofErr w:type="spellEnd"/>
      <w:r w:rsidRPr="00244BD7">
        <w:rPr>
          <w:rFonts w:ascii="Arial" w:hAnsi="Arial" w:cs="Arial"/>
          <w:sz w:val="24"/>
          <w:szCs w:val="24"/>
        </w:rPr>
        <w:t>, F.P. et al. (2021) ‘Digital Transformation and Innovation Management: A Synthesis of Existing Research and an Agenda for Future Studies’, Journal of Product Innovation Management, 38(1), pp. 4–20. Available at: https://doi.org/10.1111/jpim.12562.</w:t>
      </w:r>
    </w:p>
    <w:p w14:paraId="5A9D792C"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Arefieva</w:t>
      </w:r>
      <w:proofErr w:type="spellEnd"/>
      <w:r w:rsidRPr="00244BD7">
        <w:rPr>
          <w:rFonts w:ascii="Arial" w:hAnsi="Arial" w:cs="Arial"/>
          <w:sz w:val="24"/>
          <w:szCs w:val="24"/>
        </w:rPr>
        <w:t>, O. et al. (2021) ‘The Economic Security System in the Conditions of the Powers Transformation’, International journal of computer science and network security: IJCSNS, 21(7), pp. 35–42.</w:t>
      </w:r>
    </w:p>
    <w:p w14:paraId="5A9D792D"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Asadpourian</w:t>
      </w:r>
      <w:proofErr w:type="spellEnd"/>
      <w:r w:rsidRPr="00244BD7">
        <w:rPr>
          <w:rFonts w:ascii="Arial" w:hAnsi="Arial" w:cs="Arial"/>
          <w:sz w:val="24"/>
          <w:szCs w:val="24"/>
        </w:rPr>
        <w:t xml:space="preserve">, Z., Rahimian, M. and </w:t>
      </w:r>
      <w:proofErr w:type="spellStart"/>
      <w:r w:rsidRPr="00244BD7">
        <w:rPr>
          <w:rFonts w:ascii="Arial" w:hAnsi="Arial" w:cs="Arial"/>
          <w:sz w:val="24"/>
          <w:szCs w:val="24"/>
        </w:rPr>
        <w:t>Gholamrezai</w:t>
      </w:r>
      <w:proofErr w:type="spellEnd"/>
      <w:r w:rsidRPr="00244BD7">
        <w:rPr>
          <w:rFonts w:ascii="Arial" w:hAnsi="Arial" w:cs="Arial"/>
          <w:sz w:val="24"/>
          <w:szCs w:val="24"/>
        </w:rPr>
        <w:t>, S. (2020) ‘SWOT-AHP-TOWS Analysis for Sustainable Ecotourism Development in the Best Area in Lorestan Province, Iran’, Social Indicators Research, 152(1), pp. 289–315. Available at: https://doi.org/10.1007/s11205-020-02438-0.</w:t>
      </w:r>
    </w:p>
    <w:p w14:paraId="5A9D792E"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lastRenderedPageBreak/>
        <w:t>Atkin, B. and Brooks, A. (2021) ‘Total facility management’. Available at: https://books.google.com/books?hl=en&amp;lr=&amp;id=09QnEAAAQBAJ&amp;oi=fnd&amp;pg=PR11&amp;dq=Change+management&amp;ots=sHTlKeblbR&amp;sig=IYoVOki21niASamg5xW-KLJFNoQ (Accessed: 16 May 2024).</w:t>
      </w:r>
    </w:p>
    <w:p w14:paraId="5A9D792F"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Benzaghta</w:t>
      </w:r>
      <w:proofErr w:type="spellEnd"/>
      <w:r w:rsidRPr="00244BD7">
        <w:rPr>
          <w:rFonts w:ascii="Arial" w:hAnsi="Arial" w:cs="Arial"/>
          <w:sz w:val="24"/>
          <w:szCs w:val="24"/>
        </w:rPr>
        <w:t>, M.A. et al. (2021) ‘SWOT analysis applications: An integrative literature review’, Journal of Global Business Insights, 6(1), pp. 54–72.</w:t>
      </w:r>
    </w:p>
    <w:p w14:paraId="5A9D7930"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Boitrelle</w:t>
      </w:r>
      <w:proofErr w:type="spellEnd"/>
      <w:r w:rsidRPr="00244BD7">
        <w:rPr>
          <w:rFonts w:ascii="Arial" w:hAnsi="Arial" w:cs="Arial"/>
          <w:sz w:val="24"/>
          <w:szCs w:val="24"/>
        </w:rPr>
        <w:t>, F. et al. (2021) ‘The sixth edition of the WHO manual for human semen analysis: a critical review and SWOT analysis’, Life, 11(12), p. 1368.</w:t>
      </w:r>
    </w:p>
    <w:p w14:paraId="5A9D7931"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Bosch, E. et al. (2020) ‘ALWAYS ICSI? A SWOT analysis’, Journal of Assisted Reproduction and Genetics, 37(9), pp. 2081–2092. Available at: https://doi.org/10.1007/s10815-020-01836-0.</w:t>
      </w:r>
    </w:p>
    <w:p w14:paraId="5A9D7932"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Burke, W.W. (2023) Organization change: Theory and practice. Sage publications.</w:t>
      </w:r>
    </w:p>
    <w:p w14:paraId="5A9D7933"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Charles, I.I. and </w:t>
      </w:r>
      <w:proofErr w:type="spellStart"/>
      <w:r w:rsidRPr="00244BD7">
        <w:rPr>
          <w:rFonts w:ascii="Arial" w:hAnsi="Arial" w:cs="Arial"/>
          <w:sz w:val="24"/>
          <w:szCs w:val="24"/>
        </w:rPr>
        <w:t>Uford</w:t>
      </w:r>
      <w:proofErr w:type="spellEnd"/>
      <w:r w:rsidRPr="00244BD7">
        <w:rPr>
          <w:rFonts w:ascii="Arial" w:hAnsi="Arial" w:cs="Arial"/>
          <w:sz w:val="24"/>
          <w:szCs w:val="24"/>
        </w:rPr>
        <w:t>, I.C. (2023) ‘Comparative analysis and evaluation of business and financial performance of Amazon. Com: A three-year period critical review of exceptional success’, European Journal of Business, Economics and Accountancy, 11(2), pp. 69–92.</w:t>
      </w:r>
    </w:p>
    <w:p w14:paraId="5A9D7934"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Cox, J. (2021) ‘The higher education environment driving academic library strategy: A political, economic, </w:t>
      </w:r>
      <w:proofErr w:type="gramStart"/>
      <w:r w:rsidRPr="00244BD7">
        <w:rPr>
          <w:rFonts w:ascii="Arial" w:hAnsi="Arial" w:cs="Arial"/>
          <w:sz w:val="24"/>
          <w:szCs w:val="24"/>
        </w:rPr>
        <w:t>social</w:t>
      </w:r>
      <w:proofErr w:type="gramEnd"/>
      <w:r w:rsidRPr="00244BD7">
        <w:rPr>
          <w:rFonts w:ascii="Arial" w:hAnsi="Arial" w:cs="Arial"/>
          <w:sz w:val="24"/>
          <w:szCs w:val="24"/>
        </w:rPr>
        <w:t xml:space="preserve"> and technological (PEST) analysis’, The Journal of Academic Librarianship, 47(1), p. 102219.</w:t>
      </w:r>
    </w:p>
    <w:p w14:paraId="5A9D7935"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Datta, K. (2020) ‘Application of SWOT-TOWS Matrix and Analytical Hierarchy Process (AHP) in the Formulation of </w:t>
      </w:r>
      <w:proofErr w:type="spellStart"/>
      <w:r w:rsidRPr="00244BD7">
        <w:rPr>
          <w:rFonts w:ascii="Arial" w:hAnsi="Arial" w:cs="Arial"/>
          <w:sz w:val="24"/>
          <w:szCs w:val="24"/>
        </w:rPr>
        <w:t>Geoconservation</w:t>
      </w:r>
      <w:proofErr w:type="spellEnd"/>
      <w:r w:rsidRPr="00244BD7">
        <w:rPr>
          <w:rFonts w:ascii="Arial" w:hAnsi="Arial" w:cs="Arial"/>
          <w:sz w:val="24"/>
          <w:szCs w:val="24"/>
        </w:rPr>
        <w:t xml:space="preserve"> and </w:t>
      </w:r>
      <w:proofErr w:type="spellStart"/>
      <w:r w:rsidRPr="00244BD7">
        <w:rPr>
          <w:rFonts w:ascii="Arial" w:hAnsi="Arial" w:cs="Arial"/>
          <w:sz w:val="24"/>
          <w:szCs w:val="24"/>
        </w:rPr>
        <w:t>Geotourism</w:t>
      </w:r>
      <w:proofErr w:type="spellEnd"/>
      <w:r w:rsidRPr="00244BD7">
        <w:rPr>
          <w:rFonts w:ascii="Arial" w:hAnsi="Arial" w:cs="Arial"/>
          <w:sz w:val="24"/>
          <w:szCs w:val="24"/>
        </w:rPr>
        <w:t xml:space="preserve"> Development Strategies for Mama </w:t>
      </w:r>
      <w:proofErr w:type="spellStart"/>
      <w:r w:rsidRPr="00244BD7">
        <w:rPr>
          <w:rFonts w:ascii="Arial" w:hAnsi="Arial" w:cs="Arial"/>
          <w:sz w:val="24"/>
          <w:szCs w:val="24"/>
        </w:rPr>
        <w:t>Bhagne</w:t>
      </w:r>
      <w:proofErr w:type="spellEnd"/>
      <w:r w:rsidRPr="00244BD7">
        <w:rPr>
          <w:rFonts w:ascii="Arial" w:hAnsi="Arial" w:cs="Arial"/>
          <w:sz w:val="24"/>
          <w:szCs w:val="24"/>
        </w:rPr>
        <w:t xml:space="preserve"> Pahar: </w:t>
      </w:r>
      <w:proofErr w:type="gramStart"/>
      <w:r w:rsidRPr="00244BD7">
        <w:rPr>
          <w:rFonts w:ascii="Arial" w:hAnsi="Arial" w:cs="Arial"/>
          <w:sz w:val="24"/>
          <w:szCs w:val="24"/>
        </w:rPr>
        <w:t>an</w:t>
      </w:r>
      <w:proofErr w:type="gramEnd"/>
      <w:r w:rsidRPr="00244BD7">
        <w:rPr>
          <w:rFonts w:ascii="Arial" w:hAnsi="Arial" w:cs="Arial"/>
          <w:sz w:val="24"/>
          <w:szCs w:val="24"/>
        </w:rPr>
        <w:t xml:space="preserve"> Important </w:t>
      </w:r>
      <w:proofErr w:type="spellStart"/>
      <w:r w:rsidRPr="00244BD7">
        <w:rPr>
          <w:rFonts w:ascii="Arial" w:hAnsi="Arial" w:cs="Arial"/>
          <w:sz w:val="24"/>
          <w:szCs w:val="24"/>
        </w:rPr>
        <w:t>Geomorphosite</w:t>
      </w:r>
      <w:proofErr w:type="spellEnd"/>
      <w:r w:rsidRPr="00244BD7">
        <w:rPr>
          <w:rFonts w:ascii="Arial" w:hAnsi="Arial" w:cs="Arial"/>
          <w:sz w:val="24"/>
          <w:szCs w:val="24"/>
        </w:rPr>
        <w:t xml:space="preserve"> in West Bengal, India’, </w:t>
      </w:r>
      <w:proofErr w:type="spellStart"/>
      <w:r w:rsidRPr="00244BD7">
        <w:rPr>
          <w:rFonts w:ascii="Arial" w:hAnsi="Arial" w:cs="Arial"/>
          <w:sz w:val="24"/>
          <w:szCs w:val="24"/>
        </w:rPr>
        <w:t>Geoheritage</w:t>
      </w:r>
      <w:proofErr w:type="spellEnd"/>
      <w:r w:rsidRPr="00244BD7">
        <w:rPr>
          <w:rFonts w:ascii="Arial" w:hAnsi="Arial" w:cs="Arial"/>
          <w:sz w:val="24"/>
          <w:szCs w:val="24"/>
        </w:rPr>
        <w:t>, 12(2), p. 45. Available at: https://doi.org/10.1007/s12371-020-00467-2.</w:t>
      </w:r>
    </w:p>
    <w:p w14:paraId="5A9D7936"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De Frenne, P. et al. (2021) ‘Forest microclimates and climate change: Importance, drivers and future research agenda’, Global Change Biology, 27(11), pp. 2279–2297. Available at: https://doi.org/10.1111/gcb.15569.</w:t>
      </w:r>
    </w:p>
    <w:p w14:paraId="5A9D7937"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Debnath, R. et al. (2021) ‘Political, economic, social, technological, </w:t>
      </w:r>
      <w:proofErr w:type="gramStart"/>
      <w:r w:rsidRPr="00244BD7">
        <w:rPr>
          <w:rFonts w:ascii="Arial" w:hAnsi="Arial" w:cs="Arial"/>
          <w:sz w:val="24"/>
          <w:szCs w:val="24"/>
        </w:rPr>
        <w:t>legal</w:t>
      </w:r>
      <w:proofErr w:type="gramEnd"/>
      <w:r w:rsidRPr="00244BD7">
        <w:rPr>
          <w:rFonts w:ascii="Arial" w:hAnsi="Arial" w:cs="Arial"/>
          <w:sz w:val="24"/>
          <w:szCs w:val="24"/>
        </w:rPr>
        <w:t xml:space="preserve"> and environmental dimensions of electric vehicle adoption in the United States: A social-media interaction analysis’, Renewable and Sustainable Energy Reviews, 152, p. 111707.</w:t>
      </w:r>
    </w:p>
    <w:p w14:paraId="5A9D7938"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lastRenderedPageBreak/>
        <w:t>Demirtas, O. et al. (2021) ‘Which renewable energy consumption is more efficient by fuzzy EDAS method based on PESTLE dimensions?’, Environmental Science and Pollution Research, 28(27), pp. 36274–36287. Available at: https://doi.org/10.1007/s11356-021-13310-0.</w:t>
      </w:r>
    </w:p>
    <w:p w14:paraId="5A9D7939"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Deszca</w:t>
      </w:r>
      <w:proofErr w:type="spellEnd"/>
      <w:r w:rsidRPr="00244BD7">
        <w:rPr>
          <w:rFonts w:ascii="Arial" w:hAnsi="Arial" w:cs="Arial"/>
          <w:sz w:val="24"/>
          <w:szCs w:val="24"/>
        </w:rPr>
        <w:t>, G. et al. (2024) Organizational change: An action-oriented toolkit. Sage Publications.</w:t>
      </w:r>
    </w:p>
    <w:p w14:paraId="5A9D793A"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Do </w:t>
      </w:r>
      <w:proofErr w:type="spellStart"/>
      <w:r w:rsidRPr="00244BD7">
        <w:rPr>
          <w:rFonts w:ascii="Arial" w:hAnsi="Arial" w:cs="Arial"/>
          <w:sz w:val="24"/>
          <w:szCs w:val="24"/>
        </w:rPr>
        <w:t>Thi</w:t>
      </w:r>
      <w:proofErr w:type="spellEnd"/>
      <w:r w:rsidRPr="00244BD7">
        <w:rPr>
          <w:rFonts w:ascii="Arial" w:hAnsi="Arial" w:cs="Arial"/>
          <w:sz w:val="24"/>
          <w:szCs w:val="24"/>
        </w:rPr>
        <w:t>, H.T. et al. (2021) ‘Comparison of desalination technologies using renewable energy sources with life cycle, PESTLE, and multi-criteria decision analyses’, Water, 13(21), p. 3023.</w:t>
      </w:r>
    </w:p>
    <w:p w14:paraId="5A9D793B"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Dong, S. et al. (2020) ‘Enhancing sustainability of grassland ecosystems through ecological restoration and grazing management in an era of climate change on Qinghai-Tibetan Plateau’, Agriculture, Ecosystems &amp; Environment, 287, p. 106684.</w:t>
      </w:r>
    </w:p>
    <w:p w14:paraId="5A9D793C"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Ebi</w:t>
      </w:r>
      <w:proofErr w:type="spellEnd"/>
      <w:r w:rsidRPr="00244BD7">
        <w:rPr>
          <w:rFonts w:ascii="Arial" w:hAnsi="Arial" w:cs="Arial"/>
          <w:sz w:val="24"/>
          <w:szCs w:val="24"/>
        </w:rPr>
        <w:t>, K.L. et al. (2021) ‘Extreme Weather and Climate Change: Population Health and Health System Implications’, Annual Review of Public Health, 42(1), pp. 293–315. Available at: https://doi.org/10.1146/annurev-publhealth-012420-105026.</w:t>
      </w:r>
    </w:p>
    <w:p w14:paraId="5A9D793D"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Farrokhnia</w:t>
      </w:r>
      <w:proofErr w:type="spellEnd"/>
      <w:r w:rsidRPr="00244BD7">
        <w:rPr>
          <w:rFonts w:ascii="Arial" w:hAnsi="Arial" w:cs="Arial"/>
          <w:sz w:val="24"/>
          <w:szCs w:val="24"/>
        </w:rPr>
        <w:t>, M. et al. (2024) ‘A SWOT analysis of ChatGPT: Implications for educational practice and research’, Innovations in Education and Teaching International, 61(3), pp. 460–474. Available at: https://doi.org/10.1080/14703297.2023.2195846.</w:t>
      </w:r>
    </w:p>
    <w:p w14:paraId="5A9D793E"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Febrianty</w:t>
      </w:r>
      <w:proofErr w:type="spellEnd"/>
      <w:r w:rsidRPr="00244BD7">
        <w:rPr>
          <w:rFonts w:ascii="Arial" w:hAnsi="Arial" w:cs="Arial"/>
          <w:sz w:val="24"/>
          <w:szCs w:val="24"/>
        </w:rPr>
        <w:t xml:space="preserve">, F. et al. (2022) ‘Strategic Planning </w:t>
      </w:r>
      <w:proofErr w:type="gramStart"/>
      <w:r w:rsidRPr="00244BD7">
        <w:rPr>
          <w:rFonts w:ascii="Arial" w:hAnsi="Arial" w:cs="Arial"/>
          <w:sz w:val="24"/>
          <w:szCs w:val="24"/>
        </w:rPr>
        <w:t>Of</w:t>
      </w:r>
      <w:proofErr w:type="gramEnd"/>
      <w:r w:rsidRPr="00244BD7">
        <w:rPr>
          <w:rFonts w:ascii="Arial" w:hAnsi="Arial" w:cs="Arial"/>
          <w:sz w:val="24"/>
          <w:szCs w:val="24"/>
        </w:rPr>
        <w:t xml:space="preserve"> Information Systems and Implementation of Marketplace Integrated Business Startup (</w:t>
      </w:r>
      <w:proofErr w:type="spellStart"/>
      <w:r w:rsidRPr="00244BD7">
        <w:rPr>
          <w:rFonts w:ascii="Arial" w:hAnsi="Arial" w:cs="Arial"/>
          <w:sz w:val="24"/>
          <w:szCs w:val="24"/>
        </w:rPr>
        <w:t>Ibs</w:t>
      </w:r>
      <w:proofErr w:type="spellEnd"/>
      <w:r w:rsidRPr="00244BD7">
        <w:rPr>
          <w:rFonts w:ascii="Arial" w:hAnsi="Arial" w:cs="Arial"/>
          <w:sz w:val="24"/>
          <w:szCs w:val="24"/>
        </w:rPr>
        <w:t xml:space="preserve">) Systems in South Sumatra’, Res </w:t>
      </w:r>
      <w:proofErr w:type="spellStart"/>
      <w:r w:rsidRPr="00244BD7">
        <w:rPr>
          <w:rFonts w:ascii="Arial" w:hAnsi="Arial" w:cs="Arial"/>
          <w:sz w:val="24"/>
          <w:szCs w:val="24"/>
        </w:rPr>
        <w:t>Militaris</w:t>
      </w:r>
      <w:proofErr w:type="spellEnd"/>
      <w:r w:rsidRPr="00244BD7">
        <w:rPr>
          <w:rFonts w:ascii="Arial" w:hAnsi="Arial" w:cs="Arial"/>
          <w:sz w:val="24"/>
          <w:szCs w:val="24"/>
        </w:rPr>
        <w:t>, 12(5), pp. 619–625.</w:t>
      </w:r>
    </w:p>
    <w:p w14:paraId="5A9D793F"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Fitriani, E. (2022) ‘TOWS analysis on </w:t>
      </w:r>
      <w:proofErr w:type="spellStart"/>
      <w:r w:rsidRPr="00244BD7">
        <w:rPr>
          <w:rFonts w:ascii="Arial" w:hAnsi="Arial" w:cs="Arial"/>
          <w:sz w:val="24"/>
          <w:szCs w:val="24"/>
        </w:rPr>
        <w:t>recissbar</w:t>
      </w:r>
      <w:proofErr w:type="spellEnd"/>
      <w:r w:rsidRPr="00244BD7">
        <w:rPr>
          <w:rFonts w:ascii="Arial" w:hAnsi="Arial" w:cs="Arial"/>
          <w:sz w:val="24"/>
          <w:szCs w:val="24"/>
        </w:rPr>
        <w:t xml:space="preserve"> to increase its competitiveness’, </w:t>
      </w:r>
      <w:proofErr w:type="spellStart"/>
      <w:r w:rsidRPr="00244BD7">
        <w:rPr>
          <w:rFonts w:ascii="Arial" w:hAnsi="Arial" w:cs="Arial"/>
          <w:sz w:val="24"/>
          <w:szCs w:val="24"/>
        </w:rPr>
        <w:t>Revista</w:t>
      </w:r>
      <w:proofErr w:type="spellEnd"/>
      <w:r w:rsidRPr="00244BD7">
        <w:rPr>
          <w:rFonts w:ascii="Arial" w:hAnsi="Arial" w:cs="Arial"/>
          <w:sz w:val="24"/>
          <w:szCs w:val="24"/>
        </w:rPr>
        <w:t xml:space="preserve"> CEA, 8(16), pp. e1876–e1876.</w:t>
      </w:r>
    </w:p>
    <w:p w14:paraId="5A9D7940"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Gfrerer, A. et al. (2021) ‘Ready or Not: Managers’ and Employees’ Different Perceptions of Digital Readiness’, California Management Review, 63(2), pp. 23–48. Available at: https://doi.org/10.1177/0008125620977487.</w:t>
      </w:r>
    </w:p>
    <w:p w14:paraId="5A9D7941"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Griffin, R.W., Phillips, J.M. and Gully, S.M. (2020) Organizational </w:t>
      </w:r>
      <w:proofErr w:type="spellStart"/>
      <w:r w:rsidRPr="00244BD7">
        <w:rPr>
          <w:rFonts w:ascii="Arial" w:hAnsi="Arial" w:cs="Arial"/>
          <w:sz w:val="24"/>
          <w:szCs w:val="24"/>
        </w:rPr>
        <w:t>behavior</w:t>
      </w:r>
      <w:proofErr w:type="spellEnd"/>
      <w:r w:rsidRPr="00244BD7">
        <w:rPr>
          <w:rFonts w:ascii="Arial" w:hAnsi="Arial" w:cs="Arial"/>
          <w:sz w:val="24"/>
          <w:szCs w:val="24"/>
        </w:rPr>
        <w:t xml:space="preserve">: Managing people and organizations. CENGAGE learning. Available at: </w:t>
      </w:r>
      <w:r w:rsidRPr="00244BD7">
        <w:rPr>
          <w:rFonts w:ascii="Arial" w:hAnsi="Arial" w:cs="Arial"/>
          <w:sz w:val="24"/>
          <w:szCs w:val="24"/>
        </w:rPr>
        <w:lastRenderedPageBreak/>
        <w:t>https://thuvienso.hoasen.edu.vn/handle/123456789/11937 (Accessed: 16 May 2024).</w:t>
      </w:r>
    </w:p>
    <w:p w14:paraId="5A9D7942"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Halofsky</w:t>
      </w:r>
      <w:proofErr w:type="spellEnd"/>
      <w:r w:rsidRPr="00244BD7">
        <w:rPr>
          <w:rFonts w:ascii="Arial" w:hAnsi="Arial" w:cs="Arial"/>
          <w:sz w:val="24"/>
          <w:szCs w:val="24"/>
        </w:rPr>
        <w:t>, J.E., Peterson, D.L. and Harvey, B.J. (2020) ‘Changing wildfire, changing forests: the effects of climate change on fire regimes and vegetation in the Pacific Northwest, USA’, Fire Ecology, 16(1), p. 4. Available at: https://doi.org/10.1186/s42408-019-0062-8.</w:t>
      </w:r>
    </w:p>
    <w:p w14:paraId="5A9D7943"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Hanelt, A. et al. (2021) ‘A Systematic Review of the Literature on Digital Transformation: Insights and Implications for Strategy and Organizational Change’, Journal of Management Studies, 58(5), pp. 1159–1197. Available at: https://doi.org/10.1111/joms.12639.</w:t>
      </w:r>
    </w:p>
    <w:p w14:paraId="5A9D7944"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Hanis, R. and Yusuf, M. (2022) ‘Applying A Swot Analysis Approach </w:t>
      </w:r>
      <w:proofErr w:type="gramStart"/>
      <w:r w:rsidRPr="00244BD7">
        <w:rPr>
          <w:rFonts w:ascii="Arial" w:hAnsi="Arial" w:cs="Arial"/>
          <w:sz w:val="24"/>
          <w:szCs w:val="24"/>
        </w:rPr>
        <w:t>To</w:t>
      </w:r>
      <w:proofErr w:type="gramEnd"/>
      <w:r w:rsidRPr="00244BD7">
        <w:rPr>
          <w:rFonts w:ascii="Arial" w:hAnsi="Arial" w:cs="Arial"/>
          <w:sz w:val="24"/>
          <w:szCs w:val="24"/>
        </w:rPr>
        <w:t xml:space="preserve"> A Sharia Marketing Perspective At </w:t>
      </w:r>
      <w:proofErr w:type="spellStart"/>
      <w:r w:rsidRPr="00244BD7">
        <w:rPr>
          <w:rFonts w:ascii="Arial" w:hAnsi="Arial" w:cs="Arial"/>
          <w:sz w:val="24"/>
          <w:szCs w:val="24"/>
        </w:rPr>
        <w:t>Alunicorn</w:t>
      </w:r>
      <w:proofErr w:type="spellEnd"/>
      <w:r w:rsidRPr="00244BD7">
        <w:rPr>
          <w:rFonts w:ascii="Arial" w:hAnsi="Arial" w:cs="Arial"/>
          <w:sz w:val="24"/>
          <w:szCs w:val="24"/>
        </w:rPr>
        <w:t xml:space="preserve"> Shops In Bandung’, in Proceeding of The International Conference on Economics and Business, pp. 653–670. Available at: https://ijconf.org/index.php/iceb/article/view/230 (Accessed: 16 May 2024).</w:t>
      </w:r>
    </w:p>
    <w:p w14:paraId="5A9D7945"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Hasan, S.S. et al. (2020) ‘Impact of land use change on ecosystem services: A review’, Environmental Development, 34, p. 100527.</w:t>
      </w:r>
    </w:p>
    <w:p w14:paraId="5A9D7946"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Hurtt, G.C. et al. (2020) ‘Harmonization of global land use change and management for the period 850–2100 (LUH2) for CMIP6’, Geoscientific Model Development, 13(11), pp. 5425–5464.</w:t>
      </w:r>
    </w:p>
    <w:p w14:paraId="5A9D7947"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Jones, M.W. et al. (2020) ‘Climate Change Increases the Risk of Wildfires: January 2020’, </w:t>
      </w:r>
      <w:proofErr w:type="spellStart"/>
      <w:r w:rsidRPr="00244BD7">
        <w:rPr>
          <w:rFonts w:ascii="Arial" w:hAnsi="Arial" w:cs="Arial"/>
          <w:sz w:val="24"/>
          <w:szCs w:val="24"/>
        </w:rPr>
        <w:t>ScienceBrief</w:t>
      </w:r>
      <w:proofErr w:type="spellEnd"/>
      <w:r w:rsidRPr="00244BD7">
        <w:rPr>
          <w:rFonts w:ascii="Arial" w:hAnsi="Arial" w:cs="Arial"/>
          <w:sz w:val="24"/>
          <w:szCs w:val="24"/>
        </w:rPr>
        <w:t xml:space="preserve"> [Preprint]. Available at: https://ueaeprints.uea.ac.uk/id/eprint/77982/ (Accessed: 16 May 2024).</w:t>
      </w:r>
    </w:p>
    <w:p w14:paraId="5A9D7948"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Kalogiannidis</w:t>
      </w:r>
      <w:proofErr w:type="spellEnd"/>
      <w:r w:rsidRPr="00244BD7">
        <w:rPr>
          <w:rFonts w:ascii="Arial" w:hAnsi="Arial" w:cs="Arial"/>
          <w:sz w:val="24"/>
          <w:szCs w:val="24"/>
        </w:rPr>
        <w:t>, S. (2021) ‘Impact of employee motivation on organizational performance. A scoping review paper for public sector’, The Strategic Journal of Business &amp; Change Management, 8 (3), 984, 996(3). Available at: https://www.academia.edu/download/70441493/16_IMPACT_OF_EMPLOYEE_MOTIVATION_ON_ORGANIZATIONAL_PERFORMANCE._A_SCOPING_REVIEW_PAPER_.pdf (Accessed: 16 May 2024).</w:t>
      </w:r>
    </w:p>
    <w:p w14:paraId="5A9D7949"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Khan, H.M. et al. (2021) ‘Production and utilization aspects of waste cooking </w:t>
      </w:r>
      <w:proofErr w:type="gramStart"/>
      <w:r w:rsidRPr="00244BD7">
        <w:rPr>
          <w:rFonts w:ascii="Arial" w:hAnsi="Arial" w:cs="Arial"/>
          <w:sz w:val="24"/>
          <w:szCs w:val="24"/>
        </w:rPr>
        <w:t>oil based</w:t>
      </w:r>
      <w:proofErr w:type="gramEnd"/>
      <w:r w:rsidRPr="00244BD7">
        <w:rPr>
          <w:rFonts w:ascii="Arial" w:hAnsi="Arial" w:cs="Arial"/>
          <w:sz w:val="24"/>
          <w:szCs w:val="24"/>
        </w:rPr>
        <w:t xml:space="preserve"> biodiesel in Pakistan’, Alexandria Engineering Journal, 60(6), pp. 5831–5849.</w:t>
      </w:r>
    </w:p>
    <w:p w14:paraId="5A9D794A"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lastRenderedPageBreak/>
        <w:t>Kinicki, A. and Williams, B.K. (2020) Management: A practical introduction. McGraw-Hill. Available at: https://thuvienso.hoasen.edu.vn/handle/123456789/12764 (Accessed: 16 May 2024).</w:t>
      </w:r>
    </w:p>
    <w:p w14:paraId="5A9D794B"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Kobrin, S.J. (2022) Managing political risk assessment: Strategic response to environmental change. </w:t>
      </w:r>
      <w:proofErr w:type="spellStart"/>
      <w:r w:rsidRPr="00244BD7">
        <w:rPr>
          <w:rFonts w:ascii="Arial" w:hAnsi="Arial" w:cs="Arial"/>
          <w:sz w:val="24"/>
          <w:szCs w:val="24"/>
        </w:rPr>
        <w:t>Univ</w:t>
      </w:r>
      <w:proofErr w:type="spellEnd"/>
      <w:r w:rsidRPr="00244BD7">
        <w:rPr>
          <w:rFonts w:ascii="Arial" w:hAnsi="Arial" w:cs="Arial"/>
          <w:sz w:val="24"/>
          <w:szCs w:val="24"/>
        </w:rPr>
        <w:t xml:space="preserve"> of California Press. Available at: https://books.google.com/books?hl=en&amp;lr=&amp;id=kKxhEAAAQBAJ&amp;oi=fnd&amp;pg=PR11&amp;dq=Change+management&amp;ots=gvoY_-Ze0c&amp;sig=Nc03S5Q8r450JxP0RFRQgphjzco (Accessed: 16 May 2024).</w:t>
      </w:r>
    </w:p>
    <w:p w14:paraId="5A9D794C"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Kraus, S. et al. (2022) ‘Digital transformation in business and management research: An overview of the current status quo’, International journal of information management, 63, p. 102466.</w:t>
      </w:r>
    </w:p>
    <w:p w14:paraId="5A9D794D"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Li, X. et al. (2021) ‘Unmanned aerial vehicle for transmission line inspection: status, standardization, and perspectives’, Frontiers in Energy Research, 9, p. 713634.</w:t>
      </w:r>
    </w:p>
    <w:p w14:paraId="5A9D794E"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Liu, C. et al. (2020) ‘Phase change materials application in battery thermal management system: a review’, Materials, 13(20), p. 4622.</w:t>
      </w:r>
    </w:p>
    <w:p w14:paraId="5A9D794F"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Maity, R. et al. (2023) ‘</w:t>
      </w:r>
      <w:proofErr w:type="spellStart"/>
      <w:r w:rsidRPr="00244BD7">
        <w:rPr>
          <w:rFonts w:ascii="Arial" w:hAnsi="Arial" w:cs="Arial"/>
          <w:sz w:val="24"/>
          <w:szCs w:val="24"/>
        </w:rPr>
        <w:t>Agrivoltaic</w:t>
      </w:r>
      <w:proofErr w:type="spellEnd"/>
      <w:r w:rsidRPr="00244BD7">
        <w:rPr>
          <w:rFonts w:ascii="Arial" w:hAnsi="Arial" w:cs="Arial"/>
          <w:sz w:val="24"/>
          <w:szCs w:val="24"/>
        </w:rPr>
        <w:t>: A strategic assessment using SWOT and TOWS Matrix’, Energies, 16(8), p. 3313.</w:t>
      </w:r>
    </w:p>
    <w:p w14:paraId="5A9D7950"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Masson-Delmotte, V. et al. (2021) ‘Climate change 2021: the physical science basis’, Contribution of working group I to the sixth assessment report of the intergovernmental panel on climate change, 2(1), p. 2391.</w:t>
      </w:r>
    </w:p>
    <w:p w14:paraId="5A9D7951"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Mihailova, M. (2020) ‘The state of agriculture in Bulgaria-PESTLE analysis.’, Bulgarian Journal of Agricultural Science, 26(5). Available at: https://www.agrojournal.org/26/05-03.pdf (Accessed: 16 May 2024).</w:t>
      </w:r>
    </w:p>
    <w:p w14:paraId="5A9D7952"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Mishra, L., Gupta, T. and Shree, A. (2020) ‘Online teaching-learning in higher education during lockdown period of COVID-19 pandemic’, International journal of educational research open, 1, p. 100012.</w:t>
      </w:r>
    </w:p>
    <w:p w14:paraId="5A9D7953"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Naim, A. (2023) ‘Applications of marketing framework in business </w:t>
      </w:r>
      <w:proofErr w:type="gramStart"/>
      <w:r w:rsidRPr="00244BD7">
        <w:rPr>
          <w:rFonts w:ascii="Arial" w:hAnsi="Arial" w:cs="Arial"/>
          <w:sz w:val="24"/>
          <w:szCs w:val="24"/>
        </w:rPr>
        <w:t>practices’</w:t>
      </w:r>
      <w:proofErr w:type="gramEnd"/>
      <w:r w:rsidRPr="00244BD7">
        <w:rPr>
          <w:rFonts w:ascii="Arial" w:hAnsi="Arial" w:cs="Arial"/>
          <w:sz w:val="24"/>
          <w:szCs w:val="24"/>
        </w:rPr>
        <w:t>. Available at: https://dspace.umsida.ac.id/handle/123456789/12841 (Accessed: 16 May 2024).</w:t>
      </w:r>
    </w:p>
    <w:p w14:paraId="5A9D7954"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lastRenderedPageBreak/>
        <w:t>Njoh, A.J. (2021) ‘A systematic review of environmental determinants of renewable energy performance in Ethiopia: A PESTECH analysis’, Renewable and Sustainable Energy Reviews, 147, p. 111243.</w:t>
      </w:r>
    </w:p>
    <w:p w14:paraId="5A9D7955"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Palomares, I. et al. (2021) ‘A panoramic view and swot analysis of artificial intelligence for achieving the sustainable development goals by 2030: progress and prospects’, Applied Intelligence, 51(9), pp. 6497–6527. Available at: https://doi.org/10.1007/s10489-021-02264-y.</w:t>
      </w:r>
    </w:p>
    <w:p w14:paraId="5A9D7956"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Panpatte</w:t>
      </w:r>
      <w:proofErr w:type="spellEnd"/>
      <w:r w:rsidRPr="00244BD7">
        <w:rPr>
          <w:rFonts w:ascii="Arial" w:hAnsi="Arial" w:cs="Arial"/>
          <w:sz w:val="24"/>
          <w:szCs w:val="24"/>
        </w:rPr>
        <w:t>, S. and Ganeshkumar, C. (2021) ‘Artificial Intelligence in Agriculture Sector: Case Study of Blue River Technology’, in D. Goyal et al. (eds) Proceedings of the Second International Conference on Information Management and Machine Intelligence. Singapore: Springer Singapore (Lecture Notes in Networks and Systems), pp. 147–153. Available at: https://doi.org/10.1007/978-981-15-9689-6_17.</w:t>
      </w:r>
    </w:p>
    <w:p w14:paraId="5A9D7957"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Peng, J. et al. (2021) ‘Transformational Leadership and Employees’ Reactions to Organizational Change: Evidence </w:t>
      </w:r>
      <w:proofErr w:type="gramStart"/>
      <w:r w:rsidRPr="00244BD7">
        <w:rPr>
          <w:rFonts w:ascii="Arial" w:hAnsi="Arial" w:cs="Arial"/>
          <w:sz w:val="24"/>
          <w:szCs w:val="24"/>
        </w:rPr>
        <w:t>From</w:t>
      </w:r>
      <w:proofErr w:type="gramEnd"/>
      <w:r w:rsidRPr="00244BD7">
        <w:rPr>
          <w:rFonts w:ascii="Arial" w:hAnsi="Arial" w:cs="Arial"/>
          <w:sz w:val="24"/>
          <w:szCs w:val="24"/>
        </w:rPr>
        <w:t xml:space="preserve"> a Meta-Analysis’, The Journal of Applied </w:t>
      </w:r>
      <w:proofErr w:type="spellStart"/>
      <w:r w:rsidRPr="00244BD7">
        <w:rPr>
          <w:rFonts w:ascii="Arial" w:hAnsi="Arial" w:cs="Arial"/>
          <w:sz w:val="24"/>
          <w:szCs w:val="24"/>
        </w:rPr>
        <w:t>Behavioral</w:t>
      </w:r>
      <w:proofErr w:type="spellEnd"/>
      <w:r w:rsidRPr="00244BD7">
        <w:rPr>
          <w:rFonts w:ascii="Arial" w:hAnsi="Arial" w:cs="Arial"/>
          <w:sz w:val="24"/>
          <w:szCs w:val="24"/>
        </w:rPr>
        <w:t xml:space="preserve"> Science, 57(3), pp. 369–397. Available at: https://doi.org/10.1177/0021886320920366.</w:t>
      </w:r>
    </w:p>
    <w:p w14:paraId="5A9D7958"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Puyt</w:t>
      </w:r>
      <w:proofErr w:type="spellEnd"/>
      <w:r w:rsidRPr="00244BD7">
        <w:rPr>
          <w:rFonts w:ascii="Arial" w:hAnsi="Arial" w:cs="Arial"/>
          <w:sz w:val="24"/>
          <w:szCs w:val="24"/>
        </w:rPr>
        <w:t>, R. et al. (2020) ‘Origins of SWOT Analysis’, Academy of Management Proceedings, 2020(1), p. 17416. Available at: https://doi.org/10.5465/AMBPP.2020.132.</w:t>
      </w:r>
    </w:p>
    <w:p w14:paraId="5A9D7959"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Puyt</w:t>
      </w:r>
      <w:proofErr w:type="spellEnd"/>
      <w:r w:rsidRPr="00244BD7">
        <w:rPr>
          <w:rFonts w:ascii="Arial" w:hAnsi="Arial" w:cs="Arial"/>
          <w:sz w:val="24"/>
          <w:szCs w:val="24"/>
        </w:rPr>
        <w:t xml:space="preserve">, R.W., Lie, F.B. and </w:t>
      </w:r>
      <w:proofErr w:type="spellStart"/>
      <w:r w:rsidRPr="00244BD7">
        <w:rPr>
          <w:rFonts w:ascii="Arial" w:hAnsi="Arial" w:cs="Arial"/>
          <w:sz w:val="24"/>
          <w:szCs w:val="24"/>
        </w:rPr>
        <w:t>Wilderom</w:t>
      </w:r>
      <w:proofErr w:type="spellEnd"/>
      <w:r w:rsidRPr="00244BD7">
        <w:rPr>
          <w:rFonts w:ascii="Arial" w:hAnsi="Arial" w:cs="Arial"/>
          <w:sz w:val="24"/>
          <w:szCs w:val="24"/>
        </w:rPr>
        <w:t>, C.P. (2023) ‘The origins of SWOT analysis’, Long Range Planning, 56(3), p. 102304.</w:t>
      </w:r>
    </w:p>
    <w:p w14:paraId="5A9D795A"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Ratten</w:t>
      </w:r>
      <w:proofErr w:type="spellEnd"/>
      <w:r w:rsidRPr="00244BD7">
        <w:rPr>
          <w:rFonts w:ascii="Arial" w:hAnsi="Arial" w:cs="Arial"/>
          <w:sz w:val="24"/>
          <w:szCs w:val="24"/>
        </w:rPr>
        <w:t xml:space="preserve">, V. and </w:t>
      </w:r>
      <w:proofErr w:type="spellStart"/>
      <w:r w:rsidRPr="00244BD7">
        <w:rPr>
          <w:rFonts w:ascii="Arial" w:hAnsi="Arial" w:cs="Arial"/>
          <w:sz w:val="24"/>
          <w:szCs w:val="24"/>
        </w:rPr>
        <w:t>Usmanij</w:t>
      </w:r>
      <w:proofErr w:type="spellEnd"/>
      <w:r w:rsidRPr="00244BD7">
        <w:rPr>
          <w:rFonts w:ascii="Arial" w:hAnsi="Arial" w:cs="Arial"/>
          <w:sz w:val="24"/>
          <w:szCs w:val="24"/>
        </w:rPr>
        <w:t>, P. (2021) ‘Entrepreneurship education: Time for a change in research direction?’, The International Journal of Management Education, 19(1), p. 100367.</w:t>
      </w:r>
    </w:p>
    <w:p w14:paraId="5A9D795B"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Razmjoo</w:t>
      </w:r>
      <w:proofErr w:type="spellEnd"/>
      <w:r w:rsidRPr="00244BD7">
        <w:rPr>
          <w:rFonts w:ascii="Arial" w:hAnsi="Arial" w:cs="Arial"/>
          <w:sz w:val="24"/>
          <w:szCs w:val="24"/>
        </w:rPr>
        <w:t>, A. et al. (2022) ‘Development of smart energy systems for communities: Technologies, policies and applications’, Energy, 248, p. 123540.</w:t>
      </w:r>
    </w:p>
    <w:p w14:paraId="5A9D795C"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Rizki</w:t>
      </w:r>
      <w:proofErr w:type="spellEnd"/>
      <w:r w:rsidRPr="00244BD7">
        <w:rPr>
          <w:rFonts w:ascii="Arial" w:hAnsi="Arial" w:cs="Arial"/>
          <w:sz w:val="24"/>
          <w:szCs w:val="24"/>
        </w:rPr>
        <w:t xml:space="preserve">, M. et al. (2021) ‘Determining Marketing Strategy </w:t>
      </w:r>
      <w:proofErr w:type="gramStart"/>
      <w:r w:rsidRPr="00244BD7">
        <w:rPr>
          <w:rFonts w:ascii="Arial" w:hAnsi="Arial" w:cs="Arial"/>
          <w:sz w:val="24"/>
          <w:szCs w:val="24"/>
        </w:rPr>
        <w:t>At</w:t>
      </w:r>
      <w:proofErr w:type="gramEnd"/>
      <w:r w:rsidRPr="00244BD7">
        <w:rPr>
          <w:rFonts w:ascii="Arial" w:hAnsi="Arial" w:cs="Arial"/>
          <w:sz w:val="24"/>
          <w:szCs w:val="24"/>
        </w:rPr>
        <w:t xml:space="preserve"> LPP TVRI Riau Using SWOT Analysis Method’, Journal of Applied Engineering and Technological Science (JAETS), 3(1), pp. 10–18.</w:t>
      </w:r>
    </w:p>
    <w:p w14:paraId="5A9D795D"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lastRenderedPageBreak/>
        <w:t>Rocklöv</w:t>
      </w:r>
      <w:proofErr w:type="spellEnd"/>
      <w:r w:rsidRPr="00244BD7">
        <w:rPr>
          <w:rFonts w:ascii="Arial" w:hAnsi="Arial" w:cs="Arial"/>
          <w:sz w:val="24"/>
          <w:szCs w:val="24"/>
        </w:rPr>
        <w:t>, J. and Dubrow, R. (2020) ‘Climate change: an enduring challenge for vector-borne disease prevention and control’, Nature immunology, 21(5), pp. 479–483.</w:t>
      </w:r>
    </w:p>
    <w:p w14:paraId="5A9D795E"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Roy, M. (2021) ‘Tourism Industry in Bangladesh: An Assessment of Advanced SWOT Model and TOWS Matrix’, in A. Hassan (ed.) Tourism in Bangladesh: Investment and Development Perspectives. Singapore: Springer Nature Singapore, pp. 279–310. Available at: https://doi.org/10.1007/978-981-16-1858-1_18.</w:t>
      </w:r>
    </w:p>
    <w:p w14:paraId="5A9D795F"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Savari</w:t>
      </w:r>
      <w:proofErr w:type="spellEnd"/>
      <w:r w:rsidRPr="00244BD7">
        <w:rPr>
          <w:rFonts w:ascii="Arial" w:hAnsi="Arial" w:cs="Arial"/>
          <w:sz w:val="24"/>
          <w:szCs w:val="24"/>
        </w:rPr>
        <w:t xml:space="preserve">, M. and </w:t>
      </w:r>
      <w:proofErr w:type="spellStart"/>
      <w:r w:rsidRPr="00244BD7">
        <w:rPr>
          <w:rFonts w:ascii="Arial" w:hAnsi="Arial" w:cs="Arial"/>
          <w:sz w:val="24"/>
          <w:szCs w:val="24"/>
        </w:rPr>
        <w:t>Amghani</w:t>
      </w:r>
      <w:proofErr w:type="spellEnd"/>
      <w:r w:rsidRPr="00244BD7">
        <w:rPr>
          <w:rFonts w:ascii="Arial" w:hAnsi="Arial" w:cs="Arial"/>
          <w:sz w:val="24"/>
          <w:szCs w:val="24"/>
        </w:rPr>
        <w:t>, M.S. (2022) ‘SWOT-FAHP-TOWS analysis for adaptation strategies development among small-scale farmers in drought conditions’, International Journal of Disaster Risk Reduction, 67, p. 102695.</w:t>
      </w:r>
    </w:p>
    <w:p w14:paraId="5A9D7960"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Singh, J. et al. (2021) ‘Analysis of fractional model of guava for biological pest control with memory effect’, Journal of Advanced Research, 32, pp. 99–108.</w:t>
      </w:r>
    </w:p>
    <w:p w14:paraId="5A9D7961"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Skendžić</w:t>
      </w:r>
      <w:proofErr w:type="spellEnd"/>
      <w:r w:rsidRPr="00244BD7">
        <w:rPr>
          <w:rFonts w:ascii="Arial" w:hAnsi="Arial" w:cs="Arial"/>
          <w:sz w:val="24"/>
          <w:szCs w:val="24"/>
        </w:rPr>
        <w:t>, S. et al. (2021) ‘The impact of climate change on agricultural insect pests’, Insects, 12(5), p. 440.</w:t>
      </w:r>
    </w:p>
    <w:p w14:paraId="5A9D7962"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Sokal, L., Trudel, L.E. and Babb, J. (2020) ‘Canadian teachers’ attitudes toward change, efficacy, and burnout during the COVID-19 pandemic’, International Journal of Educational Research Open, 1, p. 100016.</w:t>
      </w:r>
    </w:p>
    <w:p w14:paraId="5A9D7963"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Thomas, P.J.M. et al. (2021) ‘A PESTLE analysis of solar home systems in refugee camps in Rwanda’, Renewable and Sustainable Energy Reviews, 143, p. 110872.</w:t>
      </w:r>
    </w:p>
    <w:p w14:paraId="5A9D7964"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Tidd, </w:t>
      </w:r>
      <w:proofErr w:type="gramStart"/>
      <w:r w:rsidRPr="00244BD7">
        <w:rPr>
          <w:rFonts w:ascii="Arial" w:hAnsi="Arial" w:cs="Arial"/>
          <w:sz w:val="24"/>
          <w:szCs w:val="24"/>
        </w:rPr>
        <w:t>J.</w:t>
      </w:r>
      <w:proofErr w:type="gramEnd"/>
      <w:r w:rsidRPr="00244BD7">
        <w:rPr>
          <w:rFonts w:ascii="Arial" w:hAnsi="Arial" w:cs="Arial"/>
          <w:sz w:val="24"/>
          <w:szCs w:val="24"/>
        </w:rPr>
        <w:t xml:space="preserve"> and Bessant, J.R. (2020) Managing innovation: integrating technological, market and organizational change. John Wiley &amp; Sons. Available at: https://books.google.com/books?hl=en&amp;lr=&amp;id=5w4LEAAAQBAJ&amp;oi=fnd&amp;pg=PA1&amp;dq=Change+management&amp;ots=5KMK0GO456&amp;sig=iUqm0rT9p8Aimw8-HBSVQ5oTv4k (Accessed: 16 May 2024).</w:t>
      </w:r>
    </w:p>
    <w:p w14:paraId="5A9D7965" w14:textId="77777777" w:rsidR="00286124" w:rsidRPr="00244BD7" w:rsidRDefault="00286124" w:rsidP="00286124">
      <w:pPr>
        <w:spacing w:after="0" w:line="360" w:lineRule="auto"/>
        <w:ind w:left="720" w:hanging="360"/>
        <w:jc w:val="both"/>
        <w:rPr>
          <w:rFonts w:ascii="Arial" w:hAnsi="Arial" w:cs="Arial"/>
          <w:sz w:val="24"/>
          <w:szCs w:val="24"/>
        </w:rPr>
      </w:pPr>
      <w:proofErr w:type="spellStart"/>
      <w:r w:rsidRPr="00244BD7">
        <w:rPr>
          <w:rFonts w:ascii="Arial" w:hAnsi="Arial" w:cs="Arial"/>
          <w:sz w:val="24"/>
          <w:szCs w:val="24"/>
        </w:rPr>
        <w:t>Vardopoulos</w:t>
      </w:r>
      <w:proofErr w:type="spellEnd"/>
      <w:r w:rsidRPr="00244BD7">
        <w:rPr>
          <w:rFonts w:ascii="Arial" w:hAnsi="Arial" w:cs="Arial"/>
          <w:sz w:val="24"/>
          <w:szCs w:val="24"/>
        </w:rPr>
        <w:t>, I. et al. (2021) ‘An integrated SWOT-PESTLE-AHP model assessing sustainability in adaptive reuse projects’, Applied Sciences, 11(15), p. 7134.</w:t>
      </w:r>
    </w:p>
    <w:p w14:paraId="5A9D7966"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Weiskopf, S.R. et al. (2020) ‘Climate change effects on biodiversity, ecosystems, ecosystem services, and natural resource management in the United States’, Science of the Total Environment, 733, p. 137782.</w:t>
      </w:r>
    </w:p>
    <w:p w14:paraId="5A9D7967"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 xml:space="preserve">Yamagishi, K. et al. (2021) ‘Strategic marketing initiatives for small co-operative enterprises generated from SWOT-TOWS analysis and evaluated with </w:t>
      </w:r>
      <w:r w:rsidRPr="00244BD7">
        <w:rPr>
          <w:rFonts w:ascii="Arial" w:hAnsi="Arial" w:cs="Arial"/>
          <w:sz w:val="24"/>
          <w:szCs w:val="24"/>
        </w:rPr>
        <w:lastRenderedPageBreak/>
        <w:t>PROMETHEE-GAIA’, Journal of Co-operative Organization and Management, 9(2), p. 100149.</w:t>
      </w:r>
    </w:p>
    <w:p w14:paraId="5A9D7968"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Yang, B. et al. (2021) ‘Energy cooperation between Myanmar and China under One Belt One Road: Current state, challenges and perspectives’, Energy, 215, p. 119130.</w:t>
      </w:r>
    </w:p>
    <w:p w14:paraId="5A9D7969" w14:textId="77777777" w:rsidR="00286124" w:rsidRPr="00244BD7" w:rsidRDefault="00286124" w:rsidP="00286124">
      <w:pPr>
        <w:spacing w:after="0" w:line="360" w:lineRule="auto"/>
        <w:ind w:left="720" w:hanging="360"/>
        <w:jc w:val="both"/>
        <w:rPr>
          <w:rFonts w:ascii="Arial" w:hAnsi="Arial" w:cs="Arial"/>
          <w:sz w:val="24"/>
          <w:szCs w:val="24"/>
        </w:rPr>
      </w:pPr>
      <w:r w:rsidRPr="00244BD7">
        <w:rPr>
          <w:rFonts w:ascii="Arial" w:hAnsi="Arial" w:cs="Arial"/>
          <w:sz w:val="24"/>
          <w:szCs w:val="24"/>
        </w:rPr>
        <w:t>Yusuf, M., Saiyed, R. and Sahala, J. (2022) ‘Swot Analysis in Making Relationship Marketing Program’, in Proceeding of The International Conference on Economics and Business, pp. 573–588. Available at: https://ijconf.org/index.php/iceb/article/view/221 (Accessed: 16 May 2024).</w:t>
      </w:r>
    </w:p>
    <w:p w14:paraId="5A9D796A" w14:textId="77777777" w:rsidR="00286124" w:rsidRPr="00244BD7" w:rsidRDefault="00286124" w:rsidP="00286124">
      <w:pPr>
        <w:spacing w:after="0" w:line="360" w:lineRule="auto"/>
        <w:jc w:val="both"/>
        <w:rPr>
          <w:rFonts w:ascii="Arial" w:hAnsi="Arial" w:cs="Arial"/>
          <w:sz w:val="24"/>
          <w:szCs w:val="24"/>
        </w:rPr>
      </w:pPr>
    </w:p>
    <w:p w14:paraId="5A9D796B" w14:textId="77777777" w:rsidR="00286124" w:rsidRPr="00244BD7" w:rsidRDefault="00286124" w:rsidP="00286124">
      <w:pPr>
        <w:spacing w:after="0" w:line="360" w:lineRule="auto"/>
        <w:jc w:val="both"/>
        <w:rPr>
          <w:rFonts w:ascii="Arial" w:hAnsi="Arial" w:cs="Arial"/>
          <w:sz w:val="24"/>
          <w:szCs w:val="24"/>
        </w:rPr>
      </w:pPr>
    </w:p>
    <w:p w14:paraId="5A9D796C" w14:textId="77777777" w:rsidR="00286124" w:rsidRPr="00244BD7" w:rsidRDefault="00286124" w:rsidP="00286124">
      <w:pPr>
        <w:spacing w:after="0" w:line="360" w:lineRule="auto"/>
        <w:jc w:val="both"/>
        <w:rPr>
          <w:rFonts w:ascii="Arial" w:hAnsi="Arial" w:cs="Arial"/>
          <w:sz w:val="24"/>
          <w:szCs w:val="24"/>
        </w:rPr>
      </w:pPr>
      <w:r w:rsidRPr="00244BD7">
        <w:rPr>
          <w:rFonts w:ascii="Arial" w:hAnsi="Arial" w:cs="Arial"/>
          <w:sz w:val="24"/>
          <w:szCs w:val="24"/>
        </w:rPr>
        <w:t xml:space="preserve"> </w:t>
      </w:r>
    </w:p>
    <w:p w14:paraId="5A9D796D" w14:textId="77777777" w:rsidR="00A01A50" w:rsidRDefault="00A01A50"/>
    <w:sectPr w:rsidR="00D50B0E" w:rsidSect="00202F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2NTe2MLCwNDE3MLRQ0lEKTi0uzszPAykwrAUAT04H5iwAAAA="/>
  </w:docVars>
  <w:rsids>
    <w:rsidRoot w:val="00286124"/>
    <w:rsid w:val="000A1DFF"/>
    <w:rsid w:val="001E57A0"/>
    <w:rsid w:val="00202F6B"/>
    <w:rsid w:val="00286124"/>
    <w:rsid w:val="004013BE"/>
    <w:rsid w:val="00437F6B"/>
    <w:rsid w:val="004B38AC"/>
    <w:rsid w:val="0056608D"/>
    <w:rsid w:val="005800E0"/>
    <w:rsid w:val="005D48CF"/>
    <w:rsid w:val="006324B8"/>
    <w:rsid w:val="006E3076"/>
    <w:rsid w:val="006E5F5B"/>
    <w:rsid w:val="008F3A8A"/>
    <w:rsid w:val="00933DA5"/>
    <w:rsid w:val="0097743D"/>
    <w:rsid w:val="00A01A50"/>
    <w:rsid w:val="00E31F0C"/>
    <w:rsid w:val="00E83D3A"/>
    <w:rsid w:val="00E85642"/>
    <w:rsid w:val="00F11667"/>
    <w:rsid w:val="00F158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D782C"/>
  <w15:chartTrackingRefBased/>
  <w15:docId w15:val="{8DA5C9E7-F58B-47D0-9D6E-81A2174F8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124"/>
  </w:style>
  <w:style w:type="paragraph" w:styleId="Heading1">
    <w:name w:val="heading 1"/>
    <w:basedOn w:val="Normal"/>
    <w:next w:val="Normal"/>
    <w:link w:val="Heading1Char"/>
    <w:autoRedefine/>
    <w:uiPriority w:val="9"/>
    <w:qFormat/>
    <w:rsid w:val="006E3076"/>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6E3076"/>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6E3076"/>
    <w:pPr>
      <w:keepNext/>
      <w:keepLines/>
      <w:spacing w:before="40" w:after="0"/>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link w:val="Heading4Char"/>
    <w:autoRedefine/>
    <w:uiPriority w:val="9"/>
    <w:unhideWhenUsed/>
    <w:qFormat/>
    <w:rsid w:val="001E57A0"/>
    <w:pPr>
      <w:keepNext/>
      <w:keepLines/>
      <w:spacing w:before="40" w:after="0"/>
      <w:outlineLvl w:val="3"/>
    </w:pPr>
    <w:rPr>
      <w:rFonts w:ascii="Times New Roman" w:eastAsiaTheme="majorEastAsia" w:hAnsi="Times New Roman" w:cstheme="majorBidi"/>
      <w:b/>
      <w:iCs/>
      <w:color w:val="000000" w:themeColor="text1"/>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07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E307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E3076"/>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1E57A0"/>
    <w:rPr>
      <w:rFonts w:ascii="Times New Roman" w:eastAsiaTheme="majorEastAsia" w:hAnsi="Times New Roman" w:cstheme="majorBidi"/>
      <w:b/>
      <w:iCs/>
      <w:color w:val="000000" w:themeColor="text1"/>
      <w:u w:val="single"/>
    </w:rPr>
  </w:style>
  <w:style w:type="table" w:styleId="TableGrid">
    <w:name w:val="Table Grid"/>
    <w:basedOn w:val="TableNormal"/>
    <w:uiPriority w:val="39"/>
    <w:rsid w:val="00286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34</Pages>
  <Words>9700</Words>
  <Characters>55294</Characters>
  <Application>Microsoft Office Word</Application>
  <DocSecurity>0</DocSecurity>
  <Lines>460</Lines>
  <Paragraphs>129</Paragraphs>
  <ScaleCrop>false</ScaleCrop>
  <Company/>
  <LinksUpToDate>false</LinksUpToDate>
  <CharactersWithSpaces>64865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 WORLD</dc:creator>
  <cp:keywords/>
  <dc:description/>
  <cp:lastModifiedBy>Alina Radoi</cp:lastModifiedBy>
  <cp:revision>8</cp:revision>
  <dcterms:created xsi:type="dcterms:W3CDTF">2024-05-16T18:23:00Z</dcterms:created>
  <dcterms:modified xsi:type="dcterms:W3CDTF">2024-05-30T10:47:00Z</dcterms:modified>
</cp:coreProperties>
</file>