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header2.xml" ContentType="application/vnd.openxmlformats-officedocument.wordprocessingml.header+xml"/>
  <Override PartName="/word/footer2.xml" ContentType="application/vnd.openxmlformats-officedocument.wordprocessingml.footer+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4B271" w14:textId="28A7851A" w:rsidR="00F30B40" w:rsidRPr="00DE31DC" w:rsidRDefault="00EE2216" w:rsidP="00921A70">
      <w:pPr>
        <w:spacing w:line="360" w:lineRule="auto"/>
        <w:jc w:val="center"/>
        <w:rPr>
          <w:rFonts w:ascii="Arial" w:hAnsi="Arial" w:cs="Arial"/>
          <w:b/>
          <w:bCs/>
          <w:sz w:val="28"/>
          <w:szCs w:val="28"/>
          <w:u w:val="single"/>
        </w:rPr>
      </w:pPr>
      <w:r w:rsidRPr="00DE31DC">
        <w:rPr>
          <w:rFonts w:ascii="Arial" w:hAnsi="Arial" w:cs="Arial"/>
          <w:b/>
          <w:bCs/>
          <w:sz w:val="28"/>
          <w:szCs w:val="28"/>
          <w:u w:val="single"/>
        </w:rPr>
        <w:t>Evidence-based Practice</w:t>
      </w:r>
    </w:p>
    <w:p w14:paraId="3AEB473B" w14:textId="52603E8E" w:rsidR="00B67BC4" w:rsidRDefault="009E58B7" w:rsidP="00876FD0">
      <w:pPr>
        <w:spacing w:line="276" w:lineRule="auto"/>
        <w:rPr>
          <w:rFonts w:ascii="Calibri" w:hAnsi="Calibri" w:cs="Calibri"/>
          <w:b/>
          <w:bCs/>
          <w:u w:val="single"/>
        </w:rPr>
      </w:pPr>
      <w:r w:rsidRPr="00876FD0">
        <w:rPr>
          <w:rFonts w:ascii="Calibri" w:hAnsi="Calibri" w:cs="Calibri"/>
          <w:b/>
          <w:bCs/>
          <w:u w:val="single"/>
        </w:rPr>
        <w:t>Introduction</w:t>
      </w:r>
      <w:r w:rsidR="00B67BC4">
        <w:rPr>
          <w:rFonts w:ascii="Calibri" w:hAnsi="Calibri" w:cs="Calibri"/>
          <w:b/>
          <w:bCs/>
          <w:u w:val="single"/>
        </w:rPr>
        <w:t xml:space="preserve"> </w:t>
      </w:r>
    </w:p>
    <w:p w14:paraId="24B1BEC2" w14:textId="21B3095A" w:rsidR="00551558" w:rsidRPr="00E324F2" w:rsidRDefault="00644AE0" w:rsidP="00876FD0">
      <w:pPr>
        <w:spacing w:line="276" w:lineRule="auto"/>
        <w:rPr>
          <w:rFonts w:ascii="Calibri" w:hAnsi="Calibri" w:cs="Calibri"/>
          <w:bCs/>
        </w:rPr>
      </w:pPr>
      <w:r>
        <w:rPr>
          <w:rFonts w:ascii="Calibri" w:hAnsi="Calibri" w:cs="Calibri"/>
          <w:bCs/>
        </w:rPr>
        <w:t xml:space="preserve">This </w:t>
      </w:r>
      <w:r w:rsidR="00294CBF" w:rsidRPr="00644AE0">
        <w:rPr>
          <w:rFonts w:ascii="Calibri" w:hAnsi="Calibri" w:cs="Calibri"/>
          <w:bCs/>
        </w:rPr>
        <w:t xml:space="preserve">report is split into two sections with section one focusing on </w:t>
      </w:r>
      <w:r w:rsidR="00FE53DA" w:rsidRPr="00644AE0">
        <w:rPr>
          <w:rFonts w:ascii="Calibri" w:hAnsi="Calibri" w:cs="Calibri"/>
          <w:bCs/>
        </w:rPr>
        <w:t xml:space="preserve">different areas of </w:t>
      </w:r>
      <w:r w:rsidR="00282F7A" w:rsidRPr="00282F7A">
        <w:rPr>
          <w:rFonts w:ascii="Calibri" w:hAnsi="Calibri" w:cs="Calibri"/>
          <w:bCs/>
        </w:rPr>
        <w:t>e</w:t>
      </w:r>
      <w:r w:rsidR="00E324F2" w:rsidRPr="00282F7A">
        <w:rPr>
          <w:rFonts w:ascii="Calibri" w:hAnsi="Calibri" w:cs="Calibri"/>
          <w:bCs/>
        </w:rPr>
        <w:t>vidence-based practice</w:t>
      </w:r>
      <w:r w:rsidRPr="00282F7A">
        <w:rPr>
          <w:rFonts w:ascii="Calibri" w:hAnsi="Calibri" w:cs="Calibri"/>
          <w:bCs/>
        </w:rPr>
        <w:t xml:space="preserve">, its </w:t>
      </w:r>
      <w:r w:rsidR="00282F7A" w:rsidRPr="00282F7A">
        <w:rPr>
          <w:rFonts w:ascii="Calibri" w:hAnsi="Calibri" w:cs="Calibri"/>
          <w:bCs/>
        </w:rPr>
        <w:t>significance</w:t>
      </w:r>
      <w:r w:rsidRPr="00282F7A">
        <w:rPr>
          <w:rFonts w:ascii="Calibri" w:hAnsi="Calibri" w:cs="Calibri"/>
          <w:bCs/>
        </w:rPr>
        <w:t xml:space="preserve"> to People Professionals </w:t>
      </w:r>
      <w:r w:rsidR="00FE53DA" w:rsidRPr="00282F7A">
        <w:rPr>
          <w:rFonts w:ascii="Calibri" w:hAnsi="Calibri" w:cs="Calibri"/>
          <w:bCs/>
        </w:rPr>
        <w:t xml:space="preserve">and approaches that </w:t>
      </w:r>
      <w:r w:rsidR="004917FE" w:rsidRPr="00282F7A">
        <w:rPr>
          <w:rFonts w:ascii="Calibri" w:hAnsi="Calibri" w:cs="Calibri"/>
          <w:bCs/>
        </w:rPr>
        <w:t xml:space="preserve">can be </w:t>
      </w:r>
      <w:r w:rsidR="00282F7A" w:rsidRPr="00282F7A">
        <w:rPr>
          <w:rFonts w:ascii="Calibri" w:hAnsi="Calibri" w:cs="Calibri"/>
          <w:bCs/>
        </w:rPr>
        <w:t>used</w:t>
      </w:r>
      <w:r w:rsidR="004917FE" w:rsidRPr="00282F7A">
        <w:rPr>
          <w:rFonts w:ascii="Calibri" w:hAnsi="Calibri" w:cs="Calibri"/>
          <w:bCs/>
        </w:rPr>
        <w:t xml:space="preserve"> for effective decision</w:t>
      </w:r>
      <w:r w:rsidR="00282F7A" w:rsidRPr="00282F7A">
        <w:rPr>
          <w:rFonts w:ascii="Calibri" w:hAnsi="Calibri" w:cs="Calibri"/>
          <w:bCs/>
        </w:rPr>
        <w:t>-</w:t>
      </w:r>
      <w:r w:rsidR="004917FE" w:rsidRPr="00282F7A">
        <w:rPr>
          <w:rFonts w:ascii="Calibri" w:hAnsi="Calibri" w:cs="Calibri"/>
          <w:bCs/>
        </w:rPr>
        <w:t>making</w:t>
      </w:r>
      <w:r w:rsidR="00294CBF" w:rsidRPr="00E324F2">
        <w:rPr>
          <w:rFonts w:ascii="Calibri" w:hAnsi="Calibri" w:cs="Calibri"/>
          <w:bCs/>
        </w:rPr>
        <w:t xml:space="preserve">. Section two will cover data analytics. </w:t>
      </w:r>
      <w:r w:rsidR="00551558" w:rsidRPr="00E324F2">
        <w:rPr>
          <w:rFonts w:ascii="Calibri" w:hAnsi="Calibri" w:cs="Calibri"/>
          <w:bCs/>
        </w:rPr>
        <w:t xml:space="preserve">Each section is covered within the </w:t>
      </w:r>
      <w:r w:rsidR="004917FE" w:rsidRPr="00E324F2">
        <w:rPr>
          <w:rFonts w:ascii="Calibri" w:hAnsi="Calibri" w:cs="Calibri"/>
          <w:bCs/>
        </w:rPr>
        <w:t>CIPD P</w:t>
      </w:r>
      <w:r w:rsidR="00551558" w:rsidRPr="00E324F2">
        <w:rPr>
          <w:rFonts w:ascii="Calibri" w:hAnsi="Calibri" w:cs="Calibri"/>
          <w:bCs/>
        </w:rPr>
        <w:t>rofession map</w:t>
      </w:r>
      <w:r w:rsidR="004917FE" w:rsidRPr="00E324F2">
        <w:rPr>
          <w:rFonts w:ascii="Calibri" w:hAnsi="Calibri" w:cs="Calibri"/>
          <w:bCs/>
        </w:rPr>
        <w:t xml:space="preserve"> </w:t>
      </w:r>
      <w:r w:rsidR="00294CBF" w:rsidRPr="00E324F2">
        <w:rPr>
          <w:rFonts w:ascii="Calibri" w:hAnsi="Calibri" w:cs="Calibri"/>
          <w:bCs/>
        </w:rPr>
        <w:t xml:space="preserve">as seen below. </w:t>
      </w:r>
    </w:p>
    <w:p w14:paraId="1AC32EBB" w14:textId="49C2C38D" w:rsidR="00551558" w:rsidRPr="00A60681" w:rsidRDefault="00294CBF" w:rsidP="00876FD0">
      <w:pPr>
        <w:spacing w:line="276" w:lineRule="auto"/>
        <w:rPr>
          <w:rFonts w:ascii="Calibri" w:hAnsi="Calibri" w:cs="Calibri"/>
          <w:b/>
          <w:bCs/>
        </w:rPr>
      </w:pPr>
      <w:r w:rsidRPr="00A60681">
        <w:rPr>
          <w:b/>
          <w:noProof/>
          <w:lang w:eastAsia="en-GB"/>
        </w:rPr>
        <w:drawing>
          <wp:anchor distT="0" distB="0" distL="114300" distR="114300" simplePos="0" relativeHeight="251656192" behindDoc="0" locked="0" layoutInCell="1" allowOverlap="1" wp14:anchorId="7E0D0179" wp14:editId="15544360">
            <wp:simplePos x="0" y="0"/>
            <wp:positionH relativeFrom="column">
              <wp:posOffset>-523875</wp:posOffset>
            </wp:positionH>
            <wp:positionV relativeFrom="paragraph">
              <wp:posOffset>484505</wp:posOffset>
            </wp:positionV>
            <wp:extent cx="6780530" cy="52578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780530" cy="5257800"/>
                    </a:xfrm>
                    <a:prstGeom prst="rect">
                      <a:avLst/>
                    </a:prstGeom>
                  </pic:spPr>
                </pic:pic>
              </a:graphicData>
            </a:graphic>
            <wp14:sizeRelH relativeFrom="margin">
              <wp14:pctWidth>0</wp14:pctWidth>
            </wp14:sizeRelH>
            <wp14:sizeRelV relativeFrom="margin">
              <wp14:pctHeight>0</wp14:pctHeight>
            </wp14:sizeRelV>
          </wp:anchor>
        </w:drawing>
      </w:r>
      <w:r w:rsidR="00551558" w:rsidRPr="00A60681">
        <w:rPr>
          <w:rFonts w:ascii="Calibri" w:hAnsi="Calibri" w:cs="Calibri"/>
          <w:b/>
          <w:bCs/>
        </w:rPr>
        <w:t>Figure 1.1 CIPD Profession Map</w:t>
      </w:r>
      <w:r w:rsidR="0049672E" w:rsidRPr="00A60681">
        <w:rPr>
          <w:rFonts w:ascii="Calibri" w:hAnsi="Calibri" w:cs="Calibri"/>
          <w:b/>
          <w:bCs/>
        </w:rPr>
        <w:t xml:space="preserve"> </w:t>
      </w:r>
      <w:r w:rsidR="00371E1D" w:rsidRPr="00A60681">
        <w:rPr>
          <w:rFonts w:ascii="Calibri" w:hAnsi="Calibri" w:cs="Calibri"/>
          <w:b/>
          <w:bCs/>
        </w:rPr>
        <w:t>(CIPD, 2023</w:t>
      </w:r>
      <w:r w:rsidR="00B40037">
        <w:rPr>
          <w:rFonts w:ascii="Calibri" w:hAnsi="Calibri" w:cs="Calibri"/>
          <w:b/>
          <w:bCs/>
        </w:rPr>
        <w:t>a</w:t>
      </w:r>
      <w:r w:rsidR="00371E1D" w:rsidRPr="00A60681">
        <w:rPr>
          <w:rFonts w:ascii="Calibri" w:hAnsi="Calibri" w:cs="Calibri"/>
          <w:b/>
          <w:bCs/>
        </w:rPr>
        <w:t>)</w:t>
      </w:r>
    </w:p>
    <w:p w14:paraId="7D27A29E" w14:textId="5FB17ADE" w:rsidR="00EE2216" w:rsidRPr="0096398A" w:rsidRDefault="00371E1D" w:rsidP="00876FD0">
      <w:pPr>
        <w:widowControl w:val="0"/>
        <w:autoSpaceDE w:val="0"/>
        <w:autoSpaceDN w:val="0"/>
        <w:spacing w:before="162" w:after="0" w:line="276" w:lineRule="auto"/>
        <w:ind w:right="283"/>
        <w:jc w:val="both"/>
        <w:rPr>
          <w:rFonts w:ascii="Calibri" w:eastAsia="Arial" w:hAnsi="Calibri" w:cs="Calibri"/>
          <w:b/>
          <w:bCs/>
          <w:sz w:val="24"/>
          <w:szCs w:val="24"/>
        </w:rPr>
      </w:pPr>
      <w:r>
        <w:rPr>
          <w:rFonts w:ascii="Calibri" w:eastAsia="Arial" w:hAnsi="Calibri" w:cs="Calibri"/>
          <w:b/>
          <w:bCs/>
          <w:sz w:val="24"/>
          <w:szCs w:val="24"/>
        </w:rPr>
        <w:t>E</w:t>
      </w:r>
      <w:r w:rsidR="00307FB2" w:rsidRPr="0096398A">
        <w:rPr>
          <w:rFonts w:ascii="Calibri" w:eastAsia="Arial" w:hAnsi="Calibri" w:cs="Calibri"/>
          <w:b/>
          <w:bCs/>
          <w:sz w:val="24"/>
          <w:szCs w:val="24"/>
        </w:rPr>
        <w:t>vidence-Based Practice</w:t>
      </w:r>
      <w:r w:rsidR="00EE2216" w:rsidRPr="0096398A">
        <w:rPr>
          <w:rFonts w:ascii="Calibri" w:eastAsia="Arial" w:hAnsi="Calibri" w:cs="Calibri"/>
          <w:b/>
          <w:bCs/>
          <w:sz w:val="24"/>
          <w:szCs w:val="24"/>
        </w:rPr>
        <w:t xml:space="preserve"> (AC 1.1)</w:t>
      </w:r>
      <w:r w:rsidR="0026358E">
        <w:rPr>
          <w:rFonts w:ascii="Calibri" w:eastAsia="Arial" w:hAnsi="Calibri" w:cs="Calibri"/>
          <w:b/>
          <w:bCs/>
          <w:sz w:val="24"/>
          <w:szCs w:val="24"/>
        </w:rPr>
        <w:t xml:space="preserve"> </w:t>
      </w:r>
    </w:p>
    <w:p w14:paraId="4FB9A348" w14:textId="057EA99C" w:rsidR="00876FD0" w:rsidRPr="00876FD0" w:rsidRDefault="00876FD0" w:rsidP="00876FD0">
      <w:pPr>
        <w:widowControl w:val="0"/>
        <w:autoSpaceDE w:val="0"/>
        <w:autoSpaceDN w:val="0"/>
        <w:spacing w:before="162" w:after="0" w:line="276" w:lineRule="auto"/>
        <w:ind w:right="283"/>
        <w:jc w:val="both"/>
        <w:rPr>
          <w:rFonts w:ascii="Calibri" w:hAnsi="Calibri" w:cs="Calibri"/>
        </w:rPr>
      </w:pPr>
      <w:r w:rsidRPr="00E902EE">
        <w:rPr>
          <w:rFonts w:ascii="Calibri" w:hAnsi="Calibri" w:cs="Calibri"/>
        </w:rPr>
        <w:t xml:space="preserve">The </w:t>
      </w:r>
      <w:r w:rsidR="00E902EE" w:rsidRPr="00E902EE">
        <w:rPr>
          <w:rFonts w:ascii="Calibri" w:hAnsi="Calibri" w:cs="Calibri"/>
        </w:rPr>
        <w:t>basis</w:t>
      </w:r>
      <w:r w:rsidRPr="00E902EE">
        <w:rPr>
          <w:rFonts w:ascii="Calibri" w:hAnsi="Calibri" w:cs="Calibri"/>
        </w:rPr>
        <w:t xml:space="preserve"> of</w:t>
      </w:r>
      <w:r w:rsidR="005441ED" w:rsidRPr="00E902EE">
        <w:rPr>
          <w:rFonts w:ascii="Calibri" w:hAnsi="Calibri" w:cs="Calibri"/>
        </w:rPr>
        <w:t xml:space="preserve"> </w:t>
      </w:r>
      <w:r w:rsidR="00E324F2" w:rsidRPr="00282F7A">
        <w:rPr>
          <w:rFonts w:ascii="Calibri" w:hAnsi="Calibri" w:cs="Calibri"/>
        </w:rPr>
        <w:t>evidence-based practice</w:t>
      </w:r>
      <w:r w:rsidRPr="00282F7A">
        <w:rPr>
          <w:rFonts w:ascii="Calibri" w:hAnsi="Calibri" w:cs="Calibri"/>
        </w:rPr>
        <w:t xml:space="preserve"> is the idea that good decision</w:t>
      </w:r>
      <w:r w:rsidR="00E902EE" w:rsidRPr="00282F7A">
        <w:rPr>
          <w:rFonts w:ascii="Calibri" w:hAnsi="Calibri" w:cs="Calibri"/>
        </w:rPr>
        <w:t>-</w:t>
      </w:r>
      <w:r w:rsidRPr="00282F7A">
        <w:rPr>
          <w:rFonts w:ascii="Calibri" w:hAnsi="Calibri" w:cs="Calibri"/>
        </w:rPr>
        <w:t>making</w:t>
      </w:r>
      <w:r w:rsidRPr="00E902EE">
        <w:rPr>
          <w:rFonts w:ascii="Calibri" w:hAnsi="Calibri" w:cs="Calibri"/>
        </w:rPr>
        <w:t xml:space="preserve"> is </w:t>
      </w:r>
      <w:r w:rsidR="00E902EE" w:rsidRPr="00E902EE">
        <w:rPr>
          <w:rFonts w:ascii="Calibri" w:hAnsi="Calibri" w:cs="Calibri"/>
        </w:rPr>
        <w:t>achieved by</w:t>
      </w:r>
      <w:r w:rsidRPr="00E902EE">
        <w:rPr>
          <w:rFonts w:ascii="Calibri" w:hAnsi="Calibri" w:cs="Calibri"/>
        </w:rPr>
        <w:t xml:space="preserve"> critically </w:t>
      </w:r>
      <w:r w:rsidR="00E902EE" w:rsidRPr="00E902EE">
        <w:rPr>
          <w:rFonts w:ascii="Calibri" w:hAnsi="Calibri" w:cs="Calibri"/>
        </w:rPr>
        <w:t>evaluating</w:t>
      </w:r>
      <w:r w:rsidRPr="00E902EE">
        <w:rPr>
          <w:rFonts w:ascii="Calibri" w:hAnsi="Calibri" w:cs="Calibri"/>
        </w:rPr>
        <w:t xml:space="preserve"> the best evidence </w:t>
      </w:r>
      <w:r w:rsidR="00E902EE" w:rsidRPr="00E902EE">
        <w:rPr>
          <w:rFonts w:ascii="Calibri" w:hAnsi="Calibri" w:cs="Calibri"/>
        </w:rPr>
        <w:t xml:space="preserve">available </w:t>
      </w:r>
      <w:r w:rsidRPr="00E902EE">
        <w:rPr>
          <w:rFonts w:ascii="Calibri" w:hAnsi="Calibri" w:cs="Calibri"/>
        </w:rPr>
        <w:t>from a variety of sources</w:t>
      </w:r>
      <w:r w:rsidRPr="00876FD0">
        <w:rPr>
          <w:rFonts w:ascii="Calibri" w:hAnsi="Calibri" w:cs="Calibri"/>
        </w:rPr>
        <w:t xml:space="preserve"> (Young, 2023</w:t>
      </w:r>
      <w:r w:rsidR="002C05FC">
        <w:rPr>
          <w:rFonts w:ascii="Calibri" w:hAnsi="Calibri" w:cs="Calibri"/>
        </w:rPr>
        <w:t>b</w:t>
      </w:r>
      <w:r w:rsidRPr="00876FD0">
        <w:rPr>
          <w:rFonts w:ascii="Calibri" w:hAnsi="Calibri" w:cs="Calibri"/>
        </w:rPr>
        <w:t xml:space="preserve">). By selecting dependable, trustworthy solutions and relying less on quick fixes, or out-of-date received knowledge, </w:t>
      </w:r>
      <w:r w:rsidR="00E324F2">
        <w:rPr>
          <w:rFonts w:ascii="Calibri" w:hAnsi="Calibri" w:cs="Calibri"/>
        </w:rPr>
        <w:t>evidence-based practice</w:t>
      </w:r>
      <w:r w:rsidRPr="00876FD0">
        <w:rPr>
          <w:rFonts w:ascii="Calibri" w:hAnsi="Calibri" w:cs="Calibri"/>
        </w:rPr>
        <w:t xml:space="preserve"> assists people professionals in making better, more effective judgements (Young, 2023</w:t>
      </w:r>
      <w:r w:rsidR="002C05FC">
        <w:rPr>
          <w:rFonts w:ascii="Calibri" w:hAnsi="Calibri" w:cs="Calibri"/>
        </w:rPr>
        <w:t>b</w:t>
      </w:r>
      <w:r w:rsidRPr="00876FD0">
        <w:rPr>
          <w:rFonts w:ascii="Calibri" w:hAnsi="Calibri" w:cs="Calibri"/>
        </w:rPr>
        <w:t xml:space="preserve">). </w:t>
      </w:r>
    </w:p>
    <w:p w14:paraId="1FB9DF6B" w14:textId="21180146" w:rsidR="00876FD0" w:rsidRPr="00876FD0" w:rsidRDefault="00876FD0" w:rsidP="00876FD0">
      <w:pPr>
        <w:widowControl w:val="0"/>
        <w:autoSpaceDE w:val="0"/>
        <w:autoSpaceDN w:val="0"/>
        <w:spacing w:before="162" w:after="0" w:line="276" w:lineRule="auto"/>
        <w:ind w:right="283"/>
        <w:jc w:val="both"/>
        <w:rPr>
          <w:rFonts w:ascii="Calibri" w:hAnsi="Calibri" w:cs="Calibri"/>
        </w:rPr>
      </w:pPr>
      <w:r w:rsidRPr="00876FD0">
        <w:rPr>
          <w:rFonts w:ascii="Calibri" w:hAnsi="Calibri" w:cs="Calibri"/>
        </w:rPr>
        <w:lastRenderedPageBreak/>
        <w:t>Due to the abundance of information available, we tend to make decisions more quickly and avoid overloading our brains by taking mental shortcuts (Young, 2023</w:t>
      </w:r>
      <w:r w:rsidR="002C05FC">
        <w:rPr>
          <w:rFonts w:ascii="Calibri" w:hAnsi="Calibri" w:cs="Calibri"/>
        </w:rPr>
        <w:t>b</w:t>
      </w:r>
      <w:r w:rsidRPr="00876FD0">
        <w:rPr>
          <w:rFonts w:ascii="Calibri" w:hAnsi="Calibri" w:cs="Calibri"/>
        </w:rPr>
        <w:t>). When we often depend and rely solely on our intuition rather than seeking additional information that we require, problems arise (Jolley, 2020). When faced with making important decisions, professionals need to consider the availability of evidence, what is relevant to a situation and avoid using personal judgement alone (</w:t>
      </w:r>
      <w:proofErr w:type="spellStart"/>
      <w:r w:rsidRPr="00876FD0">
        <w:rPr>
          <w:rFonts w:ascii="Calibri" w:hAnsi="Calibri" w:cs="Calibri"/>
        </w:rPr>
        <w:t>Barends</w:t>
      </w:r>
      <w:proofErr w:type="spellEnd"/>
      <w:r w:rsidRPr="00876FD0">
        <w:rPr>
          <w:rFonts w:ascii="Calibri" w:hAnsi="Calibri" w:cs="Calibri"/>
        </w:rPr>
        <w:t>, Rousseau, and Briner 2014). While previous experience can provide people professionals with a level of expertise on certain topics, Young (2023</w:t>
      </w:r>
      <w:r w:rsidR="002C05FC">
        <w:rPr>
          <w:rFonts w:ascii="Calibri" w:hAnsi="Calibri" w:cs="Calibri"/>
        </w:rPr>
        <w:t>b</w:t>
      </w:r>
      <w:r w:rsidRPr="00876FD0">
        <w:rPr>
          <w:rFonts w:ascii="Calibri" w:hAnsi="Calibri" w:cs="Calibri"/>
        </w:rPr>
        <w:t xml:space="preserve">) states that other sources of evidence should also be considered before making important decisions. Many professionals are unaware of evidence available that would help support resolving issues encountered daily (Gifford, Young and </w:t>
      </w:r>
      <w:proofErr w:type="spellStart"/>
      <w:r w:rsidRPr="00876FD0">
        <w:rPr>
          <w:rFonts w:ascii="Calibri" w:hAnsi="Calibri" w:cs="Calibri"/>
        </w:rPr>
        <w:t>Barends</w:t>
      </w:r>
      <w:proofErr w:type="spellEnd"/>
      <w:r w:rsidRPr="00876FD0">
        <w:rPr>
          <w:rFonts w:ascii="Calibri" w:hAnsi="Calibri" w:cs="Calibri"/>
        </w:rPr>
        <w:t xml:space="preserve">, 2023b). </w:t>
      </w:r>
      <w:proofErr w:type="spellStart"/>
      <w:r w:rsidRPr="00876FD0">
        <w:rPr>
          <w:rFonts w:ascii="Calibri" w:hAnsi="Calibri" w:cs="Calibri"/>
        </w:rPr>
        <w:t>Barends</w:t>
      </w:r>
      <w:proofErr w:type="spellEnd"/>
      <w:r w:rsidRPr="00876FD0">
        <w:rPr>
          <w:rFonts w:ascii="Calibri" w:hAnsi="Calibri" w:cs="Calibri"/>
        </w:rPr>
        <w:t xml:space="preserve">, Rousseau and Briner (2014) explain that majority of managerial decisions are not based on the best available evidence and experience can be susceptible to bias and errors. Decisions made purely based on previous experience can be risky and have profound consequences (Waite et al, 2021). </w:t>
      </w:r>
    </w:p>
    <w:p w14:paraId="38BCD2AE" w14:textId="55B9E300" w:rsidR="00876FD0" w:rsidRPr="00876FD0" w:rsidRDefault="00876FD0" w:rsidP="00876FD0">
      <w:pPr>
        <w:widowControl w:val="0"/>
        <w:autoSpaceDE w:val="0"/>
        <w:autoSpaceDN w:val="0"/>
        <w:spacing w:before="162" w:after="0" w:line="276" w:lineRule="auto"/>
        <w:ind w:right="283"/>
        <w:jc w:val="both"/>
        <w:rPr>
          <w:rFonts w:ascii="Calibri" w:hAnsi="Calibri" w:cs="Calibri"/>
        </w:rPr>
      </w:pPr>
      <w:r w:rsidRPr="00876FD0">
        <w:rPr>
          <w:rFonts w:ascii="Calibri" w:hAnsi="Calibri" w:cs="Calibri"/>
        </w:rPr>
        <w:t xml:space="preserve">Decisions made by people professionals affect people's lives and the outcomes of the company, thus they should make the best choices possible (Jacobs, 2015a). Professionals should consider four equally important sources of data, each of which should be thoroughly and meticulously evaluated (Jacobs, 2015b). According to Briner (2015), they comprise of academic or scientific evidence, evidence based on stakeholder values and concerns, evidence from the organisation itself, and professional experience. According to Bruner (2015), the information obtained from each of these four sources may be extremely relevant and reliable, </w:t>
      </w:r>
      <w:r w:rsidR="005441ED" w:rsidRPr="00876FD0">
        <w:rPr>
          <w:rFonts w:ascii="Calibri" w:hAnsi="Calibri" w:cs="Calibri"/>
        </w:rPr>
        <w:t>irrelevant,</w:t>
      </w:r>
      <w:r w:rsidRPr="00876FD0">
        <w:rPr>
          <w:rFonts w:ascii="Calibri" w:hAnsi="Calibri" w:cs="Calibri"/>
        </w:rPr>
        <w:t xml:space="preserve"> and wholly unreliable, or any combination of these. While it’s not always possible to draw on all four sources, it’s far more advantageous to use more than one to generate better decisions (Gifford, Young and </w:t>
      </w:r>
      <w:proofErr w:type="spellStart"/>
      <w:r w:rsidRPr="00876FD0">
        <w:rPr>
          <w:rFonts w:ascii="Calibri" w:hAnsi="Calibri" w:cs="Calibri"/>
        </w:rPr>
        <w:t>Barends</w:t>
      </w:r>
      <w:proofErr w:type="spellEnd"/>
      <w:r w:rsidRPr="00876FD0">
        <w:rPr>
          <w:rFonts w:ascii="Calibri" w:hAnsi="Calibri" w:cs="Calibri"/>
        </w:rPr>
        <w:t xml:space="preserve">, 2023a). </w:t>
      </w:r>
    </w:p>
    <w:p w14:paraId="3EEB29A3" w14:textId="0BCD8DE3" w:rsidR="00876FD0" w:rsidRPr="00876FD0" w:rsidRDefault="00876FD0" w:rsidP="00876FD0">
      <w:pPr>
        <w:widowControl w:val="0"/>
        <w:autoSpaceDE w:val="0"/>
        <w:autoSpaceDN w:val="0"/>
        <w:spacing w:before="162" w:after="0" w:line="276" w:lineRule="auto"/>
        <w:ind w:right="283"/>
        <w:jc w:val="both"/>
        <w:rPr>
          <w:rFonts w:ascii="Calibri" w:hAnsi="Calibri" w:cs="Calibri"/>
        </w:rPr>
      </w:pPr>
      <w:r w:rsidRPr="00876FD0">
        <w:rPr>
          <w:rFonts w:ascii="Calibri" w:hAnsi="Calibri" w:cs="Calibri"/>
        </w:rPr>
        <w:t xml:space="preserve">Analysing evidence should be done with caution. It is crucial that we recognise the risks involved in trusting evidence that could be inaccurate or misleading (Jolley, 2020). Evidence derived from non-research sources is especially susceptible to prejudice and human error (Jolley, 2020). According to Gifford, Young, and </w:t>
      </w:r>
      <w:proofErr w:type="spellStart"/>
      <w:r w:rsidRPr="00876FD0">
        <w:rPr>
          <w:rFonts w:ascii="Calibri" w:hAnsi="Calibri" w:cs="Calibri"/>
        </w:rPr>
        <w:t>Barends</w:t>
      </w:r>
      <w:proofErr w:type="spellEnd"/>
      <w:r w:rsidRPr="00876FD0">
        <w:rPr>
          <w:rFonts w:ascii="Calibri" w:hAnsi="Calibri" w:cs="Calibri"/>
        </w:rPr>
        <w:t xml:space="preserve"> (2023a), professionals should refrain from selectively choosing data to confirm their previous notions, since this may lead to missed opportunities or unfavourable outcomes.</w:t>
      </w:r>
    </w:p>
    <w:p w14:paraId="5EA9368B" w14:textId="1E429E20" w:rsidR="00876FD0" w:rsidRDefault="00876FD0" w:rsidP="00876FD0">
      <w:pPr>
        <w:widowControl w:val="0"/>
        <w:autoSpaceDE w:val="0"/>
        <w:autoSpaceDN w:val="0"/>
        <w:spacing w:before="162" w:after="0" w:line="276" w:lineRule="auto"/>
        <w:ind w:right="283"/>
        <w:jc w:val="both"/>
        <w:rPr>
          <w:rFonts w:ascii="Calibri" w:hAnsi="Calibri" w:cs="Calibri"/>
        </w:rPr>
      </w:pPr>
      <w:proofErr w:type="spellStart"/>
      <w:r w:rsidRPr="00876FD0">
        <w:rPr>
          <w:rFonts w:ascii="Calibri" w:hAnsi="Calibri" w:cs="Calibri"/>
        </w:rPr>
        <w:t>Barends</w:t>
      </w:r>
      <w:proofErr w:type="spellEnd"/>
      <w:r w:rsidRPr="00876FD0">
        <w:rPr>
          <w:rFonts w:ascii="Calibri" w:hAnsi="Calibri" w:cs="Calibri"/>
        </w:rPr>
        <w:t>, Rousseau, and Briner 2014 outline</w:t>
      </w:r>
      <w:r w:rsidR="00551558">
        <w:rPr>
          <w:rFonts w:ascii="Calibri" w:hAnsi="Calibri" w:cs="Calibri"/>
        </w:rPr>
        <w:t xml:space="preserve"> a particularly </w:t>
      </w:r>
      <w:r w:rsidR="00282F7A" w:rsidRPr="00282F7A">
        <w:rPr>
          <w:rFonts w:ascii="Calibri" w:hAnsi="Calibri" w:cs="Calibri"/>
        </w:rPr>
        <w:t>effective</w:t>
      </w:r>
      <w:r w:rsidR="00551558" w:rsidRPr="00282F7A">
        <w:rPr>
          <w:rFonts w:ascii="Calibri" w:hAnsi="Calibri" w:cs="Calibri"/>
        </w:rPr>
        <w:t xml:space="preserve"> six-step</w:t>
      </w:r>
      <w:r w:rsidRPr="00282F7A">
        <w:rPr>
          <w:rFonts w:ascii="Calibri" w:hAnsi="Calibri" w:cs="Calibri"/>
        </w:rPr>
        <w:t xml:space="preserve"> approach that can </w:t>
      </w:r>
      <w:r w:rsidR="00282F7A" w:rsidRPr="00282F7A">
        <w:rPr>
          <w:rFonts w:ascii="Calibri" w:hAnsi="Calibri" w:cs="Calibri"/>
        </w:rPr>
        <w:t>support</w:t>
      </w:r>
      <w:r w:rsidRPr="00282F7A">
        <w:rPr>
          <w:rFonts w:ascii="Calibri" w:hAnsi="Calibri" w:cs="Calibri"/>
        </w:rPr>
        <w:t xml:space="preserve"> professionals through the process of </w:t>
      </w:r>
      <w:r w:rsidR="00E324F2" w:rsidRPr="00282F7A">
        <w:rPr>
          <w:rFonts w:ascii="Calibri" w:hAnsi="Calibri" w:cs="Calibri"/>
        </w:rPr>
        <w:t>evidence-based</w:t>
      </w:r>
      <w:r w:rsidR="00E324F2">
        <w:rPr>
          <w:rFonts w:ascii="Calibri" w:hAnsi="Calibri" w:cs="Calibri"/>
        </w:rPr>
        <w:t xml:space="preserve"> practice</w:t>
      </w:r>
      <w:r w:rsidRPr="00876FD0">
        <w:rPr>
          <w:rFonts w:ascii="Calibri" w:hAnsi="Calibri" w:cs="Calibri"/>
        </w:rPr>
        <w:t xml:space="preserve">. This six-step approach ensures that the quality and reliability of evidence is very high by taking into consideration its credibility (Gifford, Young and </w:t>
      </w:r>
      <w:proofErr w:type="spellStart"/>
      <w:r w:rsidRPr="00876FD0">
        <w:rPr>
          <w:rFonts w:ascii="Calibri" w:hAnsi="Calibri" w:cs="Calibri"/>
        </w:rPr>
        <w:t>Barends</w:t>
      </w:r>
      <w:proofErr w:type="spellEnd"/>
      <w:r w:rsidRPr="00876FD0">
        <w:rPr>
          <w:rFonts w:ascii="Calibri" w:hAnsi="Calibri" w:cs="Calibri"/>
        </w:rPr>
        <w:t xml:space="preserve">, 2023a). Although it may not always be possible for professionals to use this approach in their daily practice, they should strive to do more before making critical decisions (Gifford, Young and </w:t>
      </w:r>
      <w:proofErr w:type="spellStart"/>
      <w:r w:rsidRPr="00876FD0">
        <w:rPr>
          <w:rFonts w:ascii="Calibri" w:hAnsi="Calibri" w:cs="Calibri"/>
        </w:rPr>
        <w:t>Barends</w:t>
      </w:r>
      <w:proofErr w:type="spellEnd"/>
      <w:r w:rsidRPr="00876FD0">
        <w:rPr>
          <w:rFonts w:ascii="Calibri" w:hAnsi="Calibri" w:cs="Calibri"/>
        </w:rPr>
        <w:t>, 2023a).</w:t>
      </w:r>
    </w:p>
    <w:p w14:paraId="401C53D4" w14:textId="77777777" w:rsidR="005441ED" w:rsidRDefault="005441ED" w:rsidP="00876FD0">
      <w:pPr>
        <w:widowControl w:val="0"/>
        <w:autoSpaceDE w:val="0"/>
        <w:autoSpaceDN w:val="0"/>
        <w:spacing w:before="162" w:after="0" w:line="276" w:lineRule="auto"/>
        <w:ind w:right="283"/>
        <w:jc w:val="both"/>
        <w:rPr>
          <w:rFonts w:ascii="Calibri" w:hAnsi="Calibri" w:cs="Calibri"/>
        </w:rPr>
      </w:pPr>
    </w:p>
    <w:p w14:paraId="0EFDE38C" w14:textId="7669809A" w:rsidR="00551558" w:rsidRPr="00876FD0" w:rsidRDefault="00E0570B" w:rsidP="00876FD0">
      <w:pPr>
        <w:widowControl w:val="0"/>
        <w:autoSpaceDE w:val="0"/>
        <w:autoSpaceDN w:val="0"/>
        <w:spacing w:before="162" w:after="0" w:line="276" w:lineRule="auto"/>
        <w:ind w:right="283"/>
        <w:jc w:val="both"/>
        <w:rPr>
          <w:rFonts w:ascii="Calibri" w:hAnsi="Calibri" w:cs="Calibri"/>
        </w:rPr>
      </w:pPr>
      <w:r>
        <w:rPr>
          <w:noProof/>
          <w:lang w:eastAsia="en-GB"/>
        </w:rPr>
        <w:lastRenderedPageBreak/>
        <w:drawing>
          <wp:anchor distT="0" distB="0" distL="114300" distR="114300" simplePos="0" relativeHeight="251663360" behindDoc="0" locked="0" layoutInCell="1" allowOverlap="1" wp14:anchorId="4877792C" wp14:editId="779D617B">
            <wp:simplePos x="0" y="0"/>
            <wp:positionH relativeFrom="column">
              <wp:posOffset>855879</wp:posOffset>
            </wp:positionH>
            <wp:positionV relativeFrom="paragraph">
              <wp:posOffset>21946</wp:posOffset>
            </wp:positionV>
            <wp:extent cx="4019550" cy="50006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019550" cy="5000625"/>
                    </a:xfrm>
                    <a:prstGeom prst="rect">
                      <a:avLst/>
                    </a:prstGeom>
                  </pic:spPr>
                </pic:pic>
              </a:graphicData>
            </a:graphic>
          </wp:anchor>
        </w:drawing>
      </w:r>
    </w:p>
    <w:p w14:paraId="318EB688" w14:textId="0B2306A9" w:rsidR="00551558" w:rsidRDefault="00551558" w:rsidP="00876FD0">
      <w:pPr>
        <w:widowControl w:val="0"/>
        <w:autoSpaceDE w:val="0"/>
        <w:autoSpaceDN w:val="0"/>
        <w:spacing w:before="162" w:after="0" w:line="276" w:lineRule="auto"/>
        <w:ind w:right="283"/>
        <w:jc w:val="both"/>
        <w:rPr>
          <w:rFonts w:ascii="Calibri" w:hAnsi="Calibri" w:cs="Calibri"/>
        </w:rPr>
      </w:pPr>
    </w:p>
    <w:p w14:paraId="50035240"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25C4D524"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4D4A284D" w14:textId="1326FF38" w:rsidR="00551558" w:rsidRDefault="00551558" w:rsidP="00876FD0">
      <w:pPr>
        <w:widowControl w:val="0"/>
        <w:autoSpaceDE w:val="0"/>
        <w:autoSpaceDN w:val="0"/>
        <w:spacing w:before="162" w:after="0" w:line="276" w:lineRule="auto"/>
        <w:ind w:right="283"/>
        <w:jc w:val="both"/>
        <w:rPr>
          <w:rFonts w:ascii="Calibri" w:hAnsi="Calibri" w:cs="Calibri"/>
        </w:rPr>
      </w:pPr>
    </w:p>
    <w:p w14:paraId="121801C5"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29637C23"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08396A12" w14:textId="4AE8E2CA" w:rsidR="00551558" w:rsidRDefault="00551558" w:rsidP="00876FD0">
      <w:pPr>
        <w:widowControl w:val="0"/>
        <w:autoSpaceDE w:val="0"/>
        <w:autoSpaceDN w:val="0"/>
        <w:spacing w:before="162" w:after="0" w:line="276" w:lineRule="auto"/>
        <w:ind w:right="283"/>
        <w:jc w:val="both"/>
        <w:rPr>
          <w:rFonts w:ascii="Calibri" w:hAnsi="Calibri" w:cs="Calibri"/>
        </w:rPr>
      </w:pPr>
    </w:p>
    <w:p w14:paraId="11505E12"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56463A62"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5C62269A"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2DD7F36E"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2DF9FAB9"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296FE650"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5EC03056"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5EB345F4"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03C5953C"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0C5F6E81" w14:textId="77777777" w:rsidR="00371E1D" w:rsidRDefault="00371E1D" w:rsidP="00876FD0">
      <w:pPr>
        <w:widowControl w:val="0"/>
        <w:autoSpaceDE w:val="0"/>
        <w:autoSpaceDN w:val="0"/>
        <w:spacing w:before="162" w:after="0" w:line="276" w:lineRule="auto"/>
        <w:ind w:right="283"/>
        <w:jc w:val="both"/>
      </w:pPr>
    </w:p>
    <w:p w14:paraId="6B6C87AB" w14:textId="5D4A7460" w:rsidR="00EA3E43" w:rsidRPr="00371E1D" w:rsidRDefault="00EA3E43" w:rsidP="00876FD0">
      <w:pPr>
        <w:widowControl w:val="0"/>
        <w:autoSpaceDE w:val="0"/>
        <w:autoSpaceDN w:val="0"/>
        <w:spacing w:before="162" w:after="0" w:line="276" w:lineRule="auto"/>
        <w:ind w:right="283"/>
        <w:jc w:val="both"/>
        <w:rPr>
          <w:b/>
          <w:bCs/>
        </w:rPr>
      </w:pPr>
      <w:r w:rsidRPr="00371E1D">
        <w:rPr>
          <w:b/>
          <w:bCs/>
        </w:rPr>
        <w:t>Figure 1.2 E</w:t>
      </w:r>
      <w:r w:rsidR="00E324F2" w:rsidRPr="00371E1D">
        <w:rPr>
          <w:b/>
          <w:bCs/>
        </w:rPr>
        <w:t>vidence-Based Practice</w:t>
      </w:r>
      <w:r w:rsidRPr="00371E1D">
        <w:rPr>
          <w:b/>
          <w:bCs/>
        </w:rPr>
        <w:t xml:space="preserve"> </w:t>
      </w:r>
      <w:r w:rsidR="00387984" w:rsidRPr="00371E1D">
        <w:rPr>
          <w:b/>
          <w:bCs/>
        </w:rPr>
        <w:t>(</w:t>
      </w:r>
      <w:r w:rsidR="00371E1D" w:rsidRPr="00371E1D">
        <w:rPr>
          <w:b/>
          <w:bCs/>
        </w:rPr>
        <w:t>Hill and Houghton, 2021)</w:t>
      </w:r>
    </w:p>
    <w:p w14:paraId="6F388459" w14:textId="0570A676" w:rsidR="00417A44" w:rsidRPr="00876FD0" w:rsidRDefault="00876FD0" w:rsidP="00876FD0">
      <w:pPr>
        <w:widowControl w:val="0"/>
        <w:autoSpaceDE w:val="0"/>
        <w:autoSpaceDN w:val="0"/>
        <w:spacing w:before="162" w:after="0" w:line="276" w:lineRule="auto"/>
        <w:ind w:right="283"/>
        <w:jc w:val="both"/>
        <w:rPr>
          <w:rFonts w:ascii="Calibri" w:hAnsi="Calibri" w:cs="Calibri"/>
        </w:rPr>
      </w:pPr>
      <w:r w:rsidRPr="00876FD0">
        <w:rPr>
          <w:rFonts w:ascii="Calibri" w:hAnsi="Calibri" w:cs="Calibri"/>
        </w:rPr>
        <w:t>Professionals will be able to generate evidence-based reports and solutions that withstand scrutiny if they take the time to evaluate the quality of information and the relevance of data sources (Taylor and Woodhams, 2022b).</w:t>
      </w:r>
    </w:p>
    <w:p w14:paraId="64AB7913" w14:textId="77777777" w:rsidR="00876FD0" w:rsidRDefault="00876FD0" w:rsidP="001A3278">
      <w:pPr>
        <w:widowControl w:val="0"/>
        <w:autoSpaceDE w:val="0"/>
        <w:autoSpaceDN w:val="0"/>
        <w:spacing w:before="120" w:after="0" w:line="276" w:lineRule="auto"/>
        <w:contextualSpacing/>
        <w:rPr>
          <w:rFonts w:ascii="Arial" w:eastAsia="Times New Roman" w:hAnsi="Arial" w:cs="Arial"/>
          <w:b/>
          <w:bCs/>
          <w:color w:val="ED7D31" w:themeColor="accent2"/>
          <w:szCs w:val="24"/>
          <w:lang w:eastAsia="en-GB"/>
        </w:rPr>
      </w:pPr>
    </w:p>
    <w:p w14:paraId="0275F53C" w14:textId="77777777" w:rsidR="002D1183" w:rsidRDefault="002D1183" w:rsidP="00876FD0">
      <w:pPr>
        <w:widowControl w:val="0"/>
        <w:autoSpaceDE w:val="0"/>
        <w:autoSpaceDN w:val="0"/>
        <w:spacing w:before="120" w:after="0" w:line="276" w:lineRule="auto"/>
        <w:contextualSpacing/>
        <w:rPr>
          <w:rFonts w:ascii="Calibri" w:eastAsia="Times New Roman" w:hAnsi="Calibri" w:cs="Calibri"/>
          <w:b/>
          <w:bCs/>
          <w:sz w:val="24"/>
          <w:szCs w:val="28"/>
          <w:lang w:eastAsia="en-GB"/>
        </w:rPr>
      </w:pPr>
    </w:p>
    <w:p w14:paraId="34831B7F" w14:textId="5506D714" w:rsidR="00876FD0" w:rsidRPr="0096398A" w:rsidRDefault="00417A44" w:rsidP="00876FD0">
      <w:pPr>
        <w:widowControl w:val="0"/>
        <w:autoSpaceDE w:val="0"/>
        <w:autoSpaceDN w:val="0"/>
        <w:spacing w:before="120" w:after="0" w:line="276" w:lineRule="auto"/>
        <w:contextualSpacing/>
        <w:rPr>
          <w:rFonts w:ascii="Calibri" w:eastAsia="Times New Roman" w:hAnsi="Calibri" w:cs="Calibri"/>
          <w:b/>
          <w:bCs/>
          <w:sz w:val="24"/>
          <w:szCs w:val="28"/>
          <w:lang w:eastAsia="en-GB"/>
        </w:rPr>
      </w:pPr>
      <w:r w:rsidRPr="0096398A">
        <w:rPr>
          <w:rFonts w:ascii="Calibri" w:eastAsia="Times New Roman" w:hAnsi="Calibri" w:cs="Calibri"/>
          <w:b/>
          <w:bCs/>
          <w:sz w:val="24"/>
          <w:szCs w:val="28"/>
          <w:lang w:eastAsia="en-GB"/>
        </w:rPr>
        <w:t>A</w:t>
      </w:r>
      <w:r w:rsidR="00EE2216" w:rsidRPr="0096398A">
        <w:rPr>
          <w:rFonts w:ascii="Calibri" w:eastAsia="Times New Roman" w:hAnsi="Calibri" w:cs="Calibri"/>
          <w:b/>
          <w:bCs/>
          <w:sz w:val="24"/>
          <w:szCs w:val="28"/>
          <w:lang w:eastAsia="en-GB"/>
        </w:rPr>
        <w:t xml:space="preserve">nalysis </w:t>
      </w:r>
      <w:r w:rsidRPr="0096398A">
        <w:rPr>
          <w:rFonts w:ascii="Calibri" w:eastAsia="Times New Roman" w:hAnsi="Calibri" w:cs="Calibri"/>
          <w:b/>
          <w:bCs/>
          <w:sz w:val="24"/>
          <w:szCs w:val="28"/>
          <w:lang w:eastAsia="en-GB"/>
        </w:rPr>
        <w:t>T</w:t>
      </w:r>
      <w:r w:rsidR="00EE2216" w:rsidRPr="0096398A">
        <w:rPr>
          <w:rFonts w:ascii="Calibri" w:eastAsia="Times New Roman" w:hAnsi="Calibri" w:cs="Calibri"/>
          <w:b/>
          <w:bCs/>
          <w:sz w:val="24"/>
          <w:szCs w:val="28"/>
          <w:lang w:eastAsia="en-GB"/>
        </w:rPr>
        <w:t>ool</w:t>
      </w:r>
      <w:r w:rsidRPr="0096398A">
        <w:rPr>
          <w:rFonts w:ascii="Calibri" w:eastAsia="Times New Roman" w:hAnsi="Calibri" w:cs="Calibri"/>
          <w:b/>
          <w:bCs/>
          <w:sz w:val="24"/>
          <w:szCs w:val="28"/>
          <w:lang w:eastAsia="en-GB"/>
        </w:rPr>
        <w:t>s</w:t>
      </w:r>
      <w:r w:rsidR="00EE2216" w:rsidRPr="0096398A">
        <w:rPr>
          <w:rFonts w:ascii="Calibri" w:eastAsia="Times New Roman" w:hAnsi="Calibri" w:cs="Calibri"/>
          <w:b/>
          <w:bCs/>
          <w:sz w:val="24"/>
          <w:szCs w:val="28"/>
          <w:lang w:eastAsia="en-GB"/>
        </w:rPr>
        <w:t xml:space="preserve"> and </w:t>
      </w:r>
      <w:r w:rsidRPr="0096398A">
        <w:rPr>
          <w:rFonts w:ascii="Calibri" w:eastAsia="Times New Roman" w:hAnsi="Calibri" w:cs="Calibri"/>
          <w:b/>
          <w:bCs/>
          <w:sz w:val="24"/>
          <w:szCs w:val="28"/>
          <w:lang w:eastAsia="en-GB"/>
        </w:rPr>
        <w:t>M</w:t>
      </w:r>
      <w:r w:rsidR="00EE2216" w:rsidRPr="0096398A">
        <w:rPr>
          <w:rFonts w:ascii="Calibri" w:eastAsia="Times New Roman" w:hAnsi="Calibri" w:cs="Calibri"/>
          <w:b/>
          <w:bCs/>
          <w:sz w:val="24"/>
          <w:szCs w:val="28"/>
          <w:lang w:eastAsia="en-GB"/>
        </w:rPr>
        <w:t>ethod</w:t>
      </w:r>
      <w:r w:rsidRPr="0096398A">
        <w:rPr>
          <w:rFonts w:ascii="Calibri" w:eastAsia="Times New Roman" w:hAnsi="Calibri" w:cs="Calibri"/>
          <w:b/>
          <w:bCs/>
          <w:sz w:val="24"/>
          <w:szCs w:val="28"/>
          <w:lang w:eastAsia="en-GB"/>
        </w:rPr>
        <w:t>s</w:t>
      </w:r>
      <w:r w:rsidR="00EE2216" w:rsidRPr="0096398A">
        <w:rPr>
          <w:rFonts w:ascii="Calibri" w:eastAsia="Times New Roman" w:hAnsi="Calibri" w:cs="Calibri"/>
          <w:b/>
          <w:bCs/>
          <w:sz w:val="24"/>
          <w:szCs w:val="28"/>
          <w:lang w:eastAsia="en-GB"/>
        </w:rPr>
        <w:t xml:space="preserve"> (AC 1.2)</w:t>
      </w:r>
      <w:r w:rsidR="0026358E">
        <w:rPr>
          <w:rFonts w:ascii="Calibri" w:eastAsia="Times New Roman" w:hAnsi="Calibri" w:cs="Calibri"/>
          <w:b/>
          <w:bCs/>
          <w:sz w:val="24"/>
          <w:szCs w:val="28"/>
          <w:lang w:eastAsia="en-GB"/>
        </w:rPr>
        <w:t xml:space="preserve"> </w:t>
      </w:r>
    </w:p>
    <w:p w14:paraId="5C6DF418" w14:textId="77777777" w:rsidR="00876FD0" w:rsidRDefault="00876FD0" w:rsidP="00876FD0">
      <w:pPr>
        <w:widowControl w:val="0"/>
        <w:autoSpaceDE w:val="0"/>
        <w:autoSpaceDN w:val="0"/>
        <w:spacing w:before="120" w:after="0" w:line="276" w:lineRule="auto"/>
        <w:contextualSpacing/>
        <w:rPr>
          <w:rFonts w:ascii="Calibri" w:eastAsia="Times New Roman" w:hAnsi="Calibri" w:cs="Calibri"/>
          <w:b/>
          <w:bCs/>
          <w:szCs w:val="24"/>
          <w:lang w:eastAsia="en-GB"/>
        </w:rPr>
      </w:pPr>
    </w:p>
    <w:p w14:paraId="2CD1E8EF" w14:textId="77777777" w:rsidR="005441ED" w:rsidRDefault="00876FD0" w:rsidP="005441ED">
      <w:pPr>
        <w:widowControl w:val="0"/>
        <w:autoSpaceDE w:val="0"/>
        <w:autoSpaceDN w:val="0"/>
        <w:spacing w:before="120" w:after="0" w:line="276" w:lineRule="auto"/>
        <w:contextualSpacing/>
        <w:rPr>
          <w:rFonts w:ascii="Calibri" w:eastAsia="Times New Roman" w:hAnsi="Calibri" w:cs="Calibri"/>
          <w:b/>
          <w:bCs/>
          <w:szCs w:val="24"/>
          <w:lang w:eastAsia="en-GB"/>
        </w:rPr>
      </w:pPr>
      <w:r w:rsidRPr="00BD4D55">
        <w:rPr>
          <w:rFonts w:ascii="Calibri" w:hAnsi="Calibri" w:cs="Calibri"/>
        </w:rPr>
        <w:t xml:space="preserve">Among the most popular analysis concepts taught include Porter’s Five Forces, </w:t>
      </w:r>
      <w:proofErr w:type="gramStart"/>
      <w:r w:rsidRPr="00BD4D55">
        <w:rPr>
          <w:rFonts w:ascii="Calibri" w:hAnsi="Calibri" w:cs="Calibri"/>
        </w:rPr>
        <w:t>PESTLE</w:t>
      </w:r>
      <w:proofErr w:type="gramEnd"/>
      <w:r w:rsidRPr="00BD4D55">
        <w:rPr>
          <w:rFonts w:ascii="Calibri" w:hAnsi="Calibri" w:cs="Calibri"/>
        </w:rPr>
        <w:t xml:space="preserve"> and SWOT analysis (Anton, 2016). As discussed in Anton’s (2016) report, whilst each concept supports analytical-strategic thinking, they have all remained nominally isolated from each other despite their clear interdependency.</w:t>
      </w:r>
    </w:p>
    <w:p w14:paraId="71954A10" w14:textId="77777777" w:rsidR="005441ED" w:rsidRDefault="005441ED" w:rsidP="005441ED">
      <w:pPr>
        <w:widowControl w:val="0"/>
        <w:autoSpaceDE w:val="0"/>
        <w:autoSpaceDN w:val="0"/>
        <w:spacing w:before="120" w:after="0" w:line="276" w:lineRule="auto"/>
        <w:contextualSpacing/>
        <w:rPr>
          <w:rFonts w:ascii="Calibri" w:eastAsia="Times New Roman" w:hAnsi="Calibri" w:cs="Calibri"/>
          <w:b/>
          <w:bCs/>
          <w:szCs w:val="24"/>
          <w:lang w:eastAsia="en-GB"/>
        </w:rPr>
      </w:pPr>
    </w:p>
    <w:p w14:paraId="4CFD2A0C" w14:textId="6A19D587" w:rsidR="005441ED" w:rsidRDefault="00876FD0" w:rsidP="005441ED">
      <w:pPr>
        <w:widowControl w:val="0"/>
        <w:autoSpaceDE w:val="0"/>
        <w:autoSpaceDN w:val="0"/>
        <w:spacing w:before="120" w:after="0" w:line="276" w:lineRule="auto"/>
        <w:contextualSpacing/>
        <w:rPr>
          <w:rFonts w:ascii="Calibri" w:eastAsia="Times New Roman" w:hAnsi="Calibri" w:cs="Calibri"/>
          <w:b/>
          <w:bCs/>
          <w:szCs w:val="24"/>
          <w:lang w:eastAsia="en-GB"/>
        </w:rPr>
      </w:pPr>
      <w:r w:rsidRPr="00E902EE">
        <w:rPr>
          <w:rFonts w:ascii="Calibri" w:hAnsi="Calibri" w:cs="Calibri"/>
        </w:rPr>
        <w:t xml:space="preserve">PESTLE analysis is a </w:t>
      </w:r>
      <w:r w:rsidR="00E902EE" w:rsidRPr="00E902EE">
        <w:rPr>
          <w:rFonts w:ascii="Calibri" w:hAnsi="Calibri" w:cs="Calibri"/>
        </w:rPr>
        <w:t>rigorous</w:t>
      </w:r>
      <w:r w:rsidRPr="00E902EE">
        <w:rPr>
          <w:rFonts w:ascii="Calibri" w:hAnsi="Calibri" w:cs="Calibri"/>
        </w:rPr>
        <w:t xml:space="preserve"> process of </w:t>
      </w:r>
      <w:r w:rsidR="00E902EE" w:rsidRPr="00E902EE">
        <w:rPr>
          <w:rFonts w:ascii="Calibri" w:hAnsi="Calibri" w:cs="Calibri"/>
        </w:rPr>
        <w:t>collecting</w:t>
      </w:r>
      <w:r w:rsidRPr="00E902EE">
        <w:rPr>
          <w:rFonts w:ascii="Calibri" w:hAnsi="Calibri" w:cs="Calibri"/>
        </w:rPr>
        <w:t xml:space="preserve"> information </w:t>
      </w:r>
      <w:r w:rsidR="00E902EE" w:rsidRPr="00E902EE">
        <w:rPr>
          <w:rFonts w:ascii="Calibri" w:hAnsi="Calibri" w:cs="Calibri"/>
        </w:rPr>
        <w:t>about</w:t>
      </w:r>
      <w:r w:rsidRPr="00E902EE">
        <w:rPr>
          <w:rFonts w:ascii="Calibri" w:hAnsi="Calibri" w:cs="Calibri"/>
        </w:rPr>
        <w:t xml:space="preserve"> external factors that </w:t>
      </w:r>
      <w:r w:rsidR="00E902EE" w:rsidRPr="00E902EE">
        <w:rPr>
          <w:rFonts w:ascii="Calibri" w:hAnsi="Calibri" w:cs="Calibri"/>
        </w:rPr>
        <w:t xml:space="preserve">can influence </w:t>
      </w:r>
      <w:r w:rsidRPr="00E902EE">
        <w:rPr>
          <w:rFonts w:ascii="Calibri" w:hAnsi="Calibri" w:cs="Calibri"/>
        </w:rPr>
        <w:t>an organization's</w:t>
      </w:r>
      <w:r w:rsidRPr="00E902EE">
        <w:rPr>
          <w:rFonts w:ascii="Calibri" w:hAnsi="Calibri" w:cs="Calibri"/>
          <w:b/>
          <w:bCs/>
        </w:rPr>
        <w:t xml:space="preserve"> </w:t>
      </w:r>
      <w:r w:rsidR="00E902EE" w:rsidRPr="00E902EE">
        <w:rPr>
          <w:rFonts w:ascii="Calibri" w:hAnsi="Calibri" w:cs="Calibri"/>
        </w:rPr>
        <w:t>decisions</w:t>
      </w:r>
      <w:r w:rsidRPr="00BD4D55">
        <w:rPr>
          <w:rFonts w:ascii="Calibri" w:hAnsi="Calibri" w:cs="Calibri"/>
        </w:rPr>
        <w:t xml:space="preserve"> (Battista, 2023), whereas the </w:t>
      </w:r>
      <w:r w:rsidRPr="00282F7A">
        <w:rPr>
          <w:rFonts w:ascii="Calibri" w:hAnsi="Calibri" w:cs="Calibri"/>
        </w:rPr>
        <w:t xml:space="preserve">SWOT analysis identifies both internal and external </w:t>
      </w:r>
      <w:r w:rsidR="00282F7A" w:rsidRPr="00282F7A">
        <w:rPr>
          <w:rFonts w:ascii="Calibri" w:hAnsi="Calibri" w:cs="Calibri"/>
        </w:rPr>
        <w:t>components</w:t>
      </w:r>
      <w:r w:rsidRPr="00282F7A">
        <w:rPr>
          <w:rFonts w:ascii="Calibri" w:hAnsi="Calibri" w:cs="Calibri"/>
        </w:rPr>
        <w:t xml:space="preserve"> that can </w:t>
      </w:r>
      <w:r w:rsidR="00E902EE" w:rsidRPr="00282F7A">
        <w:rPr>
          <w:rFonts w:ascii="Calibri" w:hAnsi="Calibri" w:cs="Calibri"/>
        </w:rPr>
        <w:t>impact</w:t>
      </w:r>
      <w:r w:rsidRPr="00282F7A">
        <w:rPr>
          <w:rFonts w:ascii="Calibri" w:hAnsi="Calibri" w:cs="Calibri"/>
        </w:rPr>
        <w:t xml:space="preserve"> </w:t>
      </w:r>
      <w:r w:rsidR="00E902EE" w:rsidRPr="00282F7A">
        <w:rPr>
          <w:rFonts w:ascii="Calibri" w:hAnsi="Calibri" w:cs="Calibri"/>
        </w:rPr>
        <w:t xml:space="preserve">an </w:t>
      </w:r>
      <w:r w:rsidRPr="00282F7A">
        <w:rPr>
          <w:rFonts w:ascii="Calibri" w:hAnsi="Calibri" w:cs="Calibri"/>
        </w:rPr>
        <w:t>organisation</w:t>
      </w:r>
      <w:r w:rsidR="00E902EE" w:rsidRPr="00282F7A">
        <w:rPr>
          <w:rFonts w:ascii="Calibri" w:hAnsi="Calibri" w:cs="Calibri"/>
        </w:rPr>
        <w:t>’s</w:t>
      </w:r>
      <w:r w:rsidR="00E902EE" w:rsidRPr="00E902EE">
        <w:rPr>
          <w:rFonts w:ascii="Calibri" w:hAnsi="Calibri" w:cs="Calibri"/>
        </w:rPr>
        <w:t xml:space="preserve"> desired goals</w:t>
      </w:r>
      <w:r w:rsidRPr="00E902EE">
        <w:rPr>
          <w:rFonts w:ascii="Calibri" w:hAnsi="Calibri" w:cs="Calibri"/>
        </w:rPr>
        <w:t xml:space="preserve"> </w:t>
      </w:r>
      <w:r w:rsidRPr="00BD4D55">
        <w:rPr>
          <w:rFonts w:ascii="Calibri" w:hAnsi="Calibri" w:cs="Calibri"/>
        </w:rPr>
        <w:t>(</w:t>
      </w:r>
      <w:proofErr w:type="spellStart"/>
      <w:r w:rsidRPr="00BD4D55">
        <w:rPr>
          <w:rFonts w:ascii="Calibri" w:hAnsi="Calibri" w:cs="Calibri"/>
        </w:rPr>
        <w:t>Haan</w:t>
      </w:r>
      <w:proofErr w:type="spellEnd"/>
      <w:r w:rsidRPr="00BD4D55">
        <w:rPr>
          <w:rFonts w:ascii="Calibri" w:hAnsi="Calibri" w:cs="Calibri"/>
        </w:rPr>
        <w:t xml:space="preserve">, 2023). Porter’s model offers a multifaceted analysis tool (Grundy, 2006) which highlights possibilities and </w:t>
      </w:r>
      <w:r w:rsidRPr="00BD4D55">
        <w:rPr>
          <w:rFonts w:ascii="Calibri" w:hAnsi="Calibri" w:cs="Calibri"/>
        </w:rPr>
        <w:lastRenderedPageBreak/>
        <w:t xml:space="preserve">threats while gauging a company's competitive advantage (Goyal, 2020). It encourages businesses to concentrate on their response to a change in the external environment by focusing primarily on external elements, in contrast to the SWOT analysis (Goyal, 2020). </w:t>
      </w:r>
    </w:p>
    <w:p w14:paraId="4CFAFC63" w14:textId="77777777" w:rsidR="005441ED" w:rsidRDefault="005441ED" w:rsidP="005441ED">
      <w:pPr>
        <w:widowControl w:val="0"/>
        <w:autoSpaceDE w:val="0"/>
        <w:autoSpaceDN w:val="0"/>
        <w:spacing w:before="120" w:after="0" w:line="276" w:lineRule="auto"/>
        <w:contextualSpacing/>
        <w:rPr>
          <w:rFonts w:ascii="Calibri" w:eastAsia="Times New Roman" w:hAnsi="Calibri" w:cs="Calibri"/>
          <w:b/>
          <w:bCs/>
          <w:szCs w:val="24"/>
          <w:lang w:eastAsia="en-GB"/>
        </w:rPr>
      </w:pPr>
    </w:p>
    <w:p w14:paraId="5E0C2C80" w14:textId="77777777" w:rsidR="005441ED" w:rsidRDefault="00876FD0" w:rsidP="005441ED">
      <w:pPr>
        <w:widowControl w:val="0"/>
        <w:autoSpaceDE w:val="0"/>
        <w:autoSpaceDN w:val="0"/>
        <w:spacing w:before="120" w:after="0" w:line="276" w:lineRule="auto"/>
        <w:contextualSpacing/>
        <w:rPr>
          <w:rFonts w:ascii="Calibri" w:eastAsia="Times New Roman" w:hAnsi="Calibri" w:cs="Calibri"/>
          <w:b/>
          <w:bCs/>
          <w:szCs w:val="24"/>
          <w:lang w:eastAsia="en-GB"/>
        </w:rPr>
      </w:pPr>
      <w:r w:rsidRPr="00BD4D55">
        <w:rPr>
          <w:rFonts w:ascii="Calibri" w:hAnsi="Calibri" w:cs="Calibri"/>
        </w:rPr>
        <w:t>The five factors (buyer bargaining power, seller bargaining power, rivalry, entry barriers, and substitutes) are used to assist managers in determining whether performance levels are good and bad (Grundy, 2006). Although it is more difficult for an organisation to downsize or outsource when the forces are stronger, there are possibilities for negotiations and higher profits when the forces are weaker (</w:t>
      </w:r>
      <w:proofErr w:type="spellStart"/>
      <w:r w:rsidRPr="00BD4D55">
        <w:rPr>
          <w:rFonts w:ascii="Calibri" w:hAnsi="Calibri" w:cs="Calibri"/>
        </w:rPr>
        <w:t>Anastasiu</w:t>
      </w:r>
      <w:proofErr w:type="spellEnd"/>
      <w:r w:rsidRPr="00BD4D55">
        <w:rPr>
          <w:rFonts w:ascii="Calibri" w:hAnsi="Calibri" w:cs="Calibri"/>
        </w:rPr>
        <w:t xml:space="preserve">, </w:t>
      </w:r>
      <w:proofErr w:type="spellStart"/>
      <w:r w:rsidRPr="00BD4D55">
        <w:rPr>
          <w:rFonts w:ascii="Calibri" w:hAnsi="Calibri" w:cs="Calibri"/>
        </w:rPr>
        <w:t>Gavriş</w:t>
      </w:r>
      <w:proofErr w:type="spellEnd"/>
      <w:r w:rsidRPr="00BD4D55">
        <w:rPr>
          <w:rFonts w:ascii="Calibri" w:hAnsi="Calibri" w:cs="Calibri"/>
        </w:rPr>
        <w:t>, and Maier, 2020). Although the idea is helpful for developing short-term strategies, it merely offers a glimpse into the larger business at a certain historical period in today's ever-changing environment (Goyal, 2020).</w:t>
      </w:r>
    </w:p>
    <w:p w14:paraId="5FA6A763" w14:textId="77777777" w:rsidR="005441ED" w:rsidRDefault="005441ED" w:rsidP="005441ED">
      <w:pPr>
        <w:widowControl w:val="0"/>
        <w:autoSpaceDE w:val="0"/>
        <w:autoSpaceDN w:val="0"/>
        <w:spacing w:before="120" w:after="0" w:line="276" w:lineRule="auto"/>
        <w:contextualSpacing/>
        <w:rPr>
          <w:rFonts w:ascii="Calibri" w:eastAsia="Times New Roman" w:hAnsi="Calibri" w:cs="Calibri"/>
          <w:b/>
          <w:bCs/>
          <w:szCs w:val="24"/>
          <w:lang w:eastAsia="en-GB"/>
        </w:rPr>
      </w:pPr>
    </w:p>
    <w:p w14:paraId="68079042" w14:textId="5C3C8F40" w:rsidR="00876FD0" w:rsidRPr="00170EDC" w:rsidRDefault="00876FD0" w:rsidP="00170EDC">
      <w:pPr>
        <w:widowControl w:val="0"/>
        <w:autoSpaceDE w:val="0"/>
        <w:autoSpaceDN w:val="0"/>
        <w:spacing w:before="120" w:after="0" w:line="276" w:lineRule="auto"/>
        <w:contextualSpacing/>
        <w:rPr>
          <w:rFonts w:ascii="Calibri" w:eastAsia="Times New Roman" w:hAnsi="Calibri" w:cs="Calibri"/>
          <w:b/>
          <w:bCs/>
          <w:szCs w:val="24"/>
          <w:lang w:eastAsia="en-GB"/>
        </w:rPr>
      </w:pPr>
      <w:r w:rsidRPr="00BD4D55">
        <w:rPr>
          <w:rFonts w:ascii="Calibri" w:hAnsi="Calibri" w:cs="Calibri"/>
        </w:rPr>
        <w:t>Similarly, to Anton’s report, Goyal (2020) highlighted that Porter’s model is “inter-linkable” with other models which can support strategic thinking and offer a significant edge in comprehending the wider business environment (Battista, 2023).</w:t>
      </w:r>
      <w:r w:rsidRPr="00BD4D55">
        <w:rPr>
          <w:rFonts w:ascii="Calibri" w:hAnsi="Calibri" w:cs="Calibri"/>
          <w:b/>
          <w:bCs/>
        </w:rPr>
        <w:t xml:space="preserve"> </w:t>
      </w:r>
      <w:r w:rsidRPr="00BD4D55">
        <w:rPr>
          <w:rFonts w:ascii="Calibri" w:hAnsi="Calibri" w:cs="Calibri"/>
          <w:color w:val="202020"/>
          <w:shd w:val="clear" w:color="auto" w:fill="FFFFFF"/>
        </w:rPr>
        <w:t xml:space="preserve">The idea can be modified to fit a variety of domains, including human resources, to determine what factors will influence the composition and arrangement of human capital in the future, as demonstrated by </w:t>
      </w:r>
      <w:proofErr w:type="spellStart"/>
      <w:r w:rsidRPr="00BD4D55">
        <w:rPr>
          <w:rFonts w:ascii="Calibri" w:hAnsi="Calibri" w:cs="Calibri"/>
          <w:color w:val="202020"/>
          <w:shd w:val="clear" w:color="auto" w:fill="FFFFFF"/>
        </w:rPr>
        <w:t>Anastasiu</w:t>
      </w:r>
      <w:proofErr w:type="spellEnd"/>
      <w:r w:rsidRPr="00BD4D55">
        <w:rPr>
          <w:rFonts w:ascii="Calibri" w:hAnsi="Calibri" w:cs="Calibri"/>
          <w:color w:val="202020"/>
          <w:shd w:val="clear" w:color="auto" w:fill="FFFFFF"/>
        </w:rPr>
        <w:t xml:space="preserve">, </w:t>
      </w:r>
      <w:proofErr w:type="spellStart"/>
      <w:r w:rsidRPr="00BD4D55">
        <w:rPr>
          <w:rFonts w:ascii="Calibri" w:hAnsi="Calibri" w:cs="Calibri"/>
          <w:color w:val="202020"/>
          <w:shd w:val="clear" w:color="auto" w:fill="FFFFFF"/>
        </w:rPr>
        <w:t>Gavriş</w:t>
      </w:r>
      <w:proofErr w:type="spellEnd"/>
      <w:r w:rsidRPr="00BD4D55">
        <w:rPr>
          <w:rFonts w:ascii="Calibri" w:hAnsi="Calibri" w:cs="Calibri"/>
          <w:color w:val="202020"/>
          <w:shd w:val="clear" w:color="auto" w:fill="FFFFFF"/>
        </w:rPr>
        <w:t xml:space="preserve">, and Maier, </w:t>
      </w:r>
      <w:r w:rsidR="00170EDC">
        <w:rPr>
          <w:rFonts w:ascii="Calibri" w:hAnsi="Calibri" w:cs="Calibri"/>
          <w:color w:val="202020"/>
          <w:shd w:val="clear" w:color="auto" w:fill="FFFFFF"/>
        </w:rPr>
        <w:t>(</w:t>
      </w:r>
      <w:r w:rsidRPr="00BD4D55">
        <w:rPr>
          <w:rFonts w:ascii="Calibri" w:hAnsi="Calibri" w:cs="Calibri"/>
          <w:color w:val="202020"/>
          <w:shd w:val="clear" w:color="auto" w:fill="FFFFFF"/>
        </w:rPr>
        <w:t>2020</w:t>
      </w:r>
      <w:r w:rsidR="00170EDC">
        <w:rPr>
          <w:rFonts w:ascii="Calibri" w:hAnsi="Calibri" w:cs="Calibri"/>
          <w:color w:val="202020"/>
          <w:shd w:val="clear" w:color="auto" w:fill="FFFFFF"/>
        </w:rPr>
        <w:t xml:space="preserve">) </w:t>
      </w:r>
      <w:r w:rsidRPr="00BD4D55">
        <w:rPr>
          <w:rFonts w:ascii="Calibri" w:hAnsi="Calibri" w:cs="Calibri"/>
        </w:rPr>
        <w:t>below:</w:t>
      </w:r>
    </w:p>
    <w:p w14:paraId="16C1E479" w14:textId="7621D11A" w:rsidR="007348A3" w:rsidRDefault="006565B0" w:rsidP="00876FD0">
      <w:r>
        <w:rPr>
          <w:noProof/>
          <w:lang w:eastAsia="en-GB"/>
        </w:rPr>
        <w:drawing>
          <wp:anchor distT="0" distB="0" distL="114300" distR="114300" simplePos="0" relativeHeight="251652096" behindDoc="0" locked="0" layoutInCell="1" allowOverlap="1" wp14:anchorId="65F1AFEE" wp14:editId="71D7D5D8">
            <wp:simplePos x="0" y="0"/>
            <wp:positionH relativeFrom="column">
              <wp:posOffset>647700</wp:posOffset>
            </wp:positionH>
            <wp:positionV relativeFrom="paragraph">
              <wp:posOffset>7620</wp:posOffset>
            </wp:positionV>
            <wp:extent cx="4436110" cy="212217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1377" t="4074" r="11213" b="5298"/>
                    <a:stretch/>
                  </pic:blipFill>
                  <pic:spPr bwMode="auto">
                    <a:xfrm>
                      <a:off x="0" y="0"/>
                      <a:ext cx="4436110" cy="212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A94905" w14:textId="15BF4A4E" w:rsidR="007348A3" w:rsidRDefault="007348A3" w:rsidP="00876FD0"/>
    <w:p w14:paraId="71A27DFE" w14:textId="01C8694C" w:rsidR="007348A3" w:rsidRDefault="007348A3" w:rsidP="00876FD0"/>
    <w:p w14:paraId="007C2B01" w14:textId="7DC66638" w:rsidR="007348A3" w:rsidRDefault="007348A3" w:rsidP="00876FD0"/>
    <w:p w14:paraId="6E42A627" w14:textId="745B7699" w:rsidR="007348A3" w:rsidRDefault="007348A3" w:rsidP="00876FD0"/>
    <w:p w14:paraId="05361503" w14:textId="17EA1F53" w:rsidR="00876FD0" w:rsidRDefault="00876FD0" w:rsidP="00876FD0"/>
    <w:p w14:paraId="06D0D030" w14:textId="77777777" w:rsidR="00876FD0" w:rsidRDefault="00876FD0" w:rsidP="00876FD0"/>
    <w:p w14:paraId="13CF687A" w14:textId="77777777" w:rsidR="00876FD0" w:rsidRPr="00B734EE" w:rsidRDefault="00876FD0" w:rsidP="00876FD0"/>
    <w:p w14:paraId="199B1257" w14:textId="423E68BC" w:rsidR="00170EDC" w:rsidRPr="00170EDC" w:rsidRDefault="00170EDC" w:rsidP="00BD4D55">
      <w:pPr>
        <w:spacing w:line="276" w:lineRule="auto"/>
        <w:rPr>
          <w:rFonts w:ascii="Calibri" w:hAnsi="Calibri" w:cs="Calibri"/>
          <w:b/>
          <w:bCs/>
        </w:rPr>
      </w:pPr>
      <w:r w:rsidRPr="00170EDC">
        <w:rPr>
          <w:rFonts w:ascii="Calibri" w:hAnsi="Calibri" w:cs="Calibri"/>
          <w:b/>
          <w:bCs/>
        </w:rPr>
        <w:t xml:space="preserve">Figure 1.3 </w:t>
      </w:r>
      <w:r w:rsidR="00505429" w:rsidRPr="00505429">
        <w:rPr>
          <w:rFonts w:ascii="Calibri" w:hAnsi="Calibri" w:cs="Calibri"/>
          <w:b/>
          <w:bCs/>
        </w:rPr>
        <w:t>Porter’s Five Forces Model adapted to human resources</w:t>
      </w:r>
      <w:r w:rsidR="003A64EF">
        <w:rPr>
          <w:rFonts w:ascii="Calibri" w:hAnsi="Calibri" w:cs="Calibri"/>
          <w:b/>
          <w:bCs/>
        </w:rPr>
        <w:t>.</w:t>
      </w:r>
    </w:p>
    <w:p w14:paraId="70C04974" w14:textId="3AFE84E9" w:rsidR="0017318E" w:rsidRPr="0017318E" w:rsidRDefault="00876FD0" w:rsidP="00BD4D55">
      <w:pPr>
        <w:spacing w:line="276" w:lineRule="auto"/>
        <w:rPr>
          <w:rFonts w:ascii="Calibri" w:hAnsi="Calibri" w:cs="Calibri"/>
        </w:rPr>
      </w:pPr>
      <w:r w:rsidRPr="0017318E">
        <w:rPr>
          <w:rFonts w:ascii="Calibri" w:hAnsi="Calibri" w:cs="Calibri"/>
        </w:rPr>
        <w:t xml:space="preserve">Some methods used for collecting important data </w:t>
      </w:r>
      <w:r w:rsidR="003A64EF" w:rsidRPr="0017318E">
        <w:rPr>
          <w:rFonts w:ascii="Calibri" w:hAnsi="Calibri" w:cs="Calibri"/>
        </w:rPr>
        <w:t>include</w:t>
      </w:r>
      <w:r w:rsidRPr="0017318E">
        <w:rPr>
          <w:rFonts w:ascii="Calibri" w:hAnsi="Calibri" w:cs="Calibri"/>
        </w:rPr>
        <w:t xml:space="preserve"> surveys</w:t>
      </w:r>
      <w:r w:rsidR="0017318E" w:rsidRPr="0017318E">
        <w:rPr>
          <w:rFonts w:ascii="Calibri" w:hAnsi="Calibri" w:cs="Calibri"/>
        </w:rPr>
        <w:t xml:space="preserve"> and</w:t>
      </w:r>
      <w:r w:rsidRPr="0017318E">
        <w:rPr>
          <w:rFonts w:ascii="Calibri" w:hAnsi="Calibri" w:cs="Calibri"/>
        </w:rPr>
        <w:t xml:space="preserve"> interviews (Taylor and Woodhams, 2022b). </w:t>
      </w:r>
      <w:r w:rsidR="0017318E" w:rsidRPr="0017318E">
        <w:rPr>
          <w:rFonts w:ascii="Calibri" w:hAnsi="Calibri" w:cs="Calibri"/>
        </w:rPr>
        <w:t>Although surveys can be completed more quickly than interviews because they are time-efficient (Taylor and Woodhams, 2022b), they are only useful for general claims (</w:t>
      </w:r>
      <w:proofErr w:type="spellStart"/>
      <w:r w:rsidR="0017318E" w:rsidRPr="0017318E">
        <w:rPr>
          <w:rFonts w:ascii="Calibri" w:hAnsi="Calibri" w:cs="Calibri"/>
        </w:rPr>
        <w:t>Phellas</w:t>
      </w:r>
      <w:proofErr w:type="spellEnd"/>
      <w:r w:rsidR="0017318E" w:rsidRPr="0017318E">
        <w:rPr>
          <w:rFonts w:ascii="Calibri" w:hAnsi="Calibri" w:cs="Calibri"/>
        </w:rPr>
        <w:t>, Bloch, and Seale, 2012) and provide a broad overall involvement score that may significantly oversimplify the situation (Young, 2023a).</w:t>
      </w:r>
      <w:r w:rsidR="006565B0">
        <w:rPr>
          <w:rFonts w:ascii="Calibri" w:hAnsi="Calibri" w:cs="Calibri"/>
        </w:rPr>
        <w:t xml:space="preserve"> </w:t>
      </w:r>
      <w:r w:rsidR="0017318E" w:rsidRPr="0017318E">
        <w:rPr>
          <w:rFonts w:ascii="Calibri" w:hAnsi="Calibri" w:cs="Calibri"/>
        </w:rPr>
        <w:t>Conversely, by asking insightful questions to elicit more information, interviews can provide considerably greater rewards because they allow for a deeper dive into specific aspects (Young, 2023a) (Jain, 2021). Inquiring questions instead of filling out forms can also make it a satisfying experience for participants (Seale, 2012). Additionally, interviewers can establish rapport with participants, which can be advantageous for both present and future research (Jain, 2021). Though mostly qualitative, interviews can be categorised through coding to facilitate quantitative research (</w:t>
      </w:r>
      <w:proofErr w:type="spellStart"/>
      <w:r w:rsidR="0017318E" w:rsidRPr="0017318E">
        <w:rPr>
          <w:rFonts w:ascii="Calibri" w:hAnsi="Calibri" w:cs="Calibri"/>
        </w:rPr>
        <w:t>Phellas</w:t>
      </w:r>
      <w:proofErr w:type="spellEnd"/>
      <w:r w:rsidR="0017318E" w:rsidRPr="0017318E">
        <w:rPr>
          <w:rFonts w:ascii="Calibri" w:hAnsi="Calibri" w:cs="Calibri"/>
        </w:rPr>
        <w:t>, Bloch, and Seale, 2021).</w:t>
      </w:r>
    </w:p>
    <w:p w14:paraId="7001F335" w14:textId="6996F2C8" w:rsidR="0010262C" w:rsidRDefault="0017318E" w:rsidP="006565B0">
      <w:pPr>
        <w:spacing w:line="276" w:lineRule="auto"/>
        <w:rPr>
          <w:rFonts w:ascii="Calibri" w:hAnsi="Calibri" w:cs="Calibri"/>
        </w:rPr>
      </w:pPr>
      <w:r w:rsidRPr="0017318E">
        <w:rPr>
          <w:rFonts w:ascii="Calibri" w:hAnsi="Calibri" w:cs="Calibri"/>
        </w:rPr>
        <w:lastRenderedPageBreak/>
        <w:t xml:space="preserve">It can take some time to organise this strategy, and accumulating a lot of data might make analysis time-consuming (Taylor and Woodhams, 2022b). </w:t>
      </w:r>
      <w:bookmarkStart w:id="0" w:name="_Hlk152015463"/>
      <w:r w:rsidRPr="0017318E">
        <w:rPr>
          <w:rFonts w:ascii="Calibri" w:hAnsi="Calibri" w:cs="Calibri"/>
        </w:rPr>
        <w:t xml:space="preserve">In the case of in-person interviews, for example, travel expenses and time can be incurred (Jain, 2021). </w:t>
      </w:r>
      <w:bookmarkEnd w:id="0"/>
      <w:r w:rsidR="006565B0" w:rsidRPr="0017318E">
        <w:rPr>
          <w:rFonts w:ascii="Calibri" w:hAnsi="Calibri" w:cs="Calibri"/>
        </w:rPr>
        <w:t>These are important points to keep in mind.</w:t>
      </w:r>
    </w:p>
    <w:p w14:paraId="15783150" w14:textId="77777777" w:rsidR="006565B0" w:rsidRPr="00876FD0" w:rsidRDefault="006565B0" w:rsidP="006565B0">
      <w:pPr>
        <w:spacing w:line="276" w:lineRule="auto"/>
        <w:rPr>
          <w:rFonts w:ascii="Calibri" w:eastAsia="Times New Roman" w:hAnsi="Calibri" w:cs="Calibri"/>
          <w:b/>
          <w:bCs/>
          <w:szCs w:val="24"/>
          <w:lang w:eastAsia="en-GB"/>
        </w:rPr>
      </w:pPr>
    </w:p>
    <w:p w14:paraId="4EB48711" w14:textId="0EA8908D" w:rsidR="00EE2216" w:rsidRPr="0096398A" w:rsidRDefault="00417A44" w:rsidP="00DE31DC">
      <w:pPr>
        <w:widowControl w:val="0"/>
        <w:autoSpaceDE w:val="0"/>
        <w:autoSpaceDN w:val="0"/>
        <w:spacing w:before="162" w:after="0" w:line="360" w:lineRule="auto"/>
        <w:ind w:right="283"/>
        <w:jc w:val="both"/>
        <w:rPr>
          <w:rFonts w:ascii="Calibri" w:eastAsia="Arial" w:hAnsi="Calibri" w:cs="Calibri"/>
          <w:b/>
          <w:bCs/>
          <w:sz w:val="24"/>
          <w:szCs w:val="24"/>
        </w:rPr>
      </w:pPr>
      <w:r w:rsidRPr="0096398A">
        <w:rPr>
          <w:rFonts w:ascii="Calibri" w:eastAsia="Arial" w:hAnsi="Calibri" w:cs="Calibri"/>
          <w:b/>
          <w:bCs/>
          <w:sz w:val="24"/>
          <w:szCs w:val="24"/>
        </w:rPr>
        <w:t>C</w:t>
      </w:r>
      <w:r w:rsidR="00EE2216" w:rsidRPr="0096398A">
        <w:rPr>
          <w:rFonts w:ascii="Calibri" w:eastAsia="Arial" w:hAnsi="Calibri" w:cs="Calibri"/>
          <w:b/>
          <w:bCs/>
          <w:sz w:val="24"/>
          <w:szCs w:val="24"/>
        </w:rPr>
        <w:t>ritical thinking (AC 1.3)</w:t>
      </w:r>
      <w:r w:rsidR="00876FD0" w:rsidRPr="0096398A">
        <w:rPr>
          <w:rFonts w:ascii="Calibri" w:eastAsia="Arial" w:hAnsi="Calibri" w:cs="Calibri"/>
          <w:b/>
          <w:bCs/>
          <w:sz w:val="24"/>
          <w:szCs w:val="24"/>
        </w:rPr>
        <w:t xml:space="preserve"> </w:t>
      </w:r>
    </w:p>
    <w:p w14:paraId="0EAA33E4" w14:textId="419EC7CF" w:rsidR="00953546" w:rsidRPr="00B42F85" w:rsidRDefault="00953546" w:rsidP="00953546">
      <w:pPr>
        <w:widowControl w:val="0"/>
        <w:autoSpaceDE w:val="0"/>
        <w:autoSpaceDN w:val="0"/>
        <w:spacing w:before="162" w:after="0" w:line="276" w:lineRule="auto"/>
        <w:ind w:right="283"/>
        <w:jc w:val="both"/>
        <w:rPr>
          <w:rFonts w:ascii="Calibri" w:hAnsi="Calibri" w:cs="Calibri"/>
          <w:b/>
          <w:bCs/>
        </w:rPr>
      </w:pPr>
      <w:r w:rsidRPr="00AE43FA">
        <w:rPr>
          <w:rFonts w:ascii="Calibri" w:eastAsia="Arial" w:hAnsi="Calibri" w:cs="Calibri"/>
        </w:rPr>
        <w:t xml:space="preserve">Using a variety of sources, evaluating each one's reliability, relevance, and accuracy are all parts of critical thinking </w:t>
      </w:r>
      <w:r w:rsidR="00E90A53">
        <w:rPr>
          <w:rFonts w:ascii="Calibri" w:eastAsia="Arial" w:hAnsi="Calibri" w:cs="Calibri"/>
        </w:rPr>
        <w:t xml:space="preserve">(CT) </w:t>
      </w:r>
      <w:r w:rsidRPr="00AE43FA">
        <w:rPr>
          <w:rFonts w:ascii="Calibri" w:eastAsia="Arial" w:hAnsi="Calibri" w:cs="Calibri"/>
        </w:rPr>
        <w:t xml:space="preserve">(Frank, </w:t>
      </w:r>
      <w:proofErr w:type="spellStart"/>
      <w:r w:rsidRPr="00AE43FA">
        <w:rPr>
          <w:rFonts w:ascii="Calibri" w:eastAsia="Arial" w:hAnsi="Calibri" w:cs="Calibri"/>
        </w:rPr>
        <w:t>Magnone</w:t>
      </w:r>
      <w:proofErr w:type="spellEnd"/>
      <w:r w:rsidRPr="00AE43FA">
        <w:rPr>
          <w:rFonts w:ascii="Calibri" w:eastAsia="Arial" w:hAnsi="Calibri" w:cs="Calibri"/>
        </w:rPr>
        <w:t xml:space="preserve">, and </w:t>
      </w:r>
      <w:proofErr w:type="spellStart"/>
      <w:r w:rsidRPr="00AE43FA">
        <w:rPr>
          <w:rFonts w:ascii="Calibri" w:eastAsia="Arial" w:hAnsi="Calibri" w:cs="Calibri"/>
        </w:rPr>
        <w:t>Netzer</w:t>
      </w:r>
      <w:proofErr w:type="spellEnd"/>
      <w:r w:rsidRPr="00AE43FA">
        <w:rPr>
          <w:rFonts w:ascii="Calibri" w:eastAsia="Arial" w:hAnsi="Calibri" w:cs="Calibri"/>
        </w:rPr>
        <w:t xml:space="preserve">, 2023). It's a multifaceted process of thought that calls on a variety of abilities and skills (Cottrell, 2023), including reasoning, generating compelling arguments, and identifying biases or inaccuracies (Frank, </w:t>
      </w:r>
      <w:proofErr w:type="spellStart"/>
      <w:r w:rsidRPr="00AE43FA">
        <w:rPr>
          <w:rFonts w:ascii="Calibri" w:eastAsia="Arial" w:hAnsi="Calibri" w:cs="Calibri"/>
        </w:rPr>
        <w:t>Magnone</w:t>
      </w:r>
      <w:proofErr w:type="spellEnd"/>
      <w:r w:rsidRPr="00AE43FA">
        <w:rPr>
          <w:rFonts w:ascii="Calibri" w:eastAsia="Arial" w:hAnsi="Calibri" w:cs="Calibri"/>
        </w:rPr>
        <w:t xml:space="preserve">, and </w:t>
      </w:r>
      <w:proofErr w:type="spellStart"/>
      <w:r w:rsidRPr="00AE43FA">
        <w:rPr>
          <w:rFonts w:ascii="Calibri" w:eastAsia="Arial" w:hAnsi="Calibri" w:cs="Calibri"/>
        </w:rPr>
        <w:t>Netzer</w:t>
      </w:r>
      <w:proofErr w:type="spellEnd"/>
      <w:r w:rsidRPr="00AE43FA">
        <w:rPr>
          <w:rFonts w:ascii="Calibri" w:eastAsia="Arial" w:hAnsi="Calibri" w:cs="Calibri"/>
        </w:rPr>
        <w:t>, 2023). People are readily deceived into selecting less-than-ideal solutions because of a wide range of complex factors,</w:t>
      </w:r>
      <w:r>
        <w:rPr>
          <w:rFonts w:ascii="Calibri" w:eastAsia="Arial" w:hAnsi="Calibri" w:cs="Calibri"/>
        </w:rPr>
        <w:t xml:space="preserve"> including tunnel vision and confirmation bias, </w:t>
      </w:r>
      <w:r w:rsidRPr="00AE43FA">
        <w:rPr>
          <w:rFonts w:ascii="Calibri" w:eastAsia="Arial" w:hAnsi="Calibri" w:cs="Calibri"/>
        </w:rPr>
        <w:t xml:space="preserve">which can influence how they react to different situations (CMI, 2015). </w:t>
      </w:r>
      <w:r w:rsidRPr="00334A01">
        <w:rPr>
          <w:rFonts w:ascii="Calibri" w:eastAsia="Arial" w:hAnsi="Calibri" w:cs="Calibri"/>
        </w:rPr>
        <w:t>Being aware of outside effects on our thoughts and decisions is crucial because it can be challenging to recognise personal biases (Cottrell, 2023).</w:t>
      </w:r>
      <w:r>
        <w:rPr>
          <w:rFonts w:ascii="Calibri" w:eastAsia="Arial" w:hAnsi="Calibri" w:cs="Calibri"/>
        </w:rPr>
        <w:t xml:space="preserve"> </w:t>
      </w:r>
      <w:r w:rsidRPr="00334A01">
        <w:rPr>
          <w:rFonts w:ascii="Calibri" w:eastAsia="Arial" w:hAnsi="Calibri" w:cs="Calibri"/>
        </w:rPr>
        <w:t xml:space="preserve">Since it is simpler to identify biases in the opinions of others, involving more people in the decision-making process may be </w:t>
      </w:r>
      <w:r>
        <w:rPr>
          <w:rFonts w:ascii="Calibri" w:eastAsia="Arial" w:hAnsi="Calibri" w:cs="Calibri"/>
        </w:rPr>
        <w:t xml:space="preserve">more </w:t>
      </w:r>
      <w:r w:rsidRPr="00334A01">
        <w:rPr>
          <w:rFonts w:ascii="Calibri" w:eastAsia="Arial" w:hAnsi="Calibri" w:cs="Calibri"/>
        </w:rPr>
        <w:t>beneficial (CMI, 2015).</w:t>
      </w:r>
    </w:p>
    <w:p w14:paraId="32956D9F" w14:textId="77777777" w:rsidR="00953546" w:rsidRPr="004C1AF5" w:rsidRDefault="00953546" w:rsidP="00953546">
      <w:pPr>
        <w:widowControl w:val="0"/>
        <w:autoSpaceDE w:val="0"/>
        <w:autoSpaceDN w:val="0"/>
        <w:spacing w:before="162" w:after="0" w:line="276" w:lineRule="auto"/>
        <w:ind w:right="283"/>
        <w:jc w:val="both"/>
        <w:rPr>
          <w:color w:val="FF0000"/>
        </w:rPr>
      </w:pPr>
      <w:r w:rsidRPr="004C1AF5">
        <w:rPr>
          <w:rFonts w:ascii="Calibri" w:eastAsia="Arial" w:hAnsi="Calibri" w:cs="Calibri"/>
        </w:rPr>
        <w:t>As noted by Haber (2020) critical thinkers should be able to analyse a topic from various perspectives and should practise doing so when making decisions. This ability to think critically also extends to thinking about the wider picture (</w:t>
      </w:r>
      <w:r w:rsidRPr="004C1AF5">
        <w:rPr>
          <w:rFonts w:ascii="Calibri" w:hAnsi="Calibri" w:cs="Calibri"/>
        </w:rPr>
        <w:t xml:space="preserve">Roper, </w:t>
      </w:r>
      <w:proofErr w:type="spellStart"/>
      <w:r w:rsidRPr="004C1AF5">
        <w:rPr>
          <w:rFonts w:ascii="Calibri" w:hAnsi="Calibri" w:cs="Calibri"/>
        </w:rPr>
        <w:t>Prouska</w:t>
      </w:r>
      <w:proofErr w:type="spellEnd"/>
      <w:r w:rsidRPr="004C1AF5">
        <w:rPr>
          <w:rFonts w:ascii="Calibri" w:hAnsi="Calibri" w:cs="Calibri"/>
        </w:rPr>
        <w:t xml:space="preserve"> and </w:t>
      </w:r>
      <w:proofErr w:type="spellStart"/>
      <w:r w:rsidRPr="004C1AF5">
        <w:rPr>
          <w:rFonts w:ascii="Calibri" w:hAnsi="Calibri" w:cs="Calibri"/>
        </w:rPr>
        <w:t>Ayudhuam</w:t>
      </w:r>
      <w:proofErr w:type="spellEnd"/>
      <w:r w:rsidRPr="004C1AF5">
        <w:rPr>
          <w:rFonts w:ascii="Calibri" w:hAnsi="Calibri" w:cs="Calibri"/>
        </w:rPr>
        <w:t>, 2010).</w:t>
      </w:r>
      <w:r w:rsidRPr="004C1AF5">
        <w:t xml:space="preserve"> </w:t>
      </w:r>
      <w:r w:rsidRPr="004C1AF5">
        <w:rPr>
          <w:rFonts w:ascii="Calibri" w:hAnsi="Calibri" w:cs="Calibri"/>
        </w:rPr>
        <w:t>When analysing data, Professionals should ensure they don't accept anything at face value (CIPD, 2016), similarly, they should not dismiss data if it challenges their beliefs (Briner, 2015). When utilised constructively, scepticism can aid in decision-making regarding the likelihood of something being true, useful, or productive (Cottrell, 2023).</w:t>
      </w:r>
    </w:p>
    <w:p w14:paraId="299B44A8" w14:textId="2901792A" w:rsidR="00953546" w:rsidRPr="00AE43FA" w:rsidRDefault="00953546" w:rsidP="00A47336">
      <w:pPr>
        <w:widowControl w:val="0"/>
        <w:autoSpaceDE w:val="0"/>
        <w:autoSpaceDN w:val="0"/>
        <w:spacing w:before="162" w:after="0" w:line="276" w:lineRule="auto"/>
        <w:ind w:right="283"/>
        <w:jc w:val="both"/>
        <w:rPr>
          <w:rFonts w:ascii="Calibri" w:eastAsia="Arial" w:hAnsi="Calibri" w:cs="Calibri"/>
        </w:rPr>
      </w:pPr>
      <w:r w:rsidRPr="00AE43FA">
        <w:rPr>
          <w:rFonts w:ascii="Calibri" w:eastAsia="Arial" w:hAnsi="Calibri" w:cs="Calibri"/>
        </w:rPr>
        <w:t>Howlett (</w:t>
      </w:r>
      <w:r>
        <w:rPr>
          <w:rFonts w:ascii="Calibri" w:eastAsia="Arial" w:hAnsi="Calibri" w:cs="Calibri"/>
        </w:rPr>
        <w:t xml:space="preserve">Howlett and </w:t>
      </w:r>
      <w:proofErr w:type="spellStart"/>
      <w:r>
        <w:rPr>
          <w:rFonts w:ascii="Calibri" w:eastAsia="Arial" w:hAnsi="Calibri" w:cs="Calibri"/>
        </w:rPr>
        <w:t>Codburn</w:t>
      </w:r>
      <w:proofErr w:type="spellEnd"/>
      <w:r>
        <w:rPr>
          <w:rFonts w:ascii="Calibri" w:eastAsia="Arial" w:hAnsi="Calibri" w:cs="Calibri"/>
        </w:rPr>
        <w:t xml:space="preserve">, </w:t>
      </w:r>
      <w:r w:rsidRPr="00AE43FA">
        <w:rPr>
          <w:rFonts w:ascii="Calibri" w:eastAsia="Arial" w:hAnsi="Calibri" w:cs="Calibri"/>
        </w:rPr>
        <w:t>2019) outlined three qualities of a critical thinker in their C</w:t>
      </w:r>
      <w:r w:rsidR="00095B7F">
        <w:rPr>
          <w:rFonts w:ascii="Calibri" w:eastAsia="Arial" w:hAnsi="Calibri" w:cs="Calibri"/>
        </w:rPr>
        <w:t>T</w:t>
      </w:r>
      <w:r w:rsidRPr="00AE43FA">
        <w:rPr>
          <w:rFonts w:ascii="Calibri" w:eastAsia="Arial" w:hAnsi="Calibri" w:cs="Calibri"/>
        </w:rPr>
        <w:t xml:space="preserve"> podcast: evaluating the ideas, viewpoints, and arguments of others; identifying the methods by which others formulate their thoughts and arguments; and recognising when these methods are being used by others. All three of these qualities, according to Howlett, make a critical thinker more prepared to generate a discussion at a meeting, especially when there might be participants who lack knowledge.</w:t>
      </w:r>
    </w:p>
    <w:p w14:paraId="29784424" w14:textId="77777777" w:rsidR="00A47336" w:rsidRDefault="00A47336" w:rsidP="00A47336">
      <w:pPr>
        <w:spacing w:after="0" w:line="276" w:lineRule="auto"/>
        <w:rPr>
          <w:rFonts w:ascii="Calibri" w:eastAsia="Times New Roman" w:hAnsi="Calibri" w:cs="Calibri"/>
          <w:lang w:eastAsia="en-GB"/>
        </w:rPr>
      </w:pPr>
    </w:p>
    <w:p w14:paraId="416EFB18" w14:textId="7BF34337" w:rsidR="00A47336" w:rsidRPr="00A47336" w:rsidRDefault="00A47336" w:rsidP="00A47336">
      <w:pPr>
        <w:spacing w:after="0" w:line="276" w:lineRule="auto"/>
        <w:rPr>
          <w:rFonts w:ascii="Calibri" w:eastAsia="Times New Roman" w:hAnsi="Calibri" w:cs="Calibri"/>
          <w:lang w:eastAsia="en-GB"/>
        </w:rPr>
      </w:pPr>
      <w:r w:rsidRPr="00A47336">
        <w:rPr>
          <w:rFonts w:ascii="Calibri" w:eastAsia="Times New Roman" w:hAnsi="Calibri" w:cs="Calibri"/>
          <w:lang w:eastAsia="en-GB"/>
        </w:rPr>
        <w:t>According to Cottrell (2023), critical thinkers can scrutinize their own viewpoint and verify the data that backs it. Inquiring helps us develop. Being confrontational or constantly critical of others is not related to critical thinking. Critical thinking abilities can be used to identify fallacies and flawed reasoning, but they can also be utilized to support opposing views and work with others to solve issues and gain knowledge (Lau, 201</w:t>
      </w:r>
      <w:r w:rsidR="00880DD9">
        <w:rPr>
          <w:rFonts w:ascii="Calibri" w:eastAsia="Times New Roman" w:hAnsi="Calibri" w:cs="Calibri"/>
          <w:lang w:eastAsia="en-GB"/>
        </w:rPr>
        <w:t>1</w:t>
      </w:r>
      <w:r w:rsidRPr="00A47336">
        <w:rPr>
          <w:rFonts w:ascii="Calibri" w:eastAsia="Times New Roman" w:hAnsi="Calibri" w:cs="Calibri"/>
          <w:lang w:eastAsia="en-GB"/>
        </w:rPr>
        <w:t xml:space="preserve">). Critical thinking is a crucial talent for communicating ideas clearly, </w:t>
      </w:r>
      <w:r w:rsidR="00C55784" w:rsidRPr="00A47336">
        <w:rPr>
          <w:rFonts w:ascii="Calibri" w:eastAsia="Times New Roman" w:hAnsi="Calibri" w:cs="Calibri"/>
          <w:lang w:eastAsia="en-GB"/>
        </w:rPr>
        <w:t>analysing</w:t>
      </w:r>
      <w:r w:rsidRPr="00A47336">
        <w:rPr>
          <w:rFonts w:ascii="Calibri" w:eastAsia="Times New Roman" w:hAnsi="Calibri" w:cs="Calibri"/>
          <w:lang w:eastAsia="en-GB"/>
        </w:rPr>
        <w:t xml:space="preserve"> and interpreting the significance of viewpoints or ideas offered, and applying knowledge to new situations (</w:t>
      </w:r>
      <w:proofErr w:type="spellStart"/>
      <w:r w:rsidRPr="00A47336">
        <w:rPr>
          <w:rFonts w:ascii="Calibri" w:eastAsia="Times New Roman" w:hAnsi="Calibri" w:cs="Calibri"/>
          <w:lang w:eastAsia="en-GB"/>
        </w:rPr>
        <w:t>Kivunja</w:t>
      </w:r>
      <w:proofErr w:type="spellEnd"/>
      <w:r w:rsidRPr="00A47336">
        <w:rPr>
          <w:rFonts w:ascii="Calibri" w:eastAsia="Times New Roman" w:hAnsi="Calibri" w:cs="Calibri"/>
          <w:lang w:eastAsia="en-GB"/>
        </w:rPr>
        <w:t xml:space="preserve">, 2015). </w:t>
      </w:r>
    </w:p>
    <w:p w14:paraId="0CD63E7B" w14:textId="4EA85AC8" w:rsidR="000439FA" w:rsidRPr="00876FD0" w:rsidRDefault="000439FA" w:rsidP="00DE31DC">
      <w:pPr>
        <w:widowControl w:val="0"/>
        <w:autoSpaceDE w:val="0"/>
        <w:autoSpaceDN w:val="0"/>
        <w:spacing w:before="162" w:after="0" w:line="360" w:lineRule="auto"/>
        <w:ind w:right="283"/>
        <w:jc w:val="both"/>
        <w:rPr>
          <w:rFonts w:ascii="Calibri" w:eastAsia="Arial" w:hAnsi="Calibri" w:cs="Calibri"/>
          <w:b/>
          <w:bCs/>
        </w:rPr>
      </w:pPr>
    </w:p>
    <w:p w14:paraId="7EAE7C67" w14:textId="031FE53C" w:rsidR="00EE2216" w:rsidRPr="0096398A" w:rsidRDefault="00417A44" w:rsidP="00DE31DC">
      <w:pPr>
        <w:widowControl w:val="0"/>
        <w:autoSpaceDE w:val="0"/>
        <w:autoSpaceDN w:val="0"/>
        <w:spacing w:before="162" w:after="0" w:line="360" w:lineRule="auto"/>
        <w:ind w:right="283"/>
        <w:jc w:val="both"/>
        <w:rPr>
          <w:rFonts w:ascii="Calibri" w:eastAsia="Arial" w:hAnsi="Calibri" w:cs="Calibri"/>
          <w:b/>
          <w:bCs/>
          <w:sz w:val="24"/>
          <w:szCs w:val="24"/>
        </w:rPr>
      </w:pPr>
      <w:r w:rsidRPr="0096398A">
        <w:rPr>
          <w:rFonts w:ascii="Calibri" w:eastAsia="Arial" w:hAnsi="Calibri" w:cs="Calibri"/>
          <w:b/>
          <w:bCs/>
          <w:sz w:val="24"/>
          <w:szCs w:val="24"/>
        </w:rPr>
        <w:t>D</w:t>
      </w:r>
      <w:r w:rsidR="00EE2216" w:rsidRPr="0096398A">
        <w:rPr>
          <w:rFonts w:ascii="Calibri" w:eastAsia="Arial" w:hAnsi="Calibri" w:cs="Calibri"/>
          <w:b/>
          <w:bCs/>
          <w:sz w:val="24"/>
          <w:szCs w:val="24"/>
        </w:rPr>
        <w:t xml:space="preserve">ecision-making </w:t>
      </w:r>
      <w:r w:rsidRPr="0096398A">
        <w:rPr>
          <w:rFonts w:ascii="Calibri" w:eastAsia="Arial" w:hAnsi="Calibri" w:cs="Calibri"/>
          <w:b/>
          <w:bCs/>
          <w:sz w:val="24"/>
          <w:szCs w:val="24"/>
        </w:rPr>
        <w:t>P</w:t>
      </w:r>
      <w:r w:rsidR="00EE2216" w:rsidRPr="0096398A">
        <w:rPr>
          <w:rFonts w:ascii="Calibri" w:eastAsia="Arial" w:hAnsi="Calibri" w:cs="Calibri"/>
          <w:b/>
          <w:bCs/>
          <w:sz w:val="24"/>
          <w:szCs w:val="24"/>
        </w:rPr>
        <w:t xml:space="preserve">rocesses (AC 1.4) </w:t>
      </w:r>
    </w:p>
    <w:p w14:paraId="37B53357" w14:textId="2162E2FC" w:rsidR="00876FD0" w:rsidRPr="006A6011" w:rsidRDefault="00876FD0" w:rsidP="00876FD0">
      <w:r>
        <w:t xml:space="preserve">There are sometimes as many options for how to proceed with a decision as there are for the decision itself (CMI, 2015). </w:t>
      </w:r>
      <w:r w:rsidRPr="00015BB7">
        <w:rPr>
          <w:rFonts w:ascii="Calibri" w:hAnsi="Calibri" w:cs="Calibri"/>
          <w:shd w:val="clear" w:color="auto" w:fill="FFFFFF"/>
        </w:rPr>
        <w:t xml:space="preserve">As stated by Butler (2010), decision-makers frequently approach </w:t>
      </w:r>
      <w:r w:rsidRPr="00015BB7">
        <w:rPr>
          <w:rFonts w:ascii="Calibri" w:hAnsi="Calibri" w:cs="Calibri"/>
          <w:shd w:val="clear" w:color="auto" w:fill="FFFFFF"/>
        </w:rPr>
        <w:lastRenderedPageBreak/>
        <w:t>problems by following the conventional path and attempts should always be made to find new approaches to solving issues whenever conventional methods prove to be inadequate.</w:t>
      </w:r>
      <w:r>
        <w:rPr>
          <w:rFonts w:ascii="Calibri" w:hAnsi="Calibri" w:cs="Calibri"/>
          <w:shd w:val="clear" w:color="auto" w:fill="FFFFFF"/>
        </w:rPr>
        <w:t xml:space="preserve"> </w:t>
      </w:r>
      <w:r>
        <w:t xml:space="preserve">There are a range of decision-making process available that people professionals can utilise to help facilitate the best possible outcome for their organisations. Among them include De Bono’s Six </w:t>
      </w:r>
      <w:proofErr w:type="gramStart"/>
      <w:r>
        <w:t>thinking</w:t>
      </w:r>
      <w:proofErr w:type="gramEnd"/>
      <w:r>
        <w:t xml:space="preserve"> Hats, Lateral thinking and </w:t>
      </w:r>
      <w:r w:rsidR="003B4E5A">
        <w:t>Kepner and Tregoe’s model.</w:t>
      </w:r>
    </w:p>
    <w:p w14:paraId="3D7F5145" w14:textId="10354816" w:rsidR="00876FD0" w:rsidRPr="00FA5CBC" w:rsidRDefault="00876FD0" w:rsidP="00876FD0">
      <w:pPr>
        <w:widowControl w:val="0"/>
        <w:autoSpaceDE w:val="0"/>
        <w:autoSpaceDN w:val="0"/>
        <w:spacing w:before="162" w:after="0" w:line="276" w:lineRule="auto"/>
        <w:ind w:right="283"/>
        <w:jc w:val="both"/>
        <w:rPr>
          <w:rFonts w:ascii="Calibri" w:eastAsia="Arial" w:hAnsi="Calibri" w:cs="Calibri"/>
        </w:rPr>
      </w:pPr>
      <w:r w:rsidRPr="00E902EE">
        <w:t xml:space="preserve">According to </w:t>
      </w:r>
      <w:proofErr w:type="spellStart"/>
      <w:r w:rsidRPr="00E902EE">
        <w:t>Aidal</w:t>
      </w:r>
      <w:proofErr w:type="spellEnd"/>
      <w:r w:rsidRPr="00E902EE">
        <w:t xml:space="preserve"> and Kumar (2017), De Bono's Six Thinking Hats technique is a multifaceted way to thinking that is applicable to decision making in complex organisations.</w:t>
      </w:r>
      <w:r>
        <w:t xml:space="preserve"> </w:t>
      </w:r>
      <w:r w:rsidRPr="00FA5CBC">
        <w:t xml:space="preserve">This metaphor stands for six distinct cognitive processes to analysis and </w:t>
      </w:r>
      <w:r w:rsidR="00095B7F">
        <w:t>CT</w:t>
      </w:r>
      <w:r w:rsidRPr="00FA5CBC">
        <w:t xml:space="preserve"> that are used to comprehend a situation and attempt to identify a workable solution (</w:t>
      </w:r>
      <w:proofErr w:type="spellStart"/>
      <w:r w:rsidRPr="00FA5CBC">
        <w:t>Kivunja</w:t>
      </w:r>
      <w:proofErr w:type="spellEnd"/>
      <w:r w:rsidRPr="00FA5CBC">
        <w:t>, 2015). According to De Bono (2017), every colour has a distinct emotional connotation associated with its intended use.</w:t>
      </w:r>
      <w:r>
        <w:t xml:space="preserve"> </w:t>
      </w:r>
      <w:r w:rsidRPr="00FA5CBC">
        <w:t>For instance, the white hat, perceived as neutral and focused on facts and figures, contrasts with the yellow hat, which is sunny, optimistic, and symbolises positive thinking. This idea is highly adaptable and may be used in a group/team setting or by one individual donning each of the six hats one at a time</w:t>
      </w:r>
      <w:r>
        <w:t xml:space="preserve"> (</w:t>
      </w:r>
      <w:proofErr w:type="spellStart"/>
      <w:r>
        <w:t>Aithal</w:t>
      </w:r>
      <w:proofErr w:type="spellEnd"/>
      <w:r>
        <w:t xml:space="preserve"> and Kumar, 2017)</w:t>
      </w:r>
      <w:r w:rsidRPr="00FA5CBC">
        <w:t>.</w:t>
      </w:r>
      <w:r>
        <w:rPr>
          <w:rFonts w:ascii="Calibri" w:eastAsia="Arial" w:hAnsi="Calibri" w:cs="Calibri"/>
        </w:rPr>
        <w:t xml:space="preserve"> </w:t>
      </w:r>
      <w:r w:rsidRPr="00FA5CBC">
        <w:rPr>
          <w:rFonts w:ascii="Calibri" w:eastAsia="Arial" w:hAnsi="Calibri" w:cs="Calibri"/>
        </w:rPr>
        <w:t xml:space="preserve">This method has the potential to produce positive results for organisational issues since it </w:t>
      </w:r>
      <w:r w:rsidRPr="00460CFF">
        <w:rPr>
          <w:rFonts w:ascii="Calibri" w:eastAsia="Arial" w:hAnsi="Calibri" w:cs="Calibri"/>
        </w:rPr>
        <w:t>aids in</w:t>
      </w:r>
      <w:r>
        <w:rPr>
          <w:rFonts w:ascii="Calibri" w:eastAsia="Arial" w:hAnsi="Calibri" w:cs="Calibri"/>
          <w:b/>
          <w:bCs/>
        </w:rPr>
        <w:t xml:space="preserve"> </w:t>
      </w:r>
      <w:r w:rsidRPr="00FA5CBC">
        <w:rPr>
          <w:rFonts w:ascii="Calibri" w:eastAsia="Arial" w:hAnsi="Calibri" w:cs="Calibri"/>
        </w:rPr>
        <w:t>the development of strong solutions resulting from diverse thought processes, and the prompt identification of potential solutions (</w:t>
      </w:r>
      <w:proofErr w:type="spellStart"/>
      <w:r w:rsidRPr="00FA5CBC">
        <w:rPr>
          <w:rFonts w:ascii="Calibri" w:eastAsia="Arial" w:hAnsi="Calibri" w:cs="Calibri"/>
        </w:rPr>
        <w:t>Aithal</w:t>
      </w:r>
      <w:proofErr w:type="spellEnd"/>
      <w:r w:rsidRPr="00FA5CBC">
        <w:rPr>
          <w:rFonts w:ascii="Calibri" w:eastAsia="Arial" w:hAnsi="Calibri" w:cs="Calibri"/>
        </w:rPr>
        <w:t xml:space="preserve"> and Kumar, 2016).</w:t>
      </w:r>
    </w:p>
    <w:p w14:paraId="585D948A" w14:textId="77777777" w:rsidR="00876FD0" w:rsidRPr="00961087" w:rsidRDefault="00876FD0" w:rsidP="00876FD0">
      <w:pPr>
        <w:widowControl w:val="0"/>
        <w:autoSpaceDE w:val="0"/>
        <w:autoSpaceDN w:val="0"/>
        <w:spacing w:before="162" w:after="0" w:line="276" w:lineRule="auto"/>
        <w:ind w:right="283"/>
        <w:jc w:val="both"/>
        <w:rPr>
          <w:rFonts w:ascii="Calibri" w:hAnsi="Calibri" w:cs="Calibri"/>
          <w:shd w:val="clear" w:color="auto" w:fill="FFFFFF"/>
        </w:rPr>
      </w:pPr>
      <w:r w:rsidRPr="00961087">
        <w:rPr>
          <w:rFonts w:ascii="Calibri" w:hAnsi="Calibri" w:cs="Calibri"/>
          <w:shd w:val="clear" w:color="auto" w:fill="FFFFFF"/>
        </w:rPr>
        <w:t>In contrast to vertical thinking, which focuses exclusively on facts, lateral thinking is more focused with the creation of unique concepts and fresh perspectives (</w:t>
      </w:r>
      <w:r>
        <w:rPr>
          <w:rFonts w:ascii="Calibri" w:hAnsi="Calibri" w:cs="Calibri"/>
          <w:shd w:val="clear" w:color="auto" w:fill="FFFFFF"/>
        </w:rPr>
        <w:t>Bala</w:t>
      </w:r>
      <w:r w:rsidRPr="00961087">
        <w:rPr>
          <w:rFonts w:ascii="Calibri" w:hAnsi="Calibri" w:cs="Calibri"/>
          <w:shd w:val="clear" w:color="auto" w:fill="FFFFFF"/>
        </w:rPr>
        <w:t>, 2014). Despite having a strong connection to creativity (De Bono, 1990), it has little to do with original thoughts and viewpoints (</w:t>
      </w:r>
      <w:r>
        <w:rPr>
          <w:rFonts w:ascii="Calibri" w:hAnsi="Calibri" w:cs="Calibri"/>
          <w:shd w:val="clear" w:color="auto" w:fill="FFFFFF"/>
        </w:rPr>
        <w:t>Bala</w:t>
      </w:r>
      <w:r w:rsidRPr="00961087">
        <w:rPr>
          <w:rFonts w:ascii="Calibri" w:hAnsi="Calibri" w:cs="Calibri"/>
          <w:shd w:val="clear" w:color="auto" w:fill="FFFFFF"/>
        </w:rPr>
        <w:t xml:space="preserve">, 2014). To create a decision framework, lateral thinking replaces the traditional method of formulating broad inquiries with a procedure that begins by challenging accepted assumptions (Butler, 2010). Finding a creative solution after </w:t>
      </w:r>
      <w:proofErr w:type="gramStart"/>
      <w:r w:rsidRPr="00961087">
        <w:rPr>
          <w:rFonts w:ascii="Calibri" w:hAnsi="Calibri" w:cs="Calibri"/>
          <w:shd w:val="clear" w:color="auto" w:fill="FFFFFF"/>
        </w:rPr>
        <w:t>making a decision</w:t>
      </w:r>
      <w:proofErr w:type="gramEnd"/>
      <w:r w:rsidRPr="00961087">
        <w:rPr>
          <w:rFonts w:ascii="Calibri" w:hAnsi="Calibri" w:cs="Calibri"/>
          <w:shd w:val="clear" w:color="auto" w:fill="FFFFFF"/>
        </w:rPr>
        <w:t xml:space="preserve"> is crucial to lateral thinking (Butler, 2010).</w:t>
      </w:r>
    </w:p>
    <w:p w14:paraId="04E43C76" w14:textId="3ED56573" w:rsidR="002A21BC" w:rsidRPr="00961087" w:rsidRDefault="002A21BC" w:rsidP="002A21BC">
      <w:pPr>
        <w:widowControl w:val="0"/>
        <w:autoSpaceDE w:val="0"/>
        <w:autoSpaceDN w:val="0"/>
        <w:spacing w:before="162" w:after="0" w:line="276" w:lineRule="auto"/>
        <w:ind w:right="283"/>
        <w:jc w:val="both"/>
        <w:rPr>
          <w:rFonts w:ascii="Calibri" w:hAnsi="Calibri" w:cs="Calibri"/>
          <w:shd w:val="clear" w:color="auto" w:fill="FFFFFF"/>
        </w:rPr>
      </w:pPr>
      <w:r w:rsidRPr="00DA38EE">
        <w:rPr>
          <w:rFonts w:ascii="Calibri" w:hAnsi="Calibri" w:cs="Calibri"/>
          <w:shd w:val="clear" w:color="auto" w:fill="FFFFFF"/>
        </w:rPr>
        <w:t xml:space="preserve">And lastly, Kepner and Tregoe's model is another </w:t>
      </w:r>
      <w:r w:rsidR="00E324F2">
        <w:rPr>
          <w:rFonts w:ascii="Calibri" w:hAnsi="Calibri" w:cs="Calibri"/>
          <w:shd w:val="clear" w:color="auto" w:fill="FFFFFF"/>
        </w:rPr>
        <w:t>decision-making process</w:t>
      </w:r>
      <w:r w:rsidRPr="00DA38EE">
        <w:rPr>
          <w:rFonts w:ascii="Calibri" w:hAnsi="Calibri" w:cs="Calibri"/>
          <w:shd w:val="clear" w:color="auto" w:fill="FFFFFF"/>
        </w:rPr>
        <w:t xml:space="preserve"> that experts can find useful. Determining which elements matter most when </w:t>
      </w:r>
      <w:proofErr w:type="gramStart"/>
      <w:r w:rsidRPr="00DA38EE">
        <w:rPr>
          <w:rFonts w:ascii="Calibri" w:hAnsi="Calibri" w:cs="Calibri"/>
          <w:shd w:val="clear" w:color="auto" w:fill="FFFFFF"/>
        </w:rPr>
        <w:t>making a decision</w:t>
      </w:r>
      <w:proofErr w:type="gramEnd"/>
      <w:r w:rsidRPr="00DA38EE">
        <w:rPr>
          <w:rFonts w:ascii="Calibri" w:hAnsi="Calibri" w:cs="Calibri"/>
          <w:shd w:val="clear" w:color="auto" w:fill="FFFFFF"/>
        </w:rPr>
        <w:t xml:space="preserve"> is the idea behind this model (CMI, 2015). The knowledge needed to address a particular issue can be obtained by asking the appropriate questions in the correct sequence (Markopoulos et al, 2022). When ample time is given to thoroughly assess choices, this approach can prove to be highly efficacious (CMI, 2015).</w:t>
      </w:r>
    </w:p>
    <w:p w14:paraId="4A693557" w14:textId="3B6A8293" w:rsidR="00D5239D" w:rsidRDefault="002A21BC" w:rsidP="00D5239D">
      <w:pPr>
        <w:widowControl w:val="0"/>
        <w:autoSpaceDE w:val="0"/>
        <w:autoSpaceDN w:val="0"/>
        <w:spacing w:before="162" w:after="0" w:line="360" w:lineRule="auto"/>
        <w:ind w:right="283"/>
        <w:jc w:val="both"/>
        <w:rPr>
          <w:rFonts w:ascii="Calibri" w:eastAsia="Arial" w:hAnsi="Calibri" w:cs="Calibri"/>
          <w:b/>
          <w:bCs/>
        </w:rPr>
      </w:pPr>
      <w:r>
        <w:rPr>
          <w:noProof/>
          <w:lang w:eastAsia="en-GB"/>
        </w:rPr>
        <w:lastRenderedPageBreak/>
        <w:drawing>
          <wp:inline distT="0" distB="0" distL="0" distR="0" wp14:anchorId="4462465A" wp14:editId="70E2D734">
            <wp:extent cx="5657850" cy="2847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57850" cy="2847975"/>
                    </a:xfrm>
                    <a:prstGeom prst="rect">
                      <a:avLst/>
                    </a:prstGeom>
                  </pic:spPr>
                </pic:pic>
              </a:graphicData>
            </a:graphic>
          </wp:inline>
        </w:drawing>
      </w:r>
    </w:p>
    <w:p w14:paraId="00201C72" w14:textId="6EBAAC73" w:rsidR="002A21BC" w:rsidRDefault="002A21BC" w:rsidP="00D5239D">
      <w:pPr>
        <w:widowControl w:val="0"/>
        <w:autoSpaceDE w:val="0"/>
        <w:autoSpaceDN w:val="0"/>
        <w:spacing w:before="162" w:after="0" w:line="360" w:lineRule="auto"/>
        <w:ind w:right="283"/>
        <w:jc w:val="both"/>
        <w:rPr>
          <w:rFonts w:ascii="Calibri" w:eastAsia="Arial" w:hAnsi="Calibri" w:cs="Calibri"/>
          <w:b/>
          <w:bCs/>
        </w:rPr>
      </w:pPr>
      <w:r>
        <w:rPr>
          <w:rFonts w:ascii="Calibri" w:eastAsia="Arial" w:hAnsi="Calibri" w:cs="Calibri"/>
          <w:b/>
          <w:bCs/>
        </w:rPr>
        <w:t xml:space="preserve">Figure </w:t>
      </w:r>
      <w:r w:rsidR="00EA3E43">
        <w:rPr>
          <w:rFonts w:ascii="Calibri" w:eastAsia="Arial" w:hAnsi="Calibri" w:cs="Calibri"/>
          <w:b/>
          <w:bCs/>
        </w:rPr>
        <w:t>1.</w:t>
      </w:r>
      <w:r w:rsidR="00533060">
        <w:rPr>
          <w:rFonts w:ascii="Calibri" w:eastAsia="Arial" w:hAnsi="Calibri" w:cs="Calibri"/>
          <w:b/>
          <w:bCs/>
        </w:rPr>
        <w:t>4</w:t>
      </w:r>
      <w:r>
        <w:rPr>
          <w:rFonts w:ascii="Calibri" w:eastAsia="Arial" w:hAnsi="Calibri" w:cs="Calibri"/>
          <w:b/>
          <w:bCs/>
        </w:rPr>
        <w:t xml:space="preserve"> Kepner and Tregoe’s method thinking foundations</w:t>
      </w:r>
      <w:r w:rsidR="00E20886">
        <w:rPr>
          <w:rFonts w:ascii="Calibri" w:eastAsia="Arial" w:hAnsi="Calibri" w:cs="Calibri"/>
          <w:b/>
          <w:bCs/>
        </w:rPr>
        <w:t xml:space="preserve"> </w:t>
      </w:r>
      <w:r w:rsidR="00C55784">
        <w:rPr>
          <w:rFonts w:ascii="Calibri" w:eastAsia="Arial" w:hAnsi="Calibri" w:cs="Calibri"/>
          <w:b/>
          <w:bCs/>
        </w:rPr>
        <w:t>(</w:t>
      </w:r>
      <w:proofErr w:type="spellStart"/>
      <w:r w:rsidR="00505429">
        <w:rPr>
          <w:rFonts w:ascii="Calibri" w:eastAsia="Arial" w:hAnsi="Calibri" w:cs="Calibri"/>
          <w:b/>
          <w:bCs/>
        </w:rPr>
        <w:t>Markopolous</w:t>
      </w:r>
      <w:proofErr w:type="spellEnd"/>
      <w:r w:rsidR="00505429">
        <w:rPr>
          <w:rFonts w:ascii="Calibri" w:eastAsia="Arial" w:hAnsi="Calibri" w:cs="Calibri"/>
          <w:b/>
          <w:bCs/>
        </w:rPr>
        <w:t xml:space="preserve"> et al, 2022, p. 199</w:t>
      </w:r>
      <w:r w:rsidR="00E20886">
        <w:rPr>
          <w:rFonts w:ascii="Calibri" w:eastAsia="Arial" w:hAnsi="Calibri" w:cs="Calibri"/>
          <w:b/>
          <w:bCs/>
        </w:rPr>
        <w:t>)</w:t>
      </w:r>
    </w:p>
    <w:p w14:paraId="06E76479" w14:textId="5911AFB7" w:rsidR="00EE2216" w:rsidRPr="00E57227" w:rsidRDefault="00417A44" w:rsidP="00DE31DC">
      <w:pPr>
        <w:widowControl w:val="0"/>
        <w:autoSpaceDE w:val="0"/>
        <w:autoSpaceDN w:val="0"/>
        <w:spacing w:before="162" w:after="0" w:line="360" w:lineRule="auto"/>
        <w:ind w:right="283"/>
        <w:jc w:val="both"/>
        <w:rPr>
          <w:rFonts w:ascii="Calibri" w:eastAsia="Arial" w:hAnsi="Calibri" w:cs="Calibri"/>
          <w:b/>
          <w:bCs/>
        </w:rPr>
      </w:pPr>
      <w:r w:rsidRPr="00E57227">
        <w:rPr>
          <w:rFonts w:ascii="Calibri" w:eastAsia="Arial" w:hAnsi="Calibri" w:cs="Calibri"/>
          <w:b/>
          <w:bCs/>
        </w:rPr>
        <w:t>E</w:t>
      </w:r>
      <w:r w:rsidR="00EE2216" w:rsidRPr="00E57227">
        <w:rPr>
          <w:rFonts w:ascii="Calibri" w:eastAsia="Arial" w:hAnsi="Calibri" w:cs="Calibri"/>
          <w:b/>
          <w:bCs/>
        </w:rPr>
        <w:t xml:space="preserve">thical </w:t>
      </w:r>
      <w:r w:rsidRPr="00E57227">
        <w:rPr>
          <w:rFonts w:ascii="Calibri" w:eastAsia="Arial" w:hAnsi="Calibri" w:cs="Calibri"/>
          <w:b/>
          <w:bCs/>
        </w:rPr>
        <w:t>P</w:t>
      </w:r>
      <w:r w:rsidR="00EE2216" w:rsidRPr="00E57227">
        <w:rPr>
          <w:rFonts w:ascii="Calibri" w:eastAsia="Arial" w:hAnsi="Calibri" w:cs="Calibri"/>
          <w:b/>
          <w:bCs/>
        </w:rPr>
        <w:t>erspectives (AC 1.5)</w:t>
      </w:r>
      <w:r w:rsidR="00876FD0" w:rsidRPr="00E57227">
        <w:rPr>
          <w:rFonts w:ascii="Calibri" w:eastAsia="Arial" w:hAnsi="Calibri" w:cs="Calibri"/>
          <w:b/>
          <w:bCs/>
        </w:rPr>
        <w:t xml:space="preserve"> </w:t>
      </w:r>
    </w:p>
    <w:p w14:paraId="1E636C5B" w14:textId="77777777" w:rsidR="009059B5" w:rsidRPr="00C41637" w:rsidRDefault="009059B5" w:rsidP="009059B5">
      <w:pPr>
        <w:rPr>
          <w:b/>
          <w:bCs/>
        </w:rPr>
      </w:pPr>
      <w:r w:rsidRPr="00FE30C4">
        <w:t>Making decisions and judgements regarding the appropriate path of action to follow is the focus of ethics (Armstrong, 201</w:t>
      </w:r>
      <w:r>
        <w:t>6</w:t>
      </w:r>
      <w:r w:rsidRPr="00FE30C4">
        <w:t xml:space="preserve">). </w:t>
      </w:r>
      <w:r w:rsidRPr="003E32A7">
        <w:t>Values are an individual's inner beliefs that guide their behaviour, while ethics is concerned with how a moral person ought to behave</w:t>
      </w:r>
      <w:r>
        <w:t xml:space="preserve"> (Josephson and Hanson, 2002). </w:t>
      </w:r>
    </w:p>
    <w:p w14:paraId="67409588" w14:textId="77777777" w:rsidR="009059B5" w:rsidRDefault="009059B5" w:rsidP="009059B5">
      <w:bookmarkStart w:id="1" w:name="_Hlk151112986"/>
      <w:r w:rsidRPr="00B6083B">
        <w:t>Deontology holds that some behaviours are inherently good or bad, independent of the outcomes (Armstrong, 2016).</w:t>
      </w:r>
      <w:r>
        <w:t xml:space="preserve"> </w:t>
      </w:r>
      <w:r w:rsidRPr="00B6083B">
        <w:t xml:space="preserve">Conversely, utilitarianism places more emphasis on the results of decisions and favours making choices that will benefit most people (Armstrong, 2016). Utilitarianism </w:t>
      </w:r>
      <w:r>
        <w:t xml:space="preserve">would be considered </w:t>
      </w:r>
      <w:r w:rsidRPr="00B6083B">
        <w:t xml:space="preserve">society-centred in medical practise, whereas deontology is patient-centred (Mandal, </w:t>
      </w:r>
      <w:proofErr w:type="spellStart"/>
      <w:r w:rsidRPr="00B6083B">
        <w:t>Ponnambath</w:t>
      </w:r>
      <w:proofErr w:type="spellEnd"/>
      <w:r w:rsidRPr="00B6083B">
        <w:t xml:space="preserve">, and </w:t>
      </w:r>
      <w:proofErr w:type="spellStart"/>
      <w:r w:rsidRPr="00B6083B">
        <w:t>Parija</w:t>
      </w:r>
      <w:proofErr w:type="spellEnd"/>
      <w:r w:rsidRPr="00B6083B">
        <w:t>, 2016).</w:t>
      </w:r>
    </w:p>
    <w:p w14:paraId="33B55E45" w14:textId="3EBA1140" w:rsidR="009059B5" w:rsidRDefault="009059B5" w:rsidP="009059B5">
      <w:r w:rsidRPr="00C43E53">
        <w:t xml:space="preserve">Deontology's inflexible theory prevents people from choosing between moral principles, even while it does not </w:t>
      </w:r>
      <w:r>
        <w:t>require</w:t>
      </w:r>
      <w:r w:rsidRPr="00C43E53">
        <w:t xml:space="preserve"> </w:t>
      </w:r>
      <w:r>
        <w:t>to</w:t>
      </w:r>
      <w:r w:rsidRPr="00C43E53">
        <w:t xml:space="preserve"> foresee the effects of a particular choice (Josephson and Hanson, 2002). Effective decision-making can be informed and influenced by utilitarianism when the choice will benefit </w:t>
      </w:r>
      <w:r w:rsidR="00E324F2" w:rsidRPr="00C43E53">
        <w:t>most</w:t>
      </w:r>
      <w:r w:rsidRPr="00C43E53">
        <w:t xml:space="preserve"> workers or the </w:t>
      </w:r>
      <w:r w:rsidR="00E324F2" w:rsidRPr="00C43E53">
        <w:t>organisation</w:t>
      </w:r>
      <w:r w:rsidRPr="00C43E53">
        <w:t>.</w:t>
      </w:r>
      <w:r>
        <w:t xml:space="preserve"> </w:t>
      </w:r>
      <w:r w:rsidRPr="00C43E53">
        <w:t xml:space="preserve">Nevertheless, it has a history of disregarding individual rights and </w:t>
      </w:r>
      <w:r w:rsidR="0012147F" w:rsidRPr="0012147F">
        <w:t>implies</w:t>
      </w:r>
      <w:r w:rsidRPr="0012147F">
        <w:t xml:space="preserve"> that moral judgements can be </w:t>
      </w:r>
      <w:r w:rsidR="0012147F" w:rsidRPr="0012147F">
        <w:t>translated</w:t>
      </w:r>
      <w:r w:rsidRPr="0012147F">
        <w:t xml:space="preserve"> into a single unit of value</w:t>
      </w:r>
      <w:r w:rsidRPr="00C43E53">
        <w:t xml:space="preserve"> (Armstrong, 2016).</w:t>
      </w:r>
    </w:p>
    <w:bookmarkEnd w:id="1"/>
    <w:p w14:paraId="710C7B2D" w14:textId="5D4136BA" w:rsidR="00A47336" w:rsidRDefault="00A47336" w:rsidP="00A47336">
      <w:pPr>
        <w:spacing w:after="0" w:line="276" w:lineRule="auto"/>
        <w:rPr>
          <w:rFonts w:ascii="Calibri" w:eastAsia="Times New Roman" w:hAnsi="Calibri" w:cs="Calibri"/>
          <w:lang w:eastAsia="en-GB"/>
        </w:rPr>
      </w:pPr>
      <w:r w:rsidRPr="00A47336">
        <w:rPr>
          <w:rFonts w:ascii="Calibri" w:eastAsia="Times New Roman" w:hAnsi="Calibri" w:cs="Calibri"/>
          <w:lang w:eastAsia="en-GB"/>
        </w:rPr>
        <w:t>Other noteworthy strateg</w:t>
      </w:r>
      <w:r w:rsidR="00E324F2">
        <w:rPr>
          <w:rFonts w:ascii="Calibri" w:eastAsia="Times New Roman" w:hAnsi="Calibri" w:cs="Calibri"/>
          <w:lang w:eastAsia="en-GB"/>
        </w:rPr>
        <w:t>y</w:t>
      </w:r>
      <w:r w:rsidRPr="00A47336">
        <w:rPr>
          <w:rFonts w:ascii="Calibri" w:eastAsia="Times New Roman" w:hAnsi="Calibri" w:cs="Calibri"/>
          <w:lang w:eastAsia="en-GB"/>
        </w:rPr>
        <w:t xml:space="preserve"> include</w:t>
      </w:r>
      <w:r w:rsidR="00E324F2">
        <w:rPr>
          <w:rFonts w:ascii="Calibri" w:eastAsia="Times New Roman" w:hAnsi="Calibri" w:cs="Calibri"/>
          <w:lang w:eastAsia="en-GB"/>
        </w:rPr>
        <w:t>s</w:t>
      </w:r>
      <w:r w:rsidRPr="00A47336">
        <w:rPr>
          <w:rFonts w:ascii="Calibri" w:eastAsia="Times New Roman" w:hAnsi="Calibri" w:cs="Calibri"/>
          <w:lang w:eastAsia="en-GB"/>
        </w:rPr>
        <w:t xml:space="preserve"> the </w:t>
      </w:r>
      <w:r w:rsidR="00E324F2">
        <w:rPr>
          <w:rFonts w:ascii="Calibri" w:eastAsia="Times New Roman" w:hAnsi="Calibri" w:cs="Calibri"/>
          <w:lang w:eastAsia="en-GB"/>
        </w:rPr>
        <w:t>S</w:t>
      </w:r>
      <w:r w:rsidRPr="00A47336">
        <w:rPr>
          <w:rFonts w:ascii="Calibri" w:eastAsia="Times New Roman" w:hAnsi="Calibri" w:cs="Calibri"/>
          <w:lang w:eastAsia="en-GB"/>
        </w:rPr>
        <w:t xml:space="preserve">takeholder theory, which involves contributions to the </w:t>
      </w:r>
      <w:r w:rsidR="00E324F2">
        <w:rPr>
          <w:rFonts w:ascii="Calibri" w:eastAsia="Times New Roman" w:hAnsi="Calibri" w:cs="Calibri"/>
          <w:lang w:eastAsia="en-GB"/>
        </w:rPr>
        <w:t>decision-making process</w:t>
      </w:r>
      <w:r w:rsidRPr="00A47336">
        <w:rPr>
          <w:rFonts w:ascii="Calibri" w:eastAsia="Times New Roman" w:hAnsi="Calibri" w:cs="Calibri"/>
          <w:lang w:eastAsia="en-GB"/>
        </w:rPr>
        <w:t xml:space="preserve"> from a range of internal and external stakeholders. A stakeholder's ultimate decision may be impacted by their diverse backgrounds and experiences, which can have both positive and negative effects (</w:t>
      </w:r>
      <w:proofErr w:type="spellStart"/>
      <w:r w:rsidRPr="00A47336">
        <w:rPr>
          <w:rFonts w:ascii="Calibri" w:eastAsia="Times New Roman" w:hAnsi="Calibri" w:cs="Calibri"/>
          <w:lang w:eastAsia="en-GB"/>
        </w:rPr>
        <w:t>Goyert</w:t>
      </w:r>
      <w:proofErr w:type="spellEnd"/>
      <w:r w:rsidRPr="00A47336">
        <w:rPr>
          <w:rFonts w:ascii="Calibri" w:eastAsia="Times New Roman" w:hAnsi="Calibri" w:cs="Calibri"/>
          <w:lang w:eastAsia="en-GB"/>
        </w:rPr>
        <w:t xml:space="preserve"> et al, 2017). While stakeholders can offer many perspectives and aid organizations in seeing the big picture, there are instances when stakeholders solely care about their personal interests (</w:t>
      </w:r>
      <w:proofErr w:type="spellStart"/>
      <w:r w:rsidRPr="00A47336">
        <w:rPr>
          <w:rFonts w:ascii="Calibri" w:eastAsia="Times New Roman" w:hAnsi="Calibri" w:cs="Calibri"/>
          <w:lang w:eastAsia="en-GB"/>
        </w:rPr>
        <w:t>Goyert</w:t>
      </w:r>
      <w:proofErr w:type="spellEnd"/>
      <w:r w:rsidRPr="00A47336">
        <w:rPr>
          <w:rFonts w:ascii="Calibri" w:eastAsia="Times New Roman" w:hAnsi="Calibri" w:cs="Calibri"/>
          <w:lang w:eastAsia="en-GB"/>
        </w:rPr>
        <w:t xml:space="preserve"> et al, 2017).</w:t>
      </w:r>
    </w:p>
    <w:p w14:paraId="1B99A8F1" w14:textId="77777777" w:rsidR="00A47336" w:rsidRDefault="00A47336" w:rsidP="00A47336">
      <w:pPr>
        <w:spacing w:after="0" w:line="276" w:lineRule="auto"/>
        <w:rPr>
          <w:rFonts w:ascii="Calibri" w:eastAsia="Times New Roman" w:hAnsi="Calibri" w:cs="Calibri"/>
          <w:lang w:eastAsia="en-GB"/>
        </w:rPr>
      </w:pPr>
    </w:p>
    <w:p w14:paraId="20AF5770" w14:textId="59C3F61A" w:rsidR="00A47336" w:rsidRDefault="009059B5" w:rsidP="00A47336">
      <w:pPr>
        <w:spacing w:after="0" w:line="276" w:lineRule="auto"/>
        <w:rPr>
          <w:rFonts w:ascii="Calibri" w:eastAsia="Times New Roman" w:hAnsi="Calibri" w:cs="Calibri"/>
          <w:lang w:eastAsia="en-GB"/>
        </w:rPr>
      </w:pPr>
      <w:r w:rsidRPr="00FE30C4">
        <w:t xml:space="preserve">Ethics-related decisions about what to do and how to act at work will never cease to exist (CIPD, 2015). As a result, how </w:t>
      </w:r>
      <w:r w:rsidR="00E324F2">
        <w:t>People Professionals</w:t>
      </w:r>
      <w:r w:rsidRPr="00FE30C4">
        <w:t xml:space="preserve"> make decisions is critical to organisations because executed decisions can have a big impact on people's lives and an</w:t>
      </w:r>
      <w:r>
        <w:t xml:space="preserve"> organi</w:t>
      </w:r>
      <w:r w:rsidR="00E324F2">
        <w:t>s</w:t>
      </w:r>
      <w:r>
        <w:t>ation's reputation (Russell and Weeks</w:t>
      </w:r>
      <w:r w:rsidRPr="00FE30C4">
        <w:t>, 201</w:t>
      </w:r>
      <w:r>
        <w:t>9c</w:t>
      </w:r>
      <w:r w:rsidRPr="00FE30C4">
        <w:t>).</w:t>
      </w:r>
      <w:r>
        <w:t xml:space="preserve"> </w:t>
      </w:r>
    </w:p>
    <w:p w14:paraId="5B53D536" w14:textId="77777777" w:rsidR="00A47336" w:rsidRDefault="00A47336" w:rsidP="00A47336">
      <w:pPr>
        <w:spacing w:after="0" w:line="276" w:lineRule="auto"/>
        <w:rPr>
          <w:rFonts w:ascii="Calibri" w:eastAsia="Times New Roman" w:hAnsi="Calibri" w:cs="Calibri"/>
          <w:lang w:eastAsia="en-GB"/>
        </w:rPr>
      </w:pPr>
    </w:p>
    <w:p w14:paraId="7B437130" w14:textId="707DBA24" w:rsidR="009059B5" w:rsidRPr="00C635D5" w:rsidRDefault="009059B5" w:rsidP="00C635D5">
      <w:pPr>
        <w:rPr>
          <w:rFonts w:ascii="Calibri" w:hAnsi="Calibri" w:cs="Calibri"/>
        </w:rPr>
      </w:pPr>
      <w:r w:rsidRPr="00E45F3F">
        <w:t xml:space="preserve">Clark (2015) explored the eight ethical lenses in their report, which attempts to support ethical decision-making and provide </w:t>
      </w:r>
      <w:r>
        <w:t>P</w:t>
      </w:r>
      <w:r w:rsidR="00E324F2">
        <w:t>eople Professionals</w:t>
      </w:r>
      <w:r w:rsidRPr="00E45F3F">
        <w:t xml:space="preserve"> with many viewpoints on how to handle ethical challenges at work. </w:t>
      </w:r>
      <w:r w:rsidR="00C635D5" w:rsidRPr="00E57227">
        <w:rPr>
          <w:rFonts w:ascii="Calibri" w:hAnsi="Calibri" w:cs="Calibri"/>
        </w:rPr>
        <w:t>When addressing workplace problems, decision-makers must have solutions to ethical questions from which they cannot stray (Clark, 2015). For the people professionals of the future, it will be essential to comprehend the various ethical viewpoints and show consideration for those that are relevant in each organisational environment at a given moment (Clark, 2015).</w:t>
      </w:r>
    </w:p>
    <w:p w14:paraId="1C47D13F" w14:textId="23E18977" w:rsidR="0010262C" w:rsidRPr="00E57227" w:rsidRDefault="0010262C" w:rsidP="00DE31DC">
      <w:pPr>
        <w:widowControl w:val="0"/>
        <w:autoSpaceDE w:val="0"/>
        <w:autoSpaceDN w:val="0"/>
        <w:spacing w:before="162" w:after="0" w:line="360" w:lineRule="auto"/>
        <w:ind w:right="283"/>
        <w:jc w:val="both"/>
        <w:rPr>
          <w:rFonts w:ascii="Calibri" w:eastAsia="MS PGothic" w:hAnsi="Calibri" w:cs="Calibri"/>
          <w:b/>
          <w:bCs/>
        </w:rPr>
      </w:pPr>
    </w:p>
    <w:p w14:paraId="76061C8B" w14:textId="5ACCDC31" w:rsidR="00EE2216" w:rsidRPr="00E57227" w:rsidRDefault="00417A44" w:rsidP="00DE31DC">
      <w:pPr>
        <w:widowControl w:val="0"/>
        <w:autoSpaceDE w:val="0"/>
        <w:autoSpaceDN w:val="0"/>
        <w:spacing w:before="162" w:after="0" w:line="360" w:lineRule="auto"/>
        <w:ind w:right="283"/>
        <w:jc w:val="both"/>
        <w:rPr>
          <w:rFonts w:ascii="Calibri" w:eastAsia="Arial" w:hAnsi="Calibri" w:cs="Calibri"/>
          <w:b/>
          <w:bCs/>
        </w:rPr>
      </w:pPr>
      <w:r w:rsidRPr="00E57227">
        <w:rPr>
          <w:rFonts w:ascii="Calibri" w:eastAsia="Times New Roman" w:hAnsi="Calibri" w:cs="Calibri"/>
          <w:b/>
          <w:bCs/>
        </w:rPr>
        <w:t>F</w:t>
      </w:r>
      <w:r w:rsidR="00EE2216" w:rsidRPr="00E57227">
        <w:rPr>
          <w:rFonts w:ascii="Calibri" w:eastAsia="Times New Roman" w:hAnsi="Calibri" w:cs="Calibri"/>
          <w:b/>
          <w:bCs/>
        </w:rPr>
        <w:t xml:space="preserve">inancial and </w:t>
      </w:r>
      <w:r w:rsidRPr="00E57227">
        <w:rPr>
          <w:rFonts w:ascii="Calibri" w:eastAsia="Times New Roman" w:hAnsi="Calibri" w:cs="Calibri"/>
          <w:b/>
          <w:bCs/>
        </w:rPr>
        <w:t>N</w:t>
      </w:r>
      <w:r w:rsidR="00EE2216" w:rsidRPr="00E57227">
        <w:rPr>
          <w:rFonts w:ascii="Calibri" w:eastAsia="Times New Roman" w:hAnsi="Calibri" w:cs="Calibri"/>
          <w:b/>
          <w:bCs/>
        </w:rPr>
        <w:t>on-</w:t>
      </w:r>
      <w:r w:rsidRPr="00E57227">
        <w:rPr>
          <w:rFonts w:ascii="Calibri" w:eastAsia="Times New Roman" w:hAnsi="Calibri" w:cs="Calibri"/>
          <w:b/>
          <w:bCs/>
        </w:rPr>
        <w:t>F</w:t>
      </w:r>
      <w:r w:rsidR="00EE2216" w:rsidRPr="00E57227">
        <w:rPr>
          <w:rFonts w:ascii="Calibri" w:eastAsia="Times New Roman" w:hAnsi="Calibri" w:cs="Calibri"/>
          <w:b/>
          <w:bCs/>
        </w:rPr>
        <w:t xml:space="preserve">inancial </w:t>
      </w:r>
      <w:r w:rsidRPr="00E57227">
        <w:rPr>
          <w:rFonts w:ascii="Calibri" w:eastAsia="Times New Roman" w:hAnsi="Calibri" w:cs="Calibri"/>
          <w:b/>
          <w:bCs/>
        </w:rPr>
        <w:t>P</w:t>
      </w:r>
      <w:r w:rsidR="00EE2216" w:rsidRPr="00E57227">
        <w:rPr>
          <w:rFonts w:ascii="Calibri" w:eastAsia="Times New Roman" w:hAnsi="Calibri" w:cs="Calibri"/>
          <w:b/>
          <w:bCs/>
        </w:rPr>
        <w:t>erformance</w:t>
      </w:r>
      <w:r w:rsidR="00EE2216" w:rsidRPr="00E57227">
        <w:rPr>
          <w:rFonts w:ascii="Calibri" w:eastAsia="Arial" w:hAnsi="Calibri" w:cs="Calibri"/>
          <w:b/>
          <w:bCs/>
        </w:rPr>
        <w:t xml:space="preserve"> (AC 3.1)</w:t>
      </w:r>
      <w:r w:rsidR="009059B5">
        <w:rPr>
          <w:rFonts w:ascii="Calibri" w:eastAsia="Arial" w:hAnsi="Calibri" w:cs="Calibri"/>
          <w:b/>
          <w:bCs/>
        </w:rPr>
        <w:t xml:space="preserve"> </w:t>
      </w:r>
    </w:p>
    <w:p w14:paraId="44E0666A" w14:textId="77777777" w:rsidR="00327A8C" w:rsidRDefault="009059B5" w:rsidP="00327A8C">
      <w:pPr>
        <w:widowControl w:val="0"/>
        <w:autoSpaceDE w:val="0"/>
        <w:autoSpaceDN w:val="0"/>
        <w:spacing w:before="162" w:after="0" w:line="276" w:lineRule="auto"/>
        <w:ind w:right="283"/>
        <w:rPr>
          <w:rFonts w:ascii="Calibri" w:hAnsi="Calibri" w:cs="Calibri"/>
          <w:color w:val="202020"/>
          <w:shd w:val="clear" w:color="auto" w:fill="FFFFFF"/>
        </w:rPr>
      </w:pPr>
      <w:r w:rsidRPr="009154B1">
        <w:rPr>
          <w:rFonts w:ascii="Calibri" w:hAnsi="Calibri" w:cs="Calibri"/>
          <w:color w:val="202020"/>
          <w:shd w:val="clear" w:color="auto" w:fill="FFFFFF"/>
        </w:rPr>
        <w:t>The most valuable resource for a business is its people, hence performance management</w:t>
      </w:r>
      <w:r>
        <w:rPr>
          <w:rFonts w:ascii="Calibri" w:hAnsi="Calibri" w:cs="Calibri"/>
          <w:color w:val="202020"/>
          <w:shd w:val="clear" w:color="auto" w:fill="FFFFFF"/>
        </w:rPr>
        <w:t xml:space="preserve"> </w:t>
      </w:r>
      <w:r w:rsidRPr="009154B1">
        <w:rPr>
          <w:rFonts w:ascii="Calibri" w:hAnsi="Calibri" w:cs="Calibri"/>
          <w:color w:val="202020"/>
          <w:shd w:val="clear" w:color="auto" w:fill="FFFFFF"/>
        </w:rPr>
        <w:t>is essential to its success (Gifford, 2022). Workers must be held accountable for their work, be given the tools, resources, and support they need to succeed (Gifford</w:t>
      </w:r>
      <w:r>
        <w:rPr>
          <w:rFonts w:ascii="Calibri" w:hAnsi="Calibri" w:cs="Calibri"/>
          <w:color w:val="202020"/>
          <w:shd w:val="clear" w:color="auto" w:fill="FFFFFF"/>
        </w:rPr>
        <w:t>, 2022</w:t>
      </w:r>
      <w:r w:rsidRPr="009154B1">
        <w:rPr>
          <w:rFonts w:ascii="Calibri" w:hAnsi="Calibri" w:cs="Calibri"/>
          <w:color w:val="202020"/>
          <w:shd w:val="clear" w:color="auto" w:fill="FFFFFF"/>
        </w:rPr>
        <w:t xml:space="preserve">). Owing to an organization's goals, </w:t>
      </w:r>
      <w:r w:rsidR="00327A8C">
        <w:rPr>
          <w:rFonts w:ascii="Calibri" w:hAnsi="Calibri" w:cs="Calibri"/>
          <w:color w:val="202020"/>
          <w:shd w:val="clear" w:color="auto" w:fill="FFFFFF"/>
        </w:rPr>
        <w:t>performance management</w:t>
      </w:r>
      <w:r w:rsidRPr="009154B1">
        <w:rPr>
          <w:rFonts w:ascii="Calibri" w:hAnsi="Calibri" w:cs="Calibri"/>
          <w:color w:val="202020"/>
          <w:shd w:val="clear" w:color="auto" w:fill="FFFFFF"/>
        </w:rPr>
        <w:t xml:space="preserve"> seeks to maintain and enhance employees' performance (Gifford, 2022).</w:t>
      </w:r>
    </w:p>
    <w:p w14:paraId="72C0A174" w14:textId="3C0A82E6" w:rsidR="006565B0" w:rsidRDefault="00A47336" w:rsidP="00327A8C">
      <w:pPr>
        <w:widowControl w:val="0"/>
        <w:autoSpaceDE w:val="0"/>
        <w:autoSpaceDN w:val="0"/>
        <w:spacing w:before="162" w:after="0" w:line="276" w:lineRule="auto"/>
        <w:ind w:right="283"/>
        <w:rPr>
          <w:b/>
          <w:bCs/>
        </w:rPr>
      </w:pPr>
      <w:r w:rsidRPr="00A47336">
        <w:rPr>
          <w:rFonts w:ascii="Calibri" w:eastAsia="Times New Roman" w:hAnsi="Calibri" w:cs="Calibri"/>
          <w:lang w:eastAsia="en-GB"/>
        </w:rPr>
        <w:t xml:space="preserve">Businesses can gauge their non-financial performance using customer satisfaction. Due to its ability to predict future financial performance by indicating the organization's level of effectiveness in supplying goods and/or services, it is the most widely used type of </w:t>
      </w:r>
      <w:r w:rsidR="00327A8C">
        <w:rPr>
          <w:rFonts w:ascii="Calibri" w:eastAsia="Times New Roman" w:hAnsi="Calibri" w:cs="Calibri"/>
          <w:lang w:eastAsia="en-GB"/>
        </w:rPr>
        <w:t>non-financial performance</w:t>
      </w:r>
      <w:r w:rsidRPr="00A47336">
        <w:rPr>
          <w:rFonts w:ascii="Calibri" w:eastAsia="Times New Roman" w:hAnsi="Calibri" w:cs="Calibri"/>
          <w:lang w:eastAsia="en-GB"/>
        </w:rPr>
        <w:t xml:space="preserve"> (Marr, 2012). By pointing out discrepancies between customer expectations and service delivery, interventions aimed at enhancing performance can be initiated (Marr, 2012). </w:t>
      </w:r>
      <w:r w:rsidR="009059B5" w:rsidRPr="00A47336">
        <w:t>C</w:t>
      </w:r>
      <w:r w:rsidR="00767FE7">
        <w:t>ustomer satisfaction</w:t>
      </w:r>
      <w:r w:rsidR="009059B5" w:rsidRPr="00A47336">
        <w:t xml:space="preserve"> can be measured using both qualitative and quantitative measures such as surveys and focus groups to help gain more insight (Marr, 2012). </w:t>
      </w:r>
      <w:r w:rsidR="009059B5" w:rsidRPr="00767FE7">
        <w:t xml:space="preserve">Measuring </w:t>
      </w:r>
      <w:r w:rsidR="00767FE7" w:rsidRPr="00767FE7">
        <w:t>customer satisfaction</w:t>
      </w:r>
      <w:r w:rsidR="009059B5" w:rsidRPr="00767FE7">
        <w:t xml:space="preserve"> is done on an ongoing basis, therefore focus groups can be time consuming and expensive to administrate (Marr, 2012).</w:t>
      </w:r>
      <w:r w:rsidR="009059B5" w:rsidRPr="009059B5">
        <w:rPr>
          <w:b/>
          <w:bCs/>
        </w:rPr>
        <w:t xml:space="preserve"> </w:t>
      </w:r>
    </w:p>
    <w:p w14:paraId="3DB24987" w14:textId="474E2A16" w:rsidR="00586070" w:rsidRDefault="00135F95" w:rsidP="00586070">
      <w:pPr>
        <w:widowControl w:val="0"/>
        <w:autoSpaceDE w:val="0"/>
        <w:autoSpaceDN w:val="0"/>
        <w:spacing w:before="162" w:after="0" w:line="276" w:lineRule="auto"/>
        <w:ind w:right="283"/>
      </w:pPr>
      <w:r w:rsidRPr="00135F95">
        <w:t>F</w:t>
      </w:r>
      <w:r w:rsidR="00586070" w:rsidRPr="00135F95">
        <w:t xml:space="preserve">inancial performance </w:t>
      </w:r>
      <w:r w:rsidRPr="00135F95">
        <w:t xml:space="preserve">indicators </w:t>
      </w:r>
      <w:r w:rsidR="00586070" w:rsidRPr="00135F95">
        <w:t xml:space="preserve">include revenue, gross </w:t>
      </w:r>
      <w:r w:rsidRPr="00135F95">
        <w:t xml:space="preserve">profit, </w:t>
      </w:r>
      <w:r w:rsidR="00586070" w:rsidRPr="00135F95">
        <w:t>net profit, cash flows, return on investment, and productivity.</w:t>
      </w:r>
      <w:r w:rsidR="00586070">
        <w:t xml:space="preserve"> </w:t>
      </w:r>
      <w:r w:rsidR="00586070" w:rsidRPr="00DB14F2">
        <w:t xml:space="preserve">After deducting costs directly related to producing and delivering goods and services, a company's </w:t>
      </w:r>
      <w:r>
        <w:t>gross profit</w:t>
      </w:r>
      <w:r w:rsidR="00586070" w:rsidRPr="00DB14F2">
        <w:t xml:space="preserve"> represents its profit and provides information about how well it manages its production costs, including labour and supplies, to generate revenue from the sales of its goods and services (</w:t>
      </w:r>
      <w:proofErr w:type="spellStart"/>
      <w:r w:rsidR="00586070" w:rsidRPr="00DB14F2">
        <w:t>Tamplin</w:t>
      </w:r>
      <w:proofErr w:type="spellEnd"/>
      <w:r w:rsidR="00586070" w:rsidRPr="00DB14F2">
        <w:t>, 2023).</w:t>
      </w:r>
      <w:r w:rsidR="00586070" w:rsidRPr="00250BF1">
        <w:t xml:space="preserve"> A business might make a little profit overall, but it might also borrow excessively and manage its debt poorly</w:t>
      </w:r>
      <w:r w:rsidR="00586070">
        <w:t xml:space="preserve"> </w:t>
      </w:r>
      <w:proofErr w:type="spellStart"/>
      <w:r w:rsidR="00586070">
        <w:t>Tamplin</w:t>
      </w:r>
      <w:proofErr w:type="spellEnd"/>
      <w:r w:rsidR="00586070">
        <w:t>, 2023).</w:t>
      </w:r>
    </w:p>
    <w:p w14:paraId="7BBB8486" w14:textId="34D7E12A" w:rsidR="00586070" w:rsidRPr="00467027" w:rsidRDefault="00586070" w:rsidP="00586070">
      <w:pPr>
        <w:widowControl w:val="0"/>
        <w:autoSpaceDE w:val="0"/>
        <w:autoSpaceDN w:val="0"/>
        <w:spacing w:before="162" w:after="0" w:line="276" w:lineRule="auto"/>
        <w:ind w:right="283"/>
        <w:rPr>
          <w:rFonts w:ascii="Calibri" w:eastAsia="Arial" w:hAnsi="Calibri" w:cs="Calibri"/>
        </w:rPr>
      </w:pPr>
      <w:r w:rsidRPr="00B7285B">
        <w:rPr>
          <w:rFonts w:ascii="Calibri" w:eastAsia="Arial" w:hAnsi="Calibri" w:cs="Calibri"/>
        </w:rPr>
        <w:t>Due to recent announcement of NHS overspending</w:t>
      </w:r>
      <w:r>
        <w:rPr>
          <w:rFonts w:ascii="Calibri" w:eastAsia="Arial" w:hAnsi="Calibri" w:cs="Calibri"/>
        </w:rPr>
        <w:t xml:space="preserve"> (NHS, 2023)</w:t>
      </w:r>
      <w:r w:rsidRPr="00B7285B">
        <w:rPr>
          <w:rFonts w:ascii="Calibri" w:eastAsia="Arial" w:hAnsi="Calibri" w:cs="Calibri"/>
        </w:rPr>
        <w:t xml:space="preserve">, Hywel Dda University Health Board have introduced a Financial Control Group to </w:t>
      </w:r>
      <w:r>
        <w:rPr>
          <w:rFonts w:ascii="Calibri" w:eastAsia="Arial" w:hAnsi="Calibri" w:cs="Calibri"/>
        </w:rPr>
        <w:t xml:space="preserve">help </w:t>
      </w:r>
      <w:r w:rsidRPr="00B7285B">
        <w:rPr>
          <w:rFonts w:ascii="Calibri" w:eastAsia="Arial" w:hAnsi="Calibri" w:cs="Calibri"/>
        </w:rPr>
        <w:t xml:space="preserve">manage </w:t>
      </w:r>
      <w:r>
        <w:rPr>
          <w:rFonts w:ascii="Calibri" w:eastAsia="Arial" w:hAnsi="Calibri" w:cs="Calibri"/>
        </w:rPr>
        <w:t xml:space="preserve">recruitment by introducing a more thorough approval process where managers are required to provide detailed justification of why they need to fill their vacancies. </w:t>
      </w:r>
      <w:r w:rsidRPr="00B7285B">
        <w:rPr>
          <w:rFonts w:ascii="Calibri" w:eastAsia="Arial" w:hAnsi="Calibri" w:cs="Calibri"/>
        </w:rPr>
        <w:t xml:space="preserve">Their request </w:t>
      </w:r>
      <w:r w:rsidR="00135F95">
        <w:rPr>
          <w:rFonts w:ascii="Calibri" w:eastAsia="Arial" w:hAnsi="Calibri" w:cs="Calibri"/>
        </w:rPr>
        <w:t xml:space="preserve">is </w:t>
      </w:r>
      <w:r w:rsidRPr="00B7285B">
        <w:rPr>
          <w:rFonts w:ascii="Calibri" w:eastAsia="Arial" w:hAnsi="Calibri" w:cs="Calibri"/>
        </w:rPr>
        <w:t xml:space="preserve">approved through different levels (From Finance department to Executive level) before they can </w:t>
      </w:r>
      <w:r>
        <w:rPr>
          <w:rFonts w:ascii="Calibri" w:eastAsia="Arial" w:hAnsi="Calibri" w:cs="Calibri"/>
        </w:rPr>
        <w:t>begin the recruitment process.</w:t>
      </w:r>
    </w:p>
    <w:p w14:paraId="63D809A1" w14:textId="5B00C338" w:rsidR="00586070" w:rsidRDefault="00586070" w:rsidP="00586070">
      <w:pPr>
        <w:widowControl w:val="0"/>
        <w:autoSpaceDE w:val="0"/>
        <w:autoSpaceDN w:val="0"/>
        <w:spacing w:before="162" w:after="0" w:line="276" w:lineRule="auto"/>
        <w:ind w:right="283"/>
        <w:rPr>
          <w:rFonts w:ascii="Calibri" w:eastAsia="Arial" w:hAnsi="Calibri" w:cs="Calibri"/>
        </w:rPr>
      </w:pPr>
      <w:r w:rsidRPr="00250BF1">
        <w:t xml:space="preserve">While </w:t>
      </w:r>
      <w:r w:rsidR="00135F95">
        <w:t>gross profit</w:t>
      </w:r>
      <w:r>
        <w:t xml:space="preserve"> </w:t>
      </w:r>
      <w:r w:rsidRPr="00250BF1">
        <w:t xml:space="preserve">can evaluate a company's potential for profit, </w:t>
      </w:r>
      <w:r w:rsidR="00135F95">
        <w:t>net profit</w:t>
      </w:r>
      <w:r w:rsidRPr="00250BF1">
        <w:t xml:space="preserve"> considers administrative expenses, rent, and insurance to display the profit from all facets of the company's operations </w:t>
      </w:r>
      <w:r w:rsidRPr="007F0533">
        <w:rPr>
          <w:rFonts w:ascii="Calibri" w:hAnsi="Calibri" w:cs="Calibri"/>
          <w:color w:val="000000"/>
          <w:shd w:val="clear" w:color="auto" w:fill="FFFFFF"/>
        </w:rPr>
        <w:t xml:space="preserve">which </w:t>
      </w:r>
      <w:r w:rsidR="007F0533" w:rsidRPr="007F0533">
        <w:rPr>
          <w:rFonts w:ascii="Calibri" w:hAnsi="Calibri" w:cs="Calibri"/>
          <w:color w:val="000000"/>
          <w:shd w:val="clear" w:color="auto" w:fill="FFFFFF"/>
        </w:rPr>
        <w:t xml:space="preserve">increases its </w:t>
      </w:r>
      <w:r w:rsidRPr="007F0533">
        <w:rPr>
          <w:rFonts w:ascii="Calibri" w:hAnsi="Calibri" w:cs="Calibri"/>
          <w:color w:val="000000"/>
          <w:shd w:val="clear" w:color="auto" w:fill="FFFFFF"/>
        </w:rPr>
        <w:t>inclusiv</w:t>
      </w:r>
      <w:r w:rsidR="007F0533" w:rsidRPr="007F0533">
        <w:rPr>
          <w:rFonts w:ascii="Calibri" w:hAnsi="Calibri" w:cs="Calibri"/>
          <w:color w:val="000000"/>
          <w:shd w:val="clear" w:color="auto" w:fill="FFFFFF"/>
        </w:rPr>
        <w:t xml:space="preserve">ity by offering information on how well </w:t>
      </w:r>
      <w:r w:rsidRPr="007F0533">
        <w:rPr>
          <w:rFonts w:ascii="Calibri" w:hAnsi="Calibri" w:cs="Calibri"/>
          <w:color w:val="000000"/>
          <w:shd w:val="clear" w:color="auto" w:fill="FFFFFF"/>
        </w:rPr>
        <w:t xml:space="preserve">overall financial management </w:t>
      </w:r>
      <w:r w:rsidR="007F0533" w:rsidRPr="007F0533">
        <w:rPr>
          <w:rFonts w:ascii="Calibri" w:hAnsi="Calibri" w:cs="Calibri"/>
          <w:color w:val="000000"/>
          <w:shd w:val="clear" w:color="auto" w:fill="FFFFFF"/>
        </w:rPr>
        <w:t>is doing</w:t>
      </w:r>
      <w:r w:rsidR="007F0533">
        <w:rPr>
          <w:rFonts w:ascii="Calibri" w:hAnsi="Calibri" w:cs="Calibri"/>
          <w:b/>
          <w:bCs/>
          <w:color w:val="000000"/>
          <w:shd w:val="clear" w:color="auto" w:fill="FFFFFF"/>
        </w:rPr>
        <w:t xml:space="preserve"> </w:t>
      </w:r>
      <w:r w:rsidRPr="00250BF1">
        <w:t>(</w:t>
      </w:r>
      <w:proofErr w:type="spellStart"/>
      <w:r w:rsidRPr="00250BF1">
        <w:t>Tamplin</w:t>
      </w:r>
      <w:proofErr w:type="spellEnd"/>
      <w:r w:rsidRPr="00250BF1">
        <w:t>, 2023).</w:t>
      </w:r>
      <w:r w:rsidRPr="00250BF1">
        <w:rPr>
          <w:rFonts w:ascii="Calibri" w:hAnsi="Calibri" w:cs="Calibri"/>
          <w:b/>
          <w:bCs/>
          <w:color w:val="000000"/>
          <w:shd w:val="clear" w:color="auto" w:fill="FFFFFF"/>
        </w:rPr>
        <w:t xml:space="preserve"> </w:t>
      </w:r>
      <w:r w:rsidRPr="007F0533">
        <w:rPr>
          <w:rFonts w:ascii="Calibri" w:hAnsi="Calibri" w:cs="Calibri"/>
          <w:color w:val="000000"/>
          <w:shd w:val="clear" w:color="auto" w:fill="FFFFFF"/>
        </w:rPr>
        <w:t xml:space="preserve">Since </w:t>
      </w:r>
      <w:r w:rsidR="00135F95">
        <w:rPr>
          <w:rFonts w:ascii="Calibri" w:hAnsi="Calibri" w:cs="Calibri"/>
          <w:shd w:val="clear" w:color="auto" w:fill="FFFFFF"/>
        </w:rPr>
        <w:t>gross profit</w:t>
      </w:r>
      <w:r w:rsidRPr="007F0533">
        <w:rPr>
          <w:rFonts w:ascii="Calibri" w:hAnsi="Calibri" w:cs="Calibri"/>
          <w:shd w:val="clear" w:color="auto" w:fill="FFFFFF"/>
        </w:rPr>
        <w:t xml:space="preserve"> does not consider additional costs, it would be wise to measure both together.</w:t>
      </w:r>
      <w:r>
        <w:rPr>
          <w:rFonts w:ascii="Calibri" w:hAnsi="Calibri" w:cs="Calibri"/>
          <w:b/>
          <w:bCs/>
          <w:shd w:val="clear" w:color="auto" w:fill="FFFFFF"/>
        </w:rPr>
        <w:t xml:space="preserve"> </w:t>
      </w:r>
    </w:p>
    <w:p w14:paraId="34F29F8B" w14:textId="77777777" w:rsidR="00C635D5" w:rsidRDefault="00C635D5" w:rsidP="00327A8C">
      <w:pPr>
        <w:widowControl w:val="0"/>
        <w:autoSpaceDE w:val="0"/>
        <w:autoSpaceDN w:val="0"/>
        <w:spacing w:before="162" w:after="0" w:line="276" w:lineRule="auto"/>
        <w:ind w:right="283"/>
      </w:pPr>
    </w:p>
    <w:p w14:paraId="6381EF3D" w14:textId="31E3C469" w:rsidR="00EE2216" w:rsidRPr="006565B0" w:rsidRDefault="00B63259" w:rsidP="006565B0">
      <w:pPr>
        <w:widowControl w:val="0"/>
        <w:autoSpaceDE w:val="0"/>
        <w:autoSpaceDN w:val="0"/>
        <w:spacing w:before="162" w:after="0" w:line="276" w:lineRule="auto"/>
        <w:ind w:right="283"/>
        <w:jc w:val="both"/>
        <w:rPr>
          <w:b/>
          <w:bCs/>
        </w:rPr>
      </w:pPr>
      <w:r w:rsidRPr="00E57227">
        <w:rPr>
          <w:rFonts w:ascii="Calibri" w:eastAsia="Arial" w:hAnsi="Calibri" w:cs="Calibri"/>
          <w:b/>
          <w:bCs/>
        </w:rPr>
        <w:lastRenderedPageBreak/>
        <w:t>Adding</w:t>
      </w:r>
      <w:r w:rsidR="00EE2216" w:rsidRPr="00E57227">
        <w:rPr>
          <w:rFonts w:ascii="Calibri" w:eastAsia="Arial" w:hAnsi="Calibri" w:cs="Calibri"/>
          <w:b/>
          <w:bCs/>
        </w:rPr>
        <w:t xml:space="preserve"> value </w:t>
      </w:r>
      <w:r w:rsidRPr="00E57227">
        <w:rPr>
          <w:rFonts w:ascii="Calibri" w:eastAsia="Arial" w:hAnsi="Calibri" w:cs="Calibri"/>
          <w:b/>
          <w:bCs/>
        </w:rPr>
        <w:t>and M</w:t>
      </w:r>
      <w:r w:rsidR="00EE2216" w:rsidRPr="00E57227">
        <w:rPr>
          <w:rFonts w:ascii="Calibri" w:eastAsia="Arial" w:hAnsi="Calibri" w:cs="Calibri"/>
          <w:b/>
          <w:bCs/>
        </w:rPr>
        <w:t>easur</w:t>
      </w:r>
      <w:r w:rsidRPr="00E57227">
        <w:rPr>
          <w:rFonts w:ascii="Calibri" w:eastAsia="Arial" w:hAnsi="Calibri" w:cs="Calibri"/>
          <w:b/>
          <w:bCs/>
        </w:rPr>
        <w:t>ing</w:t>
      </w:r>
      <w:r w:rsidR="00EE2216" w:rsidRPr="00E57227">
        <w:rPr>
          <w:rFonts w:ascii="Calibri" w:eastAsia="Arial" w:hAnsi="Calibri" w:cs="Calibri"/>
          <w:b/>
          <w:bCs/>
        </w:rPr>
        <w:t xml:space="preserve"> impact (AC 3.2)</w:t>
      </w:r>
      <w:r w:rsidR="009059B5">
        <w:rPr>
          <w:rFonts w:ascii="Calibri" w:eastAsia="Arial" w:hAnsi="Calibri" w:cs="Calibri"/>
          <w:b/>
          <w:bCs/>
        </w:rPr>
        <w:t xml:space="preserve"> </w:t>
      </w:r>
    </w:p>
    <w:p w14:paraId="56D6186E" w14:textId="558249B5" w:rsidR="009059B5" w:rsidRDefault="009059B5" w:rsidP="006565B0">
      <w:pPr>
        <w:widowControl w:val="0"/>
        <w:autoSpaceDE w:val="0"/>
        <w:autoSpaceDN w:val="0"/>
        <w:spacing w:before="162" w:after="0" w:line="276" w:lineRule="auto"/>
        <w:ind w:right="283"/>
        <w:jc w:val="both"/>
      </w:pPr>
      <w:r w:rsidRPr="00BF31A0">
        <w:t>Adding value to the organisation and its stakeholders, such as shareholders and the local community, is the main goal of the people management role in an organisation (Taylor and Woodhams, 2022b). According to Taylor (2018), organisations can enhance the value they provide by accomplishing their business goals, offering superior administrative support, and serving as champions for efficient personnel management.</w:t>
      </w:r>
    </w:p>
    <w:p w14:paraId="53F338A9" w14:textId="7B89C22D" w:rsidR="006F0D17" w:rsidRPr="00047788" w:rsidRDefault="00BB6910" w:rsidP="006F0D17">
      <w:pPr>
        <w:widowControl w:val="0"/>
        <w:autoSpaceDE w:val="0"/>
        <w:autoSpaceDN w:val="0"/>
        <w:spacing w:before="162" w:after="0" w:line="276" w:lineRule="auto"/>
        <w:ind w:right="283"/>
        <w:jc w:val="both"/>
      </w:pPr>
      <w:r w:rsidRPr="00BB6910">
        <w:t xml:space="preserve">Numerous techniques, like as cost-benefit analysis, can be used to assess the worth and impact of people practises. It is the process of weighing the anticipated or estimated financial advantages and costs of a decision that is quantified in monetary terms (Gov, 2020). It is a data-driven methodology that </w:t>
      </w:r>
      <w:r w:rsidR="00135F95">
        <w:t>allows</w:t>
      </w:r>
      <w:r w:rsidRPr="00BB6910">
        <w:t xml:space="preserve"> individual</w:t>
      </w:r>
      <w:r w:rsidR="00135F95">
        <w:t>s</w:t>
      </w:r>
      <w:r w:rsidRPr="00BB6910">
        <w:t xml:space="preserve"> or organisation to impartially assess a choice or possible initiative</w:t>
      </w:r>
      <w:r>
        <w:t xml:space="preserve"> and </w:t>
      </w:r>
      <w:r w:rsidRPr="00135F95">
        <w:t xml:space="preserve">as a result, it provides an unbiased and fact-based assessment of options, </w:t>
      </w:r>
      <w:r w:rsidR="00135F95" w:rsidRPr="00135F95">
        <w:t>that can help a business become more logical and data-driven</w:t>
      </w:r>
      <w:r>
        <w:t xml:space="preserve"> (</w:t>
      </w:r>
      <w:proofErr w:type="spellStart"/>
      <w:r>
        <w:t>Stobierski</w:t>
      </w:r>
      <w:proofErr w:type="spellEnd"/>
      <w:r>
        <w:t>, 2022).</w:t>
      </w:r>
      <w:r w:rsidR="00047788" w:rsidRPr="00047788">
        <w:t xml:space="preserve"> </w:t>
      </w:r>
      <w:r w:rsidR="00047788">
        <w:t xml:space="preserve">Decisions can be </w:t>
      </w:r>
      <w:r w:rsidR="00047788" w:rsidRPr="00047788">
        <w:t>justified if the anticipate</w:t>
      </w:r>
      <w:r w:rsidR="00047788">
        <w:t xml:space="preserve">d benefits surpass the expenses; </w:t>
      </w:r>
      <w:r w:rsidR="007A5807" w:rsidRPr="00047788">
        <w:t>if</w:t>
      </w:r>
      <w:r w:rsidR="00047788" w:rsidRPr="00047788">
        <w:t xml:space="preserve"> the reverse is true, a business could choose to reconsider </w:t>
      </w:r>
      <w:r w:rsidR="00047788">
        <w:t>its decision</w:t>
      </w:r>
      <w:r w:rsidR="00047788" w:rsidRPr="00047788">
        <w:t xml:space="preserve"> (</w:t>
      </w:r>
      <w:proofErr w:type="spellStart"/>
      <w:r w:rsidR="00047788" w:rsidRPr="00047788">
        <w:t>Stobierski</w:t>
      </w:r>
      <w:proofErr w:type="spellEnd"/>
      <w:r w:rsidR="00047788" w:rsidRPr="00047788">
        <w:t>, 2022).</w:t>
      </w:r>
      <w:r w:rsidR="00047788">
        <w:t xml:space="preserve"> </w:t>
      </w:r>
      <w:r w:rsidR="00DB62E6" w:rsidRPr="00DB62E6">
        <w:t>Since it might be more challenging to create precise projections as you go farther into the future, cost-benefit analysis is best applied t</w:t>
      </w:r>
      <w:r w:rsidR="00DB62E6">
        <w:t>o short- to mid-length projects (</w:t>
      </w:r>
      <w:proofErr w:type="spellStart"/>
      <w:r w:rsidR="00DB62E6">
        <w:t>Stobierski</w:t>
      </w:r>
      <w:proofErr w:type="spellEnd"/>
      <w:r w:rsidR="00DB62E6">
        <w:t>, 2022).</w:t>
      </w:r>
    </w:p>
    <w:p w14:paraId="07353CE3" w14:textId="5A5BFC3B" w:rsidR="009059B5" w:rsidRPr="00767FE7" w:rsidRDefault="009059B5" w:rsidP="00767FE7">
      <w:pPr>
        <w:widowControl w:val="0"/>
        <w:autoSpaceDE w:val="0"/>
        <w:autoSpaceDN w:val="0"/>
        <w:spacing w:before="162" w:after="0" w:line="276" w:lineRule="auto"/>
        <w:ind w:right="283"/>
        <w:jc w:val="both"/>
        <w:rPr>
          <w:rFonts w:ascii="Calibri" w:hAnsi="Calibri" w:cs="Calibri"/>
        </w:rPr>
      </w:pPr>
      <w:r w:rsidRPr="00767FE7">
        <w:rPr>
          <w:rFonts w:ascii="Calibri" w:hAnsi="Calibri" w:cs="Calibri"/>
        </w:rPr>
        <w:t xml:space="preserve">Evaluation is </w:t>
      </w:r>
      <w:r w:rsidR="002926F6" w:rsidRPr="00767FE7">
        <w:rPr>
          <w:rFonts w:ascii="Calibri" w:hAnsi="Calibri" w:cs="Calibri"/>
        </w:rPr>
        <w:t xml:space="preserve">crucial because it guarantees that training initiatives are implemented in a way that maximises and demonstrates their worth to the organisation in question </w:t>
      </w:r>
      <w:r w:rsidRPr="00767FE7">
        <w:rPr>
          <w:rFonts w:ascii="Calibri" w:hAnsi="Calibri" w:cs="Calibri"/>
        </w:rPr>
        <w:t>(Kirkpatrick and Kirkpatrick, 2016).</w:t>
      </w:r>
      <w:r w:rsidR="00874398" w:rsidRPr="00767FE7">
        <w:rPr>
          <w:rFonts w:ascii="Calibri" w:hAnsi="Calibri" w:cs="Calibri"/>
        </w:rPr>
        <w:t xml:space="preserve"> </w:t>
      </w:r>
      <w:r w:rsidRPr="00767FE7">
        <w:rPr>
          <w:rFonts w:ascii="Calibri" w:hAnsi="Calibri" w:cs="Calibri"/>
        </w:rPr>
        <w:t xml:space="preserve">The Kirkpatrick model is a </w:t>
      </w:r>
      <w:r w:rsidR="002926F6" w:rsidRPr="00767FE7">
        <w:rPr>
          <w:rFonts w:ascii="Calibri" w:hAnsi="Calibri" w:cs="Calibri"/>
        </w:rPr>
        <w:t xml:space="preserve">well-known </w:t>
      </w:r>
      <w:r w:rsidRPr="00767FE7">
        <w:rPr>
          <w:rFonts w:ascii="Calibri" w:hAnsi="Calibri" w:cs="Calibri"/>
        </w:rPr>
        <w:t xml:space="preserve">evaluation tool </w:t>
      </w:r>
      <w:r w:rsidR="002926F6" w:rsidRPr="00767FE7">
        <w:rPr>
          <w:rFonts w:ascii="Calibri" w:hAnsi="Calibri" w:cs="Calibri"/>
        </w:rPr>
        <w:t>with</w:t>
      </w:r>
      <w:r w:rsidRPr="00767FE7">
        <w:rPr>
          <w:rFonts w:ascii="Calibri" w:hAnsi="Calibri" w:cs="Calibri"/>
        </w:rPr>
        <w:t xml:space="preserve"> four </w:t>
      </w:r>
      <w:r w:rsidR="002926F6" w:rsidRPr="00767FE7">
        <w:rPr>
          <w:rFonts w:ascii="Calibri" w:hAnsi="Calibri" w:cs="Calibri"/>
        </w:rPr>
        <w:t>stages</w:t>
      </w:r>
      <w:r w:rsidRPr="00767FE7">
        <w:rPr>
          <w:rFonts w:ascii="Calibri" w:hAnsi="Calibri" w:cs="Calibri"/>
        </w:rPr>
        <w:t xml:space="preserve"> (Reaction, Learning, Behaviour and Results) </w:t>
      </w:r>
      <w:r w:rsidR="002926F6" w:rsidRPr="00767FE7">
        <w:rPr>
          <w:rFonts w:ascii="Calibri" w:hAnsi="Calibri" w:cs="Calibri"/>
        </w:rPr>
        <w:t>that is used to examine the outcomes of learning initiatives and training courses</w:t>
      </w:r>
      <w:r w:rsidRPr="00767FE7">
        <w:rPr>
          <w:rFonts w:ascii="Calibri" w:hAnsi="Calibri" w:cs="Calibri"/>
          <w:spacing w:val="8"/>
          <w:shd w:val="clear" w:color="auto" w:fill="FFFFFF"/>
        </w:rPr>
        <w:t xml:space="preserve"> (MindTools, 2023). The fourth </w:t>
      </w:r>
      <w:r w:rsidR="002926F6" w:rsidRPr="00767FE7">
        <w:rPr>
          <w:rFonts w:ascii="Calibri" w:hAnsi="Calibri" w:cs="Calibri"/>
          <w:spacing w:val="8"/>
          <w:shd w:val="clear" w:color="auto" w:fill="FFFFFF"/>
        </w:rPr>
        <w:t>stage</w:t>
      </w:r>
      <w:r w:rsidRPr="00767FE7">
        <w:rPr>
          <w:rFonts w:ascii="Calibri" w:hAnsi="Calibri" w:cs="Calibri"/>
          <w:spacing w:val="8"/>
          <w:shd w:val="clear" w:color="auto" w:fill="FFFFFF"/>
        </w:rPr>
        <w:t xml:space="preserve">, </w:t>
      </w:r>
      <w:r w:rsidR="00874398" w:rsidRPr="00767FE7">
        <w:rPr>
          <w:rFonts w:ascii="Calibri" w:hAnsi="Calibri" w:cs="Calibri"/>
          <w:spacing w:val="8"/>
          <w:shd w:val="clear" w:color="auto" w:fill="FFFFFF"/>
        </w:rPr>
        <w:t>referred to</w:t>
      </w:r>
      <w:r w:rsidRPr="00767FE7">
        <w:rPr>
          <w:rFonts w:ascii="Calibri" w:hAnsi="Calibri" w:cs="Calibri"/>
          <w:spacing w:val="8"/>
          <w:shd w:val="clear" w:color="auto" w:fill="FFFFFF"/>
        </w:rPr>
        <w:t xml:space="preserve"> as Results, is a</w:t>
      </w:r>
      <w:r w:rsidR="00874398" w:rsidRPr="00767FE7">
        <w:rPr>
          <w:rFonts w:ascii="Calibri" w:hAnsi="Calibri" w:cs="Calibri"/>
          <w:spacing w:val="8"/>
          <w:shd w:val="clear" w:color="auto" w:fill="FFFFFF"/>
        </w:rPr>
        <w:t xml:space="preserve">n indicator </w:t>
      </w:r>
      <w:r w:rsidRPr="00767FE7">
        <w:rPr>
          <w:rFonts w:ascii="Calibri" w:hAnsi="Calibri" w:cs="Calibri"/>
          <w:spacing w:val="8"/>
          <w:shd w:val="clear" w:color="auto" w:fill="FFFFFF"/>
        </w:rPr>
        <w:t>the training</w:t>
      </w:r>
      <w:r w:rsidR="00874398" w:rsidRPr="00767FE7">
        <w:rPr>
          <w:rFonts w:ascii="Calibri" w:hAnsi="Calibri" w:cs="Calibri"/>
          <w:spacing w:val="8"/>
          <w:shd w:val="clear" w:color="auto" w:fill="FFFFFF"/>
        </w:rPr>
        <w:t>’s entire effects, including its moral and financial ones</w:t>
      </w:r>
      <w:r w:rsidRPr="00767FE7">
        <w:rPr>
          <w:rFonts w:ascii="Calibri" w:hAnsi="Calibri" w:cs="Calibri"/>
          <w:spacing w:val="8"/>
          <w:shd w:val="clear" w:color="auto" w:fill="FFFFFF"/>
        </w:rPr>
        <w:t xml:space="preserve"> (Smidt et al, 2009).</w:t>
      </w:r>
      <w:r w:rsidRPr="00767FE7">
        <w:rPr>
          <w:rFonts w:ascii="Calibri" w:hAnsi="Calibri" w:cs="Calibri"/>
        </w:rPr>
        <w:t xml:space="preserve"> </w:t>
      </w:r>
      <w:r w:rsidR="00874398" w:rsidRPr="00767FE7">
        <w:rPr>
          <w:rFonts w:ascii="Calibri" w:hAnsi="Calibri" w:cs="Calibri"/>
        </w:rPr>
        <w:t>For everyone engaged to understand the initiative’s goal, it is crucial that results are expressed in quantifiable terms</w:t>
      </w:r>
      <w:r w:rsidRPr="00767FE7">
        <w:rPr>
          <w:rFonts w:ascii="Calibri" w:hAnsi="Calibri" w:cs="Calibri"/>
          <w:b/>
          <w:bCs/>
          <w:spacing w:val="8"/>
          <w:shd w:val="clear" w:color="auto" w:fill="FFFFFF"/>
        </w:rPr>
        <w:t xml:space="preserve"> </w:t>
      </w:r>
      <w:r w:rsidRPr="00767FE7">
        <w:rPr>
          <w:rFonts w:ascii="Calibri" w:hAnsi="Calibri" w:cs="Calibri"/>
          <w:spacing w:val="8"/>
          <w:shd w:val="clear" w:color="auto" w:fill="FFFFFF"/>
        </w:rPr>
        <w:t>(Kirkpatrick and Kirkpatrick, 2016).</w:t>
      </w:r>
    </w:p>
    <w:p w14:paraId="15E3E4A6" w14:textId="698754C9" w:rsidR="000439FA" w:rsidRDefault="000439FA" w:rsidP="00DE31DC">
      <w:pPr>
        <w:spacing w:line="360" w:lineRule="auto"/>
        <w:rPr>
          <w:rFonts w:ascii="Calibri" w:hAnsi="Calibri" w:cs="Calibri"/>
          <w:b/>
          <w:bCs/>
          <w:u w:val="single"/>
        </w:rPr>
      </w:pPr>
    </w:p>
    <w:p w14:paraId="7E257C63" w14:textId="7F8BDA26" w:rsidR="00922138" w:rsidRDefault="00922138" w:rsidP="00E327F7">
      <w:pPr>
        <w:rPr>
          <w:rFonts w:ascii="Calibri" w:hAnsi="Calibri" w:cs="Calibri"/>
          <w:b/>
          <w:bCs/>
          <w:sz w:val="28"/>
          <w:szCs w:val="28"/>
        </w:rPr>
      </w:pPr>
    </w:p>
    <w:p w14:paraId="333CD459" w14:textId="77777777" w:rsidR="00DB03CE" w:rsidRDefault="00DB03CE" w:rsidP="00E327F7">
      <w:pPr>
        <w:rPr>
          <w:rFonts w:ascii="Calibri" w:eastAsia="Calibri" w:hAnsi="Calibri" w:cs="Times New Roman"/>
          <w:b/>
          <w:bCs/>
          <w:sz w:val="28"/>
          <w:szCs w:val="28"/>
          <w:u w:val="single"/>
        </w:rPr>
      </w:pPr>
    </w:p>
    <w:p w14:paraId="4EDAC0CD" w14:textId="77777777" w:rsidR="00922138" w:rsidRDefault="00922138" w:rsidP="00E327F7">
      <w:pPr>
        <w:rPr>
          <w:rFonts w:ascii="Calibri" w:eastAsia="Calibri" w:hAnsi="Calibri" w:cs="Times New Roman"/>
          <w:b/>
          <w:bCs/>
          <w:sz w:val="28"/>
          <w:szCs w:val="28"/>
          <w:u w:val="single"/>
        </w:rPr>
      </w:pPr>
    </w:p>
    <w:p w14:paraId="1E94B0A5" w14:textId="77777777" w:rsidR="00922138" w:rsidRDefault="00922138" w:rsidP="00E327F7">
      <w:pPr>
        <w:rPr>
          <w:rFonts w:ascii="Calibri" w:eastAsia="Calibri" w:hAnsi="Calibri" w:cs="Times New Roman"/>
          <w:b/>
          <w:bCs/>
          <w:sz w:val="28"/>
          <w:szCs w:val="28"/>
          <w:u w:val="single"/>
        </w:rPr>
      </w:pPr>
    </w:p>
    <w:p w14:paraId="22857606" w14:textId="77777777" w:rsidR="00922138" w:rsidRDefault="00922138" w:rsidP="00E327F7">
      <w:pPr>
        <w:rPr>
          <w:rFonts w:ascii="Calibri" w:eastAsia="Calibri" w:hAnsi="Calibri" w:cs="Times New Roman"/>
          <w:b/>
          <w:bCs/>
          <w:sz w:val="28"/>
          <w:szCs w:val="28"/>
          <w:u w:val="single"/>
        </w:rPr>
      </w:pPr>
    </w:p>
    <w:p w14:paraId="21B6EE11" w14:textId="77777777" w:rsidR="00922138" w:rsidRDefault="00922138" w:rsidP="00E327F7">
      <w:pPr>
        <w:rPr>
          <w:rFonts w:ascii="Calibri" w:eastAsia="Calibri" w:hAnsi="Calibri" w:cs="Times New Roman"/>
          <w:b/>
          <w:bCs/>
          <w:sz w:val="28"/>
          <w:szCs w:val="28"/>
          <w:u w:val="single"/>
        </w:rPr>
      </w:pPr>
    </w:p>
    <w:p w14:paraId="4D380421" w14:textId="77777777" w:rsidR="00922138" w:rsidRDefault="00922138" w:rsidP="00E327F7">
      <w:pPr>
        <w:rPr>
          <w:rFonts w:ascii="Calibri" w:eastAsia="Calibri" w:hAnsi="Calibri" w:cs="Times New Roman"/>
          <w:b/>
          <w:bCs/>
          <w:sz w:val="28"/>
          <w:szCs w:val="28"/>
          <w:u w:val="single"/>
        </w:rPr>
      </w:pPr>
    </w:p>
    <w:p w14:paraId="0ED6B81F" w14:textId="77777777" w:rsidR="00922138" w:rsidRDefault="00922138" w:rsidP="00E327F7">
      <w:pPr>
        <w:rPr>
          <w:rFonts w:ascii="Calibri" w:eastAsia="Calibri" w:hAnsi="Calibri" w:cs="Times New Roman"/>
          <w:b/>
          <w:bCs/>
          <w:sz w:val="28"/>
          <w:szCs w:val="28"/>
          <w:u w:val="single"/>
        </w:rPr>
      </w:pPr>
    </w:p>
    <w:p w14:paraId="76EE596F" w14:textId="77777777" w:rsidR="002D1183" w:rsidRDefault="002D1183" w:rsidP="00E327F7">
      <w:pPr>
        <w:rPr>
          <w:rFonts w:ascii="Calibri" w:eastAsia="Calibri" w:hAnsi="Calibri" w:cs="Times New Roman"/>
          <w:b/>
          <w:bCs/>
          <w:sz w:val="28"/>
          <w:szCs w:val="28"/>
          <w:u w:val="single"/>
        </w:rPr>
      </w:pPr>
    </w:p>
    <w:p w14:paraId="154807B7" w14:textId="77777777" w:rsidR="00D83CF0" w:rsidRDefault="00D83CF0" w:rsidP="00E327F7">
      <w:pPr>
        <w:rPr>
          <w:rFonts w:ascii="Calibri" w:eastAsia="Calibri" w:hAnsi="Calibri" w:cs="Times New Roman"/>
          <w:b/>
          <w:bCs/>
          <w:sz w:val="28"/>
          <w:szCs w:val="28"/>
          <w:u w:val="single"/>
        </w:rPr>
      </w:pPr>
    </w:p>
    <w:p w14:paraId="0D142CFE" w14:textId="01F0FDDF" w:rsidR="00E327F7" w:rsidRPr="00E327F7" w:rsidRDefault="00E327F7" w:rsidP="00E327F7">
      <w:pPr>
        <w:rPr>
          <w:rFonts w:ascii="Calibri" w:eastAsia="Calibri" w:hAnsi="Calibri" w:cs="Times New Roman"/>
          <w:b/>
          <w:bCs/>
          <w:sz w:val="28"/>
          <w:szCs w:val="28"/>
          <w:u w:val="single"/>
        </w:rPr>
      </w:pPr>
      <w:r w:rsidRPr="00E327F7">
        <w:rPr>
          <w:rFonts w:ascii="Calibri" w:eastAsia="Calibri" w:hAnsi="Calibri" w:cs="Times New Roman"/>
          <w:b/>
          <w:bCs/>
          <w:sz w:val="28"/>
          <w:szCs w:val="28"/>
          <w:u w:val="single"/>
        </w:rPr>
        <w:lastRenderedPageBreak/>
        <w:t xml:space="preserve">Quantitative and Qualitative Analysis Review </w:t>
      </w:r>
      <w:r w:rsidR="008C1FE1">
        <w:rPr>
          <w:rFonts w:ascii="Calibri" w:eastAsia="Calibri" w:hAnsi="Calibri" w:cs="Times New Roman"/>
          <w:b/>
          <w:bCs/>
          <w:sz w:val="28"/>
          <w:szCs w:val="28"/>
          <w:u w:val="single"/>
        </w:rPr>
        <w:t>(AC 2.1, 2.2 and 2.3)</w:t>
      </w:r>
    </w:p>
    <w:p w14:paraId="5A0EC3DE" w14:textId="77777777" w:rsidR="00E327F7" w:rsidRPr="00E327F7" w:rsidRDefault="00E327F7" w:rsidP="00E327F7">
      <w:pPr>
        <w:rPr>
          <w:rFonts w:ascii="Calibri" w:eastAsia="Calibri" w:hAnsi="Calibri" w:cs="Calibri"/>
          <w:shd w:val="clear" w:color="auto" w:fill="FFFFFF"/>
        </w:rPr>
      </w:pPr>
      <w:r w:rsidRPr="00E327F7">
        <w:rPr>
          <w:rFonts w:ascii="Calibri" w:eastAsia="Calibri" w:hAnsi="Calibri" w:cs="Calibri"/>
          <w:shd w:val="clear" w:color="auto" w:fill="FFFFFF"/>
        </w:rPr>
        <w:t xml:space="preserve">The significance of people analytics is in its ability to address organisational issues through the analysis of personnel data and the measurement of worker performance, well-being, and inclusion and diversity for both internal and external stakeholders (CIPD, 2022). </w:t>
      </w:r>
    </w:p>
    <w:p w14:paraId="58F30731" w14:textId="7652065E" w:rsidR="00E327F7" w:rsidRDefault="00E327F7" w:rsidP="00E327F7">
      <w:pPr>
        <w:rPr>
          <w:rFonts w:ascii="Calibri" w:eastAsia="Calibri" w:hAnsi="Calibri" w:cs="Calibri"/>
          <w:shd w:val="clear" w:color="auto" w:fill="FFFFFF"/>
        </w:rPr>
      </w:pPr>
      <w:r w:rsidRPr="00E327F7">
        <w:rPr>
          <w:rFonts w:ascii="Calibri" w:eastAsia="Calibri" w:hAnsi="Calibri" w:cs="Calibri"/>
          <w:shd w:val="clear" w:color="auto" w:fill="FFFFFF"/>
        </w:rPr>
        <w:t>Using surveys or data, quantitative data describes trends or patterns across time and is expressed in numerical terms (Waite et al., 2022). However, as opposed to qua</w:t>
      </w:r>
      <w:r w:rsidR="00767FE7">
        <w:rPr>
          <w:rFonts w:ascii="Calibri" w:eastAsia="Calibri" w:hAnsi="Calibri" w:cs="Calibri"/>
          <w:shd w:val="clear" w:color="auto" w:fill="FFFFFF"/>
        </w:rPr>
        <w:t>ntitative</w:t>
      </w:r>
      <w:r w:rsidRPr="00E327F7">
        <w:rPr>
          <w:rFonts w:ascii="Calibri" w:eastAsia="Calibri" w:hAnsi="Calibri" w:cs="Calibri"/>
          <w:shd w:val="clear" w:color="auto" w:fill="FFFFFF"/>
        </w:rPr>
        <w:t xml:space="preserve"> data, which is </w:t>
      </w:r>
      <w:r w:rsidR="00767FE7">
        <w:rPr>
          <w:rFonts w:ascii="Calibri" w:eastAsia="Calibri" w:hAnsi="Calibri" w:cs="Calibri"/>
          <w:shd w:val="clear" w:color="auto" w:fill="FFFFFF"/>
        </w:rPr>
        <w:t>objective</w:t>
      </w:r>
      <w:r w:rsidRPr="00E327F7">
        <w:rPr>
          <w:rFonts w:ascii="Calibri" w:eastAsia="Calibri" w:hAnsi="Calibri" w:cs="Calibri"/>
          <w:shd w:val="clear" w:color="auto" w:fill="FFFFFF"/>
        </w:rPr>
        <w:t>, qua</w:t>
      </w:r>
      <w:r w:rsidR="00767FE7">
        <w:rPr>
          <w:rFonts w:ascii="Calibri" w:eastAsia="Calibri" w:hAnsi="Calibri" w:cs="Calibri"/>
          <w:shd w:val="clear" w:color="auto" w:fill="FFFFFF"/>
        </w:rPr>
        <w:t>litative</w:t>
      </w:r>
      <w:r w:rsidRPr="00E327F7">
        <w:rPr>
          <w:rFonts w:ascii="Calibri" w:eastAsia="Calibri" w:hAnsi="Calibri" w:cs="Calibri"/>
          <w:shd w:val="clear" w:color="auto" w:fill="FFFFFF"/>
        </w:rPr>
        <w:t xml:space="preserve"> data is </w:t>
      </w:r>
      <w:r w:rsidR="00767FE7">
        <w:rPr>
          <w:rFonts w:ascii="Calibri" w:eastAsia="Calibri" w:hAnsi="Calibri" w:cs="Calibri"/>
          <w:shd w:val="clear" w:color="auto" w:fill="FFFFFF"/>
        </w:rPr>
        <w:t>subjective</w:t>
      </w:r>
      <w:r w:rsidRPr="00E327F7">
        <w:rPr>
          <w:rFonts w:ascii="Calibri" w:eastAsia="Calibri" w:hAnsi="Calibri" w:cs="Calibri"/>
          <w:shd w:val="clear" w:color="auto" w:fill="FFFFFF"/>
        </w:rPr>
        <w:t xml:space="preserve"> and enables in-depth exploration of concepts and experiences through the collection of viewpoints and emotional perceptions (focus groups and interviews) (Waite et al., 2022).</w:t>
      </w:r>
    </w:p>
    <w:p w14:paraId="4BC56D8B" w14:textId="77777777" w:rsidR="008C1FE1" w:rsidRPr="008C1FE1" w:rsidRDefault="008C1FE1" w:rsidP="00E327F7">
      <w:pPr>
        <w:rPr>
          <w:rFonts w:ascii="Calibri" w:eastAsia="Calibri" w:hAnsi="Calibri" w:cs="Calibri"/>
          <w:shd w:val="clear" w:color="auto" w:fill="FFFFFF"/>
        </w:rPr>
      </w:pPr>
    </w:p>
    <w:p w14:paraId="42A2E21F" w14:textId="21DAE5D0" w:rsidR="00E57227" w:rsidRDefault="00E327F7" w:rsidP="0049672E">
      <w:pPr>
        <w:rPr>
          <w:rFonts w:ascii="Calibri" w:eastAsia="Calibri" w:hAnsi="Calibri" w:cs="Times New Roman"/>
          <w:b/>
          <w:bCs/>
          <w:sz w:val="24"/>
          <w:szCs w:val="24"/>
          <w:u w:val="single"/>
        </w:rPr>
      </w:pPr>
      <w:r w:rsidRPr="00E327F7">
        <w:rPr>
          <w:rFonts w:ascii="Calibri" w:eastAsia="Calibri" w:hAnsi="Calibri" w:cs="Times New Roman"/>
          <w:b/>
          <w:bCs/>
          <w:sz w:val="24"/>
          <w:szCs w:val="24"/>
          <w:u w:val="single"/>
        </w:rPr>
        <w:t xml:space="preserve">Equality, </w:t>
      </w:r>
      <w:proofErr w:type="gramStart"/>
      <w:r w:rsidRPr="00E327F7">
        <w:rPr>
          <w:rFonts w:ascii="Calibri" w:eastAsia="Calibri" w:hAnsi="Calibri" w:cs="Times New Roman"/>
          <w:b/>
          <w:bCs/>
          <w:sz w:val="24"/>
          <w:szCs w:val="24"/>
          <w:u w:val="single"/>
        </w:rPr>
        <w:t>Diversity</w:t>
      </w:r>
      <w:proofErr w:type="gramEnd"/>
      <w:r w:rsidRPr="00E327F7">
        <w:rPr>
          <w:rFonts w:ascii="Calibri" w:eastAsia="Calibri" w:hAnsi="Calibri" w:cs="Times New Roman"/>
          <w:b/>
          <w:bCs/>
          <w:sz w:val="24"/>
          <w:szCs w:val="24"/>
          <w:u w:val="single"/>
        </w:rPr>
        <w:t xml:space="preserve"> and Inclusion Salary Data</w:t>
      </w:r>
    </w:p>
    <w:p w14:paraId="3D42E6A2" w14:textId="65AF1CED" w:rsidR="00D6626D" w:rsidRPr="0049672E" w:rsidRDefault="00D6626D" w:rsidP="0049672E">
      <w:pPr>
        <w:rPr>
          <w:rFonts w:ascii="Calibri" w:eastAsia="Calibri" w:hAnsi="Calibri" w:cs="Times New Roman"/>
          <w:b/>
          <w:bCs/>
          <w:sz w:val="24"/>
          <w:szCs w:val="24"/>
          <w:u w:val="single"/>
        </w:rPr>
      </w:pPr>
      <w:r w:rsidRPr="00084BCC">
        <w:rPr>
          <w:noProof/>
          <w:u w:val="single"/>
          <w:lang w:eastAsia="en-GB"/>
        </w:rPr>
        <w:drawing>
          <wp:anchor distT="0" distB="0" distL="114300" distR="114300" simplePos="0" relativeHeight="251657216" behindDoc="0" locked="0" layoutInCell="1" allowOverlap="1" wp14:anchorId="467FDB74" wp14:editId="5CA96C9A">
            <wp:simplePos x="0" y="0"/>
            <wp:positionH relativeFrom="column">
              <wp:posOffset>200025</wp:posOffset>
            </wp:positionH>
            <wp:positionV relativeFrom="paragraph">
              <wp:posOffset>448945</wp:posOffset>
            </wp:positionV>
            <wp:extent cx="5334000" cy="3143250"/>
            <wp:effectExtent l="0" t="0" r="0" b="0"/>
            <wp:wrapSquare wrapText="bothSides"/>
            <wp:docPr id="3" name="Chart 3">
              <a:extLst xmlns:a="http://schemas.openxmlformats.org/drawingml/2006/main">
                <a:ext uri="{FF2B5EF4-FFF2-40B4-BE49-F238E27FC236}">
                  <a16:creationId xmlns:a16="http://schemas.microsoft.com/office/drawing/2014/main" id="{488B189B-5AA8-4E95-8D42-699C32541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p>
    <w:p w14:paraId="52C025E3" w14:textId="7CB62593" w:rsidR="00E327F7" w:rsidRDefault="00E327F7" w:rsidP="00E327F7">
      <w:pPr>
        <w:rPr>
          <w:rFonts w:ascii="Calibri" w:eastAsia="Arial" w:hAnsi="Calibri" w:cs="Calibri"/>
        </w:rPr>
      </w:pPr>
    </w:p>
    <w:p w14:paraId="38F668F7" w14:textId="3CFFAE7B" w:rsidR="00E327F7" w:rsidRPr="00E327F7" w:rsidRDefault="00E327F7" w:rsidP="00E327F7">
      <w:pPr>
        <w:rPr>
          <w:rFonts w:ascii="Calibri" w:eastAsia="Arial" w:hAnsi="Calibri" w:cs="Calibri"/>
        </w:rPr>
      </w:pPr>
      <w:r>
        <w:rPr>
          <w:noProof/>
          <w:lang w:eastAsia="en-GB"/>
        </w:rPr>
        <w:lastRenderedPageBreak/>
        <w:drawing>
          <wp:anchor distT="0" distB="0" distL="114300" distR="114300" simplePos="0" relativeHeight="251662336" behindDoc="0" locked="0" layoutInCell="1" allowOverlap="1" wp14:anchorId="06F6B9F6" wp14:editId="3B1D8C55">
            <wp:simplePos x="0" y="0"/>
            <wp:positionH relativeFrom="column">
              <wp:posOffset>-631190</wp:posOffset>
            </wp:positionH>
            <wp:positionV relativeFrom="paragraph">
              <wp:posOffset>-104775</wp:posOffset>
            </wp:positionV>
            <wp:extent cx="6991350" cy="3832860"/>
            <wp:effectExtent l="0" t="0" r="0" b="0"/>
            <wp:wrapSquare wrapText="bothSides"/>
            <wp:docPr id="2" name="Chart 2">
              <a:extLst xmlns:a="http://schemas.openxmlformats.org/drawingml/2006/main">
                <a:ext uri="{FF2B5EF4-FFF2-40B4-BE49-F238E27FC236}">
                  <a16:creationId xmlns:a16="http://schemas.microsoft.com/office/drawing/2014/main" id="{1BDC4BC8-1BCC-B618-50D6-E26008ADB5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09B14B6" w14:textId="586FAF14" w:rsidR="00E327F7" w:rsidRPr="00E327F7" w:rsidRDefault="00E327F7" w:rsidP="00E327F7">
      <w:pPr>
        <w:rPr>
          <w:rFonts w:ascii="Calibri" w:eastAsia="Arial" w:hAnsi="Calibri" w:cs="Calibri"/>
        </w:rPr>
      </w:pPr>
    </w:p>
    <w:p w14:paraId="6F5FC663" w14:textId="37D57CF3" w:rsidR="00E327F7" w:rsidRPr="00E327F7" w:rsidRDefault="00E327F7" w:rsidP="00E327F7">
      <w:pPr>
        <w:rPr>
          <w:rFonts w:ascii="Calibri" w:eastAsia="Arial" w:hAnsi="Calibri" w:cs="Calibri"/>
        </w:rPr>
      </w:pPr>
      <w:r>
        <w:rPr>
          <w:noProof/>
          <w:lang w:eastAsia="en-GB"/>
        </w:rPr>
        <w:drawing>
          <wp:anchor distT="0" distB="0" distL="114300" distR="114300" simplePos="0" relativeHeight="251655168" behindDoc="0" locked="0" layoutInCell="1" allowOverlap="1" wp14:anchorId="4D37F8C6" wp14:editId="7B08A2A3">
            <wp:simplePos x="0" y="0"/>
            <wp:positionH relativeFrom="column">
              <wp:posOffset>-638175</wp:posOffset>
            </wp:positionH>
            <wp:positionV relativeFrom="paragraph">
              <wp:posOffset>339090</wp:posOffset>
            </wp:positionV>
            <wp:extent cx="6943725" cy="3438525"/>
            <wp:effectExtent l="0" t="0" r="0" b="0"/>
            <wp:wrapSquare wrapText="bothSides"/>
            <wp:docPr id="5" name="Chart 5">
              <a:extLst xmlns:a="http://schemas.openxmlformats.org/drawingml/2006/main">
                <a:ext uri="{FF2B5EF4-FFF2-40B4-BE49-F238E27FC236}">
                  <a16:creationId xmlns:a16="http://schemas.microsoft.com/office/drawing/2014/main" id="{A658B3EC-F024-47CE-AAEB-77CD5301B9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7782754C" w14:textId="62DACFC1" w:rsidR="00E327F7" w:rsidRPr="00E327F7" w:rsidRDefault="00E327F7" w:rsidP="00E327F7">
      <w:pPr>
        <w:rPr>
          <w:rFonts w:ascii="Calibri" w:eastAsia="Arial" w:hAnsi="Calibri" w:cs="Calibri"/>
        </w:rPr>
      </w:pPr>
    </w:p>
    <w:p w14:paraId="3A947B12" w14:textId="77777777" w:rsidR="00E2278A" w:rsidRDefault="00E2278A" w:rsidP="00E970F5">
      <w:pPr>
        <w:rPr>
          <w:rFonts w:ascii="Calibri" w:eastAsia="Calibri" w:hAnsi="Calibri" w:cs="Times New Roman"/>
        </w:rPr>
      </w:pPr>
    </w:p>
    <w:p w14:paraId="1E8D1634" w14:textId="5DD11EB9" w:rsidR="00AE35E2" w:rsidRPr="00E970F5" w:rsidRDefault="009F3B12" w:rsidP="00E970F5">
      <w:pPr>
        <w:rPr>
          <w:rFonts w:ascii="Calibri" w:eastAsia="Times New Roman" w:hAnsi="Calibri" w:cs="Calibri"/>
          <w:color w:val="000000"/>
          <w:lang w:eastAsia="en-GB"/>
        </w:rPr>
      </w:pPr>
      <w:r>
        <w:rPr>
          <w:rFonts w:ascii="Calibri" w:eastAsia="Calibri" w:hAnsi="Calibri" w:cs="Times New Roman"/>
        </w:rPr>
        <w:lastRenderedPageBreak/>
        <w:t>Out of the 260 employees</w:t>
      </w:r>
      <w:r w:rsidR="00B6727A">
        <w:rPr>
          <w:rFonts w:ascii="Calibri" w:eastAsia="Calibri" w:hAnsi="Calibri" w:cs="Times New Roman"/>
        </w:rPr>
        <w:t xml:space="preserve"> in</w:t>
      </w:r>
      <w:r>
        <w:rPr>
          <w:rFonts w:ascii="Calibri" w:eastAsia="Calibri" w:hAnsi="Calibri" w:cs="Times New Roman"/>
        </w:rPr>
        <w:t xml:space="preserve"> </w:t>
      </w:r>
      <w:r w:rsidR="00E327F7" w:rsidRPr="00E327F7">
        <w:rPr>
          <w:rFonts w:ascii="Calibri" w:eastAsia="Calibri" w:hAnsi="Calibri" w:cs="Times New Roman"/>
        </w:rPr>
        <w:t>th</w:t>
      </w:r>
      <w:r>
        <w:rPr>
          <w:rFonts w:ascii="Calibri" w:eastAsia="Calibri" w:hAnsi="Calibri" w:cs="Times New Roman"/>
        </w:rPr>
        <w:t>is</w:t>
      </w:r>
      <w:r w:rsidR="00E327F7" w:rsidRPr="00E327F7">
        <w:rPr>
          <w:rFonts w:ascii="Calibri" w:eastAsia="Calibri" w:hAnsi="Calibri" w:cs="Times New Roman"/>
        </w:rPr>
        <w:t xml:space="preserve"> organisation</w:t>
      </w:r>
      <w:r w:rsidR="00007227">
        <w:rPr>
          <w:rFonts w:ascii="Calibri" w:eastAsia="Calibri" w:hAnsi="Calibri" w:cs="Times New Roman"/>
        </w:rPr>
        <w:t xml:space="preserve"> the data has shown whilst there are </w:t>
      </w:r>
      <w:r w:rsidR="00E327F7" w:rsidRPr="00E327F7">
        <w:rPr>
          <w:rFonts w:ascii="Calibri" w:eastAsia="Calibri" w:hAnsi="Calibri" w:cs="Times New Roman"/>
        </w:rPr>
        <w:t xml:space="preserve">predominantly male employees </w:t>
      </w:r>
      <w:r w:rsidR="00007227">
        <w:rPr>
          <w:rFonts w:ascii="Calibri" w:eastAsia="Calibri" w:hAnsi="Calibri" w:cs="Times New Roman"/>
        </w:rPr>
        <w:t>(</w:t>
      </w:r>
      <w:r w:rsidR="00E327F7" w:rsidRPr="00E327F7">
        <w:rPr>
          <w:rFonts w:ascii="Calibri" w:eastAsia="Calibri" w:hAnsi="Calibri" w:cs="Times New Roman"/>
        </w:rPr>
        <w:t xml:space="preserve">54%), female employees </w:t>
      </w:r>
      <w:r w:rsidR="00007227">
        <w:rPr>
          <w:rFonts w:ascii="Calibri" w:eastAsia="Calibri" w:hAnsi="Calibri" w:cs="Times New Roman"/>
        </w:rPr>
        <w:t xml:space="preserve">(45%) </w:t>
      </w:r>
      <w:r w:rsidR="00E327F7" w:rsidRPr="00E327F7">
        <w:rPr>
          <w:rFonts w:ascii="Calibri" w:eastAsia="Calibri" w:hAnsi="Calibri" w:cs="Times New Roman"/>
        </w:rPr>
        <w:t>are earning more on average (£31,900) and above the organisational average</w:t>
      </w:r>
      <w:r w:rsidR="00007227">
        <w:rPr>
          <w:rFonts w:ascii="Calibri" w:eastAsia="Calibri" w:hAnsi="Calibri" w:cs="Times New Roman"/>
        </w:rPr>
        <w:t xml:space="preserve"> (</w:t>
      </w:r>
      <w:r w:rsidR="00007227" w:rsidRPr="00007227">
        <w:rPr>
          <w:rFonts w:ascii="Calibri" w:eastAsia="Calibri" w:hAnsi="Calibri" w:cs="Times New Roman"/>
        </w:rPr>
        <w:t>£31,757</w:t>
      </w:r>
      <w:r w:rsidR="00007227">
        <w:rPr>
          <w:rFonts w:ascii="Calibri" w:eastAsia="Calibri" w:hAnsi="Calibri" w:cs="Times New Roman"/>
        </w:rPr>
        <w:t>)</w:t>
      </w:r>
      <w:r w:rsidR="00E327F7" w:rsidRPr="00E327F7">
        <w:rPr>
          <w:rFonts w:ascii="Calibri" w:eastAsia="Calibri" w:hAnsi="Calibri" w:cs="Times New Roman"/>
        </w:rPr>
        <w:t>.</w:t>
      </w:r>
      <w:r w:rsidR="00007227">
        <w:rPr>
          <w:rFonts w:ascii="Calibri" w:eastAsia="Arial" w:hAnsi="Calibri" w:cs="Calibri"/>
        </w:rPr>
        <w:t xml:space="preserve"> </w:t>
      </w:r>
      <w:r w:rsidR="00E327F7" w:rsidRPr="007B5E4C">
        <w:rPr>
          <w:rFonts w:ascii="Calibri" w:eastAsia="Calibri" w:hAnsi="Calibri" w:cs="Times New Roman"/>
        </w:rPr>
        <w:t>The data also s</w:t>
      </w:r>
      <w:r w:rsidR="00A55DC7">
        <w:rPr>
          <w:rFonts w:ascii="Calibri" w:eastAsia="Calibri" w:hAnsi="Calibri" w:cs="Times New Roman"/>
        </w:rPr>
        <w:t>hows an occupational segregation</w:t>
      </w:r>
      <w:r w:rsidR="00E327F7" w:rsidRPr="007B5E4C">
        <w:rPr>
          <w:rFonts w:ascii="Calibri" w:eastAsia="Calibri" w:hAnsi="Calibri" w:cs="Times New Roman"/>
        </w:rPr>
        <w:t xml:space="preserve"> </w:t>
      </w:r>
      <w:r w:rsidR="00A55DC7">
        <w:rPr>
          <w:rFonts w:ascii="Calibri" w:eastAsia="Calibri" w:hAnsi="Calibri" w:cs="Times New Roman"/>
        </w:rPr>
        <w:t xml:space="preserve">with </w:t>
      </w:r>
      <w:r w:rsidR="00E327F7" w:rsidRPr="007B5E4C">
        <w:rPr>
          <w:rFonts w:ascii="Calibri" w:eastAsia="Calibri" w:hAnsi="Calibri" w:cs="Times New Roman"/>
        </w:rPr>
        <w:t xml:space="preserve">more males employed in trade roles </w:t>
      </w:r>
      <w:r w:rsidR="006F0D17">
        <w:rPr>
          <w:rFonts w:ascii="Calibri" w:eastAsia="Calibri" w:hAnsi="Calibri" w:cs="Times New Roman"/>
        </w:rPr>
        <w:t xml:space="preserve">(Property team) </w:t>
      </w:r>
      <w:r w:rsidR="00E327F7" w:rsidRPr="00E327F7">
        <w:rPr>
          <w:rFonts w:ascii="Calibri" w:eastAsia="Calibri" w:hAnsi="Calibri" w:cs="Times New Roman"/>
        </w:rPr>
        <w:t xml:space="preserve">and females in </w:t>
      </w:r>
      <w:r w:rsidR="00A55DC7">
        <w:rPr>
          <w:rFonts w:ascii="Calibri" w:eastAsia="Calibri" w:hAnsi="Calibri" w:cs="Times New Roman"/>
        </w:rPr>
        <w:t>administrative and</w:t>
      </w:r>
      <w:r w:rsidR="00E327F7" w:rsidRPr="00E327F7">
        <w:rPr>
          <w:rFonts w:ascii="Calibri" w:eastAsia="Calibri" w:hAnsi="Calibri" w:cs="Times New Roman"/>
        </w:rPr>
        <w:t xml:space="preserve"> head of department roles which are the highest paying roles. </w:t>
      </w:r>
      <w:r w:rsidR="00C45698" w:rsidRPr="00C45698">
        <w:rPr>
          <w:rFonts w:ascii="Calibri" w:eastAsia="Calibri" w:hAnsi="Calibri" w:cs="Times New Roman"/>
        </w:rPr>
        <w:t>Non-binary employees are being paid less; however, they are in lower paid roles (Administrator and Apprentice).</w:t>
      </w:r>
      <w:r w:rsidR="00C45698">
        <w:rPr>
          <w:rFonts w:ascii="Calibri" w:eastAsia="Calibri" w:hAnsi="Calibri" w:cs="Times New Roman"/>
        </w:rPr>
        <w:t xml:space="preserve"> </w:t>
      </w:r>
      <w:r w:rsidR="00AE35E2">
        <w:rPr>
          <w:rFonts w:ascii="Calibri" w:eastAsia="Calibri" w:hAnsi="Calibri" w:cs="Times New Roman"/>
        </w:rPr>
        <w:t>Females are paid the most where over half of the team are female employees, for example business services, customer services and directors and this is also the case for male employees (Finance and Property team).</w:t>
      </w:r>
    </w:p>
    <w:p w14:paraId="3FE9FD8B" w14:textId="50E95854" w:rsidR="00E57227" w:rsidRDefault="003D4773" w:rsidP="00E970F5">
      <w:pPr>
        <w:widowControl w:val="0"/>
        <w:autoSpaceDE w:val="0"/>
        <w:autoSpaceDN w:val="0"/>
        <w:spacing w:after="0" w:line="276" w:lineRule="auto"/>
        <w:rPr>
          <w:rFonts w:ascii="Arial" w:eastAsia="Arial" w:hAnsi="Arial" w:cs="Arial"/>
        </w:rPr>
      </w:pPr>
      <w:r w:rsidRPr="00E327F7">
        <w:rPr>
          <w:rFonts w:ascii="Calibri" w:eastAsia="Calibri" w:hAnsi="Calibri" w:cs="Times New Roman"/>
        </w:rPr>
        <w:t>It’s worth acknowledging that there are 3 females’ salaries over £95,000 and one male</w:t>
      </w:r>
      <w:r>
        <w:rPr>
          <w:rFonts w:ascii="Calibri" w:eastAsia="Calibri" w:hAnsi="Calibri" w:cs="Times New Roman"/>
        </w:rPr>
        <w:t xml:space="preserve"> (Directors)</w:t>
      </w:r>
      <w:r w:rsidRPr="00E327F7">
        <w:rPr>
          <w:rFonts w:ascii="Calibri" w:eastAsia="Calibri" w:hAnsi="Calibri" w:cs="Times New Roman"/>
        </w:rPr>
        <w:t xml:space="preserve">, thus when calculating averages, these could impact an unrealistic organisational average salary. </w:t>
      </w:r>
    </w:p>
    <w:p w14:paraId="2803ABE8" w14:textId="2FE6B002" w:rsidR="00E57227" w:rsidRDefault="00E57227" w:rsidP="00DE31DC">
      <w:pPr>
        <w:widowControl w:val="0"/>
        <w:autoSpaceDE w:val="0"/>
        <w:autoSpaceDN w:val="0"/>
        <w:spacing w:after="0" w:line="360" w:lineRule="auto"/>
        <w:rPr>
          <w:rFonts w:ascii="Arial" w:eastAsia="Arial" w:hAnsi="Arial" w:cs="Arial"/>
        </w:rPr>
      </w:pPr>
    </w:p>
    <w:p w14:paraId="49B56C79" w14:textId="77777777" w:rsidR="00B819BC" w:rsidRDefault="00B819BC" w:rsidP="00DE31DC">
      <w:pPr>
        <w:widowControl w:val="0"/>
        <w:autoSpaceDE w:val="0"/>
        <w:autoSpaceDN w:val="0"/>
        <w:spacing w:after="0" w:line="360" w:lineRule="auto"/>
        <w:rPr>
          <w:rFonts w:ascii="Arial" w:eastAsia="Arial" w:hAnsi="Arial" w:cs="Arial"/>
        </w:rPr>
        <w:sectPr w:rsidR="00B819BC" w:rsidSect="00921A70">
          <w:headerReference w:type="default" r:id="rId14"/>
          <w:footerReference w:type="default" r:id="rId15"/>
          <w:pgSz w:w="11906" w:h="16838"/>
          <w:pgMar w:top="1440" w:right="1440" w:bottom="1440" w:left="1440" w:header="708" w:footer="708" w:gutter="0"/>
          <w:cols w:space="708"/>
          <w:docGrid w:linePitch="360"/>
        </w:sectPr>
      </w:pPr>
    </w:p>
    <w:p w14:paraId="3FFB1691" w14:textId="1E9D8A5A" w:rsidR="00E57227" w:rsidRDefault="00E57227" w:rsidP="00DE31DC">
      <w:pPr>
        <w:widowControl w:val="0"/>
        <w:autoSpaceDE w:val="0"/>
        <w:autoSpaceDN w:val="0"/>
        <w:spacing w:after="0" w:line="360" w:lineRule="auto"/>
        <w:rPr>
          <w:rFonts w:ascii="Arial" w:eastAsia="Arial" w:hAnsi="Arial" w:cs="Arial"/>
        </w:rPr>
      </w:pPr>
    </w:p>
    <w:p w14:paraId="1CD151B9" w14:textId="33F74B82" w:rsidR="00E57227" w:rsidRPr="004B6885" w:rsidRDefault="00E57227" w:rsidP="00DE31DC">
      <w:pPr>
        <w:widowControl w:val="0"/>
        <w:autoSpaceDE w:val="0"/>
        <w:autoSpaceDN w:val="0"/>
        <w:spacing w:after="0" w:line="360" w:lineRule="auto"/>
        <w:rPr>
          <w:rFonts w:ascii="Arial" w:eastAsia="Arial" w:hAnsi="Arial" w:cs="Arial"/>
        </w:rPr>
      </w:pPr>
      <w:r w:rsidRPr="004B6885">
        <w:rPr>
          <w:noProof/>
          <w:lang w:eastAsia="en-GB"/>
        </w:rPr>
        <w:drawing>
          <wp:anchor distT="0" distB="0" distL="114300" distR="114300" simplePos="0" relativeHeight="251653120" behindDoc="0" locked="0" layoutInCell="1" allowOverlap="1" wp14:anchorId="6A860331" wp14:editId="0033B09D">
            <wp:simplePos x="0" y="0"/>
            <wp:positionH relativeFrom="column">
              <wp:posOffset>-775970</wp:posOffset>
            </wp:positionH>
            <wp:positionV relativeFrom="paragraph">
              <wp:posOffset>447675</wp:posOffset>
            </wp:positionV>
            <wp:extent cx="10401300" cy="4829175"/>
            <wp:effectExtent l="0" t="0" r="0" b="0"/>
            <wp:wrapSquare wrapText="bothSides"/>
            <wp:docPr id="16" name="Chart 16">
              <a:extLst xmlns:a="http://schemas.openxmlformats.org/drawingml/2006/main">
                <a:ext uri="{FF2B5EF4-FFF2-40B4-BE49-F238E27FC236}">
                  <a16:creationId xmlns:a16="http://schemas.microsoft.com/office/drawing/2014/main" id="{4AEA2EF7-9653-4775-8F62-CE67D75219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anchor>
        </w:drawing>
      </w:r>
    </w:p>
    <w:p w14:paraId="15061214" w14:textId="24F0553F" w:rsidR="00E57227" w:rsidRDefault="00E57227" w:rsidP="00DE31DC">
      <w:pPr>
        <w:widowControl w:val="0"/>
        <w:autoSpaceDE w:val="0"/>
        <w:autoSpaceDN w:val="0"/>
        <w:spacing w:after="0" w:line="360" w:lineRule="auto"/>
        <w:rPr>
          <w:rFonts w:ascii="Arial" w:eastAsia="Arial" w:hAnsi="Arial" w:cs="Arial"/>
        </w:rPr>
      </w:pPr>
    </w:p>
    <w:p w14:paraId="33030C68" w14:textId="16FFC64E" w:rsidR="00E57227" w:rsidRDefault="00E57227" w:rsidP="00DE31DC">
      <w:pPr>
        <w:widowControl w:val="0"/>
        <w:autoSpaceDE w:val="0"/>
        <w:autoSpaceDN w:val="0"/>
        <w:spacing w:after="0" w:line="360" w:lineRule="auto"/>
        <w:rPr>
          <w:rFonts w:ascii="Arial" w:eastAsia="Arial" w:hAnsi="Arial" w:cs="Arial"/>
        </w:rPr>
      </w:pPr>
    </w:p>
    <w:p w14:paraId="6D674D9D" w14:textId="3A36B508" w:rsidR="00E57227" w:rsidRPr="00E327F7" w:rsidRDefault="00E57227" w:rsidP="00DE31DC">
      <w:pPr>
        <w:widowControl w:val="0"/>
        <w:autoSpaceDE w:val="0"/>
        <w:autoSpaceDN w:val="0"/>
        <w:spacing w:after="0" w:line="360" w:lineRule="auto"/>
        <w:rPr>
          <w:rFonts w:ascii="Calibri" w:eastAsia="Arial" w:hAnsi="Calibri" w:cs="Calibri"/>
          <w:u w:val="single"/>
        </w:rPr>
      </w:pPr>
      <w:r w:rsidRPr="00E327F7">
        <w:rPr>
          <w:rFonts w:ascii="Calibri" w:hAnsi="Calibri" w:cs="Calibri"/>
          <w:noProof/>
          <w:u w:val="single"/>
          <w:lang w:eastAsia="en-GB"/>
        </w:rPr>
        <w:drawing>
          <wp:anchor distT="0" distB="0" distL="114300" distR="114300" simplePos="0" relativeHeight="251661312" behindDoc="0" locked="0" layoutInCell="1" allowOverlap="1" wp14:anchorId="0EA54A96" wp14:editId="35FCB7A2">
            <wp:simplePos x="0" y="0"/>
            <wp:positionH relativeFrom="column">
              <wp:posOffset>-518795</wp:posOffset>
            </wp:positionH>
            <wp:positionV relativeFrom="paragraph">
              <wp:posOffset>409575</wp:posOffset>
            </wp:positionV>
            <wp:extent cx="9877425" cy="5266690"/>
            <wp:effectExtent l="0" t="0" r="0" b="0"/>
            <wp:wrapSquare wrapText="bothSides"/>
            <wp:docPr id="7" name="Chart 7">
              <a:extLst xmlns:a="http://schemas.openxmlformats.org/drawingml/2006/main">
                <a:ext uri="{FF2B5EF4-FFF2-40B4-BE49-F238E27FC236}">
                  <a16:creationId xmlns:a16="http://schemas.microsoft.com/office/drawing/2014/main" id="{EAFEBD55-72FC-489F-8C0D-1D829D5565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anchor>
        </w:drawing>
      </w:r>
    </w:p>
    <w:p w14:paraId="356871DC" w14:textId="77777777" w:rsidR="00E327F7" w:rsidRPr="00E327F7" w:rsidRDefault="00E327F7" w:rsidP="00E327F7">
      <w:pPr>
        <w:rPr>
          <w:rFonts w:ascii="Calibri" w:eastAsia="Calibri" w:hAnsi="Calibri" w:cs="Times New Roman"/>
        </w:rPr>
      </w:pPr>
      <w:r w:rsidRPr="00E327F7">
        <w:rPr>
          <w:rFonts w:ascii="Calibri" w:eastAsia="Calibri" w:hAnsi="Calibri" w:cs="Times New Roman"/>
        </w:rPr>
        <w:lastRenderedPageBreak/>
        <w:t>It is clearly indicated within the two graphs above that White British (WB) ethnicity is predominantly employed within this organisation, with 4 teams having 100% WB employees (Facilities, Lettings, Marketing and Regeneration) and over 80% of 10 teams are WB. Whilst there are some ethnic groups employed in highest paid roles in in some teams (Head of IT and Director of People Services), WB employees are mainly occupying the highest paying roles (£40,000 +).</w:t>
      </w:r>
    </w:p>
    <w:p w14:paraId="1A296D52" w14:textId="286AA465" w:rsidR="00E57227" w:rsidRDefault="00E57227" w:rsidP="00DE31DC">
      <w:pPr>
        <w:widowControl w:val="0"/>
        <w:autoSpaceDE w:val="0"/>
        <w:autoSpaceDN w:val="0"/>
        <w:spacing w:after="0" w:line="360" w:lineRule="auto"/>
        <w:rPr>
          <w:rFonts w:ascii="Calibri" w:eastAsia="Calibri" w:hAnsi="Calibri" w:cs="Times New Roman"/>
          <w:u w:val="single"/>
        </w:rPr>
      </w:pPr>
      <w:r w:rsidRPr="007B3C21">
        <w:rPr>
          <w:b/>
          <w:bCs/>
          <w:noProof/>
          <w:u w:val="single"/>
          <w:lang w:eastAsia="en-GB"/>
        </w:rPr>
        <w:drawing>
          <wp:anchor distT="0" distB="0" distL="114300" distR="114300" simplePos="0" relativeHeight="251654144" behindDoc="0" locked="0" layoutInCell="1" allowOverlap="1" wp14:anchorId="464CB16B" wp14:editId="5A0B354D">
            <wp:simplePos x="0" y="0"/>
            <wp:positionH relativeFrom="column">
              <wp:posOffset>-9525</wp:posOffset>
            </wp:positionH>
            <wp:positionV relativeFrom="paragraph">
              <wp:posOffset>280670</wp:posOffset>
            </wp:positionV>
            <wp:extent cx="8863330" cy="4895850"/>
            <wp:effectExtent l="0" t="0" r="0" b="0"/>
            <wp:wrapSquare wrapText="bothSides"/>
            <wp:docPr id="9" name="Chart 9">
              <a:extLst xmlns:a="http://schemas.openxmlformats.org/drawingml/2006/main">
                <a:ext uri="{FF2B5EF4-FFF2-40B4-BE49-F238E27FC236}">
                  <a16:creationId xmlns:a16="http://schemas.microsoft.com/office/drawing/2014/main" id="{83F9ACC0-1116-40EF-BA2C-B501A97AE1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0C5D1D00" w14:textId="46097C1B" w:rsidR="00E57227" w:rsidRPr="00E57227" w:rsidRDefault="00E57227" w:rsidP="00DE31DC">
      <w:pPr>
        <w:widowControl w:val="0"/>
        <w:autoSpaceDE w:val="0"/>
        <w:autoSpaceDN w:val="0"/>
        <w:spacing w:after="0" w:line="360" w:lineRule="auto"/>
        <w:rPr>
          <w:rFonts w:ascii="Calibri" w:eastAsia="Calibri" w:hAnsi="Calibri" w:cs="Times New Roman"/>
          <w:u w:val="single"/>
        </w:rPr>
      </w:pPr>
      <w:r w:rsidRPr="007B3C21">
        <w:rPr>
          <w:b/>
          <w:bCs/>
          <w:noProof/>
          <w:u w:val="single"/>
          <w:lang w:eastAsia="en-GB"/>
        </w:rPr>
        <w:lastRenderedPageBreak/>
        <w:drawing>
          <wp:anchor distT="0" distB="0" distL="114300" distR="114300" simplePos="0" relativeHeight="251659264" behindDoc="0" locked="0" layoutInCell="1" allowOverlap="1" wp14:anchorId="0DAF10DA" wp14:editId="6AB828A8">
            <wp:simplePos x="0" y="0"/>
            <wp:positionH relativeFrom="column">
              <wp:posOffset>0</wp:posOffset>
            </wp:positionH>
            <wp:positionV relativeFrom="paragraph">
              <wp:posOffset>333375</wp:posOffset>
            </wp:positionV>
            <wp:extent cx="8848725" cy="5143500"/>
            <wp:effectExtent l="0" t="0" r="0" b="0"/>
            <wp:wrapSquare wrapText="bothSides"/>
            <wp:docPr id="11" name="Chart 11">
              <a:extLst xmlns:a="http://schemas.openxmlformats.org/drawingml/2006/main">
                <a:ext uri="{FF2B5EF4-FFF2-40B4-BE49-F238E27FC236}">
                  <a16:creationId xmlns:a16="http://schemas.microsoft.com/office/drawing/2014/main" id="{939B2BA6-0A45-47D7-9C70-1AE24D3B88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1F8E4529" w14:textId="5F832DBF" w:rsidR="00E57227" w:rsidRDefault="00E57227" w:rsidP="00DE31DC">
      <w:pPr>
        <w:widowControl w:val="0"/>
        <w:autoSpaceDE w:val="0"/>
        <w:autoSpaceDN w:val="0"/>
        <w:spacing w:after="0" w:line="360" w:lineRule="auto"/>
        <w:rPr>
          <w:rFonts w:ascii="Arial" w:eastAsia="Arial" w:hAnsi="Arial" w:cs="Arial"/>
        </w:rPr>
      </w:pPr>
    </w:p>
    <w:p w14:paraId="33284EB9" w14:textId="77777777" w:rsidR="00E57227" w:rsidRDefault="00E57227" w:rsidP="00DE31DC">
      <w:pPr>
        <w:widowControl w:val="0"/>
        <w:autoSpaceDE w:val="0"/>
        <w:autoSpaceDN w:val="0"/>
        <w:spacing w:after="0" w:line="360" w:lineRule="auto"/>
        <w:rPr>
          <w:rFonts w:ascii="Arial" w:eastAsia="Arial" w:hAnsi="Arial" w:cs="Arial"/>
        </w:rPr>
        <w:sectPr w:rsidR="00E57227" w:rsidSect="00E57227">
          <w:pgSz w:w="16838" w:h="11906" w:orient="landscape"/>
          <w:pgMar w:top="1440" w:right="1440" w:bottom="1440" w:left="1440" w:header="708" w:footer="708" w:gutter="0"/>
          <w:cols w:space="708"/>
          <w:docGrid w:linePitch="360"/>
        </w:sectPr>
      </w:pPr>
    </w:p>
    <w:p w14:paraId="0EF680C8" w14:textId="06E92705" w:rsidR="00E57227" w:rsidRDefault="00E57227" w:rsidP="00DE31DC">
      <w:pPr>
        <w:widowControl w:val="0"/>
        <w:autoSpaceDE w:val="0"/>
        <w:autoSpaceDN w:val="0"/>
        <w:spacing w:after="0" w:line="360" w:lineRule="auto"/>
        <w:rPr>
          <w:rFonts w:ascii="Arial" w:eastAsia="Arial" w:hAnsi="Arial" w:cs="Arial"/>
        </w:rPr>
      </w:pPr>
      <w:r>
        <w:rPr>
          <w:noProof/>
          <w:lang w:eastAsia="en-GB"/>
        </w:rPr>
        <w:lastRenderedPageBreak/>
        <w:drawing>
          <wp:anchor distT="0" distB="0" distL="114300" distR="114300" simplePos="0" relativeHeight="251658240" behindDoc="0" locked="0" layoutInCell="1" allowOverlap="1" wp14:anchorId="14FB45F4" wp14:editId="04B1D58F">
            <wp:simplePos x="0" y="0"/>
            <wp:positionH relativeFrom="column">
              <wp:posOffset>57150</wp:posOffset>
            </wp:positionH>
            <wp:positionV relativeFrom="paragraph">
              <wp:posOffset>9525</wp:posOffset>
            </wp:positionV>
            <wp:extent cx="5619750" cy="2847975"/>
            <wp:effectExtent l="0" t="0" r="0" b="0"/>
            <wp:wrapSquare wrapText="bothSides"/>
            <wp:docPr id="12" name="Chart 12">
              <a:extLst xmlns:a="http://schemas.openxmlformats.org/drawingml/2006/main">
                <a:ext uri="{FF2B5EF4-FFF2-40B4-BE49-F238E27FC236}">
                  <a16:creationId xmlns:a16="http://schemas.microsoft.com/office/drawing/2014/main" id="{0795EBBC-FB01-4A0D-B5D7-649398D54F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anchor>
        </w:drawing>
      </w:r>
    </w:p>
    <w:p w14:paraId="76F65F1F" w14:textId="695BE037" w:rsidR="00E57227" w:rsidRDefault="00E57227" w:rsidP="00E57227">
      <w:pPr>
        <w:rPr>
          <w:rFonts w:ascii="Calibri" w:eastAsia="Calibri" w:hAnsi="Calibri" w:cs="Times New Roman"/>
        </w:rPr>
      </w:pPr>
      <w:bookmarkStart w:id="2" w:name="_Hlk151232263"/>
      <w:r w:rsidRPr="00E57227">
        <w:rPr>
          <w:rFonts w:ascii="Calibri" w:eastAsia="Calibri" w:hAnsi="Calibri" w:cs="Times New Roman"/>
        </w:rPr>
        <w:t xml:space="preserve">From the data available, within this organisation, </w:t>
      </w:r>
      <w:r w:rsidR="006F5836">
        <w:rPr>
          <w:rFonts w:ascii="Calibri" w:eastAsia="Calibri" w:hAnsi="Calibri" w:cs="Times New Roman"/>
        </w:rPr>
        <w:t xml:space="preserve">there are far more non-disabled then disabled employees. There are fewer disabled employees in trade roles, with most non-disabled employees occupying more physical roles </w:t>
      </w:r>
      <w:r w:rsidR="00A47336" w:rsidRPr="00A47336">
        <w:rPr>
          <w:rFonts w:ascii="Calibri" w:eastAsia="Calibri" w:hAnsi="Calibri" w:cs="Times New Roman"/>
        </w:rPr>
        <w:t>as well as</w:t>
      </w:r>
      <w:r w:rsidR="00A47336">
        <w:rPr>
          <w:rFonts w:ascii="Calibri" w:eastAsia="Calibri" w:hAnsi="Calibri" w:cs="Times New Roman"/>
          <w:color w:val="FF0000"/>
        </w:rPr>
        <w:t xml:space="preserve"> </w:t>
      </w:r>
      <w:r w:rsidR="00A47336">
        <w:rPr>
          <w:rFonts w:ascii="Calibri" w:eastAsia="Calibri" w:hAnsi="Calibri" w:cs="Times New Roman"/>
        </w:rPr>
        <w:t>managerial/higher paying roles, mainly Directors.</w:t>
      </w:r>
    </w:p>
    <w:p w14:paraId="6A0E5B01" w14:textId="77777777" w:rsidR="0049672E" w:rsidRDefault="0049672E" w:rsidP="008F38C4">
      <w:pPr>
        <w:spacing w:line="276" w:lineRule="auto"/>
        <w:rPr>
          <w:rFonts w:ascii="Calibri" w:eastAsia="Calibri" w:hAnsi="Calibri" w:cs="Times New Roman"/>
        </w:rPr>
      </w:pPr>
    </w:p>
    <w:p w14:paraId="61884C97" w14:textId="355A7384" w:rsidR="00E57227" w:rsidRPr="000B20AE" w:rsidRDefault="000B20AE" w:rsidP="008F38C4">
      <w:pPr>
        <w:spacing w:line="276" w:lineRule="auto"/>
        <w:rPr>
          <w:rFonts w:ascii="Calibri" w:eastAsia="Arial" w:hAnsi="Calibri" w:cs="Calibri"/>
          <w:b/>
          <w:bCs/>
          <w:u w:val="single"/>
        </w:rPr>
      </w:pPr>
      <w:r w:rsidRPr="000B20AE">
        <w:rPr>
          <w:rFonts w:ascii="Calibri" w:eastAsia="Arial" w:hAnsi="Calibri" w:cs="Calibri"/>
          <w:b/>
          <w:bCs/>
          <w:u w:val="single"/>
        </w:rPr>
        <w:t>Recommendations</w:t>
      </w:r>
    </w:p>
    <w:bookmarkEnd w:id="2"/>
    <w:p w14:paraId="54C3CB6A" w14:textId="393F8040" w:rsidR="008E05EF" w:rsidRDefault="00FB40A9" w:rsidP="00AE10EA">
      <w:pPr>
        <w:spacing w:line="276" w:lineRule="auto"/>
        <w:rPr>
          <w:rFonts w:ascii="Calibri" w:eastAsia="Arial" w:hAnsi="Calibri" w:cs="Calibri"/>
          <w:b/>
          <w:bCs/>
        </w:rPr>
      </w:pPr>
      <w:r w:rsidRPr="00FB40A9">
        <w:rPr>
          <w:rFonts w:ascii="Calibri" w:eastAsia="Arial" w:hAnsi="Calibri" w:cs="Calibri"/>
        </w:rPr>
        <w:t>Positive Action could be utilised in organising open days or internships to encourage more applications from people with disabilities, women, and ethnic minorities, as well as to help provide exclusive opportunities for them to learn more about the types of roles in the Property team, Finance, and Green Spaces (Gov, 2023). In addition to saving organisations money on labour and recruiting expenses, internships help people acquire soft skills like confidence and interpersonal skills (Ismail, 2018).</w:t>
      </w:r>
      <w:r w:rsidR="00F00987">
        <w:rPr>
          <w:rFonts w:ascii="Calibri" w:eastAsia="Arial" w:hAnsi="Calibri" w:cs="Calibri"/>
        </w:rPr>
        <w:t xml:space="preserve"> </w:t>
      </w:r>
      <w:r w:rsidR="008E05EF" w:rsidRPr="009C4104">
        <w:rPr>
          <w:rFonts w:ascii="Calibri" w:eastAsia="Arial" w:hAnsi="Calibri" w:cs="Calibri"/>
        </w:rPr>
        <w:t xml:space="preserve">Employers should use caution when considering </w:t>
      </w:r>
      <w:r w:rsidR="008E05EF">
        <w:rPr>
          <w:rFonts w:ascii="Calibri" w:eastAsia="Arial" w:hAnsi="Calibri" w:cs="Calibri"/>
        </w:rPr>
        <w:t>Positive action</w:t>
      </w:r>
      <w:r w:rsidR="008E05EF" w:rsidRPr="009C4104">
        <w:rPr>
          <w:rFonts w:ascii="Calibri" w:eastAsia="Arial" w:hAnsi="Calibri" w:cs="Calibri"/>
        </w:rPr>
        <w:t xml:space="preserve"> since it may be interpreted as positive discrimination if there is no valid justification for it</w:t>
      </w:r>
      <w:r w:rsidR="008F6D98">
        <w:rPr>
          <w:rFonts w:ascii="Calibri" w:eastAsia="Arial" w:hAnsi="Calibri" w:cs="Calibri"/>
        </w:rPr>
        <w:t xml:space="preserve"> which could lead to a tribunal </w:t>
      </w:r>
      <w:r w:rsidR="008E05EF" w:rsidRPr="009C4104">
        <w:rPr>
          <w:rFonts w:ascii="Calibri" w:eastAsia="Arial" w:hAnsi="Calibri" w:cs="Calibri"/>
        </w:rPr>
        <w:t>(Taylor and Woodhams, 2022a).</w:t>
      </w:r>
      <w:r w:rsidR="007C7D21">
        <w:rPr>
          <w:rFonts w:ascii="Calibri" w:eastAsia="Arial" w:hAnsi="Calibri" w:cs="Calibri"/>
        </w:rPr>
        <w:t xml:space="preserve"> </w:t>
      </w:r>
    </w:p>
    <w:p w14:paraId="0A26C6B3" w14:textId="0344E6E7" w:rsidR="002D1183" w:rsidRDefault="007F0533" w:rsidP="002D1183">
      <w:pPr>
        <w:spacing w:line="276" w:lineRule="auto"/>
        <w:rPr>
          <w:rFonts w:ascii="Calibri" w:eastAsia="Arial" w:hAnsi="Calibri" w:cs="Calibri"/>
          <w:b/>
          <w:bCs/>
        </w:rPr>
      </w:pPr>
      <w:r w:rsidRPr="007F0533">
        <w:rPr>
          <w:rFonts w:ascii="Calibri" w:eastAsia="Arial" w:hAnsi="Calibri" w:cs="Calibri"/>
        </w:rPr>
        <w:t>Underrepresented</w:t>
      </w:r>
      <w:r w:rsidR="00D372AA" w:rsidRPr="007F0533">
        <w:rPr>
          <w:rFonts w:ascii="Calibri" w:eastAsia="Arial" w:hAnsi="Calibri" w:cs="Calibri"/>
        </w:rPr>
        <w:t xml:space="preserve"> </w:t>
      </w:r>
      <w:r w:rsidR="00AE10EA" w:rsidRPr="007F0533">
        <w:rPr>
          <w:rFonts w:ascii="Calibri" w:eastAsia="Arial" w:hAnsi="Calibri" w:cs="Calibri"/>
        </w:rPr>
        <w:t xml:space="preserve">staff </w:t>
      </w:r>
      <w:r w:rsidRPr="007F0533">
        <w:rPr>
          <w:rFonts w:ascii="Calibri" w:eastAsia="Arial" w:hAnsi="Calibri" w:cs="Calibri"/>
        </w:rPr>
        <w:t>could gain better</w:t>
      </w:r>
      <w:r w:rsidR="00AE10EA" w:rsidRPr="007F0533">
        <w:rPr>
          <w:rFonts w:ascii="Calibri" w:eastAsia="Arial" w:hAnsi="Calibri" w:cs="Calibri"/>
        </w:rPr>
        <w:t xml:space="preserve"> access to opportunit</w:t>
      </w:r>
      <w:r w:rsidRPr="007F0533">
        <w:rPr>
          <w:rFonts w:ascii="Calibri" w:eastAsia="Arial" w:hAnsi="Calibri" w:cs="Calibri"/>
        </w:rPr>
        <w:t>ies through mentorship or shadowing</w:t>
      </w:r>
      <w:r w:rsidR="00AE10EA" w:rsidRPr="007F0533">
        <w:rPr>
          <w:rFonts w:ascii="Calibri" w:eastAsia="Arial" w:hAnsi="Calibri" w:cs="Calibri"/>
        </w:rPr>
        <w:t xml:space="preserve"> (Taylor and Woodhams, 2022a).</w:t>
      </w:r>
      <w:r w:rsidR="00AE10EA">
        <w:rPr>
          <w:rFonts w:ascii="Calibri" w:eastAsia="Arial" w:hAnsi="Calibri" w:cs="Calibri"/>
          <w:b/>
          <w:bCs/>
        </w:rPr>
        <w:t xml:space="preserve"> </w:t>
      </w:r>
      <w:r w:rsidR="002D1183" w:rsidRPr="002D1183">
        <w:rPr>
          <w:rFonts w:ascii="Calibri" w:eastAsia="Arial" w:hAnsi="Calibri" w:cs="Calibri"/>
        </w:rPr>
        <w:t>This cost-effective, highly individualized development approach demonstrates the organization's commitment to personal development (CMI, 2020). Unstructured or informal mentoring can be perceived as a type of patronage or as giving an unfair advantage to the mentee (CMI, 2020). By investing in the education and training of existing employees, companies can avoid the costs associated with recruiting new staff.</w:t>
      </w:r>
    </w:p>
    <w:p w14:paraId="34731BAD" w14:textId="4A62476E" w:rsidR="00ED2B54" w:rsidRPr="002D1183" w:rsidRDefault="002D1183" w:rsidP="002D1183">
      <w:pPr>
        <w:spacing w:line="276" w:lineRule="auto"/>
        <w:rPr>
          <w:rFonts w:ascii="Calibri" w:eastAsia="Calibri" w:hAnsi="Calibri" w:cs="Times New Roman"/>
        </w:rPr>
      </w:pPr>
      <w:r w:rsidRPr="002D1183">
        <w:rPr>
          <w:rFonts w:ascii="Calibri" w:eastAsia="Calibri" w:hAnsi="Calibri" w:cs="Times New Roman"/>
        </w:rPr>
        <w:t>The organization may consider incorporating skills-based assessments to assess candidates' suitability for the position</w:t>
      </w:r>
      <w:r>
        <w:rPr>
          <w:rFonts w:ascii="Calibri" w:eastAsia="Calibri" w:hAnsi="Calibri" w:cs="Times New Roman"/>
        </w:rPr>
        <w:t xml:space="preserve"> and </w:t>
      </w:r>
      <w:r w:rsidRPr="002D1183">
        <w:rPr>
          <w:rFonts w:ascii="Calibri" w:eastAsia="Calibri" w:hAnsi="Calibri" w:cs="Times New Roman"/>
        </w:rPr>
        <w:t>ensur</w:t>
      </w:r>
      <w:r>
        <w:rPr>
          <w:rFonts w:ascii="Calibri" w:eastAsia="Calibri" w:hAnsi="Calibri" w:cs="Times New Roman"/>
        </w:rPr>
        <w:t>e</w:t>
      </w:r>
      <w:r w:rsidRPr="002D1183">
        <w:rPr>
          <w:rFonts w:ascii="Calibri" w:eastAsia="Calibri" w:hAnsi="Calibri" w:cs="Times New Roman"/>
        </w:rPr>
        <w:t xml:space="preserve"> structured interviews to avoid unfair bias </w:t>
      </w:r>
      <w:r>
        <w:rPr>
          <w:rFonts w:ascii="Calibri" w:eastAsia="Calibri" w:hAnsi="Calibri" w:cs="Times New Roman"/>
        </w:rPr>
        <w:t xml:space="preserve">which </w:t>
      </w:r>
      <w:r w:rsidRPr="002D1183">
        <w:rPr>
          <w:rFonts w:ascii="Calibri" w:eastAsia="Calibri" w:hAnsi="Calibri" w:cs="Times New Roman"/>
        </w:rPr>
        <w:t>could help recruit more female candidates (Government, 2017).</w:t>
      </w:r>
      <w:r w:rsidR="001C3588">
        <w:rPr>
          <w:rFonts w:ascii="Calibri" w:eastAsia="Calibri" w:hAnsi="Calibri" w:cs="Times New Roman"/>
        </w:rPr>
        <w:t xml:space="preserve"> </w:t>
      </w:r>
      <w:r w:rsidR="00B7696D" w:rsidRPr="00B7696D">
        <w:rPr>
          <w:rFonts w:ascii="Calibri" w:eastAsia="Calibri" w:hAnsi="Calibri" w:cs="Times New Roman"/>
        </w:rPr>
        <w:t>Interviews should be conducted face to face wherever possible to avoid creating barriers with candidates and allow them to present their best selves (Lucy et al, 2023).</w:t>
      </w:r>
      <w:r w:rsidR="00B7696D">
        <w:rPr>
          <w:rFonts w:ascii="Calibri" w:eastAsia="Calibri" w:hAnsi="Calibri" w:cs="Times New Roman"/>
          <w:b/>
          <w:bCs/>
        </w:rPr>
        <w:t xml:space="preserve"> </w:t>
      </w:r>
      <w:r w:rsidR="00FE5F34" w:rsidRPr="00FE5F34">
        <w:rPr>
          <w:rFonts w:ascii="Calibri" w:eastAsia="Calibri" w:hAnsi="Calibri" w:cs="Times New Roman"/>
        </w:rPr>
        <w:t xml:space="preserve">Having more women (even ethnic minorities) in a pool of candidates has been shown to increase their likelihood of being offered a job </w:t>
      </w:r>
      <w:r w:rsidR="00D372AA" w:rsidRPr="00FE5F34">
        <w:rPr>
          <w:rFonts w:ascii="Calibri" w:eastAsia="Calibri" w:hAnsi="Calibri" w:cs="Times New Roman"/>
        </w:rPr>
        <w:t>(</w:t>
      </w:r>
      <w:r w:rsidR="00FE5F34" w:rsidRPr="00FE5F34">
        <w:rPr>
          <w:rFonts w:ascii="Calibri" w:eastAsia="Calibri" w:hAnsi="Calibri" w:cs="Times New Roman"/>
        </w:rPr>
        <w:t xml:space="preserve">Johnson, </w:t>
      </w:r>
      <w:proofErr w:type="spellStart"/>
      <w:r w:rsidR="00FE5F34" w:rsidRPr="00FE5F34">
        <w:rPr>
          <w:rFonts w:ascii="Calibri" w:eastAsia="Calibri" w:hAnsi="Calibri" w:cs="Times New Roman"/>
        </w:rPr>
        <w:t>Hekman</w:t>
      </w:r>
      <w:proofErr w:type="spellEnd"/>
      <w:r w:rsidR="00FE5F34" w:rsidRPr="00FE5F34">
        <w:rPr>
          <w:rFonts w:ascii="Calibri" w:eastAsia="Calibri" w:hAnsi="Calibri" w:cs="Times New Roman"/>
        </w:rPr>
        <w:t xml:space="preserve"> and Khan, 2016).</w:t>
      </w:r>
      <w:r w:rsidR="00D372AA">
        <w:rPr>
          <w:rFonts w:ascii="Calibri" w:eastAsia="Calibri" w:hAnsi="Calibri" w:cs="Times New Roman"/>
          <w:b/>
          <w:bCs/>
        </w:rPr>
        <w:t xml:space="preserve"> </w:t>
      </w:r>
    </w:p>
    <w:p w14:paraId="515825CA" w14:textId="77777777" w:rsidR="00480933" w:rsidRDefault="00480933" w:rsidP="00A008FB">
      <w:pPr>
        <w:spacing w:line="276" w:lineRule="auto"/>
        <w:rPr>
          <w:rFonts w:ascii="Calibri" w:eastAsia="Times New Roman" w:hAnsi="Calibri" w:cs="Calibri"/>
          <w:b/>
          <w:bCs/>
          <w:color w:val="0B0C0C"/>
          <w:lang w:eastAsia="en-GB"/>
        </w:rPr>
      </w:pPr>
    </w:p>
    <w:p w14:paraId="0708D48C" w14:textId="3C05E6A4" w:rsidR="00045233" w:rsidRDefault="00480933" w:rsidP="00A008FB">
      <w:pPr>
        <w:spacing w:line="276" w:lineRule="auto"/>
        <w:rPr>
          <w:rFonts w:ascii="Calibri" w:eastAsia="Times New Roman" w:hAnsi="Calibri" w:cs="Calibri"/>
          <w:bCs/>
          <w:color w:val="0B0C0C"/>
          <w:lang w:eastAsia="en-GB"/>
        </w:rPr>
      </w:pPr>
      <w:r w:rsidRPr="005F0CDB">
        <w:rPr>
          <w:rFonts w:ascii="Calibri" w:eastAsia="Arial" w:hAnsi="Calibri" w:cs="Calibri"/>
        </w:rPr>
        <w:lastRenderedPageBreak/>
        <w:t>There is a long-</w:t>
      </w:r>
      <w:r w:rsidR="005F0CDB">
        <w:rPr>
          <w:rFonts w:ascii="Calibri" w:eastAsia="Arial" w:hAnsi="Calibri" w:cs="Calibri"/>
        </w:rPr>
        <w:t>standing</w:t>
      </w:r>
      <w:r w:rsidRPr="005F0CDB">
        <w:rPr>
          <w:rFonts w:ascii="Calibri" w:eastAsia="Arial" w:hAnsi="Calibri" w:cs="Calibri"/>
        </w:rPr>
        <w:t xml:space="preserve"> view that </w:t>
      </w:r>
      <w:r w:rsidR="00747420">
        <w:rPr>
          <w:rFonts w:ascii="Calibri" w:eastAsia="Arial" w:hAnsi="Calibri" w:cs="Calibri"/>
        </w:rPr>
        <w:t>part-time (</w:t>
      </w:r>
      <w:r w:rsidRPr="005F0CDB">
        <w:rPr>
          <w:rFonts w:ascii="Calibri" w:eastAsia="Arial" w:hAnsi="Calibri" w:cs="Calibri"/>
        </w:rPr>
        <w:t>PT</w:t>
      </w:r>
      <w:r w:rsidR="00747420">
        <w:rPr>
          <w:rFonts w:ascii="Calibri" w:eastAsia="Arial" w:hAnsi="Calibri" w:cs="Calibri"/>
        </w:rPr>
        <w:t>)</w:t>
      </w:r>
      <w:r w:rsidRPr="005F0CDB">
        <w:rPr>
          <w:rFonts w:ascii="Calibri" w:eastAsia="Arial" w:hAnsi="Calibri" w:cs="Calibri"/>
        </w:rPr>
        <w:t xml:space="preserve"> and </w:t>
      </w:r>
      <w:r w:rsidR="00747420">
        <w:rPr>
          <w:rFonts w:ascii="Calibri" w:eastAsia="Arial" w:hAnsi="Calibri" w:cs="Calibri"/>
        </w:rPr>
        <w:t>flexible working (</w:t>
      </w:r>
      <w:r w:rsidRPr="005F0CDB">
        <w:rPr>
          <w:rFonts w:ascii="Calibri" w:eastAsia="Arial" w:hAnsi="Calibri" w:cs="Calibri"/>
        </w:rPr>
        <w:t>FW</w:t>
      </w:r>
      <w:r w:rsidR="00747420">
        <w:rPr>
          <w:rFonts w:ascii="Calibri" w:eastAsia="Arial" w:hAnsi="Calibri" w:cs="Calibri"/>
        </w:rPr>
        <w:t>)</w:t>
      </w:r>
      <w:r w:rsidRPr="005F0CDB">
        <w:rPr>
          <w:rFonts w:ascii="Calibri" w:eastAsia="Arial" w:hAnsi="Calibri" w:cs="Calibri"/>
        </w:rPr>
        <w:t xml:space="preserve"> jobs are concentrated in less skilled occupations (House of Commons Trade and Industry Committee, 2005). As there are more women in PT and FW roles than men, this could explain why there are more males in trade roles (Wild, 2023). </w:t>
      </w:r>
      <w:r w:rsidR="00152369" w:rsidRPr="005F0CDB">
        <w:rPr>
          <w:rFonts w:ascii="Calibri" w:eastAsia="Times New Roman" w:hAnsi="Calibri" w:cs="Calibri"/>
          <w:color w:val="0B0C0C"/>
          <w:lang w:eastAsia="en-GB"/>
        </w:rPr>
        <w:t xml:space="preserve">This organisation could consider looking into providing more </w:t>
      </w:r>
      <w:r w:rsidR="00A008FB" w:rsidRPr="005F0CDB">
        <w:rPr>
          <w:rFonts w:ascii="Calibri" w:eastAsia="Times New Roman" w:hAnsi="Calibri" w:cs="Calibri"/>
          <w:color w:val="0B0C0C"/>
          <w:lang w:eastAsia="en-GB"/>
        </w:rPr>
        <w:t>FW</w:t>
      </w:r>
      <w:r w:rsidR="00152369" w:rsidRPr="005F0CDB">
        <w:rPr>
          <w:rFonts w:ascii="Calibri" w:eastAsia="Times New Roman" w:hAnsi="Calibri" w:cs="Calibri"/>
          <w:color w:val="0B0C0C"/>
          <w:lang w:eastAsia="en-GB"/>
        </w:rPr>
        <w:t xml:space="preserve"> conditions for different roles which could make non-administrative roles more appealing for women.</w:t>
      </w:r>
      <w:r w:rsidR="00152369" w:rsidRPr="00152369">
        <w:rPr>
          <w:rFonts w:ascii="Calibri" w:eastAsia="Times New Roman" w:hAnsi="Calibri" w:cs="Calibri"/>
          <w:b/>
          <w:bCs/>
          <w:color w:val="0B0C0C"/>
          <w:lang w:eastAsia="en-GB"/>
        </w:rPr>
        <w:t xml:space="preserve"> </w:t>
      </w:r>
      <w:r w:rsidR="00A008FB" w:rsidRPr="00747420">
        <w:rPr>
          <w:rFonts w:ascii="Calibri" w:eastAsia="Times New Roman" w:hAnsi="Calibri" w:cs="Calibri"/>
          <w:bCs/>
          <w:color w:val="0B0C0C"/>
          <w:lang w:eastAsia="en-GB"/>
        </w:rPr>
        <w:t xml:space="preserve">Working PT can </w:t>
      </w:r>
      <w:r w:rsidR="00747420" w:rsidRPr="00747420">
        <w:rPr>
          <w:rFonts w:ascii="Calibri" w:eastAsia="Times New Roman" w:hAnsi="Calibri" w:cs="Calibri"/>
          <w:bCs/>
          <w:color w:val="0B0C0C"/>
          <w:lang w:eastAsia="en-GB"/>
        </w:rPr>
        <w:t>come</w:t>
      </w:r>
      <w:r w:rsidR="00A008FB" w:rsidRPr="00747420">
        <w:rPr>
          <w:rFonts w:ascii="Calibri" w:eastAsia="Times New Roman" w:hAnsi="Calibri" w:cs="Calibri"/>
          <w:bCs/>
          <w:color w:val="0B0C0C"/>
          <w:lang w:eastAsia="en-GB"/>
        </w:rPr>
        <w:t xml:space="preserve"> with negative perceptions about ability</w:t>
      </w:r>
      <w:r w:rsidR="00170EDC" w:rsidRPr="00747420">
        <w:rPr>
          <w:rFonts w:ascii="Calibri" w:eastAsia="Times New Roman" w:hAnsi="Calibri" w:cs="Calibri"/>
          <w:bCs/>
          <w:color w:val="0B0C0C"/>
          <w:lang w:eastAsia="en-GB"/>
        </w:rPr>
        <w:t>;</w:t>
      </w:r>
      <w:r w:rsidR="00A008FB" w:rsidRPr="00747420">
        <w:rPr>
          <w:rFonts w:ascii="Calibri" w:eastAsia="Times New Roman" w:hAnsi="Calibri" w:cs="Calibri"/>
          <w:bCs/>
          <w:color w:val="0B0C0C"/>
          <w:lang w:eastAsia="en-GB"/>
        </w:rPr>
        <w:t xml:space="preserve"> however, PT workers </w:t>
      </w:r>
      <w:r w:rsidR="00747420" w:rsidRPr="00747420">
        <w:rPr>
          <w:rFonts w:ascii="Calibri" w:eastAsia="Times New Roman" w:hAnsi="Calibri" w:cs="Calibri"/>
          <w:bCs/>
          <w:color w:val="0B0C0C"/>
          <w:lang w:eastAsia="en-GB"/>
        </w:rPr>
        <w:t>are</w:t>
      </w:r>
      <w:r w:rsidR="00A008FB" w:rsidRPr="00747420">
        <w:rPr>
          <w:rFonts w:ascii="Calibri" w:eastAsia="Times New Roman" w:hAnsi="Calibri" w:cs="Calibri"/>
          <w:bCs/>
          <w:color w:val="0B0C0C"/>
          <w:lang w:eastAsia="en-GB"/>
        </w:rPr>
        <w:t xml:space="preserve"> ambitious, </w:t>
      </w:r>
      <w:r w:rsidR="00747420" w:rsidRPr="00747420">
        <w:rPr>
          <w:rFonts w:ascii="Calibri" w:eastAsia="Times New Roman" w:hAnsi="Calibri" w:cs="Calibri"/>
          <w:bCs/>
          <w:color w:val="0B0C0C"/>
          <w:lang w:eastAsia="en-GB"/>
        </w:rPr>
        <w:t>capable</w:t>
      </w:r>
      <w:r w:rsidR="00922138" w:rsidRPr="00747420">
        <w:rPr>
          <w:rFonts w:ascii="Calibri" w:eastAsia="Times New Roman" w:hAnsi="Calibri" w:cs="Calibri"/>
          <w:bCs/>
          <w:color w:val="0B0C0C"/>
          <w:lang w:eastAsia="en-GB"/>
        </w:rPr>
        <w:t>,</w:t>
      </w:r>
      <w:r w:rsidR="005F0CDB" w:rsidRPr="00747420">
        <w:rPr>
          <w:rFonts w:ascii="Calibri" w:eastAsia="Times New Roman" w:hAnsi="Calibri" w:cs="Calibri"/>
          <w:bCs/>
          <w:color w:val="0B0C0C"/>
          <w:lang w:eastAsia="en-GB"/>
        </w:rPr>
        <w:t xml:space="preserve"> experienced, </w:t>
      </w:r>
      <w:r w:rsidR="00A008FB" w:rsidRPr="00747420">
        <w:rPr>
          <w:rFonts w:ascii="Calibri" w:eastAsia="Times New Roman" w:hAnsi="Calibri" w:cs="Calibri"/>
          <w:bCs/>
          <w:color w:val="0B0C0C"/>
          <w:lang w:eastAsia="en-GB"/>
        </w:rPr>
        <w:t xml:space="preserve">and </w:t>
      </w:r>
      <w:r w:rsidR="00747420" w:rsidRPr="00747420">
        <w:rPr>
          <w:rFonts w:ascii="Calibri" w:eastAsia="Times New Roman" w:hAnsi="Calibri" w:cs="Calibri"/>
          <w:bCs/>
          <w:color w:val="0B0C0C"/>
          <w:lang w:eastAsia="en-GB"/>
        </w:rPr>
        <w:t xml:space="preserve">able to manage their workload flexibly </w:t>
      </w:r>
      <w:r w:rsidR="00A008FB" w:rsidRPr="00747420">
        <w:rPr>
          <w:rFonts w:ascii="Calibri" w:eastAsia="Times New Roman" w:hAnsi="Calibri" w:cs="Calibri"/>
          <w:bCs/>
          <w:color w:val="0B0C0C"/>
          <w:lang w:eastAsia="en-GB"/>
        </w:rPr>
        <w:t xml:space="preserve">and </w:t>
      </w:r>
      <w:r w:rsidR="00747420" w:rsidRPr="00747420">
        <w:rPr>
          <w:rFonts w:ascii="Calibri" w:eastAsia="Times New Roman" w:hAnsi="Calibri" w:cs="Calibri"/>
          <w:bCs/>
          <w:color w:val="0B0C0C"/>
          <w:lang w:eastAsia="en-GB"/>
        </w:rPr>
        <w:t xml:space="preserve">fully </w:t>
      </w:r>
      <w:r w:rsidR="00A008FB" w:rsidRPr="00747420">
        <w:rPr>
          <w:rFonts w:ascii="Calibri" w:eastAsia="Times New Roman" w:hAnsi="Calibri" w:cs="Calibri"/>
          <w:bCs/>
          <w:color w:val="0B0C0C"/>
          <w:lang w:eastAsia="en-GB"/>
        </w:rPr>
        <w:t>commit to their career</w:t>
      </w:r>
      <w:r w:rsidR="00747420" w:rsidRPr="00747420">
        <w:rPr>
          <w:rFonts w:ascii="Calibri" w:eastAsia="Times New Roman" w:hAnsi="Calibri" w:cs="Calibri"/>
          <w:bCs/>
          <w:color w:val="0B0C0C"/>
          <w:lang w:eastAsia="en-GB"/>
        </w:rPr>
        <w:t>s</w:t>
      </w:r>
      <w:r w:rsidR="00A008FB" w:rsidRPr="00747420">
        <w:rPr>
          <w:rFonts w:ascii="Calibri" w:eastAsia="Times New Roman" w:hAnsi="Calibri" w:cs="Calibri"/>
          <w:bCs/>
          <w:color w:val="0B0C0C"/>
          <w:lang w:eastAsia="en-GB"/>
        </w:rPr>
        <w:t xml:space="preserve"> (Gov</w:t>
      </w:r>
      <w:r w:rsidR="005A107B" w:rsidRPr="00747420">
        <w:rPr>
          <w:rFonts w:ascii="Calibri" w:eastAsia="Times New Roman" w:hAnsi="Calibri" w:cs="Calibri"/>
          <w:bCs/>
          <w:color w:val="0B0C0C"/>
          <w:lang w:eastAsia="en-GB"/>
        </w:rPr>
        <w:t>ernment Equalities Office</w:t>
      </w:r>
      <w:r w:rsidR="00A008FB" w:rsidRPr="00747420">
        <w:rPr>
          <w:rFonts w:ascii="Calibri" w:eastAsia="Times New Roman" w:hAnsi="Calibri" w:cs="Calibri"/>
          <w:bCs/>
          <w:color w:val="0B0C0C"/>
          <w:lang w:eastAsia="en-GB"/>
        </w:rPr>
        <w:t>,</w:t>
      </w:r>
      <w:r w:rsidR="005A107B" w:rsidRPr="00747420">
        <w:rPr>
          <w:rFonts w:ascii="Calibri" w:eastAsia="Times New Roman" w:hAnsi="Calibri" w:cs="Calibri"/>
          <w:bCs/>
          <w:color w:val="0B0C0C"/>
          <w:lang w:eastAsia="en-GB"/>
        </w:rPr>
        <w:t xml:space="preserve"> </w:t>
      </w:r>
      <w:r w:rsidR="00A008FB" w:rsidRPr="00747420">
        <w:rPr>
          <w:rFonts w:ascii="Calibri" w:eastAsia="Times New Roman" w:hAnsi="Calibri" w:cs="Calibri"/>
          <w:bCs/>
          <w:color w:val="0B0C0C"/>
          <w:lang w:eastAsia="en-GB"/>
        </w:rPr>
        <w:t>2019).</w:t>
      </w:r>
      <w:r w:rsidR="00A008FB" w:rsidRPr="004D1578">
        <w:rPr>
          <w:rFonts w:ascii="Calibri" w:eastAsia="Times New Roman" w:hAnsi="Calibri" w:cs="Calibri"/>
          <w:bCs/>
          <w:color w:val="0B0C0C"/>
          <w:lang w:eastAsia="en-GB"/>
        </w:rPr>
        <w:t xml:space="preserve"> </w:t>
      </w:r>
    </w:p>
    <w:p w14:paraId="71FA1F4F" w14:textId="484A129F" w:rsidR="00586070" w:rsidRDefault="00045233" w:rsidP="00586070">
      <w:pPr>
        <w:widowControl w:val="0"/>
        <w:autoSpaceDE w:val="0"/>
        <w:autoSpaceDN w:val="0"/>
        <w:spacing w:after="0" w:line="276" w:lineRule="auto"/>
        <w:rPr>
          <w:rFonts w:ascii="Calibri" w:eastAsia="Times New Roman" w:hAnsi="Calibri" w:cs="Calibri"/>
          <w:b/>
          <w:bCs/>
          <w:color w:val="0B0C0C"/>
          <w:lang w:eastAsia="en-GB"/>
        </w:rPr>
      </w:pPr>
      <w:r>
        <w:rPr>
          <w:rFonts w:ascii="Calibri" w:eastAsia="Times New Roman" w:hAnsi="Calibri" w:cs="Calibri"/>
          <w:bCs/>
          <w:color w:val="0B0C0C"/>
          <w:lang w:eastAsia="en-GB"/>
        </w:rPr>
        <w:t>Organisations may not be able to offer PT hours to every team and it might not be appealing for some employees to consider working less hours as it would mean taking home less income</w:t>
      </w:r>
      <w:r w:rsidR="00E970F5">
        <w:rPr>
          <w:rFonts w:ascii="Calibri" w:eastAsia="Times New Roman" w:hAnsi="Calibri" w:cs="Calibri"/>
          <w:bCs/>
          <w:color w:val="0B0C0C"/>
          <w:lang w:eastAsia="en-GB"/>
        </w:rPr>
        <w:t xml:space="preserve">. </w:t>
      </w:r>
      <w:proofErr w:type="gramStart"/>
      <w:r w:rsidR="00E970F5">
        <w:rPr>
          <w:rFonts w:ascii="Calibri" w:eastAsia="Times New Roman" w:hAnsi="Calibri" w:cs="Calibri"/>
          <w:bCs/>
          <w:color w:val="0B0C0C"/>
          <w:lang w:eastAsia="en-GB"/>
        </w:rPr>
        <w:t>FW</w:t>
      </w:r>
      <w:proofErr w:type="gramEnd"/>
      <w:r w:rsidR="00E970F5">
        <w:rPr>
          <w:rFonts w:ascii="Calibri" w:eastAsia="Times New Roman" w:hAnsi="Calibri" w:cs="Calibri"/>
          <w:bCs/>
          <w:color w:val="0B0C0C"/>
          <w:lang w:eastAsia="en-GB"/>
        </w:rPr>
        <w:t xml:space="preserve"> however, </w:t>
      </w:r>
      <w:r w:rsidR="00170EDC">
        <w:rPr>
          <w:rFonts w:ascii="Calibri" w:eastAsia="Times New Roman" w:hAnsi="Calibri" w:cs="Calibri"/>
          <w:bCs/>
          <w:color w:val="0B0C0C"/>
          <w:lang w:eastAsia="en-GB"/>
        </w:rPr>
        <w:t xml:space="preserve">may be more appealing and it </w:t>
      </w:r>
      <w:r w:rsidR="00E970F5">
        <w:rPr>
          <w:rFonts w:ascii="Calibri" w:eastAsia="Times New Roman" w:hAnsi="Calibri" w:cs="Calibri"/>
          <w:bCs/>
          <w:color w:val="0B0C0C"/>
          <w:lang w:eastAsia="en-GB"/>
        </w:rPr>
        <w:t xml:space="preserve">would help </w:t>
      </w:r>
      <w:r w:rsidR="00922138">
        <w:rPr>
          <w:rFonts w:ascii="Calibri" w:eastAsia="Times New Roman" w:hAnsi="Calibri" w:cs="Calibri"/>
          <w:bCs/>
          <w:color w:val="0B0C0C"/>
          <w:lang w:eastAsia="en-GB"/>
        </w:rPr>
        <w:t xml:space="preserve">the organisation </w:t>
      </w:r>
      <w:r w:rsidR="00E970F5">
        <w:rPr>
          <w:rFonts w:ascii="Calibri" w:eastAsia="Times New Roman" w:hAnsi="Calibri" w:cs="Calibri"/>
          <w:bCs/>
          <w:color w:val="0B0C0C"/>
          <w:lang w:eastAsia="en-GB"/>
        </w:rPr>
        <w:t xml:space="preserve">reduce operating costs </w:t>
      </w:r>
      <w:r w:rsidR="00E970F5" w:rsidRPr="00480933">
        <w:rPr>
          <w:rFonts w:ascii="Calibri" w:hAnsi="Calibri" w:cs="Calibri"/>
          <w:color w:val="202020"/>
          <w:shd w:val="clear" w:color="auto" w:fill="FFFFFF"/>
        </w:rPr>
        <w:t>and office space (McCartney, 2023).</w:t>
      </w:r>
      <w:r w:rsidR="00E970F5">
        <w:rPr>
          <w:rFonts w:ascii="Calibri" w:hAnsi="Calibri" w:cs="Calibri"/>
          <w:b/>
          <w:bCs/>
          <w:color w:val="202020"/>
          <w:shd w:val="clear" w:color="auto" w:fill="FFFFFF"/>
        </w:rPr>
        <w:t xml:space="preserve"> </w:t>
      </w:r>
      <w:r w:rsidR="00E970F5" w:rsidRPr="00747420">
        <w:rPr>
          <w:rFonts w:ascii="Calibri" w:hAnsi="Calibri" w:cs="Calibri"/>
          <w:color w:val="202020"/>
          <w:shd w:val="clear" w:color="auto" w:fill="FFFFFF"/>
        </w:rPr>
        <w:t xml:space="preserve">Providing these </w:t>
      </w:r>
      <w:r w:rsidR="00747420" w:rsidRPr="00747420">
        <w:rPr>
          <w:rFonts w:ascii="Calibri" w:hAnsi="Calibri" w:cs="Calibri"/>
          <w:color w:val="202020"/>
          <w:shd w:val="clear" w:color="auto" w:fill="FFFFFF"/>
        </w:rPr>
        <w:t>opportunities</w:t>
      </w:r>
      <w:r w:rsidR="00E970F5" w:rsidRPr="00747420">
        <w:rPr>
          <w:rStyle w:val="normaltextrun"/>
          <w:rFonts w:ascii="Arial" w:hAnsi="Arial" w:cs="Arial"/>
          <w:color w:val="202020"/>
          <w:sz w:val="27"/>
          <w:szCs w:val="27"/>
          <w:shd w:val="clear" w:color="auto" w:fill="FFFFFF"/>
        </w:rPr>
        <w:t xml:space="preserve"> </w:t>
      </w:r>
      <w:r w:rsidR="00E970F5" w:rsidRPr="00747420">
        <w:rPr>
          <w:rStyle w:val="normaltextrun"/>
          <w:rFonts w:ascii="Calibri" w:hAnsi="Calibri" w:cs="Calibri"/>
          <w:color w:val="202020"/>
          <w:shd w:val="clear" w:color="auto" w:fill="FFFFFF"/>
        </w:rPr>
        <w:t xml:space="preserve">will help </w:t>
      </w:r>
      <w:r w:rsidR="00747420" w:rsidRPr="00747420">
        <w:rPr>
          <w:rStyle w:val="normaltextrun"/>
          <w:rFonts w:ascii="Calibri" w:hAnsi="Calibri" w:cs="Calibri"/>
          <w:color w:val="202020"/>
          <w:shd w:val="clear" w:color="auto" w:fill="FFFFFF"/>
        </w:rPr>
        <w:t>promote</w:t>
      </w:r>
      <w:r w:rsidR="00E970F5" w:rsidRPr="00747420">
        <w:rPr>
          <w:rStyle w:val="normaltextrun"/>
          <w:rFonts w:ascii="Calibri" w:hAnsi="Calibri" w:cs="Calibri"/>
          <w:color w:val="202020"/>
          <w:shd w:val="clear" w:color="auto" w:fill="FFFFFF"/>
        </w:rPr>
        <w:t xml:space="preserve"> </w:t>
      </w:r>
      <w:r w:rsidR="00747420" w:rsidRPr="00747420">
        <w:rPr>
          <w:rStyle w:val="normaltextrun"/>
          <w:rFonts w:ascii="Calibri" w:hAnsi="Calibri" w:cs="Calibri"/>
          <w:color w:val="202020"/>
          <w:shd w:val="clear" w:color="auto" w:fill="FFFFFF"/>
        </w:rPr>
        <w:t>better</w:t>
      </w:r>
      <w:r w:rsidR="00E970F5" w:rsidRPr="00747420">
        <w:rPr>
          <w:rStyle w:val="normaltextrun"/>
          <w:rFonts w:ascii="Calibri" w:hAnsi="Calibri" w:cs="Calibri"/>
          <w:color w:val="202020"/>
          <w:shd w:val="clear" w:color="auto" w:fill="FFFFFF"/>
        </w:rPr>
        <w:t xml:space="preserve"> equality, </w:t>
      </w:r>
      <w:r w:rsidR="00170EDC" w:rsidRPr="00747420">
        <w:rPr>
          <w:rStyle w:val="normaltextrun"/>
          <w:rFonts w:ascii="Calibri" w:hAnsi="Calibri" w:cs="Calibri"/>
          <w:color w:val="202020"/>
          <w:shd w:val="clear" w:color="auto" w:fill="FFFFFF"/>
        </w:rPr>
        <w:t>diversity,</w:t>
      </w:r>
      <w:r w:rsidR="00E970F5" w:rsidRPr="00747420">
        <w:rPr>
          <w:rStyle w:val="normaltextrun"/>
          <w:rFonts w:ascii="Calibri" w:hAnsi="Calibri" w:cs="Calibri"/>
          <w:color w:val="202020"/>
          <w:shd w:val="clear" w:color="auto" w:fill="FFFFFF"/>
        </w:rPr>
        <w:t> and Inclusion and </w:t>
      </w:r>
      <w:r w:rsidR="00747420" w:rsidRPr="00747420">
        <w:rPr>
          <w:rStyle w:val="normaltextrun"/>
          <w:rFonts w:ascii="Calibri" w:hAnsi="Calibri" w:cs="Calibri"/>
          <w:color w:val="202020"/>
          <w:shd w:val="clear" w:color="auto" w:fill="FFFFFF"/>
        </w:rPr>
        <w:t>drive greater</w:t>
      </w:r>
      <w:r w:rsidR="00E970F5" w:rsidRPr="00747420">
        <w:rPr>
          <w:rStyle w:val="normaltextrun"/>
          <w:rFonts w:ascii="Calibri" w:hAnsi="Calibri" w:cs="Calibri"/>
          <w:color w:val="202020"/>
          <w:shd w:val="clear" w:color="auto" w:fill="FFFFFF"/>
        </w:rPr>
        <w:t xml:space="preserve"> attraction and retention (CIPD, 2023).</w:t>
      </w:r>
    </w:p>
    <w:p w14:paraId="68EB53EC" w14:textId="77777777" w:rsidR="00586070" w:rsidRDefault="00586070" w:rsidP="00586070">
      <w:pPr>
        <w:widowControl w:val="0"/>
        <w:autoSpaceDE w:val="0"/>
        <w:autoSpaceDN w:val="0"/>
        <w:spacing w:after="0" w:line="276" w:lineRule="auto"/>
        <w:rPr>
          <w:rFonts w:ascii="Calibri" w:eastAsia="Times New Roman" w:hAnsi="Calibri" w:cs="Calibri"/>
          <w:b/>
          <w:bCs/>
          <w:color w:val="0B0C0C"/>
          <w:lang w:eastAsia="en-GB"/>
        </w:rPr>
      </w:pPr>
    </w:p>
    <w:p w14:paraId="4F17BDC4"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4630AFF"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7C2FEA70"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5922725D"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6C2E918"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5270BCEF"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CECDA1C"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05CC72C4"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6857175"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2938BC46"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9F3AC5A"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CCC4975"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0D83E670"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B978A0D"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73F54D0E"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41025F9"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7998C9D"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0775F932"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2B425E3F"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54AEFB91"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0CDB73CA"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3FF0A65"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0432E58"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31169516"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15478388" w14:textId="1CE647B4" w:rsidR="00E57227" w:rsidRDefault="00E57227" w:rsidP="00586070">
      <w:pPr>
        <w:widowControl w:val="0"/>
        <w:autoSpaceDE w:val="0"/>
        <w:autoSpaceDN w:val="0"/>
        <w:spacing w:after="0" w:line="276" w:lineRule="auto"/>
        <w:rPr>
          <w:rFonts w:ascii="Calibri" w:eastAsia="Calibri" w:hAnsi="Calibri" w:cs="Times New Roman"/>
          <w:b/>
          <w:bCs/>
          <w:sz w:val="28"/>
          <w:szCs w:val="28"/>
          <w:u w:val="single"/>
        </w:rPr>
      </w:pPr>
      <w:r w:rsidRPr="00E57227">
        <w:rPr>
          <w:rFonts w:ascii="Calibri" w:eastAsia="Calibri" w:hAnsi="Calibri" w:cs="Times New Roman"/>
          <w:b/>
          <w:bCs/>
          <w:sz w:val="28"/>
          <w:szCs w:val="28"/>
          <w:u w:val="single"/>
        </w:rPr>
        <w:lastRenderedPageBreak/>
        <w:t xml:space="preserve">Hybrid Working Practices </w:t>
      </w:r>
    </w:p>
    <w:p w14:paraId="495979AA" w14:textId="77777777" w:rsidR="0064434F" w:rsidRPr="00586070" w:rsidRDefault="0064434F" w:rsidP="00586070">
      <w:pPr>
        <w:widowControl w:val="0"/>
        <w:autoSpaceDE w:val="0"/>
        <w:autoSpaceDN w:val="0"/>
        <w:spacing w:after="0" w:line="276" w:lineRule="auto"/>
        <w:rPr>
          <w:rFonts w:ascii="Calibri" w:eastAsia="Times New Roman" w:hAnsi="Calibri" w:cs="Calibri"/>
          <w:b/>
          <w:bCs/>
          <w:color w:val="0B0C0C"/>
          <w:lang w:eastAsia="en-GB"/>
        </w:rPr>
      </w:pPr>
    </w:p>
    <w:p w14:paraId="20DC02AD" w14:textId="21D6637E" w:rsidR="00E57227" w:rsidRPr="00E57227" w:rsidRDefault="00E57227" w:rsidP="00E57227">
      <w:pPr>
        <w:rPr>
          <w:rFonts w:ascii="Calibri" w:eastAsia="Calibri" w:hAnsi="Calibri" w:cs="Times New Roman"/>
        </w:rPr>
      </w:pPr>
      <w:r w:rsidRPr="00E57227">
        <w:rPr>
          <w:rFonts w:ascii="Calibri" w:eastAsia="Calibri" w:hAnsi="Calibri" w:cs="Times New Roman"/>
        </w:rPr>
        <w:t>In a recent survey, 300 employees were asked to provide their feedback on hybrid working</w:t>
      </w:r>
      <w:r w:rsidR="00D34056">
        <w:rPr>
          <w:rFonts w:ascii="Calibri" w:eastAsia="Calibri" w:hAnsi="Calibri" w:cs="Times New Roman"/>
        </w:rPr>
        <w:t xml:space="preserve"> (HW)</w:t>
      </w:r>
      <w:r w:rsidRPr="00E57227">
        <w:rPr>
          <w:rFonts w:ascii="Calibri" w:eastAsia="Calibri" w:hAnsi="Calibri" w:cs="Times New Roman"/>
        </w:rPr>
        <w:t>.</w:t>
      </w:r>
      <w:r w:rsidR="00584471">
        <w:rPr>
          <w:rFonts w:ascii="Calibri" w:eastAsia="Calibri" w:hAnsi="Calibri" w:cs="Times New Roman"/>
        </w:rPr>
        <w:t xml:space="preserve"> </w:t>
      </w:r>
      <w:r w:rsidRPr="00135F95">
        <w:rPr>
          <w:rFonts w:ascii="Calibri" w:eastAsia="Calibri" w:hAnsi="Calibri" w:cs="Times New Roman"/>
        </w:rPr>
        <w:t xml:space="preserve">The survey </w:t>
      </w:r>
      <w:r w:rsidR="00135F95" w:rsidRPr="00135F95">
        <w:rPr>
          <w:rFonts w:ascii="Calibri" w:eastAsia="Calibri" w:hAnsi="Calibri" w:cs="Times New Roman"/>
        </w:rPr>
        <w:t xml:space="preserve">results </w:t>
      </w:r>
      <w:r w:rsidRPr="00135F95">
        <w:rPr>
          <w:rFonts w:ascii="Calibri" w:eastAsia="Calibri" w:hAnsi="Calibri" w:cs="Times New Roman"/>
        </w:rPr>
        <w:t>show that whil</w:t>
      </w:r>
      <w:r w:rsidR="00135F95" w:rsidRPr="00135F95">
        <w:rPr>
          <w:rFonts w:ascii="Calibri" w:eastAsia="Calibri" w:hAnsi="Calibri" w:cs="Times New Roman"/>
        </w:rPr>
        <w:t>e</w:t>
      </w:r>
      <w:r w:rsidRPr="00135F95">
        <w:rPr>
          <w:rFonts w:ascii="Calibri" w:eastAsia="Calibri" w:hAnsi="Calibri" w:cs="Times New Roman"/>
        </w:rPr>
        <w:t xml:space="preserve"> </w:t>
      </w:r>
      <w:r w:rsidR="00D34056" w:rsidRPr="00135F95">
        <w:rPr>
          <w:rFonts w:ascii="Calibri" w:eastAsia="Calibri" w:hAnsi="Calibri" w:cs="Times New Roman"/>
        </w:rPr>
        <w:t>employees enjoy working from home (56%)</w:t>
      </w:r>
      <w:r w:rsidR="00135F95" w:rsidRPr="00135F95">
        <w:rPr>
          <w:rFonts w:ascii="Calibri" w:eastAsia="Calibri" w:hAnsi="Calibri" w:cs="Times New Roman"/>
        </w:rPr>
        <w:t>, they also feel that HW</w:t>
      </w:r>
      <w:r w:rsidR="00D34056" w:rsidRPr="00135F95">
        <w:rPr>
          <w:rFonts w:ascii="Calibri" w:eastAsia="Calibri" w:hAnsi="Calibri" w:cs="Times New Roman"/>
        </w:rPr>
        <w:t xml:space="preserve"> supports their work-life balance</w:t>
      </w:r>
      <w:r w:rsidR="00D34056">
        <w:rPr>
          <w:rFonts w:ascii="Calibri" w:eastAsia="Calibri" w:hAnsi="Calibri" w:cs="Times New Roman"/>
        </w:rPr>
        <w:t xml:space="preserve"> (82%)</w:t>
      </w:r>
      <w:r w:rsidR="00135F95">
        <w:rPr>
          <w:rFonts w:ascii="Calibri" w:eastAsia="Calibri" w:hAnsi="Calibri" w:cs="Times New Roman"/>
        </w:rPr>
        <w:t xml:space="preserve">. Moreover, the </w:t>
      </w:r>
      <w:r w:rsidR="00D34056">
        <w:rPr>
          <w:rFonts w:ascii="Calibri" w:eastAsia="Calibri" w:hAnsi="Calibri" w:cs="Times New Roman"/>
        </w:rPr>
        <w:t>majority strongly disagreed/ disagreed (85%) that it made them feel less stressed when away from the workplace</w:t>
      </w:r>
      <w:r w:rsidR="00135F95">
        <w:rPr>
          <w:rFonts w:ascii="Calibri" w:eastAsia="Calibri" w:hAnsi="Calibri" w:cs="Times New Roman"/>
        </w:rPr>
        <w:t xml:space="preserve"> and 80% of the employees </w:t>
      </w:r>
      <w:r w:rsidR="00D34056">
        <w:rPr>
          <w:rFonts w:ascii="Calibri" w:eastAsia="Calibri" w:hAnsi="Calibri" w:cs="Times New Roman"/>
        </w:rPr>
        <w:t>don’t feel fully supported when HW</w:t>
      </w:r>
      <w:r w:rsidR="00484CC6">
        <w:rPr>
          <w:rFonts w:ascii="Calibri" w:eastAsia="Calibri" w:hAnsi="Calibri" w:cs="Times New Roman"/>
        </w:rPr>
        <w:t xml:space="preserve">. </w:t>
      </w:r>
    </w:p>
    <w:p w14:paraId="376BD3A5" w14:textId="7A4B832A" w:rsidR="0009536B" w:rsidRPr="0009536B" w:rsidRDefault="0009536B" w:rsidP="0009536B">
      <w:pPr>
        <w:tabs>
          <w:tab w:val="left" w:pos="1125"/>
        </w:tabs>
        <w:rPr>
          <w:rFonts w:ascii="Calibri" w:eastAsia="Calibri" w:hAnsi="Calibri" w:cs="Times New Roman"/>
        </w:rPr>
        <w:sectPr w:rsidR="0009536B" w:rsidRPr="0009536B" w:rsidSect="00E57227">
          <w:headerReference w:type="default" r:id="rId21"/>
          <w:footerReference w:type="default" r:id="rId22"/>
          <w:pgSz w:w="11906" w:h="16838"/>
          <w:pgMar w:top="1440" w:right="1440" w:bottom="1440" w:left="1440" w:header="708" w:footer="708" w:gutter="0"/>
          <w:cols w:space="708"/>
          <w:docGrid w:linePitch="360"/>
        </w:sectPr>
      </w:pPr>
      <w:r>
        <w:rPr>
          <w:rFonts w:ascii="Calibri" w:eastAsia="Calibri" w:hAnsi="Calibri" w:cs="Times New Roman"/>
        </w:rPr>
        <w:tab/>
      </w:r>
    </w:p>
    <w:p w14:paraId="288CE5B5" w14:textId="69EB3486" w:rsidR="00E57227" w:rsidRPr="00E57227" w:rsidRDefault="00315622" w:rsidP="00E57227">
      <w:pPr>
        <w:rPr>
          <w:rFonts w:ascii="Calibri" w:eastAsia="Calibri" w:hAnsi="Calibri" w:cs="Times New Roman"/>
        </w:rPr>
      </w:pPr>
      <w:r>
        <w:rPr>
          <w:noProof/>
          <w:lang w:eastAsia="en-GB"/>
        </w:rPr>
        <w:lastRenderedPageBreak/>
        <w:drawing>
          <wp:anchor distT="0" distB="0" distL="114300" distR="114300" simplePos="0" relativeHeight="251660288" behindDoc="0" locked="0" layoutInCell="1" allowOverlap="1" wp14:anchorId="09557BB0" wp14:editId="6BE2EC3B">
            <wp:simplePos x="0" y="0"/>
            <wp:positionH relativeFrom="column">
              <wp:posOffset>66675</wp:posOffset>
            </wp:positionH>
            <wp:positionV relativeFrom="paragraph">
              <wp:posOffset>9525</wp:posOffset>
            </wp:positionV>
            <wp:extent cx="8801100" cy="4200525"/>
            <wp:effectExtent l="0" t="0" r="0" b="0"/>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V relativeFrom="margin">
              <wp14:pctHeight>0</wp14:pctHeight>
            </wp14:sizeRelV>
          </wp:anchor>
        </w:drawing>
      </w:r>
    </w:p>
    <w:p w14:paraId="405507D4" w14:textId="77777777" w:rsidR="00E57227" w:rsidRPr="00E57227" w:rsidRDefault="00E57227" w:rsidP="00E57227">
      <w:pPr>
        <w:rPr>
          <w:rFonts w:ascii="Calibri" w:eastAsia="Calibri" w:hAnsi="Calibri" w:cs="Times New Roman"/>
          <w:b/>
          <w:bCs/>
          <w:u w:val="single"/>
        </w:rPr>
      </w:pPr>
      <w:r w:rsidRPr="00E57227">
        <w:rPr>
          <w:rFonts w:ascii="Calibri" w:eastAsia="Calibri" w:hAnsi="Calibri" w:cs="Times New Roman"/>
          <w:b/>
          <w:bCs/>
          <w:u w:val="single"/>
        </w:rPr>
        <w:t>Recommendations</w:t>
      </w:r>
    </w:p>
    <w:p w14:paraId="191A16E7" w14:textId="5A77BC04" w:rsidR="00E57227" w:rsidRPr="00E57227" w:rsidRDefault="00D34056" w:rsidP="00E57227">
      <w:pPr>
        <w:rPr>
          <w:rFonts w:ascii="Calibri" w:eastAsia="Calibri" w:hAnsi="Calibri" w:cs="Times New Roman"/>
        </w:rPr>
      </w:pPr>
      <w:r>
        <w:rPr>
          <w:rFonts w:ascii="Calibri" w:eastAsia="Calibri" w:hAnsi="Calibri" w:cs="Times New Roman"/>
        </w:rPr>
        <w:t xml:space="preserve">The response received from these employees could be influenced by several factors and using this survey alone is not enough to gather sufficient information to base decisions on. </w:t>
      </w:r>
      <w:r w:rsidR="00E57227" w:rsidRPr="00E57227">
        <w:rPr>
          <w:rFonts w:ascii="Calibri" w:eastAsia="Calibri" w:hAnsi="Calibri" w:cs="Times New Roman"/>
        </w:rPr>
        <w:t xml:space="preserve">A focus group or interviews could have been conducted </w:t>
      </w:r>
      <w:r w:rsidR="00E2278A">
        <w:rPr>
          <w:rFonts w:ascii="Calibri" w:eastAsia="Calibri" w:hAnsi="Calibri" w:cs="Times New Roman"/>
        </w:rPr>
        <w:t xml:space="preserve">to </w:t>
      </w:r>
      <w:r w:rsidR="00E57227" w:rsidRPr="00E57227">
        <w:rPr>
          <w:rFonts w:ascii="Calibri" w:eastAsia="Calibri" w:hAnsi="Calibri" w:cs="Times New Roman"/>
        </w:rPr>
        <w:t>provide in-depth justifications. Even though interviews are mostly qualitative, responses could have been classified into several categories before being subjected to statistical analysis (</w:t>
      </w:r>
      <w:proofErr w:type="spellStart"/>
      <w:r w:rsidR="00E57227" w:rsidRPr="00E57227">
        <w:rPr>
          <w:rFonts w:ascii="Calibri" w:eastAsia="Calibri" w:hAnsi="Calibri" w:cs="Times New Roman"/>
        </w:rPr>
        <w:t>Phellas</w:t>
      </w:r>
      <w:proofErr w:type="spellEnd"/>
      <w:r w:rsidR="00E57227" w:rsidRPr="00E57227">
        <w:rPr>
          <w:rFonts w:ascii="Calibri" w:eastAsia="Calibri" w:hAnsi="Calibri" w:cs="Times New Roman"/>
        </w:rPr>
        <w:t xml:space="preserve">, Bloch, and Seale, 2012). Focus groups promote conversations and might have offered more detailed responses to questions (Taylor and Woodhams, 2022b). However, in contrast to surveys, these methods </w:t>
      </w:r>
      <w:r w:rsidR="007B5E4C">
        <w:rPr>
          <w:rFonts w:ascii="Calibri" w:eastAsia="Calibri" w:hAnsi="Calibri" w:cs="Times New Roman"/>
        </w:rPr>
        <w:t>could prove to be</w:t>
      </w:r>
      <w:r w:rsidR="00E57227" w:rsidRPr="00E57227">
        <w:rPr>
          <w:rFonts w:ascii="Calibri" w:eastAsia="Calibri" w:hAnsi="Calibri" w:cs="Times New Roman"/>
        </w:rPr>
        <w:t xml:space="preserve"> challenging </w:t>
      </w:r>
      <w:r w:rsidR="007B5E4C">
        <w:rPr>
          <w:rFonts w:ascii="Calibri" w:eastAsia="Calibri" w:hAnsi="Calibri" w:cs="Times New Roman"/>
        </w:rPr>
        <w:t xml:space="preserve">as it can be difficult </w:t>
      </w:r>
      <w:r w:rsidR="00E57227" w:rsidRPr="00E57227">
        <w:rPr>
          <w:rFonts w:ascii="Calibri" w:eastAsia="Calibri" w:hAnsi="Calibri" w:cs="Times New Roman"/>
        </w:rPr>
        <w:t xml:space="preserve">to gather participants, and data collecting and analysis take time </w:t>
      </w:r>
      <w:r w:rsidR="00E57227" w:rsidRPr="00E57227">
        <w:rPr>
          <w:rFonts w:ascii="Calibri" w:eastAsia="Calibri" w:hAnsi="Calibri" w:cs="Times New Roman"/>
        </w:rPr>
        <w:lastRenderedPageBreak/>
        <w:t>(Taylor and Woodhams, 2022b).</w:t>
      </w:r>
      <w:r w:rsidRPr="00922138">
        <w:rPr>
          <w:rFonts w:ascii="Calibri" w:eastAsia="Calibri" w:hAnsi="Calibri" w:cs="Times New Roman"/>
          <w:color w:val="FF0000"/>
        </w:rPr>
        <w:t xml:space="preserve"> </w:t>
      </w:r>
      <w:r w:rsidR="00FC5BF4" w:rsidRPr="00922138">
        <w:rPr>
          <w:rFonts w:ascii="Calibri" w:eastAsia="Calibri" w:hAnsi="Calibri" w:cs="Times New Roman"/>
        </w:rPr>
        <w:t xml:space="preserve">Interviews and Focus groups can create loss of working time </w:t>
      </w:r>
      <w:r w:rsidR="00FC5BF4" w:rsidRPr="00922138">
        <w:rPr>
          <w:rFonts w:ascii="Calibri" w:hAnsi="Calibri" w:cs="Calibri"/>
        </w:rPr>
        <w:t>and incur</w:t>
      </w:r>
      <w:r w:rsidR="00D966A5" w:rsidRPr="00922138">
        <w:rPr>
          <w:rFonts w:ascii="Calibri" w:hAnsi="Calibri" w:cs="Calibri"/>
        </w:rPr>
        <w:t xml:space="preserve"> travel expenses</w:t>
      </w:r>
      <w:r w:rsidR="00027B92" w:rsidRPr="00922138">
        <w:rPr>
          <w:rFonts w:ascii="Calibri" w:hAnsi="Calibri" w:cs="Calibri"/>
        </w:rPr>
        <w:t xml:space="preserve"> should participants be required to attend in person</w:t>
      </w:r>
      <w:r w:rsidR="00D966A5" w:rsidRPr="00922138">
        <w:rPr>
          <w:rFonts w:ascii="Calibri" w:hAnsi="Calibri" w:cs="Calibri"/>
        </w:rPr>
        <w:t xml:space="preserve"> (Jain, 2021).</w:t>
      </w:r>
    </w:p>
    <w:p w14:paraId="61D0887C" w14:textId="6E58C5B2" w:rsidR="00084458" w:rsidRDefault="003417E7" w:rsidP="00084458">
      <w:pPr>
        <w:rPr>
          <w:rFonts w:ascii="Calibri" w:eastAsia="Calibri" w:hAnsi="Calibri" w:cs="Times New Roman"/>
          <w:b/>
          <w:bCs/>
        </w:rPr>
      </w:pPr>
      <w:r w:rsidRPr="00C109FF">
        <w:rPr>
          <w:rFonts w:ascii="Calibri" w:eastAsia="Calibri" w:hAnsi="Calibri" w:cs="Times New Roman"/>
        </w:rPr>
        <w:t>Those struggling to meet targets or require more support</w:t>
      </w:r>
      <w:r w:rsidR="006F5836" w:rsidRPr="00C109FF">
        <w:rPr>
          <w:rFonts w:ascii="Calibri" w:eastAsia="Calibri" w:hAnsi="Calibri" w:cs="Times New Roman"/>
        </w:rPr>
        <w:t xml:space="preserve"> could benefit from informal arrangements </w:t>
      </w:r>
      <w:r w:rsidR="006F5836" w:rsidRPr="00657259">
        <w:rPr>
          <w:rFonts w:ascii="Calibri" w:eastAsia="Calibri" w:hAnsi="Calibri" w:cs="Times New Roman"/>
        </w:rPr>
        <w:t>(</w:t>
      </w:r>
      <w:r w:rsidR="006A6D06" w:rsidRPr="00657259">
        <w:rPr>
          <w:rFonts w:ascii="Calibri" w:eastAsia="Calibri" w:hAnsi="Calibri" w:cs="Times New Roman"/>
        </w:rPr>
        <w:t xml:space="preserve">De Menezes and </w:t>
      </w:r>
      <w:proofErr w:type="spellStart"/>
      <w:r w:rsidR="006A6D06" w:rsidRPr="00657259">
        <w:rPr>
          <w:rFonts w:ascii="Calibri" w:eastAsia="Calibri" w:hAnsi="Calibri" w:cs="Times New Roman"/>
        </w:rPr>
        <w:t>Kelliher</w:t>
      </w:r>
      <w:proofErr w:type="spellEnd"/>
      <w:r w:rsidR="006A6D06" w:rsidRPr="00657259">
        <w:rPr>
          <w:rFonts w:ascii="Calibri" w:eastAsia="Calibri" w:hAnsi="Calibri" w:cs="Times New Roman"/>
        </w:rPr>
        <w:t>, 2017</w:t>
      </w:r>
      <w:r w:rsidR="006F5836" w:rsidRPr="00657259">
        <w:rPr>
          <w:rFonts w:ascii="Calibri" w:eastAsia="Calibri" w:hAnsi="Calibri" w:cs="Times New Roman"/>
        </w:rPr>
        <w:t>).</w:t>
      </w:r>
      <w:r w:rsidR="006F5836">
        <w:rPr>
          <w:rFonts w:ascii="Calibri" w:eastAsia="Calibri" w:hAnsi="Calibri" w:cs="Times New Roman"/>
        </w:rPr>
        <w:t xml:space="preserve"> </w:t>
      </w:r>
      <w:r w:rsidR="00937EAF">
        <w:rPr>
          <w:rFonts w:ascii="Calibri" w:eastAsia="Calibri" w:hAnsi="Calibri" w:cs="Times New Roman"/>
        </w:rPr>
        <w:t xml:space="preserve">Employees with caring or parental responsibilities could benefit from this as it could give them better flexibility in their personal lives and reduce stress levels. </w:t>
      </w:r>
      <w:r w:rsidR="00084458">
        <w:rPr>
          <w:rFonts w:ascii="Calibri" w:eastAsia="Calibri" w:hAnsi="Calibri" w:cs="Times New Roman"/>
        </w:rPr>
        <w:t>However, HW can make it more difficult to measure performance, and can affect engagement levels (</w:t>
      </w:r>
      <w:proofErr w:type="spellStart"/>
      <w:r w:rsidR="00084458">
        <w:rPr>
          <w:rFonts w:ascii="Calibri" w:eastAsia="Calibri" w:hAnsi="Calibri" w:cs="Times New Roman"/>
        </w:rPr>
        <w:t>Kakabadse</w:t>
      </w:r>
      <w:proofErr w:type="spellEnd"/>
      <w:r w:rsidR="00084458">
        <w:rPr>
          <w:rFonts w:ascii="Calibri" w:eastAsia="Calibri" w:hAnsi="Calibri" w:cs="Times New Roman"/>
        </w:rPr>
        <w:t>, 2023). The risk of employees working from home too many days of the week can also create social isolation and possibly increase family conflicts (</w:t>
      </w:r>
      <w:proofErr w:type="spellStart"/>
      <w:r w:rsidR="00084458">
        <w:rPr>
          <w:rFonts w:ascii="Calibri" w:eastAsia="Calibri" w:hAnsi="Calibri" w:cs="Times New Roman"/>
        </w:rPr>
        <w:t>Kakabadse</w:t>
      </w:r>
      <w:proofErr w:type="spellEnd"/>
      <w:r w:rsidR="00084458">
        <w:rPr>
          <w:rFonts w:ascii="Calibri" w:eastAsia="Calibri" w:hAnsi="Calibri" w:cs="Times New Roman"/>
        </w:rPr>
        <w:t xml:space="preserve">, 2023). </w:t>
      </w:r>
      <w:r w:rsidR="00084458" w:rsidRPr="004B6885">
        <w:rPr>
          <w:rFonts w:ascii="Calibri" w:eastAsia="Calibri" w:hAnsi="Calibri" w:cs="Times New Roman"/>
        </w:rPr>
        <w:t xml:space="preserve">Therefore, employers could consider suggesting staff work in the office more days a week to help alleviate these personal issues. Employees degree of work engagement has been found to rise with the number of days they are physically present in the office, according to </w:t>
      </w:r>
      <w:proofErr w:type="spellStart"/>
      <w:r w:rsidR="00084458" w:rsidRPr="004B6885">
        <w:rPr>
          <w:rFonts w:ascii="Calibri" w:eastAsia="Calibri" w:hAnsi="Calibri" w:cs="Times New Roman"/>
        </w:rPr>
        <w:t>Kakbadse</w:t>
      </w:r>
      <w:proofErr w:type="spellEnd"/>
      <w:r w:rsidR="00084458" w:rsidRPr="004B6885">
        <w:rPr>
          <w:rFonts w:ascii="Calibri" w:eastAsia="Calibri" w:hAnsi="Calibri" w:cs="Times New Roman"/>
        </w:rPr>
        <w:t>, 2023).</w:t>
      </w:r>
      <w:r w:rsidR="00084458">
        <w:rPr>
          <w:rFonts w:ascii="Calibri" w:eastAsia="Calibri" w:hAnsi="Calibri" w:cs="Times New Roman"/>
          <w:b/>
          <w:bCs/>
        </w:rPr>
        <w:t xml:space="preserve"> </w:t>
      </w:r>
    </w:p>
    <w:p w14:paraId="5736908B" w14:textId="5437053F" w:rsidR="001C3588" w:rsidRDefault="001C3588" w:rsidP="001C3588">
      <w:pPr>
        <w:rPr>
          <w:rFonts w:ascii="Calibri" w:eastAsia="Calibri" w:hAnsi="Calibri" w:cs="Times New Roman"/>
        </w:rPr>
      </w:pPr>
      <w:r w:rsidRPr="001C3588">
        <w:rPr>
          <w:rFonts w:ascii="Calibri" w:eastAsia="Calibri" w:hAnsi="Calibri" w:cs="Times New Roman"/>
        </w:rPr>
        <w:t>To better support staff</w:t>
      </w:r>
      <w:r>
        <w:rPr>
          <w:rFonts w:ascii="Calibri" w:eastAsia="Calibri" w:hAnsi="Calibri" w:cs="Times New Roman"/>
        </w:rPr>
        <w:t xml:space="preserve"> at home</w:t>
      </w:r>
      <w:r w:rsidRPr="001C3588">
        <w:rPr>
          <w:rFonts w:ascii="Calibri" w:eastAsia="Calibri" w:hAnsi="Calibri" w:cs="Times New Roman"/>
        </w:rPr>
        <w:t>, organizations c</w:t>
      </w:r>
      <w:r>
        <w:rPr>
          <w:rFonts w:ascii="Calibri" w:eastAsia="Calibri" w:hAnsi="Calibri" w:cs="Times New Roman"/>
        </w:rPr>
        <w:t>ould use</w:t>
      </w:r>
      <w:r w:rsidRPr="001C3588">
        <w:rPr>
          <w:rFonts w:ascii="Calibri" w:eastAsia="Calibri" w:hAnsi="Calibri" w:cs="Times New Roman"/>
        </w:rPr>
        <w:t xml:space="preserve"> advance</w:t>
      </w:r>
      <w:r>
        <w:rPr>
          <w:rFonts w:ascii="Calibri" w:eastAsia="Calibri" w:hAnsi="Calibri" w:cs="Times New Roman"/>
        </w:rPr>
        <w:t>d</w:t>
      </w:r>
      <w:r w:rsidRPr="001C3588">
        <w:rPr>
          <w:rFonts w:ascii="Calibri" w:eastAsia="Calibri" w:hAnsi="Calibri" w:cs="Times New Roman"/>
        </w:rPr>
        <w:t xml:space="preserve"> technology to better enable remote working (McCartney, 2023). Even if office technology does not directly generate revenue, it can improve efficiency, reduce costs, </w:t>
      </w:r>
      <w:r w:rsidR="00E2278A" w:rsidRPr="001C3588">
        <w:rPr>
          <w:rFonts w:ascii="Calibri" w:eastAsia="Calibri" w:hAnsi="Calibri" w:cs="Times New Roman"/>
        </w:rPr>
        <w:t>and help</w:t>
      </w:r>
      <w:r w:rsidRPr="001C3588">
        <w:rPr>
          <w:rFonts w:ascii="Calibri" w:eastAsia="Calibri" w:hAnsi="Calibri" w:cs="Times New Roman"/>
        </w:rPr>
        <w:t xml:space="preserve"> attract and retain talented employees (</w:t>
      </w:r>
      <w:proofErr w:type="spellStart"/>
      <w:r w:rsidRPr="001C3588">
        <w:rPr>
          <w:rFonts w:ascii="Calibri" w:eastAsia="Calibri" w:hAnsi="Calibri" w:cs="Times New Roman"/>
        </w:rPr>
        <w:t>Juma</w:t>
      </w:r>
      <w:proofErr w:type="spellEnd"/>
      <w:r w:rsidRPr="001C3588">
        <w:rPr>
          <w:rFonts w:ascii="Calibri" w:eastAsia="Calibri" w:hAnsi="Calibri" w:cs="Times New Roman"/>
        </w:rPr>
        <w:t>, 2023). Intr</w:t>
      </w:r>
      <w:r w:rsidR="00E2278A">
        <w:rPr>
          <w:rFonts w:ascii="Calibri" w:eastAsia="Calibri" w:hAnsi="Calibri" w:cs="Times New Roman"/>
        </w:rPr>
        <w:t>oducing</w:t>
      </w:r>
      <w:r w:rsidRPr="001C3588">
        <w:rPr>
          <w:rFonts w:ascii="Calibri" w:eastAsia="Calibri" w:hAnsi="Calibri" w:cs="Times New Roman"/>
        </w:rPr>
        <w:t xml:space="preserve"> hotdesking into the office </w:t>
      </w:r>
      <w:r w:rsidR="00E2278A">
        <w:rPr>
          <w:rFonts w:ascii="Calibri" w:eastAsia="Calibri" w:hAnsi="Calibri" w:cs="Times New Roman"/>
        </w:rPr>
        <w:t xml:space="preserve">could </w:t>
      </w:r>
      <w:r w:rsidRPr="001C3588">
        <w:rPr>
          <w:rFonts w:ascii="Calibri" w:eastAsia="Calibri" w:hAnsi="Calibri" w:cs="Times New Roman"/>
        </w:rPr>
        <w:t>foster collaboration between employees who don't normally meet, improving team ethics and productivity, and saving operational costs and office space (McCartney, 2023).</w:t>
      </w:r>
    </w:p>
    <w:p w14:paraId="28833439" w14:textId="77777777" w:rsidR="009C4104" w:rsidRDefault="009C4104" w:rsidP="008F38C4">
      <w:pPr>
        <w:spacing w:line="276" w:lineRule="auto"/>
        <w:rPr>
          <w:rFonts w:ascii="Arial" w:eastAsia="Arial" w:hAnsi="Arial" w:cs="Arial"/>
          <w:b/>
          <w:bCs/>
          <w:sz w:val="24"/>
          <w:szCs w:val="24"/>
          <w:u w:val="single"/>
        </w:rPr>
        <w:sectPr w:rsidR="009C4104" w:rsidSect="0009536B">
          <w:pgSz w:w="16838" w:h="11906" w:orient="landscape"/>
          <w:pgMar w:top="1440" w:right="1440" w:bottom="1440" w:left="1440" w:header="708" w:footer="708" w:gutter="0"/>
          <w:cols w:space="708"/>
          <w:docGrid w:linePitch="360"/>
        </w:sectPr>
      </w:pPr>
    </w:p>
    <w:p w14:paraId="42101A12" w14:textId="74066042" w:rsidR="00EE2216" w:rsidRDefault="00D865D5" w:rsidP="008F38C4">
      <w:pPr>
        <w:spacing w:line="276" w:lineRule="auto"/>
        <w:rPr>
          <w:rFonts w:ascii="Arial" w:eastAsia="Arial" w:hAnsi="Arial" w:cs="Arial"/>
          <w:b/>
          <w:bCs/>
          <w:sz w:val="24"/>
          <w:szCs w:val="24"/>
          <w:u w:val="single"/>
        </w:rPr>
      </w:pPr>
      <w:r>
        <w:rPr>
          <w:rFonts w:ascii="Arial" w:eastAsia="Arial" w:hAnsi="Arial" w:cs="Arial"/>
          <w:b/>
          <w:bCs/>
          <w:sz w:val="24"/>
          <w:szCs w:val="24"/>
          <w:u w:val="single"/>
        </w:rPr>
        <w:lastRenderedPageBreak/>
        <w:t>References</w:t>
      </w:r>
    </w:p>
    <w:p w14:paraId="1EAB9B02" w14:textId="724829F7" w:rsidR="00097C81" w:rsidRPr="003D6550" w:rsidRDefault="00097C81" w:rsidP="008F38C4">
      <w:pPr>
        <w:widowControl w:val="0"/>
        <w:autoSpaceDE w:val="0"/>
        <w:autoSpaceDN w:val="0"/>
        <w:spacing w:before="162" w:after="0" w:line="276" w:lineRule="auto"/>
        <w:ind w:right="283"/>
      </w:pPr>
      <w:proofErr w:type="spellStart"/>
      <w:r w:rsidRPr="003D6550">
        <w:rPr>
          <w:rStyle w:val="Hyperlink"/>
          <w:color w:val="auto"/>
          <w:u w:val="none"/>
        </w:rPr>
        <w:t>Aithal</w:t>
      </w:r>
      <w:proofErr w:type="spellEnd"/>
      <w:r w:rsidRPr="003D6550">
        <w:rPr>
          <w:rStyle w:val="Hyperlink"/>
          <w:color w:val="auto"/>
          <w:u w:val="none"/>
        </w:rPr>
        <w:t xml:space="preserve">, P.S and Kumar, P.M.S. (2016) ‘Using six thinking hats as a tool for lateral thinking in organizational problem solving’, </w:t>
      </w:r>
      <w:r w:rsidRPr="003D6550">
        <w:rPr>
          <w:rStyle w:val="Hyperlink"/>
          <w:i/>
          <w:iCs/>
          <w:color w:val="auto"/>
          <w:u w:val="none"/>
        </w:rPr>
        <w:t>International Journal of Engineering Research and Modern Education,</w:t>
      </w:r>
      <w:r w:rsidRPr="003D6550">
        <w:rPr>
          <w:rStyle w:val="Hyperlink"/>
          <w:color w:val="auto"/>
          <w:u w:val="none"/>
        </w:rPr>
        <w:t>1(2),</w:t>
      </w:r>
      <w:r w:rsidR="008F38C4" w:rsidRPr="003D6550">
        <w:rPr>
          <w:rStyle w:val="Hyperlink"/>
          <w:color w:val="auto"/>
          <w:u w:val="none"/>
        </w:rPr>
        <w:t xml:space="preserve"> </w:t>
      </w:r>
      <w:r w:rsidRPr="003D6550">
        <w:rPr>
          <w:rStyle w:val="Hyperlink"/>
          <w:color w:val="auto"/>
          <w:u w:val="none"/>
        </w:rPr>
        <w:t xml:space="preserve">pp. 225-234. Available at: </w:t>
      </w:r>
      <w:hyperlink r:id="rId24" w:history="1">
        <w:r w:rsidR="00BB1C6C" w:rsidRPr="00BB1C6C">
          <w:rPr>
            <w:rStyle w:val="Hyperlink"/>
            <w:color w:val="auto"/>
            <w:u w:val="none"/>
          </w:rPr>
          <w:t>https://d1wqtxts1xzle7.cloudfront.net/50815805/111._Using_Six_Thinking_hats_for_Organizational_Problem_Solving-libre.pdf?1481376164=&amp;response-content-disposition=inline%3B+filename%3DUSING_SIX_THINKING_HATS_AS_A_TOOL_FOR_LA.pdf&amp;Expires=1700348600&amp;Signature=XlYsxfGHza3yYuOdyHL81L4aylkw~jA~g8rExDZEiMKm-sNmj8opSByajUlrR6nuSbjf4UfX9yj2wHKHegfDa7xYe4sbwjgblMwV1Fjf7PwFX2uCkNFaHXHSKDtEUtglNAIIzrxcNHHixYCTb355tn50IAkk8dCgC-9WQQ0eendXNNttOI4g0I1WD2z7oFA7IHoqzMS~9E18G2Ge0OKlVKaKAaDT2pYDl2y20fukXpD1I9OHy9dUvKN2KYjFaj2WTaj4d14pDM8DnBk5j~1yDPHrXAyyf2bzZNwZU8pUBViPy~I4kCL9MIK4Q8eQllPRAYBJmTdcvMGXnpJ30RLDxg__&amp;Key-Pair-Id=APKAJLOHF5GGSLRBV4ZA</w:t>
        </w:r>
      </w:hyperlink>
      <w:r w:rsidR="00BB1C6C">
        <w:rPr>
          <w:rStyle w:val="Hyperlink"/>
          <w:color w:val="auto"/>
          <w:u w:val="none"/>
        </w:rPr>
        <w:t xml:space="preserve"> (Accessed: 30 October 2023).</w:t>
      </w:r>
    </w:p>
    <w:p w14:paraId="2D9478F0" w14:textId="77777777" w:rsidR="00097C81" w:rsidRPr="008F38C4" w:rsidRDefault="00097C81" w:rsidP="008F38C4">
      <w:pPr>
        <w:widowControl w:val="0"/>
        <w:autoSpaceDE w:val="0"/>
        <w:autoSpaceDN w:val="0"/>
        <w:spacing w:before="162" w:after="0" w:line="276" w:lineRule="auto"/>
        <w:ind w:right="283"/>
      </w:pPr>
      <w:proofErr w:type="spellStart"/>
      <w:r w:rsidRPr="008F38C4">
        <w:t>Aithal</w:t>
      </w:r>
      <w:proofErr w:type="spellEnd"/>
      <w:r w:rsidRPr="008F38C4">
        <w:t xml:space="preserve">, P.S and Kumar, P.M.S. (2017) ‘Ideal Analysis for Decision Making in Critical Situations through Six Thinking Hats Method’, </w:t>
      </w:r>
      <w:r w:rsidRPr="008F38C4">
        <w:rPr>
          <w:i/>
          <w:iCs/>
        </w:rPr>
        <w:t xml:space="preserve">International Journal of Applied Engineering and Management, </w:t>
      </w:r>
      <w:r w:rsidRPr="008F38C4">
        <w:t>1(2),</w:t>
      </w:r>
      <w:r w:rsidRPr="008F38C4">
        <w:rPr>
          <w:i/>
          <w:iCs/>
        </w:rPr>
        <w:t xml:space="preserve"> </w:t>
      </w:r>
      <w:r w:rsidRPr="008F38C4">
        <w:t xml:space="preserve">pp. 1-9. Available at: </w:t>
      </w:r>
      <w:hyperlink r:id="rId25" w:history="1">
        <w:r w:rsidRPr="008F38C4">
          <w:rPr>
            <w:rStyle w:val="Hyperlink"/>
            <w:color w:val="auto"/>
            <w:u w:val="none"/>
          </w:rPr>
          <w:t>http://dx.doi.org/10.5281/zenodo.838378</w:t>
        </w:r>
      </w:hyperlink>
      <w:r w:rsidRPr="008F38C4">
        <w:t>.</w:t>
      </w:r>
    </w:p>
    <w:p w14:paraId="7EFF06D5" w14:textId="7252847D" w:rsidR="00097C81" w:rsidRDefault="00D865D5" w:rsidP="008F38C4">
      <w:pPr>
        <w:widowControl w:val="0"/>
        <w:autoSpaceDE w:val="0"/>
        <w:autoSpaceDN w:val="0"/>
        <w:spacing w:before="162" w:after="0" w:line="276" w:lineRule="auto"/>
        <w:ind w:right="283"/>
      </w:pPr>
      <w:proofErr w:type="spellStart"/>
      <w:r w:rsidRPr="009059B5">
        <w:t>Anastasiu</w:t>
      </w:r>
      <w:proofErr w:type="spellEnd"/>
      <w:r w:rsidRPr="009059B5">
        <w:t xml:space="preserve">, L., </w:t>
      </w:r>
      <w:proofErr w:type="spellStart"/>
      <w:r w:rsidRPr="009059B5">
        <w:t>Gavriş</w:t>
      </w:r>
      <w:proofErr w:type="spellEnd"/>
      <w:r w:rsidRPr="009059B5">
        <w:t>, O, and Maier, D</w:t>
      </w:r>
      <w:r w:rsidR="003D6550">
        <w:t>.</w:t>
      </w:r>
      <w:r w:rsidRPr="009059B5">
        <w:t xml:space="preserve"> (2020</w:t>
      </w:r>
      <w:r w:rsidR="009062F2">
        <w:t>a</w:t>
      </w:r>
      <w:r w:rsidRPr="009059B5">
        <w:t xml:space="preserve">) ‘Is Human Capital Ready for Change? A Strategic Approach Adapting Porter’s Five Forces to Human Resources’, </w:t>
      </w:r>
      <w:r w:rsidRPr="009059B5">
        <w:rPr>
          <w:i/>
          <w:iCs/>
        </w:rPr>
        <w:t>Sustainability,</w:t>
      </w:r>
      <w:r w:rsidRPr="009059B5">
        <w:t xml:space="preserve"> 12(6), pp. 2300. Available at: </w:t>
      </w:r>
      <w:hyperlink r:id="rId26" w:history="1">
        <w:r w:rsidR="00097C81" w:rsidRPr="008F38C4">
          <w:rPr>
            <w:rStyle w:val="Hyperlink"/>
            <w:color w:val="auto"/>
            <w:u w:val="none"/>
          </w:rPr>
          <w:t>https://doi.org/10.3390/su12062300</w:t>
        </w:r>
      </w:hyperlink>
      <w:r w:rsidRPr="008F38C4">
        <w:t>.</w:t>
      </w:r>
    </w:p>
    <w:p w14:paraId="25E08647" w14:textId="567364D8" w:rsidR="009059B5" w:rsidRPr="00E258E6" w:rsidRDefault="00D865D5" w:rsidP="009059B5">
      <w:pPr>
        <w:widowControl w:val="0"/>
        <w:autoSpaceDE w:val="0"/>
        <w:autoSpaceDN w:val="0"/>
        <w:spacing w:before="162" w:after="0" w:line="276" w:lineRule="auto"/>
        <w:ind w:right="283"/>
      </w:pPr>
      <w:r w:rsidRPr="00E258E6">
        <w:t>Anton, R</w:t>
      </w:r>
      <w:r w:rsidR="003D6550">
        <w:t>.</w:t>
      </w:r>
      <w:r w:rsidRPr="00E258E6">
        <w:t xml:space="preserve"> (2016) ‘An Integrated Strategy Framework (ISF) for Combining Porter’s 5-Forces, Diamond, PESTEL, and SWOT Analysis’, </w:t>
      </w:r>
      <w:r w:rsidRPr="00E258E6">
        <w:rPr>
          <w:i/>
          <w:iCs/>
        </w:rPr>
        <w:t xml:space="preserve">Open Science, </w:t>
      </w:r>
      <w:r w:rsidRPr="00E258E6">
        <w:t xml:space="preserve">4(1), pp. </w:t>
      </w:r>
      <w:r w:rsidR="00E258E6" w:rsidRPr="00E258E6">
        <w:t xml:space="preserve">20-26. Available at: </w:t>
      </w:r>
      <w:hyperlink r:id="rId27" w:history="1">
        <w:r w:rsidR="00E258E6" w:rsidRPr="00E258E6">
          <w:rPr>
            <w:rStyle w:val="Hyperlink"/>
            <w:color w:val="auto"/>
            <w:u w:val="none"/>
          </w:rPr>
          <w:t>https://mpra.ub.uni-muenchen.de/72507/1/mpra_paper_72507.pdf</w:t>
        </w:r>
      </w:hyperlink>
      <w:r w:rsidR="00BB1C6C">
        <w:rPr>
          <w:rStyle w:val="Hyperlink"/>
          <w:color w:val="auto"/>
          <w:u w:val="none"/>
        </w:rPr>
        <w:t xml:space="preserve"> </w:t>
      </w:r>
      <w:r w:rsidR="00BB1C6C" w:rsidRPr="00922138">
        <w:rPr>
          <w:rStyle w:val="Hyperlink"/>
          <w:color w:val="auto"/>
          <w:u w:val="none"/>
        </w:rPr>
        <w:t>(Accessed:</w:t>
      </w:r>
      <w:r w:rsidR="00BB1C6C">
        <w:rPr>
          <w:rStyle w:val="Hyperlink"/>
          <w:color w:val="auto"/>
          <w:u w:val="none"/>
        </w:rPr>
        <w:t xml:space="preserve"> </w:t>
      </w:r>
      <w:r w:rsidR="00922138">
        <w:rPr>
          <w:rStyle w:val="Hyperlink"/>
          <w:color w:val="auto"/>
          <w:u w:val="none"/>
        </w:rPr>
        <w:t>25 October 2023).</w:t>
      </w:r>
    </w:p>
    <w:p w14:paraId="06580AFF" w14:textId="318C1395" w:rsidR="009059B5" w:rsidRPr="009059B5" w:rsidRDefault="009059B5" w:rsidP="008F38C4">
      <w:pPr>
        <w:widowControl w:val="0"/>
        <w:autoSpaceDE w:val="0"/>
        <w:autoSpaceDN w:val="0"/>
        <w:spacing w:before="162" w:after="0" w:line="276" w:lineRule="auto"/>
        <w:ind w:right="283"/>
        <w:rPr>
          <w:color w:val="FF0000"/>
        </w:rPr>
      </w:pPr>
      <w:r w:rsidRPr="00C16574">
        <w:rPr>
          <w:rFonts w:cstheme="minorHAnsi"/>
          <w:shd w:val="clear" w:color="auto" w:fill="FFFFFF"/>
        </w:rPr>
        <w:t>Armstrong, M. (2016). </w:t>
      </w:r>
      <w:r w:rsidRPr="00C16574">
        <w:rPr>
          <w:rFonts w:cstheme="minorHAnsi"/>
          <w:i/>
          <w:iCs/>
          <w:shd w:val="clear" w:color="auto" w:fill="FFFFFF"/>
        </w:rPr>
        <w:t xml:space="preserve">Armstrong’s handbook of management and leadership for </w:t>
      </w:r>
      <w:proofErr w:type="gramStart"/>
      <w:r w:rsidRPr="00C16574">
        <w:rPr>
          <w:rFonts w:cstheme="minorHAnsi"/>
          <w:i/>
          <w:iCs/>
          <w:shd w:val="clear" w:color="auto" w:fill="FFFFFF"/>
        </w:rPr>
        <w:t>HR :</w:t>
      </w:r>
      <w:proofErr w:type="gramEnd"/>
      <w:r w:rsidRPr="00C16574">
        <w:rPr>
          <w:rFonts w:cstheme="minorHAnsi"/>
          <w:i/>
          <w:iCs/>
          <w:shd w:val="clear" w:color="auto" w:fill="FFFFFF"/>
        </w:rPr>
        <w:t xml:space="preserve"> developing effective people skills for better leadership and management</w:t>
      </w:r>
      <w:r>
        <w:rPr>
          <w:rFonts w:cstheme="minorHAnsi"/>
          <w:shd w:val="clear" w:color="auto" w:fill="FFFFFF"/>
        </w:rPr>
        <w:t>, 4</w:t>
      </w:r>
      <w:r w:rsidRPr="00C16574">
        <w:rPr>
          <w:rFonts w:cstheme="minorHAnsi"/>
          <w:shd w:val="clear" w:color="auto" w:fill="FFFFFF"/>
          <w:vertAlign w:val="superscript"/>
        </w:rPr>
        <w:t>th</w:t>
      </w:r>
      <w:r>
        <w:rPr>
          <w:rFonts w:cstheme="minorHAnsi"/>
          <w:shd w:val="clear" w:color="auto" w:fill="FFFFFF"/>
        </w:rPr>
        <w:t xml:space="preserve"> </w:t>
      </w:r>
      <w:proofErr w:type="spellStart"/>
      <w:r>
        <w:rPr>
          <w:rFonts w:cstheme="minorHAnsi"/>
          <w:shd w:val="clear" w:color="auto" w:fill="FFFFFF"/>
        </w:rPr>
        <w:t>Edn</w:t>
      </w:r>
      <w:proofErr w:type="spellEnd"/>
      <w:r>
        <w:rPr>
          <w:rFonts w:cstheme="minorHAnsi"/>
          <w:shd w:val="clear" w:color="auto" w:fill="FFFFFF"/>
        </w:rPr>
        <w:t>.</w:t>
      </w:r>
      <w:r w:rsidRPr="00C16574">
        <w:rPr>
          <w:rFonts w:cstheme="minorHAnsi"/>
          <w:shd w:val="clear" w:color="auto" w:fill="FFFFFF"/>
        </w:rPr>
        <w:t xml:space="preserve"> Kogan Page.</w:t>
      </w:r>
    </w:p>
    <w:p w14:paraId="72EB908D" w14:textId="74FBDF7B" w:rsidR="00097C81" w:rsidRPr="008F38C4" w:rsidRDefault="00097C81" w:rsidP="008F38C4">
      <w:pPr>
        <w:widowControl w:val="0"/>
        <w:autoSpaceDE w:val="0"/>
        <w:autoSpaceDN w:val="0"/>
        <w:spacing w:before="162" w:after="0" w:line="276" w:lineRule="auto"/>
        <w:ind w:right="283"/>
        <w:rPr>
          <w:color w:val="FF0000"/>
        </w:rPr>
      </w:pPr>
      <w:r w:rsidRPr="009059B5">
        <w:t xml:space="preserve">Bala, S. (2014) Lateral Thinking Vs Vertical Thinking. </w:t>
      </w:r>
      <w:r w:rsidRPr="009059B5">
        <w:rPr>
          <w:i/>
          <w:iCs/>
        </w:rPr>
        <w:t>Deliberative Research,</w:t>
      </w:r>
      <w:r w:rsidRPr="009059B5">
        <w:t xml:space="preserve"> 24(1), pp. 25-27. Available at: </w:t>
      </w:r>
      <w:hyperlink r:id="rId28" w:history="1">
        <w:r w:rsidRPr="008F38C4">
          <w:rPr>
            <w:rStyle w:val="Hyperlink"/>
            <w:color w:val="auto"/>
            <w:u w:val="none"/>
          </w:rPr>
          <w:t>https://www.proquest.com/docview/1732602475/fulltextPDF/97697F9B5DA543E1PQ/1?accountid=130472</w:t>
        </w:r>
      </w:hyperlink>
      <w:r w:rsidR="00BB1C6C">
        <w:rPr>
          <w:rStyle w:val="Hyperlink"/>
          <w:color w:val="auto"/>
          <w:u w:val="none"/>
        </w:rPr>
        <w:t xml:space="preserve"> </w:t>
      </w:r>
      <w:r w:rsidR="00BB1C6C" w:rsidRPr="00922138">
        <w:rPr>
          <w:rStyle w:val="Hyperlink"/>
          <w:color w:val="auto"/>
          <w:u w:val="none"/>
        </w:rPr>
        <w:t>(Accessed:</w:t>
      </w:r>
      <w:r w:rsidR="00BB1C6C">
        <w:rPr>
          <w:rStyle w:val="Hyperlink"/>
          <w:color w:val="auto"/>
          <w:u w:val="none"/>
        </w:rPr>
        <w:t xml:space="preserve"> </w:t>
      </w:r>
      <w:r w:rsidR="00922138">
        <w:rPr>
          <w:rStyle w:val="Hyperlink"/>
          <w:color w:val="auto"/>
          <w:u w:val="none"/>
        </w:rPr>
        <w:t>30 October 2023).</w:t>
      </w:r>
    </w:p>
    <w:p w14:paraId="32D4B90C" w14:textId="655E6F95" w:rsidR="00D865D5" w:rsidRPr="008F38C4" w:rsidRDefault="00D865D5" w:rsidP="008F38C4">
      <w:pPr>
        <w:widowControl w:val="0"/>
        <w:autoSpaceDE w:val="0"/>
        <w:autoSpaceDN w:val="0"/>
        <w:spacing w:before="162" w:after="0" w:line="276" w:lineRule="auto"/>
        <w:ind w:right="283"/>
        <w:rPr>
          <w:color w:val="FF0000"/>
        </w:rPr>
      </w:pPr>
      <w:proofErr w:type="spellStart"/>
      <w:r w:rsidRPr="008F38C4">
        <w:t>Barends</w:t>
      </w:r>
      <w:proofErr w:type="spellEnd"/>
      <w:r w:rsidRPr="008F38C4">
        <w:t xml:space="preserve">, E., Rousseau, D.M. and Briner, R.B. (2014). Evidence-Based Management: </w:t>
      </w:r>
      <w:proofErr w:type="gramStart"/>
      <w:r w:rsidRPr="008F38C4">
        <w:t>the</w:t>
      </w:r>
      <w:proofErr w:type="gramEnd"/>
      <w:r w:rsidRPr="008F38C4">
        <w:t xml:space="preserve"> Basic Principles. Amsterdam: Centre for Evidence-Based Management.</w:t>
      </w:r>
    </w:p>
    <w:p w14:paraId="0C23EDB6" w14:textId="77777777" w:rsidR="00D865D5" w:rsidRPr="008F38C4" w:rsidRDefault="00D865D5" w:rsidP="008F38C4">
      <w:pPr>
        <w:spacing w:line="276" w:lineRule="auto"/>
      </w:pPr>
      <w:r w:rsidRPr="008F38C4">
        <w:t xml:space="preserve">Battista, M (2023) </w:t>
      </w:r>
      <w:r w:rsidRPr="008F38C4">
        <w:rPr>
          <w:i/>
          <w:iCs/>
        </w:rPr>
        <w:t>PESTLE analysis</w:t>
      </w:r>
      <w:r w:rsidRPr="008F38C4">
        <w:t xml:space="preserve">. Available at: </w:t>
      </w:r>
      <w:hyperlink r:id="rId29" w:history="1">
        <w:r w:rsidRPr="008F38C4">
          <w:rPr>
            <w:rStyle w:val="Hyperlink"/>
            <w:color w:val="auto"/>
            <w:u w:val="none"/>
          </w:rPr>
          <w:t>https://www.cipd.org/uk/knowledge/factsheets/pestle-analysis-factsheet/</w:t>
        </w:r>
      </w:hyperlink>
      <w:r w:rsidRPr="008F38C4">
        <w:t xml:space="preserve"> (Accessed: 25 October 2023)</w:t>
      </w:r>
    </w:p>
    <w:p w14:paraId="25CBCC84" w14:textId="49FD6A6E" w:rsidR="00D865D5" w:rsidRPr="00AA421B" w:rsidRDefault="00D865D5" w:rsidP="008F38C4">
      <w:pPr>
        <w:spacing w:line="276" w:lineRule="auto"/>
      </w:pPr>
      <w:r w:rsidRPr="00AA421B">
        <w:t xml:space="preserve">Briner, R. (2015) ‘What's the evidence for... Evidence-based HR?’, </w:t>
      </w:r>
      <w:r w:rsidRPr="00AA421B">
        <w:rPr>
          <w:i/>
          <w:iCs/>
        </w:rPr>
        <w:t>HR Magazine</w:t>
      </w:r>
      <w:r w:rsidRPr="00AA421B">
        <w:t xml:space="preserve">, (14 January). Available at </w:t>
      </w:r>
      <w:hyperlink r:id="rId30" w:history="1">
        <w:r w:rsidRPr="00AA421B">
          <w:rPr>
            <w:rStyle w:val="Hyperlink"/>
            <w:color w:val="auto"/>
            <w:u w:val="none"/>
          </w:rPr>
          <w:t>https://www.hrmagazine.co.uk/content/features/whats-the-evidence-for-evidence-based-hr/</w:t>
        </w:r>
      </w:hyperlink>
      <w:r w:rsidRPr="00AA421B">
        <w:t xml:space="preserve"> (Accessed: 25 October 2023).</w:t>
      </w:r>
    </w:p>
    <w:p w14:paraId="3F769CA1" w14:textId="77777777" w:rsidR="008F38C4" w:rsidRPr="009C4104" w:rsidRDefault="00097C81" w:rsidP="008F38C4">
      <w:pPr>
        <w:widowControl w:val="0"/>
        <w:autoSpaceDE w:val="0"/>
        <w:autoSpaceDN w:val="0"/>
        <w:spacing w:before="162" w:after="0" w:line="276" w:lineRule="auto"/>
        <w:ind w:right="283"/>
      </w:pPr>
      <w:r w:rsidRPr="009C4104">
        <w:t xml:space="preserve">Butler, S.A. (2010), ‘Solving business problems using a lateral thinking approach’, </w:t>
      </w:r>
      <w:r w:rsidRPr="00BB1C6C">
        <w:rPr>
          <w:i/>
        </w:rPr>
        <w:t>Management Decision</w:t>
      </w:r>
      <w:r w:rsidRPr="009C4104">
        <w:t>, 48(1), pp. 58-64. Available at: DOI:10.1108/00251741011014454.</w:t>
      </w:r>
    </w:p>
    <w:p w14:paraId="78287D35" w14:textId="422D956C" w:rsidR="008C1FE1" w:rsidRDefault="00D865D5" w:rsidP="008C1FE1">
      <w:pPr>
        <w:widowControl w:val="0"/>
        <w:autoSpaceDE w:val="0"/>
        <w:autoSpaceDN w:val="0"/>
        <w:spacing w:before="162" w:after="0" w:line="276" w:lineRule="auto"/>
        <w:ind w:right="283"/>
        <w:rPr>
          <w:color w:val="FF0000"/>
        </w:rPr>
      </w:pPr>
      <w:r w:rsidRPr="00123AE6">
        <w:rPr>
          <w:rFonts w:ascii="Calibri" w:hAnsi="Calibri" w:cs="Calibri"/>
        </w:rPr>
        <w:lastRenderedPageBreak/>
        <w:t>Chartered Institu</w:t>
      </w:r>
      <w:r w:rsidR="00BB1C6C">
        <w:rPr>
          <w:rFonts w:ascii="Calibri" w:hAnsi="Calibri" w:cs="Calibri"/>
        </w:rPr>
        <w:t>te of Personnel and Development [CIPD]</w:t>
      </w:r>
      <w:r w:rsidRPr="00123AE6">
        <w:rPr>
          <w:rFonts w:ascii="Calibri" w:hAnsi="Calibri" w:cs="Calibri"/>
        </w:rPr>
        <w:t xml:space="preserve"> (2016) </w:t>
      </w:r>
      <w:r w:rsidRPr="00123AE6">
        <w:rPr>
          <w:rFonts w:ascii="Calibri" w:hAnsi="Calibri" w:cs="Calibri"/>
          <w:i/>
          <w:iCs/>
        </w:rPr>
        <w:t xml:space="preserve">How to write a critical review. </w:t>
      </w:r>
      <w:r w:rsidRPr="00123AE6">
        <w:rPr>
          <w:rFonts w:ascii="Calibri" w:hAnsi="Calibri" w:cs="Calibri"/>
        </w:rPr>
        <w:t xml:space="preserve">Available at: </w:t>
      </w:r>
      <w:hyperlink r:id="rId31" w:history="1">
        <w:r w:rsidRPr="00123AE6">
          <w:rPr>
            <w:rStyle w:val="Hyperlink"/>
            <w:rFonts w:ascii="Calibri" w:hAnsi="Calibri" w:cs="Calibri"/>
            <w:color w:val="auto"/>
            <w:u w:val="none"/>
          </w:rPr>
          <w:t>https://www.cipd.org/uk/learning/support-for-students/currently-studying/critical-review-writing/</w:t>
        </w:r>
      </w:hyperlink>
      <w:r w:rsidRPr="00123AE6">
        <w:rPr>
          <w:rFonts w:ascii="Calibri" w:hAnsi="Calibri" w:cs="Calibri"/>
        </w:rPr>
        <w:t xml:space="preserve"> </w:t>
      </w:r>
      <w:r w:rsidR="008C1FE1">
        <w:rPr>
          <w:rFonts w:ascii="Calibri" w:hAnsi="Calibri" w:cs="Calibri"/>
        </w:rPr>
        <w:t>(</w:t>
      </w:r>
      <w:r w:rsidRPr="00123AE6">
        <w:rPr>
          <w:rFonts w:ascii="Calibri" w:hAnsi="Calibri" w:cs="Calibri"/>
        </w:rPr>
        <w:t>Accessed: 21 October 2023).</w:t>
      </w:r>
    </w:p>
    <w:p w14:paraId="5B71116E" w14:textId="1BBA7CCA" w:rsidR="008C1FE1" w:rsidRDefault="008C1FE1" w:rsidP="008C1FE1">
      <w:pPr>
        <w:widowControl w:val="0"/>
        <w:autoSpaceDE w:val="0"/>
        <w:autoSpaceDN w:val="0"/>
        <w:spacing w:before="162" w:after="0" w:line="276" w:lineRule="auto"/>
        <w:ind w:right="283"/>
        <w:rPr>
          <w:rFonts w:ascii="Calibri" w:hAnsi="Calibri" w:cs="Calibri"/>
        </w:rPr>
      </w:pPr>
      <w:r w:rsidRPr="008C1FE1">
        <w:rPr>
          <w:rFonts w:ascii="Calibri" w:hAnsi="Calibri" w:cs="Calibri"/>
        </w:rPr>
        <w:t>Chartered Institute of Personnel and Development</w:t>
      </w:r>
      <w:r w:rsidR="00BB1C6C">
        <w:rPr>
          <w:rFonts w:ascii="Calibri" w:hAnsi="Calibri" w:cs="Calibri"/>
        </w:rPr>
        <w:t xml:space="preserve"> [CIPD]</w:t>
      </w:r>
      <w:r w:rsidRPr="008C1FE1">
        <w:rPr>
          <w:rFonts w:ascii="Calibri" w:hAnsi="Calibri" w:cs="Calibri"/>
        </w:rPr>
        <w:t xml:space="preserve"> (2022) </w:t>
      </w:r>
      <w:r w:rsidRPr="008C1FE1">
        <w:rPr>
          <w:rFonts w:ascii="Calibri" w:hAnsi="Calibri" w:cs="Calibri"/>
          <w:i/>
          <w:iCs/>
        </w:rPr>
        <w:t xml:space="preserve">People analytics. </w:t>
      </w:r>
      <w:r w:rsidRPr="008C1FE1">
        <w:rPr>
          <w:rFonts w:ascii="Calibri" w:hAnsi="Calibri" w:cs="Calibri"/>
        </w:rPr>
        <w:t xml:space="preserve">Available at: </w:t>
      </w:r>
      <w:hyperlink r:id="rId32" w:anchor="one" w:history="1">
        <w:r w:rsidRPr="008C1FE1">
          <w:rPr>
            <w:rStyle w:val="Hyperlink"/>
            <w:rFonts w:ascii="Calibri" w:hAnsi="Calibri" w:cs="Calibri"/>
            <w:color w:val="auto"/>
            <w:u w:val="none"/>
          </w:rPr>
          <w:t>https://www.cipd.org/uk/knowledge/factsheets/analytics-factsheet/#one</w:t>
        </w:r>
      </w:hyperlink>
      <w:r w:rsidRPr="008C1FE1">
        <w:rPr>
          <w:rFonts w:ascii="Calibri" w:hAnsi="Calibri" w:cs="Calibri"/>
        </w:rPr>
        <w:t xml:space="preserve"> (Accessed: 13 November 2023).</w:t>
      </w:r>
    </w:p>
    <w:p w14:paraId="26CD5027" w14:textId="597A8064" w:rsidR="00E20886" w:rsidRDefault="00E20886" w:rsidP="008C1FE1">
      <w:pPr>
        <w:widowControl w:val="0"/>
        <w:autoSpaceDE w:val="0"/>
        <w:autoSpaceDN w:val="0"/>
        <w:spacing w:before="162" w:after="0" w:line="276" w:lineRule="auto"/>
        <w:ind w:right="283"/>
        <w:rPr>
          <w:rFonts w:ascii="Calibri" w:hAnsi="Calibri" w:cs="Calibri"/>
        </w:rPr>
      </w:pPr>
      <w:bookmarkStart w:id="3" w:name="_Hlk152184588"/>
      <w:r w:rsidRPr="00123AE6">
        <w:rPr>
          <w:rFonts w:ascii="Calibri" w:hAnsi="Calibri" w:cs="Calibri"/>
        </w:rPr>
        <w:t xml:space="preserve">Chartered Institute of </w:t>
      </w:r>
      <w:r w:rsidR="00BB1C6C">
        <w:rPr>
          <w:rFonts w:ascii="Calibri" w:hAnsi="Calibri" w:cs="Calibri"/>
        </w:rPr>
        <w:t xml:space="preserve">Personnel and Development </w:t>
      </w:r>
      <w:bookmarkEnd w:id="3"/>
      <w:r w:rsidR="00BB1C6C">
        <w:rPr>
          <w:rFonts w:ascii="Calibri" w:hAnsi="Calibri" w:cs="Calibri"/>
        </w:rPr>
        <w:t>[CIPD]</w:t>
      </w:r>
      <w:r w:rsidRPr="00E20886">
        <w:rPr>
          <w:rFonts w:ascii="Calibri" w:hAnsi="Calibri" w:cs="Calibri"/>
        </w:rPr>
        <w:t xml:space="preserve"> (2023</w:t>
      </w:r>
      <w:r w:rsidR="00B40037">
        <w:rPr>
          <w:rFonts w:ascii="Calibri" w:hAnsi="Calibri" w:cs="Calibri"/>
        </w:rPr>
        <w:t>a</w:t>
      </w:r>
      <w:r w:rsidRPr="00E20886">
        <w:rPr>
          <w:rFonts w:ascii="Calibri" w:hAnsi="Calibri" w:cs="Calibri"/>
        </w:rPr>
        <w:t xml:space="preserve">) </w:t>
      </w:r>
      <w:r w:rsidRPr="00E20886">
        <w:rPr>
          <w:rFonts w:ascii="Calibri" w:hAnsi="Calibri" w:cs="Calibri"/>
          <w:i/>
          <w:iCs/>
        </w:rPr>
        <w:t>The Profession Map.</w:t>
      </w:r>
      <w:r w:rsidRPr="00E20886">
        <w:rPr>
          <w:rFonts w:ascii="Calibri" w:hAnsi="Calibri" w:cs="Calibri"/>
        </w:rPr>
        <w:t xml:space="preserve"> </w:t>
      </w:r>
      <w:r w:rsidR="009062F2">
        <w:rPr>
          <w:rFonts w:ascii="Calibri" w:hAnsi="Calibri" w:cs="Calibri"/>
        </w:rPr>
        <w:t xml:space="preserve">pp 1. </w:t>
      </w:r>
      <w:r w:rsidRPr="00E20886">
        <w:rPr>
          <w:rFonts w:ascii="Calibri" w:hAnsi="Calibri" w:cs="Calibri"/>
        </w:rPr>
        <w:t xml:space="preserve">Available at: </w:t>
      </w:r>
      <w:hyperlink r:id="rId33" w:history="1">
        <w:r w:rsidRPr="00E20886">
          <w:rPr>
            <w:rStyle w:val="Hyperlink"/>
            <w:rFonts w:ascii="Calibri" w:hAnsi="Calibri" w:cs="Calibri"/>
            <w:color w:val="auto"/>
            <w:u w:val="none"/>
          </w:rPr>
          <w:t>https://www.cipd.org/globalassets/media/comms/the-people-profession/profession-map-pdfs/profession-map-full-standards-november-2023.pdf</w:t>
        </w:r>
      </w:hyperlink>
      <w:r>
        <w:rPr>
          <w:rFonts w:ascii="Calibri" w:hAnsi="Calibri" w:cs="Calibri"/>
          <w:i/>
          <w:iCs/>
        </w:rPr>
        <w:t xml:space="preserve"> </w:t>
      </w:r>
      <w:r w:rsidR="009062F2">
        <w:rPr>
          <w:rFonts w:ascii="Calibri" w:hAnsi="Calibri" w:cs="Calibri"/>
        </w:rPr>
        <w:t>(</w:t>
      </w:r>
      <w:r w:rsidRPr="00E20886">
        <w:rPr>
          <w:rFonts w:ascii="Calibri" w:hAnsi="Calibri" w:cs="Calibri"/>
        </w:rPr>
        <w:t>Accessed:</w:t>
      </w:r>
      <w:r>
        <w:rPr>
          <w:rFonts w:ascii="Calibri" w:hAnsi="Calibri" w:cs="Calibri"/>
          <w:i/>
          <w:iCs/>
        </w:rPr>
        <w:t xml:space="preserve"> </w:t>
      </w:r>
      <w:r>
        <w:rPr>
          <w:rFonts w:ascii="Calibri" w:hAnsi="Calibri" w:cs="Calibri"/>
        </w:rPr>
        <w:t>13 November 2023).</w:t>
      </w:r>
    </w:p>
    <w:p w14:paraId="4E25433E" w14:textId="29A8FF5A" w:rsidR="00B40037" w:rsidRPr="005A107B" w:rsidRDefault="00B40037" w:rsidP="008C1FE1">
      <w:pPr>
        <w:widowControl w:val="0"/>
        <w:autoSpaceDE w:val="0"/>
        <w:autoSpaceDN w:val="0"/>
        <w:spacing w:before="162" w:after="0" w:line="276" w:lineRule="auto"/>
        <w:ind w:right="283"/>
        <w:rPr>
          <w:rFonts w:ascii="Calibri" w:hAnsi="Calibri" w:cs="Calibri"/>
        </w:rPr>
      </w:pPr>
      <w:r w:rsidRPr="00123AE6">
        <w:rPr>
          <w:rFonts w:ascii="Calibri" w:hAnsi="Calibri" w:cs="Calibri"/>
        </w:rPr>
        <w:t xml:space="preserve">Chartered Institute of </w:t>
      </w:r>
      <w:r>
        <w:rPr>
          <w:rFonts w:ascii="Calibri" w:hAnsi="Calibri" w:cs="Calibri"/>
        </w:rPr>
        <w:t xml:space="preserve">Personnel and Development [CIPD] (2023b) </w:t>
      </w:r>
      <w:r w:rsidR="005A107B" w:rsidRPr="005A107B">
        <w:rPr>
          <w:rFonts w:ascii="Calibri" w:hAnsi="Calibri" w:cs="Calibri"/>
          <w:i/>
          <w:iCs/>
        </w:rPr>
        <w:t>Managing employees moving to part-time work</w:t>
      </w:r>
      <w:r w:rsidR="005A107B">
        <w:rPr>
          <w:rFonts w:ascii="Calibri" w:hAnsi="Calibri" w:cs="Calibri"/>
          <w:i/>
          <w:iCs/>
        </w:rPr>
        <w:t xml:space="preserve">. </w:t>
      </w:r>
      <w:r w:rsidR="005A107B" w:rsidRPr="005A107B">
        <w:rPr>
          <w:rFonts w:ascii="Calibri" w:hAnsi="Calibri" w:cs="Calibri"/>
        </w:rPr>
        <w:t>Available at:</w:t>
      </w:r>
      <w:r w:rsidR="005A107B">
        <w:rPr>
          <w:rFonts w:ascii="Calibri" w:hAnsi="Calibri" w:cs="Calibri"/>
          <w:i/>
          <w:iCs/>
        </w:rPr>
        <w:t xml:space="preserve"> </w:t>
      </w:r>
      <w:hyperlink r:id="rId34" w:anchor="managing-expectations-and-workloads" w:history="1">
        <w:r w:rsidR="005A107B" w:rsidRPr="005A107B">
          <w:rPr>
            <w:rStyle w:val="Hyperlink"/>
            <w:rFonts w:ascii="Calibri" w:hAnsi="Calibri" w:cs="Calibri"/>
            <w:color w:val="auto"/>
            <w:u w:val="none"/>
          </w:rPr>
          <w:t>https://www.cipd.org/uk/knowledge/guides/part-time-working/#managing-expectations-and-workloads</w:t>
        </w:r>
      </w:hyperlink>
      <w:r w:rsidR="005A107B">
        <w:rPr>
          <w:rFonts w:ascii="Calibri" w:hAnsi="Calibri" w:cs="Calibri"/>
        </w:rPr>
        <w:t xml:space="preserve"> (Accessed: 29 November 2023).</w:t>
      </w:r>
    </w:p>
    <w:p w14:paraId="23AB8DE2" w14:textId="16C72D0E" w:rsidR="00AD65D4" w:rsidRDefault="00BB1C6C" w:rsidP="00AD65D4">
      <w:pPr>
        <w:widowControl w:val="0"/>
        <w:autoSpaceDE w:val="0"/>
        <w:autoSpaceDN w:val="0"/>
        <w:spacing w:before="162" w:after="0" w:line="276" w:lineRule="auto"/>
        <w:ind w:right="283"/>
        <w:rPr>
          <w:rStyle w:val="Hyperlink"/>
          <w:color w:val="FF0000"/>
          <w:u w:val="none"/>
        </w:rPr>
      </w:pPr>
      <w:r>
        <w:rPr>
          <w:rStyle w:val="Hyperlink"/>
          <w:rFonts w:ascii="Calibri" w:hAnsi="Calibri" w:cs="Calibri"/>
          <w:color w:val="auto"/>
          <w:u w:val="none"/>
        </w:rPr>
        <w:t>Chartered Management Institute [CMI]</w:t>
      </w:r>
      <w:r w:rsidR="00AD65D4" w:rsidRPr="008F38C4">
        <w:rPr>
          <w:rStyle w:val="Hyperlink"/>
          <w:rFonts w:ascii="Calibri" w:hAnsi="Calibri" w:cs="Calibri"/>
          <w:color w:val="auto"/>
          <w:u w:val="none"/>
        </w:rPr>
        <w:t xml:space="preserve"> (2015) </w:t>
      </w:r>
      <w:r w:rsidR="00AD65D4" w:rsidRPr="008F38C4">
        <w:rPr>
          <w:rStyle w:val="Hyperlink"/>
          <w:rFonts w:ascii="Calibri" w:hAnsi="Calibri" w:cs="Calibri"/>
          <w:i/>
          <w:iCs/>
          <w:color w:val="auto"/>
          <w:u w:val="none"/>
        </w:rPr>
        <w:t xml:space="preserve">Developing decision making skills. </w:t>
      </w:r>
      <w:r w:rsidR="00AD65D4" w:rsidRPr="008F38C4">
        <w:rPr>
          <w:rStyle w:val="Hyperlink"/>
          <w:rFonts w:ascii="Calibri" w:hAnsi="Calibri" w:cs="Calibri"/>
          <w:color w:val="auto"/>
          <w:u w:val="none"/>
        </w:rPr>
        <w:t xml:space="preserve">Available at: </w:t>
      </w:r>
      <w:hyperlink r:id="rId35" w:history="1">
        <w:r w:rsidR="00AD65D4" w:rsidRPr="008F38C4">
          <w:rPr>
            <w:rStyle w:val="Hyperlink"/>
            <w:rFonts w:ascii="Calibri" w:hAnsi="Calibri" w:cs="Calibri"/>
            <w:color w:val="auto"/>
            <w:u w:val="none"/>
          </w:rPr>
          <w:t>https://www.managers.org.uk/wp-content/uploads/2020/03/CHK-277_Developing_decision_making_skills.pdf</w:t>
        </w:r>
      </w:hyperlink>
      <w:r w:rsidR="00AD65D4" w:rsidRPr="008F38C4">
        <w:rPr>
          <w:rStyle w:val="Hyperlink"/>
          <w:rFonts w:ascii="Calibri" w:hAnsi="Calibri" w:cs="Calibri"/>
          <w:color w:val="auto"/>
          <w:u w:val="none"/>
        </w:rPr>
        <w:t>. Accessed: 21 October 2023).</w:t>
      </w:r>
    </w:p>
    <w:p w14:paraId="0BBB189A" w14:textId="3A28875A" w:rsidR="00AD65D4" w:rsidRPr="00AD65D4" w:rsidRDefault="00AD65D4" w:rsidP="00AD65D4">
      <w:pPr>
        <w:widowControl w:val="0"/>
        <w:autoSpaceDE w:val="0"/>
        <w:autoSpaceDN w:val="0"/>
        <w:spacing w:before="162" w:after="0" w:line="276" w:lineRule="auto"/>
        <w:ind w:right="283"/>
        <w:rPr>
          <w:rStyle w:val="Hyperlink"/>
          <w:rFonts w:ascii="Calibri" w:hAnsi="Calibri" w:cs="Calibri"/>
          <w:color w:val="auto"/>
          <w:u w:val="none"/>
        </w:rPr>
      </w:pPr>
      <w:r w:rsidRPr="008F38C4">
        <w:rPr>
          <w:rStyle w:val="Hyperlink"/>
          <w:rFonts w:ascii="Calibri" w:hAnsi="Calibri" w:cs="Calibri"/>
          <w:color w:val="auto"/>
          <w:u w:val="none"/>
        </w:rPr>
        <w:t>Chartered Management Institute</w:t>
      </w:r>
      <w:r w:rsidR="00BB1C6C">
        <w:rPr>
          <w:rStyle w:val="Hyperlink"/>
          <w:rFonts w:ascii="Calibri" w:hAnsi="Calibri" w:cs="Calibri"/>
          <w:color w:val="auto"/>
          <w:u w:val="none"/>
        </w:rPr>
        <w:t xml:space="preserve"> [CMI]</w:t>
      </w:r>
      <w:r>
        <w:rPr>
          <w:rStyle w:val="Hyperlink"/>
          <w:rFonts w:ascii="Calibri" w:hAnsi="Calibri" w:cs="Calibri"/>
          <w:color w:val="auto"/>
          <w:u w:val="none"/>
        </w:rPr>
        <w:t xml:space="preserve"> (2020) </w:t>
      </w:r>
      <w:r w:rsidRPr="00255251">
        <w:rPr>
          <w:rStyle w:val="Hyperlink"/>
          <w:rFonts w:ascii="Calibri" w:hAnsi="Calibri" w:cs="Calibri"/>
          <w:i/>
          <w:color w:val="auto"/>
          <w:u w:val="none"/>
        </w:rPr>
        <w:t>Developing a mentoring scheme.</w:t>
      </w:r>
      <w:r>
        <w:rPr>
          <w:rStyle w:val="Hyperlink"/>
          <w:rFonts w:ascii="Calibri" w:hAnsi="Calibri" w:cs="Calibri"/>
          <w:color w:val="auto"/>
          <w:u w:val="none"/>
        </w:rPr>
        <w:t xml:space="preserve"> Available at: </w:t>
      </w:r>
      <w:hyperlink r:id="rId36" w:history="1">
        <w:r w:rsidRPr="00AD65D4">
          <w:rPr>
            <w:rStyle w:val="Hyperlink"/>
            <w:rFonts w:ascii="Calibri" w:hAnsi="Calibri" w:cs="Calibri"/>
            <w:color w:val="auto"/>
            <w:u w:val="none"/>
          </w:rPr>
          <w:t>https://www.managers.org.uk/wp-content/uploads/2020/03/CHK-082-Developing-a-mentoring-scheme.pdf</w:t>
        </w:r>
      </w:hyperlink>
      <w:r>
        <w:rPr>
          <w:rStyle w:val="Hyperlink"/>
          <w:rFonts w:ascii="Calibri" w:hAnsi="Calibri" w:cs="Calibri"/>
          <w:color w:val="auto"/>
          <w:u w:val="none"/>
        </w:rPr>
        <w:t xml:space="preserve"> (Accessed: 28 November 2023).</w:t>
      </w:r>
    </w:p>
    <w:p w14:paraId="1D61DE8C" w14:textId="10E1DE88" w:rsidR="008C1FE1" w:rsidRDefault="00097C81" w:rsidP="008C1FE1">
      <w:pPr>
        <w:widowControl w:val="0"/>
        <w:autoSpaceDE w:val="0"/>
        <w:autoSpaceDN w:val="0"/>
        <w:spacing w:before="162" w:after="0" w:line="276" w:lineRule="auto"/>
        <w:ind w:right="283"/>
      </w:pPr>
      <w:r w:rsidRPr="00AA421B">
        <w:t xml:space="preserve">Clark, S. (2015) ‘Ethical decision-making: Eight perspectives on workplace </w:t>
      </w:r>
      <w:proofErr w:type="gramStart"/>
      <w:r w:rsidRPr="00AA421B">
        <w:t>dilemmas’</w:t>
      </w:r>
      <w:proofErr w:type="gramEnd"/>
      <w:r w:rsidR="00AA421B" w:rsidRPr="00AA421B">
        <w:t>.</w:t>
      </w:r>
      <w:r w:rsidR="009062F2">
        <w:t xml:space="preserve"> </w:t>
      </w:r>
      <w:r w:rsidRPr="00AA421B">
        <w:t xml:space="preserve">Available at: </w:t>
      </w:r>
      <w:hyperlink r:id="rId37" w:history="1">
        <w:r w:rsidR="00E258E6" w:rsidRPr="00AA421B">
          <w:rPr>
            <w:rStyle w:val="Hyperlink"/>
            <w:color w:val="auto"/>
            <w:u w:val="none"/>
          </w:rPr>
          <w:t>https://www.cipd.org/globalassets/media/comms/the-people-profession/profession-map-pdfs/ethical-decision-making-2015-eight-perspectives-on-workplace-dilemmas_tcm29-9564.pdf</w:t>
        </w:r>
      </w:hyperlink>
      <w:r w:rsidR="00E258E6" w:rsidRPr="00AA421B">
        <w:t xml:space="preserve"> (Accessed: 30 October 2023).</w:t>
      </w:r>
    </w:p>
    <w:p w14:paraId="4422C932" w14:textId="4BF8F055" w:rsidR="00140DBF" w:rsidRPr="00140DBF" w:rsidRDefault="00140DBF" w:rsidP="008C1FE1">
      <w:pPr>
        <w:widowControl w:val="0"/>
        <w:autoSpaceDE w:val="0"/>
        <w:autoSpaceDN w:val="0"/>
        <w:spacing w:before="162" w:after="0" w:line="276" w:lineRule="auto"/>
        <w:ind w:right="283"/>
      </w:pPr>
      <w:r>
        <w:t xml:space="preserve">Clarke, O. (2023) </w:t>
      </w:r>
      <w:r w:rsidRPr="00140DBF">
        <w:rPr>
          <w:i/>
          <w:iCs/>
        </w:rPr>
        <w:t>NHS Wales: Health board deficits could hit £800m</w:t>
      </w:r>
      <w:r>
        <w:rPr>
          <w:i/>
          <w:iCs/>
        </w:rPr>
        <w:t xml:space="preserve">. </w:t>
      </w:r>
      <w:r w:rsidRPr="00140DBF">
        <w:t>Available at:</w:t>
      </w:r>
      <w:r>
        <w:rPr>
          <w:i/>
          <w:iCs/>
        </w:rPr>
        <w:t xml:space="preserve"> </w:t>
      </w:r>
      <w:hyperlink r:id="rId38" w:history="1">
        <w:r w:rsidRPr="00140DBF">
          <w:rPr>
            <w:rStyle w:val="Hyperlink"/>
            <w:color w:val="auto"/>
            <w:u w:val="none"/>
          </w:rPr>
          <w:t>https://www.bbc.co.uk/news/uk-wales-66795466</w:t>
        </w:r>
      </w:hyperlink>
      <w:r w:rsidRPr="00140DBF">
        <w:t xml:space="preserve"> (Accessed: 30 November 2023).</w:t>
      </w:r>
    </w:p>
    <w:p w14:paraId="4EECE131" w14:textId="19E022DC" w:rsidR="00D865D5" w:rsidRPr="008C1FE1" w:rsidRDefault="00D865D5" w:rsidP="008C1FE1">
      <w:pPr>
        <w:widowControl w:val="0"/>
        <w:autoSpaceDE w:val="0"/>
        <w:autoSpaceDN w:val="0"/>
        <w:spacing w:before="162" w:after="0" w:line="276" w:lineRule="auto"/>
        <w:ind w:right="283"/>
        <w:rPr>
          <w:color w:val="FF0000"/>
        </w:rPr>
      </w:pPr>
      <w:r w:rsidRPr="00123AE6">
        <w:rPr>
          <w:rFonts w:ascii="Calibri" w:hAnsi="Calibri" w:cs="Calibri"/>
        </w:rPr>
        <w:t>Cottrell, S</w:t>
      </w:r>
      <w:r w:rsidR="003D6550">
        <w:rPr>
          <w:rFonts w:ascii="Calibri" w:hAnsi="Calibri" w:cs="Calibri"/>
        </w:rPr>
        <w:t>.</w:t>
      </w:r>
      <w:r w:rsidRPr="00123AE6">
        <w:rPr>
          <w:rFonts w:ascii="Calibri" w:hAnsi="Calibri" w:cs="Calibri"/>
        </w:rPr>
        <w:t xml:space="preserve"> (2023) </w:t>
      </w:r>
      <w:r w:rsidRPr="00123AE6">
        <w:rPr>
          <w:rFonts w:ascii="Calibri" w:hAnsi="Calibri" w:cs="Calibri"/>
          <w:i/>
          <w:iCs/>
        </w:rPr>
        <w:t>Critical Thinking Skills: Effective Analysis, Argument and Reflection.</w:t>
      </w:r>
      <w:r w:rsidRPr="00123AE6">
        <w:rPr>
          <w:rFonts w:ascii="Calibri" w:hAnsi="Calibri" w:cs="Calibri"/>
        </w:rPr>
        <w:t xml:space="preserve"> London: Bloomsbury Publishing Plc.</w:t>
      </w:r>
    </w:p>
    <w:p w14:paraId="580FFA92" w14:textId="77777777" w:rsidR="00097C81" w:rsidRDefault="00097C81" w:rsidP="008F38C4">
      <w:pPr>
        <w:widowControl w:val="0"/>
        <w:autoSpaceDE w:val="0"/>
        <w:autoSpaceDN w:val="0"/>
        <w:spacing w:before="162" w:after="0" w:line="276" w:lineRule="auto"/>
        <w:ind w:right="283"/>
      </w:pPr>
      <w:r>
        <w:t xml:space="preserve">De </w:t>
      </w:r>
      <w:proofErr w:type="spellStart"/>
      <w:r>
        <w:t>Dono</w:t>
      </w:r>
      <w:proofErr w:type="spellEnd"/>
      <w:r>
        <w:t xml:space="preserve">, E. (1990) </w:t>
      </w:r>
      <w:r w:rsidRPr="008D6F94">
        <w:rPr>
          <w:i/>
          <w:iCs/>
        </w:rPr>
        <w:t>Lateral Thinking: A Textbook of Creativity</w:t>
      </w:r>
      <w:r>
        <w:rPr>
          <w:i/>
          <w:iCs/>
        </w:rPr>
        <w:t xml:space="preserve">. </w:t>
      </w:r>
      <w:r>
        <w:t>Penguin Books.</w:t>
      </w:r>
    </w:p>
    <w:p w14:paraId="51305C06" w14:textId="77777777" w:rsidR="009059B5" w:rsidRDefault="00097C81" w:rsidP="009059B5">
      <w:pPr>
        <w:widowControl w:val="0"/>
        <w:autoSpaceDE w:val="0"/>
        <w:autoSpaceDN w:val="0"/>
        <w:spacing w:before="162" w:after="0" w:line="276" w:lineRule="auto"/>
        <w:ind w:right="283"/>
      </w:pPr>
      <w:r>
        <w:t xml:space="preserve">De Bono, E. (2017) </w:t>
      </w:r>
      <w:r w:rsidRPr="008D6F94">
        <w:rPr>
          <w:i/>
          <w:iCs/>
        </w:rPr>
        <w:t>Six Thinking Hats</w:t>
      </w:r>
      <w:r>
        <w:rPr>
          <w:i/>
          <w:iCs/>
        </w:rPr>
        <w:t xml:space="preserve">: </w:t>
      </w:r>
      <w:r w:rsidRPr="00C7709E">
        <w:rPr>
          <w:i/>
          <w:iCs/>
        </w:rPr>
        <w:t>The multi-million bestselling guide to running better meetings and making faster decisions</w:t>
      </w:r>
      <w:r>
        <w:rPr>
          <w:i/>
          <w:iCs/>
        </w:rPr>
        <w:t xml:space="preserve">. </w:t>
      </w:r>
      <w:r>
        <w:t>Penguin Books.</w:t>
      </w:r>
    </w:p>
    <w:p w14:paraId="3BD4DA14" w14:textId="3D73B714" w:rsidR="009059B5" w:rsidRDefault="009059B5" w:rsidP="008F38C4">
      <w:pPr>
        <w:widowControl w:val="0"/>
        <w:autoSpaceDE w:val="0"/>
        <w:autoSpaceDN w:val="0"/>
        <w:spacing w:before="162" w:after="0" w:line="276" w:lineRule="auto"/>
        <w:ind w:right="283"/>
      </w:pPr>
      <w:r w:rsidRPr="003D35BE">
        <w:rPr>
          <w:rFonts w:ascii="Calibri" w:hAnsi="Calibri" w:cs="Calibri"/>
          <w:shd w:val="clear" w:color="auto" w:fill="FFFFFF"/>
        </w:rPr>
        <w:t xml:space="preserve">De </w:t>
      </w:r>
      <w:proofErr w:type="spellStart"/>
      <w:r w:rsidRPr="003D35BE">
        <w:rPr>
          <w:rFonts w:ascii="Calibri" w:hAnsi="Calibri" w:cs="Calibri"/>
          <w:shd w:val="clear" w:color="auto" w:fill="FFFFFF"/>
        </w:rPr>
        <w:t>Goyert</w:t>
      </w:r>
      <w:proofErr w:type="spellEnd"/>
      <w:r w:rsidRPr="003D35BE">
        <w:rPr>
          <w:rFonts w:ascii="Calibri" w:hAnsi="Calibri" w:cs="Calibri"/>
          <w:shd w:val="clear" w:color="auto" w:fill="FFFFFF"/>
        </w:rPr>
        <w:t xml:space="preserve">, V., </w:t>
      </w:r>
      <w:proofErr w:type="spellStart"/>
      <w:r w:rsidRPr="003D35BE">
        <w:rPr>
          <w:rFonts w:ascii="Calibri" w:hAnsi="Calibri" w:cs="Calibri"/>
          <w:shd w:val="clear" w:color="auto" w:fill="FFFFFF"/>
        </w:rPr>
        <w:t>Rouwette</w:t>
      </w:r>
      <w:proofErr w:type="spellEnd"/>
      <w:r w:rsidRPr="003D35BE">
        <w:rPr>
          <w:rFonts w:ascii="Calibri" w:hAnsi="Calibri" w:cs="Calibri"/>
          <w:shd w:val="clear" w:color="auto" w:fill="FFFFFF"/>
        </w:rPr>
        <w:t xml:space="preserve">, E., Van </w:t>
      </w:r>
      <w:proofErr w:type="spellStart"/>
      <w:r w:rsidRPr="003D35BE">
        <w:rPr>
          <w:rFonts w:ascii="Calibri" w:hAnsi="Calibri" w:cs="Calibri"/>
          <w:shd w:val="clear" w:color="auto" w:fill="FFFFFF"/>
        </w:rPr>
        <w:t>Kranenburg</w:t>
      </w:r>
      <w:proofErr w:type="spellEnd"/>
      <w:r w:rsidRPr="003D35BE">
        <w:rPr>
          <w:rFonts w:ascii="Calibri" w:hAnsi="Calibri" w:cs="Calibri"/>
          <w:shd w:val="clear" w:color="auto" w:fill="FFFFFF"/>
        </w:rPr>
        <w:t xml:space="preserve">, H. and Freeman, E. (2017) </w:t>
      </w:r>
      <w:r w:rsidR="00BB1C6C">
        <w:rPr>
          <w:rFonts w:ascii="Calibri" w:hAnsi="Calibri" w:cs="Calibri"/>
          <w:shd w:val="clear" w:color="auto" w:fill="FFFFFF"/>
        </w:rPr>
        <w:t>‘</w:t>
      </w:r>
      <w:r w:rsidRPr="003D35BE">
        <w:rPr>
          <w:rFonts w:ascii="Calibri" w:hAnsi="Calibri" w:cs="Calibri"/>
          <w:shd w:val="clear" w:color="auto" w:fill="FFFFFF"/>
        </w:rPr>
        <w:t>Reviewing the role of stakeholders in Operational Research: A stakeholder theory perspective</w:t>
      </w:r>
      <w:r w:rsidR="00BB1C6C">
        <w:rPr>
          <w:rFonts w:ascii="Calibri" w:hAnsi="Calibri" w:cs="Calibri"/>
          <w:shd w:val="clear" w:color="auto" w:fill="FFFFFF"/>
        </w:rPr>
        <w:t>’,</w:t>
      </w:r>
      <w:r w:rsidRPr="003D35BE">
        <w:rPr>
          <w:rFonts w:ascii="Calibri" w:hAnsi="Calibri" w:cs="Calibri"/>
          <w:shd w:val="clear" w:color="auto" w:fill="FFFFFF"/>
        </w:rPr>
        <w:t> </w:t>
      </w:r>
      <w:r w:rsidRPr="003D35BE">
        <w:rPr>
          <w:rFonts w:ascii="Calibri" w:hAnsi="Calibri" w:cs="Calibri"/>
          <w:i/>
          <w:iCs/>
          <w:shd w:val="clear" w:color="auto" w:fill="FFFFFF"/>
        </w:rPr>
        <w:t>European Journal of Operational Research</w:t>
      </w:r>
      <w:r w:rsidRPr="003D35BE">
        <w:rPr>
          <w:rFonts w:ascii="Calibri" w:hAnsi="Calibri" w:cs="Calibri"/>
          <w:shd w:val="clear" w:color="auto" w:fill="FFFFFF"/>
        </w:rPr>
        <w:t>, </w:t>
      </w:r>
      <w:r w:rsidRPr="003D35BE">
        <w:rPr>
          <w:rFonts w:ascii="Calibri" w:hAnsi="Calibri" w:cs="Calibri"/>
          <w:i/>
          <w:iCs/>
          <w:shd w:val="clear" w:color="auto" w:fill="FFFFFF"/>
        </w:rPr>
        <w:t>262</w:t>
      </w:r>
      <w:r w:rsidRPr="003D35BE">
        <w:rPr>
          <w:rFonts w:ascii="Calibri" w:hAnsi="Calibri" w:cs="Calibri"/>
          <w:shd w:val="clear" w:color="auto" w:fill="FFFFFF"/>
        </w:rPr>
        <w:t xml:space="preserve">(2), pp.402-410. Available at: </w:t>
      </w:r>
      <w:r w:rsidRPr="003D35BE">
        <w:rPr>
          <w:rFonts w:ascii="Calibri" w:hAnsi="Calibri" w:cs="Calibri"/>
        </w:rPr>
        <w:t xml:space="preserve">http://dx.doi.org/10.1016/j.ejor.2017.03.079 </w:t>
      </w:r>
    </w:p>
    <w:p w14:paraId="28ADADC8" w14:textId="101B0D36" w:rsidR="00657259" w:rsidRPr="00657259" w:rsidRDefault="00657259" w:rsidP="008F38C4">
      <w:pPr>
        <w:widowControl w:val="0"/>
        <w:autoSpaceDE w:val="0"/>
        <w:autoSpaceDN w:val="0"/>
        <w:spacing w:before="162" w:after="0" w:line="276" w:lineRule="auto"/>
        <w:ind w:right="283"/>
        <w:rPr>
          <w:rFonts w:ascii="Calibri" w:hAnsi="Calibri" w:cs="Calibri"/>
          <w:sz w:val="20"/>
          <w:szCs w:val="20"/>
        </w:rPr>
      </w:pPr>
      <w:r w:rsidRPr="00657259">
        <w:rPr>
          <w:rFonts w:ascii="Calibri" w:hAnsi="Calibri" w:cs="Calibri"/>
          <w:shd w:val="clear" w:color="auto" w:fill="FFFFFF"/>
        </w:rPr>
        <w:t>De Menezes, L. M.</w:t>
      </w:r>
      <w:r>
        <w:rPr>
          <w:rFonts w:ascii="Calibri" w:hAnsi="Calibri" w:cs="Calibri"/>
          <w:shd w:val="clear" w:color="auto" w:fill="FFFFFF"/>
        </w:rPr>
        <w:t xml:space="preserve"> and</w:t>
      </w:r>
      <w:r w:rsidRPr="00657259">
        <w:rPr>
          <w:rFonts w:ascii="Calibri" w:hAnsi="Calibri" w:cs="Calibri"/>
          <w:shd w:val="clear" w:color="auto" w:fill="FFFFFF"/>
        </w:rPr>
        <w:t xml:space="preserve"> </w:t>
      </w:r>
      <w:proofErr w:type="spellStart"/>
      <w:r w:rsidRPr="00657259">
        <w:rPr>
          <w:rFonts w:ascii="Calibri" w:hAnsi="Calibri" w:cs="Calibri"/>
          <w:shd w:val="clear" w:color="auto" w:fill="FFFFFF"/>
        </w:rPr>
        <w:t>Kelliher</w:t>
      </w:r>
      <w:proofErr w:type="spellEnd"/>
      <w:r w:rsidRPr="00657259">
        <w:rPr>
          <w:rFonts w:ascii="Calibri" w:hAnsi="Calibri" w:cs="Calibri"/>
          <w:shd w:val="clear" w:color="auto" w:fill="FFFFFF"/>
        </w:rPr>
        <w:t xml:space="preserve">, C. (2017) </w:t>
      </w:r>
      <w:r>
        <w:rPr>
          <w:rFonts w:ascii="Calibri" w:hAnsi="Calibri" w:cs="Calibri"/>
          <w:shd w:val="clear" w:color="auto" w:fill="FFFFFF"/>
        </w:rPr>
        <w:t>‘</w:t>
      </w:r>
      <w:r w:rsidRPr="00657259">
        <w:rPr>
          <w:rFonts w:ascii="Calibri" w:hAnsi="Calibri" w:cs="Calibri"/>
          <w:shd w:val="clear" w:color="auto" w:fill="FFFFFF"/>
        </w:rPr>
        <w:t>Flexible Working, Individual Performance, and Employee Attitudes: Comparing Formal and Informal Arrangements</w:t>
      </w:r>
      <w:r>
        <w:rPr>
          <w:rFonts w:ascii="Calibri" w:hAnsi="Calibri" w:cs="Calibri"/>
          <w:shd w:val="clear" w:color="auto" w:fill="FFFFFF"/>
        </w:rPr>
        <w:t>’</w:t>
      </w:r>
      <w:r w:rsidRPr="00657259">
        <w:rPr>
          <w:rFonts w:ascii="Calibri" w:hAnsi="Calibri" w:cs="Calibri"/>
          <w:shd w:val="clear" w:color="auto" w:fill="FFFFFF"/>
        </w:rPr>
        <w:t>. </w:t>
      </w:r>
      <w:r w:rsidRPr="00657259">
        <w:rPr>
          <w:rFonts w:ascii="Calibri" w:hAnsi="Calibri" w:cs="Calibri"/>
          <w:i/>
          <w:iCs/>
          <w:shd w:val="clear" w:color="auto" w:fill="FFFFFF"/>
        </w:rPr>
        <w:t>Human Resource Management</w:t>
      </w:r>
      <w:r w:rsidRPr="00657259">
        <w:rPr>
          <w:rFonts w:ascii="Calibri" w:hAnsi="Calibri" w:cs="Calibri"/>
          <w:shd w:val="clear" w:color="auto" w:fill="FFFFFF"/>
        </w:rPr>
        <w:t>, </w:t>
      </w:r>
      <w:r w:rsidRPr="00657259">
        <w:rPr>
          <w:rFonts w:ascii="Calibri" w:hAnsi="Calibri" w:cs="Calibri"/>
          <w:i/>
          <w:iCs/>
          <w:shd w:val="clear" w:color="auto" w:fill="FFFFFF"/>
        </w:rPr>
        <w:t>56</w:t>
      </w:r>
      <w:r w:rsidRPr="00657259">
        <w:rPr>
          <w:rFonts w:ascii="Calibri" w:hAnsi="Calibri" w:cs="Calibri"/>
          <w:shd w:val="clear" w:color="auto" w:fill="FFFFFF"/>
        </w:rPr>
        <w:t>(6),</w:t>
      </w:r>
      <w:r>
        <w:rPr>
          <w:rFonts w:ascii="Calibri" w:hAnsi="Calibri" w:cs="Calibri"/>
          <w:shd w:val="clear" w:color="auto" w:fill="FFFFFF"/>
        </w:rPr>
        <w:t xml:space="preserve"> pp.</w:t>
      </w:r>
      <w:r w:rsidRPr="00657259">
        <w:rPr>
          <w:rFonts w:ascii="Calibri" w:hAnsi="Calibri" w:cs="Calibri"/>
          <w:shd w:val="clear" w:color="auto" w:fill="FFFFFF"/>
        </w:rPr>
        <w:t xml:space="preserve"> 1051–1070. </w:t>
      </w:r>
      <w:r>
        <w:rPr>
          <w:rFonts w:ascii="Calibri" w:hAnsi="Calibri" w:cs="Calibri"/>
          <w:shd w:val="clear" w:color="auto" w:fill="FFFFFF"/>
        </w:rPr>
        <w:t xml:space="preserve">Available at: </w:t>
      </w:r>
      <w:r w:rsidRPr="00657259">
        <w:rPr>
          <w:rFonts w:ascii="Calibri" w:hAnsi="Calibri" w:cs="Calibri"/>
          <w:shd w:val="clear" w:color="auto" w:fill="FFFFFF"/>
        </w:rPr>
        <w:t>https://doi.org/10.1002/hrm.21822</w:t>
      </w:r>
      <w:r>
        <w:rPr>
          <w:rFonts w:ascii="Calibri" w:hAnsi="Calibri" w:cs="Calibri"/>
          <w:shd w:val="clear" w:color="auto" w:fill="FFFFFF"/>
        </w:rPr>
        <w:t>.</w:t>
      </w:r>
    </w:p>
    <w:p w14:paraId="31EF51DC" w14:textId="704F2E3C" w:rsidR="00097C81" w:rsidRDefault="00D865D5" w:rsidP="008F38C4">
      <w:pPr>
        <w:widowControl w:val="0"/>
        <w:autoSpaceDE w:val="0"/>
        <w:autoSpaceDN w:val="0"/>
        <w:spacing w:before="162" w:after="0" w:line="276" w:lineRule="auto"/>
        <w:ind w:right="283"/>
      </w:pPr>
      <w:r>
        <w:t xml:space="preserve">Driscoll, D.L. (2011) ‘Introduction to Primary Research: Observations, Surveys, and Interviews’, </w:t>
      </w:r>
      <w:r w:rsidR="00BB1C6C">
        <w:t xml:space="preserve">in </w:t>
      </w:r>
      <w:r>
        <w:lastRenderedPageBreak/>
        <w:t xml:space="preserve">Lowe, C. and </w:t>
      </w:r>
      <w:proofErr w:type="spellStart"/>
      <w:r>
        <w:t>Zemliansky</w:t>
      </w:r>
      <w:proofErr w:type="spellEnd"/>
      <w:r>
        <w:t xml:space="preserve">, P. (eds) </w:t>
      </w:r>
      <w:r w:rsidRPr="00CE5397">
        <w:rPr>
          <w:i/>
          <w:iCs/>
        </w:rPr>
        <w:t>Writing Spaces 2: Readings on Writing</w:t>
      </w:r>
      <w:r>
        <w:rPr>
          <w:i/>
          <w:iCs/>
        </w:rPr>
        <w:t>.</w:t>
      </w:r>
      <w:r>
        <w:t xml:space="preserve"> Anderson: </w:t>
      </w:r>
      <w:proofErr w:type="spellStart"/>
      <w:r w:rsidRPr="00CE5397">
        <w:t>Parlor</w:t>
      </w:r>
      <w:proofErr w:type="spellEnd"/>
      <w:r w:rsidRPr="00CE5397">
        <w:t xml:space="preserve"> Press LLC</w:t>
      </w:r>
      <w:r>
        <w:t>, pp. 153-174.</w:t>
      </w:r>
    </w:p>
    <w:p w14:paraId="7CDE75C2" w14:textId="6BD63868" w:rsidR="005A107B" w:rsidRPr="005A107B" w:rsidRDefault="005A107B" w:rsidP="008F38C4">
      <w:pPr>
        <w:widowControl w:val="0"/>
        <w:autoSpaceDE w:val="0"/>
        <w:autoSpaceDN w:val="0"/>
        <w:spacing w:before="162" w:after="0" w:line="276" w:lineRule="auto"/>
        <w:ind w:right="283"/>
      </w:pPr>
      <w:r>
        <w:t xml:space="preserve">Government Equalities Office (2019) </w:t>
      </w:r>
      <w:r w:rsidRPr="005A107B">
        <w:rPr>
          <w:i/>
          <w:iCs/>
        </w:rPr>
        <w:t>What works to reduce the gender pay gap: women’s progression in the workplace action note</w:t>
      </w:r>
      <w:r>
        <w:rPr>
          <w:i/>
          <w:iCs/>
        </w:rPr>
        <w:t xml:space="preserve">. </w:t>
      </w:r>
      <w:r>
        <w:t xml:space="preserve">Available at: </w:t>
      </w:r>
      <w:hyperlink r:id="rId39" w:history="1">
        <w:r w:rsidR="009062F2" w:rsidRPr="009062F2">
          <w:rPr>
            <w:rStyle w:val="Hyperlink"/>
            <w:color w:val="auto"/>
            <w:u w:val="none"/>
          </w:rPr>
          <w:t>https://www.gov.uk/government/publications/womens-progression-in-the-workplace-actions-for-employers/what-works-to-reduce-the-gender-pay-gap-womens-progression-in-the-workplace-action-note</w:t>
        </w:r>
      </w:hyperlink>
      <w:r w:rsidR="009062F2" w:rsidRPr="009062F2">
        <w:t xml:space="preserve"> (Accessed: 29 November 2023).</w:t>
      </w:r>
    </w:p>
    <w:p w14:paraId="448F5E60" w14:textId="44E768EE" w:rsidR="00097C81" w:rsidRPr="00E258E6" w:rsidRDefault="00D865D5" w:rsidP="008F38C4">
      <w:pPr>
        <w:widowControl w:val="0"/>
        <w:autoSpaceDE w:val="0"/>
        <w:autoSpaceDN w:val="0"/>
        <w:spacing w:before="162" w:after="0" w:line="276" w:lineRule="auto"/>
        <w:ind w:right="283"/>
        <w:rPr>
          <w:rFonts w:ascii="Calibri" w:hAnsi="Calibri" w:cs="Calibri"/>
        </w:rPr>
      </w:pPr>
      <w:r w:rsidRPr="00E258E6">
        <w:rPr>
          <w:rFonts w:ascii="Calibri" w:hAnsi="Calibri" w:cs="Calibri"/>
        </w:rPr>
        <w:t xml:space="preserve">Frank, C., </w:t>
      </w:r>
      <w:proofErr w:type="spellStart"/>
      <w:proofErr w:type="gramStart"/>
      <w:r w:rsidRPr="00E258E6">
        <w:rPr>
          <w:rFonts w:ascii="Calibri" w:hAnsi="Calibri" w:cs="Calibri"/>
        </w:rPr>
        <w:t>Magnone,P</w:t>
      </w:r>
      <w:proofErr w:type="spellEnd"/>
      <w:r w:rsidRPr="00E258E6">
        <w:rPr>
          <w:rFonts w:ascii="Calibri" w:hAnsi="Calibri" w:cs="Calibri"/>
        </w:rPr>
        <w:t>.</w:t>
      </w:r>
      <w:proofErr w:type="gramEnd"/>
      <w:r w:rsidRPr="00E258E6">
        <w:rPr>
          <w:rFonts w:ascii="Calibri" w:hAnsi="Calibri" w:cs="Calibri"/>
        </w:rPr>
        <w:t xml:space="preserve"> and </w:t>
      </w:r>
      <w:proofErr w:type="spellStart"/>
      <w:r w:rsidRPr="00E258E6">
        <w:rPr>
          <w:rFonts w:ascii="Calibri" w:hAnsi="Calibri" w:cs="Calibri"/>
        </w:rPr>
        <w:t>Netzer</w:t>
      </w:r>
      <w:proofErr w:type="spellEnd"/>
      <w:r w:rsidRPr="00E258E6">
        <w:rPr>
          <w:rFonts w:ascii="Calibri" w:hAnsi="Calibri" w:cs="Calibri"/>
        </w:rPr>
        <w:t>, O</w:t>
      </w:r>
      <w:r w:rsidR="003D6550">
        <w:rPr>
          <w:rFonts w:ascii="Calibri" w:hAnsi="Calibri" w:cs="Calibri"/>
        </w:rPr>
        <w:t>.</w:t>
      </w:r>
      <w:r w:rsidRPr="00E258E6">
        <w:rPr>
          <w:rFonts w:ascii="Calibri" w:hAnsi="Calibri" w:cs="Calibri"/>
        </w:rPr>
        <w:t xml:space="preserve"> (2023) </w:t>
      </w:r>
      <w:r w:rsidRPr="00255251">
        <w:rPr>
          <w:rFonts w:ascii="Calibri" w:hAnsi="Calibri" w:cs="Calibri"/>
          <w:i/>
        </w:rPr>
        <w:t xml:space="preserve">How to Evaluate a Job Candidate’s Critical </w:t>
      </w:r>
      <w:r w:rsidR="00255251" w:rsidRPr="00255251">
        <w:rPr>
          <w:rFonts w:ascii="Calibri" w:hAnsi="Calibri" w:cs="Calibri"/>
          <w:i/>
        </w:rPr>
        <w:t>Thinking Skills in an Interview.</w:t>
      </w:r>
      <w:r w:rsidRPr="00255251">
        <w:rPr>
          <w:rFonts w:ascii="Calibri" w:hAnsi="Calibri" w:cs="Calibri"/>
          <w:i/>
        </w:rPr>
        <w:t xml:space="preserve"> </w:t>
      </w:r>
      <w:r w:rsidRPr="00E258E6">
        <w:rPr>
          <w:rFonts w:ascii="Calibri" w:hAnsi="Calibri" w:cs="Calibri"/>
        </w:rPr>
        <w:t xml:space="preserve">Available at: </w:t>
      </w:r>
      <w:r w:rsidR="00E258E6" w:rsidRPr="00E258E6">
        <w:rPr>
          <w:rFonts w:ascii="Calibri" w:hAnsi="Calibri" w:cs="Calibri"/>
        </w:rPr>
        <w:t>https://hbr.org/2023/09/how-to-evaluate-a-job-candidates-critical-thinking-skills-in-an-interview (</w:t>
      </w:r>
      <w:r w:rsidRPr="00E258E6">
        <w:rPr>
          <w:rFonts w:ascii="Calibri" w:hAnsi="Calibri" w:cs="Calibri"/>
        </w:rPr>
        <w:t>Accessed: 25 October 2023</w:t>
      </w:r>
      <w:r w:rsidR="00E258E6" w:rsidRPr="00E258E6">
        <w:rPr>
          <w:rFonts w:ascii="Calibri" w:hAnsi="Calibri" w:cs="Calibri"/>
        </w:rPr>
        <w:t>)</w:t>
      </w:r>
      <w:r w:rsidRPr="00E258E6">
        <w:rPr>
          <w:rFonts w:ascii="Calibri" w:hAnsi="Calibri" w:cs="Calibri"/>
        </w:rPr>
        <w:t>.</w:t>
      </w:r>
    </w:p>
    <w:p w14:paraId="42C40665" w14:textId="2F41B196" w:rsidR="009059B5" w:rsidRPr="00BB1C6C" w:rsidRDefault="009059B5" w:rsidP="008F38C4">
      <w:pPr>
        <w:widowControl w:val="0"/>
        <w:autoSpaceDE w:val="0"/>
        <w:autoSpaceDN w:val="0"/>
        <w:spacing w:before="162" w:after="0" w:line="276" w:lineRule="auto"/>
        <w:ind w:right="283"/>
      </w:pPr>
      <w:r w:rsidRPr="00BB1C6C">
        <w:rPr>
          <w:rFonts w:ascii="Calibri" w:hAnsi="Calibri" w:cs="Calibri"/>
        </w:rPr>
        <w:t xml:space="preserve">Gifford, J. (2022) </w:t>
      </w:r>
      <w:r w:rsidRPr="00BB1C6C">
        <w:rPr>
          <w:rFonts w:ascii="Calibri" w:hAnsi="Calibri" w:cs="Calibri"/>
          <w:i/>
        </w:rPr>
        <w:t>Performance management: an introduction.</w:t>
      </w:r>
      <w:r w:rsidRPr="00BB1C6C">
        <w:rPr>
          <w:rFonts w:ascii="Calibri" w:hAnsi="Calibri" w:cs="Calibri"/>
        </w:rPr>
        <w:t xml:space="preserve"> Available at: </w:t>
      </w:r>
      <w:hyperlink r:id="rId40" w:anchor="one" w:history="1">
        <w:r w:rsidRPr="00BB1C6C">
          <w:rPr>
            <w:rStyle w:val="Hyperlink"/>
            <w:rFonts w:ascii="Calibri" w:hAnsi="Calibri" w:cs="Calibri"/>
            <w:color w:val="auto"/>
            <w:u w:val="none"/>
          </w:rPr>
          <w:t>https://www.cipd.org/uk/knowledge/factsheets/performance-factsheet/#one</w:t>
        </w:r>
      </w:hyperlink>
      <w:r w:rsidRPr="00BB1C6C">
        <w:rPr>
          <w:rFonts w:ascii="Calibri" w:hAnsi="Calibri" w:cs="Calibri"/>
        </w:rPr>
        <w:t xml:space="preserve"> (Accessed: 11 November 2023).</w:t>
      </w:r>
    </w:p>
    <w:p w14:paraId="2E9533F6" w14:textId="18DDF7BE" w:rsidR="00097C81" w:rsidRPr="00AA421B" w:rsidRDefault="00D865D5" w:rsidP="008F38C4">
      <w:pPr>
        <w:widowControl w:val="0"/>
        <w:autoSpaceDE w:val="0"/>
        <w:autoSpaceDN w:val="0"/>
        <w:spacing w:before="162" w:after="0" w:line="276" w:lineRule="auto"/>
        <w:ind w:right="283"/>
      </w:pPr>
      <w:r w:rsidRPr="00AA421B">
        <w:t xml:space="preserve">Gifford, J., Young, J. and </w:t>
      </w:r>
      <w:proofErr w:type="spellStart"/>
      <w:r w:rsidRPr="00AA421B">
        <w:t>Barends</w:t>
      </w:r>
      <w:proofErr w:type="spellEnd"/>
      <w:r w:rsidRPr="00AA421B">
        <w:t>, E. (2023</w:t>
      </w:r>
      <w:r w:rsidR="002C05FC" w:rsidRPr="00AA421B">
        <w:t>a</w:t>
      </w:r>
      <w:r w:rsidRPr="00AA421B">
        <w:t xml:space="preserve">) </w:t>
      </w:r>
      <w:r w:rsidRPr="00AA421B">
        <w:rPr>
          <w:i/>
          <w:iCs/>
        </w:rPr>
        <w:t xml:space="preserve">Evidence-based HR: Make better decisions and step up your influence. </w:t>
      </w:r>
      <w:r w:rsidRPr="00AA421B">
        <w:t xml:space="preserve">Available at: </w:t>
      </w:r>
      <w:hyperlink r:id="rId41" w:anchor="how-do-we-make-evidence-based-decisions" w:history="1">
        <w:r w:rsidRPr="00AA421B">
          <w:rPr>
            <w:rStyle w:val="Hyperlink"/>
            <w:color w:val="auto"/>
            <w:u w:val="none"/>
          </w:rPr>
          <w:t>https://www.cipd.org/uk/knowledge/guides/evidence-based-profession/#how-do-we-make-evidence-based-decisions</w:t>
        </w:r>
      </w:hyperlink>
      <w:r w:rsidRPr="00AA421B">
        <w:t xml:space="preserve"> (Accessed: 14 October 2023).</w:t>
      </w:r>
      <w:bookmarkStart w:id="4" w:name="_Hlk150683223"/>
    </w:p>
    <w:p w14:paraId="1460846D" w14:textId="3C929629" w:rsidR="00097C81" w:rsidRPr="00AA421B" w:rsidRDefault="00D865D5" w:rsidP="008F38C4">
      <w:pPr>
        <w:widowControl w:val="0"/>
        <w:autoSpaceDE w:val="0"/>
        <w:autoSpaceDN w:val="0"/>
        <w:spacing w:before="162" w:after="0" w:line="276" w:lineRule="auto"/>
        <w:ind w:right="283"/>
      </w:pPr>
      <w:r w:rsidRPr="00AA421B">
        <w:t xml:space="preserve">Gifford, J., Young, J. and </w:t>
      </w:r>
      <w:proofErr w:type="spellStart"/>
      <w:r w:rsidRPr="00AA421B">
        <w:t>Barends</w:t>
      </w:r>
      <w:proofErr w:type="spellEnd"/>
      <w:r w:rsidRPr="00AA421B">
        <w:t xml:space="preserve">, E. </w:t>
      </w:r>
      <w:bookmarkEnd w:id="4"/>
      <w:r w:rsidRPr="00AA421B">
        <w:t>(2023b) ‘Building an evidence-based people profession’.</w:t>
      </w:r>
      <w:r w:rsidR="00AA421B" w:rsidRPr="00AA421B">
        <w:rPr>
          <w:i/>
          <w:iCs/>
        </w:rPr>
        <w:t xml:space="preserve"> </w:t>
      </w:r>
      <w:r w:rsidRPr="00AA421B">
        <w:t xml:space="preserve">Available at: </w:t>
      </w:r>
      <w:hyperlink r:id="rId42" w:history="1">
        <w:r w:rsidRPr="00AA421B">
          <w:rPr>
            <w:rStyle w:val="Hyperlink"/>
            <w:color w:val="auto"/>
            <w:u w:val="none"/>
          </w:rPr>
          <w:t>https://www.cipd.org/uk/views-and-insights/thought-leadership/insight/evidence-based-profession/</w:t>
        </w:r>
      </w:hyperlink>
      <w:r w:rsidRPr="00AA421B">
        <w:t xml:space="preserve"> (Accessed: 14 October 2023).</w:t>
      </w:r>
    </w:p>
    <w:p w14:paraId="10C80D87" w14:textId="42660294" w:rsidR="00097C81" w:rsidRPr="009C4104" w:rsidRDefault="002C05FC" w:rsidP="008F38C4">
      <w:pPr>
        <w:widowControl w:val="0"/>
        <w:autoSpaceDE w:val="0"/>
        <w:autoSpaceDN w:val="0"/>
        <w:spacing w:before="162" w:after="0" w:line="276" w:lineRule="auto"/>
        <w:ind w:right="283"/>
      </w:pPr>
      <w:r w:rsidRPr="009C4104">
        <w:t>Goyal, A</w:t>
      </w:r>
      <w:r w:rsidR="003D6550">
        <w:t>.</w:t>
      </w:r>
      <w:r w:rsidRPr="009C4104">
        <w:t xml:space="preserve"> (2020) ‘A critical analysis of Porter’s 5 forces model of competitive advantage’, </w:t>
      </w:r>
      <w:r w:rsidRPr="009C4104">
        <w:rPr>
          <w:i/>
          <w:iCs/>
        </w:rPr>
        <w:t>Journal of Emerging Technologies and Innovative Research (JETIR),</w:t>
      </w:r>
      <w:r w:rsidRPr="009C4104">
        <w:t xml:space="preserve"> 7(7), pp. 149-152. Available at: </w:t>
      </w:r>
      <w:hyperlink r:id="rId43" w:history="1">
        <w:r w:rsidR="00097C81" w:rsidRPr="009C4104">
          <w:rPr>
            <w:rStyle w:val="Hyperlink"/>
            <w:color w:val="auto"/>
            <w:u w:val="none"/>
          </w:rPr>
          <w:t>https://papers.ssrn.com/sol3/papers.cfm?abstract_id=3765758</w:t>
        </w:r>
      </w:hyperlink>
      <w:r w:rsidR="00BB1C6C">
        <w:rPr>
          <w:rStyle w:val="Hyperlink"/>
          <w:color w:val="auto"/>
          <w:u w:val="none"/>
        </w:rPr>
        <w:t xml:space="preserve"> </w:t>
      </w:r>
      <w:r w:rsidR="00BB1C6C" w:rsidRPr="00BB1C6C">
        <w:rPr>
          <w:rStyle w:val="Hyperlink"/>
          <w:color w:val="auto"/>
          <w:u w:val="none"/>
        </w:rPr>
        <w:t>(Accessed:</w:t>
      </w:r>
      <w:r w:rsidR="00BB1C6C">
        <w:rPr>
          <w:rStyle w:val="Hyperlink"/>
          <w:color w:val="auto"/>
          <w:u w:val="none"/>
        </w:rPr>
        <w:t xml:space="preserve"> 25 October 2023).</w:t>
      </w:r>
    </w:p>
    <w:p w14:paraId="289697B4" w14:textId="04AAD52B" w:rsidR="00097C81" w:rsidRPr="008F38C4" w:rsidRDefault="002C05FC" w:rsidP="008F38C4">
      <w:pPr>
        <w:widowControl w:val="0"/>
        <w:autoSpaceDE w:val="0"/>
        <w:autoSpaceDN w:val="0"/>
        <w:spacing w:before="162" w:after="0" w:line="276" w:lineRule="auto"/>
        <w:ind w:right="283"/>
        <w:rPr>
          <w:rFonts w:ascii="Calibri" w:hAnsi="Calibri" w:cs="Calibri"/>
        </w:rPr>
      </w:pPr>
      <w:r w:rsidRPr="008F38C4">
        <w:rPr>
          <w:rFonts w:ascii="Calibri" w:hAnsi="Calibri" w:cs="Calibri"/>
        </w:rPr>
        <w:t>Grundy, T</w:t>
      </w:r>
      <w:r w:rsidR="003D6550">
        <w:rPr>
          <w:rFonts w:ascii="Calibri" w:hAnsi="Calibri" w:cs="Calibri"/>
        </w:rPr>
        <w:t>.</w:t>
      </w:r>
      <w:r w:rsidRPr="008F38C4">
        <w:rPr>
          <w:rFonts w:ascii="Calibri" w:hAnsi="Calibri" w:cs="Calibri"/>
        </w:rPr>
        <w:t xml:space="preserve"> (2006) ‘Rethinking and reinventing Michael Porter’s five forces model’, </w:t>
      </w:r>
      <w:r w:rsidRPr="008F38C4">
        <w:rPr>
          <w:rFonts w:ascii="Calibri" w:hAnsi="Calibri" w:cs="Calibri"/>
          <w:i/>
          <w:iCs/>
        </w:rPr>
        <w:t xml:space="preserve">Strategic Change, </w:t>
      </w:r>
      <w:r w:rsidRPr="008F38C4">
        <w:rPr>
          <w:rFonts w:ascii="Calibri" w:hAnsi="Calibri" w:cs="Calibri"/>
        </w:rPr>
        <w:t xml:space="preserve">15(5), pp. 213-229. Available at: </w:t>
      </w:r>
      <w:hyperlink r:id="rId44" w:history="1">
        <w:r w:rsidR="00097C81" w:rsidRPr="008F38C4">
          <w:rPr>
            <w:rStyle w:val="Hyperlink"/>
            <w:rFonts w:ascii="Calibri" w:hAnsi="Calibri" w:cs="Calibri"/>
            <w:color w:val="auto"/>
            <w:u w:val="none"/>
            <w:shd w:val="clear" w:color="auto" w:fill="FFFFFF"/>
          </w:rPr>
          <w:t>https://doi.org/10.1002/jsc.764</w:t>
        </w:r>
      </w:hyperlink>
      <w:r w:rsidR="00BB1C6C">
        <w:rPr>
          <w:rFonts w:ascii="Calibri" w:hAnsi="Calibri" w:cs="Calibri"/>
          <w:shd w:val="clear" w:color="auto" w:fill="FFFFFF"/>
        </w:rPr>
        <w:t>.</w:t>
      </w:r>
    </w:p>
    <w:p w14:paraId="2A51BCF3" w14:textId="54533AC4" w:rsidR="00097C81" w:rsidRPr="008F38C4" w:rsidRDefault="00D865D5" w:rsidP="008F38C4">
      <w:pPr>
        <w:widowControl w:val="0"/>
        <w:autoSpaceDE w:val="0"/>
        <w:autoSpaceDN w:val="0"/>
        <w:spacing w:before="162" w:after="0" w:line="276" w:lineRule="auto"/>
        <w:ind w:right="283"/>
      </w:pPr>
      <w:proofErr w:type="spellStart"/>
      <w:r w:rsidRPr="008F38C4">
        <w:t>Haan</w:t>
      </w:r>
      <w:proofErr w:type="spellEnd"/>
      <w:r w:rsidRPr="008F38C4">
        <w:t>, S</w:t>
      </w:r>
      <w:r w:rsidR="003D6550">
        <w:t>.</w:t>
      </w:r>
      <w:r w:rsidRPr="008F38C4">
        <w:t xml:space="preserve"> (2023) </w:t>
      </w:r>
      <w:r w:rsidRPr="008F38C4">
        <w:rPr>
          <w:i/>
          <w:iCs/>
        </w:rPr>
        <w:t>SWOT Analysis</w:t>
      </w:r>
      <w:r w:rsidRPr="008F38C4">
        <w:t xml:space="preserve">. Available at: </w:t>
      </w:r>
      <w:hyperlink r:id="rId45" w:history="1">
        <w:r w:rsidRPr="008F38C4">
          <w:rPr>
            <w:rStyle w:val="Hyperlink"/>
            <w:color w:val="auto"/>
            <w:u w:val="none"/>
          </w:rPr>
          <w:t>https://www.cipd.org/uk/knowledge/factsheets/swot-analysis-factsheet/</w:t>
        </w:r>
      </w:hyperlink>
      <w:r w:rsidRPr="008F38C4">
        <w:t xml:space="preserve"> (Accessed: 25 October 2023).</w:t>
      </w:r>
    </w:p>
    <w:p w14:paraId="4D6A2D1F" w14:textId="6582B31F" w:rsidR="00097C81" w:rsidRDefault="00D865D5" w:rsidP="008F38C4">
      <w:pPr>
        <w:widowControl w:val="0"/>
        <w:autoSpaceDE w:val="0"/>
        <w:autoSpaceDN w:val="0"/>
        <w:spacing w:before="162" w:after="0" w:line="276" w:lineRule="auto"/>
        <w:ind w:right="283"/>
        <w:rPr>
          <w:rFonts w:ascii="Calibri" w:hAnsi="Calibri" w:cs="Calibri"/>
        </w:rPr>
      </w:pPr>
      <w:r w:rsidRPr="00123AE6">
        <w:rPr>
          <w:rFonts w:ascii="Calibri" w:hAnsi="Calibri" w:cs="Calibri"/>
        </w:rPr>
        <w:t>Haber, J</w:t>
      </w:r>
      <w:r w:rsidR="003D6550">
        <w:rPr>
          <w:rFonts w:ascii="Calibri" w:hAnsi="Calibri" w:cs="Calibri"/>
        </w:rPr>
        <w:t>.</w:t>
      </w:r>
      <w:r w:rsidRPr="00123AE6">
        <w:rPr>
          <w:rFonts w:ascii="Calibri" w:hAnsi="Calibri" w:cs="Calibri"/>
        </w:rPr>
        <w:t xml:space="preserve"> (2020) </w:t>
      </w:r>
      <w:r w:rsidRPr="00123AE6">
        <w:rPr>
          <w:rFonts w:ascii="Calibri" w:hAnsi="Calibri" w:cs="Calibri"/>
          <w:i/>
          <w:iCs/>
        </w:rPr>
        <w:t>Critical Thinking.</w:t>
      </w:r>
      <w:r w:rsidRPr="00123AE6">
        <w:rPr>
          <w:rFonts w:ascii="Calibri" w:hAnsi="Calibri" w:cs="Calibri"/>
        </w:rPr>
        <w:t xml:space="preserve"> Massachusetts: MIT press.</w:t>
      </w:r>
    </w:p>
    <w:p w14:paraId="621E9815" w14:textId="2167AEED" w:rsidR="00E20886" w:rsidRPr="007A5807" w:rsidRDefault="00E20886" w:rsidP="008F38C4">
      <w:pPr>
        <w:widowControl w:val="0"/>
        <w:autoSpaceDE w:val="0"/>
        <w:autoSpaceDN w:val="0"/>
        <w:spacing w:before="162" w:after="0" w:line="276" w:lineRule="auto"/>
        <w:ind w:right="283"/>
        <w:rPr>
          <w:rFonts w:ascii="Calibri" w:hAnsi="Calibri" w:cs="Calibri"/>
        </w:rPr>
      </w:pPr>
      <w:r w:rsidRPr="007A5807">
        <w:rPr>
          <w:rFonts w:ascii="Calibri" w:hAnsi="Calibri" w:cs="Calibri"/>
        </w:rPr>
        <w:t xml:space="preserve">Hill, S. and Houghton, E. (2021) </w:t>
      </w:r>
      <w:r w:rsidRPr="007A5807">
        <w:rPr>
          <w:rFonts w:ascii="Calibri" w:hAnsi="Calibri" w:cs="Calibri"/>
          <w:i/>
          <w:iCs/>
        </w:rPr>
        <w:t>Evidence-Based Practice</w:t>
      </w:r>
      <w:r w:rsidR="009062F2" w:rsidRPr="007A5807">
        <w:rPr>
          <w:rFonts w:ascii="Calibri" w:hAnsi="Calibri" w:cs="Calibri"/>
          <w:i/>
          <w:iCs/>
        </w:rPr>
        <w:t>: The importance of evidence</w:t>
      </w:r>
      <w:r w:rsidRPr="007A5807">
        <w:rPr>
          <w:rFonts w:ascii="Calibri" w:hAnsi="Calibri" w:cs="Calibri"/>
          <w:i/>
          <w:iCs/>
        </w:rPr>
        <w:t xml:space="preserve">. </w:t>
      </w:r>
      <w:r w:rsidRPr="007A5807">
        <w:rPr>
          <w:rFonts w:ascii="Calibri" w:hAnsi="Calibri" w:cs="Calibri"/>
        </w:rPr>
        <w:t xml:space="preserve">Available at: </w:t>
      </w:r>
      <w:hyperlink r:id="rId46" w:history="1">
        <w:r w:rsidRPr="007A5807">
          <w:rPr>
            <w:rStyle w:val="Hyperlink"/>
            <w:rFonts w:ascii="Calibri" w:hAnsi="Calibri" w:cs="Calibri"/>
            <w:color w:val="auto"/>
            <w:u w:val="none"/>
          </w:rPr>
          <w:t>https://www.cipd.org/uk/knowledge/guides/analytics-practitioner-guide/</w:t>
        </w:r>
      </w:hyperlink>
      <w:r w:rsidRPr="007A5807">
        <w:rPr>
          <w:rFonts w:ascii="Calibri" w:hAnsi="Calibri" w:cs="Calibri"/>
        </w:rPr>
        <w:t xml:space="preserve"> (Accessed: 13 November 2023). </w:t>
      </w:r>
    </w:p>
    <w:p w14:paraId="16E2B486" w14:textId="0EB186A1" w:rsidR="005A107B" w:rsidRPr="005A107B" w:rsidRDefault="005A107B" w:rsidP="005A107B">
      <w:pPr>
        <w:widowControl w:val="0"/>
        <w:autoSpaceDE w:val="0"/>
        <w:autoSpaceDN w:val="0"/>
        <w:spacing w:before="162" w:after="0" w:line="276" w:lineRule="auto"/>
        <w:ind w:right="283"/>
        <w:rPr>
          <w:rFonts w:ascii="Calibri" w:hAnsi="Calibri" w:cs="Calibri"/>
        </w:rPr>
      </w:pPr>
      <w:r w:rsidRPr="005A107B">
        <w:rPr>
          <w:rFonts w:ascii="Calibri" w:hAnsi="Calibri" w:cs="Calibri"/>
        </w:rPr>
        <w:t xml:space="preserve">House of Commons Trade and Industry Committee (2005) </w:t>
      </w:r>
      <w:r w:rsidRPr="005A107B">
        <w:rPr>
          <w:rFonts w:ascii="Calibri" w:hAnsi="Calibri" w:cs="Calibri"/>
          <w:i/>
          <w:iCs/>
        </w:rPr>
        <w:t>Jobs for the girls: The effect of occupational segregation on the gender pay gap: Sixteenth Report of Session 2004–05,</w:t>
      </w:r>
      <w:r>
        <w:rPr>
          <w:rFonts w:ascii="Calibri" w:hAnsi="Calibri" w:cs="Calibri"/>
          <w:i/>
          <w:iCs/>
        </w:rPr>
        <w:t xml:space="preserve"> </w:t>
      </w:r>
      <w:r w:rsidRPr="005A107B">
        <w:rPr>
          <w:rFonts w:ascii="Calibri" w:hAnsi="Calibri" w:cs="Calibri"/>
        </w:rPr>
        <w:t>HC 300-I. Available at: https://publications.parliament.uk/pa/cm200405/cmselect/cmtrdind/300/300.pdf (Accessed: 29 November 2023).</w:t>
      </w:r>
    </w:p>
    <w:p w14:paraId="49AD43C1" w14:textId="31DE7180" w:rsidR="00097C81" w:rsidRPr="00AA421B" w:rsidRDefault="00D865D5" w:rsidP="008F38C4">
      <w:pPr>
        <w:widowControl w:val="0"/>
        <w:autoSpaceDE w:val="0"/>
        <w:autoSpaceDN w:val="0"/>
        <w:spacing w:before="162" w:after="0" w:line="276" w:lineRule="auto"/>
        <w:ind w:right="283"/>
        <w:rPr>
          <w:rFonts w:ascii="Calibri" w:hAnsi="Calibri" w:cs="Calibri"/>
        </w:rPr>
      </w:pPr>
      <w:r w:rsidRPr="00AA421B">
        <w:rPr>
          <w:rFonts w:ascii="Calibri" w:hAnsi="Calibri" w:cs="Calibri"/>
        </w:rPr>
        <w:t xml:space="preserve">Howlett, W and </w:t>
      </w:r>
      <w:proofErr w:type="spellStart"/>
      <w:r w:rsidRPr="00AA421B">
        <w:rPr>
          <w:rFonts w:ascii="Calibri" w:hAnsi="Calibri" w:cs="Calibri"/>
        </w:rPr>
        <w:t>Codburn</w:t>
      </w:r>
      <w:proofErr w:type="spellEnd"/>
      <w:r w:rsidRPr="00AA421B">
        <w:rPr>
          <w:rFonts w:ascii="Calibri" w:hAnsi="Calibri" w:cs="Calibri"/>
        </w:rPr>
        <w:t>, T</w:t>
      </w:r>
      <w:r w:rsidR="003D6550" w:rsidRPr="00AA421B">
        <w:rPr>
          <w:rFonts w:ascii="Calibri" w:hAnsi="Calibri" w:cs="Calibri"/>
        </w:rPr>
        <w:t>.</w:t>
      </w:r>
      <w:r w:rsidRPr="00AA421B">
        <w:rPr>
          <w:rFonts w:ascii="Calibri" w:hAnsi="Calibri" w:cs="Calibri"/>
        </w:rPr>
        <w:t xml:space="preserve"> (2019) Critical Thinking. [Podcast]. 5 November. Available at: </w:t>
      </w:r>
      <w:hyperlink r:id="rId47" w:history="1">
        <w:r w:rsidRPr="00AA421B">
          <w:rPr>
            <w:rStyle w:val="Hyperlink"/>
            <w:rFonts w:ascii="Calibri" w:hAnsi="Calibri" w:cs="Calibri"/>
            <w:color w:val="auto"/>
            <w:u w:val="none"/>
          </w:rPr>
          <w:t>https://www.cipd.org/uk/knowledge/podcasts/critical-thinking/</w:t>
        </w:r>
      </w:hyperlink>
      <w:r w:rsidRPr="00AA421B">
        <w:rPr>
          <w:rFonts w:ascii="Calibri" w:hAnsi="Calibri" w:cs="Calibri"/>
        </w:rPr>
        <w:t xml:space="preserve"> (Accessed: 28 October 2023).</w:t>
      </w:r>
    </w:p>
    <w:p w14:paraId="3DB51843" w14:textId="5127B02D" w:rsidR="0095432A" w:rsidRPr="0095432A" w:rsidRDefault="0095432A" w:rsidP="008F38C4">
      <w:pPr>
        <w:widowControl w:val="0"/>
        <w:autoSpaceDE w:val="0"/>
        <w:autoSpaceDN w:val="0"/>
        <w:spacing w:before="162" w:after="0" w:line="276" w:lineRule="auto"/>
        <w:ind w:right="283"/>
      </w:pPr>
      <w:r>
        <w:rPr>
          <w:rFonts w:ascii="Calibri" w:hAnsi="Calibri" w:cs="Calibri"/>
        </w:rPr>
        <w:t xml:space="preserve">Ismail, Z. (2018) </w:t>
      </w:r>
      <w:r w:rsidRPr="0095432A">
        <w:rPr>
          <w:i/>
          <w:iCs/>
        </w:rPr>
        <w:t>Benefits of Internships for Interns and Host Organisations</w:t>
      </w:r>
      <w:r>
        <w:rPr>
          <w:i/>
          <w:iCs/>
        </w:rPr>
        <w:t xml:space="preserve">. </w:t>
      </w:r>
      <w:r>
        <w:t xml:space="preserve">Available at: </w:t>
      </w:r>
      <w:hyperlink r:id="rId48" w:anchor=":~:text=Internships%20increase%20the%20probability%20of%20finding%20employment%2C%20but,low%20cost%20to%20employers%20%28Maertz%20et%20al.%2C%202014%29" w:history="1">
        <w:r w:rsidRPr="0095432A">
          <w:rPr>
            <w:rStyle w:val="Hyperlink"/>
            <w:color w:val="auto"/>
            <w:u w:val="none"/>
          </w:rPr>
          <w:t>https://assets.publishing.service.gov.uk/media/5b3b5de3ed915d33c7d58e52/Internships.pdf#:~:text=Internships%20increase%20the%20probability%20of%20finding%20employment%2C%20but,low%20cost%20to%20employers%20%28Maertz%20et%20al.%2C%202014%29</w:t>
        </w:r>
      </w:hyperlink>
      <w:r>
        <w:t xml:space="preserve"> (Accessed: 28 November 2023).</w:t>
      </w:r>
    </w:p>
    <w:p w14:paraId="3AF651BE" w14:textId="77777777" w:rsidR="00097C81" w:rsidRPr="00AA421B" w:rsidRDefault="00D865D5" w:rsidP="008F38C4">
      <w:pPr>
        <w:widowControl w:val="0"/>
        <w:autoSpaceDE w:val="0"/>
        <w:autoSpaceDN w:val="0"/>
        <w:spacing w:before="162" w:after="0" w:line="276" w:lineRule="auto"/>
        <w:ind w:right="283"/>
      </w:pPr>
      <w:r w:rsidRPr="00AA421B">
        <w:t xml:space="preserve">Jacobs, K. (2015a) ‘Evidence-based HR in practice’, </w:t>
      </w:r>
      <w:r w:rsidRPr="00AA421B">
        <w:rPr>
          <w:i/>
          <w:iCs/>
        </w:rPr>
        <w:t>HR Magazine,</w:t>
      </w:r>
      <w:r w:rsidRPr="00AA421B">
        <w:t xml:space="preserve"> (13 January). Available at: </w:t>
      </w:r>
      <w:hyperlink r:id="rId49" w:history="1">
        <w:r w:rsidRPr="00AA421B">
          <w:rPr>
            <w:rStyle w:val="Hyperlink"/>
            <w:color w:val="auto"/>
            <w:u w:val="none"/>
          </w:rPr>
          <w:t>https://www.hrmagazine.co.uk/content/features/evidence-based-hr-in-practice</w:t>
        </w:r>
      </w:hyperlink>
      <w:r w:rsidRPr="00AA421B">
        <w:t xml:space="preserve"> (Accessed: 25 October 2023).</w:t>
      </w:r>
    </w:p>
    <w:p w14:paraId="3A8547D3" w14:textId="77777777" w:rsidR="00097C81" w:rsidRPr="00AA421B" w:rsidRDefault="00D865D5" w:rsidP="008F38C4">
      <w:pPr>
        <w:widowControl w:val="0"/>
        <w:autoSpaceDE w:val="0"/>
        <w:autoSpaceDN w:val="0"/>
        <w:spacing w:before="162" w:after="0" w:line="276" w:lineRule="auto"/>
        <w:ind w:right="283"/>
      </w:pPr>
      <w:r w:rsidRPr="00AA421B">
        <w:t xml:space="preserve">Jacobs, K. (2015b) ‘Evidence-based HR: Under the microscope’, </w:t>
      </w:r>
      <w:r w:rsidRPr="00AA421B">
        <w:rPr>
          <w:i/>
          <w:iCs/>
        </w:rPr>
        <w:t xml:space="preserve">HR Magazine, </w:t>
      </w:r>
      <w:r w:rsidRPr="00AA421B">
        <w:t xml:space="preserve">(12 January). Available at: </w:t>
      </w:r>
      <w:hyperlink r:id="rId50" w:history="1">
        <w:r w:rsidRPr="00AA421B">
          <w:t>https://www.hrmagazine.co.uk/content/features/evidence-based-hr-under-the-microscope</w:t>
        </w:r>
      </w:hyperlink>
      <w:r w:rsidRPr="00AA421B">
        <w:t xml:space="preserve"> (Accessed: 25 October 2023).</w:t>
      </w:r>
    </w:p>
    <w:p w14:paraId="5540A6F0" w14:textId="68CC0203" w:rsidR="00097C81" w:rsidRDefault="002C05FC" w:rsidP="008F38C4">
      <w:pPr>
        <w:widowControl w:val="0"/>
        <w:autoSpaceDE w:val="0"/>
        <w:autoSpaceDN w:val="0"/>
        <w:spacing w:before="162" w:after="0" w:line="276" w:lineRule="auto"/>
        <w:ind w:right="283"/>
      </w:pPr>
      <w:r>
        <w:t>Jain, N</w:t>
      </w:r>
      <w:r w:rsidR="003D6550">
        <w:t>.</w:t>
      </w:r>
      <w:r>
        <w:t xml:space="preserve"> (2021) ‘Survey Versus Interviews: Comparing Data Collection T views: Comparing Data Collection Tools for Exploratory Research’, </w:t>
      </w:r>
      <w:r w:rsidRPr="00330267">
        <w:rPr>
          <w:i/>
          <w:iCs/>
        </w:rPr>
        <w:t>The Qualitative Report</w:t>
      </w:r>
      <w:r>
        <w:rPr>
          <w:i/>
          <w:iCs/>
        </w:rPr>
        <w:t xml:space="preserve">, </w:t>
      </w:r>
      <w:r>
        <w:t xml:space="preserve">26(2), pp. 541-554. Available at: </w:t>
      </w:r>
      <w:hyperlink r:id="rId51" w:history="1">
        <w:r w:rsidR="00097C81" w:rsidRPr="008F38C4">
          <w:rPr>
            <w:rStyle w:val="Hyperlink"/>
            <w:color w:val="auto"/>
            <w:u w:val="none"/>
          </w:rPr>
          <w:t>https://doi.org/10.46743/2160-3715/2021.4492</w:t>
        </w:r>
      </w:hyperlink>
      <w:r w:rsidRPr="008F38C4">
        <w:t>.</w:t>
      </w:r>
    </w:p>
    <w:p w14:paraId="22318092" w14:textId="2B8E2E72" w:rsidR="009059B5" w:rsidRDefault="00D865D5" w:rsidP="009059B5">
      <w:pPr>
        <w:widowControl w:val="0"/>
        <w:autoSpaceDE w:val="0"/>
        <w:autoSpaceDN w:val="0"/>
        <w:spacing w:before="162" w:after="0" w:line="276" w:lineRule="auto"/>
        <w:ind w:right="283"/>
      </w:pPr>
      <w:r w:rsidRPr="000C3AF2">
        <w:t>Jolley, J</w:t>
      </w:r>
      <w:r w:rsidR="003D6550">
        <w:t>.</w:t>
      </w:r>
      <w:r w:rsidRPr="000C3AF2">
        <w:t xml:space="preserve"> (2020). </w:t>
      </w:r>
      <w:r w:rsidRPr="00F91F7F">
        <w:rPr>
          <w:i/>
          <w:iCs/>
        </w:rPr>
        <w:t>Introducing research and evidence-based practice for nursing and healthcare professionals</w:t>
      </w:r>
      <w:r>
        <w:rPr>
          <w:i/>
          <w:iCs/>
        </w:rPr>
        <w:t xml:space="preserve">. </w:t>
      </w:r>
      <w:r w:rsidRPr="00F91F7F">
        <w:t>3</w:t>
      </w:r>
      <w:r w:rsidRPr="00F91F7F">
        <w:rPr>
          <w:vertAlign w:val="superscript"/>
        </w:rPr>
        <w:t>rd</w:t>
      </w:r>
      <w:r w:rsidRPr="00F91F7F">
        <w:t xml:space="preserve"> </w:t>
      </w:r>
      <w:proofErr w:type="spellStart"/>
      <w:r w:rsidRPr="00F91F7F">
        <w:t>Edn</w:t>
      </w:r>
      <w:proofErr w:type="spellEnd"/>
      <w:r w:rsidRPr="000C3AF2">
        <w:t>. Routledge.</w:t>
      </w:r>
    </w:p>
    <w:p w14:paraId="3AFE134B" w14:textId="47EA8614" w:rsidR="00657259" w:rsidRPr="00657259" w:rsidRDefault="00657259" w:rsidP="009059B5">
      <w:pPr>
        <w:widowControl w:val="0"/>
        <w:autoSpaceDE w:val="0"/>
        <w:autoSpaceDN w:val="0"/>
        <w:spacing w:before="162" w:after="0" w:line="276" w:lineRule="auto"/>
        <w:ind w:right="283"/>
        <w:rPr>
          <w:rFonts w:ascii="Calibri" w:hAnsi="Calibri" w:cs="Calibri"/>
          <w:color w:val="FF0000"/>
          <w:sz w:val="24"/>
          <w:szCs w:val="24"/>
        </w:rPr>
      </w:pPr>
      <w:r w:rsidRPr="00657259">
        <w:rPr>
          <w:rFonts w:ascii="Calibri" w:hAnsi="Calibri" w:cs="Calibri"/>
          <w:color w:val="222222"/>
          <w:shd w:val="clear" w:color="auto" w:fill="FFFFFF"/>
        </w:rPr>
        <w:t xml:space="preserve">Johnson, S.K., </w:t>
      </w:r>
      <w:proofErr w:type="spellStart"/>
      <w:r w:rsidRPr="00657259">
        <w:rPr>
          <w:rFonts w:ascii="Calibri" w:hAnsi="Calibri" w:cs="Calibri"/>
          <w:color w:val="222222"/>
          <w:shd w:val="clear" w:color="auto" w:fill="FFFFFF"/>
        </w:rPr>
        <w:t>Hekman</w:t>
      </w:r>
      <w:proofErr w:type="spellEnd"/>
      <w:r w:rsidRPr="00657259">
        <w:rPr>
          <w:rFonts w:ascii="Calibri" w:hAnsi="Calibri" w:cs="Calibri"/>
          <w:color w:val="222222"/>
          <w:shd w:val="clear" w:color="auto" w:fill="FFFFFF"/>
        </w:rPr>
        <w:t xml:space="preserve">, D.R. and Chan, E.T. </w:t>
      </w:r>
      <w:r>
        <w:rPr>
          <w:rFonts w:ascii="Calibri" w:hAnsi="Calibri" w:cs="Calibri"/>
          <w:color w:val="222222"/>
          <w:shd w:val="clear" w:color="auto" w:fill="FFFFFF"/>
        </w:rPr>
        <w:t>(</w:t>
      </w:r>
      <w:r w:rsidRPr="00657259">
        <w:rPr>
          <w:rFonts w:ascii="Calibri" w:hAnsi="Calibri" w:cs="Calibri"/>
          <w:color w:val="222222"/>
          <w:shd w:val="clear" w:color="auto" w:fill="FFFFFF"/>
        </w:rPr>
        <w:t>2016</w:t>
      </w:r>
      <w:r>
        <w:rPr>
          <w:rFonts w:ascii="Calibri" w:hAnsi="Calibri" w:cs="Calibri"/>
          <w:color w:val="222222"/>
          <w:shd w:val="clear" w:color="auto" w:fill="FFFFFF"/>
        </w:rPr>
        <w:t>)</w:t>
      </w:r>
      <w:r w:rsidRPr="00657259">
        <w:rPr>
          <w:rFonts w:ascii="Calibri" w:hAnsi="Calibri" w:cs="Calibri"/>
          <w:color w:val="222222"/>
          <w:shd w:val="clear" w:color="auto" w:fill="FFFFFF"/>
        </w:rPr>
        <w:t xml:space="preserve"> </w:t>
      </w:r>
      <w:r>
        <w:rPr>
          <w:rFonts w:ascii="Calibri" w:hAnsi="Calibri" w:cs="Calibri"/>
          <w:color w:val="222222"/>
          <w:shd w:val="clear" w:color="auto" w:fill="FFFFFF"/>
        </w:rPr>
        <w:t>‘</w:t>
      </w:r>
      <w:r w:rsidRPr="00657259">
        <w:rPr>
          <w:rFonts w:ascii="Calibri" w:hAnsi="Calibri" w:cs="Calibri"/>
          <w:color w:val="222222"/>
          <w:shd w:val="clear" w:color="auto" w:fill="FFFFFF"/>
        </w:rPr>
        <w:t>If there’s only one woman in your candidate pool, there’s statistically no chance she’ll be hired</w:t>
      </w:r>
      <w:r>
        <w:rPr>
          <w:rFonts w:ascii="Calibri" w:hAnsi="Calibri" w:cs="Calibri"/>
          <w:color w:val="222222"/>
          <w:shd w:val="clear" w:color="auto" w:fill="FFFFFF"/>
        </w:rPr>
        <w:t>’,</w:t>
      </w:r>
      <w:r w:rsidRPr="00657259">
        <w:rPr>
          <w:rFonts w:ascii="Calibri" w:hAnsi="Calibri" w:cs="Calibri"/>
          <w:color w:val="222222"/>
          <w:shd w:val="clear" w:color="auto" w:fill="FFFFFF"/>
        </w:rPr>
        <w:t> </w:t>
      </w:r>
      <w:r w:rsidRPr="00657259">
        <w:rPr>
          <w:rFonts w:ascii="Calibri" w:hAnsi="Calibri" w:cs="Calibri"/>
          <w:i/>
          <w:iCs/>
          <w:color w:val="222222"/>
          <w:shd w:val="clear" w:color="auto" w:fill="FFFFFF"/>
        </w:rPr>
        <w:t>Harvard Business Review</w:t>
      </w:r>
      <w:r w:rsidRPr="00657259">
        <w:rPr>
          <w:rFonts w:ascii="Calibri" w:hAnsi="Calibri" w:cs="Calibri"/>
          <w:color w:val="222222"/>
          <w:shd w:val="clear" w:color="auto" w:fill="FFFFFF"/>
        </w:rPr>
        <w:t>, </w:t>
      </w:r>
      <w:r w:rsidRPr="00657259">
        <w:rPr>
          <w:rFonts w:ascii="Calibri" w:hAnsi="Calibri" w:cs="Calibri"/>
          <w:i/>
          <w:iCs/>
          <w:color w:val="222222"/>
          <w:shd w:val="clear" w:color="auto" w:fill="FFFFFF"/>
        </w:rPr>
        <w:t>26</w:t>
      </w:r>
      <w:r w:rsidRPr="00657259">
        <w:rPr>
          <w:rFonts w:ascii="Calibri" w:hAnsi="Calibri" w:cs="Calibri"/>
          <w:color w:val="222222"/>
          <w:shd w:val="clear" w:color="auto" w:fill="FFFFFF"/>
        </w:rPr>
        <w:t>(04), pp.1-7.</w:t>
      </w:r>
      <w:r>
        <w:rPr>
          <w:rFonts w:ascii="Calibri" w:hAnsi="Calibri" w:cs="Calibri"/>
          <w:color w:val="222222"/>
          <w:shd w:val="clear" w:color="auto" w:fill="FFFFFF"/>
        </w:rPr>
        <w:t xml:space="preserve"> </w:t>
      </w:r>
      <w:proofErr w:type="spellStart"/>
      <w:r>
        <w:rPr>
          <w:rFonts w:ascii="Calibri" w:hAnsi="Calibri" w:cs="Calibri"/>
          <w:color w:val="222222"/>
          <w:shd w:val="clear" w:color="auto" w:fill="FFFFFF"/>
        </w:rPr>
        <w:t>Availablet</w:t>
      </w:r>
      <w:proofErr w:type="spellEnd"/>
      <w:r>
        <w:rPr>
          <w:rFonts w:ascii="Calibri" w:hAnsi="Calibri" w:cs="Calibri"/>
          <w:color w:val="222222"/>
          <w:shd w:val="clear" w:color="auto" w:fill="FFFFFF"/>
        </w:rPr>
        <w:t xml:space="preserve"> at: </w:t>
      </w:r>
      <w:hyperlink r:id="rId52" w:history="1">
        <w:r w:rsidR="007A5807" w:rsidRPr="007A5807">
          <w:rPr>
            <w:rStyle w:val="Hyperlink"/>
            <w:rFonts w:ascii="Calibri" w:hAnsi="Calibri" w:cs="Calibri"/>
            <w:color w:val="auto"/>
            <w:u w:val="none"/>
            <w:shd w:val="clear" w:color="auto" w:fill="FFFFFF"/>
          </w:rPr>
          <w:t>https://www.researchgate.net/profile/David-Hekman/publication/303003812_If_There's_Only_One_Woman_in_Your_Candidate_Pool_There's_Statistically_No_Chance_She'll_Be_Hired/links/575eea9908ae9a9c955f8e2c/If-Theres-Only-One-Woman-in-Your-Candidate-Pool-Theres-Statistically-No-Chance-Shell-Be-Hired.pdf</w:t>
        </w:r>
      </w:hyperlink>
      <w:r w:rsidR="007A5807">
        <w:rPr>
          <w:rFonts w:ascii="Calibri" w:hAnsi="Calibri" w:cs="Calibri"/>
          <w:color w:val="222222"/>
          <w:shd w:val="clear" w:color="auto" w:fill="FFFFFF"/>
        </w:rPr>
        <w:t xml:space="preserve"> (Accessed: 29 November 2023).</w:t>
      </w:r>
    </w:p>
    <w:p w14:paraId="311461F8" w14:textId="53ACF86D" w:rsidR="009059B5" w:rsidRDefault="009059B5" w:rsidP="008F38C4">
      <w:pPr>
        <w:widowControl w:val="0"/>
        <w:autoSpaceDE w:val="0"/>
        <w:autoSpaceDN w:val="0"/>
        <w:spacing w:before="162" w:after="0" w:line="276" w:lineRule="auto"/>
        <w:ind w:right="283"/>
        <w:rPr>
          <w:rFonts w:ascii="Calibri" w:hAnsi="Calibri" w:cs="Calibri"/>
          <w:color w:val="222222"/>
          <w:shd w:val="clear" w:color="auto" w:fill="FFFFFF"/>
        </w:rPr>
      </w:pPr>
      <w:r w:rsidRPr="0095432A">
        <w:rPr>
          <w:rFonts w:ascii="Calibri" w:hAnsi="Calibri" w:cs="Calibri"/>
          <w:color w:val="222222"/>
          <w:shd w:val="clear" w:color="auto" w:fill="FFFFFF"/>
        </w:rPr>
        <w:t>Josephson, M.S. and Hanson, W. (2002) </w:t>
      </w:r>
      <w:r w:rsidRPr="0095432A">
        <w:rPr>
          <w:rFonts w:ascii="Calibri" w:hAnsi="Calibri" w:cs="Calibri"/>
          <w:i/>
          <w:iCs/>
          <w:color w:val="222222"/>
          <w:shd w:val="clear" w:color="auto" w:fill="FFFFFF"/>
        </w:rPr>
        <w:t>Making ethical decisions</w:t>
      </w:r>
      <w:r w:rsidRPr="0095432A">
        <w:rPr>
          <w:rFonts w:ascii="Calibri" w:hAnsi="Calibri" w:cs="Calibri"/>
          <w:color w:val="222222"/>
          <w:shd w:val="clear" w:color="auto" w:fill="FFFFFF"/>
        </w:rPr>
        <w:t>. Los A</w:t>
      </w:r>
      <w:r w:rsidR="00F97EED">
        <w:rPr>
          <w:rFonts w:ascii="Calibri" w:hAnsi="Calibri" w:cs="Calibri"/>
          <w:color w:val="222222"/>
          <w:shd w:val="clear" w:color="auto" w:fill="FFFFFF"/>
        </w:rPr>
        <w:t>ngeles: Josephson Institute of E</w:t>
      </w:r>
      <w:r w:rsidRPr="0095432A">
        <w:rPr>
          <w:rFonts w:ascii="Calibri" w:hAnsi="Calibri" w:cs="Calibri"/>
          <w:color w:val="222222"/>
          <w:shd w:val="clear" w:color="auto" w:fill="FFFFFF"/>
        </w:rPr>
        <w:t>thics.</w:t>
      </w:r>
    </w:p>
    <w:p w14:paraId="52E0B4AB" w14:textId="2A12F793" w:rsidR="00354975" w:rsidRPr="00354975" w:rsidRDefault="00354975" w:rsidP="008F38C4">
      <w:pPr>
        <w:widowControl w:val="0"/>
        <w:autoSpaceDE w:val="0"/>
        <w:autoSpaceDN w:val="0"/>
        <w:spacing w:before="162" w:after="0" w:line="276" w:lineRule="auto"/>
        <w:ind w:right="283"/>
        <w:rPr>
          <w:rFonts w:ascii="Calibri" w:hAnsi="Calibri" w:cs="Calibri"/>
          <w:sz w:val="24"/>
          <w:szCs w:val="24"/>
        </w:rPr>
      </w:pPr>
      <w:proofErr w:type="spellStart"/>
      <w:r>
        <w:rPr>
          <w:rFonts w:ascii="Calibri" w:hAnsi="Calibri" w:cs="Calibri"/>
          <w:color w:val="222222"/>
          <w:shd w:val="clear" w:color="auto" w:fill="FFFFFF"/>
        </w:rPr>
        <w:t>Juma</w:t>
      </w:r>
      <w:proofErr w:type="spellEnd"/>
      <w:r>
        <w:rPr>
          <w:rFonts w:ascii="Calibri" w:hAnsi="Calibri" w:cs="Calibri"/>
          <w:color w:val="222222"/>
          <w:shd w:val="clear" w:color="auto" w:fill="FFFFFF"/>
        </w:rPr>
        <w:t xml:space="preserve">, A. (2023) </w:t>
      </w:r>
      <w:r w:rsidRPr="00354975">
        <w:rPr>
          <w:rFonts w:ascii="Calibri" w:hAnsi="Calibri" w:cs="Calibri"/>
          <w:i/>
          <w:iCs/>
          <w:color w:val="222222"/>
          <w:shd w:val="clear" w:color="auto" w:fill="FFFFFF"/>
        </w:rPr>
        <w:t>Direct vs. Indirect Costs: Differences and Examples</w:t>
      </w:r>
      <w:r>
        <w:rPr>
          <w:rFonts w:ascii="Calibri" w:hAnsi="Calibri" w:cs="Calibri"/>
          <w:i/>
          <w:iCs/>
          <w:color w:val="222222"/>
          <w:shd w:val="clear" w:color="auto" w:fill="FFFFFF"/>
        </w:rPr>
        <w:t xml:space="preserve">. </w:t>
      </w:r>
      <w:r>
        <w:rPr>
          <w:rFonts w:ascii="Calibri" w:hAnsi="Calibri" w:cs="Calibri"/>
          <w:color w:val="222222"/>
          <w:shd w:val="clear" w:color="auto" w:fill="FFFFFF"/>
        </w:rPr>
        <w:t xml:space="preserve">Available at: </w:t>
      </w:r>
      <w:hyperlink r:id="rId53" w:history="1">
        <w:r w:rsidRPr="00354975">
          <w:rPr>
            <w:rStyle w:val="Hyperlink"/>
            <w:rFonts w:ascii="Calibri" w:hAnsi="Calibri" w:cs="Calibri"/>
            <w:color w:val="auto"/>
            <w:u w:val="none"/>
            <w:shd w:val="clear" w:color="auto" w:fill="FFFFFF"/>
          </w:rPr>
          <w:t>https://www.indeed.com/career-advice/career-development/direct-vs-indirect-costs</w:t>
        </w:r>
      </w:hyperlink>
      <w:r>
        <w:rPr>
          <w:rFonts w:ascii="Calibri" w:hAnsi="Calibri" w:cs="Calibri"/>
          <w:color w:val="222222"/>
          <w:shd w:val="clear" w:color="auto" w:fill="FFFFFF"/>
        </w:rPr>
        <w:t xml:space="preserve"> (Accessed: 28 November 2023).</w:t>
      </w:r>
    </w:p>
    <w:p w14:paraId="7AC924D6" w14:textId="489B923A" w:rsidR="009713BF" w:rsidRPr="00AA421B" w:rsidRDefault="009713BF" w:rsidP="008F38C4">
      <w:pPr>
        <w:widowControl w:val="0"/>
        <w:autoSpaceDE w:val="0"/>
        <w:autoSpaceDN w:val="0"/>
        <w:spacing w:before="162" w:after="0" w:line="276" w:lineRule="auto"/>
        <w:ind w:right="283"/>
        <w:rPr>
          <w:rFonts w:ascii="Calibri" w:hAnsi="Calibri" w:cs="Calibri"/>
          <w:shd w:val="clear" w:color="auto" w:fill="FBFBFB"/>
        </w:rPr>
      </w:pPr>
      <w:proofErr w:type="spellStart"/>
      <w:r w:rsidRPr="00AA421B">
        <w:rPr>
          <w:rFonts w:ascii="Calibri" w:hAnsi="Calibri" w:cs="Calibri"/>
          <w:shd w:val="clear" w:color="auto" w:fill="FBFBFB"/>
        </w:rPr>
        <w:t>Kakabadse</w:t>
      </w:r>
      <w:proofErr w:type="spellEnd"/>
      <w:r w:rsidRPr="00AA421B">
        <w:rPr>
          <w:rFonts w:ascii="Calibri" w:hAnsi="Calibri" w:cs="Calibri"/>
          <w:shd w:val="clear" w:color="auto" w:fill="FBFBFB"/>
        </w:rPr>
        <w:t>, A. (2023) 'Engaged employees likely work at least two days a week onsite', </w:t>
      </w:r>
      <w:r w:rsidRPr="00AA421B">
        <w:rPr>
          <w:rFonts w:ascii="Calibri" w:hAnsi="Calibri" w:cs="Calibri"/>
          <w:i/>
          <w:iCs/>
          <w:shd w:val="clear" w:color="auto" w:fill="FBFBFB"/>
        </w:rPr>
        <w:t>People Management</w:t>
      </w:r>
      <w:r w:rsidRPr="00AA421B">
        <w:rPr>
          <w:rFonts w:ascii="Calibri" w:hAnsi="Calibri" w:cs="Calibri"/>
          <w:shd w:val="clear" w:color="auto" w:fill="FBFBFB"/>
        </w:rPr>
        <w:t>, pp. 23.</w:t>
      </w:r>
    </w:p>
    <w:p w14:paraId="13459D9B" w14:textId="2828DA80" w:rsidR="00C86224" w:rsidRPr="00C86224" w:rsidRDefault="00C86224" w:rsidP="005A107B">
      <w:pPr>
        <w:widowControl w:val="0"/>
        <w:autoSpaceDE w:val="0"/>
        <w:autoSpaceDN w:val="0"/>
        <w:spacing w:before="162" w:after="0" w:line="276" w:lineRule="auto"/>
        <w:ind w:right="283"/>
        <w:jc w:val="both"/>
      </w:pPr>
      <w:r w:rsidRPr="0081066D">
        <w:t xml:space="preserve">Kirkpatrick, J.D and Kirkpatrick, W.K. (2016) </w:t>
      </w:r>
      <w:r w:rsidRPr="0081066D">
        <w:rPr>
          <w:i/>
          <w:iCs/>
        </w:rPr>
        <w:t xml:space="preserve">Kirkpatrick's Four Levels of Training Evaluation. </w:t>
      </w:r>
      <w:r w:rsidRPr="0081066D">
        <w:t>United States:</w:t>
      </w:r>
      <w:r w:rsidRPr="0081066D">
        <w:rPr>
          <w:i/>
          <w:iCs/>
        </w:rPr>
        <w:t xml:space="preserve"> </w:t>
      </w:r>
      <w:r w:rsidRPr="0081066D">
        <w:t xml:space="preserve">Association for Talent Development. </w:t>
      </w:r>
    </w:p>
    <w:p w14:paraId="30E4F96F" w14:textId="0A4F2C8B" w:rsidR="00097C81" w:rsidRPr="00E258E6" w:rsidRDefault="00D865D5" w:rsidP="008F38C4">
      <w:pPr>
        <w:widowControl w:val="0"/>
        <w:autoSpaceDE w:val="0"/>
        <w:autoSpaceDN w:val="0"/>
        <w:spacing w:before="162" w:after="0" w:line="276" w:lineRule="auto"/>
        <w:ind w:right="283"/>
      </w:pPr>
      <w:proofErr w:type="spellStart"/>
      <w:r w:rsidRPr="00E258E6">
        <w:rPr>
          <w:rFonts w:ascii="Calibri" w:hAnsi="Calibri" w:cs="Calibri"/>
        </w:rPr>
        <w:t>Kivunja</w:t>
      </w:r>
      <w:proofErr w:type="spellEnd"/>
      <w:r w:rsidRPr="00E258E6">
        <w:rPr>
          <w:rFonts w:ascii="Calibri" w:hAnsi="Calibri" w:cs="Calibri"/>
        </w:rPr>
        <w:t xml:space="preserve">, C. (2015) ‘Using De Bono’s Six Thinking Hats Model to Teach Critical Thinking and </w:t>
      </w:r>
      <w:proofErr w:type="gramStart"/>
      <w:r w:rsidRPr="00E258E6">
        <w:rPr>
          <w:rFonts w:ascii="Calibri" w:hAnsi="Calibri" w:cs="Calibri"/>
        </w:rPr>
        <w:t>Problem Solving</w:t>
      </w:r>
      <w:proofErr w:type="gramEnd"/>
      <w:r w:rsidRPr="00E258E6">
        <w:rPr>
          <w:rFonts w:ascii="Calibri" w:hAnsi="Calibri" w:cs="Calibri"/>
        </w:rPr>
        <w:t xml:space="preserve"> Skills Essential for Success in the 21st Century Economy’, </w:t>
      </w:r>
      <w:r w:rsidRPr="00F97EED">
        <w:rPr>
          <w:rFonts w:ascii="Calibri" w:hAnsi="Calibri" w:cs="Calibri"/>
          <w:i/>
        </w:rPr>
        <w:t>Creative Education</w:t>
      </w:r>
      <w:r w:rsidRPr="00E258E6">
        <w:rPr>
          <w:rFonts w:ascii="Calibri" w:hAnsi="Calibri" w:cs="Calibri"/>
        </w:rPr>
        <w:t xml:space="preserve">, 6(3). </w:t>
      </w:r>
      <w:r w:rsidR="00F97EED">
        <w:rPr>
          <w:rFonts w:ascii="Calibri" w:hAnsi="Calibri" w:cs="Calibri"/>
        </w:rPr>
        <w:t>p</w:t>
      </w:r>
      <w:r w:rsidR="00E258E6" w:rsidRPr="00E258E6">
        <w:rPr>
          <w:rFonts w:ascii="Calibri" w:hAnsi="Calibri" w:cs="Calibri"/>
        </w:rPr>
        <w:t xml:space="preserve">p. 380-391. </w:t>
      </w:r>
      <w:r w:rsidRPr="00E258E6">
        <w:rPr>
          <w:rFonts w:ascii="Calibri" w:hAnsi="Calibri" w:cs="Calibri"/>
        </w:rPr>
        <w:t xml:space="preserve">Available at: </w:t>
      </w:r>
      <w:hyperlink r:id="rId54" w:history="1">
        <w:r w:rsidR="00097C81" w:rsidRPr="00E258E6">
          <w:rPr>
            <w:rStyle w:val="Hyperlink"/>
            <w:rFonts w:ascii="Calibri" w:hAnsi="Calibri" w:cs="Calibri"/>
            <w:color w:val="auto"/>
            <w:u w:val="none"/>
          </w:rPr>
          <w:t>http://dx.doi.org/10.4236/ce.2015.63037</w:t>
        </w:r>
      </w:hyperlink>
      <w:r w:rsidRPr="00E258E6">
        <w:rPr>
          <w:rFonts w:ascii="Calibri" w:hAnsi="Calibri" w:cs="Calibri"/>
        </w:rPr>
        <w:t>.</w:t>
      </w:r>
    </w:p>
    <w:p w14:paraId="0A49C00B" w14:textId="472B8F9E" w:rsidR="009059B5" w:rsidRDefault="00D865D5" w:rsidP="009059B5">
      <w:pPr>
        <w:widowControl w:val="0"/>
        <w:autoSpaceDE w:val="0"/>
        <w:autoSpaceDN w:val="0"/>
        <w:spacing w:before="162" w:after="0" w:line="276" w:lineRule="auto"/>
        <w:ind w:right="283"/>
        <w:rPr>
          <w:rFonts w:ascii="Calibri" w:hAnsi="Calibri" w:cs="Calibri"/>
        </w:rPr>
      </w:pPr>
      <w:r w:rsidRPr="00880DD9">
        <w:rPr>
          <w:rFonts w:ascii="Calibri" w:hAnsi="Calibri" w:cs="Calibri"/>
        </w:rPr>
        <w:t>Lau, J</w:t>
      </w:r>
      <w:r w:rsidR="00A72DFD" w:rsidRPr="00880DD9">
        <w:rPr>
          <w:rFonts w:ascii="Calibri" w:hAnsi="Calibri" w:cs="Calibri"/>
        </w:rPr>
        <w:t>.</w:t>
      </w:r>
      <w:r w:rsidRPr="00880DD9">
        <w:rPr>
          <w:rFonts w:ascii="Calibri" w:hAnsi="Calibri" w:cs="Calibri"/>
        </w:rPr>
        <w:t xml:space="preserve"> (201</w:t>
      </w:r>
      <w:r w:rsidR="00A72DFD" w:rsidRPr="00880DD9">
        <w:rPr>
          <w:rFonts w:ascii="Calibri" w:hAnsi="Calibri" w:cs="Calibri"/>
        </w:rPr>
        <w:t>1</w:t>
      </w:r>
      <w:r w:rsidRPr="00880DD9">
        <w:rPr>
          <w:rFonts w:ascii="Calibri" w:hAnsi="Calibri" w:cs="Calibri"/>
        </w:rPr>
        <w:t xml:space="preserve">) </w:t>
      </w:r>
      <w:r w:rsidRPr="00880DD9">
        <w:rPr>
          <w:rFonts w:ascii="Calibri" w:hAnsi="Calibri" w:cs="Calibri"/>
          <w:i/>
          <w:iCs/>
        </w:rPr>
        <w:t>A</w:t>
      </w:r>
      <w:r w:rsidR="00A72DFD" w:rsidRPr="00880DD9">
        <w:rPr>
          <w:rFonts w:ascii="Calibri" w:hAnsi="Calibri" w:cs="Calibri"/>
          <w:i/>
          <w:iCs/>
        </w:rPr>
        <w:t>n introduction to Critical Thinking and Creativity: Think More, Think Better</w:t>
      </w:r>
      <w:r w:rsidR="00A72DFD" w:rsidRPr="00880DD9">
        <w:rPr>
          <w:rFonts w:ascii="Calibri" w:hAnsi="Calibri" w:cs="Calibri"/>
        </w:rPr>
        <w:t>. New Jersey: John Wiley and Sons.</w:t>
      </w:r>
    </w:p>
    <w:p w14:paraId="6D316CE6" w14:textId="157EABAF" w:rsidR="00354975" w:rsidRPr="00255251" w:rsidRDefault="00354975" w:rsidP="009059B5">
      <w:pPr>
        <w:widowControl w:val="0"/>
        <w:autoSpaceDE w:val="0"/>
        <w:autoSpaceDN w:val="0"/>
        <w:spacing w:before="162" w:after="0" w:line="276" w:lineRule="auto"/>
        <w:ind w:right="283"/>
        <w:rPr>
          <w:rFonts w:ascii="Calibri" w:hAnsi="Calibri" w:cs="Calibri"/>
          <w:color w:val="FF0000"/>
        </w:rPr>
      </w:pPr>
      <w:r w:rsidRPr="005A107B">
        <w:rPr>
          <w:rFonts w:ascii="Calibri" w:hAnsi="Calibri" w:cs="Calibri"/>
        </w:rPr>
        <w:t xml:space="preserve">Lucy, D., Mason, B., Sinclair, A., Bosley, A. and Gifford, J. (2023) </w:t>
      </w:r>
      <w:r w:rsidRPr="005A107B">
        <w:rPr>
          <w:rFonts w:ascii="Calibri" w:hAnsi="Calibri" w:cs="Calibri"/>
          <w:i/>
        </w:rPr>
        <w:t>Fair selection: An evidence review. Practical summary and recommendations</w:t>
      </w:r>
      <w:r w:rsidR="005A107B" w:rsidRPr="005A107B">
        <w:rPr>
          <w:rFonts w:ascii="Calibri" w:hAnsi="Calibri" w:cs="Calibri"/>
          <w:i/>
        </w:rPr>
        <w:t xml:space="preserve">. </w:t>
      </w:r>
      <w:r w:rsidR="005A107B" w:rsidRPr="005A107B">
        <w:rPr>
          <w:rFonts w:ascii="Calibri" w:hAnsi="Calibri" w:cs="Calibri"/>
          <w:iCs/>
        </w:rPr>
        <w:t>Available at:</w:t>
      </w:r>
      <w:r w:rsidR="00F97EED" w:rsidRPr="005A107B">
        <w:rPr>
          <w:rFonts w:ascii="Calibri" w:hAnsi="Calibri" w:cs="Calibri"/>
        </w:rPr>
        <w:t xml:space="preserve"> </w:t>
      </w:r>
      <w:hyperlink r:id="rId55" w:history="1">
        <w:r w:rsidR="005A107B" w:rsidRPr="005A107B">
          <w:rPr>
            <w:rStyle w:val="Hyperlink"/>
            <w:rFonts w:ascii="Calibri" w:hAnsi="Calibri" w:cs="Calibri"/>
            <w:color w:val="auto"/>
            <w:u w:val="none"/>
          </w:rPr>
          <w:t>https://www.cipd.org/globalassets/media/knowledge/knowledge-hub/evidence-reviews/2023-</w:t>
        </w:r>
        <w:r w:rsidR="005A107B" w:rsidRPr="005A107B">
          <w:rPr>
            <w:rStyle w:val="Hyperlink"/>
            <w:rFonts w:ascii="Calibri" w:hAnsi="Calibri" w:cs="Calibri"/>
            <w:color w:val="auto"/>
            <w:u w:val="none"/>
          </w:rPr>
          <w:lastRenderedPageBreak/>
          <w:t>pdfs/fair-selection-evidence-practice-summary_tcm18-114569.pdf</w:t>
        </w:r>
      </w:hyperlink>
      <w:r w:rsidR="005A107B">
        <w:rPr>
          <w:rFonts w:ascii="Calibri" w:hAnsi="Calibri" w:cs="Calibri"/>
          <w:color w:val="FF0000"/>
        </w:rPr>
        <w:t xml:space="preserve"> </w:t>
      </w:r>
      <w:r w:rsidR="005A107B" w:rsidRPr="00922138">
        <w:rPr>
          <w:rFonts w:ascii="Calibri" w:hAnsi="Calibri" w:cs="Calibri"/>
        </w:rPr>
        <w:t xml:space="preserve">(Accessed: </w:t>
      </w:r>
      <w:r w:rsidR="00922138" w:rsidRPr="00922138">
        <w:rPr>
          <w:rFonts w:ascii="Calibri" w:hAnsi="Calibri" w:cs="Calibri"/>
        </w:rPr>
        <w:t>25 November 2023).</w:t>
      </w:r>
    </w:p>
    <w:p w14:paraId="200C0305" w14:textId="1FF392D1" w:rsidR="009059B5" w:rsidRDefault="009059B5" w:rsidP="008F38C4">
      <w:pPr>
        <w:widowControl w:val="0"/>
        <w:autoSpaceDE w:val="0"/>
        <w:autoSpaceDN w:val="0"/>
        <w:spacing w:before="162" w:after="0" w:line="276" w:lineRule="auto"/>
        <w:ind w:right="283"/>
        <w:rPr>
          <w:rFonts w:ascii="Calibri" w:hAnsi="Calibri" w:cs="Calibri"/>
          <w:color w:val="FF0000"/>
        </w:rPr>
      </w:pPr>
      <w:r w:rsidRPr="004A39A0">
        <w:rPr>
          <w:rFonts w:ascii="Calibri" w:hAnsi="Calibri" w:cs="Calibri"/>
          <w:color w:val="212121"/>
          <w:shd w:val="clear" w:color="auto" w:fill="FFFFFF"/>
        </w:rPr>
        <w:t>Mandal</w:t>
      </w:r>
      <w:r>
        <w:rPr>
          <w:rFonts w:ascii="Calibri" w:hAnsi="Calibri" w:cs="Calibri"/>
          <w:color w:val="212121"/>
          <w:shd w:val="clear" w:color="auto" w:fill="FFFFFF"/>
        </w:rPr>
        <w:t>,</w:t>
      </w:r>
      <w:r w:rsidRPr="004A39A0">
        <w:rPr>
          <w:rFonts w:ascii="Calibri" w:hAnsi="Calibri" w:cs="Calibri"/>
          <w:color w:val="212121"/>
          <w:shd w:val="clear" w:color="auto" w:fill="FFFFFF"/>
        </w:rPr>
        <w:t xml:space="preserve"> J</w:t>
      </w:r>
      <w:r>
        <w:rPr>
          <w:rFonts w:ascii="Calibri" w:hAnsi="Calibri" w:cs="Calibri"/>
          <w:color w:val="212121"/>
          <w:shd w:val="clear" w:color="auto" w:fill="FFFFFF"/>
        </w:rPr>
        <w:t>.</w:t>
      </w:r>
      <w:r w:rsidRPr="004A39A0">
        <w:rPr>
          <w:rFonts w:ascii="Calibri" w:hAnsi="Calibri" w:cs="Calibri"/>
          <w:color w:val="212121"/>
          <w:shd w:val="clear" w:color="auto" w:fill="FFFFFF"/>
        </w:rPr>
        <w:t xml:space="preserve">, </w:t>
      </w:r>
      <w:proofErr w:type="spellStart"/>
      <w:r w:rsidRPr="004A39A0">
        <w:rPr>
          <w:rFonts w:ascii="Calibri" w:hAnsi="Calibri" w:cs="Calibri"/>
          <w:color w:val="212121"/>
          <w:shd w:val="clear" w:color="auto" w:fill="FFFFFF"/>
        </w:rPr>
        <w:t>Ponnambath</w:t>
      </w:r>
      <w:proofErr w:type="spellEnd"/>
      <w:r>
        <w:rPr>
          <w:rFonts w:ascii="Calibri" w:hAnsi="Calibri" w:cs="Calibri"/>
          <w:color w:val="212121"/>
          <w:shd w:val="clear" w:color="auto" w:fill="FFFFFF"/>
        </w:rPr>
        <w:t>,</w:t>
      </w:r>
      <w:r w:rsidRPr="004A39A0">
        <w:rPr>
          <w:rFonts w:ascii="Calibri" w:hAnsi="Calibri" w:cs="Calibri"/>
          <w:color w:val="212121"/>
          <w:shd w:val="clear" w:color="auto" w:fill="FFFFFF"/>
        </w:rPr>
        <w:t xml:space="preserve"> D</w:t>
      </w:r>
      <w:r>
        <w:rPr>
          <w:rFonts w:ascii="Calibri" w:hAnsi="Calibri" w:cs="Calibri"/>
          <w:color w:val="212121"/>
          <w:shd w:val="clear" w:color="auto" w:fill="FFFFFF"/>
        </w:rPr>
        <w:t>.</w:t>
      </w:r>
      <w:r w:rsidRPr="004A39A0">
        <w:rPr>
          <w:rFonts w:ascii="Calibri" w:hAnsi="Calibri" w:cs="Calibri"/>
          <w:color w:val="212121"/>
          <w:shd w:val="clear" w:color="auto" w:fill="FFFFFF"/>
        </w:rPr>
        <w:t>K</w:t>
      </w:r>
      <w:r>
        <w:rPr>
          <w:rFonts w:ascii="Calibri" w:hAnsi="Calibri" w:cs="Calibri"/>
          <w:color w:val="212121"/>
          <w:shd w:val="clear" w:color="auto" w:fill="FFFFFF"/>
        </w:rPr>
        <w:t>.</w:t>
      </w:r>
      <w:r w:rsidRPr="004A39A0">
        <w:rPr>
          <w:rFonts w:ascii="Calibri" w:hAnsi="Calibri" w:cs="Calibri"/>
          <w:color w:val="212121"/>
          <w:shd w:val="clear" w:color="auto" w:fill="FFFFFF"/>
        </w:rPr>
        <w:t xml:space="preserve">, </w:t>
      </w:r>
      <w:proofErr w:type="spellStart"/>
      <w:r w:rsidRPr="004A39A0">
        <w:rPr>
          <w:rFonts w:ascii="Calibri" w:hAnsi="Calibri" w:cs="Calibri"/>
          <w:color w:val="212121"/>
          <w:shd w:val="clear" w:color="auto" w:fill="FFFFFF"/>
        </w:rPr>
        <w:t>Parija</w:t>
      </w:r>
      <w:proofErr w:type="spellEnd"/>
      <w:r>
        <w:rPr>
          <w:rFonts w:ascii="Calibri" w:hAnsi="Calibri" w:cs="Calibri"/>
          <w:color w:val="212121"/>
          <w:shd w:val="clear" w:color="auto" w:fill="FFFFFF"/>
        </w:rPr>
        <w:t>,</w:t>
      </w:r>
      <w:r w:rsidRPr="004A39A0">
        <w:rPr>
          <w:rFonts w:ascii="Calibri" w:hAnsi="Calibri" w:cs="Calibri"/>
          <w:color w:val="212121"/>
          <w:shd w:val="clear" w:color="auto" w:fill="FFFFFF"/>
        </w:rPr>
        <w:t xml:space="preserve"> S</w:t>
      </w:r>
      <w:r>
        <w:rPr>
          <w:rFonts w:ascii="Calibri" w:hAnsi="Calibri" w:cs="Calibri"/>
          <w:color w:val="212121"/>
          <w:shd w:val="clear" w:color="auto" w:fill="FFFFFF"/>
        </w:rPr>
        <w:t>.</w:t>
      </w:r>
      <w:r w:rsidRPr="004A39A0">
        <w:rPr>
          <w:rFonts w:ascii="Calibri" w:hAnsi="Calibri" w:cs="Calibri"/>
          <w:color w:val="212121"/>
          <w:shd w:val="clear" w:color="auto" w:fill="FFFFFF"/>
        </w:rPr>
        <w:t>C.</w:t>
      </w:r>
      <w:r>
        <w:rPr>
          <w:rFonts w:ascii="Calibri" w:hAnsi="Calibri" w:cs="Calibri"/>
          <w:color w:val="212121"/>
          <w:shd w:val="clear" w:color="auto" w:fill="FFFFFF"/>
        </w:rPr>
        <w:t xml:space="preserve"> (2016)</w:t>
      </w:r>
      <w:r w:rsidRPr="004A39A0">
        <w:rPr>
          <w:rFonts w:ascii="Calibri" w:hAnsi="Calibri" w:cs="Calibri"/>
          <w:color w:val="212121"/>
          <w:shd w:val="clear" w:color="auto" w:fill="FFFFFF"/>
        </w:rPr>
        <w:t xml:space="preserve"> </w:t>
      </w:r>
      <w:r w:rsidR="00F97EED">
        <w:rPr>
          <w:rFonts w:ascii="Calibri" w:hAnsi="Calibri" w:cs="Calibri"/>
          <w:color w:val="212121"/>
          <w:shd w:val="clear" w:color="auto" w:fill="FFFFFF"/>
        </w:rPr>
        <w:t>‘</w:t>
      </w:r>
      <w:r w:rsidRPr="004A39A0">
        <w:rPr>
          <w:rFonts w:ascii="Calibri" w:hAnsi="Calibri" w:cs="Calibri"/>
          <w:color w:val="212121"/>
          <w:shd w:val="clear" w:color="auto" w:fill="FFFFFF"/>
        </w:rPr>
        <w:t>Utilitarian and deontological ethics in medicine</w:t>
      </w:r>
      <w:r w:rsidR="00F97EED">
        <w:rPr>
          <w:rFonts w:ascii="Calibri" w:hAnsi="Calibri" w:cs="Calibri"/>
          <w:color w:val="212121"/>
          <w:shd w:val="clear" w:color="auto" w:fill="FFFFFF"/>
        </w:rPr>
        <w:t>’,</w:t>
      </w:r>
      <w:r w:rsidRPr="004A39A0">
        <w:rPr>
          <w:rFonts w:ascii="Calibri" w:hAnsi="Calibri" w:cs="Calibri"/>
          <w:color w:val="212121"/>
          <w:shd w:val="clear" w:color="auto" w:fill="FFFFFF"/>
        </w:rPr>
        <w:t xml:space="preserve"> </w:t>
      </w:r>
      <w:r w:rsidRPr="004A39A0">
        <w:rPr>
          <w:rFonts w:ascii="Calibri" w:hAnsi="Calibri" w:cs="Calibri"/>
          <w:i/>
          <w:iCs/>
          <w:color w:val="212121"/>
          <w:shd w:val="clear" w:color="auto" w:fill="FFFFFF"/>
        </w:rPr>
        <w:t>Trop Parasitology</w:t>
      </w:r>
      <w:r>
        <w:rPr>
          <w:rFonts w:ascii="Calibri" w:hAnsi="Calibri" w:cs="Calibri"/>
          <w:color w:val="212121"/>
          <w:shd w:val="clear" w:color="auto" w:fill="FFFFFF"/>
        </w:rPr>
        <w:t>,</w:t>
      </w:r>
      <w:r w:rsidRPr="004A39A0">
        <w:rPr>
          <w:rFonts w:ascii="Calibri" w:hAnsi="Calibri" w:cs="Calibri"/>
          <w:color w:val="212121"/>
          <w:shd w:val="clear" w:color="auto" w:fill="FFFFFF"/>
        </w:rPr>
        <w:t xml:space="preserve"> 6(1)</w:t>
      </w:r>
      <w:r>
        <w:rPr>
          <w:rFonts w:ascii="Calibri" w:hAnsi="Calibri" w:cs="Calibri"/>
          <w:color w:val="212121"/>
          <w:shd w:val="clear" w:color="auto" w:fill="FFFFFF"/>
        </w:rPr>
        <w:t xml:space="preserve">, pp. </w:t>
      </w:r>
      <w:r w:rsidRPr="004A39A0">
        <w:rPr>
          <w:rFonts w:ascii="Calibri" w:hAnsi="Calibri" w:cs="Calibri"/>
          <w:color w:val="212121"/>
          <w:shd w:val="clear" w:color="auto" w:fill="FFFFFF"/>
        </w:rPr>
        <w:t xml:space="preserve">5-7. </w:t>
      </w:r>
      <w:r>
        <w:rPr>
          <w:rFonts w:ascii="Calibri" w:hAnsi="Calibri" w:cs="Calibri"/>
          <w:color w:val="212121"/>
          <w:shd w:val="clear" w:color="auto" w:fill="FFFFFF"/>
        </w:rPr>
        <w:t xml:space="preserve">Available at: </w:t>
      </w:r>
      <w:proofErr w:type="spellStart"/>
      <w:r w:rsidRPr="004A39A0">
        <w:rPr>
          <w:rFonts w:ascii="Calibri" w:hAnsi="Calibri" w:cs="Calibri"/>
          <w:color w:val="212121"/>
          <w:shd w:val="clear" w:color="auto" w:fill="FFFFFF"/>
        </w:rPr>
        <w:t>doi</w:t>
      </w:r>
      <w:proofErr w:type="spellEnd"/>
      <w:r w:rsidRPr="004A39A0">
        <w:rPr>
          <w:rFonts w:ascii="Calibri" w:hAnsi="Calibri" w:cs="Calibri"/>
          <w:color w:val="212121"/>
          <w:shd w:val="clear" w:color="auto" w:fill="FFFFFF"/>
        </w:rPr>
        <w:t xml:space="preserve">: 10.4103/2229-5070.175024. </w:t>
      </w:r>
    </w:p>
    <w:p w14:paraId="7740C282" w14:textId="577E7012" w:rsidR="00A14034" w:rsidRDefault="00A14034" w:rsidP="009713BF">
      <w:pPr>
        <w:widowControl w:val="0"/>
        <w:autoSpaceDE w:val="0"/>
        <w:autoSpaceDN w:val="0"/>
        <w:spacing w:before="162" w:after="0" w:line="276" w:lineRule="auto"/>
        <w:ind w:right="283"/>
        <w:jc w:val="both"/>
        <w:rPr>
          <w:rFonts w:ascii="Calibri" w:hAnsi="Calibri" w:cs="Calibri"/>
        </w:rPr>
      </w:pPr>
      <w:r w:rsidRPr="00E96D41">
        <w:rPr>
          <w:rFonts w:ascii="Calibri" w:hAnsi="Calibri" w:cs="Calibri"/>
        </w:rPr>
        <w:t xml:space="preserve">Markopoulos, E., </w:t>
      </w:r>
      <w:proofErr w:type="spellStart"/>
      <w:r w:rsidRPr="00E96D41">
        <w:rPr>
          <w:rFonts w:ascii="Calibri" w:hAnsi="Calibri" w:cs="Calibri"/>
        </w:rPr>
        <w:t>Refflinghaus</w:t>
      </w:r>
      <w:proofErr w:type="spellEnd"/>
      <w:r w:rsidRPr="00E96D41">
        <w:rPr>
          <w:rFonts w:ascii="Calibri" w:hAnsi="Calibri" w:cs="Calibri"/>
        </w:rPr>
        <w:t xml:space="preserve">, J., </w:t>
      </w:r>
      <w:proofErr w:type="spellStart"/>
      <w:r w:rsidRPr="00E96D41">
        <w:rPr>
          <w:rFonts w:ascii="Calibri" w:hAnsi="Calibri" w:cs="Calibri"/>
        </w:rPr>
        <w:t>Roell</w:t>
      </w:r>
      <w:proofErr w:type="spellEnd"/>
      <w:r w:rsidRPr="00E96D41">
        <w:rPr>
          <w:rFonts w:ascii="Calibri" w:hAnsi="Calibri" w:cs="Calibri"/>
        </w:rPr>
        <w:t xml:space="preserve">, M. and </w:t>
      </w:r>
      <w:proofErr w:type="spellStart"/>
      <w:r w:rsidRPr="00E96D41">
        <w:rPr>
          <w:rFonts w:ascii="Calibri" w:hAnsi="Calibri" w:cs="Calibri"/>
        </w:rPr>
        <w:t>Vanharanta</w:t>
      </w:r>
      <w:proofErr w:type="spellEnd"/>
      <w:r w:rsidRPr="00E96D41">
        <w:rPr>
          <w:rFonts w:ascii="Calibri" w:hAnsi="Calibri" w:cs="Calibri"/>
        </w:rPr>
        <w:t xml:space="preserve">, H. (2022) ‘Understanding </w:t>
      </w:r>
      <w:proofErr w:type="spellStart"/>
      <w:r w:rsidRPr="00E96D41">
        <w:rPr>
          <w:rFonts w:ascii="Calibri" w:hAnsi="Calibri" w:cs="Calibri"/>
        </w:rPr>
        <w:t>Situationality</w:t>
      </w:r>
      <w:proofErr w:type="spellEnd"/>
      <w:r w:rsidRPr="00E96D41">
        <w:rPr>
          <w:rFonts w:ascii="Calibri" w:hAnsi="Calibri" w:cs="Calibri"/>
        </w:rPr>
        <w:t xml:space="preserve"> Using the Kepner-Tregoe Problem Solving Method in the Company Democracy Model to Increase Employee Engagement and Knowledge Contribution’, </w:t>
      </w:r>
      <w:r w:rsidRPr="00E96D41">
        <w:rPr>
          <w:rFonts w:ascii="Calibri" w:hAnsi="Calibri" w:cs="Calibri"/>
          <w:i/>
          <w:iCs/>
        </w:rPr>
        <w:t>Creativity, Innovation and Entrepreneurship</w:t>
      </w:r>
      <w:r w:rsidRPr="00E96D41">
        <w:rPr>
          <w:rFonts w:ascii="Calibri" w:hAnsi="Calibri" w:cs="Calibri"/>
        </w:rPr>
        <w:t xml:space="preserve">, </w:t>
      </w:r>
      <w:r w:rsidRPr="00E96D41">
        <w:rPr>
          <w:rFonts w:ascii="Calibri" w:hAnsi="Calibri" w:cs="Calibri"/>
          <w:color w:val="222222"/>
          <w:shd w:val="clear" w:color="auto" w:fill="FFFFFF"/>
        </w:rPr>
        <w:t xml:space="preserve">31, pp. 196-207. Available at: </w:t>
      </w:r>
      <w:hyperlink r:id="rId56" w:history="1">
        <w:r w:rsidR="009713BF" w:rsidRPr="00822969">
          <w:rPr>
            <w:rStyle w:val="Hyperlink"/>
            <w:rFonts w:ascii="Calibri" w:hAnsi="Calibri" w:cs="Calibri"/>
            <w:color w:val="auto"/>
            <w:u w:val="none"/>
          </w:rPr>
          <w:t>https://doi.org/10.54941/ahfe1001522</w:t>
        </w:r>
      </w:hyperlink>
      <w:r w:rsidRPr="00822969">
        <w:rPr>
          <w:rFonts w:ascii="Calibri" w:hAnsi="Calibri" w:cs="Calibri"/>
        </w:rPr>
        <w:t>.</w:t>
      </w:r>
    </w:p>
    <w:p w14:paraId="289E430C" w14:textId="03AE3996" w:rsidR="009059B5" w:rsidRPr="00854DDD" w:rsidRDefault="009059B5" w:rsidP="009059B5">
      <w:pPr>
        <w:widowControl w:val="0"/>
        <w:autoSpaceDE w:val="0"/>
        <w:autoSpaceDN w:val="0"/>
        <w:spacing w:before="162" w:after="0" w:line="276" w:lineRule="auto"/>
        <w:ind w:right="283"/>
        <w:jc w:val="both"/>
        <w:rPr>
          <w:rFonts w:ascii="Calibri" w:eastAsia="Arial" w:hAnsi="Calibri" w:cs="Calibri"/>
          <w:sz w:val="20"/>
          <w:szCs w:val="20"/>
        </w:rPr>
      </w:pPr>
      <w:r w:rsidRPr="00854DDD">
        <w:rPr>
          <w:rFonts w:ascii="Calibri" w:hAnsi="Calibri" w:cs="Calibri"/>
          <w:shd w:val="clear" w:color="auto" w:fill="FFFFFF"/>
        </w:rPr>
        <w:t>Marr, B. (2012) </w:t>
      </w:r>
      <w:r w:rsidRPr="00854DDD">
        <w:rPr>
          <w:rFonts w:ascii="Calibri" w:hAnsi="Calibri" w:cs="Calibri"/>
          <w:i/>
          <w:iCs/>
          <w:shd w:val="clear" w:color="auto" w:fill="FFFFFF"/>
        </w:rPr>
        <w:t xml:space="preserve">Key performance </w:t>
      </w:r>
      <w:proofErr w:type="gramStart"/>
      <w:r w:rsidRPr="00854DDD">
        <w:rPr>
          <w:rFonts w:ascii="Calibri" w:hAnsi="Calibri" w:cs="Calibri"/>
          <w:i/>
          <w:iCs/>
          <w:shd w:val="clear" w:color="auto" w:fill="FFFFFF"/>
        </w:rPr>
        <w:t>indicators :</w:t>
      </w:r>
      <w:proofErr w:type="gramEnd"/>
      <w:r w:rsidRPr="00854DDD">
        <w:rPr>
          <w:rFonts w:ascii="Calibri" w:hAnsi="Calibri" w:cs="Calibri"/>
          <w:i/>
          <w:iCs/>
          <w:shd w:val="clear" w:color="auto" w:fill="FFFFFF"/>
        </w:rPr>
        <w:t xml:space="preserve"> the 75 measures every manager needs to know</w:t>
      </w:r>
      <w:r w:rsidRPr="00854DDD">
        <w:rPr>
          <w:rFonts w:ascii="Calibri" w:hAnsi="Calibri" w:cs="Calibri"/>
          <w:shd w:val="clear" w:color="auto" w:fill="FFFFFF"/>
        </w:rPr>
        <w:t>. Great Britain: Pearson.</w:t>
      </w:r>
    </w:p>
    <w:p w14:paraId="4E738746" w14:textId="78BD9E1F" w:rsidR="009713BF" w:rsidRPr="00AD65D4" w:rsidRDefault="009713BF" w:rsidP="009713BF">
      <w:pPr>
        <w:widowControl w:val="0"/>
        <w:autoSpaceDE w:val="0"/>
        <w:autoSpaceDN w:val="0"/>
        <w:spacing w:before="162" w:after="0" w:line="276" w:lineRule="auto"/>
        <w:ind w:right="283"/>
        <w:rPr>
          <w:rStyle w:val="Hyperlink"/>
          <w:rFonts w:ascii="Calibri" w:hAnsi="Calibri" w:cs="Calibri"/>
          <w:color w:val="FF0000"/>
          <w:u w:val="none"/>
        </w:rPr>
      </w:pPr>
      <w:r w:rsidRPr="00AA421B">
        <w:rPr>
          <w:rFonts w:ascii="Calibri" w:hAnsi="Calibri" w:cs="Calibri"/>
        </w:rPr>
        <w:t xml:space="preserve">McCartney, C. (2018) Tackling racial disadvantages and discrimination in the workplace. Available at: </w:t>
      </w:r>
      <w:hyperlink r:id="rId57" w:history="1">
        <w:r w:rsidR="00FA7CF9" w:rsidRPr="00AA421B">
          <w:rPr>
            <w:rStyle w:val="Hyperlink"/>
            <w:rFonts w:ascii="Calibri" w:hAnsi="Calibri" w:cs="Calibri"/>
            <w:color w:val="auto"/>
            <w:u w:val="none"/>
          </w:rPr>
          <w:t>https://www.cipd.org/uk/views-and-insights/thought-leadership/cipd-voice/tackling-workplace-racial-disadvantages/</w:t>
        </w:r>
      </w:hyperlink>
      <w:r w:rsidR="00AD65D4" w:rsidRPr="00AD65D4">
        <w:rPr>
          <w:rStyle w:val="Hyperlink"/>
          <w:rFonts w:ascii="Calibri" w:hAnsi="Calibri" w:cs="Calibri"/>
          <w:color w:val="FF0000"/>
          <w:u w:val="none"/>
        </w:rPr>
        <w:t xml:space="preserve"> </w:t>
      </w:r>
      <w:r w:rsidR="00AD65D4" w:rsidRPr="00922138">
        <w:rPr>
          <w:rStyle w:val="Hyperlink"/>
          <w:rFonts w:ascii="Calibri" w:hAnsi="Calibri" w:cs="Calibri"/>
          <w:color w:val="auto"/>
          <w:u w:val="none"/>
        </w:rPr>
        <w:t xml:space="preserve">(Accessed: </w:t>
      </w:r>
      <w:r w:rsidR="00922138" w:rsidRPr="00922138">
        <w:rPr>
          <w:rStyle w:val="Hyperlink"/>
          <w:rFonts w:ascii="Calibri" w:hAnsi="Calibri" w:cs="Calibri"/>
          <w:color w:val="auto"/>
          <w:u w:val="none"/>
        </w:rPr>
        <w:t>25 November 2023).</w:t>
      </w:r>
    </w:p>
    <w:p w14:paraId="73DD256C" w14:textId="3BF6133D" w:rsidR="00354975" w:rsidRDefault="00354975" w:rsidP="009713BF">
      <w:pPr>
        <w:widowControl w:val="0"/>
        <w:autoSpaceDE w:val="0"/>
        <w:autoSpaceDN w:val="0"/>
        <w:spacing w:before="162" w:after="0" w:line="276" w:lineRule="auto"/>
        <w:ind w:right="283"/>
        <w:rPr>
          <w:rStyle w:val="Hyperlink"/>
          <w:rFonts w:ascii="Calibri" w:hAnsi="Calibri" w:cs="Calibri"/>
          <w:color w:val="auto"/>
          <w:u w:val="none"/>
        </w:rPr>
      </w:pPr>
      <w:r>
        <w:rPr>
          <w:rStyle w:val="Hyperlink"/>
          <w:rFonts w:ascii="Calibri" w:hAnsi="Calibri" w:cs="Calibri"/>
          <w:color w:val="auto"/>
          <w:u w:val="none"/>
        </w:rPr>
        <w:t xml:space="preserve">McCartney, C. (2023) </w:t>
      </w:r>
      <w:r w:rsidRPr="00255251">
        <w:rPr>
          <w:rStyle w:val="Hyperlink"/>
          <w:rFonts w:ascii="Calibri" w:hAnsi="Calibri" w:cs="Calibri"/>
          <w:i/>
          <w:color w:val="auto"/>
          <w:u w:val="none"/>
        </w:rPr>
        <w:t>Flexible working practices</w:t>
      </w:r>
      <w:r w:rsidR="00AD65D4" w:rsidRPr="00255251">
        <w:rPr>
          <w:rStyle w:val="Hyperlink"/>
          <w:rFonts w:ascii="Calibri" w:hAnsi="Calibri" w:cs="Calibri"/>
          <w:i/>
          <w:color w:val="auto"/>
          <w:u w:val="none"/>
        </w:rPr>
        <w:t>.</w:t>
      </w:r>
      <w:r w:rsidR="00AD65D4">
        <w:rPr>
          <w:rStyle w:val="Hyperlink"/>
          <w:rFonts w:ascii="Calibri" w:hAnsi="Calibri" w:cs="Calibri"/>
          <w:color w:val="auto"/>
          <w:u w:val="none"/>
        </w:rPr>
        <w:t xml:space="preserve"> Available at: </w:t>
      </w:r>
      <w:hyperlink r:id="rId58" w:history="1">
        <w:r w:rsidR="00AD65D4" w:rsidRPr="00AD65D4">
          <w:rPr>
            <w:rStyle w:val="Hyperlink"/>
            <w:rFonts w:ascii="Calibri" w:hAnsi="Calibri" w:cs="Calibri"/>
            <w:color w:val="auto"/>
            <w:u w:val="none"/>
          </w:rPr>
          <w:t>https://www.cipd.org/uk/knowledge/factsheets/flexible-working-factsheet/</w:t>
        </w:r>
      </w:hyperlink>
      <w:r w:rsidR="00AD65D4">
        <w:rPr>
          <w:rStyle w:val="Hyperlink"/>
          <w:rFonts w:ascii="Calibri" w:hAnsi="Calibri" w:cs="Calibri"/>
          <w:color w:val="auto"/>
          <w:u w:val="none"/>
        </w:rPr>
        <w:t xml:space="preserve"> (Accessed: 28 November 2023).</w:t>
      </w:r>
    </w:p>
    <w:p w14:paraId="23FA39F1" w14:textId="3BEB7EFD" w:rsidR="00C86224" w:rsidRPr="00C86224" w:rsidRDefault="00C86224" w:rsidP="0095432A">
      <w:pPr>
        <w:widowControl w:val="0"/>
        <w:autoSpaceDE w:val="0"/>
        <w:autoSpaceDN w:val="0"/>
        <w:spacing w:before="162" w:after="0" w:line="276" w:lineRule="auto"/>
        <w:ind w:right="283"/>
      </w:pPr>
      <w:r w:rsidRPr="005B54C8">
        <w:t>MindTools</w:t>
      </w:r>
      <w:r w:rsidR="00255251">
        <w:t>.</w:t>
      </w:r>
      <w:r w:rsidRPr="005B54C8">
        <w:t xml:space="preserve"> (2023) </w:t>
      </w:r>
      <w:r w:rsidRPr="00255251">
        <w:rPr>
          <w:i/>
        </w:rPr>
        <w:t>Kirkpatrick’s Model.</w:t>
      </w:r>
      <w:r w:rsidRPr="005B54C8">
        <w:t xml:space="preserve"> Available at: </w:t>
      </w:r>
      <w:hyperlink r:id="rId59" w:history="1">
        <w:r w:rsidRPr="00C86224">
          <w:rPr>
            <w:rStyle w:val="Hyperlink"/>
            <w:color w:val="auto"/>
            <w:u w:val="none"/>
          </w:rPr>
          <w:t>https://www.mindtools.com/ak1yhhs/kirkpatricks-four-level-training-evaluation-model</w:t>
        </w:r>
      </w:hyperlink>
      <w:r w:rsidRPr="00C86224">
        <w:t xml:space="preserve"> (Accessed: 11/11/23).</w:t>
      </w:r>
    </w:p>
    <w:p w14:paraId="68B90133" w14:textId="0DDCCED7" w:rsidR="00097C81" w:rsidRDefault="002C05FC" w:rsidP="008F38C4">
      <w:pPr>
        <w:widowControl w:val="0"/>
        <w:autoSpaceDE w:val="0"/>
        <w:autoSpaceDN w:val="0"/>
        <w:spacing w:before="162" w:after="0" w:line="276" w:lineRule="auto"/>
        <w:ind w:right="283"/>
      </w:pPr>
      <w:proofErr w:type="spellStart"/>
      <w:r>
        <w:t>Phellas</w:t>
      </w:r>
      <w:proofErr w:type="spellEnd"/>
      <w:r>
        <w:t xml:space="preserve">, C.N., Bloch, A. and Seale, C (2012) ‘Structured Methods: Interviews, Questionnaires and Observation’, </w:t>
      </w:r>
      <w:r w:rsidR="00BB1C6C">
        <w:t xml:space="preserve">in </w:t>
      </w:r>
      <w:r>
        <w:t>Seale, C</w:t>
      </w:r>
      <w:r w:rsidR="00BB1C6C">
        <w:t>.</w:t>
      </w:r>
      <w:r>
        <w:t xml:space="preserve"> (eds) </w:t>
      </w:r>
      <w:r w:rsidRPr="00A15B49">
        <w:rPr>
          <w:i/>
          <w:iCs/>
        </w:rPr>
        <w:t>Researching Society and Culture</w:t>
      </w:r>
      <w:r>
        <w:rPr>
          <w:i/>
          <w:iCs/>
        </w:rPr>
        <w:t xml:space="preserve">. </w:t>
      </w:r>
      <w:r>
        <w:t xml:space="preserve">3rd </w:t>
      </w:r>
      <w:proofErr w:type="spellStart"/>
      <w:r>
        <w:t>edn</w:t>
      </w:r>
      <w:proofErr w:type="spellEnd"/>
      <w:r>
        <w:t>. London: Sage Publications Ltd, pp. 181- 202.</w:t>
      </w:r>
    </w:p>
    <w:p w14:paraId="7BEAF0B9" w14:textId="2B72FC14" w:rsidR="00097C81" w:rsidRPr="00922138" w:rsidRDefault="00D865D5" w:rsidP="008F38C4">
      <w:pPr>
        <w:widowControl w:val="0"/>
        <w:autoSpaceDE w:val="0"/>
        <w:autoSpaceDN w:val="0"/>
        <w:spacing w:before="162" w:after="0" w:line="276" w:lineRule="auto"/>
        <w:ind w:right="283"/>
      </w:pPr>
      <w:r w:rsidRPr="00922138">
        <w:rPr>
          <w:rFonts w:ascii="Calibri" w:hAnsi="Calibri" w:cs="Calibri"/>
          <w:shd w:val="clear" w:color="auto" w:fill="FFFFFF"/>
        </w:rPr>
        <w:t xml:space="preserve">Roper, I., </w:t>
      </w:r>
      <w:proofErr w:type="spellStart"/>
      <w:r w:rsidRPr="00922138">
        <w:rPr>
          <w:rFonts w:ascii="Calibri" w:hAnsi="Calibri" w:cs="Calibri"/>
          <w:shd w:val="clear" w:color="auto" w:fill="FFFFFF"/>
        </w:rPr>
        <w:t>Chatrakul</w:t>
      </w:r>
      <w:proofErr w:type="spellEnd"/>
      <w:r w:rsidRPr="00922138">
        <w:rPr>
          <w:rFonts w:ascii="Calibri" w:hAnsi="Calibri" w:cs="Calibri"/>
          <w:shd w:val="clear" w:color="auto" w:fill="FFFFFF"/>
        </w:rPr>
        <w:t xml:space="preserve"> Na </w:t>
      </w:r>
      <w:proofErr w:type="spellStart"/>
      <w:r w:rsidRPr="00922138">
        <w:rPr>
          <w:rFonts w:ascii="Calibri" w:hAnsi="Calibri" w:cs="Calibri"/>
          <w:shd w:val="clear" w:color="auto" w:fill="FFFFFF"/>
        </w:rPr>
        <w:t>Ayudhya</w:t>
      </w:r>
      <w:proofErr w:type="spellEnd"/>
      <w:r w:rsidRPr="00922138">
        <w:rPr>
          <w:rFonts w:ascii="Calibri" w:hAnsi="Calibri" w:cs="Calibri"/>
          <w:shd w:val="clear" w:color="auto" w:fill="FFFFFF"/>
        </w:rPr>
        <w:t xml:space="preserve">, U. and </w:t>
      </w:r>
      <w:proofErr w:type="spellStart"/>
      <w:r w:rsidRPr="00922138">
        <w:rPr>
          <w:rFonts w:ascii="Calibri" w:hAnsi="Calibri" w:cs="Calibri"/>
          <w:shd w:val="clear" w:color="auto" w:fill="FFFFFF"/>
        </w:rPr>
        <w:t>Prouska</w:t>
      </w:r>
      <w:proofErr w:type="spellEnd"/>
      <w:r w:rsidRPr="00922138">
        <w:rPr>
          <w:rFonts w:ascii="Calibri" w:hAnsi="Calibri" w:cs="Calibri"/>
          <w:shd w:val="clear" w:color="auto" w:fill="FFFFFF"/>
        </w:rPr>
        <w:t>, R</w:t>
      </w:r>
      <w:r w:rsidR="00922138" w:rsidRPr="00922138">
        <w:rPr>
          <w:rFonts w:ascii="Calibri" w:hAnsi="Calibri" w:cs="Calibri"/>
          <w:shd w:val="clear" w:color="auto" w:fill="FFFFFF"/>
        </w:rPr>
        <w:t>.</w:t>
      </w:r>
      <w:r w:rsidRPr="00922138">
        <w:rPr>
          <w:rFonts w:ascii="Calibri" w:hAnsi="Calibri" w:cs="Calibri"/>
          <w:shd w:val="clear" w:color="auto" w:fill="FFFFFF"/>
        </w:rPr>
        <w:t xml:space="preserve"> (2010) </w:t>
      </w:r>
      <w:r w:rsidRPr="00922138">
        <w:rPr>
          <w:rFonts w:ascii="Calibri" w:hAnsi="Calibri" w:cs="Calibri"/>
          <w:i/>
          <w:iCs/>
          <w:shd w:val="clear" w:color="auto" w:fill="FFFFFF"/>
        </w:rPr>
        <w:t>Critical issues in human resource management</w:t>
      </w:r>
      <w:r w:rsidRPr="00922138">
        <w:rPr>
          <w:rFonts w:ascii="Calibri" w:hAnsi="Calibri" w:cs="Calibri"/>
          <w:shd w:val="clear" w:color="auto" w:fill="FFFFFF"/>
        </w:rPr>
        <w:t>. London: Chartered Institute of Personnel and Development.</w:t>
      </w:r>
    </w:p>
    <w:p w14:paraId="18129D40" w14:textId="72027AE8" w:rsidR="00097C81" w:rsidRPr="00AA421B" w:rsidRDefault="00097C81" w:rsidP="008F38C4">
      <w:pPr>
        <w:widowControl w:val="0"/>
        <w:autoSpaceDE w:val="0"/>
        <w:autoSpaceDN w:val="0"/>
        <w:spacing w:before="162" w:after="0" w:line="276" w:lineRule="auto"/>
        <w:ind w:right="283"/>
      </w:pPr>
      <w:r w:rsidRPr="00AA421B">
        <w:t xml:space="preserve">Russell, T. and Weeks, A. (2019), ‘Ethics at work: An employer’s </w:t>
      </w:r>
      <w:proofErr w:type="spellStart"/>
      <w:r w:rsidRPr="00AA421B">
        <w:t>guide</w:t>
      </w:r>
      <w:proofErr w:type="gramStart"/>
      <w:r w:rsidRPr="00AA421B">
        <w:t>’</w:t>
      </w:r>
      <w:r w:rsidR="00AA421B" w:rsidRPr="00AA421B">
        <w:t>.</w:t>
      </w:r>
      <w:r w:rsidRPr="00AA421B">
        <w:t>Available</w:t>
      </w:r>
      <w:proofErr w:type="spellEnd"/>
      <w:proofErr w:type="gramEnd"/>
      <w:r w:rsidRPr="00AA421B">
        <w:t xml:space="preserve"> at:</w:t>
      </w:r>
      <w:r w:rsidRPr="00AA421B">
        <w:rPr>
          <w:i/>
          <w:iCs/>
        </w:rPr>
        <w:t xml:space="preserve"> </w:t>
      </w:r>
      <w:hyperlink r:id="rId60" w:history="1">
        <w:r w:rsidRPr="00AA421B">
          <w:rPr>
            <w:rStyle w:val="Hyperlink"/>
            <w:color w:val="auto"/>
            <w:u w:val="none"/>
          </w:rPr>
          <w:t>https://www.cipd.org/uk/knowledge/guides/ethics-work-guide/</w:t>
        </w:r>
      </w:hyperlink>
      <w:r w:rsidRPr="00AA421B">
        <w:t>.</w:t>
      </w:r>
      <w:r w:rsidRPr="00AA421B">
        <w:rPr>
          <w:i/>
          <w:iCs/>
        </w:rPr>
        <w:t xml:space="preserve"> </w:t>
      </w:r>
      <w:r w:rsidRPr="00AA421B">
        <w:t>Accessed: 30 October 2023).</w:t>
      </w:r>
    </w:p>
    <w:p w14:paraId="3D5E7094" w14:textId="55D69D5B" w:rsidR="00822D25" w:rsidRPr="00500549" w:rsidRDefault="00822D25" w:rsidP="008F38C4">
      <w:pPr>
        <w:widowControl w:val="0"/>
        <w:autoSpaceDE w:val="0"/>
        <w:autoSpaceDN w:val="0"/>
        <w:spacing w:before="162" w:after="0" w:line="276" w:lineRule="auto"/>
        <w:ind w:right="283"/>
        <w:rPr>
          <w:rFonts w:ascii="Calibri" w:hAnsi="Calibri" w:cs="Calibri"/>
          <w:spacing w:val="8"/>
          <w:shd w:val="clear" w:color="auto" w:fill="FFFFFF"/>
        </w:rPr>
      </w:pPr>
      <w:r>
        <w:rPr>
          <w:rFonts w:ascii="Calibri" w:hAnsi="Calibri" w:cs="Calibri"/>
          <w:spacing w:val="8"/>
          <w:shd w:val="clear" w:color="auto" w:fill="FFFFFF"/>
        </w:rPr>
        <w:t xml:space="preserve">Smidt, A., Balandin, S., </w:t>
      </w:r>
      <w:proofErr w:type="spellStart"/>
      <w:r>
        <w:rPr>
          <w:rFonts w:ascii="Calibri" w:hAnsi="Calibri" w:cs="Calibri"/>
          <w:spacing w:val="8"/>
          <w:shd w:val="clear" w:color="auto" w:fill="FFFFFF"/>
        </w:rPr>
        <w:t>Sigafoos</w:t>
      </w:r>
      <w:proofErr w:type="spellEnd"/>
      <w:r>
        <w:rPr>
          <w:rFonts w:ascii="Calibri" w:hAnsi="Calibri" w:cs="Calibri"/>
          <w:spacing w:val="8"/>
          <w:shd w:val="clear" w:color="auto" w:fill="FFFFFF"/>
        </w:rPr>
        <w:t>, Jeff. and Reed, V.A. (2009) ‘</w:t>
      </w:r>
      <w:r w:rsidRPr="00447326">
        <w:rPr>
          <w:rFonts w:ascii="Calibri" w:hAnsi="Calibri" w:cs="Calibri"/>
          <w:spacing w:val="8"/>
          <w:shd w:val="clear" w:color="auto" w:fill="FFFFFF"/>
        </w:rPr>
        <w:t>The Kirkpatrick model: A useful tool for evaluating training outcomes</w:t>
      </w:r>
      <w:r>
        <w:rPr>
          <w:rFonts w:ascii="Calibri" w:hAnsi="Calibri" w:cs="Calibri"/>
          <w:spacing w:val="8"/>
          <w:shd w:val="clear" w:color="auto" w:fill="FFFFFF"/>
        </w:rPr>
        <w:t>’,</w:t>
      </w:r>
      <w:r w:rsidRPr="00447326">
        <w:rPr>
          <w:rFonts w:ascii="Calibri" w:hAnsi="Calibri" w:cs="Calibri"/>
          <w:spacing w:val="8"/>
          <w:shd w:val="clear" w:color="auto" w:fill="FFFFFF"/>
        </w:rPr>
        <w:t xml:space="preserve"> </w:t>
      </w:r>
      <w:r w:rsidRPr="00447326">
        <w:rPr>
          <w:rFonts w:ascii="Calibri" w:hAnsi="Calibri" w:cs="Calibri"/>
          <w:i/>
          <w:iCs/>
          <w:spacing w:val="8"/>
          <w:shd w:val="clear" w:color="auto" w:fill="FFFFFF"/>
        </w:rPr>
        <w:t>Journal of Intellectual &amp; Developmental Disability</w:t>
      </w:r>
      <w:r>
        <w:rPr>
          <w:rFonts w:ascii="Calibri" w:hAnsi="Calibri" w:cs="Calibri"/>
          <w:i/>
          <w:iCs/>
          <w:spacing w:val="8"/>
          <w:shd w:val="clear" w:color="auto" w:fill="FFFFFF"/>
        </w:rPr>
        <w:t xml:space="preserve">, </w:t>
      </w:r>
      <w:r>
        <w:rPr>
          <w:rFonts w:ascii="Calibri" w:hAnsi="Calibri" w:cs="Calibri"/>
          <w:spacing w:val="8"/>
          <w:shd w:val="clear" w:color="auto" w:fill="FFFFFF"/>
        </w:rPr>
        <w:t xml:space="preserve">34(3), pp. 266-274. Available at: </w:t>
      </w:r>
      <w:hyperlink r:id="rId61" w:history="1">
        <w:r w:rsidR="00500549" w:rsidRPr="00500549">
          <w:rPr>
            <w:rStyle w:val="Hyperlink"/>
            <w:rFonts w:ascii="Calibri" w:hAnsi="Calibri" w:cs="Calibri"/>
            <w:color w:val="auto"/>
            <w:spacing w:val="8"/>
            <w:u w:val="none"/>
            <w:shd w:val="clear" w:color="auto" w:fill="FFFFFF"/>
          </w:rPr>
          <w:t>https://doi.org/10.1080/13668250903093125</w:t>
        </w:r>
      </w:hyperlink>
      <w:r w:rsidR="00F97EED" w:rsidRPr="00500549">
        <w:rPr>
          <w:rFonts w:ascii="Calibri" w:hAnsi="Calibri" w:cs="Calibri"/>
          <w:spacing w:val="8"/>
          <w:shd w:val="clear" w:color="auto" w:fill="FFFFFF"/>
        </w:rPr>
        <w:t>.</w:t>
      </w:r>
    </w:p>
    <w:p w14:paraId="61F04EE2" w14:textId="00655B84" w:rsidR="00500549" w:rsidRPr="00500549" w:rsidRDefault="00500549" w:rsidP="008F38C4">
      <w:pPr>
        <w:widowControl w:val="0"/>
        <w:autoSpaceDE w:val="0"/>
        <w:autoSpaceDN w:val="0"/>
        <w:spacing w:before="162" w:after="0" w:line="276" w:lineRule="auto"/>
        <w:ind w:right="283"/>
      </w:pPr>
      <w:proofErr w:type="spellStart"/>
      <w:r w:rsidRPr="00500549">
        <w:rPr>
          <w:rFonts w:ascii="Calibri" w:hAnsi="Calibri" w:cs="Calibri"/>
          <w:spacing w:val="8"/>
          <w:shd w:val="clear" w:color="auto" w:fill="FFFFFF"/>
        </w:rPr>
        <w:t>Tamplin</w:t>
      </w:r>
      <w:proofErr w:type="spellEnd"/>
      <w:r w:rsidRPr="00500549">
        <w:rPr>
          <w:rFonts w:ascii="Calibri" w:hAnsi="Calibri" w:cs="Calibri"/>
          <w:spacing w:val="8"/>
          <w:shd w:val="clear" w:color="auto" w:fill="FFFFFF"/>
        </w:rPr>
        <w:t xml:space="preserve">, T (2023) </w:t>
      </w:r>
      <w:r w:rsidRPr="00500549">
        <w:rPr>
          <w:rFonts w:ascii="Calibri" w:hAnsi="Calibri" w:cs="Calibri"/>
          <w:i/>
          <w:iCs/>
          <w:spacing w:val="8"/>
          <w:shd w:val="clear" w:color="auto" w:fill="FFFFFF"/>
        </w:rPr>
        <w:t xml:space="preserve">Gross Profit. </w:t>
      </w:r>
      <w:r w:rsidRPr="00500549">
        <w:rPr>
          <w:rFonts w:ascii="Calibri" w:hAnsi="Calibri" w:cs="Calibri"/>
          <w:spacing w:val="8"/>
          <w:shd w:val="clear" w:color="auto" w:fill="FFFFFF"/>
        </w:rPr>
        <w:t>Available at:</w:t>
      </w:r>
      <w:r w:rsidRPr="00500549">
        <w:rPr>
          <w:rFonts w:ascii="Calibri" w:hAnsi="Calibri" w:cs="Calibri"/>
          <w:i/>
          <w:iCs/>
          <w:spacing w:val="8"/>
          <w:shd w:val="clear" w:color="auto" w:fill="FFFFFF"/>
        </w:rPr>
        <w:t xml:space="preserve"> </w:t>
      </w:r>
      <w:hyperlink r:id="rId62" w:history="1">
        <w:r w:rsidRPr="00500549">
          <w:rPr>
            <w:rStyle w:val="Hyperlink"/>
            <w:rFonts w:ascii="Calibri" w:hAnsi="Calibri" w:cs="Calibri"/>
            <w:color w:val="auto"/>
            <w:spacing w:val="8"/>
            <w:u w:val="none"/>
            <w:shd w:val="clear" w:color="auto" w:fill="FFFFFF"/>
          </w:rPr>
          <w:t>https://www.financestrategists.com/wealth-management/financial-statements/gross-profit/</w:t>
        </w:r>
      </w:hyperlink>
      <w:r>
        <w:rPr>
          <w:rFonts w:ascii="Calibri" w:hAnsi="Calibri" w:cs="Calibri"/>
          <w:spacing w:val="8"/>
          <w:shd w:val="clear" w:color="auto" w:fill="FFFFFF"/>
        </w:rPr>
        <w:t xml:space="preserve"> (Accessed: 30 November 2023).</w:t>
      </w:r>
    </w:p>
    <w:p w14:paraId="63A5CADD" w14:textId="5FC3B9F9" w:rsidR="00822D25" w:rsidRDefault="00822D25" w:rsidP="008F38C4">
      <w:pPr>
        <w:widowControl w:val="0"/>
        <w:autoSpaceDE w:val="0"/>
        <w:autoSpaceDN w:val="0"/>
        <w:spacing w:before="162" w:after="0" w:line="276" w:lineRule="auto"/>
        <w:ind w:right="283"/>
      </w:pPr>
      <w:r>
        <w:t xml:space="preserve">Taylor, S. (2018) </w:t>
      </w:r>
      <w:r w:rsidRPr="00822D25">
        <w:rPr>
          <w:i/>
          <w:iCs/>
        </w:rPr>
        <w:t>Resourcing and Talent Management.</w:t>
      </w:r>
      <w:r>
        <w:t xml:space="preserve"> 7</w:t>
      </w:r>
      <w:r w:rsidRPr="00822D25">
        <w:rPr>
          <w:vertAlign w:val="superscript"/>
        </w:rPr>
        <w:t>th</w:t>
      </w:r>
      <w:r>
        <w:t xml:space="preserve"> </w:t>
      </w:r>
      <w:proofErr w:type="spellStart"/>
      <w:r>
        <w:t>Edn</w:t>
      </w:r>
      <w:proofErr w:type="spellEnd"/>
      <w:r>
        <w:t>. London: Kogan Page.</w:t>
      </w:r>
    </w:p>
    <w:p w14:paraId="1D948162" w14:textId="7C50E367" w:rsidR="00F80713" w:rsidRDefault="00F80713" w:rsidP="008F38C4">
      <w:pPr>
        <w:widowControl w:val="0"/>
        <w:autoSpaceDE w:val="0"/>
        <w:autoSpaceDN w:val="0"/>
        <w:spacing w:before="162" w:after="0" w:line="276" w:lineRule="auto"/>
        <w:ind w:right="283"/>
        <w:rPr>
          <w:rFonts w:ascii="Calibri" w:eastAsia="Arial" w:hAnsi="Calibri" w:cs="Calibri"/>
        </w:rPr>
      </w:pPr>
      <w:r>
        <w:rPr>
          <w:rFonts w:ascii="Calibri" w:eastAsia="Arial" w:hAnsi="Calibri" w:cs="Calibri"/>
        </w:rPr>
        <w:t xml:space="preserve">Taylor, S. and Woodhams, C. (2022a) </w:t>
      </w:r>
      <w:r w:rsidRPr="00F80713">
        <w:rPr>
          <w:rFonts w:ascii="Calibri" w:eastAsia="Arial" w:hAnsi="Calibri" w:cs="Calibri"/>
          <w:i/>
          <w:iCs/>
        </w:rPr>
        <w:t>Human Resource Management.</w:t>
      </w:r>
      <w:r>
        <w:rPr>
          <w:rFonts w:ascii="Calibri" w:eastAsia="Arial" w:hAnsi="Calibri" w:cs="Calibri"/>
        </w:rPr>
        <w:t xml:space="preserve"> 3</w:t>
      </w:r>
      <w:r w:rsidRPr="00F80713">
        <w:rPr>
          <w:rFonts w:ascii="Calibri" w:eastAsia="Arial" w:hAnsi="Calibri" w:cs="Calibri"/>
          <w:vertAlign w:val="superscript"/>
        </w:rPr>
        <w:t>rd</w:t>
      </w:r>
      <w:r>
        <w:rPr>
          <w:rFonts w:ascii="Calibri" w:eastAsia="Arial" w:hAnsi="Calibri" w:cs="Calibri"/>
        </w:rPr>
        <w:t xml:space="preserve"> </w:t>
      </w:r>
      <w:proofErr w:type="spellStart"/>
      <w:r>
        <w:rPr>
          <w:rFonts w:ascii="Calibri" w:eastAsia="Arial" w:hAnsi="Calibri" w:cs="Calibri"/>
        </w:rPr>
        <w:t>Edn</w:t>
      </w:r>
      <w:proofErr w:type="spellEnd"/>
      <w:r>
        <w:rPr>
          <w:rFonts w:ascii="Calibri" w:eastAsia="Arial" w:hAnsi="Calibri" w:cs="Calibri"/>
        </w:rPr>
        <w:t>. London: Kogan Page.</w:t>
      </w:r>
    </w:p>
    <w:p w14:paraId="40D15745" w14:textId="06D46788" w:rsidR="00097C81" w:rsidRDefault="00D865D5" w:rsidP="008F38C4">
      <w:pPr>
        <w:widowControl w:val="0"/>
        <w:autoSpaceDE w:val="0"/>
        <w:autoSpaceDN w:val="0"/>
        <w:spacing w:before="162" w:after="0" w:line="276" w:lineRule="auto"/>
        <w:ind w:right="283"/>
      </w:pPr>
      <w:r w:rsidRPr="006470C2">
        <w:rPr>
          <w:rFonts w:ascii="Calibri" w:eastAsia="Arial" w:hAnsi="Calibri" w:cs="Calibri"/>
        </w:rPr>
        <w:t xml:space="preserve">Taylor, S. and Woodhams, C. (2022b) </w:t>
      </w:r>
      <w:r w:rsidRPr="006470C2">
        <w:rPr>
          <w:rFonts w:ascii="Calibri" w:eastAsia="Arial" w:hAnsi="Calibri" w:cs="Calibri"/>
          <w:i/>
          <w:iCs/>
        </w:rPr>
        <w:t>Studying Human Resource Management</w:t>
      </w:r>
      <w:r w:rsidRPr="006470C2">
        <w:rPr>
          <w:rFonts w:ascii="Calibri" w:eastAsia="Arial" w:hAnsi="Calibri" w:cs="Calibri"/>
        </w:rPr>
        <w:t xml:space="preserve">. 3rd </w:t>
      </w:r>
      <w:proofErr w:type="spellStart"/>
      <w:r w:rsidRPr="006470C2">
        <w:rPr>
          <w:rFonts w:ascii="Calibri" w:eastAsia="Arial" w:hAnsi="Calibri" w:cs="Calibri"/>
        </w:rPr>
        <w:t>Edn</w:t>
      </w:r>
      <w:proofErr w:type="spellEnd"/>
      <w:r w:rsidRPr="006470C2">
        <w:rPr>
          <w:rFonts w:ascii="Calibri" w:eastAsia="Arial" w:hAnsi="Calibri" w:cs="Calibri"/>
        </w:rPr>
        <w:t>. London: Kogan Page.</w:t>
      </w:r>
    </w:p>
    <w:p w14:paraId="031A41CA" w14:textId="77777777" w:rsidR="00097C81" w:rsidRPr="008F38C4" w:rsidRDefault="002C05FC" w:rsidP="008F38C4">
      <w:pPr>
        <w:widowControl w:val="0"/>
        <w:autoSpaceDE w:val="0"/>
        <w:autoSpaceDN w:val="0"/>
        <w:spacing w:before="162" w:after="0" w:line="276" w:lineRule="auto"/>
        <w:ind w:right="283"/>
      </w:pPr>
      <w:r w:rsidRPr="008F38C4">
        <w:t xml:space="preserve">Young, J. (2023a) </w:t>
      </w:r>
      <w:r w:rsidRPr="008F38C4">
        <w:rPr>
          <w:i/>
          <w:iCs/>
        </w:rPr>
        <w:t xml:space="preserve">Employee Engagement and Motivation. </w:t>
      </w:r>
      <w:r w:rsidRPr="008F38C4">
        <w:t xml:space="preserve">Available at: </w:t>
      </w:r>
      <w:hyperlink r:id="rId63" w:history="1">
        <w:r w:rsidRPr="008F38C4">
          <w:rPr>
            <w:rStyle w:val="Hyperlink"/>
            <w:color w:val="auto"/>
            <w:u w:val="none"/>
          </w:rPr>
          <w:t>https://www.cipd.org/uk/knowledge/factsheets/engagement-factsheet/</w:t>
        </w:r>
      </w:hyperlink>
      <w:r w:rsidRPr="008F38C4">
        <w:t xml:space="preserve"> (Accessed: 11 November 2023).</w:t>
      </w:r>
    </w:p>
    <w:p w14:paraId="6A4D774F" w14:textId="77777777" w:rsidR="00097C81" w:rsidRPr="008F38C4" w:rsidRDefault="00D865D5" w:rsidP="008F38C4">
      <w:pPr>
        <w:widowControl w:val="0"/>
        <w:autoSpaceDE w:val="0"/>
        <w:autoSpaceDN w:val="0"/>
        <w:spacing w:before="162" w:after="0" w:line="276" w:lineRule="auto"/>
        <w:ind w:right="283"/>
      </w:pPr>
      <w:r w:rsidRPr="008F38C4">
        <w:t>Young, J. (2023</w:t>
      </w:r>
      <w:r w:rsidR="002C05FC" w:rsidRPr="008F38C4">
        <w:t>b</w:t>
      </w:r>
      <w:r w:rsidRPr="008F38C4">
        <w:t xml:space="preserve">) </w:t>
      </w:r>
      <w:r w:rsidRPr="008F38C4">
        <w:rPr>
          <w:i/>
          <w:iCs/>
        </w:rPr>
        <w:t xml:space="preserve">Evidence-based practice for effective decision-making. </w:t>
      </w:r>
      <w:r w:rsidRPr="008F38C4">
        <w:t xml:space="preserve">Available at: </w:t>
      </w:r>
      <w:hyperlink r:id="rId64" w:history="1">
        <w:r w:rsidRPr="008F38C4">
          <w:rPr>
            <w:rStyle w:val="Hyperlink"/>
            <w:color w:val="auto"/>
            <w:u w:val="none"/>
          </w:rPr>
          <w:t>https://www.cipd.org/uk/knowledge/factsheets/evidence-based-practice-factsheet/</w:t>
        </w:r>
      </w:hyperlink>
      <w:r w:rsidRPr="008F38C4">
        <w:t xml:space="preserve"> (Accessed: 14 October 2023).</w:t>
      </w:r>
    </w:p>
    <w:p w14:paraId="52A46103" w14:textId="79E74F88" w:rsidR="00DE31DC" w:rsidRDefault="00D865D5" w:rsidP="00F94C85">
      <w:pPr>
        <w:widowControl w:val="0"/>
        <w:autoSpaceDE w:val="0"/>
        <w:autoSpaceDN w:val="0"/>
        <w:spacing w:before="162" w:after="0" w:line="276" w:lineRule="auto"/>
        <w:ind w:right="283"/>
      </w:pPr>
      <w:r w:rsidRPr="0067376E">
        <w:t>Waite</w:t>
      </w:r>
      <w:r>
        <w:t>, K.</w:t>
      </w:r>
      <w:r w:rsidRPr="0067376E">
        <w:t xml:space="preserve">, </w:t>
      </w:r>
      <w:proofErr w:type="spellStart"/>
      <w:r w:rsidRPr="0067376E">
        <w:t>Beevers</w:t>
      </w:r>
      <w:proofErr w:type="spellEnd"/>
      <w:r>
        <w:t>, K.</w:t>
      </w:r>
      <w:r w:rsidRPr="0067376E">
        <w:t>, Small</w:t>
      </w:r>
      <w:r>
        <w:t>, N.</w:t>
      </w:r>
      <w:r w:rsidRPr="0067376E">
        <w:t>, Tomlinson</w:t>
      </w:r>
      <w:r>
        <w:t>, K. and</w:t>
      </w:r>
      <w:r w:rsidRPr="0067376E">
        <w:t xml:space="preserve"> Hussain</w:t>
      </w:r>
      <w:r>
        <w:t>, S. (2021). People Practice: a complete guide. Kogan Page.</w:t>
      </w:r>
    </w:p>
    <w:p w14:paraId="261F8F4A" w14:textId="36A8C074" w:rsidR="0095432A" w:rsidRDefault="0095432A" w:rsidP="00F94C85">
      <w:pPr>
        <w:widowControl w:val="0"/>
        <w:autoSpaceDE w:val="0"/>
        <w:autoSpaceDN w:val="0"/>
        <w:spacing w:before="162" w:after="0" w:line="276" w:lineRule="auto"/>
        <w:ind w:right="283"/>
      </w:pPr>
      <w:r>
        <w:t xml:space="preserve">Wild, S. (2023) </w:t>
      </w:r>
      <w:r w:rsidRPr="0095432A">
        <w:rPr>
          <w:i/>
          <w:iCs/>
        </w:rPr>
        <w:t>Gender pay gap reporting guid</w:t>
      </w:r>
      <w:r>
        <w:rPr>
          <w:i/>
          <w:iCs/>
        </w:rPr>
        <w:t xml:space="preserve">e. </w:t>
      </w:r>
      <w:r>
        <w:t xml:space="preserve">Available at: </w:t>
      </w:r>
      <w:hyperlink r:id="rId65" w:history="1">
        <w:r w:rsidRPr="00255251">
          <w:rPr>
            <w:rStyle w:val="Hyperlink"/>
            <w:color w:val="auto"/>
            <w:u w:val="none"/>
          </w:rPr>
          <w:t>https://www.cipd.org/uk/knowledge/guides/gender-pay-gap-reporting-guide/</w:t>
        </w:r>
      </w:hyperlink>
      <w:r>
        <w:t xml:space="preserve"> (Accessed: 25 November 2023).</w:t>
      </w:r>
    </w:p>
    <w:p w14:paraId="02EBEEB9" w14:textId="77777777" w:rsidR="0095432A" w:rsidRPr="0095432A" w:rsidRDefault="0095432A" w:rsidP="00F94C85">
      <w:pPr>
        <w:widowControl w:val="0"/>
        <w:autoSpaceDE w:val="0"/>
        <w:autoSpaceDN w:val="0"/>
        <w:spacing w:before="162" w:after="0" w:line="276" w:lineRule="auto"/>
        <w:ind w:right="283"/>
        <w:rPr>
          <w:rFonts w:ascii="Arial" w:eastAsia="Arial" w:hAnsi="Arial" w:cs="Arial"/>
          <w:b/>
          <w:bCs/>
          <w:sz w:val="24"/>
          <w:szCs w:val="24"/>
          <w:u w:val="single"/>
        </w:rPr>
      </w:pPr>
    </w:p>
    <w:sectPr w:rsidR="0095432A" w:rsidRPr="0095432A" w:rsidSect="009C4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15415" w14:textId="77777777" w:rsidR="007348A3" w:rsidRDefault="007348A3" w:rsidP="007348A3">
      <w:pPr>
        <w:spacing w:after="0" w:line="240" w:lineRule="auto"/>
      </w:pPr>
      <w:r>
        <w:separator/>
      </w:r>
    </w:p>
  </w:endnote>
  <w:endnote w:type="continuationSeparator" w:id="0">
    <w:p w14:paraId="4F384C22" w14:textId="77777777" w:rsidR="007348A3" w:rsidRDefault="007348A3" w:rsidP="00734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4C1F3" w14:textId="08DC9F65" w:rsidR="007348A3" w:rsidRDefault="007348A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8769E">
      <w:rPr>
        <w:caps/>
        <w:noProof/>
        <w:color w:val="4472C4" w:themeColor="accent1"/>
      </w:rPr>
      <w:t>8</w:t>
    </w:r>
    <w:r>
      <w:rPr>
        <w:caps/>
        <w:noProof/>
        <w:color w:val="4472C4" w:themeColor="accent1"/>
      </w:rPr>
      <w:fldChar w:fldCharType="end"/>
    </w:r>
  </w:p>
  <w:p w14:paraId="082E28E5" w14:textId="77777777" w:rsidR="007348A3" w:rsidRDefault="007348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79FB8" w14:textId="4A05C188" w:rsidR="00A95E56" w:rsidRDefault="00A95E5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8769E">
      <w:rPr>
        <w:caps/>
        <w:noProof/>
        <w:color w:val="4472C4" w:themeColor="accent1"/>
      </w:rPr>
      <w:t>26</w:t>
    </w:r>
    <w:r>
      <w:rPr>
        <w:caps/>
        <w:noProof/>
        <w:color w:val="4472C4" w:themeColor="accent1"/>
      </w:rPr>
      <w:fldChar w:fldCharType="end"/>
    </w:r>
  </w:p>
  <w:p w14:paraId="4E775419" w14:textId="77777777" w:rsidR="00A95E56" w:rsidRDefault="00A95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284D7" w14:textId="77777777" w:rsidR="007348A3" w:rsidRDefault="007348A3" w:rsidP="007348A3">
      <w:pPr>
        <w:spacing w:after="0" w:line="240" w:lineRule="auto"/>
      </w:pPr>
      <w:r>
        <w:separator/>
      </w:r>
    </w:p>
  </w:footnote>
  <w:footnote w:type="continuationSeparator" w:id="0">
    <w:p w14:paraId="44A6B7F2" w14:textId="77777777" w:rsidR="007348A3" w:rsidRDefault="007348A3" w:rsidP="007348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52376" w14:textId="2B06524B" w:rsidR="007348A3" w:rsidRDefault="007348A3">
    <w:pPr>
      <w:pStyle w:val="Header"/>
    </w:pPr>
    <w:r>
      <w:t>Evidence-Based Practice</w:t>
    </w:r>
    <w:r>
      <w:ptab w:relativeTo="margin" w:alignment="center" w:leader="none"/>
    </w:r>
    <w:r>
      <w:ptab w:relativeTo="margin" w:alignment="right" w:leader="none"/>
    </w:r>
    <w:r>
      <w:t>Lara Edwards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83D26" w14:textId="77777777" w:rsidR="00A95E56" w:rsidRDefault="00A95E56">
    <w:pPr>
      <w:pStyle w:val="Header"/>
    </w:pPr>
    <w:r>
      <w:t>Evidence-Based Practice</w:t>
    </w:r>
    <w:r>
      <w:ptab w:relativeTo="margin" w:alignment="center" w:leader="none"/>
    </w:r>
    <w:r>
      <w:ptab w:relativeTo="margin" w:alignment="right" w:leader="none"/>
    </w:r>
    <w:r>
      <w:t>Lara Edwards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E764D"/>
    <w:multiLevelType w:val="multilevel"/>
    <w:tmpl w:val="62DAC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 w15:restartNumberingAfterBreak="0">
    <w:nsid w:val="2FE7748E"/>
    <w:multiLevelType w:val="hybridMultilevel"/>
    <w:tmpl w:val="F47270FC"/>
    <w:lvl w:ilvl="0" w:tplc="D85E3A4C">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3CE435F3"/>
    <w:multiLevelType w:val="hybridMultilevel"/>
    <w:tmpl w:val="A1527582"/>
    <w:lvl w:ilvl="0" w:tplc="494EAEB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2039C"/>
    <w:multiLevelType w:val="hybridMultilevel"/>
    <w:tmpl w:val="FB50E3C6"/>
    <w:lvl w:ilvl="0" w:tplc="03787B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487215"/>
    <w:multiLevelType w:val="multilevel"/>
    <w:tmpl w:val="C494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2E75CF"/>
    <w:multiLevelType w:val="hybridMultilevel"/>
    <w:tmpl w:val="1DDE1B30"/>
    <w:lvl w:ilvl="0" w:tplc="1AD851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3432194">
    <w:abstractNumId w:val="1"/>
  </w:num>
  <w:num w:numId="2" w16cid:durableId="1970815602">
    <w:abstractNumId w:val="7"/>
  </w:num>
  <w:num w:numId="3" w16cid:durableId="1292662731">
    <w:abstractNumId w:val="6"/>
  </w:num>
  <w:num w:numId="4" w16cid:durableId="1249577556">
    <w:abstractNumId w:val="2"/>
  </w:num>
  <w:num w:numId="5" w16cid:durableId="2095197196">
    <w:abstractNumId w:val="4"/>
  </w:num>
  <w:num w:numId="6" w16cid:durableId="1607349015">
    <w:abstractNumId w:val="0"/>
  </w:num>
  <w:num w:numId="7" w16cid:durableId="1830293286">
    <w:abstractNumId w:val="5"/>
  </w:num>
  <w:num w:numId="8" w16cid:durableId="16835068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4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2216"/>
    <w:rsid w:val="00007227"/>
    <w:rsid w:val="00027B92"/>
    <w:rsid w:val="00027F02"/>
    <w:rsid w:val="00040315"/>
    <w:rsid w:val="000439FA"/>
    <w:rsid w:val="00045233"/>
    <w:rsid w:val="00047788"/>
    <w:rsid w:val="000660F5"/>
    <w:rsid w:val="00070FB8"/>
    <w:rsid w:val="000778BA"/>
    <w:rsid w:val="00082E88"/>
    <w:rsid w:val="00083615"/>
    <w:rsid w:val="00084458"/>
    <w:rsid w:val="00084BCC"/>
    <w:rsid w:val="0009536B"/>
    <w:rsid w:val="00095B7F"/>
    <w:rsid w:val="00097C81"/>
    <w:rsid w:val="000A2A40"/>
    <w:rsid w:val="000A577A"/>
    <w:rsid w:val="000B20AE"/>
    <w:rsid w:val="000C6CD6"/>
    <w:rsid w:val="000F2001"/>
    <w:rsid w:val="000F49D2"/>
    <w:rsid w:val="000F7424"/>
    <w:rsid w:val="0010262C"/>
    <w:rsid w:val="00116482"/>
    <w:rsid w:val="0012147F"/>
    <w:rsid w:val="00134BEF"/>
    <w:rsid w:val="00135F95"/>
    <w:rsid w:val="00140DBF"/>
    <w:rsid w:val="00145F1C"/>
    <w:rsid w:val="00147528"/>
    <w:rsid w:val="00152369"/>
    <w:rsid w:val="00170EDC"/>
    <w:rsid w:val="0017318E"/>
    <w:rsid w:val="001765A6"/>
    <w:rsid w:val="00186F50"/>
    <w:rsid w:val="001A3278"/>
    <w:rsid w:val="001A365A"/>
    <w:rsid w:val="001C3588"/>
    <w:rsid w:val="001D1261"/>
    <w:rsid w:val="00200D7B"/>
    <w:rsid w:val="00210141"/>
    <w:rsid w:val="00212FEC"/>
    <w:rsid w:val="00240676"/>
    <w:rsid w:val="0024710D"/>
    <w:rsid w:val="00255251"/>
    <w:rsid w:val="0026358E"/>
    <w:rsid w:val="002637A6"/>
    <w:rsid w:val="00263C07"/>
    <w:rsid w:val="00276800"/>
    <w:rsid w:val="00282F7A"/>
    <w:rsid w:val="00287E5A"/>
    <w:rsid w:val="00292371"/>
    <w:rsid w:val="002926F6"/>
    <w:rsid w:val="00294CBF"/>
    <w:rsid w:val="002A213B"/>
    <w:rsid w:val="002A21BC"/>
    <w:rsid w:val="002C05FC"/>
    <w:rsid w:val="002C506C"/>
    <w:rsid w:val="002D08A1"/>
    <w:rsid w:val="002D1183"/>
    <w:rsid w:val="002F2A57"/>
    <w:rsid w:val="00300075"/>
    <w:rsid w:val="0030134D"/>
    <w:rsid w:val="003053C7"/>
    <w:rsid w:val="00307FB2"/>
    <w:rsid w:val="00315622"/>
    <w:rsid w:val="0031682E"/>
    <w:rsid w:val="00323139"/>
    <w:rsid w:val="00327A8C"/>
    <w:rsid w:val="00331430"/>
    <w:rsid w:val="00336942"/>
    <w:rsid w:val="00341619"/>
    <w:rsid w:val="003417E7"/>
    <w:rsid w:val="00354975"/>
    <w:rsid w:val="003614F3"/>
    <w:rsid w:val="00362D81"/>
    <w:rsid w:val="00367E8F"/>
    <w:rsid w:val="00371E1D"/>
    <w:rsid w:val="00387984"/>
    <w:rsid w:val="003A64EF"/>
    <w:rsid w:val="003B4E5A"/>
    <w:rsid w:val="003D4773"/>
    <w:rsid w:val="003D6550"/>
    <w:rsid w:val="00401C11"/>
    <w:rsid w:val="0041136C"/>
    <w:rsid w:val="00417A44"/>
    <w:rsid w:val="004366DD"/>
    <w:rsid w:val="00456476"/>
    <w:rsid w:val="004632C6"/>
    <w:rsid w:val="004712E4"/>
    <w:rsid w:val="00480933"/>
    <w:rsid w:val="00484CC6"/>
    <w:rsid w:val="004917FE"/>
    <w:rsid w:val="0049672E"/>
    <w:rsid w:val="004A7A33"/>
    <w:rsid w:val="004B3AA9"/>
    <w:rsid w:val="004B6885"/>
    <w:rsid w:val="004D1578"/>
    <w:rsid w:val="004D211F"/>
    <w:rsid w:val="004D2B38"/>
    <w:rsid w:val="004E0871"/>
    <w:rsid w:val="004E0AD2"/>
    <w:rsid w:val="004E1984"/>
    <w:rsid w:val="00500549"/>
    <w:rsid w:val="00502C20"/>
    <w:rsid w:val="00505429"/>
    <w:rsid w:val="00513D81"/>
    <w:rsid w:val="00520657"/>
    <w:rsid w:val="00531771"/>
    <w:rsid w:val="00533060"/>
    <w:rsid w:val="00534799"/>
    <w:rsid w:val="005358BF"/>
    <w:rsid w:val="005441ED"/>
    <w:rsid w:val="00550AEC"/>
    <w:rsid w:val="00551558"/>
    <w:rsid w:val="0056427B"/>
    <w:rsid w:val="00584471"/>
    <w:rsid w:val="00586070"/>
    <w:rsid w:val="00586765"/>
    <w:rsid w:val="005A107B"/>
    <w:rsid w:val="005A5DE3"/>
    <w:rsid w:val="005B28FD"/>
    <w:rsid w:val="005D0AE6"/>
    <w:rsid w:val="005E2353"/>
    <w:rsid w:val="005F0CDB"/>
    <w:rsid w:val="005F71DC"/>
    <w:rsid w:val="00610439"/>
    <w:rsid w:val="00632F01"/>
    <w:rsid w:val="0064434F"/>
    <w:rsid w:val="00644AE0"/>
    <w:rsid w:val="006467CD"/>
    <w:rsid w:val="00647558"/>
    <w:rsid w:val="006565B0"/>
    <w:rsid w:val="00656846"/>
    <w:rsid w:val="00657259"/>
    <w:rsid w:val="00667DC5"/>
    <w:rsid w:val="00672AD3"/>
    <w:rsid w:val="006844E8"/>
    <w:rsid w:val="0068769E"/>
    <w:rsid w:val="006A096D"/>
    <w:rsid w:val="006A6D06"/>
    <w:rsid w:val="006C21DC"/>
    <w:rsid w:val="006D64A7"/>
    <w:rsid w:val="006E52FC"/>
    <w:rsid w:val="006F0D17"/>
    <w:rsid w:val="006F5836"/>
    <w:rsid w:val="006F5E7B"/>
    <w:rsid w:val="007012EF"/>
    <w:rsid w:val="0072078C"/>
    <w:rsid w:val="007348A3"/>
    <w:rsid w:val="00747420"/>
    <w:rsid w:val="00747BFF"/>
    <w:rsid w:val="007506E5"/>
    <w:rsid w:val="00757529"/>
    <w:rsid w:val="00767FE7"/>
    <w:rsid w:val="00776337"/>
    <w:rsid w:val="007A5807"/>
    <w:rsid w:val="007A619A"/>
    <w:rsid w:val="007B5E4C"/>
    <w:rsid w:val="007C61DB"/>
    <w:rsid w:val="007C7D21"/>
    <w:rsid w:val="007E6E83"/>
    <w:rsid w:val="007F0533"/>
    <w:rsid w:val="007F2C0A"/>
    <w:rsid w:val="00822969"/>
    <w:rsid w:val="00822D25"/>
    <w:rsid w:val="00822FE8"/>
    <w:rsid w:val="008335F4"/>
    <w:rsid w:val="00837EDD"/>
    <w:rsid w:val="0084251D"/>
    <w:rsid w:val="00842C50"/>
    <w:rsid w:val="00843D4C"/>
    <w:rsid w:val="00852F7B"/>
    <w:rsid w:val="00854DDD"/>
    <w:rsid w:val="008669BB"/>
    <w:rsid w:val="00874398"/>
    <w:rsid w:val="00876FD0"/>
    <w:rsid w:val="008779AF"/>
    <w:rsid w:val="00880DD9"/>
    <w:rsid w:val="00892109"/>
    <w:rsid w:val="008A4254"/>
    <w:rsid w:val="008A7DA4"/>
    <w:rsid w:val="008B5DF7"/>
    <w:rsid w:val="008C1FE1"/>
    <w:rsid w:val="008E05EF"/>
    <w:rsid w:val="008F38C4"/>
    <w:rsid w:val="008F6D98"/>
    <w:rsid w:val="00901272"/>
    <w:rsid w:val="009053D0"/>
    <w:rsid w:val="009059B5"/>
    <w:rsid w:val="009061F1"/>
    <w:rsid w:val="009062F2"/>
    <w:rsid w:val="0091573F"/>
    <w:rsid w:val="00921A70"/>
    <w:rsid w:val="00922138"/>
    <w:rsid w:val="009248CE"/>
    <w:rsid w:val="00937EAF"/>
    <w:rsid w:val="00952505"/>
    <w:rsid w:val="009531FB"/>
    <w:rsid w:val="00953546"/>
    <w:rsid w:val="0095432A"/>
    <w:rsid w:val="0096398A"/>
    <w:rsid w:val="009710B5"/>
    <w:rsid w:val="009712F1"/>
    <w:rsid w:val="009713BF"/>
    <w:rsid w:val="00986776"/>
    <w:rsid w:val="00991ED2"/>
    <w:rsid w:val="009B6D62"/>
    <w:rsid w:val="009C4104"/>
    <w:rsid w:val="009D1CDB"/>
    <w:rsid w:val="009E1591"/>
    <w:rsid w:val="009E2B15"/>
    <w:rsid w:val="009E58B7"/>
    <w:rsid w:val="009F1CEF"/>
    <w:rsid w:val="009F3B12"/>
    <w:rsid w:val="00A008FB"/>
    <w:rsid w:val="00A14034"/>
    <w:rsid w:val="00A240B0"/>
    <w:rsid w:val="00A47336"/>
    <w:rsid w:val="00A54A3B"/>
    <w:rsid w:val="00A55DC7"/>
    <w:rsid w:val="00A60681"/>
    <w:rsid w:val="00A65B0B"/>
    <w:rsid w:val="00A72DFD"/>
    <w:rsid w:val="00A81903"/>
    <w:rsid w:val="00A84252"/>
    <w:rsid w:val="00A8449A"/>
    <w:rsid w:val="00A844FA"/>
    <w:rsid w:val="00A846ED"/>
    <w:rsid w:val="00A95E56"/>
    <w:rsid w:val="00AA12DE"/>
    <w:rsid w:val="00AA421B"/>
    <w:rsid w:val="00AB4265"/>
    <w:rsid w:val="00AD65D4"/>
    <w:rsid w:val="00AE10EA"/>
    <w:rsid w:val="00AE1106"/>
    <w:rsid w:val="00AE24DA"/>
    <w:rsid w:val="00AE35E2"/>
    <w:rsid w:val="00AF0F7F"/>
    <w:rsid w:val="00B03624"/>
    <w:rsid w:val="00B16B42"/>
    <w:rsid w:val="00B25E99"/>
    <w:rsid w:val="00B32F90"/>
    <w:rsid w:val="00B335A6"/>
    <w:rsid w:val="00B40037"/>
    <w:rsid w:val="00B433E3"/>
    <w:rsid w:val="00B60000"/>
    <w:rsid w:val="00B63259"/>
    <w:rsid w:val="00B6727A"/>
    <w:rsid w:val="00B67BC4"/>
    <w:rsid w:val="00B7696D"/>
    <w:rsid w:val="00B819BC"/>
    <w:rsid w:val="00B81A20"/>
    <w:rsid w:val="00B91104"/>
    <w:rsid w:val="00BB0B0E"/>
    <w:rsid w:val="00BB1C6C"/>
    <w:rsid w:val="00BB6442"/>
    <w:rsid w:val="00BB6910"/>
    <w:rsid w:val="00BC05B8"/>
    <w:rsid w:val="00BC16DF"/>
    <w:rsid w:val="00BD4D55"/>
    <w:rsid w:val="00BF7D0E"/>
    <w:rsid w:val="00C076C3"/>
    <w:rsid w:val="00C109FF"/>
    <w:rsid w:val="00C428C6"/>
    <w:rsid w:val="00C44FE2"/>
    <w:rsid w:val="00C45698"/>
    <w:rsid w:val="00C47C7A"/>
    <w:rsid w:val="00C55784"/>
    <w:rsid w:val="00C55FEF"/>
    <w:rsid w:val="00C56A27"/>
    <w:rsid w:val="00C635D5"/>
    <w:rsid w:val="00C64526"/>
    <w:rsid w:val="00C76A86"/>
    <w:rsid w:val="00C86224"/>
    <w:rsid w:val="00CA7DEE"/>
    <w:rsid w:val="00CC78F9"/>
    <w:rsid w:val="00CD2E4B"/>
    <w:rsid w:val="00CE2B83"/>
    <w:rsid w:val="00CF026D"/>
    <w:rsid w:val="00CF0691"/>
    <w:rsid w:val="00D03F10"/>
    <w:rsid w:val="00D05411"/>
    <w:rsid w:val="00D12077"/>
    <w:rsid w:val="00D30D35"/>
    <w:rsid w:val="00D34056"/>
    <w:rsid w:val="00D372AA"/>
    <w:rsid w:val="00D5239D"/>
    <w:rsid w:val="00D6626D"/>
    <w:rsid w:val="00D7689E"/>
    <w:rsid w:val="00D7759C"/>
    <w:rsid w:val="00D81B34"/>
    <w:rsid w:val="00D83CF0"/>
    <w:rsid w:val="00D865D5"/>
    <w:rsid w:val="00D966A5"/>
    <w:rsid w:val="00DA041C"/>
    <w:rsid w:val="00DA3A0A"/>
    <w:rsid w:val="00DB03CE"/>
    <w:rsid w:val="00DB0B7C"/>
    <w:rsid w:val="00DB62E6"/>
    <w:rsid w:val="00DC107E"/>
    <w:rsid w:val="00DD053C"/>
    <w:rsid w:val="00DD0AB1"/>
    <w:rsid w:val="00DE31DC"/>
    <w:rsid w:val="00DE73DB"/>
    <w:rsid w:val="00DF65ED"/>
    <w:rsid w:val="00E0252D"/>
    <w:rsid w:val="00E0570B"/>
    <w:rsid w:val="00E07216"/>
    <w:rsid w:val="00E10FA6"/>
    <w:rsid w:val="00E150EF"/>
    <w:rsid w:val="00E20886"/>
    <w:rsid w:val="00E2278A"/>
    <w:rsid w:val="00E253D3"/>
    <w:rsid w:val="00E258E6"/>
    <w:rsid w:val="00E26463"/>
    <w:rsid w:val="00E324F2"/>
    <w:rsid w:val="00E327F7"/>
    <w:rsid w:val="00E35B64"/>
    <w:rsid w:val="00E57227"/>
    <w:rsid w:val="00E5742E"/>
    <w:rsid w:val="00E72F7D"/>
    <w:rsid w:val="00E821D8"/>
    <w:rsid w:val="00E902EE"/>
    <w:rsid w:val="00E90A53"/>
    <w:rsid w:val="00E96C97"/>
    <w:rsid w:val="00E970F5"/>
    <w:rsid w:val="00EA3E43"/>
    <w:rsid w:val="00EB341D"/>
    <w:rsid w:val="00ED2B54"/>
    <w:rsid w:val="00EE2216"/>
    <w:rsid w:val="00EE5DAC"/>
    <w:rsid w:val="00EF64F7"/>
    <w:rsid w:val="00F00987"/>
    <w:rsid w:val="00F00E51"/>
    <w:rsid w:val="00F1306B"/>
    <w:rsid w:val="00F30B40"/>
    <w:rsid w:val="00F34B2F"/>
    <w:rsid w:val="00F6184A"/>
    <w:rsid w:val="00F66655"/>
    <w:rsid w:val="00F80713"/>
    <w:rsid w:val="00F94C85"/>
    <w:rsid w:val="00F97EED"/>
    <w:rsid w:val="00FA7CF9"/>
    <w:rsid w:val="00FB40A9"/>
    <w:rsid w:val="00FB43AE"/>
    <w:rsid w:val="00FB6997"/>
    <w:rsid w:val="00FC5BF4"/>
    <w:rsid w:val="00FC5D5A"/>
    <w:rsid w:val="00FD3AFD"/>
    <w:rsid w:val="00FE53DA"/>
    <w:rsid w:val="00FE5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41"/>
    <o:shapelayout v:ext="edit">
      <o:idmap v:ext="edit" data="1"/>
    </o:shapelayout>
  </w:shapeDefaults>
  <w:decimalSymbol w:val="."/>
  <w:listSeparator w:val=","/>
  <w14:docId w14:val="621CE0B2"/>
  <w15:docId w15:val="{7AC67EC8-6111-4F0D-8C6B-23D1F14D0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1DC"/>
    <w:pPr>
      <w:ind w:left="720"/>
      <w:contextualSpacing/>
    </w:pPr>
  </w:style>
  <w:style w:type="character" w:styleId="Hyperlink">
    <w:name w:val="Hyperlink"/>
    <w:basedOn w:val="DefaultParagraphFont"/>
    <w:uiPriority w:val="99"/>
    <w:unhideWhenUsed/>
    <w:rsid w:val="00CA7DEE"/>
    <w:rPr>
      <w:color w:val="0000FF"/>
      <w:u w:val="single"/>
    </w:rPr>
  </w:style>
  <w:style w:type="character" w:customStyle="1" w:styleId="UnresolvedMention1">
    <w:name w:val="Unresolved Mention1"/>
    <w:basedOn w:val="DefaultParagraphFont"/>
    <w:uiPriority w:val="99"/>
    <w:semiHidden/>
    <w:unhideWhenUsed/>
    <w:rsid w:val="009B6D62"/>
    <w:rPr>
      <w:color w:val="605E5C"/>
      <w:shd w:val="clear" w:color="auto" w:fill="E1DFDD"/>
    </w:rPr>
  </w:style>
  <w:style w:type="paragraph" w:styleId="Header">
    <w:name w:val="header"/>
    <w:basedOn w:val="Normal"/>
    <w:link w:val="HeaderChar"/>
    <w:uiPriority w:val="99"/>
    <w:unhideWhenUsed/>
    <w:rsid w:val="007348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8A3"/>
  </w:style>
  <w:style w:type="paragraph" w:styleId="Footer">
    <w:name w:val="footer"/>
    <w:basedOn w:val="Normal"/>
    <w:link w:val="FooterChar"/>
    <w:uiPriority w:val="99"/>
    <w:unhideWhenUsed/>
    <w:rsid w:val="00734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8A3"/>
  </w:style>
  <w:style w:type="character" w:customStyle="1" w:styleId="UnresolvedMention2">
    <w:name w:val="Unresolved Mention2"/>
    <w:basedOn w:val="DefaultParagraphFont"/>
    <w:uiPriority w:val="99"/>
    <w:semiHidden/>
    <w:unhideWhenUsed/>
    <w:rsid w:val="005A5DE3"/>
    <w:rPr>
      <w:color w:val="605E5C"/>
      <w:shd w:val="clear" w:color="auto" w:fill="E1DFDD"/>
    </w:rPr>
  </w:style>
  <w:style w:type="character" w:styleId="FollowedHyperlink">
    <w:name w:val="FollowedHyperlink"/>
    <w:basedOn w:val="DefaultParagraphFont"/>
    <w:uiPriority w:val="99"/>
    <w:semiHidden/>
    <w:unhideWhenUsed/>
    <w:rsid w:val="00210141"/>
    <w:rPr>
      <w:color w:val="954F72" w:themeColor="followedHyperlink"/>
      <w:u w:val="single"/>
    </w:rPr>
  </w:style>
  <w:style w:type="character" w:styleId="Strong">
    <w:name w:val="Strong"/>
    <w:basedOn w:val="DefaultParagraphFont"/>
    <w:uiPriority w:val="22"/>
    <w:qFormat/>
    <w:rsid w:val="006F0D17"/>
    <w:rPr>
      <w:b/>
      <w:bCs/>
    </w:rPr>
  </w:style>
  <w:style w:type="character" w:customStyle="1" w:styleId="normaltextrun">
    <w:name w:val="normaltextrun"/>
    <w:basedOn w:val="DefaultParagraphFont"/>
    <w:rsid w:val="008779AF"/>
  </w:style>
  <w:style w:type="character" w:customStyle="1" w:styleId="eop">
    <w:name w:val="eop"/>
    <w:basedOn w:val="DefaultParagraphFont"/>
    <w:rsid w:val="008779AF"/>
  </w:style>
  <w:style w:type="character" w:customStyle="1" w:styleId="UnresolvedMention3">
    <w:name w:val="Unresolved Mention3"/>
    <w:basedOn w:val="DefaultParagraphFont"/>
    <w:uiPriority w:val="99"/>
    <w:semiHidden/>
    <w:unhideWhenUsed/>
    <w:rsid w:val="005A107B"/>
    <w:rPr>
      <w:color w:val="605E5C"/>
      <w:shd w:val="clear" w:color="auto" w:fill="E1DFDD"/>
    </w:rPr>
  </w:style>
  <w:style w:type="character" w:styleId="UnresolvedMention">
    <w:name w:val="Unresolved Mention"/>
    <w:basedOn w:val="DefaultParagraphFont"/>
    <w:uiPriority w:val="99"/>
    <w:semiHidden/>
    <w:unhideWhenUsed/>
    <w:rsid w:val="005005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5791">
      <w:bodyDiv w:val="1"/>
      <w:marLeft w:val="0"/>
      <w:marRight w:val="0"/>
      <w:marTop w:val="0"/>
      <w:marBottom w:val="0"/>
      <w:divBdr>
        <w:top w:val="none" w:sz="0" w:space="0" w:color="auto"/>
        <w:left w:val="none" w:sz="0" w:space="0" w:color="auto"/>
        <w:bottom w:val="none" w:sz="0" w:space="0" w:color="auto"/>
        <w:right w:val="none" w:sz="0" w:space="0" w:color="auto"/>
      </w:divBdr>
      <w:divsChild>
        <w:div w:id="1991471359">
          <w:marLeft w:val="0"/>
          <w:marRight w:val="0"/>
          <w:marTop w:val="0"/>
          <w:marBottom w:val="0"/>
          <w:divBdr>
            <w:top w:val="none" w:sz="0" w:space="0" w:color="auto"/>
            <w:left w:val="none" w:sz="0" w:space="0" w:color="auto"/>
            <w:bottom w:val="none" w:sz="0" w:space="0" w:color="auto"/>
            <w:right w:val="none" w:sz="0" w:space="0" w:color="auto"/>
          </w:divBdr>
        </w:div>
        <w:div w:id="422340282">
          <w:marLeft w:val="0"/>
          <w:marRight w:val="0"/>
          <w:marTop w:val="0"/>
          <w:marBottom w:val="0"/>
          <w:divBdr>
            <w:top w:val="none" w:sz="0" w:space="0" w:color="auto"/>
            <w:left w:val="none" w:sz="0" w:space="0" w:color="auto"/>
            <w:bottom w:val="none" w:sz="0" w:space="0" w:color="auto"/>
            <w:right w:val="none" w:sz="0" w:space="0" w:color="auto"/>
          </w:divBdr>
        </w:div>
        <w:div w:id="175848055">
          <w:marLeft w:val="0"/>
          <w:marRight w:val="0"/>
          <w:marTop w:val="0"/>
          <w:marBottom w:val="0"/>
          <w:divBdr>
            <w:top w:val="none" w:sz="0" w:space="0" w:color="auto"/>
            <w:left w:val="none" w:sz="0" w:space="0" w:color="auto"/>
            <w:bottom w:val="none" w:sz="0" w:space="0" w:color="auto"/>
            <w:right w:val="none" w:sz="0" w:space="0" w:color="auto"/>
          </w:divBdr>
        </w:div>
      </w:divsChild>
    </w:div>
    <w:div w:id="95908870">
      <w:bodyDiv w:val="1"/>
      <w:marLeft w:val="0"/>
      <w:marRight w:val="0"/>
      <w:marTop w:val="0"/>
      <w:marBottom w:val="0"/>
      <w:divBdr>
        <w:top w:val="none" w:sz="0" w:space="0" w:color="auto"/>
        <w:left w:val="none" w:sz="0" w:space="0" w:color="auto"/>
        <w:bottom w:val="none" w:sz="0" w:space="0" w:color="auto"/>
        <w:right w:val="none" w:sz="0" w:space="0" w:color="auto"/>
      </w:divBdr>
    </w:div>
    <w:div w:id="125662111">
      <w:bodyDiv w:val="1"/>
      <w:marLeft w:val="0"/>
      <w:marRight w:val="0"/>
      <w:marTop w:val="0"/>
      <w:marBottom w:val="0"/>
      <w:divBdr>
        <w:top w:val="none" w:sz="0" w:space="0" w:color="auto"/>
        <w:left w:val="none" w:sz="0" w:space="0" w:color="auto"/>
        <w:bottom w:val="none" w:sz="0" w:space="0" w:color="auto"/>
        <w:right w:val="none" w:sz="0" w:space="0" w:color="auto"/>
      </w:divBdr>
    </w:div>
    <w:div w:id="202519818">
      <w:bodyDiv w:val="1"/>
      <w:marLeft w:val="0"/>
      <w:marRight w:val="0"/>
      <w:marTop w:val="0"/>
      <w:marBottom w:val="0"/>
      <w:divBdr>
        <w:top w:val="none" w:sz="0" w:space="0" w:color="auto"/>
        <w:left w:val="none" w:sz="0" w:space="0" w:color="auto"/>
        <w:bottom w:val="none" w:sz="0" w:space="0" w:color="auto"/>
        <w:right w:val="none" w:sz="0" w:space="0" w:color="auto"/>
      </w:divBdr>
    </w:div>
    <w:div w:id="335499662">
      <w:bodyDiv w:val="1"/>
      <w:marLeft w:val="0"/>
      <w:marRight w:val="0"/>
      <w:marTop w:val="0"/>
      <w:marBottom w:val="0"/>
      <w:divBdr>
        <w:top w:val="none" w:sz="0" w:space="0" w:color="auto"/>
        <w:left w:val="none" w:sz="0" w:space="0" w:color="auto"/>
        <w:bottom w:val="none" w:sz="0" w:space="0" w:color="auto"/>
        <w:right w:val="none" w:sz="0" w:space="0" w:color="auto"/>
      </w:divBdr>
    </w:div>
    <w:div w:id="339964402">
      <w:bodyDiv w:val="1"/>
      <w:marLeft w:val="0"/>
      <w:marRight w:val="0"/>
      <w:marTop w:val="0"/>
      <w:marBottom w:val="0"/>
      <w:divBdr>
        <w:top w:val="none" w:sz="0" w:space="0" w:color="auto"/>
        <w:left w:val="none" w:sz="0" w:space="0" w:color="auto"/>
        <w:bottom w:val="none" w:sz="0" w:space="0" w:color="auto"/>
        <w:right w:val="none" w:sz="0" w:space="0" w:color="auto"/>
      </w:divBdr>
    </w:div>
    <w:div w:id="485709044">
      <w:bodyDiv w:val="1"/>
      <w:marLeft w:val="0"/>
      <w:marRight w:val="0"/>
      <w:marTop w:val="0"/>
      <w:marBottom w:val="0"/>
      <w:divBdr>
        <w:top w:val="none" w:sz="0" w:space="0" w:color="auto"/>
        <w:left w:val="none" w:sz="0" w:space="0" w:color="auto"/>
        <w:bottom w:val="none" w:sz="0" w:space="0" w:color="auto"/>
        <w:right w:val="none" w:sz="0" w:space="0" w:color="auto"/>
      </w:divBdr>
    </w:div>
    <w:div w:id="602032300">
      <w:bodyDiv w:val="1"/>
      <w:marLeft w:val="0"/>
      <w:marRight w:val="0"/>
      <w:marTop w:val="0"/>
      <w:marBottom w:val="0"/>
      <w:divBdr>
        <w:top w:val="none" w:sz="0" w:space="0" w:color="auto"/>
        <w:left w:val="none" w:sz="0" w:space="0" w:color="auto"/>
        <w:bottom w:val="none" w:sz="0" w:space="0" w:color="auto"/>
        <w:right w:val="none" w:sz="0" w:space="0" w:color="auto"/>
      </w:divBdr>
    </w:div>
    <w:div w:id="701052322">
      <w:bodyDiv w:val="1"/>
      <w:marLeft w:val="0"/>
      <w:marRight w:val="0"/>
      <w:marTop w:val="0"/>
      <w:marBottom w:val="0"/>
      <w:divBdr>
        <w:top w:val="none" w:sz="0" w:space="0" w:color="auto"/>
        <w:left w:val="none" w:sz="0" w:space="0" w:color="auto"/>
        <w:bottom w:val="none" w:sz="0" w:space="0" w:color="auto"/>
        <w:right w:val="none" w:sz="0" w:space="0" w:color="auto"/>
      </w:divBdr>
      <w:divsChild>
        <w:div w:id="2005817834">
          <w:marLeft w:val="0"/>
          <w:marRight w:val="0"/>
          <w:marTop w:val="0"/>
          <w:marBottom w:val="0"/>
          <w:divBdr>
            <w:top w:val="none" w:sz="0" w:space="0" w:color="auto"/>
            <w:left w:val="none" w:sz="0" w:space="0" w:color="auto"/>
            <w:bottom w:val="none" w:sz="0" w:space="0" w:color="auto"/>
            <w:right w:val="none" w:sz="0" w:space="0" w:color="auto"/>
          </w:divBdr>
        </w:div>
        <w:div w:id="165175407">
          <w:marLeft w:val="0"/>
          <w:marRight w:val="0"/>
          <w:marTop w:val="0"/>
          <w:marBottom w:val="0"/>
          <w:divBdr>
            <w:top w:val="none" w:sz="0" w:space="0" w:color="auto"/>
            <w:left w:val="none" w:sz="0" w:space="0" w:color="auto"/>
            <w:bottom w:val="none" w:sz="0" w:space="0" w:color="auto"/>
            <w:right w:val="none" w:sz="0" w:space="0" w:color="auto"/>
          </w:divBdr>
        </w:div>
      </w:divsChild>
    </w:div>
    <w:div w:id="841971938">
      <w:bodyDiv w:val="1"/>
      <w:marLeft w:val="0"/>
      <w:marRight w:val="0"/>
      <w:marTop w:val="0"/>
      <w:marBottom w:val="0"/>
      <w:divBdr>
        <w:top w:val="none" w:sz="0" w:space="0" w:color="auto"/>
        <w:left w:val="none" w:sz="0" w:space="0" w:color="auto"/>
        <w:bottom w:val="none" w:sz="0" w:space="0" w:color="auto"/>
        <w:right w:val="none" w:sz="0" w:space="0" w:color="auto"/>
      </w:divBdr>
    </w:div>
    <w:div w:id="954211727">
      <w:bodyDiv w:val="1"/>
      <w:marLeft w:val="0"/>
      <w:marRight w:val="0"/>
      <w:marTop w:val="0"/>
      <w:marBottom w:val="0"/>
      <w:divBdr>
        <w:top w:val="none" w:sz="0" w:space="0" w:color="auto"/>
        <w:left w:val="none" w:sz="0" w:space="0" w:color="auto"/>
        <w:bottom w:val="none" w:sz="0" w:space="0" w:color="auto"/>
        <w:right w:val="none" w:sz="0" w:space="0" w:color="auto"/>
      </w:divBdr>
    </w:div>
    <w:div w:id="1028994759">
      <w:bodyDiv w:val="1"/>
      <w:marLeft w:val="0"/>
      <w:marRight w:val="0"/>
      <w:marTop w:val="0"/>
      <w:marBottom w:val="0"/>
      <w:divBdr>
        <w:top w:val="none" w:sz="0" w:space="0" w:color="auto"/>
        <w:left w:val="none" w:sz="0" w:space="0" w:color="auto"/>
        <w:bottom w:val="none" w:sz="0" w:space="0" w:color="auto"/>
        <w:right w:val="none" w:sz="0" w:space="0" w:color="auto"/>
      </w:divBdr>
    </w:div>
    <w:div w:id="1071923968">
      <w:bodyDiv w:val="1"/>
      <w:marLeft w:val="0"/>
      <w:marRight w:val="0"/>
      <w:marTop w:val="0"/>
      <w:marBottom w:val="0"/>
      <w:divBdr>
        <w:top w:val="none" w:sz="0" w:space="0" w:color="auto"/>
        <w:left w:val="none" w:sz="0" w:space="0" w:color="auto"/>
        <w:bottom w:val="none" w:sz="0" w:space="0" w:color="auto"/>
        <w:right w:val="none" w:sz="0" w:space="0" w:color="auto"/>
      </w:divBdr>
    </w:div>
    <w:div w:id="1104962714">
      <w:bodyDiv w:val="1"/>
      <w:marLeft w:val="0"/>
      <w:marRight w:val="0"/>
      <w:marTop w:val="0"/>
      <w:marBottom w:val="0"/>
      <w:divBdr>
        <w:top w:val="none" w:sz="0" w:space="0" w:color="auto"/>
        <w:left w:val="none" w:sz="0" w:space="0" w:color="auto"/>
        <w:bottom w:val="none" w:sz="0" w:space="0" w:color="auto"/>
        <w:right w:val="none" w:sz="0" w:space="0" w:color="auto"/>
      </w:divBdr>
      <w:divsChild>
        <w:div w:id="668487569">
          <w:marLeft w:val="0"/>
          <w:marRight w:val="0"/>
          <w:marTop w:val="0"/>
          <w:marBottom w:val="0"/>
          <w:divBdr>
            <w:top w:val="none" w:sz="0" w:space="0" w:color="auto"/>
            <w:left w:val="none" w:sz="0" w:space="0" w:color="auto"/>
            <w:bottom w:val="none" w:sz="0" w:space="0" w:color="auto"/>
            <w:right w:val="none" w:sz="0" w:space="0" w:color="auto"/>
          </w:divBdr>
        </w:div>
        <w:div w:id="284046145">
          <w:marLeft w:val="0"/>
          <w:marRight w:val="0"/>
          <w:marTop w:val="0"/>
          <w:marBottom w:val="0"/>
          <w:divBdr>
            <w:top w:val="none" w:sz="0" w:space="0" w:color="auto"/>
            <w:left w:val="none" w:sz="0" w:space="0" w:color="auto"/>
            <w:bottom w:val="none" w:sz="0" w:space="0" w:color="auto"/>
            <w:right w:val="none" w:sz="0" w:space="0" w:color="auto"/>
          </w:divBdr>
        </w:div>
        <w:div w:id="1804151816">
          <w:marLeft w:val="0"/>
          <w:marRight w:val="0"/>
          <w:marTop w:val="0"/>
          <w:marBottom w:val="0"/>
          <w:divBdr>
            <w:top w:val="none" w:sz="0" w:space="0" w:color="auto"/>
            <w:left w:val="none" w:sz="0" w:space="0" w:color="auto"/>
            <w:bottom w:val="none" w:sz="0" w:space="0" w:color="auto"/>
            <w:right w:val="none" w:sz="0" w:space="0" w:color="auto"/>
          </w:divBdr>
        </w:div>
      </w:divsChild>
    </w:div>
    <w:div w:id="1480222548">
      <w:bodyDiv w:val="1"/>
      <w:marLeft w:val="0"/>
      <w:marRight w:val="0"/>
      <w:marTop w:val="0"/>
      <w:marBottom w:val="0"/>
      <w:divBdr>
        <w:top w:val="none" w:sz="0" w:space="0" w:color="auto"/>
        <w:left w:val="none" w:sz="0" w:space="0" w:color="auto"/>
        <w:bottom w:val="none" w:sz="0" w:space="0" w:color="auto"/>
        <w:right w:val="none" w:sz="0" w:space="0" w:color="auto"/>
      </w:divBdr>
    </w:div>
    <w:div w:id="1850021084">
      <w:bodyDiv w:val="1"/>
      <w:marLeft w:val="0"/>
      <w:marRight w:val="0"/>
      <w:marTop w:val="0"/>
      <w:marBottom w:val="0"/>
      <w:divBdr>
        <w:top w:val="none" w:sz="0" w:space="0" w:color="auto"/>
        <w:left w:val="none" w:sz="0" w:space="0" w:color="auto"/>
        <w:bottom w:val="none" w:sz="0" w:space="0" w:color="auto"/>
        <w:right w:val="none" w:sz="0" w:space="0" w:color="auto"/>
      </w:divBdr>
    </w:div>
    <w:div w:id="1980527681">
      <w:bodyDiv w:val="1"/>
      <w:marLeft w:val="0"/>
      <w:marRight w:val="0"/>
      <w:marTop w:val="0"/>
      <w:marBottom w:val="0"/>
      <w:divBdr>
        <w:top w:val="none" w:sz="0" w:space="0" w:color="auto"/>
        <w:left w:val="none" w:sz="0" w:space="0" w:color="auto"/>
        <w:bottom w:val="none" w:sz="0" w:space="0" w:color="auto"/>
        <w:right w:val="none" w:sz="0" w:space="0" w:color="auto"/>
      </w:divBdr>
    </w:div>
    <w:div w:id="2023890861">
      <w:bodyDiv w:val="1"/>
      <w:marLeft w:val="0"/>
      <w:marRight w:val="0"/>
      <w:marTop w:val="0"/>
      <w:marBottom w:val="0"/>
      <w:divBdr>
        <w:top w:val="none" w:sz="0" w:space="0" w:color="auto"/>
        <w:left w:val="none" w:sz="0" w:space="0" w:color="auto"/>
        <w:bottom w:val="none" w:sz="0" w:space="0" w:color="auto"/>
        <w:right w:val="none" w:sz="0" w:space="0" w:color="auto"/>
      </w:divBdr>
    </w:div>
    <w:div w:id="20542312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su12062300" TargetMode="External"/><Relationship Id="rId21" Type="http://schemas.openxmlformats.org/officeDocument/2006/relationships/header" Target="header2.xml"/><Relationship Id="rId34" Type="http://schemas.openxmlformats.org/officeDocument/2006/relationships/hyperlink" Target="https://www.cipd.org/uk/knowledge/guides/part-time-working/" TargetMode="External"/><Relationship Id="rId42" Type="http://schemas.openxmlformats.org/officeDocument/2006/relationships/hyperlink" Target="https://www.cipd.org/uk/views-and-insights/thought-leadership/insight/evidence-based-profession/" TargetMode="External"/><Relationship Id="rId47" Type="http://schemas.openxmlformats.org/officeDocument/2006/relationships/hyperlink" Target="https://www.cipd.org/uk/knowledge/podcasts/critical-thinking/" TargetMode="External"/><Relationship Id="rId50" Type="http://schemas.openxmlformats.org/officeDocument/2006/relationships/hyperlink" Target="https://www.hrmagazine.co.uk/content/features/evidence-based-hr-under-the-microscope" TargetMode="External"/><Relationship Id="rId55" Type="http://schemas.openxmlformats.org/officeDocument/2006/relationships/hyperlink" Target="https://www.cipd.org/globalassets/media/knowledge/knowledge-hub/evidence-reviews/2023-pdfs/fair-selection-evidence-practice-summary_tcm18-114569.pdf" TargetMode="External"/><Relationship Id="rId63" Type="http://schemas.openxmlformats.org/officeDocument/2006/relationships/hyperlink" Target="https://www.cipd.org/uk/knowledge/factsheets/engagement-factshe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4.xml"/><Relationship Id="rId29" Type="http://schemas.openxmlformats.org/officeDocument/2006/relationships/hyperlink" Target="https://www.cipd.org/uk/knowledge/factsheets/pestle-analysis-factsheet/" TargetMode="External"/><Relationship Id="rId11" Type="http://schemas.openxmlformats.org/officeDocument/2006/relationships/chart" Target="charts/chart1.xml"/><Relationship Id="rId24" Type="http://schemas.openxmlformats.org/officeDocument/2006/relationships/hyperlink" Target="https://d1wqtxts1xzle7.cloudfront.net/50815805/111._Using_Six_Thinking_hats_for_Organizational_Problem_Solving-libre.pdf?1481376164=&amp;response-content-disposition=inline%3B+filename%3DUSING_SIX_THINKING_HATS_AS_A_TOOL_FOR_LA.pdf&amp;Expires=1700348600&amp;Signature=XlYsxfGHza3yYuOdyHL81L4aylkw~jA~g8rExDZEiMKm-sNmj8opSByajUlrR6nuSbjf4UfX9yj2wHKHegfDa7xYe4sbwjgblMwV1Fjf7PwFX2uCkNFaHXHSKDtEUtglNAIIzrxcNHHixYCTb355tn50IAkk8dCgC-9WQQ0eendXNNttOI4g0I1WD2z7oFA7IHoqzMS~9E18G2Ge0OKlVKaKAaDT2pYDl2y20fukXpD1I9OHy9dUvKN2KYjFaj2WTaj4d14pDM8DnBk5j~1yDPHrXAyyf2bzZNwZU8pUBViPy~I4kCL9MIK4Q8eQllPRAYBJmTdcvMGXnpJ30RLDxg__&amp;Key-Pair-Id=APKAJLOHF5GGSLRBV4ZA" TargetMode="External"/><Relationship Id="rId32" Type="http://schemas.openxmlformats.org/officeDocument/2006/relationships/hyperlink" Target="https://www.cipd.org/uk/knowledge/factsheets/analytics-factsheet/" TargetMode="External"/><Relationship Id="rId37" Type="http://schemas.openxmlformats.org/officeDocument/2006/relationships/hyperlink" Target="https://www.cipd.org/globalassets/media/comms/the-people-profession/profession-map-pdfs/ethical-decision-making-2015-eight-perspectives-on-workplace-dilemmas_tcm29-9564.pdf" TargetMode="External"/><Relationship Id="rId40" Type="http://schemas.openxmlformats.org/officeDocument/2006/relationships/hyperlink" Target="https://www.cipd.org/uk/knowledge/factsheets/performance-factsheet/" TargetMode="External"/><Relationship Id="rId45" Type="http://schemas.openxmlformats.org/officeDocument/2006/relationships/hyperlink" Target="https://www.cipd.org/uk/knowledge/factsheets/swot-analysis-factsheet/" TargetMode="External"/><Relationship Id="rId53" Type="http://schemas.openxmlformats.org/officeDocument/2006/relationships/hyperlink" Target="https://www.indeed.com/career-advice/career-development/direct-vs-indirect-costs" TargetMode="External"/><Relationship Id="rId58" Type="http://schemas.openxmlformats.org/officeDocument/2006/relationships/hyperlink" Target="https://www.cipd.org/uk/knowledge/factsheets/flexible-working-factsheet/"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1080/13668250903093125" TargetMode="External"/><Relationship Id="rId19" Type="http://schemas.openxmlformats.org/officeDocument/2006/relationships/chart" Target="charts/chart7.xml"/><Relationship Id="rId14" Type="http://schemas.openxmlformats.org/officeDocument/2006/relationships/header" Target="header1.xml"/><Relationship Id="rId22" Type="http://schemas.openxmlformats.org/officeDocument/2006/relationships/footer" Target="footer2.xml"/><Relationship Id="rId27" Type="http://schemas.openxmlformats.org/officeDocument/2006/relationships/hyperlink" Target="https://mpra.ub.uni-muenchen.de/72507/1/mpra_paper_72507.pdf" TargetMode="External"/><Relationship Id="rId30" Type="http://schemas.openxmlformats.org/officeDocument/2006/relationships/hyperlink" Target="https://www.hrmagazine.co.uk/content/features/whats-the-evidence-for-evidence-based-hr/" TargetMode="External"/><Relationship Id="rId35" Type="http://schemas.openxmlformats.org/officeDocument/2006/relationships/hyperlink" Target="https://www.managers.org.uk/wp-content/uploads/2020/03/CHK-277_Developing_decision_making_skills.pdf" TargetMode="External"/><Relationship Id="rId43" Type="http://schemas.openxmlformats.org/officeDocument/2006/relationships/hyperlink" Target="https://papers.ssrn.com/sol3/papers.cfm?abstract_id=3765758" TargetMode="External"/><Relationship Id="rId48" Type="http://schemas.openxmlformats.org/officeDocument/2006/relationships/hyperlink" Target="https://assets.publishing.service.gov.uk/media/5b3b5de3ed915d33c7d58e52/Internships.pdf" TargetMode="External"/><Relationship Id="rId56" Type="http://schemas.openxmlformats.org/officeDocument/2006/relationships/hyperlink" Target="https://doi.org/10.54941/ahfe1001522" TargetMode="External"/><Relationship Id="rId64" Type="http://schemas.openxmlformats.org/officeDocument/2006/relationships/hyperlink" Target="https://www.cipd.org/uk/knowledge/factsheets/evidence-based-practice-factsheet/" TargetMode="External"/><Relationship Id="rId8" Type="http://schemas.openxmlformats.org/officeDocument/2006/relationships/image" Target="media/image2.png"/><Relationship Id="rId51" Type="http://schemas.openxmlformats.org/officeDocument/2006/relationships/hyperlink" Target="https://doi.org/10.46743/2160-3715/2021.4492" TargetMode="External"/><Relationship Id="rId3"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chart" Target="charts/chart5.xml"/><Relationship Id="rId25" Type="http://schemas.openxmlformats.org/officeDocument/2006/relationships/hyperlink" Target="http://dx.doi.org/10.5281/zenodo.838378" TargetMode="External"/><Relationship Id="rId33" Type="http://schemas.openxmlformats.org/officeDocument/2006/relationships/hyperlink" Target="https://www.cipd.org/globalassets/media/comms/the-people-profession/profession-map-pdfs/profession-map-full-standards-november-2023.pdf" TargetMode="External"/><Relationship Id="rId38" Type="http://schemas.openxmlformats.org/officeDocument/2006/relationships/hyperlink" Target="https://www.bbc.co.uk/news/uk-wales-66795466" TargetMode="External"/><Relationship Id="rId46" Type="http://schemas.openxmlformats.org/officeDocument/2006/relationships/hyperlink" Target="https://www.cipd.org/uk/knowledge/guides/analytics-practitioner-guide/" TargetMode="External"/><Relationship Id="rId59" Type="http://schemas.openxmlformats.org/officeDocument/2006/relationships/hyperlink" Target="https://www.mindtools.com/ak1yhhs/kirkpatricks-four-level-training-evaluation-model" TargetMode="External"/><Relationship Id="rId67" Type="http://schemas.openxmlformats.org/officeDocument/2006/relationships/theme" Target="theme/theme1.xml"/><Relationship Id="rId20" Type="http://schemas.openxmlformats.org/officeDocument/2006/relationships/chart" Target="charts/chart8.xml"/><Relationship Id="rId41" Type="http://schemas.openxmlformats.org/officeDocument/2006/relationships/hyperlink" Target="https://www.cipd.org/uk/knowledge/guides/evidence-based-profession/" TargetMode="External"/><Relationship Id="rId54" Type="http://schemas.openxmlformats.org/officeDocument/2006/relationships/hyperlink" Target="http://dx.doi.org/10.4236/ce.2015.63037" TargetMode="External"/><Relationship Id="rId62" Type="http://schemas.openxmlformats.org/officeDocument/2006/relationships/hyperlink" Target="https://www.financestrategists.com/wealth-management/financial-statements/gross-profi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footer" Target="footer1.xml"/><Relationship Id="rId23" Type="http://schemas.openxmlformats.org/officeDocument/2006/relationships/chart" Target="charts/chart9.xml"/><Relationship Id="rId28" Type="http://schemas.openxmlformats.org/officeDocument/2006/relationships/hyperlink" Target="https://www.proquest.com/docview/1732602475/fulltextPDF/97697F9B5DA543E1PQ/1?accountid=130472" TargetMode="External"/><Relationship Id="rId36" Type="http://schemas.openxmlformats.org/officeDocument/2006/relationships/hyperlink" Target="https://www.managers.org.uk/wp-content/uploads/2020/03/CHK-082-Developing-a-mentoring-scheme.pdf" TargetMode="External"/><Relationship Id="rId49" Type="http://schemas.openxmlformats.org/officeDocument/2006/relationships/hyperlink" Target="https://www.hrmagazine.co.uk/content/features/evidence-based-hr-in-practice" TargetMode="External"/><Relationship Id="rId57" Type="http://schemas.openxmlformats.org/officeDocument/2006/relationships/hyperlink" Target="https://www.cipd.org/uk/views-and-insights/thought-leadership/cipd-voice/tackling-workplace-racial-disadvantages/" TargetMode="External"/><Relationship Id="rId10" Type="http://schemas.openxmlformats.org/officeDocument/2006/relationships/image" Target="media/image4.png"/><Relationship Id="rId31" Type="http://schemas.openxmlformats.org/officeDocument/2006/relationships/hyperlink" Target="https://www.cipd.org/uk/learning/support-for-students/currently-studying/critical-review-writing/" TargetMode="External"/><Relationship Id="rId44" Type="http://schemas.openxmlformats.org/officeDocument/2006/relationships/hyperlink" Target="https://doi.org/10.1002/jsc.764" TargetMode="External"/><Relationship Id="rId52" Type="http://schemas.openxmlformats.org/officeDocument/2006/relationships/hyperlink" Target="https://www.researchgate.net/profile/David-Hekman/publication/303003812_If_There's_Only_One_Woman_in_Your_Candidate_Pool_There's_Statistically_No_Chance_She'll_Be_Hired/links/575eea9908ae9a9c955f8e2c/If-Theres-Only-One-Woman-in-Your-Candidate-Pool-Theres-Statistically-No-Chance-Shell-Be-Hired.pdf" TargetMode="External"/><Relationship Id="rId60" Type="http://schemas.openxmlformats.org/officeDocument/2006/relationships/hyperlink" Target="https://www.cipd.org/uk/knowledge/guides/ethics-work-guide/" TargetMode="External"/><Relationship Id="rId65" Type="http://schemas.openxmlformats.org/officeDocument/2006/relationships/hyperlink" Target="https://www.cipd.org/uk/knowledge/guides/gender-pay-gap-reporting-guide/"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chart" Target="charts/chart3.xml"/><Relationship Id="rId18" Type="http://schemas.openxmlformats.org/officeDocument/2006/relationships/chart" Target="charts/chart6.xml"/><Relationship Id="rId39" Type="http://schemas.openxmlformats.org/officeDocument/2006/relationships/hyperlink" Target="https://www.gov.uk/government/publications/womens-progression-in-the-workplace-actions-for-employers/what-works-to-reduce-the-gender-pay-gap-womens-progression-in-the-workplace-action-note"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1.bin"/></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2.bin"/></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2.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3.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4.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5.xlsx"/></Relationships>
</file>

<file path=word/charts/_rels/chart9.xml.rels><?xml version="1.0" encoding="UTF-8" standalone="yes"?>
<Relationships xmlns="http://schemas.openxmlformats.org/package/2006/relationships"><Relationship Id="rId3" Type="http://schemas.openxmlformats.org/officeDocument/2006/relationships/oleObject" Target="file:///\\Client\S$\HDUHB\Workforce\RESOURCING\Lara\TrainingCPD\CIPD%20Level%205\Evidence%20Based%20Practice\Table%202.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table!PivotTable1</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Percentage of each Gender by Type in</a:t>
            </a:r>
            <a:r>
              <a:rPr lang="en-US" baseline="0"/>
              <a:t> the Organisation</a:t>
            </a:r>
            <a:endParaRPr lang="en-US"/>
          </a:p>
        </c:rich>
      </c:tx>
      <c:layout>
        <c:manualLayout>
          <c:xMode val="edge"/>
          <c:yMode val="edge"/>
          <c:x val="0.13831664791901013"/>
          <c:y val="2.0498846735067213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1"/>
        <c:dLbl>
          <c:idx val="0"/>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2"/>
        <c:dLbl>
          <c:idx val="0"/>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
        <c:dLbl>
          <c:idx val="0"/>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4"/>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5"/>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6"/>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7"/>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6461754780652419E-2"/>
          <c:y val="0.27282812375725757"/>
          <c:w val="0.69141769778777651"/>
          <c:h val="0.61620233834407068"/>
        </c:manualLayout>
      </c:layout>
      <c:pie3DChart>
        <c:varyColors val="1"/>
        <c:ser>
          <c:idx val="0"/>
          <c:order val="0"/>
          <c:tx>
            <c:strRef>
              <c:f>'Pivot table'!$C$4</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4F32-4367-B98B-3116A1DE571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4F32-4367-B98B-3116A1DE571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4F32-4367-B98B-3116A1DE571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'Pivot table'!$B$5:$B$8</c:f>
              <c:strCache>
                <c:ptCount val="3"/>
                <c:pt idx="0">
                  <c:v>Female</c:v>
                </c:pt>
                <c:pt idx="1">
                  <c:v>Male</c:v>
                </c:pt>
                <c:pt idx="2">
                  <c:v>Non-binary</c:v>
                </c:pt>
              </c:strCache>
            </c:strRef>
          </c:cat>
          <c:val>
            <c:numRef>
              <c:f>'Pivot table'!$C$5:$C$8</c:f>
              <c:numCache>
                <c:formatCode>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4F32-4367-B98B-3116A1DE5714}"/>
            </c:ext>
          </c:extLst>
        </c:ser>
        <c:dLbls>
          <c:dLblPos val="outEnd"/>
          <c:showLegendKey val="0"/>
          <c:showVal val="0"/>
          <c:showCatName val="0"/>
          <c:showSerName val="0"/>
          <c:showPercent val="1"/>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1.xlsx]Gender!PivotTable1</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Number</a:t>
            </a:r>
            <a:r>
              <a:rPr lang="en-GB" baseline="0"/>
              <a:t> of Employess in each team</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2">
                <a:lumMod val="60000"/>
                <a:lumOff val="40000"/>
              </a:schemeClr>
            </a:solidFill>
            <a:ln>
              <a:noFill/>
            </a:ln>
            <a:effectLst>
              <a:glow rad="63500">
                <a:schemeClr val="accent2">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3">
                <a:lumMod val="60000"/>
                <a:lumOff val="40000"/>
              </a:schemeClr>
            </a:solidFill>
            <a:ln>
              <a:noFill/>
            </a:ln>
            <a:effectLst>
              <a:glow rad="63500">
                <a:schemeClr val="accent3">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Gender!$D$45:$D$46</c:f>
              <c:strCache>
                <c:ptCount val="1"/>
                <c:pt idx="0">
                  <c:v>Female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Gender!$C$47:$C$65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Gender!$D$47:$D$65</c:f>
              <c:numCache>
                <c:formatCode>General</c:formatCode>
                <c:ptCount val="18"/>
                <c:pt idx="0">
                  <c:v>7</c:v>
                </c:pt>
                <c:pt idx="1">
                  <c:v>5</c:v>
                </c:pt>
                <c:pt idx="2">
                  <c:v>11</c:v>
                </c:pt>
                <c:pt idx="3">
                  <c:v>4</c:v>
                </c:pt>
                <c:pt idx="4">
                  <c:v>1</c:v>
                </c:pt>
                <c:pt idx="5">
                  <c:v>3</c:v>
                </c:pt>
                <c:pt idx="6">
                  <c:v>1</c:v>
                </c:pt>
                <c:pt idx="7">
                  <c:v>3</c:v>
                </c:pt>
                <c:pt idx="8">
                  <c:v>14</c:v>
                </c:pt>
                <c:pt idx="9">
                  <c:v>10</c:v>
                </c:pt>
                <c:pt idx="10">
                  <c:v>3</c:v>
                </c:pt>
                <c:pt idx="11">
                  <c:v>5</c:v>
                </c:pt>
                <c:pt idx="12">
                  <c:v>3</c:v>
                </c:pt>
                <c:pt idx="13">
                  <c:v>7</c:v>
                </c:pt>
                <c:pt idx="14">
                  <c:v>19</c:v>
                </c:pt>
                <c:pt idx="15">
                  <c:v>5</c:v>
                </c:pt>
                <c:pt idx="16">
                  <c:v>9</c:v>
                </c:pt>
                <c:pt idx="17">
                  <c:v>8</c:v>
                </c:pt>
              </c:numCache>
            </c:numRef>
          </c:val>
          <c:extLst>
            <c:ext xmlns:c16="http://schemas.microsoft.com/office/drawing/2014/chart" uri="{C3380CC4-5D6E-409C-BE32-E72D297353CC}">
              <c16:uniqueId val="{00000000-25D4-480B-9260-94A3E6477799}"/>
            </c:ext>
          </c:extLst>
        </c:ser>
        <c:ser>
          <c:idx val="1"/>
          <c:order val="1"/>
          <c:tx>
            <c:strRef>
              <c:f>Gender!$E$45:$E$46</c:f>
              <c:strCache>
                <c:ptCount val="1"/>
                <c:pt idx="0">
                  <c:v>Male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Gender!$C$47:$C$65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Gender!$E$47:$E$65</c:f>
              <c:numCache>
                <c:formatCode>General</c:formatCode>
                <c:ptCount val="18"/>
                <c:pt idx="0">
                  <c:v>1</c:v>
                </c:pt>
                <c:pt idx="1">
                  <c:v>2</c:v>
                </c:pt>
                <c:pt idx="2">
                  <c:v>4</c:v>
                </c:pt>
                <c:pt idx="3">
                  <c:v>1</c:v>
                </c:pt>
                <c:pt idx="4">
                  <c:v>1</c:v>
                </c:pt>
                <c:pt idx="5">
                  <c:v>7</c:v>
                </c:pt>
                <c:pt idx="6">
                  <c:v>2</c:v>
                </c:pt>
                <c:pt idx="7">
                  <c:v>9</c:v>
                </c:pt>
                <c:pt idx="8">
                  <c:v>4</c:v>
                </c:pt>
                <c:pt idx="9">
                  <c:v>9</c:v>
                </c:pt>
                <c:pt idx="10">
                  <c:v>6</c:v>
                </c:pt>
                <c:pt idx="11">
                  <c:v>5</c:v>
                </c:pt>
                <c:pt idx="12">
                  <c:v>1</c:v>
                </c:pt>
                <c:pt idx="13">
                  <c:v>4</c:v>
                </c:pt>
                <c:pt idx="14">
                  <c:v>79</c:v>
                </c:pt>
                <c:pt idx="16">
                  <c:v>2</c:v>
                </c:pt>
                <c:pt idx="17">
                  <c:v>3</c:v>
                </c:pt>
              </c:numCache>
            </c:numRef>
          </c:val>
          <c:extLst>
            <c:ext xmlns:c16="http://schemas.microsoft.com/office/drawing/2014/chart" uri="{C3380CC4-5D6E-409C-BE32-E72D297353CC}">
              <c16:uniqueId val="{00000001-25D4-480B-9260-94A3E6477799}"/>
            </c:ext>
          </c:extLst>
        </c:ser>
        <c:ser>
          <c:idx val="2"/>
          <c:order val="2"/>
          <c:tx>
            <c:strRef>
              <c:f>Gender!$F$45:$F$46</c:f>
              <c:strCache>
                <c:ptCount val="1"/>
                <c:pt idx="0">
                  <c:v>Non-binary</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strRef>
              <c:f>Gender!$C$47:$C$65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Gender!$F$47:$F$65</c:f>
              <c:numCache>
                <c:formatCode>General</c:formatCode>
                <c:ptCount val="18"/>
                <c:pt idx="0">
                  <c:v>1</c:v>
                </c:pt>
                <c:pt idx="14">
                  <c:v>1</c:v>
                </c:pt>
              </c:numCache>
            </c:numRef>
          </c:val>
          <c:extLst>
            <c:ext xmlns:c16="http://schemas.microsoft.com/office/drawing/2014/chart" uri="{C3380CC4-5D6E-409C-BE32-E72D297353CC}">
              <c16:uniqueId val="{00000002-25D4-480B-9260-94A3E6477799}"/>
            </c:ext>
          </c:extLst>
        </c:ser>
        <c:dLbls>
          <c:showLegendKey val="0"/>
          <c:showVal val="0"/>
          <c:showCatName val="0"/>
          <c:showSerName val="0"/>
          <c:showPercent val="0"/>
          <c:showBubbleSize val="0"/>
        </c:dLbls>
        <c:gapWidth val="182"/>
        <c:overlap val="-50"/>
        <c:axId val="883078192"/>
        <c:axId val="878022848"/>
      </c:barChart>
      <c:catAx>
        <c:axId val="883078192"/>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78022848"/>
        <c:crosses val="autoZero"/>
        <c:auto val="1"/>
        <c:lblAlgn val="ctr"/>
        <c:lblOffset val="100"/>
        <c:noMultiLvlLbl val="0"/>
      </c:catAx>
      <c:valAx>
        <c:axId val="878022848"/>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830781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Salary</a:t>
            </a:r>
            <a:r>
              <a:rPr lang="en-GB" baseline="0"/>
              <a:t> Differences Across Genders in each Team</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'[Table 1.xlsx]Pivot table'!$P$57</c:f>
              <c:strCache>
                <c:ptCount val="1"/>
                <c:pt idx="0">
                  <c:v>Female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'[Table 1.xlsx]Pivot table'!$O$58:$O$75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'[Table 1.xlsx]Pivot table'!$P$58:$P$75</c:f>
              <c:numCache>
                <c:formatCode>General</c:formatCode>
                <c:ptCount val="18"/>
                <c:pt idx="0">
                  <c:v>38487.857142857145</c:v>
                </c:pt>
                <c:pt idx="1">
                  <c:v>28360</c:v>
                </c:pt>
                <c:pt idx="2">
                  <c:v>27316.363636363636</c:v>
                </c:pt>
                <c:pt idx="3">
                  <c:v>92613.75</c:v>
                </c:pt>
                <c:pt idx="4">
                  <c:v>41555</c:v>
                </c:pt>
                <c:pt idx="5">
                  <c:v>30415</c:v>
                </c:pt>
                <c:pt idx="6">
                  <c:v>25500</c:v>
                </c:pt>
                <c:pt idx="7">
                  <c:v>21030</c:v>
                </c:pt>
                <c:pt idx="8">
                  <c:v>29892.857142857141</c:v>
                </c:pt>
                <c:pt idx="9">
                  <c:v>27395</c:v>
                </c:pt>
                <c:pt idx="10">
                  <c:v>48966.666666666664</c:v>
                </c:pt>
                <c:pt idx="11">
                  <c:v>29470</c:v>
                </c:pt>
                <c:pt idx="12">
                  <c:v>29133.333333333332</c:v>
                </c:pt>
                <c:pt idx="13">
                  <c:v>36562.857142857145</c:v>
                </c:pt>
                <c:pt idx="14">
                  <c:v>26446.842105263157</c:v>
                </c:pt>
                <c:pt idx="15">
                  <c:v>36118</c:v>
                </c:pt>
                <c:pt idx="16">
                  <c:v>22722.222222222223</c:v>
                </c:pt>
                <c:pt idx="17">
                  <c:v>30384.375</c:v>
                </c:pt>
              </c:numCache>
            </c:numRef>
          </c:val>
          <c:extLst>
            <c:ext xmlns:c16="http://schemas.microsoft.com/office/drawing/2014/chart" uri="{C3380CC4-5D6E-409C-BE32-E72D297353CC}">
              <c16:uniqueId val="{00000000-E039-407F-A3BE-47FFCD9CAD8F}"/>
            </c:ext>
          </c:extLst>
        </c:ser>
        <c:ser>
          <c:idx val="1"/>
          <c:order val="1"/>
          <c:tx>
            <c:strRef>
              <c:f>'[Table 1.xlsx]Pivot table'!$Q$57</c:f>
              <c:strCache>
                <c:ptCount val="1"/>
                <c:pt idx="0">
                  <c:v>Male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'[Table 1.xlsx]Pivot table'!$O$58:$O$75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'[Table 1.xlsx]Pivot table'!$Q$58:$Q$75</c:f>
              <c:numCache>
                <c:formatCode>General</c:formatCode>
                <c:ptCount val="18"/>
                <c:pt idx="0">
                  <c:v>28500</c:v>
                </c:pt>
                <c:pt idx="1">
                  <c:v>24750</c:v>
                </c:pt>
                <c:pt idx="2">
                  <c:v>27983.75</c:v>
                </c:pt>
                <c:pt idx="3">
                  <c:v>98500</c:v>
                </c:pt>
                <c:pt idx="4">
                  <c:v>25600</c:v>
                </c:pt>
                <c:pt idx="5">
                  <c:v>38049.285714285717</c:v>
                </c:pt>
                <c:pt idx="6">
                  <c:v>34750</c:v>
                </c:pt>
                <c:pt idx="7">
                  <c:v>21030</c:v>
                </c:pt>
                <c:pt idx="8">
                  <c:v>31250</c:v>
                </c:pt>
                <c:pt idx="9">
                  <c:v>33663.333333333336</c:v>
                </c:pt>
                <c:pt idx="10">
                  <c:v>35166.666666666664</c:v>
                </c:pt>
                <c:pt idx="11">
                  <c:v>25860</c:v>
                </c:pt>
                <c:pt idx="12">
                  <c:v>24750</c:v>
                </c:pt>
                <c:pt idx="13">
                  <c:v>40862.5</c:v>
                </c:pt>
                <c:pt idx="14">
                  <c:v>31782.405063291139</c:v>
                </c:pt>
                <c:pt idx="16">
                  <c:v>23500</c:v>
                </c:pt>
                <c:pt idx="17">
                  <c:v>33425</c:v>
                </c:pt>
              </c:numCache>
            </c:numRef>
          </c:val>
          <c:extLst>
            <c:ext xmlns:c16="http://schemas.microsoft.com/office/drawing/2014/chart" uri="{C3380CC4-5D6E-409C-BE32-E72D297353CC}">
              <c16:uniqueId val="{00000001-E039-407F-A3BE-47FFCD9CAD8F}"/>
            </c:ext>
          </c:extLst>
        </c:ser>
        <c:ser>
          <c:idx val="2"/>
          <c:order val="2"/>
          <c:tx>
            <c:strRef>
              <c:f>'[Table 1.xlsx]Pivot table'!$R$57</c:f>
              <c:strCache>
                <c:ptCount val="1"/>
                <c:pt idx="0">
                  <c:v>Non-binary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'[Table 1.xlsx]Pivot table'!$O$58:$O$75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'[Table 1.xlsx]Pivot table'!$R$58:$R$75</c:f>
              <c:numCache>
                <c:formatCode>General</c:formatCode>
                <c:ptCount val="18"/>
                <c:pt idx="0">
                  <c:v>21500</c:v>
                </c:pt>
                <c:pt idx="14">
                  <c:v>17500</c:v>
                </c:pt>
              </c:numCache>
            </c:numRef>
          </c:val>
          <c:extLst>
            <c:ext xmlns:c16="http://schemas.microsoft.com/office/drawing/2014/chart" uri="{C3380CC4-5D6E-409C-BE32-E72D297353CC}">
              <c16:uniqueId val="{00000002-E039-407F-A3BE-47FFCD9CAD8F}"/>
            </c:ext>
          </c:extLst>
        </c:ser>
        <c:dLbls>
          <c:showLegendKey val="0"/>
          <c:showVal val="0"/>
          <c:showCatName val="0"/>
          <c:showSerName val="0"/>
          <c:showPercent val="0"/>
          <c:showBubbleSize val="0"/>
        </c:dLbls>
        <c:gapWidth val="219"/>
        <c:axId val="916052799"/>
        <c:axId val="908434431"/>
      </c:barChart>
      <c:lineChart>
        <c:grouping val="standard"/>
        <c:varyColors val="0"/>
        <c:ser>
          <c:idx val="3"/>
          <c:order val="3"/>
          <c:tx>
            <c:strRef>
              <c:f>'[Table 1.xlsx]Pivot table'!$S$57</c:f>
              <c:strCache>
                <c:ptCount val="1"/>
                <c:pt idx="0">
                  <c:v>Average</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strRef>
              <c:f>'[Table 1.xlsx]Pivot table'!$O$58:$O$75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'[Table 1.xlsx]Pivot table'!$S$58:$S$75</c:f>
              <c:numCache>
                <c:formatCode>"£"#,##0.00_);[Red]\("£"#,##0.00\)</c:formatCode>
                <c:ptCount val="18"/>
                <c:pt idx="0">
                  <c:v>31757.46</c:v>
                </c:pt>
                <c:pt idx="1">
                  <c:v>31757.46</c:v>
                </c:pt>
                <c:pt idx="2">
                  <c:v>31757.46</c:v>
                </c:pt>
                <c:pt idx="3">
                  <c:v>31757.46</c:v>
                </c:pt>
                <c:pt idx="4">
                  <c:v>31757.46</c:v>
                </c:pt>
                <c:pt idx="5">
                  <c:v>31757.46</c:v>
                </c:pt>
                <c:pt idx="6">
                  <c:v>31757.46</c:v>
                </c:pt>
                <c:pt idx="7">
                  <c:v>31757.46</c:v>
                </c:pt>
                <c:pt idx="8">
                  <c:v>31757.46</c:v>
                </c:pt>
                <c:pt idx="9">
                  <c:v>31757.46</c:v>
                </c:pt>
                <c:pt idx="10">
                  <c:v>31757.46</c:v>
                </c:pt>
                <c:pt idx="11">
                  <c:v>31757.46</c:v>
                </c:pt>
                <c:pt idx="12">
                  <c:v>31757.46</c:v>
                </c:pt>
                <c:pt idx="13">
                  <c:v>31757.46</c:v>
                </c:pt>
                <c:pt idx="14">
                  <c:v>31757.46</c:v>
                </c:pt>
                <c:pt idx="15">
                  <c:v>31757.46</c:v>
                </c:pt>
                <c:pt idx="16">
                  <c:v>31757.46</c:v>
                </c:pt>
                <c:pt idx="17">
                  <c:v>31757.46</c:v>
                </c:pt>
              </c:numCache>
            </c:numRef>
          </c:val>
          <c:smooth val="0"/>
          <c:extLst>
            <c:ext xmlns:c16="http://schemas.microsoft.com/office/drawing/2014/chart" uri="{C3380CC4-5D6E-409C-BE32-E72D297353CC}">
              <c16:uniqueId val="{00000003-E039-407F-A3BE-47FFCD9CAD8F}"/>
            </c:ext>
          </c:extLst>
        </c:ser>
        <c:dLbls>
          <c:showLegendKey val="0"/>
          <c:showVal val="0"/>
          <c:showCatName val="0"/>
          <c:showSerName val="0"/>
          <c:showPercent val="0"/>
          <c:showBubbleSize val="0"/>
        </c:dLbls>
        <c:marker val="1"/>
        <c:smooth val="0"/>
        <c:axId val="916052799"/>
        <c:axId val="908434431"/>
      </c:lineChart>
      <c:catAx>
        <c:axId val="916052799"/>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Genders in each Team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08434431"/>
        <c:crosses val="autoZero"/>
        <c:auto val="1"/>
        <c:lblAlgn val="ctr"/>
        <c:lblOffset val="100"/>
        <c:noMultiLvlLbl val="0"/>
      </c:catAx>
      <c:valAx>
        <c:axId val="908434431"/>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Salary</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160527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table!PivotTable8</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Percentage of Different</a:t>
            </a:r>
            <a:r>
              <a:rPr lang="en-GB" baseline="0"/>
              <a:t> E</a:t>
            </a:r>
            <a:r>
              <a:rPr lang="en-GB"/>
              <a:t>thnic</a:t>
            </a:r>
            <a:r>
              <a:rPr lang="en-GB" baseline="0"/>
              <a:t> Groups in each </a:t>
            </a:r>
            <a:r>
              <a:rPr lang="en-GB"/>
              <a:t>Team</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dLbl>
          <c:idx val="0"/>
          <c:showLegendKey val="0"/>
          <c:showVal val="0"/>
          <c:showCatName val="0"/>
          <c:showSerName val="0"/>
          <c:showPercent val="0"/>
          <c:showBubbleSize val="0"/>
          <c:extLst>
            <c:ext xmlns:c15="http://schemas.microsoft.com/office/drawing/2012/chart" uri="{CE6537A1-D6FC-4f65-9D91-7224C49458BB}"/>
          </c:extLst>
        </c:dLbl>
      </c:pivotFmt>
      <c:pivotFmt>
        <c:idx val="9"/>
        <c:dLbl>
          <c:idx val="0"/>
          <c:showLegendKey val="0"/>
          <c:showVal val="0"/>
          <c:showCatName val="0"/>
          <c:showSerName val="0"/>
          <c:showPercent val="0"/>
          <c:showBubbleSize val="0"/>
          <c:extLst>
            <c:ext xmlns:c15="http://schemas.microsoft.com/office/drawing/2012/chart" uri="{CE6537A1-D6FC-4f65-9D91-7224C49458BB}"/>
          </c:extLst>
        </c:dLbl>
      </c:pivotFmt>
      <c:pivotFmt>
        <c:idx val="10"/>
        <c:dLbl>
          <c:idx val="0"/>
          <c:showLegendKey val="0"/>
          <c:showVal val="0"/>
          <c:showCatName val="0"/>
          <c:showSerName val="0"/>
          <c:showPercent val="0"/>
          <c:showBubbleSize val="0"/>
          <c:extLst>
            <c:ext xmlns:c15="http://schemas.microsoft.com/office/drawing/2012/chart" uri="{CE6537A1-D6FC-4f65-9D91-7224C49458BB}"/>
          </c:extLst>
        </c:dLbl>
      </c:pivotFmt>
      <c:pivotFmt>
        <c:idx val="11"/>
        <c:dLbl>
          <c:idx val="0"/>
          <c:showLegendKey val="0"/>
          <c:showVal val="0"/>
          <c:showCatName val="0"/>
          <c:showSerName val="0"/>
          <c:showPercent val="0"/>
          <c:showBubbleSize val="0"/>
          <c:extLst>
            <c:ext xmlns:c15="http://schemas.microsoft.com/office/drawing/2012/chart" uri="{CE6537A1-D6FC-4f65-9D91-7224C49458BB}"/>
          </c:extLst>
        </c:dLbl>
      </c:pivotFmt>
      <c:pivotFmt>
        <c:idx val="12"/>
        <c:dLbl>
          <c:idx val="0"/>
          <c:showLegendKey val="0"/>
          <c:showVal val="0"/>
          <c:showCatName val="0"/>
          <c:showSerName val="0"/>
          <c:showPercent val="0"/>
          <c:showBubbleSize val="0"/>
          <c:extLst>
            <c:ext xmlns:c15="http://schemas.microsoft.com/office/drawing/2012/chart" uri="{CE6537A1-D6FC-4f65-9D91-7224C49458BB}"/>
          </c:extLst>
        </c:dLbl>
      </c:pivotFmt>
      <c:pivotFmt>
        <c:idx val="13"/>
        <c:dLbl>
          <c:idx val="0"/>
          <c:showLegendKey val="0"/>
          <c:showVal val="0"/>
          <c:showCatName val="0"/>
          <c:showSerName val="0"/>
          <c:showPercent val="0"/>
          <c:showBubbleSize val="0"/>
          <c:extLst>
            <c:ext xmlns:c15="http://schemas.microsoft.com/office/drawing/2012/chart" uri="{CE6537A1-D6FC-4f65-9D91-7224C49458BB}"/>
          </c:extLst>
        </c:dLbl>
      </c:pivotFmt>
      <c:pivotFmt>
        <c:idx val="14"/>
        <c:dLbl>
          <c:idx val="0"/>
          <c:showLegendKey val="0"/>
          <c:showVal val="0"/>
          <c:showCatName val="0"/>
          <c:showSerName val="0"/>
          <c:showPercent val="0"/>
          <c:showBubbleSize val="0"/>
          <c:extLst>
            <c:ext xmlns:c15="http://schemas.microsoft.com/office/drawing/2012/chart" uri="{CE6537A1-D6FC-4f65-9D91-7224C49458BB}"/>
          </c:extLst>
        </c:dLbl>
      </c:pivotFmt>
      <c:pivotFmt>
        <c:idx val="15"/>
        <c:dLbl>
          <c:idx val="0"/>
          <c:showLegendKey val="0"/>
          <c:showVal val="0"/>
          <c:showCatName val="0"/>
          <c:showSerName val="0"/>
          <c:showPercent val="0"/>
          <c:showBubbleSize val="0"/>
          <c:extLst>
            <c:ext xmlns:c15="http://schemas.microsoft.com/office/drawing/2012/chart" uri="{CE6537A1-D6FC-4f65-9D91-7224C49458BB}"/>
          </c:extLst>
        </c:dLbl>
      </c:pivotFmt>
      <c:pivotFmt>
        <c:idx val="16"/>
        <c:dLbl>
          <c:idx val="0"/>
          <c:showLegendKey val="0"/>
          <c:showVal val="0"/>
          <c:showCatName val="0"/>
          <c:showSerName val="0"/>
          <c:showPercent val="0"/>
          <c:showBubbleSize val="0"/>
          <c:extLst>
            <c:ext xmlns:c15="http://schemas.microsoft.com/office/drawing/2012/chart" uri="{CE6537A1-D6FC-4f65-9D91-7224C49458BB}"/>
          </c:extLst>
        </c:dLbl>
      </c:pivotFmt>
      <c:pivotFmt>
        <c:idx val="17"/>
        <c:dLbl>
          <c:idx val="0"/>
          <c:showLegendKey val="0"/>
          <c:showVal val="0"/>
          <c:showCatName val="0"/>
          <c:showSerName val="0"/>
          <c:showPercent val="0"/>
          <c:showBubbleSize val="0"/>
          <c:extLst>
            <c:ext xmlns:c15="http://schemas.microsoft.com/office/drawing/2012/chart" uri="{CE6537A1-D6FC-4f65-9D91-7224C49458BB}"/>
          </c:extLst>
        </c:dLbl>
      </c:pivotFmt>
      <c:pivotFmt>
        <c:idx val="18"/>
        <c:dLbl>
          <c:idx val="0"/>
          <c:showLegendKey val="0"/>
          <c:showVal val="0"/>
          <c:showCatName val="0"/>
          <c:showSerName val="0"/>
          <c:showPercent val="0"/>
          <c:showBubbleSize val="0"/>
          <c:extLst>
            <c:ext xmlns:c15="http://schemas.microsoft.com/office/drawing/2012/chart" uri="{CE6537A1-D6FC-4f65-9D91-7224C49458BB}"/>
          </c:extLst>
        </c:dLbl>
      </c:pivotFmt>
      <c:pivotFmt>
        <c:idx val="19"/>
        <c:dLbl>
          <c:idx val="0"/>
          <c:showLegendKey val="0"/>
          <c:showVal val="0"/>
          <c:showCatName val="0"/>
          <c:showSerName val="0"/>
          <c:showPercent val="0"/>
          <c:showBubbleSize val="0"/>
          <c:extLst>
            <c:ext xmlns:c15="http://schemas.microsoft.com/office/drawing/2012/chart" uri="{CE6537A1-D6FC-4f65-9D91-7224C49458BB}"/>
          </c:extLst>
        </c:dLbl>
      </c:pivotFmt>
      <c:pivotFmt>
        <c:idx val="20"/>
        <c:dLbl>
          <c:idx val="0"/>
          <c:showLegendKey val="0"/>
          <c:showVal val="0"/>
          <c:showCatName val="0"/>
          <c:showSerName val="0"/>
          <c:showPercent val="0"/>
          <c:showBubbleSize val="0"/>
          <c:extLst>
            <c:ext xmlns:c15="http://schemas.microsoft.com/office/drawing/2012/chart" uri="{CE6537A1-D6FC-4f65-9D91-7224C49458BB}"/>
          </c:extLst>
        </c:dLbl>
      </c:pivotFmt>
      <c:pivotFmt>
        <c:idx val="21"/>
        <c:dLbl>
          <c:idx val="0"/>
          <c:showLegendKey val="0"/>
          <c:showVal val="0"/>
          <c:showCatName val="0"/>
          <c:showSerName val="0"/>
          <c:showPercent val="0"/>
          <c:showBubbleSize val="0"/>
          <c:extLst>
            <c:ext xmlns:c15="http://schemas.microsoft.com/office/drawing/2012/chart" uri="{CE6537A1-D6FC-4f65-9D91-7224C49458BB}"/>
          </c:extLst>
        </c:dLbl>
      </c:pivotFmt>
      <c:pivotFmt>
        <c:idx val="22"/>
        <c:dLbl>
          <c:idx val="0"/>
          <c:showLegendKey val="0"/>
          <c:showVal val="0"/>
          <c:showCatName val="0"/>
          <c:showSerName val="0"/>
          <c:showPercent val="0"/>
          <c:showBubbleSize val="0"/>
          <c:extLst>
            <c:ext xmlns:c15="http://schemas.microsoft.com/office/drawing/2012/chart" uri="{CE6537A1-D6FC-4f65-9D91-7224C49458BB}"/>
          </c:extLst>
        </c:dLbl>
      </c:pivotFmt>
      <c:pivotFmt>
        <c:idx val="23"/>
        <c:dLbl>
          <c:idx val="0"/>
          <c:showLegendKey val="0"/>
          <c:showVal val="0"/>
          <c:showCatName val="0"/>
          <c:showSerName val="0"/>
          <c:showPercent val="0"/>
          <c:showBubbleSize val="0"/>
          <c:extLst>
            <c:ext xmlns:c15="http://schemas.microsoft.com/office/drawing/2012/chart" uri="{CE6537A1-D6FC-4f65-9D91-7224C49458BB}"/>
          </c:extLst>
        </c:dLbl>
      </c:pivotFmt>
      <c:pivotFmt>
        <c:idx val="24"/>
        <c:dLbl>
          <c:idx val="0"/>
          <c:showLegendKey val="0"/>
          <c:showVal val="0"/>
          <c:showCatName val="0"/>
          <c:showSerName val="0"/>
          <c:showPercent val="0"/>
          <c:showBubbleSize val="0"/>
          <c:extLst>
            <c:ext xmlns:c15="http://schemas.microsoft.com/office/drawing/2012/chart" uri="{CE6537A1-D6FC-4f65-9D91-7224C49458BB}"/>
          </c:extLst>
        </c:dLbl>
      </c:pivotFmt>
      <c:pivotFmt>
        <c:idx val="25"/>
        <c:dLbl>
          <c:idx val="0"/>
          <c:showLegendKey val="0"/>
          <c:showVal val="0"/>
          <c:showCatName val="0"/>
          <c:showSerName val="0"/>
          <c:showPercent val="0"/>
          <c:showBubbleSize val="0"/>
          <c:extLst>
            <c:ext xmlns:c15="http://schemas.microsoft.com/office/drawing/2012/chart" uri="{CE6537A1-D6FC-4f65-9D91-7224C49458BB}"/>
          </c:extLst>
        </c:dLbl>
      </c:pivotFmt>
      <c:pivotFmt>
        <c:idx val="26"/>
        <c:dLbl>
          <c:idx val="0"/>
          <c:showLegendKey val="0"/>
          <c:showVal val="0"/>
          <c:showCatName val="0"/>
          <c:showSerName val="0"/>
          <c:showPercent val="0"/>
          <c:showBubbleSize val="0"/>
          <c:extLst>
            <c:ext xmlns:c15="http://schemas.microsoft.com/office/drawing/2012/chart" uri="{CE6537A1-D6FC-4f65-9D91-7224C49458BB}"/>
          </c:extLst>
        </c:dLbl>
      </c:pivotFmt>
      <c:pivotFmt>
        <c:idx val="2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28"/>
        <c:dLbl>
          <c:idx val="0"/>
          <c:showLegendKey val="0"/>
          <c:showVal val="0"/>
          <c:showCatName val="0"/>
          <c:showSerName val="0"/>
          <c:showPercent val="0"/>
          <c:showBubbleSize val="0"/>
          <c:extLst>
            <c:ext xmlns:c15="http://schemas.microsoft.com/office/drawing/2012/chart" uri="{CE6537A1-D6FC-4f65-9D91-7224C49458BB}"/>
          </c:extLst>
        </c:dLbl>
      </c:pivotFmt>
      <c:pivotFmt>
        <c:idx val="29"/>
        <c:dLbl>
          <c:idx val="0"/>
          <c:showLegendKey val="0"/>
          <c:showVal val="0"/>
          <c:showCatName val="0"/>
          <c:showSerName val="0"/>
          <c:showPercent val="0"/>
          <c:showBubbleSize val="0"/>
          <c:extLst>
            <c:ext xmlns:c15="http://schemas.microsoft.com/office/drawing/2012/chart" uri="{CE6537A1-D6FC-4f65-9D91-7224C49458BB}"/>
          </c:extLst>
        </c:dLbl>
      </c:pivotFmt>
      <c:pivotFmt>
        <c:idx val="30"/>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2"/>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3"/>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5"/>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8"/>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0"/>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2"/>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3"/>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5"/>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8"/>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0"/>
        <c:dLbl>
          <c:idx val="0"/>
          <c:showLegendKey val="0"/>
          <c:showVal val="0"/>
          <c:showCatName val="0"/>
          <c:showSerName val="0"/>
          <c:showPercent val="0"/>
          <c:showBubbleSize val="0"/>
          <c:extLst>
            <c:ext xmlns:c15="http://schemas.microsoft.com/office/drawing/2012/chart" uri="{CE6537A1-D6FC-4f65-9D91-7224C49458BB}"/>
          </c:extLst>
        </c:dLbl>
      </c:pivotFmt>
      <c:pivotFmt>
        <c:idx val="5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2"/>
        <c:dLbl>
          <c:idx val="0"/>
          <c:showLegendKey val="0"/>
          <c:showVal val="0"/>
          <c:showCatName val="0"/>
          <c:showSerName val="0"/>
          <c:showPercent val="0"/>
          <c:showBubbleSize val="0"/>
          <c:extLst>
            <c:ext xmlns:c15="http://schemas.microsoft.com/office/drawing/2012/chart" uri="{CE6537A1-D6FC-4f65-9D91-7224C49458BB}"/>
          </c:extLst>
        </c:dLbl>
      </c:pivotFmt>
      <c:pivotFmt>
        <c:idx val="53"/>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5"/>
        <c:dLbl>
          <c:idx val="0"/>
          <c:showLegendKey val="0"/>
          <c:showVal val="0"/>
          <c:showCatName val="0"/>
          <c:showSerName val="0"/>
          <c:showPercent val="0"/>
          <c:showBubbleSize val="0"/>
          <c:extLst>
            <c:ext xmlns:c15="http://schemas.microsoft.com/office/drawing/2012/chart" uri="{CE6537A1-D6FC-4f65-9D91-7224C49458BB}"/>
          </c:extLst>
        </c:dLbl>
      </c:pivotFmt>
      <c:pivotFmt>
        <c:idx val="5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8"/>
        <c:dLbl>
          <c:idx val="0"/>
          <c:showLegendKey val="0"/>
          <c:showVal val="0"/>
          <c:showCatName val="0"/>
          <c:showSerName val="0"/>
          <c:showPercent val="0"/>
          <c:showBubbleSize val="0"/>
          <c:extLst>
            <c:ext xmlns:c15="http://schemas.microsoft.com/office/drawing/2012/chart" uri="{CE6537A1-D6FC-4f65-9D91-7224C49458BB}"/>
          </c:extLst>
        </c:dLbl>
      </c:pivotFmt>
      <c:pivotFmt>
        <c:idx val="5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0"/>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2"/>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3"/>
        <c:dLbl>
          <c:idx val="0"/>
          <c:showLegendKey val="0"/>
          <c:showVal val="0"/>
          <c:showCatName val="0"/>
          <c:showSerName val="0"/>
          <c:showPercent val="0"/>
          <c:showBubbleSize val="0"/>
          <c:extLst>
            <c:ext xmlns:c15="http://schemas.microsoft.com/office/drawing/2012/chart" uri="{CE6537A1-D6FC-4f65-9D91-7224C49458BB}"/>
          </c:extLst>
        </c:dLbl>
      </c:pivotFmt>
      <c:pivotFmt>
        <c:idx val="6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5"/>
        <c:dLbl>
          <c:idx val="0"/>
          <c:showLegendKey val="0"/>
          <c:showVal val="0"/>
          <c:showCatName val="0"/>
          <c:showSerName val="0"/>
          <c:showPercent val="0"/>
          <c:showBubbleSize val="0"/>
          <c:extLst>
            <c:ext xmlns:c15="http://schemas.microsoft.com/office/drawing/2012/chart" uri="{CE6537A1-D6FC-4f65-9D91-7224C49458BB}"/>
          </c:extLst>
        </c:dLbl>
      </c:pivotFmt>
      <c:pivotFmt>
        <c:idx val="6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7"/>
        <c:dLbl>
          <c:idx val="0"/>
          <c:showLegendKey val="0"/>
          <c:showVal val="0"/>
          <c:showCatName val="0"/>
          <c:showSerName val="0"/>
          <c:showPercent val="0"/>
          <c:showBubbleSize val="0"/>
          <c:extLst>
            <c:ext xmlns:c15="http://schemas.microsoft.com/office/drawing/2012/chart" uri="{CE6537A1-D6FC-4f65-9D91-7224C49458BB}"/>
          </c:extLst>
        </c:dLbl>
      </c:pivotFmt>
      <c:pivotFmt>
        <c:idx val="68"/>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0"/>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2"/>
        <c:dLbl>
          <c:idx val="0"/>
          <c:showLegendKey val="0"/>
          <c:showVal val="0"/>
          <c:showCatName val="0"/>
          <c:showSerName val="0"/>
          <c:showPercent val="0"/>
          <c:showBubbleSize val="0"/>
          <c:extLst>
            <c:ext xmlns:c15="http://schemas.microsoft.com/office/drawing/2012/chart" uri="{CE6537A1-D6FC-4f65-9D91-7224C49458BB}"/>
          </c:extLst>
        </c:dLbl>
      </c:pivotFmt>
      <c:pivotFmt>
        <c:idx val="73"/>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5"/>
        <c:dLbl>
          <c:idx val="0"/>
          <c:showLegendKey val="0"/>
          <c:showVal val="0"/>
          <c:showCatName val="0"/>
          <c:showSerName val="0"/>
          <c:showPercent val="0"/>
          <c:showBubbleSize val="0"/>
          <c:extLst>
            <c:ext xmlns:c15="http://schemas.microsoft.com/office/drawing/2012/chart" uri="{CE6537A1-D6FC-4f65-9D91-7224C49458BB}"/>
          </c:extLst>
        </c:dLbl>
      </c:pivotFmt>
      <c:pivotFmt>
        <c:idx val="7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8"/>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8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diamond"/>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pivotFmt>
      <c:pivotFmt>
        <c:idx val="8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squar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pivotFmt>
      <c:pivotFmt>
        <c:idx val="8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4"/>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triangle"/>
          <c:size val="5"/>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pivotFmt>
      <c:pivotFmt>
        <c:idx val="8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7"/>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x"/>
          <c:size val="5"/>
          <c:spPr>
            <a:noFill/>
            <a:ln w="9525">
              <a:solidFill>
                <a:schemeClr val="accent4"/>
              </a:solidFill>
              <a:round/>
            </a:ln>
            <a:effectLst>
              <a:outerShdw blurRad="57150" dist="19050" dir="5400000" algn="ctr" rotWithShape="0">
                <a:srgbClr val="000000">
                  <a:alpha val="63000"/>
                </a:srgbClr>
              </a:outerShdw>
            </a:effectLst>
          </c:spPr>
        </c:marker>
      </c:pivotFmt>
      <c:pivotFmt>
        <c:idx val="89"/>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1"/>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2"/>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star"/>
          <c:size val="5"/>
          <c:spPr>
            <a:noFill/>
            <a:ln w="9525">
              <a:solidFill>
                <a:schemeClr val="accent5"/>
              </a:solidFill>
              <a:round/>
            </a:ln>
            <a:effectLst>
              <a:outerShdw blurRad="57150" dist="19050" dir="5400000" algn="ctr" rotWithShape="0">
                <a:srgbClr val="000000">
                  <a:alpha val="63000"/>
                </a:srgbClr>
              </a:outerShdw>
            </a:effectLst>
          </c:spPr>
        </c:marker>
      </c:pivotFmt>
      <c:pivotFmt>
        <c:idx val="9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a:solidFill>
                <a:schemeClr val="accent6"/>
              </a:solidFill>
              <a:round/>
            </a:ln>
            <a:effectLst>
              <a:outerShdw blurRad="57150" dist="19050" dir="5400000" algn="ctr" rotWithShape="0">
                <a:srgbClr val="000000">
                  <a:alpha val="63000"/>
                </a:srgbClr>
              </a:outerShdw>
            </a:effectLst>
          </c:spPr>
        </c:marker>
      </c:pivotFmt>
      <c:pivotFmt>
        <c:idx val="9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plus"/>
          <c:size val="5"/>
          <c:spPr>
            <a:noFill/>
            <a:ln w="9525">
              <a:solidFill>
                <a:schemeClr val="accent1">
                  <a:lumMod val="60000"/>
                </a:schemeClr>
              </a:solidFill>
              <a:round/>
            </a:ln>
            <a:effectLst>
              <a:outerShdw blurRad="57150" dist="19050" dir="5400000" algn="ctr" rotWithShape="0">
                <a:srgbClr val="000000">
                  <a:alpha val="63000"/>
                </a:srgbClr>
              </a:outerShdw>
            </a:effectLst>
          </c:spPr>
        </c:marker>
      </c:pivotFmt>
      <c:pivotFmt>
        <c:idx val="98"/>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9"/>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dot"/>
          <c:size val="5"/>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w="9525">
              <a:solidFill>
                <a:schemeClr val="accent2">
                  <a:lumMod val="60000"/>
                </a:schemeClr>
              </a:solidFill>
              <a:round/>
            </a:ln>
            <a:effectLst>
              <a:outerShdw blurRad="57150" dist="19050" dir="5400000" algn="ctr" rotWithShape="0">
                <a:srgbClr val="000000">
                  <a:alpha val="63000"/>
                </a:srgbClr>
              </a:outerShdw>
            </a:effectLst>
          </c:spPr>
        </c:marker>
      </c:pivotFmt>
      <c:pivotFmt>
        <c:idx val="10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dash"/>
          <c:size val="5"/>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a:solidFill>
                <a:schemeClr val="accent3">
                  <a:lumMod val="60000"/>
                </a:schemeClr>
              </a:solidFill>
              <a:round/>
            </a:ln>
            <a:effectLst>
              <a:outerShdw blurRad="57150" dist="19050" dir="5400000" algn="ctr" rotWithShape="0">
                <a:srgbClr val="000000">
                  <a:alpha val="63000"/>
                </a:srgbClr>
              </a:outerShdw>
            </a:effectLst>
          </c:spPr>
        </c:marker>
      </c:pivotFmt>
      <c:pivotFmt>
        <c:idx val="103"/>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4"/>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diamond"/>
          <c:size val="5"/>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a:solidFill>
                <a:schemeClr val="accent4">
                  <a:lumMod val="60000"/>
                </a:schemeClr>
              </a:solidFill>
              <a:round/>
            </a:ln>
            <a:effectLst>
              <a:outerShdw blurRad="57150" dist="19050" dir="5400000" algn="ctr" rotWithShape="0">
                <a:srgbClr val="000000">
                  <a:alpha val="63000"/>
                </a:srgbClr>
              </a:outerShdw>
            </a:effectLst>
          </c:spPr>
        </c:marker>
      </c:pivotFmt>
      <c:pivotFmt>
        <c:idx val="106"/>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7"/>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8"/>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9"/>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8464760332971983E-2"/>
          <c:y val="9.1619997204491446E-2"/>
          <c:w val="0.81589392741702738"/>
          <c:h val="0.53654547619417392"/>
        </c:manualLayout>
      </c:layout>
      <c:barChart>
        <c:barDir val="col"/>
        <c:grouping val="clustered"/>
        <c:varyColors val="0"/>
        <c:ser>
          <c:idx val="0"/>
          <c:order val="0"/>
          <c:tx>
            <c:strRef>
              <c:f>'Pivot table'!$Y$15:$Y$16</c:f>
              <c:strCache>
                <c:ptCount val="1"/>
                <c:pt idx="0">
                  <c:v>Asian - Bangladesh</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table'!$Y$17:$Y$35</c:f>
              <c:numCache>
                <c:formatCode>0.00%</c:formatCode>
                <c:ptCount val="18"/>
                <c:pt idx="0">
                  <c:v>0</c:v>
                </c:pt>
                <c:pt idx="1">
                  <c:v>0</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7B3C-4E76-8187-FC9626F9FF68}"/>
            </c:ext>
          </c:extLst>
        </c:ser>
        <c:ser>
          <c:idx val="1"/>
          <c:order val="1"/>
          <c:tx>
            <c:strRef>
              <c:f>'Pivot table'!$Z$15:$Z$16</c:f>
              <c:strCache>
                <c:ptCount val="1"/>
                <c:pt idx="0">
                  <c:v>Black - Other</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table'!$Z$17:$Z$35</c:f>
              <c:numCache>
                <c:formatCode>0.00%</c:formatCode>
                <c:ptCount val="18"/>
                <c:pt idx="0">
                  <c:v>0</c:v>
                </c:pt>
                <c:pt idx="1">
                  <c:v>0</c:v>
                </c:pt>
                <c:pt idx="2">
                  <c:v>0</c:v>
                </c:pt>
                <c:pt idx="3">
                  <c:v>0</c:v>
                </c:pt>
                <c:pt idx="4">
                  <c:v>0</c:v>
                </c:pt>
                <c:pt idx="5">
                  <c:v>0.1</c:v>
                </c:pt>
                <c:pt idx="6">
                  <c:v>0</c:v>
                </c:pt>
                <c:pt idx="7">
                  <c:v>0</c:v>
                </c:pt>
                <c:pt idx="8">
                  <c:v>0</c:v>
                </c:pt>
                <c:pt idx="9">
                  <c:v>0</c:v>
                </c:pt>
                <c:pt idx="10">
                  <c:v>0.1111111111111111</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7B3C-4E76-8187-FC9626F9FF68}"/>
            </c:ext>
          </c:extLst>
        </c:ser>
        <c:ser>
          <c:idx val="2"/>
          <c:order val="2"/>
          <c:tx>
            <c:strRef>
              <c:f>'Pivot table'!$AA$15:$AA$16</c:f>
              <c:strCache>
                <c:ptCount val="1"/>
                <c:pt idx="0">
                  <c:v>Chinese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table'!$AA$17:$AA$35</c:f>
              <c:numCache>
                <c:formatCode>0.00%</c:formatCode>
                <c:ptCount val="18"/>
                <c:pt idx="0">
                  <c:v>0</c:v>
                </c:pt>
                <c:pt idx="1">
                  <c:v>0</c:v>
                </c:pt>
                <c:pt idx="2">
                  <c:v>6.6666666666666666E-2</c:v>
                </c:pt>
                <c:pt idx="3">
                  <c:v>0</c:v>
                </c:pt>
                <c:pt idx="4">
                  <c:v>0</c:v>
                </c:pt>
                <c:pt idx="5">
                  <c:v>0</c:v>
                </c:pt>
                <c:pt idx="6">
                  <c:v>0</c:v>
                </c:pt>
                <c:pt idx="7">
                  <c:v>0</c:v>
                </c:pt>
                <c:pt idx="8">
                  <c:v>0</c:v>
                </c:pt>
                <c:pt idx="9">
                  <c:v>0</c:v>
                </c:pt>
                <c:pt idx="10">
                  <c:v>0</c:v>
                </c:pt>
                <c:pt idx="11">
                  <c:v>0</c:v>
                </c:pt>
                <c:pt idx="12">
                  <c:v>0</c:v>
                </c:pt>
                <c:pt idx="13">
                  <c:v>9.0909090909090912E-2</c:v>
                </c:pt>
                <c:pt idx="14">
                  <c:v>0</c:v>
                </c:pt>
                <c:pt idx="15">
                  <c:v>0</c:v>
                </c:pt>
                <c:pt idx="16">
                  <c:v>0</c:v>
                </c:pt>
                <c:pt idx="17">
                  <c:v>0</c:v>
                </c:pt>
              </c:numCache>
            </c:numRef>
          </c:val>
          <c:extLst>
            <c:ext xmlns:c16="http://schemas.microsoft.com/office/drawing/2014/chart" uri="{C3380CC4-5D6E-409C-BE32-E72D297353CC}">
              <c16:uniqueId val="{00000002-7B3C-4E76-8187-FC9626F9FF68}"/>
            </c:ext>
          </c:extLst>
        </c:ser>
        <c:ser>
          <c:idx val="3"/>
          <c:order val="3"/>
          <c:tx>
            <c:strRef>
              <c:f>'Pivot table'!$AB$15:$AB$16</c:f>
              <c:strCache>
                <c:ptCount val="1"/>
                <c:pt idx="0">
                  <c:v>Indian</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table'!$AB$17:$AB$35</c:f>
              <c:numCache>
                <c:formatCode>0.00%</c:formatCode>
                <c:ptCount val="18"/>
                <c:pt idx="0">
                  <c:v>0</c:v>
                </c:pt>
                <c:pt idx="1">
                  <c:v>0.14285714285714285</c:v>
                </c:pt>
                <c:pt idx="2">
                  <c:v>0</c:v>
                </c:pt>
                <c:pt idx="3">
                  <c:v>0.2</c:v>
                </c:pt>
                <c:pt idx="4">
                  <c:v>0</c:v>
                </c:pt>
                <c:pt idx="5">
                  <c:v>0.1</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7B3C-4E76-8187-FC9626F9FF68}"/>
            </c:ext>
          </c:extLst>
        </c:ser>
        <c:ser>
          <c:idx val="4"/>
          <c:order val="4"/>
          <c:tx>
            <c:strRef>
              <c:f>'Pivot table'!$AC$15:$AC$16</c:f>
              <c:strCache>
                <c:ptCount val="1"/>
                <c:pt idx="0">
                  <c:v>Mixed - Other</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table'!$AC$17:$AC$35</c:f>
              <c:numCache>
                <c:formatCode>0.00%</c:formatCode>
                <c:ptCount val="18"/>
                <c:pt idx="0">
                  <c:v>0</c:v>
                </c:pt>
                <c:pt idx="1">
                  <c:v>0.14285714285714285</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7B3C-4E76-8187-FC9626F9FF68}"/>
            </c:ext>
          </c:extLst>
        </c:ser>
        <c:ser>
          <c:idx val="5"/>
          <c:order val="5"/>
          <c:tx>
            <c:strRef>
              <c:f>'Pivot table'!$AD$15:$AD$16</c:f>
              <c:strCache>
                <c:ptCount val="1"/>
                <c:pt idx="0">
                  <c:v>Pakistani</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table'!$AD$17:$AD$35</c:f>
              <c:numCache>
                <c:formatCode>0.00%</c:formatCode>
                <c:ptCount val="18"/>
                <c:pt idx="0">
                  <c:v>0</c:v>
                </c:pt>
                <c:pt idx="1">
                  <c:v>0</c:v>
                </c:pt>
                <c:pt idx="2">
                  <c:v>0.13333333333333333</c:v>
                </c:pt>
                <c:pt idx="3">
                  <c:v>0</c:v>
                </c:pt>
                <c:pt idx="4">
                  <c:v>0</c:v>
                </c:pt>
                <c:pt idx="5">
                  <c:v>0</c:v>
                </c:pt>
                <c:pt idx="6">
                  <c:v>0</c:v>
                </c:pt>
                <c:pt idx="7">
                  <c:v>0</c:v>
                </c:pt>
                <c:pt idx="8">
                  <c:v>0</c:v>
                </c:pt>
                <c:pt idx="9">
                  <c:v>0</c:v>
                </c:pt>
                <c:pt idx="10">
                  <c:v>0</c:v>
                </c:pt>
                <c:pt idx="11">
                  <c:v>0</c:v>
                </c:pt>
                <c:pt idx="12">
                  <c:v>0</c:v>
                </c:pt>
                <c:pt idx="13">
                  <c:v>0</c:v>
                </c:pt>
                <c:pt idx="14">
                  <c:v>1.0101010101010102E-2</c:v>
                </c:pt>
                <c:pt idx="15">
                  <c:v>0</c:v>
                </c:pt>
                <c:pt idx="16">
                  <c:v>0</c:v>
                </c:pt>
                <c:pt idx="17">
                  <c:v>0</c:v>
                </c:pt>
              </c:numCache>
            </c:numRef>
          </c:val>
          <c:extLst>
            <c:ext xmlns:c16="http://schemas.microsoft.com/office/drawing/2014/chart" uri="{C3380CC4-5D6E-409C-BE32-E72D297353CC}">
              <c16:uniqueId val="{00000005-7B3C-4E76-8187-FC9626F9FF68}"/>
            </c:ext>
          </c:extLst>
        </c:ser>
        <c:ser>
          <c:idx val="6"/>
          <c:order val="6"/>
          <c:tx>
            <c:strRef>
              <c:f>'Pivot table'!$AE$15:$AE$16</c:f>
              <c:strCache>
                <c:ptCount val="1"/>
                <c:pt idx="0">
                  <c:v>White and Black Caribbean</c:v>
                </c:pt>
              </c:strCache>
            </c:strRef>
          </c:tx>
          <c:spPr>
            <a:noFill/>
            <a:ln w="9525" cap="flat" cmpd="sng" algn="ctr">
              <a:solidFill>
                <a:schemeClr val="accent1">
                  <a:lumMod val="60000"/>
                </a:schemeClr>
              </a:solidFill>
              <a:miter lim="800000"/>
            </a:ln>
            <a:effectLst>
              <a:glow rad="63500">
                <a:schemeClr val="accent1">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table'!$AE$17:$AE$35</c:f>
              <c:numCache>
                <c:formatCode>0.00%</c:formatCode>
                <c:ptCount val="18"/>
                <c:pt idx="0">
                  <c:v>0</c:v>
                </c:pt>
                <c:pt idx="1">
                  <c:v>0.14285714285714285</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9.0909090909090912E-2</c:v>
                </c:pt>
                <c:pt idx="17">
                  <c:v>0</c:v>
                </c:pt>
              </c:numCache>
            </c:numRef>
          </c:val>
          <c:extLst>
            <c:ext xmlns:c16="http://schemas.microsoft.com/office/drawing/2014/chart" uri="{C3380CC4-5D6E-409C-BE32-E72D297353CC}">
              <c16:uniqueId val="{00000006-7B3C-4E76-8187-FC9626F9FF68}"/>
            </c:ext>
          </c:extLst>
        </c:ser>
        <c:ser>
          <c:idx val="7"/>
          <c:order val="7"/>
          <c:tx>
            <c:strRef>
              <c:f>'Pivot table'!$AF$15:$AF$16</c:f>
              <c:strCache>
                <c:ptCount val="1"/>
                <c:pt idx="0">
                  <c:v>White British</c:v>
                </c:pt>
              </c:strCache>
            </c:strRef>
          </c:tx>
          <c:spPr>
            <a:noFill/>
            <a:ln w="9525" cap="flat" cmpd="sng" algn="ctr">
              <a:solidFill>
                <a:schemeClr val="accent2">
                  <a:lumMod val="60000"/>
                </a:schemeClr>
              </a:solidFill>
              <a:miter lim="800000"/>
            </a:ln>
            <a:effectLst>
              <a:glow rad="63500">
                <a:schemeClr val="accent2">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table'!$AF$17:$AF$35</c:f>
              <c:numCache>
                <c:formatCode>0.00%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7-7B3C-4E76-8187-FC9626F9FF68}"/>
            </c:ext>
          </c:extLst>
        </c:ser>
        <c:ser>
          <c:idx val="8"/>
          <c:order val="8"/>
          <c:tx>
            <c:strRef>
              <c:f>'Pivot table'!$AG$15:$AG$16</c:f>
              <c:strCache>
                <c:ptCount val="1"/>
                <c:pt idx="0">
                  <c:v>White Irish</c:v>
                </c:pt>
              </c:strCache>
            </c:strRef>
          </c:tx>
          <c:spPr>
            <a:noFill/>
            <a:ln w="9525" cap="flat" cmpd="sng" algn="ctr">
              <a:solidFill>
                <a:schemeClr val="accent3">
                  <a:lumMod val="60000"/>
                </a:schemeClr>
              </a:solidFill>
              <a:miter lim="800000"/>
            </a:ln>
            <a:effectLst>
              <a:glow rad="63500">
                <a:schemeClr val="accent3">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table'!$AG$17:$AG$35</c:f>
              <c:numCache>
                <c:formatCode>0.00%</c:formatCode>
                <c:ptCount val="18"/>
                <c:pt idx="0">
                  <c:v>0.1111111111111111</c:v>
                </c:pt>
                <c:pt idx="1">
                  <c:v>0</c:v>
                </c:pt>
                <c:pt idx="2">
                  <c:v>0</c:v>
                </c:pt>
                <c:pt idx="3">
                  <c:v>0</c:v>
                </c:pt>
                <c:pt idx="4">
                  <c:v>0</c:v>
                </c:pt>
                <c:pt idx="5">
                  <c:v>0</c:v>
                </c:pt>
                <c:pt idx="6">
                  <c:v>0</c:v>
                </c:pt>
                <c:pt idx="7">
                  <c:v>0</c:v>
                </c:pt>
                <c:pt idx="8">
                  <c:v>0</c:v>
                </c:pt>
                <c:pt idx="9">
                  <c:v>5.2631578947368418E-2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7B3C-4E76-8187-FC9626F9FF68}"/>
            </c:ext>
          </c:extLst>
        </c:ser>
        <c:ser>
          <c:idx val="9"/>
          <c:order val="9"/>
          <c:tx>
            <c:strRef>
              <c:f>'Pivot table'!$AH$15:$AH$16</c:f>
              <c:strCache>
                <c:ptCount val="1"/>
                <c:pt idx="0">
                  <c:v>White Other</c:v>
                </c:pt>
              </c:strCache>
            </c:strRef>
          </c:tx>
          <c:spPr>
            <a:noFill/>
            <a:ln w="9525" cap="flat" cmpd="sng" algn="ctr">
              <a:solidFill>
                <a:schemeClr val="accent4">
                  <a:lumMod val="60000"/>
                </a:schemeClr>
              </a:solidFill>
              <a:miter lim="800000"/>
            </a:ln>
            <a:effectLst>
              <a:glow rad="63500">
                <a:schemeClr val="accent4">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table'!$AH$17:$AH$35</c:f>
              <c:numCache>
                <c:formatCode>0.00%</c:formatCode>
                <c:ptCount val="18"/>
                <c:pt idx="0">
                  <c:v>0.1111111111111111</c:v>
                </c:pt>
                <c:pt idx="1">
                  <c:v>0</c:v>
                </c:pt>
                <c:pt idx="2">
                  <c:v>0</c:v>
                </c:pt>
                <c:pt idx="3">
                  <c:v>0</c:v>
                </c:pt>
                <c:pt idx="4">
                  <c:v>0</c:v>
                </c:pt>
                <c:pt idx="5">
                  <c:v>0</c:v>
                </c:pt>
                <c:pt idx="6">
                  <c:v>0</c:v>
                </c:pt>
                <c:pt idx="7">
                  <c:v>8.3333333333333329E-2</c:v>
                </c:pt>
                <c:pt idx="8">
                  <c:v>0</c:v>
                </c:pt>
                <c:pt idx="9">
                  <c:v>5.2631578947368418E-2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7B3C-4E76-8187-FC9626F9FF68}"/>
            </c:ext>
          </c:extLst>
        </c:ser>
        <c:dLbls>
          <c:showLegendKey val="0"/>
          <c:showVal val="0"/>
          <c:showCatName val="0"/>
          <c:showSerName val="0"/>
          <c:showPercent val="0"/>
          <c:showBubbleSize val="0"/>
        </c:dLbls>
        <c:gapWidth val="315"/>
        <c:overlap val="-40"/>
        <c:axId val="444404720"/>
        <c:axId val="1985708304"/>
      </c:barChart>
      <c:catAx>
        <c:axId val="44440472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layout>
            <c:manualLayout>
              <c:xMode val="edge"/>
              <c:yMode val="edge"/>
              <c:x val="0.48327987847672887"/>
              <c:y val="0.8833891917356484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85708304"/>
        <c:crosses val="autoZero"/>
        <c:auto val="1"/>
        <c:lblAlgn val="ctr"/>
        <c:lblOffset val="100"/>
        <c:noMultiLvlLbl val="0"/>
      </c:catAx>
      <c:valAx>
        <c:axId val="198570830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Percentage</a:t>
                </a:r>
                <a:r>
                  <a:rPr lang="en-GB" baseline="0"/>
                  <a:t> of Ethnic Groups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44404720"/>
        <c:crosses val="autoZero"/>
        <c:crossBetween val="between"/>
      </c:valAx>
      <c:spPr>
        <a:noFill/>
        <a:ln>
          <a:noFill/>
        </a:ln>
        <a:effectLst/>
      </c:spPr>
    </c:plotArea>
    <c:legend>
      <c:legendPos val="r"/>
      <c:layout>
        <c:manualLayout>
          <c:xMode val="edge"/>
          <c:yMode val="edge"/>
          <c:x val="0.88756790681054298"/>
          <c:y val="7.8515483675205527E-2"/>
          <c:w val="0.10690341316181365"/>
          <c:h val="0.606249100519239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table!PivotTable8</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Percentage of Different</a:t>
            </a:r>
            <a:r>
              <a:rPr lang="en-GB" baseline="0"/>
              <a:t> Ethnic Groups </a:t>
            </a:r>
            <a:r>
              <a:rPr lang="en-GB"/>
              <a:t>as an Organisational Whole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dLbl>
          <c:idx val="0"/>
          <c:showLegendKey val="0"/>
          <c:showVal val="0"/>
          <c:showCatName val="0"/>
          <c:showSerName val="0"/>
          <c:showPercent val="0"/>
          <c:showBubbleSize val="0"/>
          <c:extLst>
            <c:ext xmlns:c15="http://schemas.microsoft.com/office/drawing/2012/chart" uri="{CE6537A1-D6FC-4f65-9D91-7224C49458BB}"/>
          </c:extLst>
        </c:dLbl>
      </c:pivotFmt>
      <c:pivotFmt>
        <c:idx val="9"/>
        <c:dLbl>
          <c:idx val="0"/>
          <c:showLegendKey val="0"/>
          <c:showVal val="0"/>
          <c:showCatName val="0"/>
          <c:showSerName val="0"/>
          <c:showPercent val="0"/>
          <c:showBubbleSize val="0"/>
          <c:extLst>
            <c:ext xmlns:c15="http://schemas.microsoft.com/office/drawing/2012/chart" uri="{CE6537A1-D6FC-4f65-9D91-7224C49458BB}"/>
          </c:extLst>
        </c:dLbl>
      </c:pivotFmt>
      <c:pivotFmt>
        <c:idx val="10"/>
        <c:dLbl>
          <c:idx val="0"/>
          <c:showLegendKey val="0"/>
          <c:showVal val="0"/>
          <c:showCatName val="0"/>
          <c:showSerName val="0"/>
          <c:showPercent val="0"/>
          <c:showBubbleSize val="0"/>
          <c:extLst>
            <c:ext xmlns:c15="http://schemas.microsoft.com/office/drawing/2012/chart" uri="{CE6537A1-D6FC-4f65-9D91-7224C49458BB}"/>
          </c:extLst>
        </c:dLbl>
      </c:pivotFmt>
      <c:pivotFmt>
        <c:idx val="11"/>
        <c:dLbl>
          <c:idx val="0"/>
          <c:showLegendKey val="0"/>
          <c:showVal val="0"/>
          <c:showCatName val="0"/>
          <c:showSerName val="0"/>
          <c:showPercent val="0"/>
          <c:showBubbleSize val="0"/>
          <c:extLst>
            <c:ext xmlns:c15="http://schemas.microsoft.com/office/drawing/2012/chart" uri="{CE6537A1-D6FC-4f65-9D91-7224C49458BB}"/>
          </c:extLst>
        </c:dLbl>
      </c:pivotFmt>
      <c:pivotFmt>
        <c:idx val="12"/>
        <c:dLbl>
          <c:idx val="0"/>
          <c:showLegendKey val="0"/>
          <c:showVal val="0"/>
          <c:showCatName val="0"/>
          <c:showSerName val="0"/>
          <c:showPercent val="0"/>
          <c:showBubbleSize val="0"/>
          <c:extLst>
            <c:ext xmlns:c15="http://schemas.microsoft.com/office/drawing/2012/chart" uri="{CE6537A1-D6FC-4f65-9D91-7224C49458BB}"/>
          </c:extLst>
        </c:dLbl>
      </c:pivotFmt>
      <c:pivotFmt>
        <c:idx val="13"/>
        <c:dLbl>
          <c:idx val="0"/>
          <c:showLegendKey val="0"/>
          <c:showVal val="0"/>
          <c:showCatName val="0"/>
          <c:showSerName val="0"/>
          <c:showPercent val="0"/>
          <c:showBubbleSize val="0"/>
          <c:extLst>
            <c:ext xmlns:c15="http://schemas.microsoft.com/office/drawing/2012/chart" uri="{CE6537A1-D6FC-4f65-9D91-7224C49458BB}"/>
          </c:extLst>
        </c:dLbl>
      </c:pivotFmt>
      <c:pivotFmt>
        <c:idx val="14"/>
        <c:dLbl>
          <c:idx val="0"/>
          <c:showLegendKey val="0"/>
          <c:showVal val="0"/>
          <c:showCatName val="0"/>
          <c:showSerName val="0"/>
          <c:showPercent val="0"/>
          <c:showBubbleSize val="0"/>
          <c:extLst>
            <c:ext xmlns:c15="http://schemas.microsoft.com/office/drawing/2012/chart" uri="{CE6537A1-D6FC-4f65-9D91-7224C49458BB}"/>
          </c:extLst>
        </c:dLbl>
      </c:pivotFmt>
      <c:pivotFmt>
        <c:idx val="15"/>
        <c:dLbl>
          <c:idx val="0"/>
          <c:showLegendKey val="0"/>
          <c:showVal val="0"/>
          <c:showCatName val="0"/>
          <c:showSerName val="0"/>
          <c:showPercent val="0"/>
          <c:showBubbleSize val="0"/>
          <c:extLst>
            <c:ext xmlns:c15="http://schemas.microsoft.com/office/drawing/2012/chart" uri="{CE6537A1-D6FC-4f65-9D91-7224C49458BB}"/>
          </c:extLst>
        </c:dLbl>
      </c:pivotFmt>
      <c:pivotFmt>
        <c:idx val="16"/>
        <c:dLbl>
          <c:idx val="0"/>
          <c:showLegendKey val="0"/>
          <c:showVal val="0"/>
          <c:showCatName val="0"/>
          <c:showSerName val="0"/>
          <c:showPercent val="0"/>
          <c:showBubbleSize val="0"/>
          <c:extLst>
            <c:ext xmlns:c15="http://schemas.microsoft.com/office/drawing/2012/chart" uri="{CE6537A1-D6FC-4f65-9D91-7224C49458BB}"/>
          </c:extLst>
        </c:dLbl>
      </c:pivotFmt>
      <c:pivotFmt>
        <c:idx val="17"/>
        <c:dLbl>
          <c:idx val="0"/>
          <c:showLegendKey val="0"/>
          <c:showVal val="0"/>
          <c:showCatName val="0"/>
          <c:showSerName val="0"/>
          <c:showPercent val="0"/>
          <c:showBubbleSize val="0"/>
          <c:extLst>
            <c:ext xmlns:c15="http://schemas.microsoft.com/office/drawing/2012/chart" uri="{CE6537A1-D6FC-4f65-9D91-7224C49458BB}"/>
          </c:extLst>
        </c:dLbl>
      </c:pivotFmt>
      <c:pivotFmt>
        <c:idx val="18"/>
        <c:dLbl>
          <c:idx val="0"/>
          <c:showLegendKey val="0"/>
          <c:showVal val="0"/>
          <c:showCatName val="0"/>
          <c:showSerName val="0"/>
          <c:showPercent val="0"/>
          <c:showBubbleSize val="0"/>
          <c:extLst>
            <c:ext xmlns:c15="http://schemas.microsoft.com/office/drawing/2012/chart" uri="{CE6537A1-D6FC-4f65-9D91-7224C49458BB}"/>
          </c:extLst>
        </c:dLbl>
      </c:pivotFmt>
      <c:pivotFmt>
        <c:idx val="19"/>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a:solidFill>
                <a:schemeClr val="accent5"/>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a:solidFill>
                <a:schemeClr val="accent6"/>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a:solidFill>
                <a:schemeClr val="accent1">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w="9525">
              <a:solidFill>
                <a:schemeClr val="accent2">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a:solidFill>
                <a:schemeClr val="accent3">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a:solidFill>
                <a:schemeClr val="accent4">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'Pivot table'!$Y$15:$Y$16</c:f>
              <c:strCache>
                <c:ptCount val="1"/>
                <c:pt idx="0">
                  <c:v>Asian - Bangladesh</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table'!$Y$17:$Y$35</c:f>
              <c:numCache>
                <c:formatCode>0.00%</c:formatCode>
                <c:ptCount val="18"/>
                <c:pt idx="0">
                  <c:v>0</c:v>
                </c:pt>
                <c:pt idx="1">
                  <c:v>0</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B85B-44ED-950C-89A25A01E3A0}"/>
            </c:ext>
          </c:extLst>
        </c:ser>
        <c:ser>
          <c:idx val="1"/>
          <c:order val="1"/>
          <c:tx>
            <c:strRef>
              <c:f>'Pivot table'!$Z$15:$Z$16</c:f>
              <c:strCache>
                <c:ptCount val="1"/>
                <c:pt idx="0">
                  <c:v>Black - Other</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table'!$Z$17:$Z$35</c:f>
              <c:numCache>
                <c:formatCode>0.00%</c:formatCode>
                <c:ptCount val="18"/>
                <c:pt idx="0">
                  <c:v>0</c:v>
                </c:pt>
                <c:pt idx="1">
                  <c:v>0</c:v>
                </c:pt>
                <c:pt idx="2">
                  <c:v>0</c:v>
                </c:pt>
                <c:pt idx="3">
                  <c:v>0</c:v>
                </c:pt>
                <c:pt idx="4">
                  <c:v>0</c:v>
                </c:pt>
                <c:pt idx="5">
                  <c:v>0.1</c:v>
                </c:pt>
                <c:pt idx="6">
                  <c:v>0</c:v>
                </c:pt>
                <c:pt idx="7">
                  <c:v>0</c:v>
                </c:pt>
                <c:pt idx="8">
                  <c:v>0</c:v>
                </c:pt>
                <c:pt idx="9">
                  <c:v>0</c:v>
                </c:pt>
                <c:pt idx="10">
                  <c:v>0.1111111111111111</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B85B-44ED-950C-89A25A01E3A0}"/>
            </c:ext>
          </c:extLst>
        </c:ser>
        <c:ser>
          <c:idx val="2"/>
          <c:order val="2"/>
          <c:tx>
            <c:strRef>
              <c:f>'Pivot table'!$AA$15:$AA$16</c:f>
              <c:strCache>
                <c:ptCount val="1"/>
                <c:pt idx="0">
                  <c:v>Chinese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table'!$AA$17:$AA$35</c:f>
              <c:numCache>
                <c:formatCode>0.00%</c:formatCode>
                <c:ptCount val="18"/>
                <c:pt idx="0">
                  <c:v>0</c:v>
                </c:pt>
                <c:pt idx="1">
                  <c:v>0</c:v>
                </c:pt>
                <c:pt idx="2">
                  <c:v>6.6666666666666666E-2</c:v>
                </c:pt>
                <c:pt idx="3">
                  <c:v>0</c:v>
                </c:pt>
                <c:pt idx="4">
                  <c:v>0</c:v>
                </c:pt>
                <c:pt idx="5">
                  <c:v>0</c:v>
                </c:pt>
                <c:pt idx="6">
                  <c:v>0</c:v>
                </c:pt>
                <c:pt idx="7">
                  <c:v>0</c:v>
                </c:pt>
                <c:pt idx="8">
                  <c:v>0</c:v>
                </c:pt>
                <c:pt idx="9">
                  <c:v>0</c:v>
                </c:pt>
                <c:pt idx="10">
                  <c:v>0</c:v>
                </c:pt>
                <c:pt idx="11">
                  <c:v>0</c:v>
                </c:pt>
                <c:pt idx="12">
                  <c:v>0</c:v>
                </c:pt>
                <c:pt idx="13">
                  <c:v>9.0909090909090912E-2</c:v>
                </c:pt>
                <c:pt idx="14">
                  <c:v>0</c:v>
                </c:pt>
                <c:pt idx="15">
                  <c:v>0</c:v>
                </c:pt>
                <c:pt idx="16">
                  <c:v>0</c:v>
                </c:pt>
                <c:pt idx="17">
                  <c:v>0</c:v>
                </c:pt>
              </c:numCache>
            </c:numRef>
          </c:val>
          <c:extLst>
            <c:ext xmlns:c16="http://schemas.microsoft.com/office/drawing/2014/chart" uri="{C3380CC4-5D6E-409C-BE32-E72D297353CC}">
              <c16:uniqueId val="{00000002-B85B-44ED-950C-89A25A01E3A0}"/>
            </c:ext>
          </c:extLst>
        </c:ser>
        <c:ser>
          <c:idx val="3"/>
          <c:order val="3"/>
          <c:tx>
            <c:strRef>
              <c:f>'Pivot table'!$AB$15:$AB$16</c:f>
              <c:strCache>
                <c:ptCount val="1"/>
                <c:pt idx="0">
                  <c:v>Indian</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table'!$AB$17:$AB$35</c:f>
              <c:numCache>
                <c:formatCode>0.00%</c:formatCode>
                <c:ptCount val="18"/>
                <c:pt idx="0">
                  <c:v>0</c:v>
                </c:pt>
                <c:pt idx="1">
                  <c:v>0.14285714285714285</c:v>
                </c:pt>
                <c:pt idx="2">
                  <c:v>0</c:v>
                </c:pt>
                <c:pt idx="3">
                  <c:v>0.2</c:v>
                </c:pt>
                <c:pt idx="4">
                  <c:v>0</c:v>
                </c:pt>
                <c:pt idx="5">
                  <c:v>0.1</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B85B-44ED-950C-89A25A01E3A0}"/>
            </c:ext>
          </c:extLst>
        </c:ser>
        <c:ser>
          <c:idx val="4"/>
          <c:order val="4"/>
          <c:tx>
            <c:strRef>
              <c:f>'Pivot table'!$AC$15:$AC$16</c:f>
              <c:strCache>
                <c:ptCount val="1"/>
                <c:pt idx="0">
                  <c:v>Mixed - Other</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table'!$AC$17:$AC$35</c:f>
              <c:numCache>
                <c:formatCode>0.00%</c:formatCode>
                <c:ptCount val="18"/>
                <c:pt idx="0">
                  <c:v>0</c:v>
                </c:pt>
                <c:pt idx="1">
                  <c:v>0.14285714285714285</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B85B-44ED-950C-89A25A01E3A0}"/>
            </c:ext>
          </c:extLst>
        </c:ser>
        <c:ser>
          <c:idx val="5"/>
          <c:order val="5"/>
          <c:tx>
            <c:strRef>
              <c:f>'Pivot table'!$AD$15:$AD$16</c:f>
              <c:strCache>
                <c:ptCount val="1"/>
                <c:pt idx="0">
                  <c:v>Pakistani</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table'!$AD$17:$AD$35</c:f>
              <c:numCache>
                <c:formatCode>0.00%</c:formatCode>
                <c:ptCount val="18"/>
                <c:pt idx="0">
                  <c:v>0</c:v>
                </c:pt>
                <c:pt idx="1">
                  <c:v>0</c:v>
                </c:pt>
                <c:pt idx="2">
                  <c:v>0.13333333333333333</c:v>
                </c:pt>
                <c:pt idx="3">
                  <c:v>0</c:v>
                </c:pt>
                <c:pt idx="4">
                  <c:v>0</c:v>
                </c:pt>
                <c:pt idx="5">
                  <c:v>0</c:v>
                </c:pt>
                <c:pt idx="6">
                  <c:v>0</c:v>
                </c:pt>
                <c:pt idx="7">
                  <c:v>0</c:v>
                </c:pt>
                <c:pt idx="8">
                  <c:v>0</c:v>
                </c:pt>
                <c:pt idx="9">
                  <c:v>0</c:v>
                </c:pt>
                <c:pt idx="10">
                  <c:v>0</c:v>
                </c:pt>
                <c:pt idx="11">
                  <c:v>0</c:v>
                </c:pt>
                <c:pt idx="12">
                  <c:v>0</c:v>
                </c:pt>
                <c:pt idx="13">
                  <c:v>0</c:v>
                </c:pt>
                <c:pt idx="14">
                  <c:v>1.0101010101010102E-2</c:v>
                </c:pt>
                <c:pt idx="15">
                  <c:v>0</c:v>
                </c:pt>
                <c:pt idx="16">
                  <c:v>0</c:v>
                </c:pt>
                <c:pt idx="17">
                  <c:v>0</c:v>
                </c:pt>
              </c:numCache>
            </c:numRef>
          </c:val>
          <c:extLst>
            <c:ext xmlns:c16="http://schemas.microsoft.com/office/drawing/2014/chart" uri="{C3380CC4-5D6E-409C-BE32-E72D297353CC}">
              <c16:uniqueId val="{00000005-B85B-44ED-950C-89A25A01E3A0}"/>
            </c:ext>
          </c:extLst>
        </c:ser>
        <c:ser>
          <c:idx val="6"/>
          <c:order val="6"/>
          <c:tx>
            <c:strRef>
              <c:f>'Pivot table'!$AE$15:$AE$16</c:f>
              <c:strCache>
                <c:ptCount val="1"/>
                <c:pt idx="0">
                  <c:v>White and Black Caribbean</c:v>
                </c:pt>
              </c:strCache>
            </c:strRef>
          </c:tx>
          <c:spPr>
            <a:noFill/>
            <a:ln w="9525" cap="flat" cmpd="sng" algn="ctr">
              <a:solidFill>
                <a:schemeClr val="accent1">
                  <a:lumMod val="60000"/>
                </a:schemeClr>
              </a:solidFill>
              <a:miter lim="800000"/>
            </a:ln>
            <a:effectLst>
              <a:glow rad="63500">
                <a:schemeClr val="accent1">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table'!$AE$17:$AE$35</c:f>
              <c:numCache>
                <c:formatCode>0.00%</c:formatCode>
                <c:ptCount val="18"/>
                <c:pt idx="0">
                  <c:v>0</c:v>
                </c:pt>
                <c:pt idx="1">
                  <c:v>0.14285714285714285</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9.0909090909090912E-2</c:v>
                </c:pt>
                <c:pt idx="17">
                  <c:v>0</c:v>
                </c:pt>
              </c:numCache>
            </c:numRef>
          </c:val>
          <c:extLst>
            <c:ext xmlns:c16="http://schemas.microsoft.com/office/drawing/2014/chart" uri="{C3380CC4-5D6E-409C-BE32-E72D297353CC}">
              <c16:uniqueId val="{00000006-B85B-44ED-950C-89A25A01E3A0}"/>
            </c:ext>
          </c:extLst>
        </c:ser>
        <c:ser>
          <c:idx val="7"/>
          <c:order val="7"/>
          <c:tx>
            <c:strRef>
              <c:f>'Pivot table'!$AF$15:$AF$16</c:f>
              <c:strCache>
                <c:ptCount val="1"/>
                <c:pt idx="0">
                  <c:v>White British</c:v>
                </c:pt>
              </c:strCache>
            </c:strRef>
          </c:tx>
          <c:spPr>
            <a:noFill/>
            <a:ln w="9525" cap="flat" cmpd="sng" algn="ctr">
              <a:solidFill>
                <a:schemeClr val="accent2">
                  <a:lumMod val="60000"/>
                </a:schemeClr>
              </a:solidFill>
              <a:miter lim="800000"/>
            </a:ln>
            <a:effectLst>
              <a:glow rad="63500">
                <a:schemeClr val="accent2">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table'!$AF$17:$AF$35</c:f>
              <c:numCache>
                <c:formatCode>0.00%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7-B85B-44ED-950C-89A25A01E3A0}"/>
            </c:ext>
          </c:extLst>
        </c:ser>
        <c:ser>
          <c:idx val="8"/>
          <c:order val="8"/>
          <c:tx>
            <c:strRef>
              <c:f>'Pivot table'!$AG$15:$AG$16</c:f>
              <c:strCache>
                <c:ptCount val="1"/>
                <c:pt idx="0">
                  <c:v>White Irish</c:v>
                </c:pt>
              </c:strCache>
            </c:strRef>
          </c:tx>
          <c:spPr>
            <a:noFill/>
            <a:ln w="9525" cap="flat" cmpd="sng" algn="ctr">
              <a:solidFill>
                <a:schemeClr val="accent3">
                  <a:lumMod val="60000"/>
                </a:schemeClr>
              </a:solidFill>
              <a:miter lim="800000"/>
            </a:ln>
            <a:effectLst>
              <a:glow rad="63500">
                <a:schemeClr val="accent3">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table'!$AG$17:$AG$35</c:f>
              <c:numCache>
                <c:formatCode>0.00%</c:formatCode>
                <c:ptCount val="18"/>
                <c:pt idx="0">
                  <c:v>0.1111111111111111</c:v>
                </c:pt>
                <c:pt idx="1">
                  <c:v>0</c:v>
                </c:pt>
                <c:pt idx="2">
                  <c:v>0</c:v>
                </c:pt>
                <c:pt idx="3">
                  <c:v>0</c:v>
                </c:pt>
                <c:pt idx="4">
                  <c:v>0</c:v>
                </c:pt>
                <c:pt idx="5">
                  <c:v>0</c:v>
                </c:pt>
                <c:pt idx="6">
                  <c:v>0</c:v>
                </c:pt>
                <c:pt idx="7">
                  <c:v>0</c:v>
                </c:pt>
                <c:pt idx="8">
                  <c:v>0</c:v>
                </c:pt>
                <c:pt idx="9">
                  <c:v>5.2631578947368418E-2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B85B-44ED-950C-89A25A01E3A0}"/>
            </c:ext>
          </c:extLst>
        </c:ser>
        <c:ser>
          <c:idx val="9"/>
          <c:order val="9"/>
          <c:tx>
            <c:strRef>
              <c:f>'Pivot table'!$AH$15:$AH$16</c:f>
              <c:strCache>
                <c:ptCount val="1"/>
                <c:pt idx="0">
                  <c:v>White Other</c:v>
                </c:pt>
              </c:strCache>
            </c:strRef>
          </c:tx>
          <c:spPr>
            <a:noFill/>
            <a:ln w="9525" cap="flat" cmpd="sng" algn="ctr">
              <a:solidFill>
                <a:schemeClr val="accent4">
                  <a:lumMod val="60000"/>
                </a:schemeClr>
              </a:solidFill>
              <a:miter lim="800000"/>
            </a:ln>
            <a:effectLst>
              <a:glow rad="63500">
                <a:schemeClr val="accent4">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table'!$AH$17:$AH$35</c:f>
              <c:numCache>
                <c:formatCode>0.00%</c:formatCode>
                <c:ptCount val="18"/>
                <c:pt idx="0">
                  <c:v>0.1111111111111111</c:v>
                </c:pt>
                <c:pt idx="1">
                  <c:v>0</c:v>
                </c:pt>
                <c:pt idx="2">
                  <c:v>0</c:v>
                </c:pt>
                <c:pt idx="3">
                  <c:v>0</c:v>
                </c:pt>
                <c:pt idx="4">
                  <c:v>0</c:v>
                </c:pt>
                <c:pt idx="5">
                  <c:v>0</c:v>
                </c:pt>
                <c:pt idx="6">
                  <c:v>0</c:v>
                </c:pt>
                <c:pt idx="7">
                  <c:v>8.3333333333333329E-2</c:v>
                </c:pt>
                <c:pt idx="8">
                  <c:v>0</c:v>
                </c:pt>
                <c:pt idx="9">
                  <c:v>5.2631578947368418E-2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B85B-44ED-950C-89A25A01E3A0}"/>
            </c:ext>
          </c:extLst>
        </c:ser>
        <c:dLbls>
          <c:showLegendKey val="0"/>
          <c:showVal val="0"/>
          <c:showCatName val="0"/>
          <c:showSerName val="0"/>
          <c:showPercent val="0"/>
          <c:showBubbleSize val="0"/>
        </c:dLbls>
        <c:gapWidth val="182"/>
        <c:overlap val="-50"/>
        <c:axId val="1416798495"/>
        <c:axId val="850708175"/>
      </c:barChart>
      <c:catAx>
        <c:axId val="1416798495"/>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50708175"/>
        <c:crosses val="autoZero"/>
        <c:auto val="1"/>
        <c:lblAlgn val="ctr"/>
        <c:lblOffset val="100"/>
        <c:noMultiLvlLbl val="0"/>
      </c:catAx>
      <c:valAx>
        <c:axId val="850708175"/>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Percentage of Ethnic Groups</a:t>
                </a:r>
              </a:p>
            </c:rich>
          </c:tx>
          <c:layout>
            <c:manualLayout>
              <c:xMode val="edge"/>
              <c:yMode val="edge"/>
              <c:x val="0.45489568384472673"/>
              <c:y val="0.9542198230767332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4167984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table!PivotTable5</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Percentage of Disabled and Non-Disabled</a:t>
            </a:r>
            <a:r>
              <a:rPr lang="en-GB" baseline="0"/>
              <a:t> Employees </a:t>
            </a:r>
            <a:r>
              <a:rPr lang="en-GB"/>
              <a:t>as an Organisational Whole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2">
                <a:lumMod val="60000"/>
                <a:lumOff val="40000"/>
              </a:schemeClr>
            </a:solidFill>
            <a:ln>
              <a:noFill/>
            </a:ln>
            <a:effectLst>
              <a:glow rad="63500">
                <a:schemeClr val="accent2">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'Pivot table'!$C$72:$C$73</c:f>
              <c:strCache>
                <c:ptCount val="1"/>
                <c:pt idx="0">
                  <c:v>Disabled</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table'!$B$74:$B$92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table'!$C$74:$C$92</c:f>
              <c:numCache>
                <c:formatCode>0.00%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1DD9-481D-B806-EF561C01E53F}"/>
            </c:ext>
          </c:extLst>
        </c:ser>
        <c:ser>
          <c:idx val="1"/>
          <c:order val="1"/>
          <c:tx>
            <c:strRef>
              <c:f>'Pivot table'!$D$72:$D$73</c:f>
              <c:strCache>
                <c:ptCount val="1"/>
                <c:pt idx="0">
                  <c:v>Not disabled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table'!$B$74:$B$92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table'!$D$74:$D$92</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1DD9-481D-B806-EF561C01E53F}"/>
            </c:ext>
          </c:extLst>
        </c:ser>
        <c:dLbls>
          <c:showLegendKey val="0"/>
          <c:showVal val="0"/>
          <c:showCatName val="0"/>
          <c:showSerName val="0"/>
          <c:showPercent val="0"/>
          <c:showBubbleSize val="0"/>
        </c:dLbls>
        <c:gapWidth val="182"/>
        <c:overlap val="-50"/>
        <c:axId val="1244762431"/>
        <c:axId val="1280519743"/>
      </c:barChart>
      <c:catAx>
        <c:axId val="1244762431"/>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80519743"/>
        <c:crosses val="autoZero"/>
        <c:auto val="1"/>
        <c:lblAlgn val="ctr"/>
        <c:lblOffset val="100"/>
        <c:noMultiLvlLbl val="0"/>
      </c:catAx>
      <c:valAx>
        <c:axId val="1280519743"/>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Percentage of Disabled and Non-Disabled</a:t>
                </a:r>
                <a:r>
                  <a:rPr lang="en-GB" baseline="0"/>
                  <a:t> Employees</a:t>
                </a:r>
                <a:endParaRPr lang="en-GB"/>
              </a:p>
            </c:rich>
          </c:tx>
          <c:layout>
            <c:manualLayout>
              <c:xMode val="edge"/>
              <c:yMode val="edge"/>
              <c:x val="0.43772875487837004"/>
              <c:y val="0.94847135820729589"/>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4476243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table!PivotTable3</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Percentage of Disabled and Non-Disabled</a:t>
            </a:r>
            <a:r>
              <a:rPr lang="en-GB" baseline="0"/>
              <a:t> Employees Per Team</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7"/>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8"/>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'Pivot table'!$C$32:$C$33</c:f>
              <c:strCache>
                <c:ptCount val="1"/>
                <c:pt idx="0">
                  <c:v>Disabled</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table'!$B$34:$B$52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table'!$C$34:$C$52</c:f>
              <c:numCache>
                <c:formatCode>0.0%</c:formatCode>
                <c:ptCount val="18"/>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numCache>
            </c:numRef>
          </c:val>
          <c:extLst>
            <c:ext xmlns:c16="http://schemas.microsoft.com/office/drawing/2014/chart" uri="{C3380CC4-5D6E-409C-BE32-E72D297353CC}">
              <c16:uniqueId val="{00000000-BB56-4428-8AFE-74D63032F117}"/>
            </c:ext>
          </c:extLst>
        </c:ser>
        <c:ser>
          <c:idx val="1"/>
          <c:order val="1"/>
          <c:tx>
            <c:strRef>
              <c:f>'Pivot table'!$D$32:$D$33</c:f>
              <c:strCache>
                <c:ptCount val="1"/>
                <c:pt idx="0">
                  <c:v>Not disabled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table'!$B$34:$B$52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table'!$D$34:$D$52</c:f>
              <c:numCache>
                <c:formatCode>0.0%</c:formatCode>
                <c:ptCount val="18"/>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numCache>
            </c:numRef>
          </c:val>
          <c:extLst>
            <c:ext xmlns:c16="http://schemas.microsoft.com/office/drawing/2014/chart" uri="{C3380CC4-5D6E-409C-BE32-E72D297353CC}">
              <c16:uniqueId val="{00000001-BB56-4428-8AFE-74D63032F117}"/>
            </c:ext>
          </c:extLst>
        </c:ser>
        <c:dLbls>
          <c:dLblPos val="outEnd"/>
          <c:showLegendKey val="0"/>
          <c:showVal val="1"/>
          <c:showCatName val="0"/>
          <c:showSerName val="0"/>
          <c:showPercent val="0"/>
          <c:showBubbleSize val="0"/>
        </c:dLbls>
        <c:gapWidth val="182"/>
        <c:overlap val="-50"/>
        <c:axId val="1922656191"/>
        <c:axId val="2083031647"/>
      </c:barChart>
      <c:catAx>
        <c:axId val="1922656191"/>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83031647"/>
        <c:crosses val="autoZero"/>
        <c:auto val="1"/>
        <c:lblAlgn val="ctr"/>
        <c:lblOffset val="100"/>
        <c:noMultiLvlLbl val="0"/>
      </c:catAx>
      <c:valAx>
        <c:axId val="2083031647"/>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baseline="0"/>
                  <a:t>Percentage of Disabled and Non-Disabled Employees</a:t>
                </a:r>
                <a:endParaRPr lang="en-GB"/>
              </a:p>
            </c:rich>
          </c:tx>
          <c:layout>
            <c:manualLayout>
              <c:xMode val="edge"/>
              <c:yMode val="edge"/>
              <c:x val="0.42641512839982265"/>
              <c:y val="0.94857300732145311"/>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226561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table!PivotTable7</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Percentage of Disabled an Non-Disabled</a:t>
            </a:r>
            <a:r>
              <a:rPr lang="en-US" baseline="0"/>
              <a:t> Employees in the Organisation</a:t>
            </a:r>
            <a:endParaRPr lang="en-US"/>
          </a:p>
        </c:rich>
      </c:tx>
      <c:layout>
        <c:manualLayout>
          <c:xMode val="edge"/>
          <c:yMode val="edge"/>
          <c:x val="0.16678547854785478"/>
          <c:y val="4.013377926421404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3"/>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7"/>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8"/>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9"/>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1"/>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2"/>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3"/>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4"/>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7"/>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8"/>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'Pivot table'!$J$32</c:f>
              <c:strCache>
                <c:ptCount val="1"/>
                <c:pt idx="0">
                  <c:v>Total</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09A-4577-9666-32BDD2D47E2A}"/>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09A-4577-9666-32BDD2D47E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'Pivot table'!$I$33:$I$35</c:f>
              <c:strCache>
                <c:ptCount val="2"/>
                <c:pt idx="0">
                  <c:v>Disabled</c:v>
                </c:pt>
                <c:pt idx="1">
                  <c:v>Not disabled</c:v>
                </c:pt>
              </c:strCache>
            </c:strRef>
          </c:cat>
          <c:val>
            <c:numRef>
              <c:f>'Pivot table'!$J$33:$J$35</c:f>
              <c:numCache>
                <c:formatCode>0%</c:formatCode>
                <c:ptCount val="2"/>
                <c:pt idx="0">
                  <c:v>8.0769230769230774E-2</c:v>
                </c:pt>
                <c:pt idx="1">
                  <c:v>0.91923076923076918</c:v>
                </c:pt>
              </c:numCache>
            </c:numRef>
          </c:val>
          <c:extLst>
            <c:ext xmlns:c16="http://schemas.microsoft.com/office/drawing/2014/chart" uri="{C3380CC4-5D6E-409C-BE32-E72D297353CC}">
              <c16:uniqueId val="{00000004-609A-4577-9666-32BDD2D47E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Hybrid Working Survey Results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2.xlsx]Sheet1'!$P$67</c:f>
              <c:strCache>
                <c:ptCount val="1"/>
                <c:pt idx="0">
                  <c:v>Fully Agree/Agree</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'[Table 2.xlsx]Sheet1'!$L$68:$O$81</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'[Table 2.xlsx]Sheet1'!$P$68:$P$81</c:f>
              <c:numCache>
                <c:formatCode>0%</c:formatCode>
                <c:ptCount val="14"/>
                <c:pt idx="0">
                  <c:v>0.56333333333333335</c:v>
                </c:pt>
                <c:pt idx="1">
                  <c:v>0.82333333333333336</c:v>
                </c:pt>
                <c:pt idx="2">
                  <c:v>7.0000000000000007E-2</c:v>
                </c:pt>
                <c:pt idx="3">
                  <c:v>0.14000000000000001</c:v>
                </c:pt>
                <c:pt idx="4">
                  <c:v>0.24333333333333335</c:v>
                </c:pt>
                <c:pt idx="5">
                  <c:v>0.64333333333333331</c:v>
                </c:pt>
                <c:pt idx="6">
                  <c:v>0.49333333333333335</c:v>
                </c:pt>
                <c:pt idx="7">
                  <c:v>0.38666666666666666</c:v>
                </c:pt>
                <c:pt idx="8">
                  <c:v>0.62</c:v>
                </c:pt>
                <c:pt idx="9">
                  <c:v>0.33666666666666667</c:v>
                </c:pt>
                <c:pt idx="10">
                  <c:v>0.49</c:v>
                </c:pt>
                <c:pt idx="11">
                  <c:v>0.59</c:v>
                </c:pt>
                <c:pt idx="12">
                  <c:v>0.15</c:v>
                </c:pt>
                <c:pt idx="13">
                  <c:v>0.46333333333333332</c:v>
                </c:pt>
              </c:numCache>
            </c:numRef>
          </c:val>
          <c:extLst>
            <c:ext xmlns:c16="http://schemas.microsoft.com/office/drawing/2014/chart" uri="{C3380CC4-5D6E-409C-BE32-E72D297353CC}">
              <c16:uniqueId val="{00000000-AF5F-45C2-A3FA-90375A58B22D}"/>
            </c:ext>
          </c:extLst>
        </c:ser>
        <c:ser>
          <c:idx val="1"/>
          <c:order val="1"/>
          <c:tx>
            <c:strRef>
              <c:f>'[Table 2.xlsx]Sheet1'!$Q$67</c:f>
              <c:strCache>
                <c:ptCount val="1"/>
                <c:pt idx="0">
                  <c:v>Not sure</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cat>
            <c:strRef>
              <c:f>'[Table 2.xlsx]Sheet1'!$L$68:$O$81</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'[Table 2.xlsx]Sheet1'!$Q$68:$Q$81</c:f>
              <c:numCache>
                <c:formatCode>0%</c:formatCode>
                <c:ptCount val="14"/>
                <c:pt idx="0">
                  <c:v>6.3333333333333339E-2</c:v>
                </c:pt>
                <c:pt idx="1">
                  <c:v>3.6666666666666667E-2</c:v>
                </c:pt>
                <c:pt idx="2">
                  <c:v>0.1</c:v>
                </c:pt>
                <c:pt idx="3">
                  <c:v>0.06</c:v>
                </c:pt>
                <c:pt idx="4">
                  <c:v>0.33666666666666667</c:v>
                </c:pt>
                <c:pt idx="5">
                  <c:v>7.6666666666666661E-2</c:v>
                </c:pt>
                <c:pt idx="6">
                  <c:v>1.6666666666666666E-2</c:v>
                </c:pt>
                <c:pt idx="7">
                  <c:v>1.6666666666666666E-2</c:v>
                </c:pt>
                <c:pt idx="8">
                  <c:v>0.01</c:v>
                </c:pt>
                <c:pt idx="9">
                  <c:v>3.3333333333333335E-3</c:v>
                </c:pt>
                <c:pt idx="10">
                  <c:v>0.02</c:v>
                </c:pt>
                <c:pt idx="11">
                  <c:v>2.3333333333333334E-2</c:v>
                </c:pt>
                <c:pt idx="12">
                  <c:v>0</c:v>
                </c:pt>
                <c:pt idx="13">
                  <c:v>6.6666666666666671E-3</c:v>
                </c:pt>
              </c:numCache>
            </c:numRef>
          </c:val>
          <c:extLst>
            <c:ext xmlns:c16="http://schemas.microsoft.com/office/drawing/2014/chart" uri="{C3380CC4-5D6E-409C-BE32-E72D297353CC}">
              <c16:uniqueId val="{00000001-AF5F-45C2-A3FA-90375A58B22D}"/>
            </c:ext>
          </c:extLst>
        </c:ser>
        <c:ser>
          <c:idx val="2"/>
          <c:order val="2"/>
          <c:tx>
            <c:strRef>
              <c:f>'[Table 2.xlsx]Sheet1'!$R$67</c:f>
              <c:strCache>
                <c:ptCount val="1"/>
                <c:pt idx="0">
                  <c:v>Strongly Disagree/Disagree</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'[Table 2.xlsx]Sheet1'!$L$68:$O$81</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'[Table 2.xlsx]Sheet1'!$R$68:$R$81</c:f>
              <c:numCache>
                <c:formatCode>0%</c:formatCode>
                <c:ptCount val="14"/>
                <c:pt idx="0">
                  <c:v>0.37333333333333335</c:v>
                </c:pt>
                <c:pt idx="1">
                  <c:v>0.14000000000000001</c:v>
                </c:pt>
                <c:pt idx="2">
                  <c:v>0.83</c:v>
                </c:pt>
                <c:pt idx="3">
                  <c:v>0.8</c:v>
                </c:pt>
                <c:pt idx="4">
                  <c:v>0.42</c:v>
                </c:pt>
                <c:pt idx="5">
                  <c:v>0.28000000000000003</c:v>
                </c:pt>
                <c:pt idx="6">
                  <c:v>0.49</c:v>
                </c:pt>
                <c:pt idx="7">
                  <c:v>0.59666666666666668</c:v>
                </c:pt>
                <c:pt idx="8">
                  <c:v>0.37</c:v>
                </c:pt>
                <c:pt idx="9">
                  <c:v>0.66333333333333333</c:v>
                </c:pt>
                <c:pt idx="10">
                  <c:v>0.49</c:v>
                </c:pt>
                <c:pt idx="11">
                  <c:v>0.38666666666666666</c:v>
                </c:pt>
                <c:pt idx="12">
                  <c:v>0.85</c:v>
                </c:pt>
                <c:pt idx="13">
                  <c:v>0.53</c:v>
                </c:pt>
              </c:numCache>
            </c:numRef>
          </c:val>
          <c:extLst>
            <c:ext xmlns:c16="http://schemas.microsoft.com/office/drawing/2014/chart" uri="{C3380CC4-5D6E-409C-BE32-E72D297353CC}">
              <c16:uniqueId val="{00000002-AF5F-45C2-A3FA-90375A58B22D}"/>
            </c:ext>
          </c:extLst>
        </c:ser>
        <c:dLbls>
          <c:showLegendKey val="0"/>
          <c:showVal val="0"/>
          <c:showCatName val="0"/>
          <c:showSerName val="0"/>
          <c:showPercent val="0"/>
          <c:showBubbleSize val="0"/>
        </c:dLbls>
        <c:gapWidth val="315"/>
        <c:overlap val="-40"/>
        <c:axId val="200708760"/>
        <c:axId val="200707448"/>
      </c:barChart>
      <c:catAx>
        <c:axId val="20070876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1000" b="1" i="0" u="none" strike="noStrike" kern="1200" baseline="0">
                    <a:solidFill>
                      <a:schemeClr val="lt1">
                        <a:lumMod val="75000"/>
                      </a:schemeClr>
                    </a:solidFill>
                    <a:latin typeface="+mn-lt"/>
                    <a:ea typeface="+mn-ea"/>
                    <a:cs typeface="+mn-cs"/>
                  </a:defRPr>
                </a:pPr>
                <a:r>
                  <a:rPr lang="en-GB" sz="1000"/>
                  <a:t>Questions and Responses Provided</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0707448"/>
        <c:crosses val="autoZero"/>
        <c:auto val="1"/>
        <c:lblAlgn val="ctr"/>
        <c:lblOffset val="100"/>
        <c:noMultiLvlLbl val="0"/>
      </c:catAx>
      <c:valAx>
        <c:axId val="20070744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1000" b="1" i="0" u="none" strike="noStrike" kern="1200" baseline="0">
                    <a:solidFill>
                      <a:schemeClr val="lt1">
                        <a:lumMod val="75000"/>
                      </a:schemeClr>
                    </a:solidFill>
                    <a:latin typeface="+mn-lt"/>
                    <a:ea typeface="+mn-ea"/>
                    <a:cs typeface="+mn-cs"/>
                  </a:defRPr>
                </a:pPr>
                <a:r>
                  <a:rPr lang="en-GB" sz="1000"/>
                  <a:t>Percentage from each Response</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lt1">
                      <a:lumMod val="7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07087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Custom 4">
    <a:dk1>
      <a:sysClr val="windowText" lastClr="000000"/>
    </a:dk1>
    <a:lt1>
      <a:sysClr val="window" lastClr="FFFFFF"/>
    </a:lt1>
    <a:dk2>
      <a:srgbClr val="44546A"/>
    </a:dk2>
    <a:lt2>
      <a:srgbClr val="E7E6E6"/>
    </a:lt2>
    <a:accent1>
      <a:srgbClr val="FFC000"/>
    </a:accent1>
    <a:accent2>
      <a:srgbClr val="25B996"/>
    </a:accent2>
    <a:accent3>
      <a:srgbClr val="1DC4FF"/>
    </a:accent3>
    <a:accent4>
      <a:srgbClr val="00B050"/>
    </a:accent4>
    <a:accent5>
      <a:srgbClr val="E0A574"/>
    </a:accent5>
    <a:accent6>
      <a:srgbClr val="70AD47"/>
    </a:accent6>
    <a:hlink>
      <a:srgbClr val="48A1FA"/>
    </a:hlink>
    <a:folHlink>
      <a:srgbClr val="BB6B2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Custom 5">
    <a:dk1>
      <a:sysClr val="windowText" lastClr="000000"/>
    </a:dk1>
    <a:lt1>
      <a:sysClr val="window" lastClr="FFFFFF"/>
    </a:lt1>
    <a:dk2>
      <a:srgbClr val="44546A"/>
    </a:dk2>
    <a:lt2>
      <a:srgbClr val="E7E6E6"/>
    </a:lt2>
    <a:accent1>
      <a:srgbClr val="4472C4"/>
    </a:accent1>
    <a:accent2>
      <a:srgbClr val="25B996"/>
    </a:accent2>
    <a:accent3>
      <a:srgbClr val="A5A5A5"/>
    </a:accent3>
    <a:accent4>
      <a:srgbClr val="ED7D31"/>
    </a:accent4>
    <a:accent5>
      <a:srgbClr val="5B9BD5"/>
    </a:accent5>
    <a:accent6>
      <a:srgbClr val="70AD47"/>
    </a:accent6>
    <a:hlink>
      <a:srgbClr val="0563C1"/>
    </a:hlink>
    <a:folHlink>
      <a:srgbClr val="FFD96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Custom 5">
    <a:dk1>
      <a:sysClr val="windowText" lastClr="000000"/>
    </a:dk1>
    <a:lt1>
      <a:sysClr val="window" lastClr="FFFFFF"/>
    </a:lt1>
    <a:dk2>
      <a:srgbClr val="44546A"/>
    </a:dk2>
    <a:lt2>
      <a:srgbClr val="E7E6E6"/>
    </a:lt2>
    <a:accent1>
      <a:srgbClr val="4472C4"/>
    </a:accent1>
    <a:accent2>
      <a:srgbClr val="25B996"/>
    </a:accent2>
    <a:accent3>
      <a:srgbClr val="A5A5A5"/>
    </a:accent3>
    <a:accent4>
      <a:srgbClr val="ED7D31"/>
    </a:accent4>
    <a:accent5>
      <a:srgbClr val="5B9BD5"/>
    </a:accent5>
    <a:accent6>
      <a:srgbClr val="70AD47"/>
    </a:accent6>
    <a:hlink>
      <a:srgbClr val="0563C1"/>
    </a:hlink>
    <a:folHlink>
      <a:srgbClr val="FFD96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Custom 7">
    <a:dk1>
      <a:sysClr val="windowText" lastClr="000000"/>
    </a:dk1>
    <a:lt1>
      <a:sysClr val="window" lastClr="FFFFFF"/>
    </a:lt1>
    <a:dk2>
      <a:srgbClr val="44546A"/>
    </a:dk2>
    <a:lt2>
      <a:srgbClr val="E7E6E6"/>
    </a:lt2>
    <a:accent1>
      <a:srgbClr val="FF0000"/>
    </a:accent1>
    <a:accent2>
      <a:srgbClr val="0FD3AE"/>
    </a:accent2>
    <a:accent3>
      <a:srgbClr val="FFD965"/>
    </a:accent3>
    <a:accent4>
      <a:srgbClr val="00B050"/>
    </a:accent4>
    <a:accent5>
      <a:srgbClr val="E76719"/>
    </a:accent5>
    <a:accent6>
      <a:srgbClr val="00B0F0"/>
    </a:accent6>
    <a:hlink>
      <a:srgbClr val="954F72"/>
    </a:hlink>
    <a:folHlink>
      <a:srgbClr val="C398C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Custom 7">
    <a:dk1>
      <a:sysClr val="windowText" lastClr="000000"/>
    </a:dk1>
    <a:lt1>
      <a:sysClr val="window" lastClr="FFFFFF"/>
    </a:lt1>
    <a:dk2>
      <a:srgbClr val="44546A"/>
    </a:dk2>
    <a:lt2>
      <a:srgbClr val="E7E6E6"/>
    </a:lt2>
    <a:accent1>
      <a:srgbClr val="FF0000"/>
    </a:accent1>
    <a:accent2>
      <a:srgbClr val="0FD3AE"/>
    </a:accent2>
    <a:accent3>
      <a:srgbClr val="FFD965"/>
    </a:accent3>
    <a:accent4>
      <a:srgbClr val="00B050"/>
    </a:accent4>
    <a:accent5>
      <a:srgbClr val="E76719"/>
    </a:accent5>
    <a:accent6>
      <a:srgbClr val="00B0F0"/>
    </a:accent6>
    <a:hlink>
      <a:srgbClr val="954F72"/>
    </a:hlink>
    <a:folHlink>
      <a:srgbClr val="C398C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Custom 4">
    <a:dk1>
      <a:sysClr val="windowText" lastClr="000000"/>
    </a:dk1>
    <a:lt1>
      <a:sysClr val="window" lastClr="FFFFFF"/>
    </a:lt1>
    <a:dk2>
      <a:srgbClr val="44546A"/>
    </a:dk2>
    <a:lt2>
      <a:srgbClr val="E7E6E6"/>
    </a:lt2>
    <a:accent1>
      <a:srgbClr val="FFC000"/>
    </a:accent1>
    <a:accent2>
      <a:srgbClr val="25B996"/>
    </a:accent2>
    <a:accent3>
      <a:srgbClr val="1DC4FF"/>
    </a:accent3>
    <a:accent4>
      <a:srgbClr val="00B050"/>
    </a:accent4>
    <a:accent5>
      <a:srgbClr val="E0A574"/>
    </a:accent5>
    <a:accent6>
      <a:srgbClr val="70AD47"/>
    </a:accent6>
    <a:hlink>
      <a:srgbClr val="48A1FA"/>
    </a:hlink>
    <a:folHlink>
      <a:srgbClr val="BB6B2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Custom 4">
    <a:dk1>
      <a:sysClr val="windowText" lastClr="000000"/>
    </a:dk1>
    <a:lt1>
      <a:sysClr val="window" lastClr="FFFFFF"/>
    </a:lt1>
    <a:dk2>
      <a:srgbClr val="44546A"/>
    </a:dk2>
    <a:lt2>
      <a:srgbClr val="E7E6E6"/>
    </a:lt2>
    <a:accent1>
      <a:srgbClr val="FFC000"/>
    </a:accent1>
    <a:accent2>
      <a:srgbClr val="25B996"/>
    </a:accent2>
    <a:accent3>
      <a:srgbClr val="1DC4FF"/>
    </a:accent3>
    <a:accent4>
      <a:srgbClr val="00B050"/>
    </a:accent4>
    <a:accent5>
      <a:srgbClr val="E0A574"/>
    </a:accent5>
    <a:accent6>
      <a:srgbClr val="70AD47"/>
    </a:accent6>
    <a:hlink>
      <a:srgbClr val="48A1FA"/>
    </a:hlink>
    <a:folHlink>
      <a:srgbClr val="BB6B2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Custom 7">
    <a:dk1>
      <a:sysClr val="windowText" lastClr="000000"/>
    </a:dk1>
    <a:lt1>
      <a:sysClr val="window" lastClr="FFFFFF"/>
    </a:lt1>
    <a:dk2>
      <a:srgbClr val="44546A"/>
    </a:dk2>
    <a:lt2>
      <a:srgbClr val="E7E6E6"/>
    </a:lt2>
    <a:accent1>
      <a:srgbClr val="FF0000"/>
    </a:accent1>
    <a:accent2>
      <a:srgbClr val="0FD3AE"/>
    </a:accent2>
    <a:accent3>
      <a:srgbClr val="FFD965"/>
    </a:accent3>
    <a:accent4>
      <a:srgbClr val="00B050"/>
    </a:accent4>
    <a:accent5>
      <a:srgbClr val="E76719"/>
    </a:accent5>
    <a:accent6>
      <a:srgbClr val="00B0F0"/>
    </a:accent6>
    <a:hlink>
      <a:srgbClr val="954F72"/>
    </a:hlink>
    <a:folHlink>
      <a:srgbClr val="C398C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3572</TotalTime>
  <Pages>27</Pages>
  <Words>7264</Words>
  <Characters>41407</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Edwards (Hywel Dda UHB - Resourcing Officer)</dc:creator>
  <cp:keywords/>
  <dc:description/>
  <cp:lastModifiedBy>Lara</cp:lastModifiedBy>
  <cp:revision>203</cp:revision>
  <dcterms:created xsi:type="dcterms:W3CDTF">2023-10-01T11:42:00Z</dcterms:created>
  <dcterms:modified xsi:type="dcterms:W3CDTF">2023-12-01T13:56:00Z</dcterms:modified>
</cp:coreProperties>
</file>