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56D6" w:rsidRDefault="009A56D6" w:rsidP="009A56D6">
      <w:pPr>
        <w:spacing w:line="259" w:lineRule="auto"/>
        <w:jc w:val="center"/>
        <w:rPr>
          <w:b/>
          <w:bCs/>
          <w:sz w:val="32"/>
          <w:szCs w:val="28"/>
        </w:rPr>
      </w:pPr>
    </w:p>
    <w:p w:rsidR="009A56D6" w:rsidRDefault="009A56D6" w:rsidP="009A56D6">
      <w:pPr>
        <w:spacing w:line="259" w:lineRule="auto"/>
        <w:jc w:val="center"/>
        <w:rPr>
          <w:b/>
          <w:bCs/>
          <w:sz w:val="32"/>
          <w:szCs w:val="28"/>
        </w:rPr>
      </w:pPr>
    </w:p>
    <w:p w:rsidR="009A56D6" w:rsidRDefault="009A56D6" w:rsidP="009A56D6">
      <w:pPr>
        <w:spacing w:line="259" w:lineRule="auto"/>
        <w:jc w:val="center"/>
        <w:rPr>
          <w:b/>
          <w:bCs/>
          <w:sz w:val="32"/>
          <w:szCs w:val="28"/>
        </w:rPr>
      </w:pPr>
    </w:p>
    <w:p w:rsidR="009A56D6" w:rsidRDefault="009A56D6" w:rsidP="009A56D6">
      <w:pPr>
        <w:spacing w:line="259" w:lineRule="auto"/>
        <w:jc w:val="center"/>
        <w:rPr>
          <w:b/>
          <w:bCs/>
          <w:sz w:val="32"/>
          <w:szCs w:val="28"/>
        </w:rPr>
      </w:pPr>
    </w:p>
    <w:p w:rsidR="009A56D6" w:rsidRDefault="009A56D6" w:rsidP="009A56D6">
      <w:pPr>
        <w:spacing w:line="259" w:lineRule="auto"/>
        <w:jc w:val="center"/>
        <w:rPr>
          <w:b/>
          <w:bCs/>
          <w:sz w:val="32"/>
          <w:szCs w:val="28"/>
        </w:rPr>
      </w:pPr>
    </w:p>
    <w:p w:rsidR="009A56D6" w:rsidRDefault="009A56D6" w:rsidP="009A56D6">
      <w:pPr>
        <w:spacing w:line="259" w:lineRule="auto"/>
        <w:jc w:val="center"/>
        <w:rPr>
          <w:b/>
          <w:bCs/>
          <w:sz w:val="32"/>
          <w:szCs w:val="28"/>
        </w:rPr>
      </w:pPr>
    </w:p>
    <w:p w:rsidR="009A56D6" w:rsidRDefault="009A56D6" w:rsidP="009A56D6">
      <w:pPr>
        <w:spacing w:line="259" w:lineRule="auto"/>
        <w:jc w:val="center"/>
        <w:rPr>
          <w:b/>
          <w:bCs/>
          <w:sz w:val="32"/>
          <w:szCs w:val="28"/>
        </w:rPr>
      </w:pPr>
      <w:r w:rsidRPr="00162134">
        <w:rPr>
          <w:b/>
          <w:bCs/>
          <w:sz w:val="32"/>
          <w:szCs w:val="28"/>
        </w:rPr>
        <w:t>FINANCIAL MANAGEMENT FOR THE HOTEL INDUSTRY</w:t>
      </w:r>
    </w:p>
    <w:p w:rsidR="00BA0D3B" w:rsidRDefault="00BA0D3B" w:rsidP="009A56D6">
      <w:pPr>
        <w:spacing w:line="259" w:lineRule="auto"/>
        <w:jc w:val="center"/>
        <w:rPr>
          <w:b/>
          <w:bCs/>
          <w:sz w:val="32"/>
          <w:szCs w:val="28"/>
        </w:rPr>
      </w:pPr>
      <w:r>
        <w:rPr>
          <w:b/>
          <w:bCs/>
          <w:sz w:val="32"/>
          <w:szCs w:val="28"/>
        </w:rPr>
        <w:t>BMIH5002</w:t>
      </w:r>
      <w:bookmarkStart w:id="0" w:name="_GoBack"/>
      <w:bookmarkEnd w:id="0"/>
    </w:p>
    <w:p w:rsidR="009A56D6" w:rsidRDefault="009A56D6" w:rsidP="009A56D6">
      <w:pPr>
        <w:spacing w:line="259" w:lineRule="auto"/>
        <w:jc w:val="center"/>
        <w:rPr>
          <w:b/>
          <w:bCs/>
          <w:sz w:val="32"/>
          <w:szCs w:val="28"/>
        </w:rPr>
      </w:pPr>
    </w:p>
    <w:p w:rsidR="009A56D6" w:rsidRDefault="009A56D6" w:rsidP="009A56D6">
      <w:pPr>
        <w:spacing w:line="259" w:lineRule="auto"/>
        <w:jc w:val="center"/>
        <w:rPr>
          <w:b/>
          <w:bCs/>
          <w:sz w:val="32"/>
          <w:szCs w:val="28"/>
        </w:rPr>
      </w:pPr>
    </w:p>
    <w:p w:rsidR="009A56D6" w:rsidRDefault="009A56D6" w:rsidP="009A56D6">
      <w:pPr>
        <w:spacing w:line="259" w:lineRule="auto"/>
        <w:jc w:val="center"/>
        <w:rPr>
          <w:b/>
          <w:bCs/>
          <w:sz w:val="32"/>
          <w:szCs w:val="28"/>
        </w:rPr>
      </w:pPr>
      <w:r>
        <w:rPr>
          <w:b/>
          <w:bCs/>
          <w:sz w:val="32"/>
          <w:szCs w:val="28"/>
        </w:rPr>
        <w:t xml:space="preserve">Name: </w:t>
      </w:r>
      <w:proofErr w:type="spellStart"/>
      <w:r>
        <w:rPr>
          <w:b/>
          <w:bCs/>
          <w:sz w:val="32"/>
          <w:szCs w:val="28"/>
        </w:rPr>
        <w:t>Silviu</w:t>
      </w:r>
      <w:proofErr w:type="spellEnd"/>
      <w:r>
        <w:rPr>
          <w:b/>
          <w:bCs/>
          <w:sz w:val="32"/>
          <w:szCs w:val="28"/>
        </w:rPr>
        <w:t xml:space="preserve"> </w:t>
      </w:r>
      <w:proofErr w:type="spellStart"/>
      <w:r>
        <w:rPr>
          <w:b/>
          <w:bCs/>
          <w:sz w:val="32"/>
          <w:szCs w:val="28"/>
        </w:rPr>
        <w:t>Ghera</w:t>
      </w:r>
      <w:proofErr w:type="spellEnd"/>
    </w:p>
    <w:p w:rsidR="009A56D6" w:rsidRDefault="009A56D6" w:rsidP="009A56D6">
      <w:pPr>
        <w:spacing w:line="259" w:lineRule="auto"/>
        <w:jc w:val="center"/>
        <w:rPr>
          <w:b/>
          <w:bCs/>
          <w:sz w:val="32"/>
          <w:szCs w:val="28"/>
        </w:rPr>
      </w:pPr>
      <w:r>
        <w:rPr>
          <w:b/>
          <w:bCs/>
          <w:sz w:val="32"/>
          <w:szCs w:val="28"/>
        </w:rPr>
        <w:t>ID</w:t>
      </w:r>
      <w:proofErr w:type="gramStart"/>
      <w:r>
        <w:rPr>
          <w:b/>
          <w:bCs/>
          <w:sz w:val="32"/>
          <w:szCs w:val="28"/>
        </w:rPr>
        <w:t>:2130678</w:t>
      </w:r>
      <w:proofErr w:type="gramEnd"/>
    </w:p>
    <w:p w:rsidR="009A56D6" w:rsidRDefault="009A56D6" w:rsidP="009A56D6">
      <w:pPr>
        <w:spacing w:line="259" w:lineRule="auto"/>
        <w:jc w:val="center"/>
        <w:rPr>
          <w:b/>
          <w:bCs/>
          <w:sz w:val="32"/>
          <w:szCs w:val="28"/>
        </w:rPr>
      </w:pPr>
    </w:p>
    <w:p w:rsidR="009A56D6" w:rsidRDefault="009A56D6" w:rsidP="009A56D6">
      <w:pPr>
        <w:spacing w:line="259" w:lineRule="auto"/>
        <w:jc w:val="center"/>
        <w:rPr>
          <w:b/>
          <w:bCs/>
          <w:sz w:val="32"/>
          <w:szCs w:val="28"/>
        </w:rPr>
      </w:pPr>
      <w:r>
        <w:rPr>
          <w:b/>
          <w:bCs/>
          <w:sz w:val="32"/>
          <w:szCs w:val="28"/>
        </w:rPr>
        <w:t xml:space="preserve">Lecturer’s </w:t>
      </w:r>
      <w:proofErr w:type="spellStart"/>
      <w:r>
        <w:rPr>
          <w:b/>
          <w:bCs/>
          <w:sz w:val="32"/>
          <w:szCs w:val="28"/>
        </w:rPr>
        <w:t>Name</w:t>
      </w:r>
      <w:proofErr w:type="gramStart"/>
      <w:r>
        <w:rPr>
          <w:b/>
          <w:bCs/>
          <w:sz w:val="32"/>
          <w:szCs w:val="28"/>
        </w:rPr>
        <w:t>:Tristan</w:t>
      </w:r>
      <w:proofErr w:type="spellEnd"/>
      <w:proofErr w:type="gramEnd"/>
      <w:r>
        <w:rPr>
          <w:b/>
          <w:bCs/>
          <w:sz w:val="32"/>
          <w:szCs w:val="28"/>
        </w:rPr>
        <w:t xml:space="preserve"> Hawkins</w:t>
      </w:r>
    </w:p>
    <w:p w:rsidR="009A56D6" w:rsidRDefault="009A56D6" w:rsidP="009A56D6">
      <w:pPr>
        <w:spacing w:line="259" w:lineRule="auto"/>
        <w:jc w:val="center"/>
        <w:rPr>
          <w:b/>
          <w:bCs/>
          <w:sz w:val="32"/>
          <w:szCs w:val="28"/>
        </w:rPr>
      </w:pPr>
      <w:r>
        <w:rPr>
          <w:b/>
          <w:bCs/>
          <w:sz w:val="32"/>
          <w:szCs w:val="28"/>
        </w:rPr>
        <w:t>Word Count: 2170</w:t>
      </w:r>
      <w:r>
        <w:rPr>
          <w:b/>
          <w:bCs/>
          <w:sz w:val="32"/>
          <w:szCs w:val="28"/>
        </w:rPr>
        <w:br w:type="page"/>
      </w:r>
    </w:p>
    <w:sdt>
      <w:sdtPr>
        <w:rPr>
          <w:rFonts w:ascii="Times New Roman" w:eastAsiaTheme="minorHAnsi" w:hAnsi="Times New Roman" w:cstheme="minorBidi"/>
          <w:color w:val="auto"/>
          <w:kern w:val="2"/>
          <w:sz w:val="24"/>
          <w:szCs w:val="22"/>
          <w:lang w:val="en-GB"/>
          <w14:ligatures w14:val="standardContextual"/>
        </w:rPr>
        <w:id w:val="-1494563529"/>
        <w:docPartObj>
          <w:docPartGallery w:val="Table of Contents"/>
          <w:docPartUnique/>
        </w:docPartObj>
      </w:sdtPr>
      <w:sdtEndPr>
        <w:rPr>
          <w:b/>
          <w:bCs/>
          <w:noProof/>
        </w:rPr>
      </w:sdtEndPr>
      <w:sdtContent>
        <w:p w:rsidR="009A56D6" w:rsidRPr="00A513F9" w:rsidRDefault="009A56D6" w:rsidP="009A56D6">
          <w:pPr>
            <w:pStyle w:val="TOCHeading"/>
            <w:spacing w:after="160"/>
            <w:jc w:val="center"/>
            <w:rPr>
              <w:rFonts w:ascii="Times New Roman" w:hAnsi="Times New Roman" w:cs="Times New Roman"/>
              <w:b/>
              <w:bCs/>
              <w:color w:val="auto"/>
              <w:sz w:val="24"/>
              <w:szCs w:val="24"/>
            </w:rPr>
          </w:pPr>
          <w:r w:rsidRPr="00A513F9">
            <w:rPr>
              <w:rFonts w:ascii="Times New Roman" w:hAnsi="Times New Roman" w:cs="Times New Roman"/>
              <w:b/>
              <w:bCs/>
              <w:color w:val="auto"/>
              <w:sz w:val="24"/>
              <w:szCs w:val="24"/>
            </w:rPr>
            <w:t>Table of Contents</w:t>
          </w:r>
        </w:p>
        <w:p w:rsidR="009A56D6" w:rsidRDefault="009A56D6" w:rsidP="009A56D6">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50853488" w:history="1">
            <w:r w:rsidRPr="006F0072">
              <w:rPr>
                <w:rStyle w:val="Hyperlink"/>
                <w:noProof/>
              </w:rPr>
              <w:t>Introduction</w:t>
            </w:r>
            <w:r>
              <w:rPr>
                <w:noProof/>
                <w:webHidden/>
              </w:rPr>
              <w:tab/>
            </w:r>
            <w:r>
              <w:rPr>
                <w:noProof/>
                <w:webHidden/>
              </w:rPr>
              <w:fldChar w:fldCharType="begin"/>
            </w:r>
            <w:r>
              <w:rPr>
                <w:noProof/>
                <w:webHidden/>
              </w:rPr>
              <w:instrText xml:space="preserve"> PAGEREF _Toc150853488 \h </w:instrText>
            </w:r>
            <w:r>
              <w:rPr>
                <w:noProof/>
                <w:webHidden/>
              </w:rPr>
            </w:r>
            <w:r>
              <w:rPr>
                <w:noProof/>
                <w:webHidden/>
              </w:rPr>
              <w:fldChar w:fldCharType="separate"/>
            </w:r>
            <w:r>
              <w:rPr>
                <w:noProof/>
                <w:webHidden/>
              </w:rPr>
              <w:t>2</w:t>
            </w:r>
            <w:r>
              <w:rPr>
                <w:noProof/>
                <w:webHidden/>
              </w:rPr>
              <w:fldChar w:fldCharType="end"/>
            </w:r>
          </w:hyperlink>
        </w:p>
        <w:p w:rsidR="009A56D6" w:rsidRDefault="00BA0D3B" w:rsidP="009A56D6">
          <w:pPr>
            <w:pStyle w:val="TOC1"/>
            <w:tabs>
              <w:tab w:val="right" w:leader="dot" w:pos="9016"/>
            </w:tabs>
            <w:rPr>
              <w:rFonts w:asciiTheme="minorHAnsi" w:eastAsiaTheme="minorEastAsia" w:hAnsiTheme="minorHAnsi"/>
              <w:noProof/>
              <w:sz w:val="22"/>
              <w:lang w:val="en-IN" w:eastAsia="en-IN"/>
            </w:rPr>
          </w:pPr>
          <w:hyperlink w:anchor="_Toc150853489" w:history="1">
            <w:r w:rsidR="009A56D6" w:rsidRPr="006F0072">
              <w:rPr>
                <w:rStyle w:val="Hyperlink"/>
                <w:noProof/>
              </w:rPr>
              <w:t>Financial Performance Analysis of The Seaview Resort</w:t>
            </w:r>
            <w:r w:rsidR="009A56D6">
              <w:rPr>
                <w:noProof/>
                <w:webHidden/>
              </w:rPr>
              <w:tab/>
            </w:r>
            <w:r w:rsidR="009A56D6">
              <w:rPr>
                <w:noProof/>
                <w:webHidden/>
              </w:rPr>
              <w:fldChar w:fldCharType="begin"/>
            </w:r>
            <w:r w:rsidR="009A56D6">
              <w:rPr>
                <w:noProof/>
                <w:webHidden/>
              </w:rPr>
              <w:instrText xml:space="preserve"> PAGEREF _Toc150853489 \h </w:instrText>
            </w:r>
            <w:r w:rsidR="009A56D6">
              <w:rPr>
                <w:noProof/>
                <w:webHidden/>
              </w:rPr>
            </w:r>
            <w:r w:rsidR="009A56D6">
              <w:rPr>
                <w:noProof/>
                <w:webHidden/>
              </w:rPr>
              <w:fldChar w:fldCharType="separate"/>
            </w:r>
            <w:r w:rsidR="009A56D6">
              <w:rPr>
                <w:noProof/>
                <w:webHidden/>
              </w:rPr>
              <w:t>2</w:t>
            </w:r>
            <w:r w:rsidR="009A56D6">
              <w:rPr>
                <w:noProof/>
                <w:webHidden/>
              </w:rPr>
              <w:fldChar w:fldCharType="end"/>
            </w:r>
          </w:hyperlink>
        </w:p>
        <w:p w:rsidR="009A56D6" w:rsidRDefault="00BA0D3B" w:rsidP="009A56D6">
          <w:pPr>
            <w:pStyle w:val="TOC1"/>
            <w:tabs>
              <w:tab w:val="right" w:leader="dot" w:pos="9016"/>
            </w:tabs>
            <w:rPr>
              <w:rFonts w:asciiTheme="minorHAnsi" w:eastAsiaTheme="minorEastAsia" w:hAnsiTheme="minorHAnsi"/>
              <w:noProof/>
              <w:sz w:val="22"/>
              <w:lang w:val="en-IN" w:eastAsia="en-IN"/>
            </w:rPr>
          </w:pPr>
          <w:hyperlink w:anchor="_Toc150853490" w:history="1">
            <w:r w:rsidR="009A56D6" w:rsidRPr="006F0072">
              <w:rPr>
                <w:rStyle w:val="Hyperlink"/>
                <w:noProof/>
              </w:rPr>
              <w:t>Identification of the key reasons behind the decline in profitability</w:t>
            </w:r>
            <w:r w:rsidR="009A56D6">
              <w:rPr>
                <w:noProof/>
                <w:webHidden/>
              </w:rPr>
              <w:tab/>
            </w:r>
            <w:r w:rsidR="009A56D6">
              <w:rPr>
                <w:noProof/>
                <w:webHidden/>
              </w:rPr>
              <w:fldChar w:fldCharType="begin"/>
            </w:r>
            <w:r w:rsidR="009A56D6">
              <w:rPr>
                <w:noProof/>
                <w:webHidden/>
              </w:rPr>
              <w:instrText xml:space="preserve"> PAGEREF _Toc150853490 \h </w:instrText>
            </w:r>
            <w:r w:rsidR="009A56D6">
              <w:rPr>
                <w:noProof/>
                <w:webHidden/>
              </w:rPr>
            </w:r>
            <w:r w:rsidR="009A56D6">
              <w:rPr>
                <w:noProof/>
                <w:webHidden/>
              </w:rPr>
              <w:fldChar w:fldCharType="separate"/>
            </w:r>
            <w:r w:rsidR="009A56D6">
              <w:rPr>
                <w:noProof/>
                <w:webHidden/>
              </w:rPr>
              <w:t>3</w:t>
            </w:r>
            <w:r w:rsidR="009A56D6">
              <w:rPr>
                <w:noProof/>
                <w:webHidden/>
              </w:rPr>
              <w:fldChar w:fldCharType="end"/>
            </w:r>
          </w:hyperlink>
        </w:p>
        <w:p w:rsidR="009A56D6" w:rsidRDefault="00BA0D3B" w:rsidP="009A56D6">
          <w:pPr>
            <w:pStyle w:val="TOC1"/>
            <w:tabs>
              <w:tab w:val="right" w:leader="dot" w:pos="9016"/>
            </w:tabs>
            <w:rPr>
              <w:rFonts w:asciiTheme="minorHAnsi" w:eastAsiaTheme="minorEastAsia" w:hAnsiTheme="minorHAnsi"/>
              <w:noProof/>
              <w:sz w:val="22"/>
              <w:lang w:val="en-IN" w:eastAsia="en-IN"/>
            </w:rPr>
          </w:pPr>
          <w:hyperlink w:anchor="_Toc150853491" w:history="1">
            <w:r w:rsidR="009A56D6" w:rsidRPr="006F0072">
              <w:rPr>
                <w:rStyle w:val="Hyperlink"/>
                <w:noProof/>
              </w:rPr>
              <w:t>Development of comprehensive strategy to enhance business operation</w:t>
            </w:r>
            <w:r w:rsidR="009A56D6">
              <w:rPr>
                <w:noProof/>
                <w:webHidden/>
              </w:rPr>
              <w:tab/>
            </w:r>
            <w:r w:rsidR="009A56D6">
              <w:rPr>
                <w:noProof/>
                <w:webHidden/>
              </w:rPr>
              <w:fldChar w:fldCharType="begin"/>
            </w:r>
            <w:r w:rsidR="009A56D6">
              <w:rPr>
                <w:noProof/>
                <w:webHidden/>
              </w:rPr>
              <w:instrText xml:space="preserve"> PAGEREF _Toc150853491 \h </w:instrText>
            </w:r>
            <w:r w:rsidR="009A56D6">
              <w:rPr>
                <w:noProof/>
                <w:webHidden/>
              </w:rPr>
            </w:r>
            <w:r w:rsidR="009A56D6">
              <w:rPr>
                <w:noProof/>
                <w:webHidden/>
              </w:rPr>
              <w:fldChar w:fldCharType="separate"/>
            </w:r>
            <w:r w:rsidR="009A56D6">
              <w:rPr>
                <w:noProof/>
                <w:webHidden/>
              </w:rPr>
              <w:t>5</w:t>
            </w:r>
            <w:r w:rsidR="009A56D6">
              <w:rPr>
                <w:noProof/>
                <w:webHidden/>
              </w:rPr>
              <w:fldChar w:fldCharType="end"/>
            </w:r>
          </w:hyperlink>
        </w:p>
        <w:p w:rsidR="009A56D6" w:rsidRDefault="00BA0D3B" w:rsidP="009A56D6">
          <w:pPr>
            <w:pStyle w:val="TOC1"/>
            <w:tabs>
              <w:tab w:val="right" w:leader="dot" w:pos="9016"/>
            </w:tabs>
            <w:rPr>
              <w:rFonts w:asciiTheme="minorHAnsi" w:eastAsiaTheme="minorEastAsia" w:hAnsiTheme="minorHAnsi"/>
              <w:noProof/>
              <w:sz w:val="22"/>
              <w:lang w:val="en-IN" w:eastAsia="en-IN"/>
            </w:rPr>
          </w:pPr>
          <w:hyperlink w:anchor="_Toc150853492" w:history="1">
            <w:r w:rsidR="009A56D6" w:rsidRPr="006F0072">
              <w:rPr>
                <w:rStyle w:val="Hyperlink"/>
                <w:noProof/>
              </w:rPr>
              <w:t>Conclusion</w:t>
            </w:r>
            <w:r w:rsidR="009A56D6">
              <w:rPr>
                <w:noProof/>
                <w:webHidden/>
              </w:rPr>
              <w:tab/>
            </w:r>
            <w:r w:rsidR="009A56D6">
              <w:rPr>
                <w:noProof/>
                <w:webHidden/>
              </w:rPr>
              <w:fldChar w:fldCharType="begin"/>
            </w:r>
            <w:r w:rsidR="009A56D6">
              <w:rPr>
                <w:noProof/>
                <w:webHidden/>
              </w:rPr>
              <w:instrText xml:space="preserve"> PAGEREF _Toc150853492 \h </w:instrText>
            </w:r>
            <w:r w:rsidR="009A56D6">
              <w:rPr>
                <w:noProof/>
                <w:webHidden/>
              </w:rPr>
            </w:r>
            <w:r w:rsidR="009A56D6">
              <w:rPr>
                <w:noProof/>
                <w:webHidden/>
              </w:rPr>
              <w:fldChar w:fldCharType="separate"/>
            </w:r>
            <w:r w:rsidR="009A56D6">
              <w:rPr>
                <w:noProof/>
                <w:webHidden/>
              </w:rPr>
              <w:t>7</w:t>
            </w:r>
            <w:r w:rsidR="009A56D6">
              <w:rPr>
                <w:noProof/>
                <w:webHidden/>
              </w:rPr>
              <w:fldChar w:fldCharType="end"/>
            </w:r>
          </w:hyperlink>
        </w:p>
        <w:p w:rsidR="009A56D6" w:rsidRDefault="00BA0D3B" w:rsidP="009A56D6">
          <w:pPr>
            <w:pStyle w:val="TOC1"/>
            <w:tabs>
              <w:tab w:val="right" w:leader="dot" w:pos="9016"/>
            </w:tabs>
            <w:rPr>
              <w:rFonts w:asciiTheme="minorHAnsi" w:eastAsiaTheme="minorEastAsia" w:hAnsiTheme="minorHAnsi"/>
              <w:noProof/>
              <w:sz w:val="22"/>
              <w:lang w:val="en-IN" w:eastAsia="en-IN"/>
            </w:rPr>
          </w:pPr>
          <w:hyperlink w:anchor="_Toc150853493" w:history="1">
            <w:r w:rsidR="009A56D6" w:rsidRPr="006F0072">
              <w:rPr>
                <w:rStyle w:val="Hyperlink"/>
                <w:noProof/>
              </w:rPr>
              <w:t>References</w:t>
            </w:r>
            <w:r w:rsidR="009A56D6">
              <w:rPr>
                <w:noProof/>
                <w:webHidden/>
              </w:rPr>
              <w:tab/>
            </w:r>
            <w:r w:rsidR="009A56D6">
              <w:rPr>
                <w:noProof/>
                <w:webHidden/>
              </w:rPr>
              <w:fldChar w:fldCharType="begin"/>
            </w:r>
            <w:r w:rsidR="009A56D6">
              <w:rPr>
                <w:noProof/>
                <w:webHidden/>
              </w:rPr>
              <w:instrText xml:space="preserve"> PAGEREF _Toc150853493 \h </w:instrText>
            </w:r>
            <w:r w:rsidR="009A56D6">
              <w:rPr>
                <w:noProof/>
                <w:webHidden/>
              </w:rPr>
            </w:r>
            <w:r w:rsidR="009A56D6">
              <w:rPr>
                <w:noProof/>
                <w:webHidden/>
              </w:rPr>
              <w:fldChar w:fldCharType="separate"/>
            </w:r>
            <w:r w:rsidR="009A56D6">
              <w:rPr>
                <w:noProof/>
                <w:webHidden/>
              </w:rPr>
              <w:t>8</w:t>
            </w:r>
            <w:r w:rsidR="009A56D6">
              <w:rPr>
                <w:noProof/>
                <w:webHidden/>
              </w:rPr>
              <w:fldChar w:fldCharType="end"/>
            </w:r>
          </w:hyperlink>
        </w:p>
        <w:p w:rsidR="009A56D6" w:rsidRDefault="009A56D6" w:rsidP="009A56D6">
          <w:r>
            <w:rPr>
              <w:b/>
              <w:bCs/>
              <w:noProof/>
            </w:rPr>
            <w:fldChar w:fldCharType="end"/>
          </w:r>
        </w:p>
      </w:sdtContent>
    </w:sdt>
    <w:p w:rsidR="009A56D6" w:rsidRDefault="009A56D6" w:rsidP="009A56D6">
      <w:pPr>
        <w:spacing w:line="259" w:lineRule="auto"/>
        <w:jc w:val="left"/>
        <w:rPr>
          <w:b/>
          <w:bCs/>
          <w:sz w:val="32"/>
          <w:szCs w:val="28"/>
        </w:rPr>
      </w:pPr>
    </w:p>
    <w:p w:rsidR="009A56D6" w:rsidRDefault="009A56D6" w:rsidP="009A56D6">
      <w:pPr>
        <w:spacing w:line="259" w:lineRule="auto"/>
        <w:jc w:val="left"/>
        <w:rPr>
          <w:rFonts w:eastAsiaTheme="majorEastAsia" w:cstheme="majorBidi"/>
          <w:b/>
          <w:sz w:val="28"/>
          <w:szCs w:val="32"/>
        </w:rPr>
      </w:pPr>
      <w:r>
        <w:br w:type="page"/>
      </w:r>
    </w:p>
    <w:p w:rsidR="009A56D6" w:rsidRPr="009A56D6" w:rsidRDefault="009A56D6" w:rsidP="009A56D6">
      <w:pPr>
        <w:pStyle w:val="Heading1"/>
        <w:spacing w:after="160"/>
        <w:rPr>
          <w:rFonts w:ascii="Times New Roman" w:hAnsi="Times New Roman" w:cs="Times New Roman"/>
          <w:color w:val="auto"/>
          <w:sz w:val="28"/>
          <w:szCs w:val="28"/>
        </w:rPr>
      </w:pPr>
      <w:bookmarkStart w:id="1" w:name="_Toc150853488"/>
      <w:r w:rsidRPr="009A56D6">
        <w:rPr>
          <w:rFonts w:ascii="Times New Roman" w:hAnsi="Times New Roman" w:cs="Times New Roman"/>
          <w:color w:val="auto"/>
          <w:sz w:val="28"/>
          <w:szCs w:val="28"/>
        </w:rPr>
        <w:lastRenderedPageBreak/>
        <w:t>Introduction</w:t>
      </w:r>
      <w:bookmarkEnd w:id="1"/>
      <w:r w:rsidRPr="009A56D6">
        <w:rPr>
          <w:rFonts w:ascii="Times New Roman" w:hAnsi="Times New Roman" w:cs="Times New Roman"/>
          <w:color w:val="auto"/>
          <w:sz w:val="28"/>
          <w:szCs w:val="28"/>
        </w:rPr>
        <w:t xml:space="preserve"> </w:t>
      </w:r>
    </w:p>
    <w:p w:rsidR="009A56D6" w:rsidRDefault="009A56D6" w:rsidP="009A56D6">
      <w:r>
        <w:t xml:space="preserve">The report will provide a critical analysis of the financial analysis and the market position of the organization namely The </w:t>
      </w:r>
      <w:r w:rsidRPr="00DE3215">
        <w:t xml:space="preserve">Seaview </w:t>
      </w:r>
      <w:proofErr w:type="spellStart"/>
      <w:r w:rsidRPr="00DE3215">
        <w:t>Resor</w:t>
      </w:r>
      <w:proofErr w:type="spellEnd"/>
      <w:r>
        <w:t xml:space="preserve">. The analysis would be done based on examining the financial statement of the organization over the past three years as provided in the case study. Furthermore, the report will identify and explain the key factors for the declining performance and detreating financial position of the business conducted by the organization over the past three years, which in turn is affecting the interest of the stakeholders for the period. Moreover, the report will provide viable recommendations, which may be incorporated into the functional process of the business. </w:t>
      </w:r>
    </w:p>
    <w:p w:rsidR="009A56D6" w:rsidRPr="009A56D6" w:rsidRDefault="009A56D6" w:rsidP="009A56D6">
      <w:pPr>
        <w:pStyle w:val="Heading1"/>
        <w:spacing w:after="160"/>
        <w:rPr>
          <w:rFonts w:ascii="Times New Roman" w:hAnsi="Times New Roman" w:cs="Times New Roman"/>
          <w:color w:val="auto"/>
          <w:sz w:val="28"/>
          <w:szCs w:val="28"/>
        </w:rPr>
      </w:pPr>
      <w:bookmarkStart w:id="2" w:name="_Toc150853489"/>
      <w:r w:rsidRPr="009A56D6">
        <w:rPr>
          <w:rFonts w:ascii="Times New Roman" w:hAnsi="Times New Roman" w:cs="Times New Roman"/>
          <w:color w:val="auto"/>
          <w:sz w:val="28"/>
          <w:szCs w:val="28"/>
        </w:rPr>
        <w:t xml:space="preserve">Financial Performance Analysis of </w:t>
      </w:r>
      <w:proofErr w:type="gramStart"/>
      <w:r w:rsidRPr="009A56D6">
        <w:rPr>
          <w:rFonts w:ascii="Times New Roman" w:hAnsi="Times New Roman" w:cs="Times New Roman"/>
          <w:color w:val="auto"/>
          <w:sz w:val="28"/>
          <w:szCs w:val="28"/>
        </w:rPr>
        <w:t>The</w:t>
      </w:r>
      <w:proofErr w:type="gramEnd"/>
      <w:r w:rsidRPr="009A56D6">
        <w:rPr>
          <w:rFonts w:ascii="Times New Roman" w:hAnsi="Times New Roman" w:cs="Times New Roman"/>
          <w:color w:val="auto"/>
          <w:sz w:val="28"/>
          <w:szCs w:val="28"/>
        </w:rPr>
        <w:t xml:space="preserve"> Seaview Resort</w:t>
      </w:r>
      <w:bookmarkEnd w:id="2"/>
    </w:p>
    <w:p w:rsidR="009A56D6" w:rsidRDefault="009A56D6" w:rsidP="009A56D6">
      <w:r>
        <w:t xml:space="preserve">The financial statement of the organization as provided in the case study represents a constant decline in the financial position and market preference of the organization over the period. The income statement of the organization represents that the potential of the business to earn revenue has decreased significantly from £520,000 in 2020 to £430,000 in 2022. Several issues, including declining room rates as well as occupancy rates and increased competition from nearby newer, more contemporary resorts, might be blamed for this drop. From £250 in 2020 to £210 in 2022, the Average Room Rate (ARR) decreased, suggesting that the pricing approach may not be in line with consumer preferences. When looking at operating expenses, a worrying trend of rising costs is evident. In 2020, overall operating expenses were £390,000. By 2022, however, they had risen to £450,000. </w:t>
      </w:r>
    </w:p>
    <w:p w:rsidR="009A56D6" w:rsidRDefault="009A56D6" w:rsidP="009A56D6">
      <w:r>
        <w:t xml:space="preserve">Because of this increase as well as the drop in revenue, the gross profit for the same period remained at £80,000. The resort's profitability significantly declined from 15% in 2020 to 4% in 2022, as seen by the sharp decline in the net profit margin, a crucial measure of operational efficiency and profitability. Additionally, according to the financial sheet, as of the end of 2022, the resort's total assets were £1,200,000. On the other hand, these assets' makeup indicates possible areas of worry. The £250,000 value of current assets indicates little liquidity, although the £800,000 property and equipment portion includes £100,000 in inventory. Because of its dependency on real estate and equipment, the resort can find it more difficult to make the necessary investments in upgrades or quickly adjust to shifting market conditions. </w:t>
      </w:r>
    </w:p>
    <w:p w:rsidR="009A56D6" w:rsidRDefault="009A56D6" w:rsidP="009A56D6">
      <w:r>
        <w:t xml:space="preserve">Moreover, the overall obligations come to £750,000, of which £180,000 are current liabilities and £500,000 is a large long-term debt. Any turnaround plan must consider and manage this debt structure carefully. The financial difficulties facing The Seaview Resort become much more complicated when looking at the cash flow statement for 2021. The resort's main business </w:t>
      </w:r>
      <w:r>
        <w:lastRenderedPageBreak/>
        <w:t>operations were not bringing in enough money to meet operating expenses, as seen by the net cash flow from operations of -£80,000. £30,000 in capital expenses further depleted cash reserves, leaving a -£110,000 net cash flow. The resort's inability to satisfy short-term obligations and its negative cash flow cast doubt on its liquidity, underscoring the need for a thorough rehabilitation plan.</w:t>
      </w:r>
    </w:p>
    <w:p w:rsidR="009A56D6" w:rsidRDefault="009A56D6" w:rsidP="009A56D6">
      <w:r>
        <w:t>Aside from the financial accounts, it is crucial to comprehend important operational data. An important measure of demand and utilisation, the resort's occupancy rate dropped from 70% in 2020 to 60% in 2022. This decline highlights the necessity for focused marketing and occupancy management strategies as it suggests a possible mismatch between the supply of rooms and market demand. Customer feedback pointing to antiquated amenities and deteriorating service quality offers qualitative insights into the underlying reasons for the drop in sales and customer happiness (</w:t>
      </w:r>
      <w:r w:rsidRPr="00945FF2">
        <w:t xml:space="preserve">Jeon, Lee, and </w:t>
      </w:r>
      <w:proofErr w:type="spellStart"/>
      <w:r w:rsidRPr="00945FF2">
        <w:t>Jeong</w:t>
      </w:r>
      <w:proofErr w:type="spellEnd"/>
      <w:r w:rsidRPr="00945FF2">
        <w:t>,</w:t>
      </w:r>
      <w:r>
        <w:t xml:space="preserve"> </w:t>
      </w:r>
      <w:r w:rsidRPr="00945FF2">
        <w:t>2020</w:t>
      </w:r>
      <w:r>
        <w:t>). The occupancy rate trends, and average room rate (ARR) indicate that The Seaview Resort might be experiencing a misalignment in its value proposition. If there is a decline in ARR without a commensurate rise in occupancy, it might be time to review pricing tactics or raise the resort's perceived worth. To find chances for uniqueness and creativity, the resort should also reassess its competitive positioning within the industry.</w:t>
      </w:r>
    </w:p>
    <w:p w:rsidR="009A56D6" w:rsidRDefault="009A56D6" w:rsidP="009A56D6">
      <w:r>
        <w:t>A comprehensive turnaround plan is necessary to solve these issues and restore The Seaview Resort's financial stability. A customer-centric approach should be part of the plan, with an emphasis on modernising amenities and improving service quality to accommodate changing client preferences (</w:t>
      </w:r>
      <w:proofErr w:type="spellStart"/>
      <w:r w:rsidRPr="00945FF2">
        <w:t>Yacoub</w:t>
      </w:r>
      <w:proofErr w:type="spellEnd"/>
      <w:r w:rsidRPr="00945FF2">
        <w:t xml:space="preserve">, and </w:t>
      </w:r>
      <w:proofErr w:type="spellStart"/>
      <w:r w:rsidRPr="00945FF2">
        <w:t>ElHajjar</w:t>
      </w:r>
      <w:proofErr w:type="spellEnd"/>
      <w:r w:rsidRPr="00945FF2">
        <w:t>, 2021</w:t>
      </w:r>
      <w:r>
        <w:t>). Concurrently, a comprehensive cost analysis is required to pinpoint and remove superfluous costs, optimising the operational cost structure while maintaining service standards. To appeal to the modern tastes noted in the market analysis, the resort should also consider a strategic market positioning that emphasizes eco-friendly operations and experience offers. To increase cash flow and lessen long-term financial responsibilities, financial restructuring is essential. This includes a thorough assessment of the current debt structure and possible refinancing possibilities.</w:t>
      </w:r>
    </w:p>
    <w:p w:rsidR="009A56D6" w:rsidRPr="009A56D6" w:rsidRDefault="009A56D6" w:rsidP="009A56D6">
      <w:pPr>
        <w:pStyle w:val="Heading1"/>
        <w:spacing w:after="160"/>
        <w:rPr>
          <w:rFonts w:ascii="Times New Roman" w:hAnsi="Times New Roman" w:cs="Times New Roman"/>
          <w:color w:val="auto"/>
          <w:sz w:val="28"/>
          <w:szCs w:val="28"/>
        </w:rPr>
      </w:pPr>
      <w:bookmarkStart w:id="3" w:name="_Toc150853490"/>
      <w:r w:rsidRPr="009A56D6">
        <w:rPr>
          <w:rFonts w:ascii="Times New Roman" w:hAnsi="Times New Roman" w:cs="Times New Roman"/>
          <w:color w:val="auto"/>
          <w:sz w:val="28"/>
          <w:szCs w:val="28"/>
        </w:rPr>
        <w:t>Identification of the key reasons behind the decline in profitability</w:t>
      </w:r>
      <w:bookmarkEnd w:id="3"/>
    </w:p>
    <w:p w:rsidR="009A56D6" w:rsidRDefault="009A56D6" w:rsidP="009A56D6">
      <w:r>
        <w:t>Several</w:t>
      </w:r>
      <w:r w:rsidRPr="00DE3215">
        <w:t xml:space="preserve"> factors have contributed to The Seaview Resort's declining profitability, including changes in market dynamics and internal operating difficulties. The increased competitiveness in the seaside resort industry is a significant cause behind the downturn. The Seaview Resort finds it difficult to compete in the area due to the existence of newer, more contemporary properties</w:t>
      </w:r>
      <w:r>
        <w:t xml:space="preserve"> (</w:t>
      </w:r>
      <w:r w:rsidRPr="00945FF2">
        <w:t>Khan</w:t>
      </w:r>
      <w:r>
        <w:t xml:space="preserve"> </w:t>
      </w:r>
      <w:r w:rsidRPr="00FB05EE">
        <w:rPr>
          <w:i/>
          <w:iCs/>
        </w:rPr>
        <w:t>et al.,</w:t>
      </w:r>
      <w:r>
        <w:t xml:space="preserve"> 2020)</w:t>
      </w:r>
      <w:r w:rsidRPr="00DE3215">
        <w:t>. These rivals probably provide modern conveniences and services, drawing tourists looking for a more opulent and modern experience</w:t>
      </w:r>
      <w:r>
        <w:t xml:space="preserve">. As a result, The Seaview Resort's inability to </w:t>
      </w:r>
      <w:r>
        <w:lastRenderedPageBreak/>
        <w:t>keep pace with evolving customer expectations has led to a decline in both occupancy rates and average room rates, directly impacting the top line.</w:t>
      </w:r>
    </w:p>
    <w:p w:rsidR="009A56D6" w:rsidRDefault="009A56D6" w:rsidP="009A56D6">
      <w:r>
        <w:t>Another significant contributor to the resort's diminished profitability is the apparent shift in customer preferences towards eco-friendly and experiential tourism (</w:t>
      </w:r>
      <w:proofErr w:type="spellStart"/>
      <w:r w:rsidRPr="00945FF2">
        <w:t>Nozawa</w:t>
      </w:r>
      <w:proofErr w:type="spellEnd"/>
      <w:r>
        <w:t xml:space="preserve"> </w:t>
      </w:r>
      <w:r w:rsidRPr="00FB05EE">
        <w:rPr>
          <w:i/>
          <w:iCs/>
        </w:rPr>
        <w:t>et al.,</w:t>
      </w:r>
      <w:r>
        <w:t xml:space="preserve"> 2022). The market analysis indicates that these changing preferences have not been adequately addressed by The Seaview Resort. In failing to align its offerings with the growing demand for sustainable and immersive travel experiences, the resort has lost a competitive edge and failed to attract a segment of the market that places high value on these attributes. Consequently, this oversight has led to a decrease in customer satisfaction and loyalty, further impacting the resort's revenue stream. The income statement analysis reveals a troubling trend in operating expenses, which have increased from £390,000 in 2020 to £450,000 in 2022. This rise in costs, combined with the decline in revenue, has resulted in a stagnant gross profit of £80,000 over the same period. </w:t>
      </w:r>
    </w:p>
    <w:p w:rsidR="009A56D6" w:rsidRDefault="009A56D6" w:rsidP="009A56D6">
      <w:r>
        <w:t>The escalation in operating expenses without a proportional increase in revenue suggests potential inefficiencies in the resort's cost structure (</w:t>
      </w:r>
      <w:proofErr w:type="spellStart"/>
      <w:r w:rsidRPr="00945FF2">
        <w:t>Dimitri</w:t>
      </w:r>
      <w:r>
        <w:t>e</w:t>
      </w:r>
      <w:proofErr w:type="spellEnd"/>
      <w:r>
        <w:t xml:space="preserve">, </w:t>
      </w:r>
      <w:r w:rsidRPr="00945FF2">
        <w:t>Tomas</w:t>
      </w:r>
      <w:r>
        <w:t xml:space="preserve">, and </w:t>
      </w:r>
      <w:proofErr w:type="spellStart"/>
      <w:r w:rsidRPr="00945FF2">
        <w:t>Arbula</w:t>
      </w:r>
      <w:proofErr w:type="spellEnd"/>
      <w:r>
        <w:t>, 2019). Restoring profitability depends on locating and fixing these inefficiencies. A comprehensive cost assessment is necessary for identifying areas of expenditure and optimising procedures without compromising service quality. The average room rate (ARR) has been falling over time, coming in at £250 in 2020 and £210 in 2022. This decline in hotel rates as well as the occupancy rate, which decreased from 70% in 2020 to 60% in 2022, show that supply and demand are out of balance. The resort is probably having trouble persuading its target market of the benefits it offers. This may occur because rival resorts' offerings are more unique or more reasonably priced. In that case, there might not be a sense of value (</w:t>
      </w:r>
      <w:proofErr w:type="spellStart"/>
      <w:r w:rsidRPr="00945FF2">
        <w:t>Gemar</w:t>
      </w:r>
      <w:proofErr w:type="spellEnd"/>
      <w:r w:rsidRPr="00945FF2">
        <w:t xml:space="preserve">, </w:t>
      </w:r>
      <w:proofErr w:type="spellStart"/>
      <w:r w:rsidRPr="00945FF2">
        <w:t>Soler</w:t>
      </w:r>
      <w:proofErr w:type="spellEnd"/>
      <w:r w:rsidRPr="00945FF2">
        <w:t>, and Guzman</w:t>
      </w:r>
      <w:r>
        <w:t xml:space="preserve">, </w:t>
      </w:r>
      <w:r w:rsidRPr="00945FF2">
        <w:t>2019</w:t>
      </w:r>
      <w:r>
        <w:t>). To sustain present hotel prices and attract additional guests, the Seaview Resort must reconsider its pricing strategy and consider incorporating value-added services or amenities.</w:t>
      </w:r>
    </w:p>
    <w:p w:rsidR="009A56D6" w:rsidRDefault="009A56D6" w:rsidP="009A56D6">
      <w:r>
        <w:t>Furthermore, with £100,000 put aside for inventory, the resort might have overinvested in real estate and equipment and not be seeing the returns that were expected. A resort's reliance on physical assets is shown by the balance sheet analysis, which makes it more challenging for it to react swiftly to changing consumer demands (</w:t>
      </w:r>
      <w:proofErr w:type="spellStart"/>
      <w:r w:rsidRPr="00945FF2">
        <w:t>Suwantari</w:t>
      </w:r>
      <w:proofErr w:type="spellEnd"/>
      <w:r w:rsidRPr="00945FF2">
        <w:t xml:space="preserve">, Ariana, and </w:t>
      </w:r>
      <w:proofErr w:type="spellStart"/>
      <w:r w:rsidRPr="00945FF2">
        <w:t>Suprapto</w:t>
      </w:r>
      <w:proofErr w:type="spellEnd"/>
      <w:r w:rsidRPr="00945FF2">
        <w:t>, 2020</w:t>
      </w:r>
      <w:r>
        <w:t>). The resort's overall financial performance and the decline in guest pleasure could be linked to the expenditure of funds on outdated or underutilised amenities (</w:t>
      </w:r>
      <w:proofErr w:type="spellStart"/>
      <w:r w:rsidRPr="00E90C2A">
        <w:t>Gotteiner</w:t>
      </w:r>
      <w:proofErr w:type="spellEnd"/>
      <w:r w:rsidRPr="00E90C2A">
        <w:t>, Mas-</w:t>
      </w:r>
      <w:proofErr w:type="spellStart"/>
      <w:r w:rsidRPr="00E90C2A">
        <w:t>Machuca</w:t>
      </w:r>
      <w:proofErr w:type="spellEnd"/>
      <w:r w:rsidRPr="00E90C2A">
        <w:t xml:space="preserve">, and </w:t>
      </w:r>
      <w:proofErr w:type="spellStart"/>
      <w:r w:rsidRPr="00E90C2A">
        <w:t>Marimon</w:t>
      </w:r>
      <w:proofErr w:type="spellEnd"/>
      <w:r w:rsidRPr="00E90C2A">
        <w:t>, 2019</w:t>
      </w:r>
      <w:r>
        <w:t xml:space="preserve">). Cash flow worries have a major role in the decline in profitability. A net cash flow from operations of -£80,000 is shown in the cash flow statement for 2021. The resort's inability to meet its operating needs is a result of either poor working capital management or </w:t>
      </w:r>
      <w:proofErr w:type="spellStart"/>
      <w:r>
        <w:t>overcommitment</w:t>
      </w:r>
      <w:proofErr w:type="spellEnd"/>
      <w:r>
        <w:t xml:space="preserve"> of resources, as </w:t>
      </w:r>
      <w:r>
        <w:lastRenderedPageBreak/>
        <w:t>seen by the negative cash flow. £30,000 in capital expenditures made the resort's negative net cash flow even worse, leaving it with a net cash flow of -£110,000. To increase liquidity and guarantee the resort's capacity to fulfil short-term obligations, it is even more imperative to remove operational inefficiencies, as this negative cash flow makes apparent (</w:t>
      </w:r>
      <w:r w:rsidRPr="00945FF2">
        <w:t>Santos</w:t>
      </w:r>
      <w:r w:rsidRPr="002A5AAC">
        <w:rPr>
          <w:i/>
          <w:iCs/>
        </w:rPr>
        <w:t xml:space="preserve"> et al.,</w:t>
      </w:r>
      <w:r>
        <w:t xml:space="preserve"> 2020).</w:t>
      </w:r>
    </w:p>
    <w:p w:rsidR="009A56D6" w:rsidRPr="009A56D6" w:rsidRDefault="009A56D6" w:rsidP="009A56D6">
      <w:pPr>
        <w:pStyle w:val="Heading1"/>
        <w:spacing w:after="160"/>
        <w:rPr>
          <w:rFonts w:ascii="Times New Roman" w:hAnsi="Times New Roman" w:cs="Times New Roman"/>
          <w:color w:val="auto"/>
          <w:sz w:val="28"/>
          <w:szCs w:val="28"/>
        </w:rPr>
      </w:pPr>
      <w:bookmarkStart w:id="4" w:name="_Toc150853491"/>
      <w:r w:rsidRPr="009A56D6">
        <w:rPr>
          <w:rFonts w:ascii="Times New Roman" w:hAnsi="Times New Roman" w:cs="Times New Roman"/>
          <w:color w:val="auto"/>
          <w:sz w:val="28"/>
          <w:szCs w:val="28"/>
        </w:rPr>
        <w:t>Development of comprehensive strategy to enhance business operation</w:t>
      </w:r>
      <w:bookmarkEnd w:id="4"/>
      <w:r w:rsidRPr="009A56D6">
        <w:rPr>
          <w:rFonts w:ascii="Times New Roman" w:hAnsi="Times New Roman" w:cs="Times New Roman"/>
          <w:color w:val="auto"/>
          <w:sz w:val="28"/>
          <w:szCs w:val="28"/>
        </w:rPr>
        <w:t xml:space="preserve"> </w:t>
      </w:r>
    </w:p>
    <w:p w:rsidR="009A56D6" w:rsidRDefault="009A56D6" w:rsidP="009A56D6">
      <w:r>
        <w:t xml:space="preserve">A comprehensive turnaround plan is necessary to improve The Seaview Resort's financial standing and </w:t>
      </w:r>
      <w:proofErr w:type="spellStart"/>
      <w:r>
        <w:t>reestablish</w:t>
      </w:r>
      <w:proofErr w:type="spellEnd"/>
      <w:r>
        <w:t xml:space="preserve"> its position as a top holiday spot. To enhance the visitor experience, a customer-centric strategy should be implemented first. To address the issues brought up in guest reviews about deteriorating service quality and antiquated facilities, the resort needs to make investments in updating its amenities and services (</w:t>
      </w:r>
      <w:proofErr w:type="spellStart"/>
      <w:r w:rsidRPr="006D7CEC">
        <w:t>Buhalis</w:t>
      </w:r>
      <w:proofErr w:type="spellEnd"/>
      <w:r w:rsidRPr="006D7CEC">
        <w:t>, O’Connor, and Leung, 2022</w:t>
      </w:r>
      <w:r>
        <w:t>). By putting in place a feedback system, the resort will be able to continuously adjust to changing client preferences and provide each visitor with a unique and unforgettable experience. One of the most important components of the turnaround plan is cost optimisation. To detect and remove wasteful spending, a comprehensive cost analysis should be carried out, with an emphasis on efficiency without sacrificing service standards (</w:t>
      </w:r>
      <w:r w:rsidRPr="006D7CEC">
        <w:t>Shin, Perdue, and Kang, 2019</w:t>
      </w:r>
      <w:r>
        <w:t xml:space="preserve">). </w:t>
      </w:r>
    </w:p>
    <w:p w:rsidR="009A56D6" w:rsidRDefault="009A56D6" w:rsidP="009A56D6">
      <w:r>
        <w:t>This entails renegotiating contracts with suppliers, optimising internal procedures, and figuring out where technology may increase productivity. The Seaview Resort can increase its profitability and devote resources towards areas that directly improve customer happiness by streamlining costs. Market placement is essential for setting the resort apart from rivals. Adopting eco-friendly procedures and supporting sustainability programmes is in line with the growing trend of eco-aware travel (</w:t>
      </w:r>
      <w:proofErr w:type="spellStart"/>
      <w:r w:rsidRPr="006D7CEC">
        <w:t>Garrido</w:t>
      </w:r>
      <w:proofErr w:type="spellEnd"/>
      <w:r w:rsidRPr="006D7CEC">
        <w:t>, Garcia, and Martin,</w:t>
      </w:r>
      <w:r>
        <w:t xml:space="preserve"> </w:t>
      </w:r>
      <w:r w:rsidRPr="006D7CEC">
        <w:t>2021</w:t>
      </w:r>
      <w:r>
        <w:t>). This may entail taking part in community projects, cutting waste, and putting energy-efficient practices into practice. Setting itself apart from rivals and improving its reputation, The Seaview Resort may draw in a market niche that appreciates environmentally responsible operations by becoming a leader in sustainable tourism.</w:t>
      </w:r>
    </w:p>
    <w:p w:rsidR="009A56D6" w:rsidRDefault="009A56D6" w:rsidP="009A56D6">
      <w:r>
        <w:t xml:space="preserve">To match perceived value and market demand, the pricing strategy needs to be </w:t>
      </w:r>
      <w:proofErr w:type="spellStart"/>
      <w:r>
        <w:t>reevaluated</w:t>
      </w:r>
      <w:proofErr w:type="spellEnd"/>
      <w:r>
        <w:t xml:space="preserve"> (</w:t>
      </w:r>
      <w:proofErr w:type="spellStart"/>
      <w:r w:rsidRPr="006D7CEC">
        <w:t>Trusova</w:t>
      </w:r>
      <w:proofErr w:type="spellEnd"/>
      <w:r>
        <w:t xml:space="preserve"> </w:t>
      </w:r>
      <w:r w:rsidRPr="002A5AAC">
        <w:rPr>
          <w:i/>
          <w:iCs/>
        </w:rPr>
        <w:t>et al.,</w:t>
      </w:r>
      <w:r>
        <w:t xml:space="preserve"> 2020). Value-added services and amenities should take precedence over lowering Average Room Rates (ARR) to increase occupancy rates. This can be freebies, exclusive access, or package offers that improve the overall visitor experience. Developing a price system that highlights the resort's distinctive features and makes sense to visitors is the aim (</w:t>
      </w:r>
      <w:r w:rsidRPr="006D7CEC">
        <w:t>Kapoor, and Kapoor, 2021</w:t>
      </w:r>
      <w:r>
        <w:t>). One of the most important elements of the turnaround strategy is financial restructuring. Assessing the current debt configuration and investigating refinancing alternatives might reduce the weight of enduring debt and enhance cash flow (</w:t>
      </w:r>
      <w:proofErr w:type="spellStart"/>
      <w:r w:rsidRPr="006D7CEC">
        <w:t>Krizanova</w:t>
      </w:r>
      <w:proofErr w:type="spellEnd"/>
      <w:r>
        <w:t xml:space="preserve"> </w:t>
      </w:r>
      <w:r w:rsidRPr="002A5AAC">
        <w:rPr>
          <w:i/>
          <w:iCs/>
        </w:rPr>
        <w:t>et al.,</w:t>
      </w:r>
      <w:r>
        <w:t xml:space="preserve"> 2019). </w:t>
      </w:r>
    </w:p>
    <w:p w:rsidR="009A56D6" w:rsidRDefault="009A56D6" w:rsidP="009A56D6">
      <w:r>
        <w:lastRenderedPageBreak/>
        <w:t>This could entail negotiating better terms with creditors or looking for outside financing sources that are more compatible with the resort's financial resources. The Seaview Resort can improve its liquidity, lower interest costs, and build a more stable financial base by making changes to its financial structure. Making sure that resources are distributed as efficiently as possible to provide the greatest possible guest experience should be a continuous goal of operational efficiency (</w:t>
      </w:r>
      <w:proofErr w:type="spellStart"/>
      <w:r w:rsidRPr="006D7CEC">
        <w:t>Suwantari</w:t>
      </w:r>
      <w:proofErr w:type="spellEnd"/>
      <w:r w:rsidRPr="006D7CEC">
        <w:t xml:space="preserve">, Ariana, and </w:t>
      </w:r>
      <w:proofErr w:type="spellStart"/>
      <w:r w:rsidRPr="006D7CEC">
        <w:t>Suprapto</w:t>
      </w:r>
      <w:proofErr w:type="spellEnd"/>
      <w:r w:rsidRPr="006D7CEC">
        <w:t>, 2020</w:t>
      </w:r>
      <w:r>
        <w:t>). This entails putting employees through training to meet higher standards of service, expediting the check-in and check-out procedures, and utilising technology to improve operational effectiveness (</w:t>
      </w:r>
      <w:proofErr w:type="spellStart"/>
      <w:r w:rsidRPr="00FB1FF9">
        <w:t>Hosseinzadeh</w:t>
      </w:r>
      <w:proofErr w:type="spellEnd"/>
      <w:r w:rsidRPr="00FB1FF9">
        <w:t xml:space="preserve"> </w:t>
      </w:r>
      <w:proofErr w:type="spellStart"/>
      <w:r w:rsidRPr="00FB1FF9">
        <w:t>Shahri</w:t>
      </w:r>
      <w:proofErr w:type="spellEnd"/>
      <w:r>
        <w:t xml:space="preserve"> </w:t>
      </w:r>
      <w:r w:rsidRPr="00FB1FF9">
        <w:t xml:space="preserve">and </w:t>
      </w:r>
      <w:proofErr w:type="spellStart"/>
      <w:r w:rsidRPr="00FB1FF9">
        <w:t>Nematollahi</w:t>
      </w:r>
      <w:proofErr w:type="spellEnd"/>
      <w:r w:rsidRPr="00FB1FF9">
        <w:t xml:space="preserve"> </w:t>
      </w:r>
      <w:proofErr w:type="spellStart"/>
      <w:r w:rsidRPr="00FB1FF9">
        <w:t>Sarvestani</w:t>
      </w:r>
      <w:proofErr w:type="spellEnd"/>
      <w:r w:rsidRPr="00FB1FF9">
        <w:t>, 2020</w:t>
      </w:r>
      <w:r>
        <w:t>). From reservation until departure, it is intended to be a smooth and pleasurable experience for visitors, encouraging good feedback and return business.</w:t>
      </w:r>
    </w:p>
    <w:p w:rsidR="009A56D6" w:rsidRDefault="009A56D6" w:rsidP="009A56D6">
      <w:r>
        <w:t>The Seaview Resort must implement strategic marketing activities to change its market positioning. A strong online presence may support showcasing the resort's rejuvenated image (</w:t>
      </w:r>
      <w:r w:rsidRPr="006D7CEC">
        <w:t>Ramadan</w:t>
      </w:r>
      <w:r>
        <w:t xml:space="preserve"> </w:t>
      </w:r>
      <w:r w:rsidRPr="002A5AAC">
        <w:rPr>
          <w:i/>
          <w:iCs/>
        </w:rPr>
        <w:t>et al.,</w:t>
      </w:r>
      <w:r>
        <w:t xml:space="preserve"> 2023). This includes an updated website and active participation on social media platforms. Targeted marketing initiatives that draw attention to the resort's special features such as eco-friendly operations, unique experiences, and upgraded amenities may draw a wide range of guests and help the resort regain its standing as a top holiday spot (</w:t>
      </w:r>
      <w:proofErr w:type="spellStart"/>
      <w:r w:rsidRPr="006D7CEC">
        <w:t>Yacoub</w:t>
      </w:r>
      <w:proofErr w:type="spellEnd"/>
      <w:proofErr w:type="gramStart"/>
      <w:r w:rsidRPr="006D7CEC">
        <w:t>,  and</w:t>
      </w:r>
      <w:proofErr w:type="gramEnd"/>
      <w:r w:rsidRPr="006D7CEC">
        <w:t xml:space="preserve"> </w:t>
      </w:r>
      <w:proofErr w:type="spellStart"/>
      <w:r w:rsidRPr="006D7CEC">
        <w:t>ElHajjar</w:t>
      </w:r>
      <w:proofErr w:type="spellEnd"/>
      <w:r w:rsidRPr="006D7CEC">
        <w:t>, 2021</w:t>
      </w:r>
      <w:r>
        <w:t>). Additionally, cooperation and community involvement can enhance the resort's favourable reputation. Engaging in community events, collaborating with nearby businesses, and endorsing environmental causes can not only improve the resort's reputation but also aid in its assimilation into the community (</w:t>
      </w:r>
      <w:proofErr w:type="spellStart"/>
      <w:r w:rsidRPr="006D7CEC">
        <w:t>Pirogova</w:t>
      </w:r>
      <w:proofErr w:type="spellEnd"/>
      <w:r>
        <w:t xml:space="preserve"> </w:t>
      </w:r>
      <w:r w:rsidRPr="002A5AAC">
        <w:rPr>
          <w:i/>
          <w:iCs/>
        </w:rPr>
        <w:t>et al.,</w:t>
      </w:r>
      <w:r>
        <w:t xml:space="preserve"> 2021). This good relationship can encourage word-of-mouth recommendations and strengthen The Seaview Resort's standing as a reputable business.</w:t>
      </w:r>
    </w:p>
    <w:p w:rsidR="009A56D6" w:rsidRPr="009A56D6" w:rsidRDefault="009A56D6" w:rsidP="009A56D6">
      <w:pPr>
        <w:pStyle w:val="Heading1"/>
        <w:spacing w:after="160"/>
        <w:rPr>
          <w:rFonts w:ascii="Times New Roman" w:hAnsi="Times New Roman" w:cs="Times New Roman"/>
          <w:color w:val="auto"/>
          <w:sz w:val="28"/>
          <w:szCs w:val="28"/>
        </w:rPr>
      </w:pPr>
      <w:bookmarkStart w:id="5" w:name="_Toc150853492"/>
      <w:r w:rsidRPr="009A56D6">
        <w:rPr>
          <w:rFonts w:ascii="Times New Roman" w:hAnsi="Times New Roman" w:cs="Times New Roman"/>
          <w:color w:val="auto"/>
          <w:sz w:val="28"/>
          <w:szCs w:val="28"/>
        </w:rPr>
        <w:t>Conclusion</w:t>
      </w:r>
      <w:bookmarkEnd w:id="5"/>
    </w:p>
    <w:p w:rsidR="009A56D6" w:rsidRDefault="009A56D6" w:rsidP="009A56D6">
      <w:r w:rsidRPr="00DE3215">
        <w:t>The Seaview Resort is experiencing a severe financial crisis that is being caused by increased competition, antiquated facilities, and a failure to adapt to changing guest demands. The overall sales fell from £520,000 to £430,000 in the last three years, with a 4% net profit margin in 2022. The decrease is attributed to rising operational costs, a drop in rates of occupancy, and a poor reaction to eco-friendly travel trends. A comprehensive turnaround plan that includes focused marketing, community involvement, cost optimisation, sustainability efforts, smart pricing, financial restructuring, and an emphasis on the consumer is essential. This comprehensive plan seeks to turn The Seaview Resort into a top holiday spot and bring it back to profitability</w:t>
      </w:r>
      <w:r w:rsidRPr="00F45998">
        <w:t>.</w:t>
      </w:r>
    </w:p>
    <w:p w:rsidR="009A56D6" w:rsidRDefault="009A56D6" w:rsidP="009A56D6">
      <w:pPr>
        <w:spacing w:line="259" w:lineRule="auto"/>
        <w:jc w:val="left"/>
      </w:pPr>
      <w:r>
        <w:br w:type="page"/>
      </w:r>
    </w:p>
    <w:p w:rsidR="009A56D6" w:rsidRPr="009A56D6" w:rsidRDefault="009A56D6" w:rsidP="009A56D6">
      <w:pPr>
        <w:pStyle w:val="Heading1"/>
        <w:spacing w:after="160"/>
        <w:rPr>
          <w:rFonts w:ascii="Times New Roman" w:hAnsi="Times New Roman" w:cs="Times New Roman"/>
          <w:color w:val="auto"/>
          <w:sz w:val="28"/>
          <w:szCs w:val="28"/>
        </w:rPr>
      </w:pPr>
      <w:bookmarkStart w:id="6" w:name="_Toc150853493"/>
      <w:r w:rsidRPr="009A56D6">
        <w:rPr>
          <w:rFonts w:ascii="Times New Roman" w:hAnsi="Times New Roman" w:cs="Times New Roman"/>
          <w:color w:val="auto"/>
          <w:sz w:val="28"/>
          <w:szCs w:val="28"/>
        </w:rPr>
        <w:lastRenderedPageBreak/>
        <w:t>References</w:t>
      </w:r>
      <w:bookmarkEnd w:id="6"/>
    </w:p>
    <w:p w:rsidR="009A56D6" w:rsidRPr="001F4334" w:rsidRDefault="009A56D6" w:rsidP="009A56D6">
      <w:bookmarkStart w:id="7" w:name="_Hlk150820099"/>
      <w:proofErr w:type="spellStart"/>
      <w:r w:rsidRPr="001F4334">
        <w:t>Buhalis</w:t>
      </w:r>
      <w:proofErr w:type="spellEnd"/>
      <w:r w:rsidRPr="001F4334">
        <w:t>, D., O’Connor, P. and Leung, R., (2022)</w:t>
      </w:r>
      <w:bookmarkEnd w:id="7"/>
      <w:r w:rsidRPr="001F4334">
        <w:t>. Smart hospitality: from smart cities and smart tourism towards agile business ecosystems in networked destinations. International Journal of Contemporary Hospitality Management, 35(1), pp.369-393.</w:t>
      </w:r>
    </w:p>
    <w:p w:rsidR="009A56D6" w:rsidRPr="001F4334" w:rsidRDefault="009A56D6" w:rsidP="009A56D6">
      <w:proofErr w:type="spellStart"/>
      <w:r w:rsidRPr="001F4334">
        <w:t>Dimitrić</w:t>
      </w:r>
      <w:proofErr w:type="spellEnd"/>
      <w:r w:rsidRPr="001F4334">
        <w:t xml:space="preserve">, M., Tomas </w:t>
      </w:r>
      <w:proofErr w:type="spellStart"/>
      <w:r w:rsidRPr="001F4334">
        <w:t>Žiković</w:t>
      </w:r>
      <w:proofErr w:type="spellEnd"/>
      <w:r w:rsidRPr="001F4334">
        <w:t xml:space="preserve">, I. and </w:t>
      </w:r>
      <w:proofErr w:type="spellStart"/>
      <w:r w:rsidRPr="001F4334">
        <w:t>Arbula</w:t>
      </w:r>
      <w:proofErr w:type="spellEnd"/>
      <w:r w:rsidRPr="001F4334">
        <w:t xml:space="preserve"> </w:t>
      </w:r>
      <w:proofErr w:type="spellStart"/>
      <w:r w:rsidRPr="001F4334">
        <w:t>Blecich</w:t>
      </w:r>
      <w:proofErr w:type="spellEnd"/>
      <w:r w:rsidRPr="001F4334">
        <w:t>, A., (2019). Profitability determinants of hotel companies in selected Mediterranean countries. Economic research-</w:t>
      </w:r>
      <w:proofErr w:type="spellStart"/>
      <w:r w:rsidRPr="001F4334">
        <w:t>Ekonomska</w:t>
      </w:r>
      <w:proofErr w:type="spellEnd"/>
      <w:r w:rsidRPr="001F4334">
        <w:t xml:space="preserve"> </w:t>
      </w:r>
      <w:proofErr w:type="spellStart"/>
      <w:r w:rsidRPr="001F4334">
        <w:t>istraživanja</w:t>
      </w:r>
      <w:proofErr w:type="spellEnd"/>
      <w:r w:rsidRPr="001F4334">
        <w:t>, 32(1), pp.1977-1993.</w:t>
      </w:r>
    </w:p>
    <w:p w:rsidR="009A56D6" w:rsidRPr="001F4334" w:rsidRDefault="009A56D6" w:rsidP="009A56D6">
      <w:bookmarkStart w:id="8" w:name="_Hlk150820152"/>
      <w:proofErr w:type="spellStart"/>
      <w:r w:rsidRPr="001F4334">
        <w:t>Garrido</w:t>
      </w:r>
      <w:proofErr w:type="spellEnd"/>
      <w:r w:rsidRPr="001F4334">
        <w:t>-Moreno, A., Garcia-Morales, V.J. and Martin-Rojas, R., (2021)</w:t>
      </w:r>
      <w:bookmarkEnd w:id="8"/>
      <w:r w:rsidRPr="001F4334">
        <w:t>. Going beyond the curve: Strategic measures to recover hotel activity in times of COVID-19. International Journal of Hospitality Management, 96, p.102928.</w:t>
      </w:r>
    </w:p>
    <w:p w:rsidR="009A56D6" w:rsidRPr="001F4334" w:rsidRDefault="009A56D6" w:rsidP="009A56D6">
      <w:proofErr w:type="spellStart"/>
      <w:r w:rsidRPr="001F4334">
        <w:t>Gemar</w:t>
      </w:r>
      <w:proofErr w:type="spellEnd"/>
      <w:r w:rsidRPr="001F4334">
        <w:t xml:space="preserve">, G., </w:t>
      </w:r>
      <w:proofErr w:type="spellStart"/>
      <w:r w:rsidRPr="001F4334">
        <w:t>Soler</w:t>
      </w:r>
      <w:proofErr w:type="spellEnd"/>
      <w:r w:rsidRPr="001F4334">
        <w:t>, I.P. and Guzman-Parra, V.F., (2019). Predicting bankruptcy in resort hotels: a survival analysis. International Journal of Contemporary Hospitality Management, 31(4), pp.1546-1566.</w:t>
      </w:r>
    </w:p>
    <w:p w:rsidR="009A56D6" w:rsidRPr="001F4334" w:rsidRDefault="009A56D6" w:rsidP="009A56D6">
      <w:proofErr w:type="spellStart"/>
      <w:r w:rsidRPr="00E90C2A">
        <w:t>Gotteiner</w:t>
      </w:r>
      <w:proofErr w:type="spellEnd"/>
      <w:r w:rsidRPr="00E90C2A">
        <w:t>, S., Mas-</w:t>
      </w:r>
      <w:proofErr w:type="spellStart"/>
      <w:r w:rsidRPr="00E90C2A">
        <w:t>Machuca</w:t>
      </w:r>
      <w:proofErr w:type="spellEnd"/>
      <w:r w:rsidRPr="00E90C2A">
        <w:t xml:space="preserve">, M. and </w:t>
      </w:r>
      <w:proofErr w:type="spellStart"/>
      <w:r w:rsidRPr="00E90C2A">
        <w:t>Marimon</w:t>
      </w:r>
      <w:proofErr w:type="spellEnd"/>
      <w:r w:rsidRPr="00E90C2A">
        <w:t xml:space="preserve">, F., </w:t>
      </w:r>
      <w:r>
        <w:t>(</w:t>
      </w:r>
      <w:r w:rsidRPr="00E90C2A">
        <w:t>2019</w:t>
      </w:r>
      <w:r>
        <w:t>)</w:t>
      </w:r>
      <w:r w:rsidRPr="00E90C2A">
        <w:t>. Turnaround types, stages, strategies, and tactics: Putting things in order. </w:t>
      </w:r>
      <w:r w:rsidRPr="00E90C2A">
        <w:rPr>
          <w:i/>
          <w:iCs/>
        </w:rPr>
        <w:t>European Accounting and Management Review</w:t>
      </w:r>
      <w:r w:rsidRPr="00E90C2A">
        <w:t>, </w:t>
      </w:r>
      <w:r w:rsidRPr="00E90C2A">
        <w:rPr>
          <w:i/>
          <w:iCs/>
        </w:rPr>
        <w:t>5</w:t>
      </w:r>
      <w:r w:rsidRPr="00E90C2A">
        <w:t>(2), pp.12-37.</w:t>
      </w:r>
    </w:p>
    <w:p w:rsidR="009A56D6" w:rsidRDefault="009A56D6" w:rsidP="009A56D6">
      <w:proofErr w:type="spellStart"/>
      <w:r w:rsidRPr="00FB1FF9">
        <w:t>Hosseinzadeh</w:t>
      </w:r>
      <w:proofErr w:type="spellEnd"/>
      <w:r w:rsidRPr="00FB1FF9">
        <w:t xml:space="preserve"> </w:t>
      </w:r>
      <w:proofErr w:type="spellStart"/>
      <w:r w:rsidRPr="00FB1FF9">
        <w:t>Shahri</w:t>
      </w:r>
      <w:proofErr w:type="spellEnd"/>
      <w:r w:rsidRPr="00FB1FF9">
        <w:t xml:space="preserve">, M. and </w:t>
      </w:r>
      <w:proofErr w:type="spellStart"/>
      <w:r w:rsidRPr="00FB1FF9">
        <w:t>Nematollahi</w:t>
      </w:r>
      <w:proofErr w:type="spellEnd"/>
      <w:r w:rsidRPr="00FB1FF9">
        <w:t xml:space="preserve"> </w:t>
      </w:r>
      <w:proofErr w:type="spellStart"/>
      <w:r w:rsidRPr="00FB1FF9">
        <w:t>Sarvestani</w:t>
      </w:r>
      <w:proofErr w:type="spellEnd"/>
      <w:r w:rsidRPr="00FB1FF9">
        <w:t xml:space="preserve">, M., </w:t>
      </w:r>
      <w:r>
        <w:t>(</w:t>
      </w:r>
      <w:r w:rsidRPr="00FB1FF9">
        <w:t>2020</w:t>
      </w:r>
      <w:r>
        <w:t>)</w:t>
      </w:r>
      <w:r w:rsidRPr="00FB1FF9">
        <w:t>. Business model innovation as a turnaround strategy. </w:t>
      </w:r>
      <w:r w:rsidRPr="00FB1FF9">
        <w:rPr>
          <w:i/>
          <w:iCs/>
        </w:rPr>
        <w:t>Journal of Strategy and Management</w:t>
      </w:r>
      <w:r w:rsidRPr="00FB1FF9">
        <w:t>, </w:t>
      </w:r>
      <w:r w:rsidRPr="00FB1FF9">
        <w:rPr>
          <w:i/>
          <w:iCs/>
        </w:rPr>
        <w:t>13</w:t>
      </w:r>
      <w:r w:rsidRPr="00FB1FF9">
        <w:t>(2), pp.241-253.</w:t>
      </w:r>
    </w:p>
    <w:p w:rsidR="009A56D6" w:rsidRPr="001F4334" w:rsidRDefault="009A56D6" w:rsidP="009A56D6">
      <w:bookmarkStart w:id="9" w:name="_Hlk150819472"/>
      <w:r w:rsidRPr="001F4334">
        <w:t xml:space="preserve">Jeon, M.M., Lee, S. and </w:t>
      </w:r>
      <w:proofErr w:type="spellStart"/>
      <w:r w:rsidRPr="001F4334">
        <w:t>Jeong</w:t>
      </w:r>
      <w:proofErr w:type="spellEnd"/>
      <w:r w:rsidRPr="001F4334">
        <w:t>, M., (2020)</w:t>
      </w:r>
      <w:bookmarkEnd w:id="9"/>
      <w:r w:rsidRPr="001F4334">
        <w:t xml:space="preserve">. Perceived corporate social responsibility and customers’ </w:t>
      </w:r>
      <w:r>
        <w:t>behaviours</w:t>
      </w:r>
      <w:r w:rsidRPr="001F4334">
        <w:t xml:space="preserve"> in the ridesharing service industry. International Journal of Hospitality Management, 84, p.102341.</w:t>
      </w:r>
    </w:p>
    <w:p w:rsidR="009A56D6" w:rsidRPr="001F4334" w:rsidRDefault="009A56D6" w:rsidP="009A56D6">
      <w:bookmarkStart w:id="10" w:name="_Hlk150820233"/>
      <w:r w:rsidRPr="001F4334">
        <w:t>Kapoor, R. and Kapoor, K., (2021)</w:t>
      </w:r>
      <w:bookmarkEnd w:id="10"/>
      <w:r w:rsidRPr="001F4334">
        <w:t>. The transition from traditional to digital marketing: a study of the evolution of e-marketing in the Indian hotel industry. Worldwide Hospitality and Tourism Themes, 13(2), pp.199-213.</w:t>
      </w:r>
    </w:p>
    <w:p w:rsidR="009A56D6" w:rsidRPr="001F4334" w:rsidRDefault="009A56D6" w:rsidP="009A56D6">
      <w:bookmarkStart w:id="11" w:name="_Hlk150819588"/>
      <w:r w:rsidRPr="001F4334">
        <w:t>Khan</w:t>
      </w:r>
      <w:bookmarkEnd w:id="11"/>
      <w:r w:rsidRPr="001F4334">
        <w:t xml:space="preserve">, N., Hassan, A.U., Fahad, S. and </w:t>
      </w:r>
      <w:proofErr w:type="spellStart"/>
      <w:r w:rsidRPr="001F4334">
        <w:t>Naushad</w:t>
      </w:r>
      <w:proofErr w:type="spellEnd"/>
      <w:r w:rsidRPr="001F4334">
        <w:t>, M., (2020). Factors affecting tourism industry and its impacts on global economy of the world. Available at SSRN 3559353.</w:t>
      </w:r>
    </w:p>
    <w:p w:rsidR="009A56D6" w:rsidRPr="001F4334" w:rsidRDefault="009A56D6" w:rsidP="009A56D6">
      <w:bookmarkStart w:id="12" w:name="_Hlk150820257"/>
      <w:proofErr w:type="spellStart"/>
      <w:r w:rsidRPr="001F4334">
        <w:t>Krizanova</w:t>
      </w:r>
      <w:bookmarkEnd w:id="12"/>
      <w:proofErr w:type="spellEnd"/>
      <w:r w:rsidRPr="001F4334">
        <w:t xml:space="preserve">, A., </w:t>
      </w:r>
      <w:proofErr w:type="spellStart"/>
      <w:r w:rsidRPr="001F4334">
        <w:t>Lăzăroiu</w:t>
      </w:r>
      <w:proofErr w:type="spellEnd"/>
      <w:r w:rsidRPr="001F4334">
        <w:t xml:space="preserve">, G., </w:t>
      </w:r>
      <w:proofErr w:type="spellStart"/>
      <w:r w:rsidRPr="001F4334">
        <w:t>Gajanova</w:t>
      </w:r>
      <w:proofErr w:type="spellEnd"/>
      <w:r w:rsidRPr="001F4334">
        <w:t xml:space="preserve">, L., </w:t>
      </w:r>
      <w:proofErr w:type="spellStart"/>
      <w:r w:rsidRPr="001F4334">
        <w:t>Kliestikova</w:t>
      </w:r>
      <w:proofErr w:type="spellEnd"/>
      <w:r w:rsidRPr="001F4334">
        <w:t xml:space="preserve">, J., </w:t>
      </w:r>
      <w:proofErr w:type="spellStart"/>
      <w:r w:rsidRPr="001F4334">
        <w:t>Nadanyiova</w:t>
      </w:r>
      <w:proofErr w:type="spellEnd"/>
      <w:r w:rsidRPr="001F4334">
        <w:t xml:space="preserve">, M. and </w:t>
      </w:r>
      <w:proofErr w:type="spellStart"/>
      <w:r w:rsidRPr="001F4334">
        <w:t>Moravcikova</w:t>
      </w:r>
      <w:proofErr w:type="spellEnd"/>
      <w:r w:rsidRPr="001F4334">
        <w:t>, D., (2019). The effectiveness of marketing communication and importance of its evaluation in an online environment. Sustainability, 11(24), p.7016.</w:t>
      </w:r>
    </w:p>
    <w:p w:rsidR="009A56D6" w:rsidRPr="001F4334" w:rsidRDefault="009A56D6" w:rsidP="009A56D6">
      <w:bookmarkStart w:id="13" w:name="_Hlk150819610"/>
      <w:proofErr w:type="spellStart"/>
      <w:r w:rsidRPr="001F4334">
        <w:lastRenderedPageBreak/>
        <w:t>Nozawa</w:t>
      </w:r>
      <w:bookmarkEnd w:id="13"/>
      <w:proofErr w:type="spellEnd"/>
      <w:r w:rsidRPr="001F4334">
        <w:t xml:space="preserve">, C., </w:t>
      </w:r>
      <w:proofErr w:type="spellStart"/>
      <w:r w:rsidRPr="001F4334">
        <w:t>Togawa</w:t>
      </w:r>
      <w:proofErr w:type="spellEnd"/>
      <w:r w:rsidRPr="001F4334">
        <w:t>, T., Velasco, C. and Motoki, K., (2022). Consumer responses to the use of artificial intelligence in luxury and non-luxury restaurants. Food Quality and Preference, 96, p.104436.</w:t>
      </w:r>
    </w:p>
    <w:p w:rsidR="009A56D6" w:rsidRPr="001F4334" w:rsidRDefault="009A56D6" w:rsidP="009A56D6">
      <w:bookmarkStart w:id="14" w:name="_Hlk150820406"/>
      <w:proofErr w:type="spellStart"/>
      <w:r w:rsidRPr="001F4334">
        <w:t>Pirogova</w:t>
      </w:r>
      <w:bookmarkEnd w:id="14"/>
      <w:proofErr w:type="spellEnd"/>
      <w:r w:rsidRPr="001F4334">
        <w:t xml:space="preserve">, O., </w:t>
      </w:r>
      <w:proofErr w:type="spellStart"/>
      <w:r w:rsidRPr="001F4334">
        <w:t>Shanygin</w:t>
      </w:r>
      <w:proofErr w:type="spellEnd"/>
      <w:r w:rsidRPr="001F4334">
        <w:t xml:space="preserve">, S., </w:t>
      </w:r>
      <w:proofErr w:type="spellStart"/>
      <w:r w:rsidRPr="001F4334">
        <w:t>Lavrova</w:t>
      </w:r>
      <w:proofErr w:type="spellEnd"/>
      <w:r w:rsidRPr="001F4334">
        <w:t xml:space="preserve">, T. and </w:t>
      </w:r>
      <w:proofErr w:type="spellStart"/>
      <w:r w:rsidRPr="001F4334">
        <w:t>Plotnikov</w:t>
      </w:r>
      <w:proofErr w:type="spellEnd"/>
      <w:r w:rsidRPr="001F4334">
        <w:t>, V., (2021). The hospitality industry development factors (case of St. Petersburg). In E3S Web of Conferences (Vol. 244, p. 10038). EDP Sciences.</w:t>
      </w:r>
    </w:p>
    <w:p w:rsidR="009A56D6" w:rsidRPr="001F4334" w:rsidRDefault="009A56D6" w:rsidP="009A56D6">
      <w:bookmarkStart w:id="15" w:name="_Hlk150820329"/>
      <w:r w:rsidRPr="001F4334">
        <w:t>Ramadan</w:t>
      </w:r>
      <w:bookmarkEnd w:id="15"/>
      <w:r w:rsidRPr="001F4334">
        <w:t xml:space="preserve">, M.A., Al </w:t>
      </w:r>
      <w:proofErr w:type="spellStart"/>
      <w:r w:rsidRPr="001F4334">
        <w:t>Dhaheri</w:t>
      </w:r>
      <w:proofErr w:type="spellEnd"/>
      <w:r w:rsidRPr="001F4334">
        <w:t xml:space="preserve">, M.K., </w:t>
      </w:r>
      <w:proofErr w:type="spellStart"/>
      <w:r w:rsidRPr="001F4334">
        <w:t>Maalouf</w:t>
      </w:r>
      <w:proofErr w:type="spellEnd"/>
      <w:r w:rsidRPr="001F4334">
        <w:t xml:space="preserve">, M., Antony, J., Bhat, S. and </w:t>
      </w:r>
      <w:proofErr w:type="spellStart"/>
      <w:r w:rsidRPr="001F4334">
        <w:t>Gijo</w:t>
      </w:r>
      <w:proofErr w:type="spellEnd"/>
      <w:r w:rsidRPr="001F4334">
        <w:t>, E.V., (2023). Application of Six Sigma methodology to enhance the productivity and performance of a hotel in the UAE. The TQM Journal, 35(2), pp.554-576.</w:t>
      </w:r>
    </w:p>
    <w:p w:rsidR="009A56D6" w:rsidRPr="001F4334" w:rsidRDefault="009A56D6" w:rsidP="009A56D6">
      <w:r w:rsidRPr="001F4334">
        <w:t xml:space="preserve">Santos, L.L., </w:t>
      </w:r>
      <w:proofErr w:type="spellStart"/>
      <w:r w:rsidRPr="001F4334">
        <w:t>Malheiros</w:t>
      </w:r>
      <w:proofErr w:type="spellEnd"/>
      <w:r w:rsidRPr="001F4334">
        <w:t xml:space="preserve">, C., Gomes, C. and Guerra, T., (2020). </w:t>
      </w:r>
      <w:proofErr w:type="spellStart"/>
      <w:r w:rsidRPr="001F4334">
        <w:t>TRevPAR</w:t>
      </w:r>
      <w:proofErr w:type="spellEnd"/>
      <w:r w:rsidRPr="001F4334">
        <w:t xml:space="preserve"> as hotels performance evaluation indicator and influencing factors in Portugal. EATSJ Euro-Asia Tourism Studies Journal, 1(105).</w:t>
      </w:r>
    </w:p>
    <w:p w:rsidR="009A56D6" w:rsidRPr="001F4334" w:rsidRDefault="009A56D6" w:rsidP="009A56D6">
      <w:bookmarkStart w:id="16" w:name="_Hlk150820125"/>
      <w:r w:rsidRPr="001F4334">
        <w:t>Shin, H., Perdue, R.R. and Kang, J., (2019)</w:t>
      </w:r>
      <w:bookmarkEnd w:id="16"/>
      <w:r w:rsidRPr="001F4334">
        <w:t>. Front desk technology innovation in hotels: A managerial perspective. Tourism Management, 74, pp.310-318.</w:t>
      </w:r>
    </w:p>
    <w:p w:rsidR="009A56D6" w:rsidRPr="001F4334" w:rsidRDefault="009A56D6" w:rsidP="009A56D6">
      <w:proofErr w:type="spellStart"/>
      <w:r w:rsidRPr="001F4334">
        <w:t>Suwantari</w:t>
      </w:r>
      <w:proofErr w:type="spellEnd"/>
      <w:r w:rsidRPr="001F4334">
        <w:t xml:space="preserve">, N.P., Ariana, I.M. and </w:t>
      </w:r>
      <w:proofErr w:type="spellStart"/>
      <w:r w:rsidRPr="001F4334">
        <w:t>Suprapto</w:t>
      </w:r>
      <w:proofErr w:type="spellEnd"/>
      <w:r w:rsidRPr="001F4334">
        <w:t>, P.A., (2020). Accounting Analysis in Accounts Receivable Management to Minimize the Risk of Uncollectible Receivables at ALS Hotel and Resort. Journal of Applied Sciences in Accounting, Finance, and Tax, 3(2), pp.117-124.</w:t>
      </w:r>
    </w:p>
    <w:p w:rsidR="009A56D6" w:rsidRPr="001F4334" w:rsidRDefault="009A56D6" w:rsidP="009A56D6">
      <w:bookmarkStart w:id="17" w:name="_Hlk150820302"/>
      <w:proofErr w:type="spellStart"/>
      <w:r w:rsidRPr="001F4334">
        <w:t>Suwantari</w:t>
      </w:r>
      <w:proofErr w:type="spellEnd"/>
      <w:r w:rsidRPr="001F4334">
        <w:t xml:space="preserve">, N.P., Ariana, I.M. and </w:t>
      </w:r>
      <w:proofErr w:type="spellStart"/>
      <w:r w:rsidRPr="001F4334">
        <w:t>Suprapto</w:t>
      </w:r>
      <w:proofErr w:type="spellEnd"/>
      <w:r w:rsidRPr="001F4334">
        <w:t>, P.A., (2020)</w:t>
      </w:r>
      <w:bookmarkEnd w:id="17"/>
      <w:r w:rsidRPr="001F4334">
        <w:t>. Accounting Analysis in Accounts Receivable Management to Minimize the Risk of Uncollectible Receivables at ALS Hotel and Resort. Journal of Applied Sciences in Accounting, Finance, and Tax, 3(2), pp.117-124.</w:t>
      </w:r>
    </w:p>
    <w:p w:rsidR="009A56D6" w:rsidRPr="001F4334" w:rsidRDefault="009A56D6" w:rsidP="009A56D6">
      <w:bookmarkStart w:id="18" w:name="_Hlk150820204"/>
      <w:proofErr w:type="spellStart"/>
      <w:r w:rsidRPr="001F4334">
        <w:t>Trusova</w:t>
      </w:r>
      <w:bookmarkEnd w:id="18"/>
      <w:proofErr w:type="spellEnd"/>
      <w:r w:rsidRPr="001F4334">
        <w:t xml:space="preserve">, N.V., </w:t>
      </w:r>
      <w:proofErr w:type="spellStart"/>
      <w:r w:rsidRPr="001F4334">
        <w:t>Tanklevska</w:t>
      </w:r>
      <w:proofErr w:type="spellEnd"/>
      <w:r w:rsidRPr="001F4334">
        <w:t xml:space="preserve">, N.S., </w:t>
      </w:r>
      <w:proofErr w:type="spellStart"/>
      <w:r w:rsidRPr="001F4334">
        <w:t>Cherniavska</w:t>
      </w:r>
      <w:proofErr w:type="spellEnd"/>
      <w:r w:rsidRPr="001F4334">
        <w:t xml:space="preserve">, T.A., </w:t>
      </w:r>
      <w:proofErr w:type="spellStart"/>
      <w:r w:rsidRPr="001F4334">
        <w:t>Prystеmskyi</w:t>
      </w:r>
      <w:proofErr w:type="spellEnd"/>
      <w:r w:rsidRPr="001F4334">
        <w:t xml:space="preserve">, O.S., Yeremenko, D.V. and </w:t>
      </w:r>
      <w:proofErr w:type="spellStart"/>
      <w:r w:rsidRPr="001F4334">
        <w:t>Demko</w:t>
      </w:r>
      <w:proofErr w:type="spellEnd"/>
      <w:r w:rsidRPr="001F4334">
        <w:t>, V.S., (2020). Financial provision of investment activities of the subjects of the world industry of tourist services. Journal of Environmental Management and Tourism, 11(4), pp.890-902.</w:t>
      </w:r>
    </w:p>
    <w:p w:rsidR="009A56D6" w:rsidRPr="001F4334" w:rsidRDefault="009A56D6" w:rsidP="009A56D6">
      <w:bookmarkStart w:id="19" w:name="_Hlk150819516"/>
      <w:proofErr w:type="spellStart"/>
      <w:r w:rsidRPr="001F4334">
        <w:t>Yacoub</w:t>
      </w:r>
      <w:proofErr w:type="spellEnd"/>
      <w:r w:rsidRPr="001F4334">
        <w:t xml:space="preserve">, L. and </w:t>
      </w:r>
      <w:proofErr w:type="spellStart"/>
      <w:r w:rsidRPr="001F4334">
        <w:t>ElHajjar</w:t>
      </w:r>
      <w:proofErr w:type="spellEnd"/>
      <w:r w:rsidRPr="001F4334">
        <w:t>, S., (2021)</w:t>
      </w:r>
      <w:bookmarkEnd w:id="19"/>
      <w:r w:rsidRPr="001F4334">
        <w:t>. How do hotels in developing countries manage the impact of COVID-19? The case of Lebanese hotels. International Journal of Contemporary Hospitality Management, 33(3), pp.929-948.</w:t>
      </w:r>
    </w:p>
    <w:p w:rsidR="009A56D6" w:rsidRPr="001F4334" w:rsidRDefault="009A56D6" w:rsidP="009A56D6">
      <w:bookmarkStart w:id="20" w:name="_Hlk150820385"/>
      <w:proofErr w:type="spellStart"/>
      <w:r w:rsidRPr="001F4334">
        <w:t>Yacoub</w:t>
      </w:r>
      <w:proofErr w:type="spellEnd"/>
      <w:r w:rsidRPr="001F4334">
        <w:t xml:space="preserve">, L. and </w:t>
      </w:r>
      <w:proofErr w:type="spellStart"/>
      <w:r w:rsidRPr="001F4334">
        <w:t>ElHajjar</w:t>
      </w:r>
      <w:proofErr w:type="spellEnd"/>
      <w:r w:rsidRPr="001F4334">
        <w:t>, S., (2021)</w:t>
      </w:r>
      <w:bookmarkEnd w:id="20"/>
      <w:r w:rsidRPr="001F4334">
        <w:t>. How do hotels in developing countries manage the impact of COVID-19? The case of Lebanese hotels. International Journal of Contemporary Hospitality Management, 33(3), pp.929-948.</w:t>
      </w:r>
    </w:p>
    <w:p w:rsidR="00314EDE" w:rsidRDefault="00314EDE"/>
    <w:sectPr w:rsidR="00314EDE" w:rsidSect="0006271E">
      <w:footerReference w:type="even" r:id="rId9"/>
      <w:footerReference w:type="default" r:id="rId10"/>
      <w:pgSz w:w="12240" w:h="15840" w:code="1"/>
      <w:pgMar w:top="720" w:right="1440" w:bottom="72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56D6" w:rsidRDefault="009A56D6" w:rsidP="0006271E">
      <w:r>
        <w:separator/>
      </w:r>
    </w:p>
  </w:endnote>
  <w:endnote w:type="continuationSeparator" w:id="0">
    <w:p w:rsidR="009A56D6" w:rsidRDefault="009A56D6" w:rsidP="00062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76420444"/>
      <w:docPartObj>
        <w:docPartGallery w:val="Page Numbers (Bottom of Page)"/>
        <w:docPartUnique/>
      </w:docPartObj>
    </w:sdtPr>
    <w:sdtEndPr>
      <w:rPr>
        <w:rStyle w:val="PageNumber"/>
      </w:rPr>
    </w:sdtEndPr>
    <w:sdtContent>
      <w:p w:rsidR="0006271E" w:rsidRDefault="0006271E" w:rsidP="00857B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6271E" w:rsidRDefault="0006271E" w:rsidP="000627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96635694"/>
      <w:docPartObj>
        <w:docPartGallery w:val="Page Numbers (Bottom of Page)"/>
        <w:docPartUnique/>
      </w:docPartObj>
    </w:sdtPr>
    <w:sdtEndPr>
      <w:rPr>
        <w:rStyle w:val="PageNumber"/>
      </w:rPr>
    </w:sdtEndPr>
    <w:sdtContent>
      <w:p w:rsidR="0006271E" w:rsidRDefault="0006271E" w:rsidP="00A45A59">
        <w:pPr>
          <w:pStyle w:val="Footer"/>
        </w:pPr>
        <w:r w:rsidRPr="00D85677">
          <w:rPr>
            <w:rStyle w:val="PageNumber"/>
            <w:rFonts w:ascii="Corbel" w:hAnsi="Corbel"/>
          </w:rPr>
          <w:t xml:space="preserve">PAGE </w:t>
        </w:r>
        <w:r w:rsidRPr="00D85677">
          <w:rPr>
            <w:rStyle w:val="PageNumber"/>
            <w:rFonts w:ascii="Corbel" w:hAnsi="Corbel"/>
          </w:rPr>
          <w:fldChar w:fldCharType="begin"/>
        </w:r>
        <w:r w:rsidRPr="00D85677">
          <w:rPr>
            <w:rStyle w:val="PageNumber"/>
            <w:rFonts w:ascii="Corbel" w:hAnsi="Corbel"/>
          </w:rPr>
          <w:instrText xml:space="preserve"> PAGE </w:instrText>
        </w:r>
        <w:r w:rsidRPr="00D85677">
          <w:rPr>
            <w:rStyle w:val="PageNumber"/>
            <w:rFonts w:ascii="Corbel" w:hAnsi="Corbel"/>
          </w:rPr>
          <w:fldChar w:fldCharType="separate"/>
        </w:r>
        <w:r w:rsidR="00BA0D3B">
          <w:rPr>
            <w:rStyle w:val="PageNumber"/>
            <w:rFonts w:ascii="Corbel" w:hAnsi="Corbel"/>
            <w:noProof/>
          </w:rPr>
          <w:t>10</w:t>
        </w:r>
        <w:r w:rsidRPr="00D85677">
          <w:rPr>
            <w:rStyle w:val="PageNumber"/>
            <w:rFonts w:ascii="Corbel" w:hAnsi="Corbe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56D6" w:rsidRDefault="009A56D6" w:rsidP="0006271E">
      <w:r>
        <w:separator/>
      </w:r>
    </w:p>
  </w:footnote>
  <w:footnote w:type="continuationSeparator" w:id="0">
    <w:p w:rsidR="009A56D6" w:rsidRDefault="009A56D6" w:rsidP="000627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6D6"/>
    <w:rsid w:val="00017B10"/>
    <w:rsid w:val="00056442"/>
    <w:rsid w:val="0006271E"/>
    <w:rsid w:val="000B5D29"/>
    <w:rsid w:val="000D54C3"/>
    <w:rsid w:val="00173543"/>
    <w:rsid w:val="001E06EE"/>
    <w:rsid w:val="00314EDE"/>
    <w:rsid w:val="00370139"/>
    <w:rsid w:val="004C7F2B"/>
    <w:rsid w:val="005120A6"/>
    <w:rsid w:val="005276A8"/>
    <w:rsid w:val="00537DAC"/>
    <w:rsid w:val="005D4907"/>
    <w:rsid w:val="00667CD7"/>
    <w:rsid w:val="006748DB"/>
    <w:rsid w:val="006C60E6"/>
    <w:rsid w:val="00715806"/>
    <w:rsid w:val="0081410C"/>
    <w:rsid w:val="00815D34"/>
    <w:rsid w:val="00834654"/>
    <w:rsid w:val="00856259"/>
    <w:rsid w:val="008A5F4C"/>
    <w:rsid w:val="00952F7D"/>
    <w:rsid w:val="009A56D6"/>
    <w:rsid w:val="00A32309"/>
    <w:rsid w:val="00A45A59"/>
    <w:rsid w:val="00A45BDD"/>
    <w:rsid w:val="00A6381B"/>
    <w:rsid w:val="00A76F40"/>
    <w:rsid w:val="00A82D92"/>
    <w:rsid w:val="00A83EF7"/>
    <w:rsid w:val="00AA7317"/>
    <w:rsid w:val="00B864BA"/>
    <w:rsid w:val="00BA0D3B"/>
    <w:rsid w:val="00BE02BB"/>
    <w:rsid w:val="00D62CAD"/>
    <w:rsid w:val="00D64ACC"/>
    <w:rsid w:val="00D85677"/>
    <w:rsid w:val="00E8561E"/>
    <w:rsid w:val="00ED38DD"/>
    <w:rsid w:val="00F00CEE"/>
    <w:rsid w:val="00FC5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0FEC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56D6"/>
    <w:pPr>
      <w:spacing w:after="160" w:line="360" w:lineRule="auto"/>
      <w:jc w:val="both"/>
    </w:pPr>
    <w:rPr>
      <w:rFonts w:ascii="Times New Roman" w:hAnsi="Times New Roman"/>
      <w:kern w:val="2"/>
      <w:szCs w:val="22"/>
      <w:lang w:val="en-GB"/>
      <w14:ligatures w14:val="standardContextual"/>
    </w:rPr>
  </w:style>
  <w:style w:type="paragraph" w:styleId="Heading1">
    <w:name w:val="heading 1"/>
    <w:basedOn w:val="Heading3"/>
    <w:next w:val="Normal"/>
    <w:link w:val="Heading1Char"/>
    <w:uiPriority w:val="9"/>
    <w:qFormat/>
    <w:rsid w:val="00537DAC"/>
    <w:pPr>
      <w:outlineLvl w:val="0"/>
    </w:pPr>
  </w:style>
  <w:style w:type="paragraph" w:styleId="Heading2">
    <w:name w:val="heading 2"/>
    <w:basedOn w:val="Heading3"/>
    <w:next w:val="Normal"/>
    <w:link w:val="Heading2Char"/>
    <w:uiPriority w:val="1"/>
    <w:qFormat/>
    <w:rsid w:val="00537DAC"/>
    <w:pPr>
      <w:outlineLvl w:val="1"/>
    </w:pPr>
    <w:rPr>
      <w:color w:val="EED0C6" w:themeColor="accent3"/>
    </w:rPr>
  </w:style>
  <w:style w:type="paragraph" w:styleId="Heading3">
    <w:name w:val="heading 3"/>
    <w:basedOn w:val="Normal"/>
    <w:next w:val="Normal"/>
    <w:link w:val="Heading3Char"/>
    <w:uiPriority w:val="2"/>
    <w:qFormat/>
    <w:rsid w:val="00F00CEE"/>
    <w:pPr>
      <w:keepNext/>
      <w:keepLines/>
      <w:spacing w:before="40" w:after="0" w:line="240" w:lineRule="auto"/>
      <w:jc w:val="left"/>
      <w:outlineLvl w:val="2"/>
    </w:pPr>
    <w:rPr>
      <w:rFonts w:asciiTheme="majorHAnsi" w:eastAsiaTheme="majorEastAsia" w:hAnsiTheme="majorHAnsi" w:cstheme="majorBidi"/>
      <w:color w:val="24344E" w:themeColor="accent1"/>
      <w:kern w:val="0"/>
      <w:sz w:val="36"/>
      <w:szCs w:val="24"/>
      <w:lang w:val="en-US"/>
      <w14:ligatures w14:val="none"/>
    </w:rPr>
  </w:style>
  <w:style w:type="paragraph" w:styleId="Heading4">
    <w:name w:val="heading 4"/>
    <w:basedOn w:val="Normal"/>
    <w:next w:val="Normal"/>
    <w:link w:val="Heading4Char"/>
    <w:uiPriority w:val="3"/>
    <w:qFormat/>
    <w:rsid w:val="00F00CEE"/>
    <w:pPr>
      <w:keepNext/>
      <w:keepLines/>
      <w:spacing w:before="40" w:after="0" w:line="240" w:lineRule="auto"/>
      <w:jc w:val="left"/>
      <w:outlineLvl w:val="3"/>
    </w:pPr>
    <w:rPr>
      <w:rFonts w:asciiTheme="minorHAnsi" w:eastAsiaTheme="majorEastAsia" w:hAnsiTheme="minorHAnsi" w:cstheme="majorBidi"/>
      <w:i/>
      <w:iCs/>
      <w:color w:val="24344E" w:themeColor="accent1"/>
      <w:kern w:val="0"/>
      <w:sz w:val="32"/>
      <w:szCs w:val="24"/>
      <w:lang w:val="en-US"/>
      <w14:ligatures w14:val="none"/>
    </w:rPr>
  </w:style>
  <w:style w:type="paragraph" w:styleId="Heading5">
    <w:name w:val="heading 5"/>
    <w:basedOn w:val="Normal"/>
    <w:next w:val="Normal"/>
    <w:link w:val="Heading5Char"/>
    <w:uiPriority w:val="4"/>
    <w:qFormat/>
    <w:rsid w:val="00A45BDD"/>
    <w:pPr>
      <w:keepNext/>
      <w:keepLines/>
      <w:spacing w:after="0" w:line="240" w:lineRule="auto"/>
      <w:ind w:right="284"/>
      <w:jc w:val="left"/>
      <w:outlineLvl w:val="4"/>
    </w:pPr>
    <w:rPr>
      <w:rFonts w:asciiTheme="minorHAnsi" w:eastAsiaTheme="majorEastAsia" w:hAnsiTheme="minorHAnsi" w:cstheme="majorBidi"/>
      <w:b/>
      <w:i/>
      <w:color w:val="24344E" w:themeColor="accent1"/>
      <w:kern w:val="0"/>
      <w:sz w:val="68"/>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5276A8"/>
    <w:pPr>
      <w:spacing w:after="0" w:line="240" w:lineRule="auto"/>
      <w:jc w:val="left"/>
    </w:pPr>
    <w:rPr>
      <w:rFonts w:asciiTheme="minorHAnsi" w:hAnsiTheme="minorHAnsi"/>
      <w:kern w:val="0"/>
      <w:sz w:val="10"/>
      <w:szCs w:val="24"/>
      <w:lang w:val="en-US"/>
      <w14:ligatures w14:val="none"/>
    </w:rPr>
  </w:style>
  <w:style w:type="paragraph" w:styleId="BalloonText">
    <w:name w:val="Balloon Text"/>
    <w:basedOn w:val="Normal"/>
    <w:link w:val="BalloonTextChar"/>
    <w:uiPriority w:val="99"/>
    <w:semiHidden/>
    <w:rsid w:val="005276A8"/>
    <w:pPr>
      <w:spacing w:after="0" w:line="240" w:lineRule="auto"/>
      <w:jc w:val="left"/>
    </w:pPr>
    <w:rPr>
      <w:rFonts w:cs="Times New Roman"/>
      <w:kern w:val="0"/>
      <w:sz w:val="18"/>
      <w:szCs w:val="18"/>
      <w:lang w:val="en-US"/>
      <w14:ligatures w14:val="none"/>
    </w:rPr>
  </w:style>
  <w:style w:type="character" w:customStyle="1" w:styleId="BalloonTextChar">
    <w:name w:val="Balloon Text Char"/>
    <w:basedOn w:val="DefaultParagraphFont"/>
    <w:link w:val="BalloonText"/>
    <w:uiPriority w:val="99"/>
    <w:semiHidden/>
    <w:rsid w:val="00F00CEE"/>
    <w:rPr>
      <w:rFonts w:ascii="Times New Roman" w:hAnsi="Times New Roman" w:cs="Times New Roman"/>
      <w:sz w:val="18"/>
      <w:szCs w:val="18"/>
    </w:rPr>
  </w:style>
  <w:style w:type="table" w:styleId="TableGrid">
    <w:name w:val="Table Grid"/>
    <w:basedOn w:val="TableNormal"/>
    <w:uiPriority w:val="39"/>
    <w:rsid w:val="00527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37DAC"/>
    <w:rPr>
      <w:rFonts w:asciiTheme="majorHAnsi" w:eastAsiaTheme="majorEastAsia" w:hAnsiTheme="majorHAnsi" w:cstheme="majorBidi"/>
      <w:color w:val="24344E" w:themeColor="accent1"/>
      <w:sz w:val="36"/>
    </w:rPr>
  </w:style>
  <w:style w:type="character" w:customStyle="1" w:styleId="Heading2Char">
    <w:name w:val="Heading 2 Char"/>
    <w:basedOn w:val="DefaultParagraphFont"/>
    <w:link w:val="Heading2"/>
    <w:uiPriority w:val="1"/>
    <w:rsid w:val="00537DAC"/>
    <w:rPr>
      <w:rFonts w:asciiTheme="majorHAnsi" w:eastAsiaTheme="majorEastAsia" w:hAnsiTheme="majorHAnsi" w:cstheme="majorBidi"/>
      <w:color w:val="EED0C6" w:themeColor="accent3"/>
      <w:sz w:val="36"/>
    </w:rPr>
  </w:style>
  <w:style w:type="character" w:customStyle="1" w:styleId="Heading3Char">
    <w:name w:val="Heading 3 Char"/>
    <w:basedOn w:val="DefaultParagraphFont"/>
    <w:link w:val="Heading3"/>
    <w:uiPriority w:val="2"/>
    <w:rsid w:val="00F00CEE"/>
    <w:rPr>
      <w:rFonts w:asciiTheme="majorHAnsi" w:eastAsiaTheme="majorEastAsia" w:hAnsiTheme="majorHAnsi" w:cstheme="majorBidi"/>
      <w:color w:val="24344E" w:themeColor="accent1"/>
      <w:sz w:val="36"/>
    </w:rPr>
  </w:style>
  <w:style w:type="paragraph" w:customStyle="1" w:styleId="Text">
    <w:name w:val="Text"/>
    <w:basedOn w:val="Normal"/>
    <w:uiPriority w:val="5"/>
    <w:qFormat/>
    <w:rsid w:val="00F00CEE"/>
    <w:pPr>
      <w:spacing w:after="0" w:line="240" w:lineRule="auto"/>
      <w:jc w:val="left"/>
    </w:pPr>
    <w:rPr>
      <w:rFonts w:asciiTheme="minorHAnsi" w:hAnsiTheme="minorHAnsi"/>
      <w:i/>
      <w:color w:val="000000" w:themeColor="text1"/>
      <w:kern w:val="0"/>
      <w:sz w:val="28"/>
      <w:szCs w:val="24"/>
      <w:lang w:val="en-US"/>
      <w14:ligatures w14:val="none"/>
    </w:rPr>
  </w:style>
  <w:style w:type="character" w:customStyle="1" w:styleId="Heading4Char">
    <w:name w:val="Heading 4 Char"/>
    <w:basedOn w:val="DefaultParagraphFont"/>
    <w:link w:val="Heading4"/>
    <w:uiPriority w:val="3"/>
    <w:rsid w:val="00F00CEE"/>
    <w:rPr>
      <w:rFonts w:eastAsiaTheme="majorEastAsia" w:cstheme="majorBidi"/>
      <w:i/>
      <w:iCs/>
      <w:color w:val="24344E" w:themeColor="accent1"/>
      <w:sz w:val="32"/>
    </w:rPr>
  </w:style>
  <w:style w:type="paragraph" w:styleId="Header">
    <w:name w:val="header"/>
    <w:basedOn w:val="Normal"/>
    <w:link w:val="HeaderChar"/>
    <w:uiPriority w:val="99"/>
    <w:semiHidden/>
    <w:rsid w:val="0006271E"/>
    <w:pPr>
      <w:tabs>
        <w:tab w:val="center" w:pos="4680"/>
        <w:tab w:val="right" w:pos="9360"/>
      </w:tabs>
      <w:spacing w:after="0" w:line="240" w:lineRule="auto"/>
      <w:jc w:val="left"/>
    </w:pPr>
    <w:rPr>
      <w:rFonts w:asciiTheme="minorHAnsi" w:hAnsiTheme="minorHAnsi"/>
      <w:kern w:val="0"/>
      <w:szCs w:val="24"/>
      <w:lang w:val="en-US"/>
      <w14:ligatures w14:val="none"/>
    </w:rPr>
  </w:style>
  <w:style w:type="character" w:customStyle="1" w:styleId="HeaderChar">
    <w:name w:val="Header Char"/>
    <w:basedOn w:val="DefaultParagraphFont"/>
    <w:link w:val="Header"/>
    <w:uiPriority w:val="99"/>
    <w:semiHidden/>
    <w:rsid w:val="00F00CEE"/>
  </w:style>
  <w:style w:type="paragraph" w:styleId="Footer">
    <w:name w:val="footer"/>
    <w:basedOn w:val="Normal"/>
    <w:link w:val="FooterChar"/>
    <w:uiPriority w:val="99"/>
    <w:semiHidden/>
    <w:rsid w:val="0006271E"/>
    <w:pPr>
      <w:tabs>
        <w:tab w:val="center" w:pos="4680"/>
        <w:tab w:val="right" w:pos="9360"/>
      </w:tabs>
      <w:spacing w:after="0" w:line="240" w:lineRule="auto"/>
      <w:jc w:val="right"/>
    </w:pPr>
    <w:rPr>
      <w:rFonts w:ascii="Rockwell" w:hAnsi="Rockwell"/>
      <w:color w:val="000000" w:themeColor="text1"/>
      <w:kern w:val="0"/>
      <w:sz w:val="20"/>
      <w:szCs w:val="24"/>
      <w:lang w:val="en-US"/>
      <w14:ligatures w14:val="none"/>
    </w:rPr>
  </w:style>
  <w:style w:type="character" w:customStyle="1" w:styleId="FooterChar">
    <w:name w:val="Footer Char"/>
    <w:basedOn w:val="DefaultParagraphFont"/>
    <w:link w:val="Footer"/>
    <w:uiPriority w:val="99"/>
    <w:semiHidden/>
    <w:rsid w:val="00F00CEE"/>
    <w:rPr>
      <w:rFonts w:ascii="Rockwell" w:hAnsi="Rockwell"/>
      <w:color w:val="000000" w:themeColor="text1"/>
      <w:sz w:val="20"/>
    </w:rPr>
  </w:style>
  <w:style w:type="character" w:styleId="PageNumber">
    <w:name w:val="page number"/>
    <w:basedOn w:val="DefaultParagraphFont"/>
    <w:uiPriority w:val="99"/>
    <w:semiHidden/>
    <w:rsid w:val="0006271E"/>
  </w:style>
  <w:style w:type="character" w:customStyle="1" w:styleId="Heading5Char">
    <w:name w:val="Heading 5 Char"/>
    <w:basedOn w:val="DefaultParagraphFont"/>
    <w:link w:val="Heading5"/>
    <w:uiPriority w:val="4"/>
    <w:rsid w:val="00A45BDD"/>
    <w:rPr>
      <w:rFonts w:eastAsiaTheme="majorEastAsia" w:cstheme="majorBidi"/>
      <w:b/>
      <w:i/>
      <w:color w:val="24344E" w:themeColor="accent1"/>
      <w:sz w:val="68"/>
    </w:rPr>
  </w:style>
  <w:style w:type="paragraph" w:styleId="Quote">
    <w:name w:val="Quote"/>
    <w:basedOn w:val="Normal"/>
    <w:next w:val="Normal"/>
    <w:link w:val="QuoteChar"/>
    <w:uiPriority w:val="6"/>
    <w:qFormat/>
    <w:rsid w:val="00F00CEE"/>
    <w:pPr>
      <w:spacing w:before="480" w:after="480" w:line="240" w:lineRule="auto"/>
      <w:ind w:left="1134" w:right="1134"/>
      <w:jc w:val="center"/>
    </w:pPr>
    <w:rPr>
      <w:rFonts w:asciiTheme="majorHAnsi" w:hAnsiTheme="majorHAnsi"/>
      <w:i/>
      <w:iCs/>
      <w:color w:val="24344E" w:themeColor="accent1"/>
      <w:kern w:val="0"/>
      <w:sz w:val="80"/>
      <w:szCs w:val="24"/>
      <w:lang w:val="en-US"/>
      <w14:ligatures w14:val="none"/>
    </w:rPr>
  </w:style>
  <w:style w:type="character" w:customStyle="1" w:styleId="QuoteChar">
    <w:name w:val="Quote Char"/>
    <w:basedOn w:val="DefaultParagraphFont"/>
    <w:link w:val="Quote"/>
    <w:uiPriority w:val="6"/>
    <w:rsid w:val="00F00CEE"/>
    <w:rPr>
      <w:rFonts w:asciiTheme="majorHAnsi" w:hAnsiTheme="majorHAnsi"/>
      <w:i/>
      <w:iCs/>
      <w:color w:val="24344E" w:themeColor="accent1"/>
      <w:sz w:val="80"/>
    </w:rPr>
  </w:style>
  <w:style w:type="character" w:styleId="PlaceholderText">
    <w:name w:val="Placeholder Text"/>
    <w:basedOn w:val="DefaultParagraphFont"/>
    <w:uiPriority w:val="99"/>
    <w:semiHidden/>
    <w:rsid w:val="00F00CEE"/>
    <w:rPr>
      <w:color w:val="808080"/>
    </w:rPr>
  </w:style>
  <w:style w:type="paragraph" w:styleId="Title">
    <w:name w:val="Title"/>
    <w:basedOn w:val="Normal"/>
    <w:next w:val="Normal"/>
    <w:link w:val="TitleChar"/>
    <w:uiPriority w:val="10"/>
    <w:qFormat/>
    <w:rsid w:val="00537DAC"/>
    <w:pPr>
      <w:spacing w:after="0" w:line="240" w:lineRule="auto"/>
      <w:jc w:val="center"/>
    </w:pPr>
    <w:rPr>
      <w:rFonts w:asciiTheme="majorHAnsi" w:eastAsiaTheme="majorEastAsia" w:hAnsiTheme="majorHAnsi" w:cstheme="majorBidi"/>
      <w:color w:val="24344E" w:themeColor="accent1"/>
      <w:kern w:val="0"/>
      <w:sz w:val="80"/>
      <w:szCs w:val="24"/>
      <w:lang w:val="en-US"/>
      <w14:ligatures w14:val="none"/>
    </w:rPr>
  </w:style>
  <w:style w:type="character" w:customStyle="1" w:styleId="TitleChar">
    <w:name w:val="Title Char"/>
    <w:basedOn w:val="DefaultParagraphFont"/>
    <w:link w:val="Title"/>
    <w:uiPriority w:val="10"/>
    <w:rsid w:val="00537DAC"/>
    <w:rPr>
      <w:rFonts w:asciiTheme="majorHAnsi" w:eastAsiaTheme="majorEastAsia" w:hAnsiTheme="majorHAnsi" w:cstheme="majorBidi"/>
      <w:color w:val="24344E" w:themeColor="accent1"/>
      <w:sz w:val="80"/>
    </w:rPr>
  </w:style>
  <w:style w:type="paragraph" w:customStyle="1" w:styleId="IntroductionText">
    <w:name w:val="Introduction Text"/>
    <w:basedOn w:val="Heading4"/>
    <w:uiPriority w:val="7"/>
    <w:qFormat/>
    <w:rsid w:val="00537DAC"/>
  </w:style>
  <w:style w:type="paragraph" w:styleId="Subtitle">
    <w:name w:val="Subtitle"/>
    <w:basedOn w:val="Normal"/>
    <w:next w:val="Normal"/>
    <w:link w:val="SubtitleChar"/>
    <w:uiPriority w:val="11"/>
    <w:qFormat/>
    <w:rsid w:val="00537DAC"/>
    <w:pPr>
      <w:spacing w:after="0" w:line="240" w:lineRule="auto"/>
      <w:jc w:val="left"/>
    </w:pPr>
    <w:rPr>
      <w:rFonts w:asciiTheme="minorHAnsi" w:hAnsiTheme="minorHAnsi"/>
      <w:i/>
      <w:kern w:val="0"/>
      <w:sz w:val="42"/>
      <w:szCs w:val="24"/>
      <w:lang w:val="en-US"/>
      <w14:ligatures w14:val="none"/>
    </w:rPr>
  </w:style>
  <w:style w:type="character" w:customStyle="1" w:styleId="SubtitleChar">
    <w:name w:val="Subtitle Char"/>
    <w:basedOn w:val="DefaultParagraphFont"/>
    <w:link w:val="Subtitle"/>
    <w:uiPriority w:val="11"/>
    <w:rsid w:val="00537DAC"/>
    <w:rPr>
      <w:i/>
      <w:sz w:val="42"/>
    </w:rPr>
  </w:style>
  <w:style w:type="paragraph" w:styleId="TOCHeading">
    <w:name w:val="TOC Heading"/>
    <w:basedOn w:val="Heading1"/>
    <w:next w:val="Normal"/>
    <w:uiPriority w:val="39"/>
    <w:unhideWhenUsed/>
    <w:qFormat/>
    <w:rsid w:val="009A56D6"/>
    <w:pPr>
      <w:spacing w:before="240" w:line="259" w:lineRule="auto"/>
      <w:outlineLvl w:val="9"/>
    </w:pPr>
    <w:rPr>
      <w:color w:val="1B263A" w:themeColor="accent1" w:themeShade="BF"/>
      <w:sz w:val="32"/>
      <w:szCs w:val="32"/>
    </w:rPr>
  </w:style>
  <w:style w:type="paragraph" w:styleId="TOC1">
    <w:name w:val="toc 1"/>
    <w:basedOn w:val="Normal"/>
    <w:next w:val="Normal"/>
    <w:autoRedefine/>
    <w:uiPriority w:val="39"/>
    <w:unhideWhenUsed/>
    <w:rsid w:val="009A56D6"/>
    <w:pPr>
      <w:spacing w:after="100"/>
    </w:pPr>
  </w:style>
  <w:style w:type="character" w:styleId="Hyperlink">
    <w:name w:val="Hyperlink"/>
    <w:basedOn w:val="DefaultParagraphFont"/>
    <w:uiPriority w:val="99"/>
    <w:unhideWhenUsed/>
    <w:rsid w:val="009A56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akonsix\AppData\Roaming\Microsoft\Templates\Classic%20student%20report.dotx" TargetMode="External"/></Relationships>
</file>

<file path=word/theme/theme1.xml><?xml version="1.0" encoding="utf-8"?>
<a:theme xmlns:a="http://schemas.openxmlformats.org/drawingml/2006/main" name="CSR">
  <a:themeElements>
    <a:clrScheme name="CSR">
      <a:dk1>
        <a:srgbClr val="000000"/>
      </a:dk1>
      <a:lt1>
        <a:srgbClr val="FFFFFF"/>
      </a:lt1>
      <a:dk2>
        <a:srgbClr val="5E5E5E"/>
      </a:dk2>
      <a:lt2>
        <a:srgbClr val="D6D5D5"/>
      </a:lt2>
      <a:accent1>
        <a:srgbClr val="24344E"/>
      </a:accent1>
      <a:accent2>
        <a:srgbClr val="DEECEC"/>
      </a:accent2>
      <a:accent3>
        <a:srgbClr val="EED0C6"/>
      </a:accent3>
      <a:accent4>
        <a:srgbClr val="EE6B69"/>
      </a:accent4>
      <a:accent5>
        <a:srgbClr val="E2A1A1"/>
      </a:accent5>
      <a:accent6>
        <a:srgbClr val="EFC5C5"/>
      </a:accent6>
      <a:hlink>
        <a:srgbClr val="0000FF"/>
      </a:hlink>
      <a:folHlink>
        <a:srgbClr val="FF00FF"/>
      </a:folHlink>
    </a:clrScheme>
    <a:fontScheme name="Rockwell - Georgia">
      <a:majorFont>
        <a:latin typeface="Rockwell"/>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DE96D119-E5AC-D14F-93E7-58C331D3EE59}" vid="{D914C8BE-7F8A-A14E-904C-51198F26D08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3E1B92-02B3-4FC3-8DE4-FAE462CE316F}">
  <ds:schemaRefs>
    <ds:schemaRef ds:uri="http://purl.org/dc/terms/"/>
    <ds:schemaRef ds:uri="http://schemas.microsoft.com/office/2006/documentManagement/types"/>
    <ds:schemaRef ds:uri="16c05727-aa75-4e4a-9b5f-8a80a1165891"/>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71af3243-3dd4-4a8d-8c0d-dd76da1f02a5"/>
    <ds:schemaRef ds:uri="http://www.w3.org/XML/1998/namespace"/>
  </ds:schemaRefs>
</ds:datastoreItem>
</file>

<file path=customXml/itemProps2.xml><?xml version="1.0" encoding="utf-8"?>
<ds:datastoreItem xmlns:ds="http://schemas.openxmlformats.org/officeDocument/2006/customXml" ds:itemID="{1E6E14A6-9BF9-4BA9-A90A-5D24EDD49C71}">
  <ds:schemaRefs>
    <ds:schemaRef ds:uri="http://schemas.microsoft.com/sharepoint/v3/contenttype/forms"/>
  </ds:schemaRefs>
</ds:datastoreItem>
</file>

<file path=customXml/itemProps3.xml><?xml version="1.0" encoding="utf-8"?>
<ds:datastoreItem xmlns:ds="http://schemas.openxmlformats.org/officeDocument/2006/customXml" ds:itemID="{CAC1FA21-0704-45B8-A2C2-B71E5CB0EF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Classic student report</Template>
  <TotalTime>0</TotalTime>
  <Pages>10</Pages>
  <Words>2954</Words>
  <Characters>16842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2023-11-15T12:06:00Z</dcterms:created>
  <dcterms:modified xsi:type="dcterms:W3CDTF">2023-11-15T12:24:00Z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