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2F0A7" w14:textId="1DDD4F3D" w:rsidR="00B66CDD" w:rsidRDefault="00B66CDD" w:rsidP="00B66CDD">
      <w:pPr>
        <w:jc w:val="center"/>
      </w:pPr>
      <w:r w:rsidRPr="00B66CDD">
        <w:rPr>
          <w:noProof/>
        </w:rPr>
        <w:drawing>
          <wp:inline distT="0" distB="0" distL="0" distR="0" wp14:anchorId="4E35A6CF" wp14:editId="7B4D3042">
            <wp:extent cx="2181529" cy="771633"/>
            <wp:effectExtent l="0" t="0" r="0" b="9525"/>
            <wp:docPr id="955294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94588" name=""/>
                    <pic:cNvPicPr/>
                  </pic:nvPicPr>
                  <pic:blipFill>
                    <a:blip r:embed="rId7"/>
                    <a:stretch>
                      <a:fillRect/>
                    </a:stretch>
                  </pic:blipFill>
                  <pic:spPr>
                    <a:xfrm>
                      <a:off x="0" y="0"/>
                      <a:ext cx="2181529" cy="771633"/>
                    </a:xfrm>
                    <a:prstGeom prst="rect">
                      <a:avLst/>
                    </a:prstGeom>
                  </pic:spPr>
                </pic:pic>
              </a:graphicData>
            </a:graphic>
          </wp:inline>
        </w:drawing>
      </w:r>
    </w:p>
    <w:p w14:paraId="5A95CF35" w14:textId="77777777" w:rsidR="00B66CDD" w:rsidRDefault="00B66CDD" w:rsidP="00B66CDD">
      <w:pPr>
        <w:pStyle w:val="Title"/>
      </w:pPr>
      <w:r>
        <w:t>Project Management</w:t>
      </w:r>
    </w:p>
    <w:p w14:paraId="403B0091" w14:textId="77777777" w:rsidR="00B66CDD" w:rsidRDefault="00B66CDD" w:rsidP="00B66CDD">
      <w:pPr>
        <w:pStyle w:val="Title"/>
      </w:pPr>
      <w:r>
        <w:t>LCBB6006</w:t>
      </w:r>
    </w:p>
    <w:p w14:paraId="71F71519" w14:textId="14B96C1D" w:rsidR="00B66CDD" w:rsidRDefault="00B66CDD" w:rsidP="00B66CDD">
      <w:pPr>
        <w:pStyle w:val="Title"/>
      </w:pPr>
      <w:r>
        <w:t>Component 2: Essay</w:t>
      </w:r>
    </w:p>
    <w:p w14:paraId="305D985E" w14:textId="77777777" w:rsidR="00385F2D" w:rsidRDefault="00385F2D">
      <w:pPr>
        <w:spacing w:line="259" w:lineRule="auto"/>
        <w:jc w:val="left"/>
      </w:pPr>
    </w:p>
    <w:p w14:paraId="6A3EB3B7" w14:textId="77777777" w:rsidR="00385F2D" w:rsidRDefault="00385F2D">
      <w:pPr>
        <w:spacing w:line="259" w:lineRule="auto"/>
        <w:jc w:val="left"/>
      </w:pPr>
    </w:p>
    <w:p w14:paraId="384054C7" w14:textId="77777777" w:rsidR="00385F2D" w:rsidRDefault="00385F2D">
      <w:pPr>
        <w:spacing w:line="259" w:lineRule="auto"/>
        <w:jc w:val="left"/>
      </w:pPr>
    </w:p>
    <w:p w14:paraId="21BAA6E2" w14:textId="77777777" w:rsidR="00385F2D" w:rsidRDefault="00385F2D">
      <w:pPr>
        <w:spacing w:line="259" w:lineRule="auto"/>
        <w:jc w:val="left"/>
      </w:pPr>
    </w:p>
    <w:p w14:paraId="0BE3C66F" w14:textId="77777777" w:rsidR="00385F2D" w:rsidRDefault="00385F2D">
      <w:pPr>
        <w:spacing w:line="259" w:lineRule="auto"/>
        <w:jc w:val="left"/>
      </w:pPr>
    </w:p>
    <w:p w14:paraId="094A9794" w14:textId="77777777" w:rsidR="00385F2D" w:rsidRDefault="00385F2D">
      <w:pPr>
        <w:spacing w:line="259" w:lineRule="auto"/>
        <w:jc w:val="left"/>
      </w:pPr>
    </w:p>
    <w:p w14:paraId="0DA5BDBE" w14:textId="77777777" w:rsidR="00385F2D" w:rsidRPr="00F45A66" w:rsidRDefault="00385F2D" w:rsidP="00385F2D">
      <w:pPr>
        <w:rPr>
          <w:rFonts w:ascii="Arial" w:hAnsi="Arial" w:cs="Arial"/>
          <w:b/>
          <w:bCs/>
          <w:sz w:val="32"/>
          <w:szCs w:val="32"/>
        </w:rPr>
      </w:pPr>
      <w:r w:rsidRPr="00F45A66">
        <w:rPr>
          <w:rFonts w:ascii="Arial" w:hAnsi="Arial" w:cs="Arial"/>
          <w:b/>
          <w:bCs/>
          <w:sz w:val="32"/>
          <w:szCs w:val="32"/>
        </w:rPr>
        <w:t>Student Name: Gabriel Chirosca</w:t>
      </w:r>
    </w:p>
    <w:p w14:paraId="2A6CE59C" w14:textId="77777777" w:rsidR="00385F2D" w:rsidRPr="00F45A66" w:rsidRDefault="00385F2D" w:rsidP="00385F2D">
      <w:pPr>
        <w:rPr>
          <w:rFonts w:ascii="Arial" w:hAnsi="Arial" w:cs="Arial"/>
          <w:b/>
          <w:bCs/>
          <w:sz w:val="32"/>
          <w:szCs w:val="32"/>
        </w:rPr>
      </w:pPr>
      <w:r w:rsidRPr="00F45A66">
        <w:rPr>
          <w:rFonts w:ascii="Arial" w:hAnsi="Arial" w:cs="Arial"/>
          <w:b/>
          <w:bCs/>
          <w:sz w:val="32"/>
          <w:szCs w:val="32"/>
        </w:rPr>
        <w:t>Student ID: 2244324</w:t>
      </w:r>
    </w:p>
    <w:p w14:paraId="2EB1655E" w14:textId="5D5193EB" w:rsidR="00385F2D" w:rsidRPr="00F45A66" w:rsidRDefault="00385F2D" w:rsidP="00385F2D">
      <w:pPr>
        <w:rPr>
          <w:rFonts w:ascii="Arial" w:hAnsi="Arial" w:cs="Arial"/>
          <w:b/>
          <w:bCs/>
          <w:sz w:val="32"/>
          <w:szCs w:val="32"/>
        </w:rPr>
      </w:pPr>
      <w:r w:rsidRPr="00F45A66">
        <w:rPr>
          <w:rFonts w:ascii="Arial" w:hAnsi="Arial" w:cs="Arial"/>
          <w:b/>
          <w:bCs/>
          <w:sz w:val="32"/>
          <w:szCs w:val="32"/>
        </w:rPr>
        <w:t xml:space="preserve">Lecturer: </w:t>
      </w:r>
      <w:r w:rsidRPr="00113440">
        <w:rPr>
          <w:rFonts w:ascii="Arial" w:hAnsi="Arial" w:cs="Arial"/>
          <w:b/>
          <w:bCs/>
          <w:sz w:val="32"/>
          <w:szCs w:val="32"/>
        </w:rPr>
        <w:t xml:space="preserve">Dr </w:t>
      </w:r>
      <w:r>
        <w:rPr>
          <w:rFonts w:ascii="Arial" w:hAnsi="Arial" w:cs="Arial"/>
          <w:b/>
          <w:bCs/>
          <w:sz w:val="32"/>
          <w:szCs w:val="32"/>
        </w:rPr>
        <w:t>Said Usman</w:t>
      </w:r>
    </w:p>
    <w:p w14:paraId="668A9CDD" w14:textId="13234F66" w:rsidR="00385F2D" w:rsidRPr="00F45A66" w:rsidRDefault="00385F2D" w:rsidP="00385F2D">
      <w:pPr>
        <w:rPr>
          <w:rFonts w:ascii="Arial" w:hAnsi="Arial" w:cs="Arial"/>
          <w:b/>
          <w:bCs/>
          <w:sz w:val="32"/>
          <w:szCs w:val="32"/>
        </w:rPr>
      </w:pPr>
      <w:r w:rsidRPr="00F45A66">
        <w:rPr>
          <w:rFonts w:ascii="Arial" w:hAnsi="Arial" w:cs="Arial"/>
          <w:b/>
          <w:bCs/>
          <w:sz w:val="32"/>
          <w:szCs w:val="32"/>
        </w:rPr>
        <w:t xml:space="preserve">Submission Date: </w:t>
      </w:r>
      <w:r>
        <w:rPr>
          <w:rFonts w:ascii="Arial" w:hAnsi="Arial" w:cs="Arial"/>
          <w:b/>
          <w:bCs/>
          <w:sz w:val="32"/>
          <w:szCs w:val="32"/>
        </w:rPr>
        <w:t>19</w:t>
      </w:r>
      <w:r w:rsidRPr="00F45A66">
        <w:rPr>
          <w:rFonts w:ascii="Arial" w:hAnsi="Arial" w:cs="Arial"/>
          <w:b/>
          <w:bCs/>
          <w:sz w:val="32"/>
          <w:szCs w:val="32"/>
        </w:rPr>
        <w:t>/</w:t>
      </w:r>
      <w:r>
        <w:rPr>
          <w:rFonts w:ascii="Arial" w:hAnsi="Arial" w:cs="Arial"/>
          <w:b/>
          <w:bCs/>
          <w:sz w:val="32"/>
          <w:szCs w:val="32"/>
        </w:rPr>
        <w:t>12</w:t>
      </w:r>
      <w:r w:rsidRPr="00F45A66">
        <w:rPr>
          <w:rFonts w:ascii="Arial" w:hAnsi="Arial" w:cs="Arial"/>
          <w:b/>
          <w:bCs/>
          <w:sz w:val="32"/>
          <w:szCs w:val="32"/>
        </w:rPr>
        <w:t>/2025</w:t>
      </w:r>
    </w:p>
    <w:p w14:paraId="6EB0C2B1" w14:textId="061621FF" w:rsidR="00385F2D" w:rsidRPr="00F45A66" w:rsidRDefault="00385F2D" w:rsidP="00385F2D">
      <w:pPr>
        <w:rPr>
          <w:rFonts w:ascii="Arial" w:hAnsi="Arial" w:cs="Arial"/>
          <w:b/>
          <w:bCs/>
          <w:sz w:val="32"/>
          <w:szCs w:val="32"/>
        </w:rPr>
      </w:pPr>
      <w:r w:rsidRPr="00F45A66">
        <w:rPr>
          <w:rFonts w:ascii="Arial" w:hAnsi="Arial" w:cs="Arial"/>
          <w:b/>
          <w:bCs/>
          <w:sz w:val="32"/>
          <w:szCs w:val="32"/>
        </w:rPr>
        <w:t xml:space="preserve">Word Count: </w:t>
      </w:r>
      <w:r>
        <w:rPr>
          <w:rFonts w:ascii="Arial" w:hAnsi="Arial" w:cs="Arial"/>
          <w:b/>
          <w:bCs/>
          <w:sz w:val="32"/>
          <w:szCs w:val="32"/>
        </w:rPr>
        <w:t>2093</w:t>
      </w:r>
      <w:r w:rsidRPr="00F45A66">
        <w:rPr>
          <w:rFonts w:ascii="Arial" w:hAnsi="Arial" w:cs="Arial"/>
          <w:b/>
          <w:bCs/>
          <w:sz w:val="32"/>
          <w:szCs w:val="32"/>
        </w:rPr>
        <w:t xml:space="preserve"> words</w:t>
      </w:r>
    </w:p>
    <w:p w14:paraId="344CF184" w14:textId="3C404958" w:rsidR="00B66CDD" w:rsidRDefault="00B66CDD">
      <w:pPr>
        <w:spacing w:line="259" w:lineRule="auto"/>
        <w:jc w:val="left"/>
      </w:pPr>
      <w:r>
        <w:br w:type="page"/>
      </w:r>
    </w:p>
    <w:sdt>
      <w:sdtPr>
        <w:rPr>
          <w:rFonts w:ascii="Times New Roman" w:eastAsiaTheme="minorHAnsi" w:hAnsi="Times New Roman" w:cstheme="minorBidi"/>
          <w:color w:val="auto"/>
          <w:sz w:val="24"/>
          <w:szCs w:val="22"/>
          <w:lang w:val="en-GB"/>
        </w:rPr>
        <w:id w:val="1040631667"/>
        <w:docPartObj>
          <w:docPartGallery w:val="Table of Contents"/>
          <w:docPartUnique/>
        </w:docPartObj>
      </w:sdtPr>
      <w:sdtEndPr>
        <w:rPr>
          <w:b/>
          <w:bCs/>
          <w:noProof/>
        </w:rPr>
      </w:sdtEndPr>
      <w:sdtContent>
        <w:p w14:paraId="51CE2A38" w14:textId="4CB6E1DB" w:rsidR="00B66CDD" w:rsidRDefault="00B66CDD">
          <w:pPr>
            <w:pStyle w:val="TOCHeading"/>
          </w:pPr>
          <w:r>
            <w:t>Table of Contents</w:t>
          </w:r>
        </w:p>
        <w:p w14:paraId="3EB1C12A" w14:textId="2073FFAC" w:rsidR="00B66CDD" w:rsidRDefault="00B66CDD">
          <w:pPr>
            <w:pStyle w:val="TOC1"/>
            <w:tabs>
              <w:tab w:val="right" w:leader="dot" w:pos="9350"/>
            </w:tabs>
            <w:rPr>
              <w:noProof/>
            </w:rPr>
          </w:pPr>
          <w:r>
            <w:fldChar w:fldCharType="begin"/>
          </w:r>
          <w:r>
            <w:instrText xml:space="preserve"> TOC \o "1-3" \h \z \u </w:instrText>
          </w:r>
          <w:r>
            <w:fldChar w:fldCharType="separate"/>
          </w:r>
          <w:hyperlink w:anchor="_Toc216116530" w:history="1">
            <w:r w:rsidRPr="006F5279">
              <w:rPr>
                <w:rStyle w:val="Hyperlink"/>
                <w:noProof/>
              </w:rPr>
              <w:t>Introduction</w:t>
            </w:r>
            <w:r>
              <w:rPr>
                <w:noProof/>
                <w:webHidden/>
              </w:rPr>
              <w:tab/>
            </w:r>
            <w:r>
              <w:rPr>
                <w:noProof/>
                <w:webHidden/>
              </w:rPr>
              <w:fldChar w:fldCharType="begin"/>
            </w:r>
            <w:r>
              <w:rPr>
                <w:noProof/>
                <w:webHidden/>
              </w:rPr>
              <w:instrText xml:space="preserve"> PAGEREF _Toc216116530 \h </w:instrText>
            </w:r>
            <w:r>
              <w:rPr>
                <w:noProof/>
                <w:webHidden/>
              </w:rPr>
            </w:r>
            <w:r>
              <w:rPr>
                <w:noProof/>
                <w:webHidden/>
              </w:rPr>
              <w:fldChar w:fldCharType="separate"/>
            </w:r>
            <w:r>
              <w:rPr>
                <w:noProof/>
                <w:webHidden/>
              </w:rPr>
              <w:t>3</w:t>
            </w:r>
            <w:r>
              <w:rPr>
                <w:noProof/>
                <w:webHidden/>
              </w:rPr>
              <w:fldChar w:fldCharType="end"/>
            </w:r>
          </w:hyperlink>
        </w:p>
        <w:p w14:paraId="444C2D6B" w14:textId="0FCDC024" w:rsidR="00B66CDD" w:rsidRDefault="00B66CDD">
          <w:pPr>
            <w:pStyle w:val="TOC1"/>
            <w:tabs>
              <w:tab w:val="right" w:leader="dot" w:pos="9350"/>
            </w:tabs>
            <w:rPr>
              <w:noProof/>
            </w:rPr>
          </w:pPr>
          <w:hyperlink w:anchor="_Toc216116531" w:history="1">
            <w:r w:rsidRPr="006F5279">
              <w:rPr>
                <w:rStyle w:val="Hyperlink"/>
                <w:noProof/>
              </w:rPr>
              <w:t>Contracting Methods in Project Management</w:t>
            </w:r>
            <w:r>
              <w:rPr>
                <w:noProof/>
                <w:webHidden/>
              </w:rPr>
              <w:tab/>
            </w:r>
            <w:r>
              <w:rPr>
                <w:noProof/>
                <w:webHidden/>
              </w:rPr>
              <w:fldChar w:fldCharType="begin"/>
            </w:r>
            <w:r>
              <w:rPr>
                <w:noProof/>
                <w:webHidden/>
              </w:rPr>
              <w:instrText xml:space="preserve"> PAGEREF _Toc216116531 \h </w:instrText>
            </w:r>
            <w:r>
              <w:rPr>
                <w:noProof/>
                <w:webHidden/>
              </w:rPr>
            </w:r>
            <w:r>
              <w:rPr>
                <w:noProof/>
                <w:webHidden/>
              </w:rPr>
              <w:fldChar w:fldCharType="separate"/>
            </w:r>
            <w:r>
              <w:rPr>
                <w:noProof/>
                <w:webHidden/>
              </w:rPr>
              <w:t>4</w:t>
            </w:r>
            <w:r>
              <w:rPr>
                <w:noProof/>
                <w:webHidden/>
              </w:rPr>
              <w:fldChar w:fldCharType="end"/>
            </w:r>
          </w:hyperlink>
        </w:p>
        <w:p w14:paraId="39772E73" w14:textId="33452695" w:rsidR="00B66CDD" w:rsidRDefault="00B66CDD">
          <w:pPr>
            <w:pStyle w:val="TOC2"/>
            <w:tabs>
              <w:tab w:val="right" w:leader="dot" w:pos="9350"/>
            </w:tabs>
            <w:rPr>
              <w:noProof/>
            </w:rPr>
          </w:pPr>
          <w:hyperlink w:anchor="_Toc216116532" w:history="1">
            <w:r w:rsidRPr="006F5279">
              <w:rPr>
                <w:rStyle w:val="Hyperlink"/>
                <w:noProof/>
              </w:rPr>
              <w:t>Turnkey Contracting</w:t>
            </w:r>
            <w:r>
              <w:rPr>
                <w:noProof/>
                <w:webHidden/>
              </w:rPr>
              <w:tab/>
            </w:r>
            <w:r>
              <w:rPr>
                <w:noProof/>
                <w:webHidden/>
              </w:rPr>
              <w:fldChar w:fldCharType="begin"/>
            </w:r>
            <w:r>
              <w:rPr>
                <w:noProof/>
                <w:webHidden/>
              </w:rPr>
              <w:instrText xml:space="preserve"> PAGEREF _Toc216116532 \h </w:instrText>
            </w:r>
            <w:r>
              <w:rPr>
                <w:noProof/>
                <w:webHidden/>
              </w:rPr>
            </w:r>
            <w:r>
              <w:rPr>
                <w:noProof/>
                <w:webHidden/>
              </w:rPr>
              <w:fldChar w:fldCharType="separate"/>
            </w:r>
            <w:r>
              <w:rPr>
                <w:noProof/>
                <w:webHidden/>
              </w:rPr>
              <w:t>4</w:t>
            </w:r>
            <w:r>
              <w:rPr>
                <w:noProof/>
                <w:webHidden/>
              </w:rPr>
              <w:fldChar w:fldCharType="end"/>
            </w:r>
          </w:hyperlink>
        </w:p>
        <w:p w14:paraId="2C3DBDAE" w14:textId="5559C949" w:rsidR="00B66CDD" w:rsidRDefault="00B66CDD">
          <w:pPr>
            <w:pStyle w:val="TOC2"/>
            <w:tabs>
              <w:tab w:val="right" w:leader="dot" w:pos="9350"/>
            </w:tabs>
            <w:rPr>
              <w:noProof/>
            </w:rPr>
          </w:pPr>
          <w:hyperlink w:anchor="_Toc216116533" w:history="1">
            <w:r w:rsidRPr="006F5279">
              <w:rPr>
                <w:rStyle w:val="Hyperlink"/>
                <w:noProof/>
              </w:rPr>
              <w:t>Multicontract Contracting</w:t>
            </w:r>
            <w:r>
              <w:rPr>
                <w:noProof/>
                <w:webHidden/>
              </w:rPr>
              <w:tab/>
            </w:r>
            <w:r>
              <w:rPr>
                <w:noProof/>
                <w:webHidden/>
              </w:rPr>
              <w:fldChar w:fldCharType="begin"/>
            </w:r>
            <w:r>
              <w:rPr>
                <w:noProof/>
                <w:webHidden/>
              </w:rPr>
              <w:instrText xml:space="preserve"> PAGEREF _Toc216116533 \h </w:instrText>
            </w:r>
            <w:r>
              <w:rPr>
                <w:noProof/>
                <w:webHidden/>
              </w:rPr>
            </w:r>
            <w:r>
              <w:rPr>
                <w:noProof/>
                <w:webHidden/>
              </w:rPr>
              <w:fldChar w:fldCharType="separate"/>
            </w:r>
            <w:r>
              <w:rPr>
                <w:noProof/>
                <w:webHidden/>
              </w:rPr>
              <w:t>5</w:t>
            </w:r>
            <w:r>
              <w:rPr>
                <w:noProof/>
                <w:webHidden/>
              </w:rPr>
              <w:fldChar w:fldCharType="end"/>
            </w:r>
          </w:hyperlink>
        </w:p>
        <w:p w14:paraId="57A29620" w14:textId="4098B755" w:rsidR="00B66CDD" w:rsidRDefault="00B66CDD">
          <w:pPr>
            <w:pStyle w:val="TOC2"/>
            <w:tabs>
              <w:tab w:val="right" w:leader="dot" w:pos="9350"/>
            </w:tabs>
            <w:rPr>
              <w:noProof/>
            </w:rPr>
          </w:pPr>
          <w:hyperlink w:anchor="_Toc216116534" w:history="1">
            <w:r w:rsidRPr="006F5279">
              <w:rPr>
                <w:rStyle w:val="Hyperlink"/>
                <w:noProof/>
              </w:rPr>
              <w:t>Do-It-Yourself (DIY) Contracting</w:t>
            </w:r>
            <w:r>
              <w:rPr>
                <w:noProof/>
                <w:webHidden/>
              </w:rPr>
              <w:tab/>
            </w:r>
            <w:r>
              <w:rPr>
                <w:noProof/>
                <w:webHidden/>
              </w:rPr>
              <w:fldChar w:fldCharType="begin"/>
            </w:r>
            <w:r>
              <w:rPr>
                <w:noProof/>
                <w:webHidden/>
              </w:rPr>
              <w:instrText xml:space="preserve"> PAGEREF _Toc216116534 \h </w:instrText>
            </w:r>
            <w:r>
              <w:rPr>
                <w:noProof/>
                <w:webHidden/>
              </w:rPr>
            </w:r>
            <w:r>
              <w:rPr>
                <w:noProof/>
                <w:webHidden/>
              </w:rPr>
              <w:fldChar w:fldCharType="separate"/>
            </w:r>
            <w:r>
              <w:rPr>
                <w:noProof/>
                <w:webHidden/>
              </w:rPr>
              <w:t>6</w:t>
            </w:r>
            <w:r>
              <w:rPr>
                <w:noProof/>
                <w:webHidden/>
              </w:rPr>
              <w:fldChar w:fldCharType="end"/>
            </w:r>
          </w:hyperlink>
        </w:p>
        <w:p w14:paraId="13662245" w14:textId="40390BD3" w:rsidR="00B66CDD" w:rsidRDefault="00B66CDD">
          <w:pPr>
            <w:pStyle w:val="TOC2"/>
            <w:tabs>
              <w:tab w:val="right" w:leader="dot" w:pos="9350"/>
            </w:tabs>
            <w:rPr>
              <w:noProof/>
            </w:rPr>
          </w:pPr>
          <w:hyperlink w:anchor="_Toc216116535" w:history="1">
            <w:r w:rsidRPr="006F5279">
              <w:rPr>
                <w:rStyle w:val="Hyperlink"/>
                <w:noProof/>
              </w:rPr>
              <w:t>Multicontract plus DIY Contracting</w:t>
            </w:r>
            <w:r>
              <w:rPr>
                <w:noProof/>
                <w:webHidden/>
              </w:rPr>
              <w:tab/>
            </w:r>
            <w:r>
              <w:rPr>
                <w:noProof/>
                <w:webHidden/>
              </w:rPr>
              <w:fldChar w:fldCharType="begin"/>
            </w:r>
            <w:r>
              <w:rPr>
                <w:noProof/>
                <w:webHidden/>
              </w:rPr>
              <w:instrText xml:space="preserve"> PAGEREF _Toc216116535 \h </w:instrText>
            </w:r>
            <w:r>
              <w:rPr>
                <w:noProof/>
                <w:webHidden/>
              </w:rPr>
            </w:r>
            <w:r>
              <w:rPr>
                <w:noProof/>
                <w:webHidden/>
              </w:rPr>
              <w:fldChar w:fldCharType="separate"/>
            </w:r>
            <w:r>
              <w:rPr>
                <w:noProof/>
                <w:webHidden/>
              </w:rPr>
              <w:t>8</w:t>
            </w:r>
            <w:r>
              <w:rPr>
                <w:noProof/>
                <w:webHidden/>
              </w:rPr>
              <w:fldChar w:fldCharType="end"/>
            </w:r>
          </w:hyperlink>
        </w:p>
        <w:p w14:paraId="503D5FF9" w14:textId="54811D1D" w:rsidR="00B66CDD" w:rsidRDefault="00B66CDD">
          <w:pPr>
            <w:pStyle w:val="TOC1"/>
            <w:tabs>
              <w:tab w:val="right" w:leader="dot" w:pos="9350"/>
            </w:tabs>
            <w:rPr>
              <w:noProof/>
            </w:rPr>
          </w:pPr>
          <w:hyperlink w:anchor="_Toc216116536" w:history="1">
            <w:r w:rsidRPr="006F5279">
              <w:rPr>
                <w:rStyle w:val="Hyperlink"/>
                <w:noProof/>
              </w:rPr>
              <w:t>Conclusion</w:t>
            </w:r>
            <w:r>
              <w:rPr>
                <w:noProof/>
                <w:webHidden/>
              </w:rPr>
              <w:tab/>
            </w:r>
            <w:r>
              <w:rPr>
                <w:noProof/>
                <w:webHidden/>
              </w:rPr>
              <w:fldChar w:fldCharType="begin"/>
            </w:r>
            <w:r>
              <w:rPr>
                <w:noProof/>
                <w:webHidden/>
              </w:rPr>
              <w:instrText xml:space="preserve"> PAGEREF _Toc216116536 \h </w:instrText>
            </w:r>
            <w:r>
              <w:rPr>
                <w:noProof/>
                <w:webHidden/>
              </w:rPr>
            </w:r>
            <w:r>
              <w:rPr>
                <w:noProof/>
                <w:webHidden/>
              </w:rPr>
              <w:fldChar w:fldCharType="separate"/>
            </w:r>
            <w:r>
              <w:rPr>
                <w:noProof/>
                <w:webHidden/>
              </w:rPr>
              <w:t>10</w:t>
            </w:r>
            <w:r>
              <w:rPr>
                <w:noProof/>
                <w:webHidden/>
              </w:rPr>
              <w:fldChar w:fldCharType="end"/>
            </w:r>
          </w:hyperlink>
        </w:p>
        <w:p w14:paraId="5D97A20E" w14:textId="4FF8FC3B" w:rsidR="00B66CDD" w:rsidRDefault="00B66CDD">
          <w:pPr>
            <w:pStyle w:val="TOC1"/>
            <w:tabs>
              <w:tab w:val="right" w:leader="dot" w:pos="9350"/>
            </w:tabs>
            <w:rPr>
              <w:noProof/>
            </w:rPr>
          </w:pPr>
          <w:hyperlink w:anchor="_Toc216116537" w:history="1">
            <w:r w:rsidRPr="006F5279">
              <w:rPr>
                <w:rStyle w:val="Hyperlink"/>
                <w:noProof/>
                <w:lang w:val="en-US"/>
              </w:rPr>
              <w:t>References</w:t>
            </w:r>
            <w:r>
              <w:rPr>
                <w:noProof/>
                <w:webHidden/>
              </w:rPr>
              <w:tab/>
            </w:r>
            <w:r>
              <w:rPr>
                <w:noProof/>
                <w:webHidden/>
              </w:rPr>
              <w:fldChar w:fldCharType="begin"/>
            </w:r>
            <w:r>
              <w:rPr>
                <w:noProof/>
                <w:webHidden/>
              </w:rPr>
              <w:instrText xml:space="preserve"> PAGEREF _Toc216116537 \h </w:instrText>
            </w:r>
            <w:r>
              <w:rPr>
                <w:noProof/>
                <w:webHidden/>
              </w:rPr>
            </w:r>
            <w:r>
              <w:rPr>
                <w:noProof/>
                <w:webHidden/>
              </w:rPr>
              <w:fldChar w:fldCharType="separate"/>
            </w:r>
            <w:r>
              <w:rPr>
                <w:noProof/>
                <w:webHidden/>
              </w:rPr>
              <w:t>11</w:t>
            </w:r>
            <w:r>
              <w:rPr>
                <w:noProof/>
                <w:webHidden/>
              </w:rPr>
              <w:fldChar w:fldCharType="end"/>
            </w:r>
          </w:hyperlink>
        </w:p>
        <w:p w14:paraId="6D368E57" w14:textId="1DF14A2A" w:rsidR="00B66CDD" w:rsidRDefault="00B66CDD">
          <w:r>
            <w:rPr>
              <w:b/>
              <w:bCs/>
              <w:noProof/>
            </w:rPr>
            <w:fldChar w:fldCharType="end"/>
          </w:r>
        </w:p>
      </w:sdtContent>
    </w:sdt>
    <w:p w14:paraId="777C1EDE" w14:textId="77777777" w:rsidR="00B66CDD" w:rsidRDefault="00B66CDD">
      <w:pPr>
        <w:spacing w:line="259" w:lineRule="auto"/>
        <w:jc w:val="left"/>
      </w:pPr>
      <w:r>
        <w:br w:type="page"/>
      </w:r>
    </w:p>
    <w:p w14:paraId="575B8E31" w14:textId="06DA159F" w:rsidR="00906486" w:rsidRPr="00B66CDD" w:rsidRDefault="00906486" w:rsidP="00B66CDD">
      <w:pPr>
        <w:pStyle w:val="Heading1"/>
      </w:pPr>
      <w:bookmarkStart w:id="0" w:name="_Toc216116530"/>
      <w:r w:rsidRPr="00B66CDD">
        <w:lastRenderedPageBreak/>
        <w:t>Introduction</w:t>
      </w:r>
      <w:bookmarkEnd w:id="0"/>
    </w:p>
    <w:p w14:paraId="0DDBA3AE" w14:textId="77777777" w:rsidR="00B66CDD" w:rsidRPr="00B66CDD" w:rsidRDefault="00B66CDD" w:rsidP="00B66CDD">
      <w:r w:rsidRPr="00B66CDD">
        <w:t>Project management constitutes processes that are organised to make resources coordinate towards the accomplishment of specified objectives in controlled conditions (Tinnirello, 2021). In project management, contracts exist that introduce binding criterion that has a set of responsibilities, performance expectations as well as mechanisms of risk allocation. Good contracting also helps in facilitated communication, alignment of operations, and accountability in complex development activities. Development of residential housing also involves the need to have robust contractual frameworks since many disciplines are involved during the design and building processes (Portny, 2020). The decision of contracting determines the cost certainty, schedule reliability, regulatory compliance and general project risk exposure.</w:t>
      </w:r>
    </w:p>
    <w:p w14:paraId="33037CF2" w14:textId="3E22FA64" w:rsidR="00B66CDD" w:rsidRDefault="00B66CDD" w:rsidP="00B66CDD">
      <w:r w:rsidRPr="00B66CDD">
        <w:t>This essay reviews four identified contracting methodologies that are used in project management. They are turnkey contracting, multicontract contracting, do-it-yourself contracting and hybrid multicontract plus DIY arrangements. The methods are all considered with regard to their aptitude in the residential housing development according to their complexity, ability, and the risk allocation requirements. The introduction has been used to outline the reasons why external contracting is beneficial in specialisation of tasks, quality assurance, and financial planning in the current housing projects.</w:t>
      </w:r>
    </w:p>
    <w:p w14:paraId="697C0129" w14:textId="77777777" w:rsidR="00B66CDD" w:rsidRDefault="00B66CDD" w:rsidP="00B66CDD"/>
    <w:p w14:paraId="6169E6A1" w14:textId="77777777" w:rsidR="00B66CDD" w:rsidRDefault="00B66CDD" w:rsidP="00B66CDD"/>
    <w:p w14:paraId="3DC24035" w14:textId="77777777" w:rsidR="00B66CDD" w:rsidRDefault="00B66CDD" w:rsidP="00B66CDD"/>
    <w:p w14:paraId="2F4AC078" w14:textId="77777777" w:rsidR="00B66CDD" w:rsidRDefault="00B66CDD" w:rsidP="00B66CDD"/>
    <w:p w14:paraId="17EFD110" w14:textId="77777777" w:rsidR="00B66CDD" w:rsidRDefault="00B66CDD" w:rsidP="00B66CDD"/>
    <w:p w14:paraId="7699E2C4" w14:textId="77777777" w:rsidR="00B66CDD" w:rsidRDefault="00B66CDD" w:rsidP="00B66CDD"/>
    <w:p w14:paraId="19B51A39" w14:textId="77777777" w:rsidR="00B66CDD" w:rsidRDefault="00B66CDD" w:rsidP="00B66CDD"/>
    <w:p w14:paraId="621AEFFA" w14:textId="77777777" w:rsidR="00B66CDD" w:rsidRDefault="00B66CDD" w:rsidP="00B66CDD"/>
    <w:p w14:paraId="32C58F73" w14:textId="77777777" w:rsidR="00B66CDD" w:rsidRDefault="00B66CDD" w:rsidP="00B66CDD"/>
    <w:p w14:paraId="54760BDB" w14:textId="77777777" w:rsidR="00B66CDD" w:rsidRPr="00B66CDD" w:rsidRDefault="00B66CDD" w:rsidP="00B66CDD"/>
    <w:p w14:paraId="49234C51" w14:textId="36CE78DF" w:rsidR="00906486" w:rsidRPr="00B66CDD" w:rsidRDefault="00906486" w:rsidP="00B66CDD">
      <w:pPr>
        <w:pStyle w:val="Heading1"/>
      </w:pPr>
      <w:bookmarkStart w:id="1" w:name="_Toc216116531"/>
      <w:r w:rsidRPr="00B66CDD">
        <w:lastRenderedPageBreak/>
        <w:t>Contracting Methods in Project Management</w:t>
      </w:r>
      <w:bookmarkEnd w:id="1"/>
    </w:p>
    <w:p w14:paraId="6A33A5ED" w14:textId="59523726" w:rsidR="00906486" w:rsidRPr="00B66CDD" w:rsidRDefault="00906486" w:rsidP="00B66CDD">
      <w:pPr>
        <w:pStyle w:val="Heading2"/>
      </w:pPr>
      <w:bookmarkStart w:id="2" w:name="_Toc216116532"/>
      <w:r w:rsidRPr="00B66CDD">
        <w:t>Turnkey Contracting</w:t>
      </w:r>
      <w:bookmarkEnd w:id="2"/>
      <w:r w:rsidRPr="00B66CDD">
        <w:t xml:space="preserve"> </w:t>
      </w:r>
    </w:p>
    <w:p w14:paraId="609D75CD" w14:textId="77777777" w:rsidR="00B66CDD" w:rsidRDefault="00B66CDD" w:rsidP="00B66CDD">
      <w:r w:rsidRPr="00B66CDD">
        <w:t>Turnkey contracting involves leaving all the design and construction to an external contractor (Donati, Copiello and Bonifacci, 2024). In a single contract, the architectural design, engineering specifications, material procurement and construction phases are handled by the contractor. Turnkey arrangements are advantageous in residential housing developments when the developers want easier channels of communication, and one point responsibility. The certainty of the budget is generally high as a turnkey contract is commonly carried out based on a fixed price system which is pre-established (Merrow, 2022). The risk transfer is high as the contractor will be in charge of the quality of the design, performance in the construction, and the completion of the schedule.</w:t>
      </w:r>
    </w:p>
    <w:p w14:paraId="42CCA518" w14:textId="514CC3B6" w:rsidR="00B66CDD" w:rsidRDefault="00B66CDD" w:rsidP="00B66CDD">
      <w:pPr>
        <w:jc w:val="center"/>
      </w:pPr>
      <w:r>
        <w:rPr>
          <w:noProof/>
        </w:rPr>
        <w:drawing>
          <wp:inline distT="0" distB="0" distL="0" distR="0" wp14:anchorId="166CF6C6" wp14:editId="28FB28F3">
            <wp:extent cx="5562600" cy="2533650"/>
            <wp:effectExtent l="0" t="0" r="0" b="0"/>
            <wp:docPr id="580718955" name="Picture 1" descr="What is Turnkey contract? Meaning, definition and usages | Business No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urnkey contract? Meaning, definition and usages | Business Novice"/>
                    <pic:cNvPicPr>
                      <a:picLocks noChangeAspect="1" noChangeArrowheads="1"/>
                    </pic:cNvPicPr>
                  </pic:nvPicPr>
                  <pic:blipFill rotWithShape="1">
                    <a:blip r:embed="rId8">
                      <a:extLst>
                        <a:ext uri="{28A0092B-C50C-407E-A947-70E740481C1C}">
                          <a14:useLocalDpi xmlns:a14="http://schemas.microsoft.com/office/drawing/2010/main" val="0"/>
                        </a:ext>
                      </a:extLst>
                    </a:blip>
                    <a:srcRect l="3525" t="4167" r="2885" b="10577"/>
                    <a:stretch>
                      <a:fillRect/>
                    </a:stretch>
                  </pic:blipFill>
                  <pic:spPr bwMode="auto">
                    <a:xfrm>
                      <a:off x="0" y="0"/>
                      <a:ext cx="5562600" cy="2533650"/>
                    </a:xfrm>
                    <a:prstGeom prst="rect">
                      <a:avLst/>
                    </a:prstGeom>
                    <a:noFill/>
                    <a:ln>
                      <a:noFill/>
                    </a:ln>
                    <a:extLst>
                      <a:ext uri="{53640926-AAD7-44D8-BBD7-CCE9431645EC}">
                        <a14:shadowObscured xmlns:a14="http://schemas.microsoft.com/office/drawing/2010/main"/>
                      </a:ext>
                    </a:extLst>
                  </pic:spPr>
                </pic:pic>
              </a:graphicData>
            </a:graphic>
          </wp:inline>
        </w:drawing>
      </w:r>
    </w:p>
    <w:p w14:paraId="3C8A5AED" w14:textId="51B52559" w:rsidR="00B66CDD" w:rsidRDefault="00B66CDD" w:rsidP="00B66CDD">
      <w:pPr>
        <w:jc w:val="center"/>
      </w:pPr>
      <w:r>
        <w:t xml:space="preserve">Figure 1: </w:t>
      </w:r>
      <w:r w:rsidRPr="00B66CDD">
        <w:t>Turnkey contracting</w:t>
      </w:r>
    </w:p>
    <w:p w14:paraId="54B7ECDD" w14:textId="36D448E6" w:rsidR="00B66CDD" w:rsidRPr="00B66CDD" w:rsidRDefault="00B66CDD" w:rsidP="00B66CDD">
      <w:pPr>
        <w:jc w:val="center"/>
      </w:pPr>
      <w:r>
        <w:t xml:space="preserve">Source: </w:t>
      </w:r>
      <w:r w:rsidRPr="00B66CDD">
        <w:t>(Donati, Copiello and Bonifacci, 2024)</w:t>
      </w:r>
    </w:p>
    <w:p w14:paraId="13BD2599" w14:textId="77777777" w:rsidR="00B66CDD" w:rsidRPr="00B66CDD" w:rsidRDefault="00B66CDD" w:rsidP="00B66CDD">
      <w:r w:rsidRPr="00B66CDD">
        <w:t xml:space="preserve">Turnkey contracting minimises coordination pressure amongst the developers who might be lacking the technical expertise. This process facilitates the same degree of integration between the design and building processes since a single entity is in charge of both processes. Combined tasks decrease the conflicts between designs and construction, which facilitates the workflow in the housing development processes (Choi et al., 2021). Turnkey delivery is efficient when it comes to repetitive housing units that need standardised layout, material and architectural designs. This </w:t>
      </w:r>
      <w:r w:rsidRPr="00B66CDD">
        <w:lastRenderedPageBreak/>
        <w:t>standardisation enhances predictability and it is therefore convenient to use a turnkey arrangement when there is a need of uniformity in a large residential estate.</w:t>
      </w:r>
    </w:p>
    <w:p w14:paraId="5A58162D" w14:textId="77777777" w:rsidR="00B66CDD" w:rsidRPr="00B66CDD" w:rsidRDefault="00B66CDD" w:rsidP="00B66CDD">
      <w:r w:rsidRPr="00B66CDD">
        <w:t>Turnkey contracting however, also has its shortcomings in residential housing development. Limited work on the developer side restricts the possibility of modifying the design characteristics according to market changing expectations (Ding et al., 2024). Contractual rigidity denies the ability to change layouts, materials or sustainability features after the job has started. The developers also can be challenged due to the focus on efficiency by the turnkey contractors, which may not meet the preferences of buyers, who may request a custom design (Al-Saady and Rezouki, 2022). Also, reliance on a single contractor presents weaknesses in case of reduction in performance or the establishment of shortage of resources. Less visibility on the choice of subcontractor might compromise quality assurance in specialised housing elements.</w:t>
      </w:r>
    </w:p>
    <w:p w14:paraId="71CD93E7" w14:textId="0057B403" w:rsidR="00B66CDD" w:rsidRPr="00B66CDD" w:rsidRDefault="00B66CDD" w:rsidP="00B66CDD">
      <w:r w:rsidRPr="00B66CDD">
        <w:t>The turnkey contracting is appropriate to large developers who favour predictability in the delivery date and have little interaction in the technical processes. Smaller developers who need their design flexibility to be more hands-on might, however, find turnkey arrangements limiting (Arenas et al., 2021). Suitability is thus based on organisational capabilities, the level of desired control and complexity of the project in the residential housing setting.</w:t>
      </w:r>
    </w:p>
    <w:p w14:paraId="086B19FE" w14:textId="3FA18DA3" w:rsidR="00906486" w:rsidRPr="00B66CDD" w:rsidRDefault="00906486" w:rsidP="00B66CDD">
      <w:pPr>
        <w:pStyle w:val="Heading2"/>
      </w:pPr>
      <w:bookmarkStart w:id="3" w:name="_Toc216116533"/>
      <w:r w:rsidRPr="00B66CDD">
        <w:t>Multicontract Contracting</w:t>
      </w:r>
      <w:bookmarkEnd w:id="3"/>
      <w:r w:rsidRPr="00B66CDD">
        <w:t xml:space="preserve"> </w:t>
      </w:r>
    </w:p>
    <w:p w14:paraId="7ADB1476" w14:textId="37AD9DAF" w:rsidR="00B66CDD" w:rsidRPr="00B66CDD" w:rsidRDefault="00B66CDD" w:rsidP="00B66CDD">
      <w:r w:rsidRPr="00B66CDD">
        <w:t xml:space="preserve">Multicontract contracting separates the </w:t>
      </w:r>
      <w:r w:rsidR="001B0BF2" w:rsidRPr="00B66CDD">
        <w:t>working</w:t>
      </w:r>
      <w:r w:rsidRPr="00B66CDD">
        <w:t xml:space="preserve"> of a project into a number of separate work packages operated under the direct control of the developer. Individual contracts can be given to design of the architecture, structural engineering, foundation installation, electrical installation, plumbing work, and finishing (Abdelrahman et al., 2024). Multicontract arrangements are often applied in residential housing developments since specialised contractors bring with them advanced skills in every stage. Individual package competitive tendering can minimise the cost of the project by making specific price bargains.</w:t>
      </w:r>
    </w:p>
    <w:p w14:paraId="41ACE43C" w14:textId="77777777" w:rsidR="00B66CDD" w:rsidRPr="00B66CDD" w:rsidRDefault="00B66CDD" w:rsidP="00B66CDD">
      <w:r w:rsidRPr="00B66CDD">
        <w:t xml:space="preserve">Multicontract designs provide designers greater control of decisions and construction scheduling. Direct contractor control allows the solution of flexible changes where the market requirements change in residential development (Qian et al., 2023). Close monitoring enables improvements in the areas of sustainability, aesthetics or internal layouts without renegotiating an overall contract. </w:t>
      </w:r>
      <w:r w:rsidRPr="00B66CDD">
        <w:lastRenderedPageBreak/>
        <w:t>Multi contracts thus present high flexibility, which is advantageous to developers that develop residential projects of high value that need special features.</w:t>
      </w:r>
    </w:p>
    <w:p w14:paraId="20BCA4E5" w14:textId="323CD6C3" w:rsidR="00B66CDD" w:rsidRPr="00B66CDD" w:rsidRDefault="00B66CDD" w:rsidP="00B66CDD">
      <w:r w:rsidRPr="00B66CDD">
        <w:t>Even with the advantages, multicontract contracting brings with it high levels of coordination complexity. The developers are forced to deal with numerous contractors at a given time and therefore have to be very strict with their time schedules, communication and interface management. Poor coordination among the contractors in residential housing developments can lead to delays due to the conflict between sequential activities and preparatory work (Tinnirello, 2021). Lack of an effective communication between structural, electrical, and plumbing contractors might result in rework, resulting in higher costs and long timelines. Multicontract environments demand a high-quality project management to achieve uniform quality of work packages.</w:t>
      </w:r>
    </w:p>
    <w:p w14:paraId="42F47A76" w14:textId="000EA988" w:rsidR="00B66CDD" w:rsidRPr="00B66CDD" w:rsidRDefault="00B66CDD" w:rsidP="00B66CDD">
      <w:r w:rsidRPr="00B66CDD">
        <w:t>Conflicts can also arise when there is lack of clarity in the duties of the contractors. The developers should ensure that there is extensive documentation to reduce conflict over errors, delays, or cost overruns (Qian et al., 2023). More administrative work might be a burden to organisations which do not have well-established internal teams in their management. Multicontract arrangements can also add too much complexity to the effectiveness of small housing developers. However, multicontract contracting is still beneficial when developers have high oversight capability as well as those who want to be customised in residential projects.</w:t>
      </w:r>
    </w:p>
    <w:p w14:paraId="5F4CD2B8" w14:textId="5278BB89" w:rsidR="00906486" w:rsidRPr="00B66CDD" w:rsidRDefault="00906486" w:rsidP="00B66CDD">
      <w:pPr>
        <w:pStyle w:val="Heading2"/>
      </w:pPr>
      <w:bookmarkStart w:id="4" w:name="_Toc216116534"/>
      <w:r w:rsidRPr="00B66CDD">
        <w:t>Do-It-Yourself (DIY) Contracting</w:t>
      </w:r>
      <w:bookmarkEnd w:id="4"/>
      <w:r w:rsidRPr="00B66CDD">
        <w:t xml:space="preserve"> </w:t>
      </w:r>
    </w:p>
    <w:p w14:paraId="271ABA3A" w14:textId="77777777" w:rsidR="00B66CDD" w:rsidRPr="00B66CDD" w:rsidRDefault="00B66CDD" w:rsidP="00B66CDD">
      <w:r w:rsidRPr="00B66CDD">
        <w:t>The do-it-yourself approach is a project approach by which the developer undertakes significant project tasks without a significant dependence on external contractors. The planning, procurement, construction, and supervision are controlled by internal teams with the help of in-house labour and resources (Tapp, 2024). Development of residential housing can employ DIY contracting on small-scale housing renovations, small extensions, or community-based housing development. DIY strategies offer great control due to the fact that internal decision-making is a control that determines the direction of the project.</w:t>
      </w:r>
    </w:p>
    <w:p w14:paraId="476709E1" w14:textId="77777777" w:rsidR="00B66CDD" w:rsidRDefault="00B66CDD" w:rsidP="00B66CDD">
      <w:r w:rsidRPr="00B66CDD">
        <w:t xml:space="preserve">The economies of cost are a plus since they eliminate the expenses of external contractors in the business portfolio. In-house labour facilitators might reduce operating expenses and still have direct control over material acquisitions (Bercher et al., 2021). DIY contracting provides quick </w:t>
      </w:r>
      <w:r w:rsidRPr="00B66CDD">
        <w:lastRenderedPageBreak/>
        <w:t>adjustment of decisions as internal teams are able to make instant changes when constructing buildings. This is flexible to support small-scale residential projects that have changing design preferences.</w:t>
      </w:r>
    </w:p>
    <w:p w14:paraId="16B233D9" w14:textId="5C7A9FAC" w:rsidR="00B66CDD" w:rsidRDefault="00B66CDD" w:rsidP="00B66CDD">
      <w:pPr>
        <w:jc w:val="center"/>
      </w:pPr>
      <w:r>
        <w:rPr>
          <w:noProof/>
        </w:rPr>
        <w:drawing>
          <wp:inline distT="0" distB="0" distL="0" distR="0" wp14:anchorId="174E0362" wp14:editId="03F9350F">
            <wp:extent cx="4591050" cy="2495550"/>
            <wp:effectExtent l="0" t="0" r="0" b="0"/>
            <wp:docPr id="1678574223" name="Picture 2" descr="Should You Hire a Pro or DIY? | Dumpst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ould You Hire a Pro or DIY? | Dumpsters.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91050" cy="2495550"/>
                    </a:xfrm>
                    <a:prstGeom prst="rect">
                      <a:avLst/>
                    </a:prstGeom>
                    <a:noFill/>
                    <a:ln>
                      <a:noFill/>
                    </a:ln>
                  </pic:spPr>
                </pic:pic>
              </a:graphicData>
            </a:graphic>
          </wp:inline>
        </w:drawing>
      </w:r>
    </w:p>
    <w:p w14:paraId="2758EA3E" w14:textId="3A3AAD00" w:rsidR="00B66CDD" w:rsidRDefault="00B66CDD" w:rsidP="00B66CDD">
      <w:pPr>
        <w:jc w:val="center"/>
      </w:pPr>
      <w:r>
        <w:t xml:space="preserve">Figure 2: DIY </w:t>
      </w:r>
    </w:p>
    <w:p w14:paraId="70521C62" w14:textId="51FAE78B" w:rsidR="00B66CDD" w:rsidRPr="00B66CDD" w:rsidRDefault="00B66CDD" w:rsidP="00B66CDD">
      <w:pPr>
        <w:jc w:val="center"/>
      </w:pPr>
      <w:r>
        <w:t xml:space="preserve">Source: </w:t>
      </w:r>
      <w:r w:rsidRPr="00B66CDD">
        <w:t>(Tapp, 2024)</w:t>
      </w:r>
    </w:p>
    <w:p w14:paraId="56F2C92A" w14:textId="3E2EF832" w:rsidR="00B66CDD" w:rsidRPr="00B66CDD" w:rsidRDefault="00B66CDD" w:rsidP="00B66CDD">
      <w:r w:rsidRPr="00B66CDD">
        <w:t>Nonetheless, DIY contracting is a serious constraint to large residential developments. Structural engineering, safety compliance and service installations demand a lot of technical expertise (Portny, 2020). Poor experience can result in flaws in construction, accidents or breach of regulations. Small teams cannot have the specialised equipment needed in large-scale housing foundations or multi-unit developments. Understood labour capacity can also prolong the timelines which will lower the profitability.</w:t>
      </w:r>
    </w:p>
    <w:p w14:paraId="14AE69FE" w14:textId="3B1C3496" w:rsidR="00B66CDD" w:rsidRPr="00B66CDD" w:rsidRDefault="00B66CDD" w:rsidP="00B66CDD">
      <w:r w:rsidRPr="00B66CDD">
        <w:t>DIY contracting exposes the company to more risks than the external contractors do. Internal teams not secured by protective contractual arrangements are directly influenced by material shortages, design mistakes, and schedule slipups (Merrow, 2022). When the project at hand is a complex residential housing, DIY delivery is not feasible because of the strict regulations and measures that are required to be followed regarding structural integrity, fire safety and electrical installation. Therefore, DIY contracting is appropriate to small residential projects as opposed to big projects that need sophisticated professional skills.</w:t>
      </w:r>
    </w:p>
    <w:p w14:paraId="5A878CB1" w14:textId="7ED883C4" w:rsidR="00906486" w:rsidRPr="00B66CDD" w:rsidRDefault="00906486" w:rsidP="00B66CDD">
      <w:pPr>
        <w:pStyle w:val="Heading2"/>
      </w:pPr>
      <w:bookmarkStart w:id="5" w:name="_Toc216116535"/>
      <w:r w:rsidRPr="00B66CDD">
        <w:lastRenderedPageBreak/>
        <w:t>Multicontract plus DIY Contracting</w:t>
      </w:r>
      <w:bookmarkEnd w:id="5"/>
      <w:r w:rsidRPr="00B66CDD">
        <w:t xml:space="preserve"> </w:t>
      </w:r>
    </w:p>
    <w:p w14:paraId="47D7A0BA" w14:textId="77777777" w:rsidR="00B66CDD" w:rsidRPr="00B66CDD" w:rsidRDefault="00B66CDD" w:rsidP="00B66CDD">
      <w:r w:rsidRPr="00B66CDD">
        <w:t>The hybrid multicontract plus DIY model is based on the combination of external and internal contracting and the execution of the activities of interest. The developers can delegate structural engineering, plumbing, or electric jobs when finishing the project, landscaping, or procurement, but do it internally (Donati, Copiello and Bonifacci, 2024). This combination strategy offers control, as the central teams take control of the major tasks, but outside specialists are also hired to offer the services of specialists. The development of residential houses is one of the areas where hybrid models are most common since some activities cannot be certified or require high technical skills that are not possessed within the organisation.</w:t>
      </w:r>
    </w:p>
    <w:p w14:paraId="363DCEEC" w14:textId="56EDC3DD" w:rsidR="00B66CDD" w:rsidRPr="00B66CDD" w:rsidRDefault="00B66CDD" w:rsidP="00B66CDD">
      <w:r w:rsidRPr="00B66CDD">
        <w:t>The use of hybrid contracting will enable cost reduction, as it will reduce the amount of external contractor engagements to a minimum. The developers have direct control over the aesthetics like flooring, paint finishes, interior fixtures, and landscaping features (Ding et al., 2024). The strategy expands the customisation ability, particularly in mid-scale residential projects demanding special interior designs. Knowledge transfer is also enhanced by the hybrid models since external specialists teach internal teams in the process of collaborative activities.</w:t>
      </w:r>
    </w:p>
    <w:p w14:paraId="7C37F4EB" w14:textId="77777777" w:rsidR="00B66CDD" w:rsidRPr="00B66CDD" w:rsidRDefault="00B66CDD" w:rsidP="00B66CDD">
      <w:r w:rsidRPr="00B66CDD">
        <w:t>Nevertheless, hybrid contracting brings about the issues of responsibility lines between internal and external contributors. Consistency of miscommunication can take place when internal teams rely on the external contractors to be able to carry out the preparatory work (Choi et al., 2021). Conflicts can be encountered in the areas where internal and external activities interact because of quality problems. The coordination is necessary since the internal teams will have to coordinate their schedules with specialised contractors that have set availability windows.</w:t>
      </w:r>
    </w:p>
    <w:p w14:paraId="09BBDCA0" w14:textId="77777777" w:rsidR="00B66CDD" w:rsidRPr="00B66CDD" w:rsidRDefault="00B66CDD" w:rsidP="00B66CDD">
      <w:r w:rsidRPr="00B66CDD">
        <w:t>Internal labour is also shared with the contracted services making it hard to estimate cost since financial forecasting is hard. Hybrid contracting involves a solid planning and supervisory skill set since developers will be involved in the execution processes as well as oversee the contractor (Bercher et al., 2021). In spite of such difficulties, residential housing developments that require customisation in terms of construction work, though not entirely outsourcing the construction work, will be well served by hybrid approaches.</w:t>
      </w:r>
    </w:p>
    <w:p w14:paraId="070BA658" w14:textId="77777777" w:rsidR="00B66CDD" w:rsidRPr="00B66CDD" w:rsidRDefault="00B66CDD" w:rsidP="00B66CDD">
      <w:r w:rsidRPr="00B66CDD">
        <w:t xml:space="preserve">The development projects of residential housing constructions demand contracting approaches that are moderate in terms of risk exposures, financial security, technical capacity, and design </w:t>
      </w:r>
      <w:r w:rsidRPr="00B66CDD">
        <w:lastRenderedPageBreak/>
        <w:t>flexibility. Turnkey contracting offers good risk transfer since the responsibility is given to a single contractor, which will assist to predictable delivery of massive standardised housing estates (Arenas et al., 2021). In multicontract contracting the risk is divided among multiple specialised contractors, enriching coordination requirements and interface contracting. DIY contracting is an in-house concentration of risk, thus not appropriate in the complicated or highly regulated residential development. The hybrid contracting introduces mutual risk sharing whereby it would be necessary to plan effectively in order to regulate the scope of work by both internal and external professionals (Al-Saady and Rezouki, 2022). There is also variation in cost efficiency since turnkey arrangement helps in stabilising costs due to its fixed-price formations, and multicontract approach helps in promoting competitive cost in specialised work packages.</w:t>
      </w:r>
    </w:p>
    <w:p w14:paraId="73F95E7A" w14:textId="6B52374A" w:rsidR="00B66CDD" w:rsidRDefault="00B66CDD" w:rsidP="00B66CDD">
      <w:r w:rsidRPr="00B66CDD">
        <w:t>Technical capabilities and flexibility needs play a crucial role in determining suitability as far as the residential development setting is concerned. Turnkey contracting facilitates the use of developers who do not possess high levels of internal expertise, whereas multicontract contracting is applied to organisations that have high levels of oversight capacity (Abdelrahman et al., 2024). DIY methods are only applicable in small residential projects that do not have a high degree of technicality. The advantages of hybrid contracting apply to the middle-sized developments that require some customisation but retain the selective in-house presence (Tapp, 2024). Flexibility is another distinguishing factor in these approaches since the turnkey contracts limit the design changes whereas, multicontract offers specially tailored changes in construction. Residential housing projects that need custom plans or high-quality internal options, frequently depend on multicontract or hybrid models in order to gain the required design responsiveness.</w:t>
      </w:r>
    </w:p>
    <w:p w14:paraId="029F878F" w14:textId="77777777" w:rsidR="00B66CDD" w:rsidRDefault="00B66CDD" w:rsidP="00B66CDD"/>
    <w:p w14:paraId="14021E0C" w14:textId="77777777" w:rsidR="00B66CDD" w:rsidRDefault="00B66CDD" w:rsidP="00B66CDD"/>
    <w:p w14:paraId="3D17E00E" w14:textId="77777777" w:rsidR="00B66CDD" w:rsidRDefault="00B66CDD" w:rsidP="00B66CDD"/>
    <w:p w14:paraId="5DAF3688" w14:textId="77777777" w:rsidR="00B66CDD" w:rsidRDefault="00B66CDD" w:rsidP="00B66CDD"/>
    <w:p w14:paraId="17BEDE8C" w14:textId="77777777" w:rsidR="00B66CDD" w:rsidRDefault="00B66CDD" w:rsidP="00B66CDD"/>
    <w:p w14:paraId="25B5C6E2" w14:textId="77777777" w:rsidR="00B66CDD" w:rsidRDefault="00B66CDD" w:rsidP="00B66CDD"/>
    <w:p w14:paraId="70DE3B61" w14:textId="77777777" w:rsidR="00B66CDD" w:rsidRPr="00B66CDD" w:rsidRDefault="00B66CDD" w:rsidP="00B66CDD"/>
    <w:p w14:paraId="0137D796" w14:textId="44FF2A33" w:rsidR="00906486" w:rsidRPr="00B66CDD" w:rsidRDefault="00906486" w:rsidP="00B66CDD">
      <w:pPr>
        <w:pStyle w:val="Heading1"/>
      </w:pPr>
      <w:bookmarkStart w:id="6" w:name="_Toc216116536"/>
      <w:r w:rsidRPr="00B66CDD">
        <w:lastRenderedPageBreak/>
        <w:t>Conclusion</w:t>
      </w:r>
      <w:bookmarkEnd w:id="6"/>
    </w:p>
    <w:p w14:paraId="31D62149" w14:textId="598777D2" w:rsidR="00B66CDD" w:rsidRDefault="00B66CDD" w:rsidP="00B66CDD">
      <w:r w:rsidRPr="00B66CDD">
        <w:t>Contracting techniques play a very important role in successful delivery of residential housing development projects. Turnkey contracting offers complete delivery, high predictability on costs, and high-risk transfer, so it can be applicable to large standardised housing estates. Multicontract contracting is more flexible and has competitive prices but more difficult to coordinate, which necessitates high abilities of oversight. The DIY contracting contributes to complete internal control and possible cost savings at the cost of significant risks and ability demands unsuitable to complex developments. The hybrid multicontract plus DIY models combine external expertise with internal participation and offering flexibility and customisation, but demanding specific coordination and planning. The choice of the contracting method should be based on the size of the project, the organisational capacity, the flexibility needed, technical requirements as well as the risk level. The residential housing development projects would thus gain advantages of strategic analysis of contracting strategies to provide efficient, safe and cost-effective results.</w:t>
      </w:r>
    </w:p>
    <w:p w14:paraId="153837A5" w14:textId="77777777" w:rsidR="00B66CDD" w:rsidRDefault="00B66CDD" w:rsidP="00B66CDD"/>
    <w:p w14:paraId="3817A8C0" w14:textId="77777777" w:rsidR="00B66CDD" w:rsidRDefault="00B66CDD" w:rsidP="00B66CDD"/>
    <w:p w14:paraId="014BD3F6" w14:textId="77777777" w:rsidR="00B66CDD" w:rsidRDefault="00B66CDD" w:rsidP="00B66CDD"/>
    <w:p w14:paraId="4417A88E" w14:textId="77777777" w:rsidR="00B66CDD" w:rsidRDefault="00B66CDD" w:rsidP="00B66CDD"/>
    <w:p w14:paraId="4DD02316" w14:textId="77777777" w:rsidR="00B66CDD" w:rsidRDefault="00B66CDD" w:rsidP="00B66CDD"/>
    <w:p w14:paraId="36DE7120" w14:textId="77777777" w:rsidR="00B66CDD" w:rsidRDefault="00B66CDD" w:rsidP="00B66CDD"/>
    <w:p w14:paraId="2CC2E946" w14:textId="77777777" w:rsidR="00B66CDD" w:rsidRDefault="00B66CDD" w:rsidP="00B66CDD"/>
    <w:p w14:paraId="49872BE3" w14:textId="77777777" w:rsidR="00B66CDD" w:rsidRDefault="00B66CDD" w:rsidP="00B66CDD"/>
    <w:p w14:paraId="0C31FCA8" w14:textId="77777777" w:rsidR="00B66CDD" w:rsidRDefault="00B66CDD" w:rsidP="00B66CDD"/>
    <w:p w14:paraId="15CC64A2" w14:textId="77777777" w:rsidR="00B66CDD" w:rsidRDefault="00B66CDD" w:rsidP="00B66CDD"/>
    <w:p w14:paraId="168220B4" w14:textId="77777777" w:rsidR="00B66CDD" w:rsidRDefault="00B66CDD" w:rsidP="00B66CDD"/>
    <w:p w14:paraId="7CC4D178" w14:textId="77777777" w:rsidR="00B66CDD" w:rsidRDefault="00B66CDD" w:rsidP="00B66CDD"/>
    <w:p w14:paraId="40CEBF84" w14:textId="77777777" w:rsidR="00B66CDD" w:rsidRDefault="00B66CDD" w:rsidP="00B66CDD"/>
    <w:p w14:paraId="202B2E10" w14:textId="6F7C11CE" w:rsidR="00B66CDD" w:rsidRPr="00B66CDD" w:rsidRDefault="00B66CDD" w:rsidP="00B66CDD">
      <w:pPr>
        <w:pStyle w:val="Heading1"/>
        <w:rPr>
          <w:lang w:val="en-US"/>
        </w:rPr>
      </w:pPr>
      <w:bookmarkStart w:id="7" w:name="_Toc216116537"/>
      <w:r w:rsidRPr="00B66CDD">
        <w:rPr>
          <w:lang w:val="en-US"/>
        </w:rPr>
        <w:lastRenderedPageBreak/>
        <w:t>Reference</w:t>
      </w:r>
      <w:r>
        <w:rPr>
          <w:lang w:val="en-US"/>
        </w:rPr>
        <w:t>s</w:t>
      </w:r>
      <w:bookmarkEnd w:id="7"/>
    </w:p>
    <w:p w14:paraId="3392DC8D" w14:textId="77777777" w:rsidR="00B66CDD" w:rsidRPr="00B66CDD" w:rsidRDefault="00B66CDD" w:rsidP="00B66CDD">
      <w:pPr>
        <w:rPr>
          <w:lang w:val="en-US"/>
        </w:rPr>
      </w:pPr>
      <w:r w:rsidRPr="00B66CDD">
        <w:rPr>
          <w:lang w:val="en-US"/>
        </w:rPr>
        <w:t xml:space="preserve">Abdelrahman, B., Quadri, S., Khallaf, R. and Abdelfatah, A. (2024). Optimization of Multi-Contract Assignment to Contractors in Real Estate Projects. </w:t>
      </w:r>
      <w:r w:rsidRPr="00B66CDD">
        <w:rPr>
          <w:i/>
          <w:iCs/>
          <w:lang w:val="en-US"/>
        </w:rPr>
        <w:t>2024 IEEE International Conference on Technology Management, Operations and Decisions (ICTMOD)</w:t>
      </w:r>
      <w:r w:rsidRPr="00B66CDD">
        <w:rPr>
          <w:lang w:val="en-US"/>
        </w:rPr>
        <w:t>, [online] pp.1–5. doi:https://doi.org/10.1109/ictmod63116.2024.10959130.</w:t>
      </w:r>
    </w:p>
    <w:p w14:paraId="2423E4AA" w14:textId="77777777" w:rsidR="00B66CDD" w:rsidRPr="00B66CDD" w:rsidRDefault="00B66CDD" w:rsidP="00B66CDD">
      <w:pPr>
        <w:rPr>
          <w:lang w:val="en-US"/>
        </w:rPr>
      </w:pPr>
      <w:r w:rsidRPr="00B66CDD">
        <w:rPr>
          <w:lang w:val="en-US"/>
        </w:rPr>
        <w:t xml:space="preserve">Al-Saady, A.M. and Rezouki, S.E. (2022). Conceptual Framework Design to Select Optimal Project Delivery System and Contract Strategy. </w:t>
      </w:r>
      <w:r w:rsidRPr="00B66CDD">
        <w:rPr>
          <w:i/>
          <w:iCs/>
          <w:lang w:val="en-US"/>
        </w:rPr>
        <w:t>International Journal of Sustainable Development and Planning</w:t>
      </w:r>
      <w:r w:rsidRPr="00B66CDD">
        <w:rPr>
          <w:lang w:val="en-US"/>
        </w:rPr>
        <w:t>, 17(3), pp.991–999. doi:https://doi.org/10.18280/ijsdp.170330.</w:t>
      </w:r>
    </w:p>
    <w:p w14:paraId="100826A0" w14:textId="77777777" w:rsidR="00B66CDD" w:rsidRPr="00B66CDD" w:rsidRDefault="00B66CDD" w:rsidP="00B66CDD">
      <w:pPr>
        <w:rPr>
          <w:lang w:val="en-US"/>
        </w:rPr>
      </w:pPr>
      <w:r w:rsidRPr="00B66CDD">
        <w:rPr>
          <w:lang w:val="en-US"/>
        </w:rPr>
        <w:t xml:space="preserve">Arenas, R., Spairani-Berrio, S., Spairani-Berrio, Y. and Marmolejo-Duarte, C. (2021). One-Stop-Shops for Energy Renovation of Dwellings in Europe—Approach to the Factors That Determine Success and Future Lines of Action. </w:t>
      </w:r>
      <w:r w:rsidRPr="00B66CDD">
        <w:rPr>
          <w:i/>
          <w:iCs/>
          <w:lang w:val="en-US"/>
        </w:rPr>
        <w:t>Sustainability</w:t>
      </w:r>
      <w:r w:rsidRPr="00B66CDD">
        <w:rPr>
          <w:lang w:val="en-US"/>
        </w:rPr>
        <w:t>, 13(22), p.12729. doi:https://doi.org/10.3390/su132212729.</w:t>
      </w:r>
    </w:p>
    <w:p w14:paraId="23BE8BF0" w14:textId="77777777" w:rsidR="00B66CDD" w:rsidRPr="00B66CDD" w:rsidRDefault="00B66CDD" w:rsidP="00B66CDD">
      <w:pPr>
        <w:rPr>
          <w:lang w:val="en-US"/>
        </w:rPr>
      </w:pPr>
      <w:r w:rsidRPr="00B66CDD">
        <w:rPr>
          <w:lang w:val="en-US"/>
        </w:rPr>
        <w:t xml:space="preserve">Bercher, P., Behnke, G., Kraus, M., Schiller, M., Manstetten, D., Dambier, M., Dorna, M., Minker, W., Glimm, B. and Biundo, S. (2021). Do It Yourself, but Not Alone: Companion-Technology for Home Improvement—Bringing a Planning-Based Interactive DIY Assistant to Life. </w:t>
      </w:r>
      <w:r w:rsidRPr="00B66CDD">
        <w:rPr>
          <w:i/>
          <w:iCs/>
          <w:lang w:val="en-US"/>
        </w:rPr>
        <w:t>KI - Künstliche Intelligenz</w:t>
      </w:r>
      <w:r w:rsidRPr="00B66CDD">
        <w:rPr>
          <w:lang w:val="en-US"/>
        </w:rPr>
        <w:t>. doi:https://doi.org/10.1007/s13218-021-00721-x.</w:t>
      </w:r>
    </w:p>
    <w:p w14:paraId="600B386C" w14:textId="77777777" w:rsidR="00B66CDD" w:rsidRPr="00B66CDD" w:rsidRDefault="00B66CDD" w:rsidP="00B66CDD">
      <w:pPr>
        <w:rPr>
          <w:lang w:val="en-US"/>
        </w:rPr>
      </w:pPr>
      <w:r w:rsidRPr="00B66CDD">
        <w:rPr>
          <w:lang w:val="en-US"/>
        </w:rPr>
        <w:t xml:space="preserve">Choi, K., Yin, Y., Goehl, D. and Jeong, H.D. (2021). Alternative Contracting Methods: Modeling and Assessing the Effects of Contract Type on Time-Cost-Change Performance. </w:t>
      </w:r>
      <w:r w:rsidRPr="00B66CDD">
        <w:rPr>
          <w:i/>
          <w:iCs/>
          <w:lang w:val="en-US"/>
        </w:rPr>
        <w:t>Journal of Management in Engineering</w:t>
      </w:r>
      <w:r w:rsidRPr="00B66CDD">
        <w:rPr>
          <w:lang w:val="en-US"/>
        </w:rPr>
        <w:t>, 37(1), p.04020096. doi:https://doi.org/10.1061/(asce)me.1943-5479.0000863.</w:t>
      </w:r>
    </w:p>
    <w:p w14:paraId="298076F4" w14:textId="77777777" w:rsidR="00B66CDD" w:rsidRPr="00B66CDD" w:rsidRDefault="00B66CDD" w:rsidP="00B66CDD">
      <w:pPr>
        <w:rPr>
          <w:lang w:val="en-US"/>
        </w:rPr>
      </w:pPr>
      <w:r w:rsidRPr="00B66CDD">
        <w:rPr>
          <w:lang w:val="en-US"/>
        </w:rPr>
        <w:t xml:space="preserve">Ding, J., Liu, T., Li, Y., Miao, X., Yang, Z., Li, C., Dong, Z., Jiang, L., Wang, L., Cheng, R., Bao, B., Lin, Q. and Zhu, L. (2024). Locking Alignment of Liquid Crystal Actuators Using Hydrogen Bonds to Enable Room‐Temperature Shape Programmability and Enhanced Work Capacity. </w:t>
      </w:r>
      <w:r w:rsidRPr="00B66CDD">
        <w:rPr>
          <w:i/>
          <w:iCs/>
          <w:lang w:val="en-US"/>
        </w:rPr>
        <w:t>Advanced Functional Materials</w:t>
      </w:r>
      <w:r w:rsidRPr="00B66CDD">
        <w:rPr>
          <w:lang w:val="en-US"/>
        </w:rPr>
        <w:t>, 35(5). doi:https://doi.org/10.1002/adfm.202414510.</w:t>
      </w:r>
    </w:p>
    <w:p w14:paraId="406041D0" w14:textId="77777777" w:rsidR="00B66CDD" w:rsidRPr="00B66CDD" w:rsidRDefault="00B66CDD" w:rsidP="00B66CDD">
      <w:pPr>
        <w:rPr>
          <w:lang w:val="en-US"/>
        </w:rPr>
      </w:pPr>
      <w:r w:rsidRPr="00B66CDD">
        <w:rPr>
          <w:lang w:val="en-US"/>
        </w:rPr>
        <w:t xml:space="preserve">Donati, E., Copiello, S. and Bonifaci, P. (2024). Applications and Economic Profiles of the Turnkey Contract Business Model. </w:t>
      </w:r>
      <w:r w:rsidRPr="00B66CDD">
        <w:rPr>
          <w:i/>
          <w:iCs/>
          <w:lang w:val="en-US"/>
        </w:rPr>
        <w:t>Lecture notes in computer science</w:t>
      </w:r>
      <w:r w:rsidRPr="00B66CDD">
        <w:rPr>
          <w:lang w:val="en-US"/>
        </w:rPr>
        <w:t>, pp.143–161. doi:https://doi.org/10.1007/978-3-031-65273-8_10.</w:t>
      </w:r>
    </w:p>
    <w:p w14:paraId="47C993DE" w14:textId="77777777" w:rsidR="00B66CDD" w:rsidRPr="00B66CDD" w:rsidRDefault="00B66CDD" w:rsidP="00B66CDD">
      <w:pPr>
        <w:rPr>
          <w:lang w:val="en-US"/>
        </w:rPr>
      </w:pPr>
      <w:r w:rsidRPr="00B66CDD">
        <w:rPr>
          <w:lang w:val="en-US"/>
        </w:rPr>
        <w:lastRenderedPageBreak/>
        <w:t xml:space="preserve">Merrow, E.W. (2022). </w:t>
      </w:r>
      <w:r w:rsidRPr="00B66CDD">
        <w:rPr>
          <w:i/>
          <w:iCs/>
          <w:lang w:val="en-US"/>
        </w:rPr>
        <w:t>Contract strategies for major projects: Mastering the most difficult element of project management</w:t>
      </w:r>
      <w:r w:rsidRPr="00B66CDD">
        <w:rPr>
          <w:lang w:val="en-US"/>
        </w:rPr>
        <w:t>. John Wiley &amp; Sons.</w:t>
      </w:r>
    </w:p>
    <w:p w14:paraId="1B3A742E" w14:textId="77777777" w:rsidR="00B66CDD" w:rsidRPr="00B66CDD" w:rsidRDefault="00B66CDD" w:rsidP="00B66CDD">
      <w:pPr>
        <w:rPr>
          <w:lang w:val="en-US"/>
        </w:rPr>
      </w:pPr>
      <w:r w:rsidRPr="00B66CDD">
        <w:rPr>
          <w:lang w:val="en-US"/>
        </w:rPr>
        <w:t xml:space="preserve">Portny, S. (2020). </w:t>
      </w:r>
      <w:r w:rsidRPr="00B66CDD">
        <w:rPr>
          <w:i/>
          <w:iCs/>
          <w:lang w:val="en-US"/>
        </w:rPr>
        <w:t xml:space="preserve">Project Management </w:t>
      </w:r>
      <w:r w:rsidRPr="00B66CDD">
        <w:rPr>
          <w:lang w:val="en-US"/>
        </w:rPr>
        <w:t>. 5th ed. Hoboken, Nj: John Wiley &amp; Sons, Inc.</w:t>
      </w:r>
    </w:p>
    <w:p w14:paraId="2C87DBF5" w14:textId="77777777" w:rsidR="00B66CDD" w:rsidRPr="00B66CDD" w:rsidRDefault="00B66CDD" w:rsidP="00B66CDD">
      <w:pPr>
        <w:rPr>
          <w:lang w:val="en-US"/>
        </w:rPr>
      </w:pPr>
      <w:r w:rsidRPr="00B66CDD">
        <w:rPr>
          <w:lang w:val="en-US"/>
        </w:rPr>
        <w:t xml:space="preserve">Qian, Y., Yu, X., Chen, X. and Song, M. (2023). A model and simulation study of developers’ multicontract incentives for contractors’ green technology innovation decisions considering marketing efforts and innovation capability. </w:t>
      </w:r>
      <w:r w:rsidRPr="00B66CDD">
        <w:rPr>
          <w:i/>
          <w:iCs/>
          <w:lang w:val="en-US"/>
        </w:rPr>
        <w:t>Energy &amp; Environment</w:t>
      </w:r>
      <w:r w:rsidRPr="00B66CDD">
        <w:rPr>
          <w:lang w:val="en-US"/>
        </w:rPr>
        <w:t>. doi:https://doi.org/10.1177/0958305x231205022.</w:t>
      </w:r>
    </w:p>
    <w:p w14:paraId="730E1846" w14:textId="77777777" w:rsidR="00B66CDD" w:rsidRPr="00B66CDD" w:rsidRDefault="00B66CDD" w:rsidP="00B66CDD">
      <w:pPr>
        <w:rPr>
          <w:lang w:val="en-US"/>
        </w:rPr>
      </w:pPr>
      <w:r w:rsidRPr="00B66CDD">
        <w:rPr>
          <w:lang w:val="en-US"/>
        </w:rPr>
        <w:t xml:space="preserve">Tapp, R. (2024). DIY Housing Studies. </w:t>
      </w:r>
      <w:r w:rsidRPr="00B66CDD">
        <w:rPr>
          <w:i/>
          <w:iCs/>
          <w:lang w:val="en-US"/>
        </w:rPr>
        <w:t>Housing, Theory and Society</w:t>
      </w:r>
      <w:r w:rsidRPr="00B66CDD">
        <w:rPr>
          <w:lang w:val="en-US"/>
        </w:rPr>
        <w:t>, 41(1), pp.32–36. doi:https://doi.org/10.1080/14036096.2023.2292566.</w:t>
      </w:r>
    </w:p>
    <w:p w14:paraId="7EC62033" w14:textId="77777777" w:rsidR="00B66CDD" w:rsidRPr="00B66CDD" w:rsidRDefault="00B66CDD" w:rsidP="00B66CDD">
      <w:pPr>
        <w:rPr>
          <w:lang w:val="en-US"/>
        </w:rPr>
      </w:pPr>
      <w:r w:rsidRPr="00B66CDD">
        <w:rPr>
          <w:lang w:val="en-US"/>
        </w:rPr>
        <w:t xml:space="preserve">Tinnirello, P. (2021). </w:t>
      </w:r>
      <w:r w:rsidRPr="00B66CDD">
        <w:rPr>
          <w:i/>
          <w:iCs/>
          <w:lang w:val="en-US"/>
        </w:rPr>
        <w:t>Project management</w:t>
      </w:r>
      <w:r w:rsidRPr="00B66CDD">
        <w:rPr>
          <w:lang w:val="en-US"/>
        </w:rPr>
        <w:t>. 1st ed. Boca Raton: Auerbach.</w:t>
      </w:r>
    </w:p>
    <w:p w14:paraId="515FF2A7" w14:textId="77777777" w:rsidR="00B66CDD" w:rsidRPr="00B66CDD" w:rsidRDefault="00B66CDD" w:rsidP="00B66CDD"/>
    <w:p w14:paraId="51B3220A" w14:textId="77777777" w:rsidR="00B66CDD" w:rsidRPr="00B66CDD" w:rsidRDefault="00B66CDD" w:rsidP="001B6480"/>
    <w:sectPr w:rsidR="00B66CDD" w:rsidRPr="00B66CD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BB52F" w14:textId="77777777" w:rsidR="003B255B" w:rsidRDefault="003B255B" w:rsidP="00B66CDD">
      <w:pPr>
        <w:spacing w:after="0" w:line="240" w:lineRule="auto"/>
      </w:pPr>
      <w:r>
        <w:separator/>
      </w:r>
    </w:p>
  </w:endnote>
  <w:endnote w:type="continuationSeparator" w:id="0">
    <w:p w14:paraId="65E0B1BE" w14:textId="77777777" w:rsidR="003B255B" w:rsidRDefault="003B255B" w:rsidP="00B66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1315738"/>
      <w:docPartObj>
        <w:docPartGallery w:val="Page Numbers (Bottom of Page)"/>
        <w:docPartUnique/>
      </w:docPartObj>
    </w:sdtPr>
    <w:sdtEndPr>
      <w:rPr>
        <w:noProof/>
      </w:rPr>
    </w:sdtEndPr>
    <w:sdtContent>
      <w:p w14:paraId="42808E65" w14:textId="2E84910D" w:rsidR="00B66CDD" w:rsidRDefault="00B66C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92A86C" w14:textId="77777777" w:rsidR="00B66CDD" w:rsidRDefault="00B66C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C5C1A" w14:textId="77777777" w:rsidR="003B255B" w:rsidRDefault="003B255B" w:rsidP="00B66CDD">
      <w:pPr>
        <w:spacing w:after="0" w:line="240" w:lineRule="auto"/>
      </w:pPr>
      <w:r>
        <w:separator/>
      </w:r>
    </w:p>
  </w:footnote>
  <w:footnote w:type="continuationSeparator" w:id="0">
    <w:p w14:paraId="764EE6EF" w14:textId="77777777" w:rsidR="003B255B" w:rsidRDefault="003B255B" w:rsidP="00B66C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AF9"/>
    <w:rsid w:val="001B0BF2"/>
    <w:rsid w:val="001B6480"/>
    <w:rsid w:val="002D620C"/>
    <w:rsid w:val="00382F46"/>
    <w:rsid w:val="00385F2D"/>
    <w:rsid w:val="003B255B"/>
    <w:rsid w:val="00513FEC"/>
    <w:rsid w:val="00565AF9"/>
    <w:rsid w:val="00642E00"/>
    <w:rsid w:val="006C10B7"/>
    <w:rsid w:val="006F32CE"/>
    <w:rsid w:val="0071302C"/>
    <w:rsid w:val="00716B30"/>
    <w:rsid w:val="007F303D"/>
    <w:rsid w:val="00906486"/>
    <w:rsid w:val="009F257B"/>
    <w:rsid w:val="00A42436"/>
    <w:rsid w:val="00AF23BD"/>
    <w:rsid w:val="00B1713E"/>
    <w:rsid w:val="00B647B6"/>
    <w:rsid w:val="00B66CDD"/>
    <w:rsid w:val="00B96C4E"/>
    <w:rsid w:val="00C11125"/>
    <w:rsid w:val="00EC40E2"/>
    <w:rsid w:val="00F40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BCC034"/>
  <w15:chartTrackingRefBased/>
  <w15:docId w15:val="{00375251-2F93-4ACD-89CC-F382944C2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F4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82F4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F32C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B647B6"/>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F46"/>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7F303D"/>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7F303D"/>
    <w:rPr>
      <w:rFonts w:ascii="Times New Roman" w:eastAsiaTheme="majorEastAsia" w:hAnsi="Times New Roman" w:cstheme="majorBidi"/>
      <w:b/>
      <w:spacing w:val="-10"/>
      <w:kern w:val="28"/>
      <w:sz w:val="40"/>
      <w:szCs w:val="56"/>
      <w:lang w:val="en-GB"/>
    </w:rPr>
  </w:style>
  <w:style w:type="character" w:customStyle="1" w:styleId="Heading2Char">
    <w:name w:val="Heading 2 Char"/>
    <w:basedOn w:val="DefaultParagraphFont"/>
    <w:link w:val="Heading2"/>
    <w:uiPriority w:val="9"/>
    <w:rsid w:val="006F32CE"/>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semiHidden/>
    <w:rsid w:val="00B647B6"/>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B66C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6CDD"/>
    <w:rPr>
      <w:rFonts w:ascii="Times New Roman" w:hAnsi="Times New Roman"/>
      <w:sz w:val="24"/>
      <w:lang w:val="en-GB"/>
    </w:rPr>
  </w:style>
  <w:style w:type="paragraph" w:styleId="Footer">
    <w:name w:val="footer"/>
    <w:basedOn w:val="Normal"/>
    <w:link w:val="FooterChar"/>
    <w:uiPriority w:val="99"/>
    <w:unhideWhenUsed/>
    <w:rsid w:val="00B66C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6CDD"/>
    <w:rPr>
      <w:rFonts w:ascii="Times New Roman" w:hAnsi="Times New Roman"/>
      <w:sz w:val="24"/>
      <w:lang w:val="en-GB"/>
    </w:rPr>
  </w:style>
  <w:style w:type="paragraph" w:styleId="TOCHeading">
    <w:name w:val="TOC Heading"/>
    <w:basedOn w:val="Heading1"/>
    <w:next w:val="Normal"/>
    <w:uiPriority w:val="39"/>
    <w:unhideWhenUsed/>
    <w:qFormat/>
    <w:rsid w:val="00B66CDD"/>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66CDD"/>
    <w:pPr>
      <w:spacing w:after="100"/>
    </w:pPr>
  </w:style>
  <w:style w:type="paragraph" w:styleId="TOC2">
    <w:name w:val="toc 2"/>
    <w:basedOn w:val="Normal"/>
    <w:next w:val="Normal"/>
    <w:autoRedefine/>
    <w:uiPriority w:val="39"/>
    <w:unhideWhenUsed/>
    <w:rsid w:val="00B66CDD"/>
    <w:pPr>
      <w:spacing w:after="100"/>
      <w:ind w:left="240"/>
    </w:pPr>
  </w:style>
  <w:style w:type="character" w:styleId="Hyperlink">
    <w:name w:val="Hyperlink"/>
    <w:basedOn w:val="DefaultParagraphFont"/>
    <w:uiPriority w:val="99"/>
    <w:unhideWhenUsed/>
    <w:rsid w:val="00B66C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B6850-E5E2-40B9-B261-0357780C11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2494</Words>
  <Characters>16441</Characters>
  <Application>Microsoft Office Word</Application>
  <DocSecurity>0</DocSecurity>
  <Lines>137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 chirosca</cp:lastModifiedBy>
  <cp:revision>2</cp:revision>
  <dcterms:created xsi:type="dcterms:W3CDTF">2025-12-17T15:47:00Z</dcterms:created>
  <dcterms:modified xsi:type="dcterms:W3CDTF">2025-12-17T15:47:00Z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30699ae6-8589-4bfb-bfde-76da4adcf730</vt:lpwstr>
  </property>
</Properties>
</file>