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32EC73" w14:textId="77777777" w:rsidR="00322B10" w:rsidRPr="00ED1049" w:rsidRDefault="00322B10" w:rsidP="00322B10">
      <w:pPr>
        <w:ind w:left="426"/>
        <w:rPr>
          <w:rFonts w:ascii="Arial" w:hAnsi="Arial" w:cs="Arial"/>
        </w:rPr>
      </w:pPr>
      <w:r>
        <w:rPr>
          <w:noProof/>
        </w:rPr>
        <w:drawing>
          <wp:anchor distT="0" distB="0" distL="114300" distR="114300" simplePos="0" relativeHeight="251658240" behindDoc="1" locked="0" layoutInCell="1" allowOverlap="1" wp14:anchorId="54F8441D" wp14:editId="5359F9DB">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a:extLst xmlns:a="http://schemas.openxmlformats.org/drawingml/2006/main">
                <a:ext uri="{FF2B5EF4-FFF2-40B4-BE49-F238E27FC236}">
                  <a16:creationId xmlns:a16="http://schemas.microsoft.com/office/drawing/2014/main" id="{342B72D1-E7E0-47F0-80C7-4E72C400BA5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7">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5A5D7D6" w14:textId="77777777" w:rsidR="00322B10" w:rsidRPr="00074402" w:rsidRDefault="00322B10" w:rsidP="00322B10">
      <w:pPr>
        <w:spacing w:line="360" w:lineRule="auto"/>
        <w:ind w:left="426"/>
        <w:rPr>
          <w:rFonts w:ascii="Arial" w:hAnsi="Arial" w:cs="Arial"/>
          <w:szCs w:val="24"/>
        </w:rPr>
      </w:pPr>
    </w:p>
    <w:p w14:paraId="36560156" w14:textId="77777777" w:rsidR="00322B10" w:rsidRPr="00074402" w:rsidRDefault="00322B10" w:rsidP="00322B10">
      <w:pPr>
        <w:spacing w:line="360" w:lineRule="auto"/>
        <w:ind w:left="426"/>
        <w:rPr>
          <w:rFonts w:ascii="Arial" w:hAnsi="Arial" w:cs="Arial"/>
          <w:szCs w:val="24"/>
        </w:rPr>
      </w:pPr>
    </w:p>
    <w:p w14:paraId="1C7E1CDB" w14:textId="77777777" w:rsidR="00322B10" w:rsidRPr="00074402" w:rsidRDefault="00322B10" w:rsidP="00322B10">
      <w:pPr>
        <w:spacing w:line="360" w:lineRule="auto"/>
        <w:ind w:left="426"/>
        <w:rPr>
          <w:rFonts w:ascii="Arial" w:hAnsi="Arial" w:cs="Arial"/>
          <w:szCs w:val="24"/>
        </w:rPr>
      </w:pPr>
    </w:p>
    <w:p w14:paraId="2D25C484" w14:textId="77777777" w:rsidR="00322B10" w:rsidRPr="00ED1049" w:rsidRDefault="00322B10" w:rsidP="004550B7">
      <w:pPr>
        <w:jc w:val="center"/>
        <w:rPr>
          <w:rFonts w:ascii="Arial" w:hAnsi="Arial" w:cs="Arial"/>
        </w:rPr>
      </w:pPr>
    </w:p>
    <w:p w14:paraId="1CF0D652" w14:textId="77777777" w:rsidR="00322B10" w:rsidRDefault="00322B10" w:rsidP="00CE12CD">
      <w:pPr>
        <w:jc w:val="center"/>
        <w:rPr>
          <w:rFonts w:ascii="Aptos" w:hAnsi="Aptos"/>
          <w:b/>
          <w:bCs/>
          <w:sz w:val="36"/>
          <w:szCs w:val="36"/>
        </w:rPr>
      </w:pPr>
    </w:p>
    <w:p w14:paraId="7C3D6A02" w14:textId="3FA88A17" w:rsidR="00322B10" w:rsidRPr="008E2DEF" w:rsidRDefault="00322B10" w:rsidP="00CE12CD">
      <w:pPr>
        <w:jc w:val="center"/>
        <w:rPr>
          <w:rFonts w:ascii="Aptos" w:hAnsi="Aptos"/>
          <w:b/>
          <w:bCs/>
          <w:sz w:val="40"/>
          <w:szCs w:val="40"/>
        </w:rPr>
      </w:pPr>
      <w:r w:rsidRPr="008E2DEF">
        <w:rPr>
          <w:rFonts w:ascii="Aptos" w:hAnsi="Aptos"/>
          <w:b/>
          <w:bCs/>
          <w:sz w:val="40"/>
          <w:szCs w:val="40"/>
        </w:rPr>
        <w:t>Methods and Search Strategy Academic Poster</w:t>
      </w:r>
    </w:p>
    <w:p w14:paraId="5B18CA48" w14:textId="458DC8F7" w:rsidR="00322B10" w:rsidRPr="008E2DEF" w:rsidRDefault="00322B10" w:rsidP="00CE12CD">
      <w:pPr>
        <w:tabs>
          <w:tab w:val="left" w:pos="6540"/>
        </w:tabs>
        <w:spacing w:line="360" w:lineRule="auto"/>
        <w:ind w:left="426"/>
        <w:jc w:val="center"/>
        <w:rPr>
          <w:rFonts w:ascii="Aptos" w:hAnsi="Aptos" w:cs="Arial"/>
          <w:sz w:val="40"/>
          <w:szCs w:val="40"/>
          <w:lang w:val="nl-NL"/>
        </w:rPr>
      </w:pPr>
      <w:r w:rsidRPr="008E2DEF">
        <w:rPr>
          <w:rFonts w:ascii="Aptos" w:hAnsi="Aptos" w:cs="Arial"/>
          <w:b/>
          <w:bCs/>
          <w:sz w:val="40"/>
          <w:szCs w:val="40"/>
          <w:lang w:val="nl-NL"/>
        </w:rPr>
        <w:t>Student name</w:t>
      </w:r>
      <w:r w:rsidRPr="008E2DEF">
        <w:rPr>
          <w:rFonts w:ascii="Aptos" w:hAnsi="Aptos" w:cs="Arial"/>
          <w:sz w:val="40"/>
          <w:szCs w:val="40"/>
          <w:lang w:val="nl-NL"/>
        </w:rPr>
        <w:t>: Muzhgan Nassiri</w:t>
      </w:r>
    </w:p>
    <w:p w14:paraId="61151A39" w14:textId="5A1AA90D" w:rsidR="00322B10" w:rsidRPr="008E2DEF" w:rsidRDefault="00322B10" w:rsidP="00CE12CD">
      <w:pPr>
        <w:tabs>
          <w:tab w:val="left" w:pos="6540"/>
        </w:tabs>
        <w:spacing w:line="360" w:lineRule="auto"/>
        <w:ind w:left="426"/>
        <w:jc w:val="center"/>
        <w:rPr>
          <w:rFonts w:ascii="Aptos" w:hAnsi="Aptos" w:cs="Arial"/>
          <w:sz w:val="40"/>
          <w:szCs w:val="40"/>
          <w:lang w:val="nl-NL"/>
        </w:rPr>
      </w:pPr>
      <w:r w:rsidRPr="008E2DEF">
        <w:rPr>
          <w:rFonts w:ascii="Aptos" w:hAnsi="Aptos" w:cs="Arial"/>
          <w:b/>
          <w:bCs/>
          <w:sz w:val="40"/>
          <w:szCs w:val="40"/>
          <w:lang w:val="nl-NL"/>
        </w:rPr>
        <w:t>Student ID</w:t>
      </w:r>
      <w:r w:rsidRPr="008E2DEF">
        <w:rPr>
          <w:rFonts w:ascii="Aptos" w:hAnsi="Aptos" w:cs="Arial"/>
          <w:sz w:val="40"/>
          <w:szCs w:val="40"/>
          <w:lang w:val="nl-NL"/>
        </w:rPr>
        <w:t>:</w:t>
      </w:r>
      <w:r w:rsidR="0012184B" w:rsidRPr="008E2DEF">
        <w:rPr>
          <w:rFonts w:ascii="Aptos" w:hAnsi="Aptos" w:cs="Arial"/>
          <w:sz w:val="40"/>
          <w:szCs w:val="40"/>
          <w:lang w:val="nl-NL"/>
        </w:rPr>
        <w:t xml:space="preserve"> </w:t>
      </w:r>
      <w:r w:rsidR="0012184B" w:rsidRPr="008E2DEF">
        <w:rPr>
          <w:rFonts w:ascii="Aptos" w:hAnsi="Aptos" w:cs="Arial"/>
          <w:sz w:val="40"/>
          <w:szCs w:val="40"/>
        </w:rPr>
        <w:t>2239091</w:t>
      </w:r>
    </w:p>
    <w:p w14:paraId="019BF665" w14:textId="50641446" w:rsidR="00322B10" w:rsidRPr="008E2DEF" w:rsidRDefault="00D23C49" w:rsidP="00CE12CD">
      <w:pPr>
        <w:tabs>
          <w:tab w:val="left" w:pos="6540"/>
        </w:tabs>
        <w:spacing w:line="360" w:lineRule="auto"/>
        <w:ind w:left="426"/>
        <w:jc w:val="center"/>
        <w:rPr>
          <w:rFonts w:ascii="Aptos" w:hAnsi="Aptos" w:cs="Arial"/>
          <w:sz w:val="40"/>
          <w:szCs w:val="40"/>
          <w:lang w:val="nl-NL"/>
        </w:rPr>
      </w:pPr>
      <w:r w:rsidRPr="008E2DEF">
        <w:rPr>
          <w:rFonts w:ascii="Aptos" w:hAnsi="Aptos" w:cs="Arial"/>
          <w:b/>
          <w:bCs/>
          <w:sz w:val="40"/>
          <w:szCs w:val="40"/>
          <w:lang w:val="nl-NL"/>
        </w:rPr>
        <w:t>Le</w:t>
      </w:r>
      <w:r w:rsidR="00316CE9" w:rsidRPr="008E2DEF">
        <w:rPr>
          <w:rFonts w:ascii="Aptos" w:hAnsi="Aptos" w:cs="Arial"/>
          <w:b/>
          <w:bCs/>
          <w:sz w:val="40"/>
          <w:szCs w:val="40"/>
          <w:lang w:val="nl-NL"/>
        </w:rPr>
        <w:t>ctur</w:t>
      </w:r>
      <w:r w:rsidR="002341B6" w:rsidRPr="008E2DEF">
        <w:rPr>
          <w:rFonts w:ascii="Aptos" w:hAnsi="Aptos" w:cs="Arial"/>
          <w:b/>
          <w:bCs/>
          <w:sz w:val="40"/>
          <w:szCs w:val="40"/>
          <w:lang w:val="nl-NL"/>
        </w:rPr>
        <w:t>er</w:t>
      </w:r>
      <w:r w:rsidR="00C96699" w:rsidRPr="008E2DEF">
        <w:rPr>
          <w:rFonts w:ascii="Aptos" w:hAnsi="Aptos" w:cs="Arial"/>
          <w:sz w:val="40"/>
          <w:szCs w:val="40"/>
          <w:lang w:val="nl-NL"/>
        </w:rPr>
        <w:t xml:space="preserve">: </w:t>
      </w:r>
      <w:r w:rsidR="00362685" w:rsidRPr="008E2DEF">
        <w:rPr>
          <w:rFonts w:ascii="Aptos" w:hAnsi="Aptos" w:cs="Arial"/>
          <w:sz w:val="40"/>
          <w:szCs w:val="40"/>
          <w:lang w:val="nl-NL"/>
        </w:rPr>
        <w:t>C</w:t>
      </w:r>
      <w:r w:rsidR="00712A0A" w:rsidRPr="008E2DEF">
        <w:rPr>
          <w:rFonts w:ascii="Aptos" w:hAnsi="Aptos" w:cs="Arial"/>
          <w:sz w:val="40"/>
          <w:szCs w:val="40"/>
          <w:lang w:val="nl-NL"/>
        </w:rPr>
        <w:t>hloe</w:t>
      </w:r>
      <w:r w:rsidR="00710E45" w:rsidRPr="008E2DEF">
        <w:rPr>
          <w:rFonts w:ascii="Aptos" w:hAnsi="Aptos" w:cs="Arial"/>
          <w:sz w:val="40"/>
          <w:szCs w:val="40"/>
          <w:lang w:val="nl-NL"/>
        </w:rPr>
        <w:t xml:space="preserve"> Ha</w:t>
      </w:r>
      <w:r w:rsidR="00A0536A" w:rsidRPr="008E2DEF">
        <w:rPr>
          <w:rFonts w:ascii="Aptos" w:hAnsi="Aptos" w:cs="Arial"/>
          <w:sz w:val="40"/>
          <w:szCs w:val="40"/>
          <w:lang w:val="nl-NL"/>
        </w:rPr>
        <w:t>rries</w:t>
      </w:r>
    </w:p>
    <w:p w14:paraId="57483391" w14:textId="6C1E2DA9" w:rsidR="00322B10" w:rsidRPr="008E2DEF" w:rsidRDefault="00322B10" w:rsidP="00CE12CD">
      <w:pPr>
        <w:tabs>
          <w:tab w:val="left" w:pos="6540"/>
        </w:tabs>
        <w:spacing w:line="360" w:lineRule="auto"/>
        <w:ind w:left="426"/>
        <w:jc w:val="center"/>
        <w:rPr>
          <w:rFonts w:ascii="Aptos" w:hAnsi="Aptos" w:cs="Arial"/>
          <w:sz w:val="40"/>
          <w:szCs w:val="40"/>
          <w:lang w:val="nl-NL"/>
        </w:rPr>
      </w:pPr>
      <w:r w:rsidRPr="008E2DEF">
        <w:rPr>
          <w:rFonts w:ascii="Aptos" w:hAnsi="Aptos" w:cs="Arial"/>
          <w:b/>
          <w:bCs/>
          <w:sz w:val="40"/>
          <w:szCs w:val="40"/>
          <w:lang w:val="nl-NL"/>
        </w:rPr>
        <w:t>Module name</w:t>
      </w:r>
      <w:r w:rsidRPr="008E2DEF">
        <w:rPr>
          <w:rFonts w:ascii="Aptos" w:hAnsi="Aptos" w:cs="Arial"/>
          <w:sz w:val="40"/>
          <w:szCs w:val="40"/>
          <w:lang w:val="nl-NL"/>
        </w:rPr>
        <w:t xml:space="preserve">: </w:t>
      </w:r>
      <w:r w:rsidR="00083B07" w:rsidRPr="008E2DEF">
        <w:rPr>
          <w:rFonts w:ascii="Aptos" w:hAnsi="Aptos" w:cs="Arial"/>
          <w:sz w:val="40"/>
          <w:szCs w:val="40"/>
        </w:rPr>
        <w:t>Independent Project</w:t>
      </w:r>
    </w:p>
    <w:p w14:paraId="74BA5B77" w14:textId="350C705F" w:rsidR="005D17C2" w:rsidRPr="008E2DEF" w:rsidRDefault="00322B10" w:rsidP="00CE12CD">
      <w:pPr>
        <w:tabs>
          <w:tab w:val="left" w:pos="6540"/>
        </w:tabs>
        <w:spacing w:line="360" w:lineRule="auto"/>
        <w:ind w:left="426"/>
        <w:jc w:val="center"/>
        <w:rPr>
          <w:rFonts w:ascii="Aptos" w:hAnsi="Aptos" w:cs="Arial"/>
          <w:b/>
          <w:bCs/>
          <w:sz w:val="40"/>
          <w:szCs w:val="40"/>
        </w:rPr>
      </w:pPr>
      <w:r w:rsidRPr="008E2DEF">
        <w:rPr>
          <w:rFonts w:ascii="Aptos" w:hAnsi="Aptos" w:cs="Arial"/>
          <w:b/>
          <w:bCs/>
          <w:sz w:val="40"/>
          <w:szCs w:val="40"/>
        </w:rPr>
        <w:t>Module code</w:t>
      </w:r>
      <w:r w:rsidRPr="008E2DEF">
        <w:rPr>
          <w:rFonts w:ascii="Aptos" w:hAnsi="Aptos" w:cs="Arial"/>
          <w:sz w:val="40"/>
          <w:szCs w:val="40"/>
        </w:rPr>
        <w:t>:</w:t>
      </w:r>
      <w:r w:rsidR="005D17C2" w:rsidRPr="008E2DEF">
        <w:rPr>
          <w:rFonts w:ascii="Aptos" w:hAnsi="Aptos" w:cs="Arial"/>
          <w:sz w:val="40"/>
          <w:szCs w:val="40"/>
        </w:rPr>
        <w:t xml:space="preserve"> BMHP6020_BIRM</w:t>
      </w:r>
    </w:p>
    <w:p w14:paraId="07EF2855" w14:textId="2C53DCB7" w:rsidR="00322B10" w:rsidRPr="00C31D85" w:rsidRDefault="00322B10" w:rsidP="00322B10">
      <w:pPr>
        <w:tabs>
          <w:tab w:val="left" w:pos="6540"/>
        </w:tabs>
        <w:spacing w:line="360" w:lineRule="auto"/>
        <w:ind w:left="426"/>
        <w:rPr>
          <w:rFonts w:ascii="Aptos" w:hAnsi="Aptos" w:cs="Arial"/>
          <w:sz w:val="28"/>
          <w:szCs w:val="28"/>
        </w:rPr>
      </w:pPr>
    </w:p>
    <w:p w14:paraId="7CEAFDF9" w14:textId="77777777" w:rsidR="00322B10" w:rsidRPr="00C31D85" w:rsidRDefault="00322B10" w:rsidP="00322B10">
      <w:pPr>
        <w:jc w:val="center"/>
        <w:rPr>
          <w:rFonts w:ascii="Aptos" w:hAnsi="Aptos"/>
          <w:b/>
          <w:bCs/>
        </w:rPr>
        <w:sectPr w:rsidR="00322B10" w:rsidRPr="00C31D85" w:rsidSect="00322B10">
          <w:headerReference w:type="default" r:id="rId8"/>
          <w:headerReference w:type="first" r:id="rId9"/>
          <w:pgSz w:w="12240" w:h="15840" w:code="1"/>
          <w:pgMar w:top="720" w:right="576" w:bottom="720" w:left="720" w:header="432" w:footer="288" w:gutter="0"/>
          <w:cols w:space="720"/>
          <w:titlePg/>
          <w:docGrid w:linePitch="360"/>
        </w:sectPr>
      </w:pPr>
      <w:r w:rsidRPr="00C31D85">
        <w:rPr>
          <w:rFonts w:ascii="Aptos" w:hAnsi="Aptos"/>
          <w:b/>
          <w:bCs/>
        </w:rPr>
        <w:br w:type="page"/>
      </w:r>
    </w:p>
    <w:tbl>
      <w:tblPr>
        <w:tblStyle w:val="TableGrid"/>
        <w:tblW w:w="14616" w:type="dxa"/>
        <w:tblLook w:val="04A0" w:firstRow="1" w:lastRow="0" w:firstColumn="1" w:lastColumn="0" w:noHBand="0" w:noVBand="1"/>
      </w:tblPr>
      <w:tblGrid>
        <w:gridCol w:w="7225"/>
        <w:gridCol w:w="7391"/>
      </w:tblGrid>
      <w:tr w:rsidR="00322B10" w:rsidRPr="00C31D85" w14:paraId="472A8C75" w14:textId="77777777" w:rsidTr="00B62A52">
        <w:trPr>
          <w:trHeight w:val="597"/>
        </w:trPr>
        <w:tc>
          <w:tcPr>
            <w:tcW w:w="14616" w:type="dxa"/>
            <w:gridSpan w:val="2"/>
            <w:vAlign w:val="center"/>
          </w:tcPr>
          <w:p w14:paraId="4413622B" w14:textId="77777777" w:rsidR="009547B9" w:rsidRDefault="009547B9" w:rsidP="009547B9">
            <w:pPr>
              <w:pStyle w:val="Heading2"/>
              <w:jc w:val="center"/>
              <w:rPr>
                <w:rFonts w:hint="eastAsia"/>
                <w:b/>
                <w:bCs/>
                <w:color w:val="000000" w:themeColor="text1"/>
                <w:u w:val="single"/>
              </w:rPr>
            </w:pPr>
            <w:r w:rsidRPr="00BF28FC">
              <w:rPr>
                <w:b/>
                <w:bCs/>
                <w:color w:val="000000" w:themeColor="text1"/>
                <w:u w:val="single"/>
              </w:rPr>
              <w:lastRenderedPageBreak/>
              <w:t>The risks of physical, mental and social impacts of obesity in adolescents in the UK</w:t>
            </w:r>
          </w:p>
          <w:p w14:paraId="4532C133" w14:textId="77777777" w:rsidR="00322B10" w:rsidRPr="00802FF1" w:rsidRDefault="00322B10" w:rsidP="00B62A52">
            <w:pPr>
              <w:jc w:val="center"/>
              <w:rPr>
                <w:rFonts w:ascii="Aptos" w:hAnsi="Aptos"/>
                <w:b/>
                <w:bCs/>
              </w:rPr>
            </w:pPr>
          </w:p>
        </w:tc>
      </w:tr>
      <w:tr w:rsidR="00322B10" w:rsidRPr="00C31D85" w14:paraId="186528C7" w14:textId="77777777" w:rsidTr="00B62A52">
        <w:trPr>
          <w:trHeight w:val="1856"/>
        </w:trPr>
        <w:tc>
          <w:tcPr>
            <w:tcW w:w="7225" w:type="dxa"/>
          </w:tcPr>
          <w:p w14:paraId="465B308E" w14:textId="77777777" w:rsidR="00322B10" w:rsidRPr="005F7D75" w:rsidRDefault="00322B10" w:rsidP="00B62A52">
            <w:pPr>
              <w:rPr>
                <w:rFonts w:ascii="Aptos" w:hAnsi="Aptos"/>
                <w:b/>
                <w:bCs/>
              </w:rPr>
            </w:pPr>
            <w:proofErr w:type="gramStart"/>
            <w:r w:rsidRPr="00AB5409">
              <w:rPr>
                <w:rFonts w:ascii="Aptos" w:hAnsi="Aptos"/>
                <w:b/>
                <w:bCs/>
                <w:sz w:val="40"/>
                <w:szCs w:val="40"/>
              </w:rPr>
              <w:t>01</w:t>
            </w:r>
            <w:r>
              <w:rPr>
                <w:rFonts w:ascii="Aptos" w:hAnsi="Aptos"/>
              </w:rPr>
              <w:t xml:space="preserve">  </w:t>
            </w:r>
            <w:r w:rsidRPr="005F7D75">
              <w:rPr>
                <w:rFonts w:ascii="Aptos" w:hAnsi="Aptos"/>
                <w:b/>
                <w:bCs/>
              </w:rPr>
              <w:t>Introduction</w:t>
            </w:r>
            <w:proofErr w:type="gramEnd"/>
            <w:r w:rsidRPr="005F7D75">
              <w:rPr>
                <w:rFonts w:ascii="Aptos" w:hAnsi="Aptos"/>
                <w:b/>
                <w:bCs/>
              </w:rPr>
              <w:t xml:space="preserve"> and Research Aim </w:t>
            </w:r>
          </w:p>
          <w:p w14:paraId="3F60BEBF" w14:textId="55A64E09" w:rsidR="004F1D6A" w:rsidRPr="004F1D6A" w:rsidRDefault="004F1D6A" w:rsidP="004F1D6A">
            <w:pPr>
              <w:spacing w:line="360" w:lineRule="auto"/>
              <w:jc w:val="both"/>
              <w:rPr>
                <w:rFonts w:ascii="Aptos" w:hAnsi="Aptos"/>
              </w:rPr>
            </w:pPr>
            <w:r w:rsidRPr="004F1D6A">
              <w:rPr>
                <w:rFonts w:ascii="Aptos" w:hAnsi="Aptos"/>
                <w:b/>
                <w:bCs/>
              </w:rPr>
              <w:t>Overview of a Methods Chapter:</w:t>
            </w:r>
            <w:r w:rsidRPr="004F1D6A">
              <w:rPr>
                <w:rFonts w:ascii="Aptos" w:hAnsi="Aptos"/>
              </w:rPr>
              <w:t> A methodology chapter outlines the systematic framework, rationale, and specific processes used to conduct a study. This poster illustrates the secondary research design employed to gather, validate, and analyze literature.</w:t>
            </w:r>
          </w:p>
          <w:p w14:paraId="7D8275EE" w14:textId="344B3CED" w:rsidR="004F1D6A" w:rsidRPr="004F1D6A" w:rsidRDefault="004F1D6A" w:rsidP="004F1D6A">
            <w:pPr>
              <w:spacing w:line="360" w:lineRule="auto"/>
              <w:jc w:val="both"/>
              <w:rPr>
                <w:rFonts w:ascii="Aptos" w:hAnsi="Aptos"/>
              </w:rPr>
            </w:pPr>
            <w:r w:rsidRPr="004F1D6A">
              <w:rPr>
                <w:rFonts w:ascii="Aptos" w:hAnsi="Aptos"/>
                <w:b/>
                <w:bCs/>
              </w:rPr>
              <w:t>Research Aim:</w:t>
            </w:r>
            <w:r w:rsidRPr="004F1D6A">
              <w:rPr>
                <w:rFonts w:ascii="Aptos" w:hAnsi="Aptos"/>
              </w:rPr>
              <w:t> To explore the complex impact of obesity among adolescents in the United Kingdom, focusing on physical, mental, and social outcomes. The research seeks to identify key contributing factors, evaluate existing prevention strategies, and propose evidence-based recommendations.</w:t>
            </w:r>
          </w:p>
          <w:p w14:paraId="698B5C15" w14:textId="77777777" w:rsidR="00322B10" w:rsidRPr="005F7D75" w:rsidRDefault="00322B10" w:rsidP="00B62A52">
            <w:pPr>
              <w:spacing w:line="360" w:lineRule="auto"/>
              <w:jc w:val="both"/>
              <w:rPr>
                <w:rFonts w:ascii="Aptos" w:hAnsi="Aptos"/>
              </w:rPr>
            </w:pPr>
          </w:p>
        </w:tc>
        <w:tc>
          <w:tcPr>
            <w:tcW w:w="7391" w:type="dxa"/>
          </w:tcPr>
          <w:p w14:paraId="22588E03" w14:textId="77777777" w:rsidR="00322B10" w:rsidRDefault="00322B10" w:rsidP="00B62A52">
            <w:pPr>
              <w:rPr>
                <w:rFonts w:ascii="Aptos" w:hAnsi="Aptos"/>
              </w:rPr>
            </w:pPr>
            <w:r w:rsidRPr="00AB5409">
              <w:rPr>
                <w:rFonts w:ascii="Aptos" w:hAnsi="Aptos"/>
                <w:b/>
                <w:bCs/>
                <w:sz w:val="40"/>
                <w:szCs w:val="40"/>
              </w:rPr>
              <w:t>02</w:t>
            </w:r>
            <w:r>
              <w:rPr>
                <w:rFonts w:ascii="Aptos" w:hAnsi="Aptos"/>
                <w:b/>
                <w:bCs/>
                <w:sz w:val="40"/>
                <w:szCs w:val="40"/>
              </w:rPr>
              <w:t xml:space="preserve"> </w:t>
            </w:r>
            <w:r w:rsidRPr="005F7D75">
              <w:rPr>
                <w:rFonts w:ascii="Aptos" w:hAnsi="Aptos"/>
                <w:b/>
                <w:bCs/>
              </w:rPr>
              <w:t>Search Strategy</w:t>
            </w:r>
            <w:r>
              <w:rPr>
                <w:rFonts w:ascii="Aptos" w:hAnsi="Aptos"/>
              </w:rPr>
              <w:t xml:space="preserve"> </w:t>
            </w:r>
          </w:p>
          <w:p w14:paraId="62B4981C" w14:textId="51506428" w:rsidR="00217F61" w:rsidRPr="00217F61" w:rsidRDefault="00217F61" w:rsidP="00217F61">
            <w:pPr>
              <w:spacing w:line="360" w:lineRule="auto"/>
              <w:jc w:val="both"/>
              <w:rPr>
                <w:rFonts w:ascii="Aptos" w:hAnsi="Aptos"/>
              </w:rPr>
            </w:pPr>
            <w:r w:rsidRPr="00217F61">
              <w:rPr>
                <w:rFonts w:ascii="Aptos" w:hAnsi="Aptos"/>
                <w:b/>
                <w:bCs/>
              </w:rPr>
              <w:t>Definition:</w:t>
            </w:r>
            <w:r w:rsidRPr="00217F61">
              <w:rPr>
                <w:rFonts w:ascii="Aptos" w:hAnsi="Aptos"/>
              </w:rPr>
              <w:t> A search strategy is a structured, organized method used to locate relevant literature and data within databases for secondary research</w:t>
            </w:r>
            <w:r w:rsidR="00FB4697">
              <w:rPr>
                <w:rFonts w:ascii="Aptos" w:hAnsi="Aptos"/>
              </w:rPr>
              <w:t xml:space="preserve"> </w:t>
            </w:r>
            <w:r w:rsidR="00FB4697" w:rsidRPr="00FB4697">
              <w:rPr>
                <w:rFonts w:ascii="Aptos" w:hAnsi="Aptos"/>
              </w:rPr>
              <w:t>(Colquitt et al., 2016).</w:t>
            </w:r>
          </w:p>
          <w:p w14:paraId="453C4F06" w14:textId="7002EE88" w:rsidR="00217F61" w:rsidRPr="00217F61" w:rsidRDefault="00217F61" w:rsidP="00217F61">
            <w:pPr>
              <w:spacing w:line="360" w:lineRule="auto"/>
              <w:jc w:val="both"/>
              <w:rPr>
                <w:rFonts w:ascii="Aptos" w:hAnsi="Aptos"/>
              </w:rPr>
            </w:pPr>
            <w:r w:rsidRPr="00217F61">
              <w:rPr>
                <w:rFonts w:ascii="Aptos" w:hAnsi="Aptos"/>
                <w:b/>
                <w:bCs/>
              </w:rPr>
              <w:t>Application in Research:</w:t>
            </w:r>
            <w:r w:rsidRPr="00217F61">
              <w:rPr>
                <w:rFonts w:ascii="Aptos" w:hAnsi="Aptos"/>
              </w:rPr>
              <w:t> The core concepts were deconstructed into primary keywords and clinical synonyms (e.g., "adolescent", "youth", "BMI &gt;30"). Boolean operators were utilized heavily</w:t>
            </w:r>
            <w:r w:rsidR="002D3B34">
              <w:rPr>
                <w:rFonts w:ascii="Aptos" w:hAnsi="Aptos"/>
              </w:rPr>
              <w:t xml:space="preserve"> </w:t>
            </w:r>
            <w:r w:rsidR="002D3B34" w:rsidRPr="002D3B34">
              <w:rPr>
                <w:rFonts w:ascii="Aptos" w:hAnsi="Aptos"/>
              </w:rPr>
              <w:t>(Ali et al., 2020)</w:t>
            </w:r>
            <w:r w:rsidRPr="00217F61">
              <w:rPr>
                <w:rFonts w:ascii="Aptos" w:hAnsi="Aptos"/>
              </w:rPr>
              <w:t>: </w:t>
            </w:r>
            <w:r w:rsidRPr="00217F61">
              <w:rPr>
                <w:rFonts w:ascii="Aptos" w:hAnsi="Aptos"/>
                <w:b/>
                <w:bCs/>
              </w:rPr>
              <w:t>AND</w:t>
            </w:r>
            <w:r w:rsidRPr="00217F61">
              <w:rPr>
                <w:rFonts w:ascii="Aptos" w:hAnsi="Aptos"/>
              </w:rPr>
              <w:t> to intersect variables (e.g., "adolescent AND obesity"), </w:t>
            </w:r>
            <w:r w:rsidRPr="00217F61">
              <w:rPr>
                <w:rFonts w:ascii="Aptos" w:hAnsi="Aptos"/>
                <w:b/>
                <w:bCs/>
              </w:rPr>
              <w:t>OR</w:t>
            </w:r>
            <w:r w:rsidRPr="00217F61">
              <w:rPr>
                <w:rFonts w:ascii="Aptos" w:hAnsi="Aptos"/>
              </w:rPr>
              <w:t> for interchangeable terms, and </w:t>
            </w:r>
            <w:r w:rsidRPr="00217F61">
              <w:rPr>
                <w:rFonts w:ascii="Aptos" w:hAnsi="Aptos"/>
                <w:b/>
                <w:bCs/>
              </w:rPr>
              <w:t>NOT</w:t>
            </w:r>
            <w:r w:rsidRPr="00217F61">
              <w:rPr>
                <w:rFonts w:ascii="Aptos" w:hAnsi="Aptos"/>
              </w:rPr>
              <w:t> to exclude irrelevant demographics. To capture the contemporary 2026 landscape, the strategy was updated to include terms like "Ultra-Processed Foods (UPF)" and "Commercial Determinants of Health."</w:t>
            </w:r>
            <w:r w:rsidR="004D234F">
              <w:rPr>
                <w:b/>
                <w:bCs/>
                <w:color w:val="000000"/>
              </w:rPr>
              <w:t xml:space="preserve"> </w:t>
            </w:r>
            <w:r w:rsidR="004D234F" w:rsidRPr="004D234F">
              <w:rPr>
                <w:color w:val="000000"/>
              </w:rPr>
              <w:t>(British Medical Association, 2026)</w:t>
            </w:r>
            <w:r w:rsidR="004D234F" w:rsidRPr="004D234F">
              <w:rPr>
                <w:rFonts w:ascii="-webkit-standard" w:hAnsi="-webkit-standard"/>
                <w:color w:val="000000"/>
                <w:sz w:val="27"/>
                <w:szCs w:val="27"/>
              </w:rPr>
              <w:t>.</w:t>
            </w:r>
          </w:p>
          <w:p w14:paraId="2FED35B1" w14:textId="77777777" w:rsidR="00322B10" w:rsidRDefault="00322B10" w:rsidP="00B62A52">
            <w:pPr>
              <w:spacing w:line="360" w:lineRule="auto"/>
              <w:jc w:val="both"/>
              <w:rPr>
                <w:rFonts w:ascii="Aptos" w:hAnsi="Aptos"/>
                <w:lang w:val="en-GB"/>
              </w:rPr>
            </w:pPr>
          </w:p>
          <w:p w14:paraId="3A31826B" w14:textId="77777777" w:rsidR="00322B10" w:rsidRPr="005F7D75" w:rsidRDefault="00322B10" w:rsidP="00B62A52">
            <w:pPr>
              <w:spacing w:line="360" w:lineRule="auto"/>
              <w:jc w:val="both"/>
              <w:rPr>
                <w:rFonts w:ascii="Aptos" w:hAnsi="Aptos"/>
                <w:lang w:val="en-GB"/>
              </w:rPr>
            </w:pPr>
          </w:p>
        </w:tc>
      </w:tr>
      <w:tr w:rsidR="00322B10" w:rsidRPr="00C31D85" w14:paraId="6C4F543A" w14:textId="77777777" w:rsidTr="00B62A52">
        <w:trPr>
          <w:trHeight w:val="1856"/>
        </w:trPr>
        <w:tc>
          <w:tcPr>
            <w:tcW w:w="7225" w:type="dxa"/>
          </w:tcPr>
          <w:p w14:paraId="7BDA0EF7" w14:textId="77777777" w:rsidR="00322B10" w:rsidRDefault="00322B10" w:rsidP="00B62A52">
            <w:pPr>
              <w:rPr>
                <w:rFonts w:ascii="Aptos" w:hAnsi="Aptos"/>
              </w:rPr>
            </w:pPr>
            <w:r w:rsidRPr="00AB5409">
              <w:rPr>
                <w:rFonts w:ascii="Aptos" w:hAnsi="Aptos"/>
                <w:b/>
                <w:bCs/>
                <w:sz w:val="40"/>
                <w:szCs w:val="40"/>
              </w:rPr>
              <w:t>03</w:t>
            </w:r>
            <w:r>
              <w:rPr>
                <w:rFonts w:ascii="Aptos" w:hAnsi="Aptos"/>
              </w:rPr>
              <w:t xml:space="preserve"> </w:t>
            </w:r>
            <w:r w:rsidRPr="005F7D75">
              <w:rPr>
                <w:rFonts w:ascii="Aptos" w:hAnsi="Aptos"/>
                <w:b/>
                <w:bCs/>
              </w:rPr>
              <w:t>Searching for Information</w:t>
            </w:r>
            <w:r>
              <w:rPr>
                <w:rFonts w:ascii="Aptos" w:hAnsi="Aptos"/>
              </w:rPr>
              <w:t xml:space="preserve"> </w:t>
            </w:r>
          </w:p>
          <w:p w14:paraId="4647A2E6" w14:textId="6C57299B" w:rsidR="00217F61" w:rsidRPr="00217F61" w:rsidRDefault="00217F61" w:rsidP="00217F61">
            <w:pPr>
              <w:spacing w:line="360" w:lineRule="auto"/>
              <w:jc w:val="both"/>
              <w:rPr>
                <w:rFonts w:ascii="Aptos" w:hAnsi="Aptos"/>
              </w:rPr>
            </w:pPr>
            <w:r w:rsidRPr="00217F61">
              <w:rPr>
                <w:rFonts w:ascii="Aptos" w:hAnsi="Aptos"/>
                <w:b/>
                <w:bCs/>
              </w:rPr>
              <w:t>Step 1: Database Selection:</w:t>
            </w:r>
            <w:r w:rsidRPr="00217F61">
              <w:rPr>
                <w:rFonts w:ascii="Aptos" w:hAnsi="Aptos"/>
              </w:rPr>
              <w:t> Sourced clinical/epidemiological data from PubMed, interdisciplinary sociological data from Google Scholar, and verified policy from UK Government databases (DHSC, NHS Digital, PHE).</w:t>
            </w:r>
          </w:p>
          <w:p w14:paraId="45413AD4" w14:textId="6CBFF018" w:rsidR="00217F61" w:rsidRPr="00217F61" w:rsidRDefault="00217F61" w:rsidP="00217F61">
            <w:pPr>
              <w:spacing w:line="360" w:lineRule="auto"/>
              <w:jc w:val="both"/>
              <w:rPr>
                <w:rFonts w:ascii="Aptos" w:hAnsi="Aptos"/>
              </w:rPr>
            </w:pPr>
            <w:r w:rsidRPr="00217F61">
              <w:rPr>
                <w:rFonts w:ascii="Aptos" w:hAnsi="Aptos"/>
                <w:b/>
                <w:bCs/>
              </w:rPr>
              <w:lastRenderedPageBreak/>
              <w:t>Step 2: Applying Filters:</w:t>
            </w:r>
            <w:r w:rsidRPr="00217F61">
              <w:rPr>
                <w:rFonts w:ascii="Aptos" w:hAnsi="Aptos"/>
              </w:rPr>
              <w:t> Search results were initially restricted to literature published between 201</w:t>
            </w:r>
            <w:r w:rsidR="00504742">
              <w:rPr>
                <w:rFonts w:ascii="Aptos" w:hAnsi="Aptos"/>
              </w:rPr>
              <w:t>6</w:t>
            </w:r>
            <w:r w:rsidRPr="00217F61">
              <w:rPr>
                <w:rFonts w:ascii="Aptos" w:hAnsi="Aptos"/>
              </w:rPr>
              <w:t xml:space="preserve"> and 202</w:t>
            </w:r>
            <w:r w:rsidR="00504742">
              <w:rPr>
                <w:rFonts w:ascii="Aptos" w:hAnsi="Aptos"/>
              </w:rPr>
              <w:t>6</w:t>
            </w:r>
            <w:r w:rsidRPr="00217F61">
              <w:rPr>
                <w:rFonts w:ascii="Aptos" w:hAnsi="Aptos"/>
              </w:rPr>
              <w:t>, geographically isolated to the UK to maintain relevance to the NHS structure.</w:t>
            </w:r>
          </w:p>
          <w:p w14:paraId="727AB8B8" w14:textId="53AEDCE1" w:rsidR="00217F61" w:rsidRPr="00217F61" w:rsidRDefault="00217F61" w:rsidP="00217F61">
            <w:pPr>
              <w:spacing w:line="360" w:lineRule="auto"/>
              <w:jc w:val="both"/>
              <w:rPr>
                <w:rFonts w:ascii="Aptos" w:hAnsi="Aptos"/>
              </w:rPr>
            </w:pPr>
            <w:r>
              <w:rPr>
                <w:rFonts w:ascii="Aptos" w:hAnsi="Aptos"/>
                <w:b/>
                <w:bCs/>
              </w:rPr>
              <w:t>S</w:t>
            </w:r>
            <w:r w:rsidRPr="00217F61">
              <w:rPr>
                <w:rFonts w:ascii="Aptos" w:hAnsi="Aptos"/>
                <w:b/>
                <w:bCs/>
              </w:rPr>
              <w:t>tep 3: Priority Updates:</w:t>
            </w:r>
            <w:r w:rsidRPr="00217F61">
              <w:rPr>
                <w:rFonts w:ascii="Aptos" w:hAnsi="Aptos"/>
              </w:rPr>
              <w:t> A secondary filter was applied in early 2026 to capture breaking data, such as the </w:t>
            </w:r>
            <w:r w:rsidRPr="00217F61">
              <w:rPr>
                <w:rFonts w:ascii="Aptos" w:hAnsi="Aptos"/>
                <w:i/>
                <w:iCs/>
              </w:rPr>
              <w:t>Health Survey for England 2024</w:t>
            </w:r>
            <w:r w:rsidRPr="00217F61">
              <w:rPr>
                <w:rFonts w:ascii="Aptos" w:hAnsi="Aptos"/>
              </w:rPr>
              <w:t> and recent BMA reports.</w:t>
            </w:r>
            <w:r w:rsidR="004D234F" w:rsidRPr="004D234F">
              <w:rPr>
                <w:b/>
                <w:bCs/>
                <w:color w:val="000000"/>
              </w:rPr>
              <w:t xml:space="preserve"> </w:t>
            </w:r>
            <w:r w:rsidR="004D234F" w:rsidRPr="004D234F">
              <w:rPr>
                <w:rFonts w:ascii="Aptos" w:hAnsi="Aptos"/>
              </w:rPr>
              <w:t>(British Medical Association, 2026).</w:t>
            </w:r>
          </w:p>
          <w:p w14:paraId="7614254D" w14:textId="77777777" w:rsidR="00322B10" w:rsidRDefault="00322B10" w:rsidP="00B62A52">
            <w:pPr>
              <w:spacing w:line="360" w:lineRule="auto"/>
              <w:jc w:val="both"/>
              <w:rPr>
                <w:rFonts w:ascii="Aptos" w:hAnsi="Aptos"/>
                <w:lang w:val="en-GB"/>
              </w:rPr>
            </w:pPr>
          </w:p>
          <w:p w14:paraId="7DE7F8C6" w14:textId="77777777" w:rsidR="00322B10" w:rsidRDefault="00322B10" w:rsidP="00B62A52">
            <w:pPr>
              <w:spacing w:line="360" w:lineRule="auto"/>
              <w:jc w:val="both"/>
              <w:rPr>
                <w:rFonts w:ascii="Aptos" w:hAnsi="Aptos"/>
                <w:lang w:val="en-GB"/>
              </w:rPr>
            </w:pPr>
          </w:p>
          <w:p w14:paraId="473FC33C" w14:textId="77777777" w:rsidR="00322B10" w:rsidRPr="005F7D75" w:rsidRDefault="00322B10" w:rsidP="00B62A52">
            <w:pPr>
              <w:spacing w:line="360" w:lineRule="auto"/>
              <w:jc w:val="both"/>
              <w:rPr>
                <w:rFonts w:ascii="Aptos" w:hAnsi="Aptos"/>
                <w:lang w:val="en-GB"/>
              </w:rPr>
            </w:pPr>
            <w:r w:rsidRPr="005F7D75">
              <w:rPr>
                <w:rFonts w:ascii="Aptos" w:hAnsi="Aptos"/>
                <w:lang w:val="en-GB"/>
              </w:rPr>
              <w:t xml:space="preserve"> </w:t>
            </w:r>
          </w:p>
        </w:tc>
        <w:tc>
          <w:tcPr>
            <w:tcW w:w="7391" w:type="dxa"/>
          </w:tcPr>
          <w:p w14:paraId="74319FA6" w14:textId="77777777" w:rsidR="00322B10" w:rsidRDefault="00322B10" w:rsidP="00B62A52">
            <w:pPr>
              <w:rPr>
                <w:rFonts w:ascii="Aptos" w:hAnsi="Aptos"/>
              </w:rPr>
            </w:pPr>
            <w:r w:rsidRPr="00AB5409">
              <w:rPr>
                <w:rFonts w:ascii="Aptos" w:hAnsi="Aptos"/>
                <w:b/>
                <w:bCs/>
                <w:sz w:val="40"/>
                <w:szCs w:val="40"/>
              </w:rPr>
              <w:lastRenderedPageBreak/>
              <w:t>04</w:t>
            </w:r>
            <w:r>
              <w:rPr>
                <w:rFonts w:ascii="Aptos" w:hAnsi="Aptos"/>
              </w:rPr>
              <w:t xml:space="preserve"> </w:t>
            </w:r>
            <w:r w:rsidRPr="005F7D75">
              <w:rPr>
                <w:rFonts w:ascii="Aptos" w:hAnsi="Aptos"/>
                <w:b/>
                <w:bCs/>
              </w:rPr>
              <w:t>Picture / Graph / Visual Aid / Statistics</w:t>
            </w:r>
            <w:r>
              <w:rPr>
                <w:rFonts w:ascii="Aptos" w:hAnsi="Aptos"/>
              </w:rPr>
              <w:t xml:space="preserve"> </w:t>
            </w:r>
          </w:p>
          <w:p w14:paraId="2EC68EC1" w14:textId="3489883B" w:rsidR="00322B10" w:rsidRDefault="008A69EE" w:rsidP="00B62A52">
            <w:pPr>
              <w:spacing w:line="360" w:lineRule="auto"/>
              <w:jc w:val="both"/>
              <w:rPr>
                <w:rFonts w:ascii="Aptos" w:hAnsi="Aptos"/>
              </w:rPr>
            </w:pPr>
            <w:r>
              <w:rPr>
                <w:rFonts w:ascii="Aptos" w:hAnsi="Aptos"/>
              </w:rPr>
              <w:t xml:space="preserve">Here is a chart which </w:t>
            </w:r>
            <w:r w:rsidR="002848E5">
              <w:rPr>
                <w:rFonts w:ascii="Aptos" w:hAnsi="Aptos"/>
              </w:rPr>
              <w:t>visualizes</w:t>
            </w:r>
            <w:r>
              <w:rPr>
                <w:rFonts w:ascii="Aptos" w:hAnsi="Aptos"/>
              </w:rPr>
              <w:t xml:space="preserve"> the process for </w:t>
            </w:r>
            <w:r w:rsidR="00162636">
              <w:rPr>
                <w:rFonts w:ascii="Aptos" w:hAnsi="Aptos"/>
              </w:rPr>
              <w:t>filtering the literature</w:t>
            </w:r>
            <w:r w:rsidR="003346EC">
              <w:rPr>
                <w:rFonts w:ascii="Aptos" w:hAnsi="Aptos"/>
              </w:rPr>
              <w:t>:</w:t>
            </w:r>
          </w:p>
          <w:p w14:paraId="125F47BA" w14:textId="7FE96F44" w:rsidR="00322B10" w:rsidRPr="00C31D85" w:rsidRDefault="005F0787" w:rsidP="00B62A52">
            <w:pPr>
              <w:spacing w:line="360" w:lineRule="auto"/>
              <w:jc w:val="both"/>
              <w:rPr>
                <w:rFonts w:ascii="Aptos" w:hAnsi="Aptos"/>
              </w:rPr>
            </w:pPr>
            <w:r>
              <w:rPr>
                <w:rFonts w:ascii="Aptos" w:hAnsi="Aptos"/>
                <w:noProof/>
                <w14:ligatures w14:val="standardContextual"/>
              </w:rPr>
              <w:lastRenderedPageBreak/>
              <w:drawing>
                <wp:anchor distT="0" distB="0" distL="114300" distR="114300" simplePos="0" relativeHeight="251658242" behindDoc="0" locked="0" layoutInCell="1" allowOverlap="1" wp14:anchorId="395E83E8" wp14:editId="07411AE1">
                  <wp:simplePos x="0" y="0"/>
                  <wp:positionH relativeFrom="column">
                    <wp:posOffset>898525</wp:posOffset>
                  </wp:positionH>
                  <wp:positionV relativeFrom="paragraph">
                    <wp:posOffset>101600</wp:posOffset>
                  </wp:positionV>
                  <wp:extent cx="2682875" cy="3769995"/>
                  <wp:effectExtent l="0" t="0" r="0" b="1905"/>
                  <wp:wrapThrough wrapText="bothSides">
                    <wp:wrapPolygon edited="0">
                      <wp:start x="0" y="0"/>
                      <wp:lineTo x="0" y="21538"/>
                      <wp:lineTo x="21472" y="21538"/>
                      <wp:lineTo x="21472" y="0"/>
                      <wp:lineTo x="0" y="0"/>
                    </wp:wrapPolygon>
                  </wp:wrapThrough>
                  <wp:docPr id="1233999322" name="Picture 7" descr="A diagram of a diagram&#10;&#10;AI-generated content may be incorrect.">
                    <a:extLst xmlns:a="http://schemas.openxmlformats.org/drawingml/2006/main">
                      <a:ext uri="{FF2B5EF4-FFF2-40B4-BE49-F238E27FC236}">
                        <a16:creationId xmlns:a16="http://schemas.microsoft.com/office/drawing/2014/main" id="{A5A2331B-0FFD-4937-9ABB-63D85977BC0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999322" name="Picture 7" descr="A diagram of a diagram&#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82875" cy="3769995"/>
                          </a:xfrm>
                          <a:prstGeom prst="rect">
                            <a:avLst/>
                          </a:prstGeom>
                        </pic:spPr>
                      </pic:pic>
                    </a:graphicData>
                  </a:graphic>
                  <wp14:sizeRelH relativeFrom="page">
                    <wp14:pctWidth>0</wp14:pctWidth>
                  </wp14:sizeRelH>
                  <wp14:sizeRelV relativeFrom="page">
                    <wp14:pctHeight>0</wp14:pctHeight>
                  </wp14:sizeRelV>
                </wp:anchor>
              </w:drawing>
            </w:r>
          </w:p>
        </w:tc>
      </w:tr>
      <w:tr w:rsidR="00322B10" w:rsidRPr="00C31D85" w14:paraId="6D6F1F0B" w14:textId="77777777" w:rsidTr="00B62A52">
        <w:trPr>
          <w:trHeight w:val="983"/>
        </w:trPr>
        <w:tc>
          <w:tcPr>
            <w:tcW w:w="14616" w:type="dxa"/>
            <w:gridSpan w:val="2"/>
          </w:tcPr>
          <w:p w14:paraId="3A5F34F9" w14:textId="77777777" w:rsidR="00322B10" w:rsidRDefault="00322B10" w:rsidP="00B62A52">
            <w:pPr>
              <w:jc w:val="center"/>
              <w:rPr>
                <w:rFonts w:ascii="Aptos" w:hAnsi="Aptos"/>
                <w:b/>
                <w:bCs/>
              </w:rPr>
            </w:pPr>
            <w:r w:rsidRPr="00AB5409">
              <w:rPr>
                <w:rFonts w:ascii="Aptos" w:hAnsi="Aptos"/>
                <w:b/>
                <w:bCs/>
                <w:sz w:val="40"/>
                <w:szCs w:val="40"/>
              </w:rPr>
              <w:lastRenderedPageBreak/>
              <w:t>05</w:t>
            </w:r>
            <w:r>
              <w:rPr>
                <w:rFonts w:ascii="Aptos" w:hAnsi="Aptos"/>
              </w:rPr>
              <w:t xml:space="preserve"> </w:t>
            </w:r>
            <w:r w:rsidRPr="005F7D75">
              <w:rPr>
                <w:rFonts w:ascii="Aptos" w:hAnsi="Aptos"/>
                <w:b/>
                <w:bCs/>
              </w:rPr>
              <w:t>Research Validation and Analysis</w:t>
            </w:r>
          </w:p>
          <w:p w14:paraId="43A68DCA" w14:textId="3C78808E" w:rsidR="004E6F09" w:rsidRPr="004E6F09" w:rsidRDefault="004E6F09" w:rsidP="004E6F09">
            <w:pPr>
              <w:spacing w:line="360" w:lineRule="auto"/>
              <w:jc w:val="both"/>
              <w:rPr>
                <w:rFonts w:ascii="Aptos" w:hAnsi="Aptos"/>
              </w:rPr>
            </w:pPr>
            <w:r w:rsidRPr="004E6F09">
              <w:rPr>
                <w:rFonts w:ascii="Aptos" w:hAnsi="Aptos"/>
                <w:b/>
                <w:bCs/>
              </w:rPr>
              <w:t>Validation Definition:</w:t>
            </w:r>
            <w:r w:rsidRPr="004E6F09">
              <w:rPr>
                <w:rFonts w:ascii="Aptos" w:hAnsi="Aptos"/>
              </w:rPr>
              <w:t> The process of critically appraising secondary sources to ensure credibility, objectivity, and reliability.</w:t>
            </w:r>
          </w:p>
          <w:p w14:paraId="679A512D" w14:textId="721CC3DB" w:rsidR="004E6F09" w:rsidRPr="004E6F09" w:rsidRDefault="004E6F09" w:rsidP="004E6F09">
            <w:pPr>
              <w:spacing w:line="360" w:lineRule="auto"/>
              <w:jc w:val="both"/>
              <w:rPr>
                <w:rFonts w:ascii="Aptos" w:hAnsi="Aptos"/>
              </w:rPr>
            </w:pPr>
            <w:r w:rsidRPr="004E6F09">
              <w:rPr>
                <w:rFonts w:ascii="Aptos" w:hAnsi="Aptos"/>
                <w:b/>
                <w:bCs/>
              </w:rPr>
              <w:t>Application:</w:t>
            </w:r>
            <w:r w:rsidRPr="004E6F09">
              <w:rPr>
                <w:rFonts w:ascii="Aptos" w:hAnsi="Aptos"/>
              </w:rPr>
              <w:t> The </w:t>
            </w:r>
            <w:r w:rsidRPr="004E6F09">
              <w:rPr>
                <w:rFonts w:ascii="Aptos" w:hAnsi="Aptos"/>
                <w:b/>
                <w:bCs/>
              </w:rPr>
              <w:t>CRAAP framework</w:t>
            </w:r>
            <w:r w:rsidRPr="004E6F09">
              <w:rPr>
                <w:rFonts w:ascii="Aptos" w:hAnsi="Aptos"/>
              </w:rPr>
              <w:t> (Currency, Relevance, Authority, Accuracy, Purpose) was applied to all shortlisted texts. Sources were rigorously scrutinized for "industry-funded bias" (e.g., corporate food lobbying), discarding articles lacking transparency to protect academic integrity</w:t>
            </w:r>
            <w:r w:rsidR="00CB5B23">
              <w:rPr>
                <w:rFonts w:ascii="Aptos" w:hAnsi="Aptos"/>
              </w:rPr>
              <w:t xml:space="preserve"> </w:t>
            </w:r>
            <w:r w:rsidR="00CB5B23" w:rsidRPr="00CB5B23">
              <w:rPr>
                <w:rFonts w:ascii="Aptos" w:hAnsi="Aptos"/>
              </w:rPr>
              <w:t>(Nestle, 2018).</w:t>
            </w:r>
          </w:p>
          <w:p w14:paraId="2629208A" w14:textId="4DD48022" w:rsidR="004E6F09" w:rsidRPr="004E6F09" w:rsidRDefault="004E6F09" w:rsidP="004E6F09">
            <w:pPr>
              <w:spacing w:line="360" w:lineRule="auto"/>
              <w:jc w:val="both"/>
              <w:rPr>
                <w:rFonts w:ascii="Aptos" w:hAnsi="Aptos"/>
              </w:rPr>
            </w:pPr>
            <w:r w:rsidRPr="004E6F09">
              <w:rPr>
                <w:rFonts w:ascii="Aptos" w:hAnsi="Aptos"/>
                <w:b/>
                <w:bCs/>
              </w:rPr>
              <w:t>Analysis Definition:</w:t>
            </w:r>
            <w:r w:rsidRPr="004E6F09">
              <w:rPr>
                <w:rFonts w:ascii="Aptos" w:hAnsi="Aptos"/>
              </w:rPr>
              <w:t> The systematic interpretation of qualitative secondary data to identify recurring patterns</w:t>
            </w:r>
            <w:r w:rsidR="00CB5B23">
              <w:rPr>
                <w:rFonts w:ascii="Aptos" w:hAnsi="Aptos"/>
              </w:rPr>
              <w:t xml:space="preserve"> </w:t>
            </w:r>
            <w:r w:rsidR="00CB5B23" w:rsidRPr="00CB5B23">
              <w:rPr>
                <w:color w:val="000000"/>
              </w:rPr>
              <w:t>(Mead et al., 2017)</w:t>
            </w:r>
            <w:r w:rsidR="00CB5B23" w:rsidRPr="00CB5B23">
              <w:rPr>
                <w:rFonts w:ascii="-webkit-standard" w:hAnsi="-webkit-standard"/>
                <w:color w:val="000000"/>
                <w:sz w:val="27"/>
                <w:szCs w:val="27"/>
              </w:rPr>
              <w:t>.</w:t>
            </w:r>
          </w:p>
          <w:p w14:paraId="12D204E9" w14:textId="62FC329F" w:rsidR="004E6F09" w:rsidRPr="004E6F09" w:rsidRDefault="004E6F09" w:rsidP="004E6F09">
            <w:pPr>
              <w:spacing w:line="360" w:lineRule="auto"/>
              <w:jc w:val="both"/>
              <w:rPr>
                <w:rFonts w:ascii="Aptos" w:hAnsi="Aptos"/>
              </w:rPr>
            </w:pPr>
            <w:r w:rsidRPr="004E6F09">
              <w:rPr>
                <w:rFonts w:ascii="Aptos" w:hAnsi="Aptos"/>
                <w:b/>
                <w:bCs/>
              </w:rPr>
              <w:t>Application:</w:t>
            </w:r>
            <w:r w:rsidRPr="004E6F09">
              <w:rPr>
                <w:rFonts w:ascii="Aptos" w:hAnsi="Aptos"/>
              </w:rPr>
              <w:t> An </w:t>
            </w:r>
            <w:r w:rsidRPr="004E6F09">
              <w:rPr>
                <w:rFonts w:ascii="Aptos" w:hAnsi="Aptos"/>
                <w:b/>
                <w:bCs/>
              </w:rPr>
              <w:t>inductive thematic analysis</w:t>
            </w:r>
            <w:r w:rsidRPr="004E6F09">
              <w:rPr>
                <w:rFonts w:ascii="Aptos" w:hAnsi="Aptos"/>
              </w:rPr>
              <w:t> was used. This involved an iterative cycle of reading, generating initial codes (e.g., "sugar tax limitations", "early-onset Type 2 diabetes"), and collating these codes into the three overarching themes presented in Chapter 4</w:t>
            </w:r>
            <w:r w:rsidR="0021001A">
              <w:rPr>
                <w:rFonts w:ascii="Aptos" w:hAnsi="Aptos"/>
              </w:rPr>
              <w:t xml:space="preserve"> </w:t>
            </w:r>
            <w:r w:rsidR="0021001A" w:rsidRPr="0021001A">
              <w:rPr>
                <w:color w:val="000000"/>
              </w:rPr>
              <w:t>(Nowell et al., 2017)</w:t>
            </w:r>
            <w:r w:rsidR="0021001A" w:rsidRPr="0021001A">
              <w:rPr>
                <w:rFonts w:ascii="-webkit-standard" w:hAnsi="-webkit-standard"/>
                <w:color w:val="000000"/>
                <w:sz w:val="27"/>
                <w:szCs w:val="27"/>
              </w:rPr>
              <w:t>.</w:t>
            </w:r>
          </w:p>
          <w:p w14:paraId="590D4724" w14:textId="0C7A1C91" w:rsidR="00322B10" w:rsidRPr="00516CC0" w:rsidRDefault="00322B10" w:rsidP="00B62A52">
            <w:pPr>
              <w:spacing w:line="360" w:lineRule="auto"/>
              <w:jc w:val="both"/>
              <w:rPr>
                <w:rFonts w:ascii="Aptos" w:hAnsi="Aptos"/>
                <w:lang w:val="en-GB"/>
              </w:rPr>
            </w:pPr>
          </w:p>
        </w:tc>
      </w:tr>
      <w:tr w:rsidR="00322B10" w:rsidRPr="00C31D85" w14:paraId="5FDFFEFF" w14:textId="77777777" w:rsidTr="00B62A52">
        <w:trPr>
          <w:trHeight w:val="1856"/>
        </w:trPr>
        <w:tc>
          <w:tcPr>
            <w:tcW w:w="7225" w:type="dxa"/>
          </w:tcPr>
          <w:p w14:paraId="5B06E992" w14:textId="77777777" w:rsidR="00322B10" w:rsidRDefault="00322B10" w:rsidP="00B62A52">
            <w:pPr>
              <w:rPr>
                <w:rFonts w:ascii="Aptos" w:hAnsi="Aptos"/>
              </w:rPr>
            </w:pPr>
            <w:r w:rsidRPr="00AB5409">
              <w:rPr>
                <w:rFonts w:ascii="Aptos" w:hAnsi="Aptos"/>
                <w:b/>
                <w:bCs/>
                <w:sz w:val="40"/>
                <w:szCs w:val="40"/>
              </w:rPr>
              <w:lastRenderedPageBreak/>
              <w:t>06</w:t>
            </w:r>
            <w:r>
              <w:rPr>
                <w:rFonts w:ascii="Aptos" w:hAnsi="Aptos"/>
              </w:rPr>
              <w:t xml:space="preserve"> </w:t>
            </w:r>
            <w:r w:rsidRPr="005F7D75">
              <w:rPr>
                <w:rFonts w:ascii="Aptos" w:hAnsi="Aptos"/>
                <w:b/>
                <w:bCs/>
              </w:rPr>
              <w:t>Inclusion Criteria</w:t>
            </w:r>
            <w:r>
              <w:rPr>
                <w:rFonts w:ascii="Aptos" w:hAnsi="Aptos"/>
              </w:rPr>
              <w:t xml:space="preserve"> </w:t>
            </w:r>
          </w:p>
          <w:p w14:paraId="2F91EF6E" w14:textId="4BAFBE37" w:rsidR="00EC7C9F" w:rsidRPr="00EC7C9F" w:rsidRDefault="00EC7C9F" w:rsidP="00EC7C9F">
            <w:pPr>
              <w:spacing w:line="360" w:lineRule="auto"/>
              <w:contextualSpacing/>
              <w:jc w:val="both"/>
              <w:rPr>
                <w:rFonts w:ascii="Aptos" w:hAnsi="Aptos"/>
                <w:color w:val="000000" w:themeColor="text1"/>
              </w:rPr>
            </w:pPr>
            <w:r w:rsidRPr="00EC7C9F">
              <w:rPr>
                <w:rFonts w:ascii="Aptos" w:hAnsi="Aptos"/>
                <w:b/>
                <w:bCs/>
                <w:color w:val="000000" w:themeColor="text1"/>
              </w:rPr>
              <w:t>Included:</w:t>
            </w:r>
            <w:r w:rsidRPr="00EC7C9F">
              <w:rPr>
                <w:rFonts w:ascii="Aptos" w:hAnsi="Aptos"/>
                <w:color w:val="000000" w:themeColor="text1"/>
              </w:rPr>
              <w:t> Peer-reviewed journal articles, government reports, and verified policy documents.</w:t>
            </w:r>
          </w:p>
          <w:p w14:paraId="0C9B225C" w14:textId="11E4BA20" w:rsidR="00EC7C9F" w:rsidRPr="00EC7C9F" w:rsidRDefault="00EC7C9F" w:rsidP="00EC7C9F">
            <w:pPr>
              <w:spacing w:line="360" w:lineRule="auto"/>
              <w:contextualSpacing/>
              <w:jc w:val="both"/>
              <w:rPr>
                <w:rFonts w:ascii="Aptos" w:hAnsi="Aptos"/>
                <w:color w:val="000000" w:themeColor="text1"/>
              </w:rPr>
            </w:pPr>
            <w:r w:rsidRPr="00EC7C9F">
              <w:rPr>
                <w:rFonts w:ascii="Aptos" w:hAnsi="Aptos"/>
                <w:b/>
                <w:bCs/>
                <w:color w:val="000000" w:themeColor="text1"/>
              </w:rPr>
              <w:t>Included:</w:t>
            </w:r>
            <w:r w:rsidRPr="00EC7C9F">
              <w:rPr>
                <w:rFonts w:ascii="Aptos" w:hAnsi="Aptos"/>
                <w:color w:val="000000" w:themeColor="text1"/>
              </w:rPr>
              <w:t> Literature published between 201</w:t>
            </w:r>
            <w:r w:rsidR="001F3B1C">
              <w:rPr>
                <w:rFonts w:ascii="Aptos" w:hAnsi="Aptos"/>
                <w:color w:val="000000" w:themeColor="text1"/>
              </w:rPr>
              <w:t>6</w:t>
            </w:r>
            <w:r w:rsidRPr="00EC7C9F">
              <w:rPr>
                <w:rFonts w:ascii="Aptos" w:hAnsi="Aptos"/>
                <w:color w:val="000000" w:themeColor="text1"/>
              </w:rPr>
              <w:t xml:space="preserve"> and 202</w:t>
            </w:r>
            <w:r w:rsidR="001F3B1C">
              <w:rPr>
                <w:rFonts w:ascii="Aptos" w:hAnsi="Aptos"/>
                <w:color w:val="000000" w:themeColor="text1"/>
              </w:rPr>
              <w:t>6</w:t>
            </w:r>
            <w:r w:rsidRPr="00EC7C9F">
              <w:rPr>
                <w:rFonts w:ascii="Aptos" w:hAnsi="Aptos"/>
                <w:color w:val="000000" w:themeColor="text1"/>
              </w:rPr>
              <w:t xml:space="preserve"> (with priority updates for 2025/2026 data)</w:t>
            </w:r>
            <w:r w:rsidR="001F3B1C">
              <w:rPr>
                <w:rFonts w:ascii="Aptos" w:hAnsi="Aptos"/>
                <w:color w:val="000000" w:themeColor="text1"/>
              </w:rPr>
              <w:t xml:space="preserve"> </w:t>
            </w:r>
            <w:r w:rsidR="001F3B1C" w:rsidRPr="001F3B1C">
              <w:rPr>
                <w:rFonts w:ascii="Aptos" w:hAnsi="Aptos"/>
                <w:color w:val="000000" w:themeColor="text1"/>
              </w:rPr>
              <w:t>(Viner et al., 2015).</w:t>
            </w:r>
          </w:p>
          <w:p w14:paraId="3681DD44" w14:textId="789CA60C" w:rsidR="00EC7C9F" w:rsidRPr="00EC7C9F" w:rsidRDefault="00EC7C9F" w:rsidP="00EC7C9F">
            <w:pPr>
              <w:spacing w:line="360" w:lineRule="auto"/>
              <w:contextualSpacing/>
              <w:jc w:val="both"/>
              <w:rPr>
                <w:rFonts w:ascii="Aptos" w:hAnsi="Aptos"/>
                <w:color w:val="000000" w:themeColor="text1"/>
              </w:rPr>
            </w:pPr>
            <w:r w:rsidRPr="00EC7C9F">
              <w:rPr>
                <w:rFonts w:ascii="Aptos" w:hAnsi="Aptos"/>
                <w:b/>
                <w:bCs/>
                <w:color w:val="000000" w:themeColor="text1"/>
              </w:rPr>
              <w:t>Included:</w:t>
            </w:r>
            <w:r w:rsidRPr="00EC7C9F">
              <w:rPr>
                <w:rFonts w:ascii="Aptos" w:hAnsi="Aptos"/>
                <w:color w:val="000000" w:themeColor="text1"/>
              </w:rPr>
              <w:t> Studies explicitly focused on the UK adolescent demographic (ages 10–19).</w:t>
            </w:r>
          </w:p>
          <w:p w14:paraId="0BD95E60" w14:textId="77777777" w:rsidR="00322B10" w:rsidRPr="00C31D85" w:rsidRDefault="00322B10" w:rsidP="00B62A52">
            <w:pPr>
              <w:rPr>
                <w:rFonts w:ascii="Aptos" w:hAnsi="Aptos"/>
              </w:rPr>
            </w:pPr>
          </w:p>
        </w:tc>
        <w:tc>
          <w:tcPr>
            <w:tcW w:w="7391" w:type="dxa"/>
          </w:tcPr>
          <w:p w14:paraId="2D06329D" w14:textId="77777777" w:rsidR="00322B10" w:rsidRDefault="00322B10" w:rsidP="00B62A52">
            <w:pPr>
              <w:rPr>
                <w:rFonts w:ascii="Aptos" w:hAnsi="Aptos"/>
              </w:rPr>
            </w:pPr>
            <w:r w:rsidRPr="00AB5409">
              <w:rPr>
                <w:rFonts w:ascii="Aptos" w:hAnsi="Aptos"/>
                <w:b/>
                <w:bCs/>
                <w:sz w:val="40"/>
                <w:szCs w:val="40"/>
              </w:rPr>
              <w:t>07</w:t>
            </w:r>
            <w:r>
              <w:rPr>
                <w:rFonts w:ascii="Aptos" w:hAnsi="Aptos"/>
              </w:rPr>
              <w:t xml:space="preserve"> </w:t>
            </w:r>
            <w:r w:rsidRPr="005F7D75">
              <w:rPr>
                <w:rFonts w:ascii="Aptos" w:hAnsi="Aptos"/>
                <w:b/>
                <w:bCs/>
              </w:rPr>
              <w:t>Exclusion Criteria</w:t>
            </w:r>
            <w:r>
              <w:rPr>
                <w:rFonts w:ascii="Aptos" w:hAnsi="Aptos"/>
              </w:rPr>
              <w:t xml:space="preserve"> </w:t>
            </w:r>
          </w:p>
          <w:p w14:paraId="26C56BB7" w14:textId="72D8F9E4" w:rsidR="00B739EA" w:rsidRPr="00B739EA" w:rsidRDefault="00B739EA" w:rsidP="00B739EA">
            <w:pPr>
              <w:spacing w:line="360" w:lineRule="auto"/>
              <w:contextualSpacing/>
              <w:jc w:val="both"/>
              <w:rPr>
                <w:rFonts w:ascii="Aptos" w:hAnsi="Aptos"/>
              </w:rPr>
            </w:pPr>
            <w:r w:rsidRPr="00B739EA">
              <w:rPr>
                <w:rFonts w:ascii="Aptos" w:hAnsi="Aptos"/>
                <w:b/>
                <w:bCs/>
              </w:rPr>
              <w:t>Excluded:</w:t>
            </w:r>
            <w:r w:rsidRPr="00B739EA">
              <w:rPr>
                <w:rFonts w:ascii="Aptos" w:hAnsi="Aptos"/>
              </w:rPr>
              <w:t> Opinion-based editorials, non-peer-reviewed blogs, and literature lacking empirical or theoretical grounding.</w:t>
            </w:r>
          </w:p>
          <w:p w14:paraId="7EC201BA" w14:textId="651971C0" w:rsidR="00B739EA" w:rsidRPr="00B739EA" w:rsidRDefault="00B739EA" w:rsidP="00B739EA">
            <w:pPr>
              <w:spacing w:line="360" w:lineRule="auto"/>
              <w:contextualSpacing/>
              <w:jc w:val="both"/>
              <w:rPr>
                <w:rFonts w:ascii="Aptos" w:hAnsi="Aptos"/>
              </w:rPr>
            </w:pPr>
            <w:r w:rsidRPr="00B739EA">
              <w:rPr>
                <w:rFonts w:ascii="Aptos" w:hAnsi="Aptos"/>
                <w:b/>
                <w:bCs/>
              </w:rPr>
              <w:t>Excluded:</w:t>
            </w:r>
            <w:r w:rsidRPr="00B739EA">
              <w:rPr>
                <w:rFonts w:ascii="Aptos" w:hAnsi="Aptos"/>
              </w:rPr>
              <w:t> Non-UK studies, as they do not reflect the specific socioeconomic inequalities or the NHS framework relevant to this research.</w:t>
            </w:r>
          </w:p>
          <w:p w14:paraId="73C929E3" w14:textId="5205F327" w:rsidR="00B739EA" w:rsidRPr="00B739EA" w:rsidRDefault="00B739EA" w:rsidP="00B739EA">
            <w:pPr>
              <w:spacing w:line="360" w:lineRule="auto"/>
              <w:contextualSpacing/>
              <w:jc w:val="both"/>
              <w:rPr>
                <w:rFonts w:ascii="Aptos" w:hAnsi="Aptos"/>
              </w:rPr>
            </w:pPr>
            <w:r w:rsidRPr="00B739EA">
              <w:rPr>
                <w:rFonts w:ascii="Aptos" w:hAnsi="Aptos"/>
                <w:b/>
                <w:bCs/>
              </w:rPr>
              <w:t>Excluded:</w:t>
            </w:r>
            <w:r w:rsidRPr="00B739EA">
              <w:rPr>
                <w:rFonts w:ascii="Aptos" w:hAnsi="Aptos"/>
              </w:rPr>
              <w:t> Studies focused primarily on infants or adults.</w:t>
            </w:r>
          </w:p>
          <w:p w14:paraId="13AC9BC1" w14:textId="0758EA45" w:rsidR="00322B10" w:rsidRPr="00C31D85" w:rsidRDefault="00322B10" w:rsidP="00B739EA">
            <w:pPr>
              <w:spacing w:line="360" w:lineRule="auto"/>
              <w:contextualSpacing/>
              <w:jc w:val="both"/>
              <w:rPr>
                <w:rFonts w:ascii="Aptos" w:hAnsi="Aptos"/>
              </w:rPr>
            </w:pPr>
          </w:p>
        </w:tc>
      </w:tr>
      <w:tr w:rsidR="00322B10" w:rsidRPr="00C31D85" w14:paraId="711D16C8" w14:textId="77777777" w:rsidTr="00B62A52">
        <w:trPr>
          <w:trHeight w:val="1798"/>
        </w:trPr>
        <w:tc>
          <w:tcPr>
            <w:tcW w:w="14616" w:type="dxa"/>
            <w:gridSpan w:val="2"/>
          </w:tcPr>
          <w:p w14:paraId="2F466C35" w14:textId="77777777" w:rsidR="00322B10" w:rsidRDefault="00322B10" w:rsidP="00B62A52">
            <w:pPr>
              <w:jc w:val="center"/>
              <w:rPr>
                <w:rFonts w:ascii="Aptos" w:hAnsi="Aptos"/>
                <w:b/>
                <w:bCs/>
              </w:rPr>
            </w:pPr>
            <w:r w:rsidRPr="00AB5409">
              <w:rPr>
                <w:rFonts w:ascii="Aptos" w:hAnsi="Aptos"/>
                <w:b/>
                <w:bCs/>
                <w:sz w:val="40"/>
                <w:szCs w:val="40"/>
              </w:rPr>
              <w:t>0</w:t>
            </w:r>
            <w:r>
              <w:rPr>
                <w:rFonts w:ascii="Aptos" w:hAnsi="Aptos"/>
                <w:b/>
                <w:bCs/>
                <w:sz w:val="40"/>
                <w:szCs w:val="40"/>
              </w:rPr>
              <w:t>8</w:t>
            </w:r>
            <w:r>
              <w:rPr>
                <w:rFonts w:ascii="Aptos" w:hAnsi="Aptos"/>
              </w:rPr>
              <w:t xml:space="preserve"> </w:t>
            </w:r>
            <w:r w:rsidRPr="005F7D75">
              <w:rPr>
                <w:rFonts w:ascii="Aptos" w:hAnsi="Aptos"/>
                <w:b/>
                <w:bCs/>
              </w:rPr>
              <w:t>Ethical Considerations</w:t>
            </w:r>
          </w:p>
          <w:p w14:paraId="2734D758" w14:textId="773DB8FB" w:rsidR="00AA2BE1" w:rsidRPr="00AA2BE1" w:rsidRDefault="00D62383" w:rsidP="00AA2BE1">
            <w:pPr>
              <w:numPr>
                <w:ilvl w:val="0"/>
                <w:numId w:val="2"/>
              </w:numPr>
              <w:rPr>
                <w:rFonts w:ascii="Aptos" w:hAnsi="Aptos"/>
              </w:rPr>
            </w:pPr>
            <w:r w:rsidRPr="00F52F83">
              <w:rPr>
                <w:rFonts w:ascii="Aptos" w:hAnsi="Aptos"/>
                <w:noProof/>
              </w:rPr>
              <w:drawing>
                <wp:anchor distT="0" distB="0" distL="114300" distR="114300" simplePos="0" relativeHeight="251658241" behindDoc="1" locked="0" layoutInCell="1" allowOverlap="1" wp14:anchorId="6D8B3031" wp14:editId="5404E441">
                  <wp:simplePos x="0" y="0"/>
                  <wp:positionH relativeFrom="column">
                    <wp:posOffset>156845</wp:posOffset>
                  </wp:positionH>
                  <wp:positionV relativeFrom="paragraph">
                    <wp:posOffset>471170</wp:posOffset>
                  </wp:positionV>
                  <wp:extent cx="8886825" cy="2124075"/>
                  <wp:effectExtent l="38100" t="0" r="9525" b="9525"/>
                  <wp:wrapTight wrapText="bothSides">
                    <wp:wrapPolygon edited="0">
                      <wp:start x="-93" y="194"/>
                      <wp:lineTo x="-93" y="21503"/>
                      <wp:lineTo x="21577" y="21503"/>
                      <wp:lineTo x="21577" y="194"/>
                      <wp:lineTo x="-93" y="194"/>
                    </wp:wrapPolygon>
                  </wp:wrapTight>
                  <wp:docPr id="623136086" name="Diagram 1">
                    <a:extLst xmlns:a="http://schemas.openxmlformats.org/drawingml/2006/main">
                      <a:ext uri="{FF2B5EF4-FFF2-40B4-BE49-F238E27FC236}">
                        <a16:creationId xmlns:a16="http://schemas.microsoft.com/office/drawing/2014/main" id="{3FA061EA-741E-4D85-9CC8-A4E6963262E6}"/>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anchor>
              </w:drawing>
            </w:r>
            <w:r w:rsidR="00AA2BE1" w:rsidRPr="00AA2BE1">
              <w:rPr>
                <w:rFonts w:ascii="Aptos" w:hAnsi="Aptos"/>
                <w:b/>
                <w:bCs/>
              </w:rPr>
              <w:t>Definition:</w:t>
            </w:r>
            <w:r w:rsidR="00AA2BE1" w:rsidRPr="00AA2BE1">
              <w:rPr>
                <w:rFonts w:ascii="Aptos" w:hAnsi="Aptos"/>
              </w:rPr>
              <w:t> Ethics in secondary research involves maintaining integrity, transparency, and respect for intellectual property and the original context of the data used.</w:t>
            </w:r>
          </w:p>
          <w:p w14:paraId="34B078F5" w14:textId="3136196B" w:rsidR="00322B10" w:rsidRPr="00F52F83" w:rsidRDefault="00322B10" w:rsidP="00AA2BE1">
            <w:pPr>
              <w:ind w:left="720"/>
              <w:rPr>
                <w:rFonts w:ascii="Aptos" w:hAnsi="Aptos"/>
                <w:lang w:val="en-GB"/>
              </w:rPr>
            </w:pPr>
          </w:p>
        </w:tc>
      </w:tr>
    </w:tbl>
    <w:p w14:paraId="03FFF750" w14:textId="77777777" w:rsidR="00322B10" w:rsidRDefault="00322B10" w:rsidP="00322B10">
      <w:pPr>
        <w:sectPr w:rsidR="00322B10" w:rsidSect="00322B10">
          <w:pgSz w:w="15840" w:h="12240" w:orient="landscape" w:code="1"/>
          <w:pgMar w:top="720" w:right="720" w:bottom="576" w:left="720" w:header="432" w:footer="288" w:gutter="0"/>
          <w:cols w:space="720"/>
          <w:titlePg/>
          <w:docGrid w:linePitch="360"/>
        </w:sectPr>
      </w:pPr>
    </w:p>
    <w:p w14:paraId="53BE423B" w14:textId="75DA676E" w:rsidR="00322B10" w:rsidRDefault="00322B10" w:rsidP="00996FC7">
      <w:pPr>
        <w:rPr>
          <w:noProof/>
        </w:rPr>
      </w:pPr>
      <w:r w:rsidRPr="00ED1049">
        <w:rPr>
          <w:rFonts w:ascii="Arial" w:hAnsi="Arial" w:cs="Arial"/>
          <w:b/>
          <w:bCs/>
          <w:sz w:val="28"/>
          <w:szCs w:val="28"/>
        </w:rPr>
        <w:lastRenderedPageBreak/>
        <w:t>References</w:t>
      </w:r>
    </w:p>
    <w:p w14:paraId="00671B4D" w14:textId="77777777" w:rsidR="002C386E" w:rsidRPr="00912A0D" w:rsidRDefault="002C386E" w:rsidP="002C386E">
      <w:pPr>
        <w:rPr>
          <w:noProof/>
        </w:rPr>
      </w:pPr>
      <w:r w:rsidRPr="00912A0D">
        <w:rPr>
          <w:noProof/>
        </w:rPr>
        <w:t>Ali, A., et al. (2020) ‘Formulating a search strategy for systematic reviews: A guide’, </w:t>
      </w:r>
      <w:r w:rsidRPr="00912A0D">
        <w:rPr>
          <w:i/>
          <w:iCs/>
          <w:noProof/>
        </w:rPr>
        <w:t>Journal of Clinical Epidemiology</w:t>
      </w:r>
      <w:r w:rsidRPr="00912A0D">
        <w:rPr>
          <w:noProof/>
        </w:rPr>
        <w:t>, 128, pp. 115-120.</w:t>
      </w:r>
    </w:p>
    <w:p w14:paraId="0E8F0E2D" w14:textId="3EABAF23" w:rsidR="002C386E" w:rsidRPr="00912A0D" w:rsidRDefault="002C386E" w:rsidP="002C386E">
      <w:pPr>
        <w:rPr>
          <w:noProof/>
        </w:rPr>
      </w:pPr>
      <w:r w:rsidRPr="00912A0D">
        <w:rPr>
          <w:noProof/>
        </w:rPr>
        <w:t>British Medical Association (2026) </w:t>
      </w:r>
      <w:r w:rsidRPr="00912A0D">
        <w:rPr>
          <w:i/>
          <w:iCs/>
          <w:noProof/>
        </w:rPr>
        <w:t>Improving the nation’s diet: the impact of ultra-processed food</w:t>
      </w:r>
      <w:r w:rsidRPr="00912A0D">
        <w:rPr>
          <w:noProof/>
        </w:rPr>
        <w:t>. Available at: </w:t>
      </w:r>
      <w:hyperlink r:id="rId16" w:tgtFrame="_blank" w:history="1">
        <w:r w:rsidRPr="00912A0D">
          <w:rPr>
            <w:rStyle w:val="Hyperlink"/>
            <w:noProof/>
          </w:rPr>
          <w:t>https://www.bma.org.uk/media/v34b4qyq/bma-embargo-ultra-processed-food-report-_final.pdf</w:t>
        </w:r>
      </w:hyperlink>
      <w:r w:rsidR="006D04F2">
        <w:t>. (</w:t>
      </w:r>
      <w:r w:rsidRPr="00912A0D">
        <w:rPr>
          <w:noProof/>
        </w:rPr>
        <w:t>Accessed:</w:t>
      </w:r>
      <w:r w:rsidR="006D04F2">
        <w:rPr>
          <w:noProof/>
        </w:rPr>
        <w:t xml:space="preserve"> </w:t>
      </w:r>
      <w:r w:rsidR="00300BC9">
        <w:rPr>
          <w:noProof/>
        </w:rPr>
        <w:t>11</w:t>
      </w:r>
      <w:r w:rsidR="00406E50" w:rsidRPr="00406E50">
        <w:rPr>
          <w:noProof/>
          <w:vertAlign w:val="superscript"/>
        </w:rPr>
        <w:t>th</w:t>
      </w:r>
      <w:r w:rsidR="00406E50">
        <w:rPr>
          <w:noProof/>
        </w:rPr>
        <w:t xml:space="preserve"> </w:t>
      </w:r>
      <w:r w:rsidR="00300BC9">
        <w:rPr>
          <w:noProof/>
        </w:rPr>
        <w:t>Janu</w:t>
      </w:r>
      <w:r w:rsidR="00F65AB9">
        <w:rPr>
          <w:noProof/>
        </w:rPr>
        <w:t>ary</w:t>
      </w:r>
      <w:r w:rsidR="00CF4C18">
        <w:rPr>
          <w:noProof/>
        </w:rPr>
        <w:t xml:space="preserve"> 202</w:t>
      </w:r>
      <w:r w:rsidR="00FD2A7B">
        <w:rPr>
          <w:noProof/>
        </w:rPr>
        <w:t>6</w:t>
      </w:r>
      <w:r w:rsidR="006D04F2">
        <w:rPr>
          <w:noProof/>
        </w:rPr>
        <w:t>)</w:t>
      </w:r>
      <w:r w:rsidRPr="00912A0D">
        <w:rPr>
          <w:noProof/>
        </w:rPr>
        <w:t>.</w:t>
      </w:r>
    </w:p>
    <w:p w14:paraId="211F9D79" w14:textId="7236CA2F" w:rsidR="002C386E" w:rsidRPr="00912A0D" w:rsidRDefault="002C386E" w:rsidP="002C386E">
      <w:pPr>
        <w:rPr>
          <w:noProof/>
        </w:rPr>
      </w:pPr>
      <w:r w:rsidRPr="00912A0D">
        <w:rPr>
          <w:noProof/>
        </w:rPr>
        <w:t>Colquitt, J.L.,</w:t>
      </w:r>
      <w:r w:rsidR="006D04F2">
        <w:rPr>
          <w:noProof/>
        </w:rPr>
        <w:t xml:space="preserve"> et al. </w:t>
      </w:r>
      <w:r w:rsidRPr="00912A0D">
        <w:rPr>
          <w:noProof/>
        </w:rPr>
        <w:t>(2016) </w:t>
      </w:r>
      <w:r w:rsidR="006D04F2">
        <w:rPr>
          <w:noProof/>
        </w:rPr>
        <w:t>‘</w:t>
      </w:r>
      <w:r w:rsidRPr="00912A0D">
        <w:rPr>
          <w:noProof/>
        </w:rPr>
        <w:t>Diet, physical activity, and behavioural interventions for the treatment of overweight or obesity in preschool children</w:t>
      </w:r>
      <w:r w:rsidR="006D04F2">
        <w:rPr>
          <w:noProof/>
        </w:rPr>
        <w:t>’,</w:t>
      </w:r>
      <w:r w:rsidRPr="00912A0D">
        <w:rPr>
          <w:noProof/>
        </w:rPr>
        <w:t> </w:t>
      </w:r>
      <w:r w:rsidRPr="00912A0D">
        <w:rPr>
          <w:i/>
          <w:iCs/>
          <w:noProof/>
        </w:rPr>
        <w:t>Cochrane Database of Systematic Reviews</w:t>
      </w:r>
      <w:r w:rsidRPr="00912A0D">
        <w:rPr>
          <w:noProof/>
        </w:rPr>
        <w:t>, (3).</w:t>
      </w:r>
    </w:p>
    <w:p w14:paraId="44166807" w14:textId="185F2E6C" w:rsidR="006D04F2" w:rsidRDefault="002C386E" w:rsidP="002C386E">
      <w:pPr>
        <w:rPr>
          <w:noProof/>
        </w:rPr>
      </w:pPr>
      <w:r w:rsidRPr="00912A0D">
        <w:rPr>
          <w:noProof/>
        </w:rPr>
        <w:t>Department of Health and Social Car</w:t>
      </w:r>
      <w:r w:rsidR="006D04F2">
        <w:rPr>
          <w:noProof/>
        </w:rPr>
        <w:t xml:space="preserve">e </w:t>
      </w:r>
      <w:r w:rsidRPr="00912A0D">
        <w:rPr>
          <w:noProof/>
        </w:rPr>
        <w:t>(2016)</w:t>
      </w:r>
      <w:r w:rsidR="006D04F2">
        <w:rPr>
          <w:noProof/>
        </w:rPr>
        <w:t xml:space="preserve"> </w:t>
      </w:r>
      <w:r w:rsidRPr="00912A0D">
        <w:rPr>
          <w:i/>
          <w:iCs/>
          <w:noProof/>
        </w:rPr>
        <w:t>Childhood Obesity: A Plan for Action</w:t>
      </w:r>
      <w:r w:rsidRPr="00912A0D">
        <w:rPr>
          <w:noProof/>
        </w:rPr>
        <w:t>.</w:t>
      </w:r>
      <w:r w:rsidR="006D04F2">
        <w:rPr>
          <w:noProof/>
        </w:rPr>
        <w:t xml:space="preserve"> </w:t>
      </w:r>
      <w:r w:rsidRPr="00912A0D">
        <w:rPr>
          <w:noProof/>
        </w:rPr>
        <w:t>Available at: </w:t>
      </w:r>
      <w:hyperlink r:id="rId17" w:tgtFrame="_blank" w:history="1">
        <w:r w:rsidRPr="00912A0D">
          <w:rPr>
            <w:rStyle w:val="Hyperlink"/>
            <w:noProof/>
          </w:rPr>
          <w:t>https://www.gov.uk/government/publications/childhood-obesity-a-plan-for-action</w:t>
        </w:r>
      </w:hyperlink>
      <w:r w:rsidR="006D04F2">
        <w:rPr>
          <w:noProof/>
        </w:rPr>
        <w:t>. (Accessed:</w:t>
      </w:r>
      <w:r w:rsidR="00970D90">
        <w:rPr>
          <w:noProof/>
        </w:rPr>
        <w:t xml:space="preserve"> </w:t>
      </w:r>
      <w:r w:rsidR="007230D7">
        <w:rPr>
          <w:noProof/>
        </w:rPr>
        <w:t>1</w:t>
      </w:r>
      <w:r w:rsidR="00BA6BC4">
        <w:rPr>
          <w:noProof/>
        </w:rPr>
        <w:t>8</w:t>
      </w:r>
      <w:r w:rsidR="00BA6BC4" w:rsidRPr="00BA6BC4">
        <w:rPr>
          <w:noProof/>
          <w:vertAlign w:val="superscript"/>
        </w:rPr>
        <w:t>th</w:t>
      </w:r>
      <w:r w:rsidR="00BA6BC4">
        <w:rPr>
          <w:noProof/>
        </w:rPr>
        <w:t xml:space="preserve"> Ja</w:t>
      </w:r>
      <w:r w:rsidR="00AE2314">
        <w:rPr>
          <w:noProof/>
        </w:rPr>
        <w:t xml:space="preserve">nuary </w:t>
      </w:r>
      <w:r w:rsidR="001A2F12">
        <w:rPr>
          <w:noProof/>
        </w:rPr>
        <w:t>2026</w:t>
      </w:r>
      <w:r w:rsidR="006D04F2">
        <w:rPr>
          <w:noProof/>
        </w:rPr>
        <w:t>).</w:t>
      </w:r>
    </w:p>
    <w:p w14:paraId="0998013A" w14:textId="039D5181" w:rsidR="002C386E" w:rsidRPr="00912A0D" w:rsidRDefault="002C386E" w:rsidP="002C386E">
      <w:pPr>
        <w:rPr>
          <w:noProof/>
        </w:rPr>
      </w:pPr>
      <w:r w:rsidRPr="00912A0D">
        <w:rPr>
          <w:noProof/>
        </w:rPr>
        <w:t xml:space="preserve">Mead, E., </w:t>
      </w:r>
      <w:r w:rsidR="006D04F2">
        <w:rPr>
          <w:noProof/>
        </w:rPr>
        <w:t>et al</w:t>
      </w:r>
      <w:r w:rsidRPr="00912A0D">
        <w:rPr>
          <w:noProof/>
        </w:rPr>
        <w:t>. (2017) </w:t>
      </w:r>
      <w:r w:rsidR="006D04F2">
        <w:rPr>
          <w:noProof/>
        </w:rPr>
        <w:t>‘</w:t>
      </w:r>
      <w:r w:rsidRPr="00912A0D">
        <w:rPr>
          <w:noProof/>
        </w:rPr>
        <w:t>Diet, physical activity and behavioural interventions for the treatment of overweight or obese children from the age of 6 to 11 years</w:t>
      </w:r>
      <w:r w:rsidR="006D04F2">
        <w:rPr>
          <w:noProof/>
        </w:rPr>
        <w:t xml:space="preserve">’, </w:t>
      </w:r>
      <w:r w:rsidRPr="00912A0D">
        <w:rPr>
          <w:i/>
          <w:iCs/>
          <w:noProof/>
        </w:rPr>
        <w:t>Cochrane Database of Systematic Reviews</w:t>
      </w:r>
      <w:r w:rsidRPr="00912A0D">
        <w:rPr>
          <w:noProof/>
        </w:rPr>
        <w:t>, (6).</w:t>
      </w:r>
    </w:p>
    <w:p w14:paraId="2773BB07" w14:textId="27433713" w:rsidR="002C386E" w:rsidRPr="0089256F" w:rsidRDefault="00166D48" w:rsidP="002C386E">
      <w:pPr>
        <w:rPr>
          <w:rFonts w:cs="Arial"/>
          <w:lang w:val="en-GB"/>
        </w:rPr>
      </w:pPr>
      <w:r w:rsidRPr="0089256F">
        <w:rPr>
          <w:rFonts w:cs="Arial"/>
          <w:lang w:val="en-GB"/>
        </w:rPr>
        <w:t xml:space="preserve">Nestle, M. (2018) </w:t>
      </w:r>
      <w:proofErr w:type="spellStart"/>
      <w:r w:rsidRPr="0089256F">
        <w:rPr>
          <w:rFonts w:cs="Arial"/>
          <w:i/>
          <w:iCs/>
          <w:lang w:val="en-GB"/>
        </w:rPr>
        <w:t>Unsavory</w:t>
      </w:r>
      <w:proofErr w:type="spellEnd"/>
      <w:r w:rsidRPr="0089256F">
        <w:rPr>
          <w:rFonts w:cs="Arial"/>
          <w:i/>
          <w:iCs/>
          <w:lang w:val="en-GB"/>
        </w:rPr>
        <w:t xml:space="preserve"> truth</w:t>
      </w:r>
      <w:r w:rsidR="00385976" w:rsidRPr="0089256F">
        <w:rPr>
          <w:rFonts w:cs="Arial"/>
          <w:i/>
          <w:iCs/>
          <w:lang w:val="en-GB"/>
        </w:rPr>
        <w:t>:</w:t>
      </w:r>
      <w:r w:rsidRPr="0089256F">
        <w:rPr>
          <w:rFonts w:cs="Arial"/>
          <w:i/>
          <w:iCs/>
          <w:lang w:val="en-GB"/>
        </w:rPr>
        <w:t xml:space="preserve"> how food companies skew the science of what we eat</w:t>
      </w:r>
      <w:r w:rsidRPr="0089256F">
        <w:rPr>
          <w:rFonts w:cs="Arial"/>
          <w:lang w:val="en-GB"/>
        </w:rPr>
        <w:t>. New York, NY: Basic Books.</w:t>
      </w:r>
    </w:p>
    <w:p w14:paraId="1DDAD4C9" w14:textId="70D3C731" w:rsidR="002C386E" w:rsidRPr="0089256F" w:rsidRDefault="00B1657B" w:rsidP="002C386E">
      <w:pPr>
        <w:rPr>
          <w:noProof/>
        </w:rPr>
      </w:pPr>
      <w:r w:rsidRPr="0089256F">
        <w:rPr>
          <w:rFonts w:cs="Arial"/>
        </w:rPr>
        <w:t>NHS Digital (2023) </w:t>
      </w:r>
      <w:r w:rsidRPr="0089256F">
        <w:rPr>
          <w:rFonts w:cs="Arial"/>
          <w:i/>
          <w:iCs/>
        </w:rPr>
        <w:t xml:space="preserve">National Child Measurement </w:t>
      </w:r>
      <w:proofErr w:type="spellStart"/>
      <w:r w:rsidRPr="0089256F">
        <w:rPr>
          <w:rFonts w:cs="Arial"/>
          <w:i/>
          <w:iCs/>
        </w:rPr>
        <w:t>Programme</w:t>
      </w:r>
      <w:proofErr w:type="spellEnd"/>
      <w:r w:rsidRPr="0089256F">
        <w:rPr>
          <w:rFonts w:cs="Arial"/>
          <w:i/>
          <w:iCs/>
        </w:rPr>
        <w:t>, England, 2022/23 School Year</w:t>
      </w:r>
      <w:r w:rsidRPr="0089256F">
        <w:rPr>
          <w:rFonts w:cs="Arial"/>
        </w:rPr>
        <w:t>. Available at: </w:t>
      </w:r>
      <w:hyperlink r:id="rId18" w:tgtFrame="_blank" w:history="1">
        <w:r w:rsidRPr="0089256F">
          <w:rPr>
            <w:rStyle w:val="Hyperlink"/>
            <w:rFonts w:cs="Arial"/>
          </w:rPr>
          <w:t>https://digital.nhs.uk/data-and-information/publications/statistical/national-child-measurement-programme/2022-23-school-year</w:t>
        </w:r>
      </w:hyperlink>
      <w:r w:rsidRPr="0089256F">
        <w:rPr>
          <w:rFonts w:cs="Arial"/>
        </w:rPr>
        <w:t>. (Accessed:</w:t>
      </w:r>
      <w:r w:rsidR="008477C8">
        <w:rPr>
          <w:rFonts w:cs="Arial"/>
        </w:rPr>
        <w:t xml:space="preserve"> </w:t>
      </w:r>
      <w:r w:rsidR="0065221E">
        <w:rPr>
          <w:rFonts w:cs="Arial"/>
        </w:rPr>
        <w:t>3</w:t>
      </w:r>
      <w:r w:rsidR="0065221E" w:rsidRPr="0065221E">
        <w:rPr>
          <w:rFonts w:cs="Arial"/>
          <w:vertAlign w:val="superscript"/>
        </w:rPr>
        <w:t>rd</w:t>
      </w:r>
      <w:r w:rsidR="0065221E">
        <w:rPr>
          <w:rFonts w:cs="Arial"/>
        </w:rPr>
        <w:t xml:space="preserve"> Feb</w:t>
      </w:r>
      <w:r w:rsidR="006B7B87">
        <w:rPr>
          <w:rFonts w:cs="Arial"/>
        </w:rPr>
        <w:t>ruary 202</w:t>
      </w:r>
      <w:r w:rsidR="00495964">
        <w:rPr>
          <w:rFonts w:cs="Arial"/>
        </w:rPr>
        <w:t>6</w:t>
      </w:r>
      <w:r w:rsidRPr="0089256F">
        <w:rPr>
          <w:rFonts w:cs="Arial"/>
        </w:rPr>
        <w:t>).</w:t>
      </w:r>
    </w:p>
    <w:p w14:paraId="6F21E34E" w14:textId="7B1F3BCD" w:rsidR="002C386E" w:rsidRPr="00912A0D" w:rsidRDefault="002C386E" w:rsidP="002C386E">
      <w:pPr>
        <w:rPr>
          <w:noProof/>
        </w:rPr>
      </w:pPr>
      <w:r w:rsidRPr="00912A0D">
        <w:rPr>
          <w:noProof/>
        </w:rPr>
        <w:t xml:space="preserve">Nowell, L.S., </w:t>
      </w:r>
      <w:r w:rsidR="00FF7D4E">
        <w:rPr>
          <w:noProof/>
        </w:rPr>
        <w:t>et a</w:t>
      </w:r>
      <w:r w:rsidR="00F833F5">
        <w:rPr>
          <w:noProof/>
        </w:rPr>
        <w:t>l.</w:t>
      </w:r>
      <w:r w:rsidRPr="00912A0D">
        <w:rPr>
          <w:noProof/>
        </w:rPr>
        <w:t xml:space="preserve"> (2017) </w:t>
      </w:r>
      <w:r w:rsidR="005D7101">
        <w:rPr>
          <w:noProof/>
        </w:rPr>
        <w:t>‘</w:t>
      </w:r>
      <w:r w:rsidRPr="00912A0D">
        <w:rPr>
          <w:noProof/>
        </w:rPr>
        <w:t>Thematic analysis: Striving to meet the trustworthiness criteria</w:t>
      </w:r>
      <w:r w:rsidR="00452F91">
        <w:rPr>
          <w:noProof/>
        </w:rPr>
        <w:t>’,</w:t>
      </w:r>
      <w:r w:rsidRPr="00912A0D">
        <w:rPr>
          <w:noProof/>
        </w:rPr>
        <w:t> </w:t>
      </w:r>
      <w:r w:rsidRPr="00912A0D">
        <w:rPr>
          <w:i/>
          <w:iCs/>
          <w:noProof/>
        </w:rPr>
        <w:t>International Journal of Qualitative Methods</w:t>
      </w:r>
      <w:r w:rsidRPr="00912A0D">
        <w:rPr>
          <w:noProof/>
        </w:rPr>
        <w:t xml:space="preserve">, 16(1), pp. 1-13. </w:t>
      </w:r>
    </w:p>
    <w:p w14:paraId="021A21B3" w14:textId="5B97743A" w:rsidR="002C386E" w:rsidRPr="00912A0D" w:rsidRDefault="002C386E" w:rsidP="002C386E">
      <w:pPr>
        <w:rPr>
          <w:noProof/>
        </w:rPr>
      </w:pPr>
      <w:r w:rsidRPr="00912A0D">
        <w:rPr>
          <w:noProof/>
        </w:rPr>
        <w:t>Public Health England (2020) </w:t>
      </w:r>
      <w:r w:rsidRPr="00912A0D">
        <w:rPr>
          <w:i/>
          <w:iCs/>
          <w:noProof/>
        </w:rPr>
        <w:t>National Child Measurement Programme: operational guidance</w:t>
      </w:r>
      <w:r w:rsidRPr="00912A0D">
        <w:rPr>
          <w:noProof/>
        </w:rPr>
        <w:t>. Available at: </w:t>
      </w:r>
      <w:hyperlink r:id="rId19" w:tgtFrame="_blank" w:history="1">
        <w:r w:rsidRPr="00912A0D">
          <w:rPr>
            <w:rStyle w:val="Hyperlink"/>
            <w:noProof/>
          </w:rPr>
          <w:t>https://www.gov.uk/government/publications/national-child-measurement-programme-operational-guidance</w:t>
        </w:r>
      </w:hyperlink>
      <w:r w:rsidR="00C35BCC">
        <w:rPr>
          <w:noProof/>
        </w:rPr>
        <w:t>.</w:t>
      </w:r>
      <w:r w:rsidR="006B5D9F">
        <w:rPr>
          <w:noProof/>
        </w:rPr>
        <w:t xml:space="preserve"> (A</w:t>
      </w:r>
      <w:r w:rsidRPr="00912A0D">
        <w:rPr>
          <w:noProof/>
        </w:rPr>
        <w:t>ccessed:</w:t>
      </w:r>
      <w:r w:rsidR="006E77E8">
        <w:rPr>
          <w:noProof/>
        </w:rPr>
        <w:t xml:space="preserve"> </w:t>
      </w:r>
      <w:r w:rsidR="00280EFA">
        <w:rPr>
          <w:noProof/>
        </w:rPr>
        <w:t>10</w:t>
      </w:r>
      <w:r w:rsidR="00280EFA" w:rsidRPr="00280EFA">
        <w:rPr>
          <w:noProof/>
          <w:vertAlign w:val="superscript"/>
        </w:rPr>
        <w:t>th</w:t>
      </w:r>
      <w:r w:rsidR="00280EFA">
        <w:rPr>
          <w:noProof/>
        </w:rPr>
        <w:t xml:space="preserve"> </w:t>
      </w:r>
      <w:r w:rsidR="00146238">
        <w:rPr>
          <w:noProof/>
        </w:rPr>
        <w:t>Febru</w:t>
      </w:r>
      <w:r w:rsidR="002C4DB5">
        <w:rPr>
          <w:noProof/>
        </w:rPr>
        <w:t>ary 2</w:t>
      </w:r>
      <w:r w:rsidR="00946631">
        <w:rPr>
          <w:noProof/>
        </w:rPr>
        <w:t>026</w:t>
      </w:r>
      <w:r w:rsidR="00C31D1D">
        <w:rPr>
          <w:noProof/>
        </w:rPr>
        <w:t>)</w:t>
      </w:r>
      <w:r w:rsidRPr="00912A0D">
        <w:rPr>
          <w:noProof/>
        </w:rPr>
        <w:t>.</w:t>
      </w:r>
    </w:p>
    <w:p w14:paraId="3F8B74F8" w14:textId="2A29E8CB" w:rsidR="002C386E" w:rsidRPr="00912A0D" w:rsidRDefault="002C386E" w:rsidP="002C386E">
      <w:pPr>
        <w:rPr>
          <w:noProof/>
        </w:rPr>
      </w:pPr>
      <w:r w:rsidRPr="00912A0D">
        <w:rPr>
          <w:noProof/>
        </w:rPr>
        <w:t>Surabhi, S., &amp; Singh, A. (2021) </w:t>
      </w:r>
      <w:r w:rsidR="00CD4D11">
        <w:rPr>
          <w:noProof/>
        </w:rPr>
        <w:t>‘</w:t>
      </w:r>
      <w:r w:rsidRPr="00912A0D">
        <w:rPr>
          <w:noProof/>
        </w:rPr>
        <w:t>Ethical considerations in secondary data analysis</w:t>
      </w:r>
      <w:r w:rsidR="007A7A0C">
        <w:rPr>
          <w:noProof/>
        </w:rPr>
        <w:t>’</w:t>
      </w:r>
      <w:r w:rsidR="00056451">
        <w:rPr>
          <w:noProof/>
        </w:rPr>
        <w:t>,</w:t>
      </w:r>
      <w:r w:rsidR="00655947">
        <w:rPr>
          <w:noProof/>
        </w:rPr>
        <w:t xml:space="preserve"> </w:t>
      </w:r>
      <w:r w:rsidRPr="00912A0D">
        <w:rPr>
          <w:i/>
          <w:iCs/>
          <w:noProof/>
        </w:rPr>
        <w:t>Indian Journal of Medical Ethics</w:t>
      </w:r>
      <w:r w:rsidRPr="00912A0D">
        <w:rPr>
          <w:noProof/>
        </w:rPr>
        <w:t>, 6(3), pp. 237-240.</w:t>
      </w:r>
    </w:p>
    <w:p w14:paraId="641316A0" w14:textId="6F7916C0" w:rsidR="002C386E" w:rsidRPr="00912A0D" w:rsidRDefault="002C386E" w:rsidP="002C386E">
      <w:pPr>
        <w:rPr>
          <w:noProof/>
        </w:rPr>
      </w:pPr>
      <w:r w:rsidRPr="00912A0D">
        <w:rPr>
          <w:noProof/>
        </w:rPr>
        <w:t>Viner, R.M., et al. (2024) </w:t>
      </w:r>
      <w:r w:rsidR="00BC12EE">
        <w:rPr>
          <w:noProof/>
        </w:rPr>
        <w:t>‘</w:t>
      </w:r>
      <w:r w:rsidRPr="00912A0D">
        <w:rPr>
          <w:noProof/>
        </w:rPr>
        <w:t>Psychological impacts of the National Child Measurement Programme feedback letters: a qualitative review</w:t>
      </w:r>
      <w:r w:rsidR="005264AB">
        <w:rPr>
          <w:noProof/>
        </w:rPr>
        <w:t xml:space="preserve">’, </w:t>
      </w:r>
      <w:r w:rsidRPr="00912A0D">
        <w:rPr>
          <w:i/>
          <w:iCs/>
          <w:noProof/>
        </w:rPr>
        <w:t>BMC Public Health</w:t>
      </w:r>
      <w:r w:rsidRPr="00912A0D">
        <w:rPr>
          <w:noProof/>
        </w:rPr>
        <w:t>, 24(1), p. 54.</w:t>
      </w:r>
    </w:p>
    <w:p w14:paraId="44FFC2CD" w14:textId="77777777" w:rsidR="00322B10" w:rsidRPr="00912A0D" w:rsidRDefault="00322B10" w:rsidP="00322B10">
      <w:pPr>
        <w:rPr>
          <w:noProof/>
        </w:rPr>
      </w:pPr>
    </w:p>
    <w:p w14:paraId="2D9C9681" w14:textId="77777777" w:rsidR="00322B10" w:rsidRPr="00F52F83" w:rsidRDefault="00322B10" w:rsidP="00322B10">
      <w:pPr>
        <w:spacing w:line="360" w:lineRule="auto"/>
        <w:rPr>
          <w:rFonts w:ascii="Aptos" w:hAnsi="Aptos"/>
          <w:noProof/>
        </w:rPr>
      </w:pPr>
    </w:p>
    <w:p w14:paraId="3DCFD9D3" w14:textId="040F8372" w:rsidR="001D273F" w:rsidRDefault="001D273F" w:rsidP="001D273F">
      <w:pPr>
        <w:pStyle w:val="ListParagraph"/>
        <w:spacing w:line="480" w:lineRule="auto"/>
        <w:jc w:val="both"/>
      </w:pPr>
    </w:p>
    <w:sectPr w:rsidR="001D273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A8D7CF" w14:textId="77777777" w:rsidR="00493D0F" w:rsidRDefault="00493D0F">
      <w:pPr>
        <w:spacing w:after="0"/>
      </w:pPr>
      <w:r>
        <w:separator/>
      </w:r>
    </w:p>
  </w:endnote>
  <w:endnote w:type="continuationSeparator" w:id="0">
    <w:p w14:paraId="3D6CC2EB" w14:textId="77777777" w:rsidR="00493D0F" w:rsidRDefault="00493D0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webkit-standard">
    <w:altName w:val="Cambria"/>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43522C" w14:textId="77777777" w:rsidR="00493D0F" w:rsidRDefault="00493D0F">
      <w:pPr>
        <w:spacing w:after="0"/>
      </w:pPr>
      <w:r>
        <w:separator/>
      </w:r>
    </w:p>
  </w:footnote>
  <w:footnote w:type="continuationSeparator" w:id="0">
    <w:p w14:paraId="52230DF0" w14:textId="77777777" w:rsidR="00493D0F" w:rsidRDefault="00493D0F">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9265AC" w14:textId="77777777" w:rsidR="00CE54A3" w:rsidRDefault="00CE54A3">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A36E83" w14:textId="77777777" w:rsidR="00CE54A3" w:rsidRDefault="00CE54A3">
    <w:pPr>
      <w:pStyle w:val="Header"/>
    </w:pPr>
  </w:p>
  <w:p w14:paraId="45D356D4" w14:textId="77777777" w:rsidR="00CE54A3" w:rsidRDefault="00CE54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E2E432B"/>
    <w:multiLevelType w:val="multilevel"/>
    <w:tmpl w:val="20468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522343">
    <w:abstractNumId w:val="1"/>
  </w:num>
  <w:num w:numId="2" w16cid:durableId="212468278">
    <w:abstractNumId w:val="0"/>
  </w:num>
  <w:num w:numId="3" w16cid:durableId="5371336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7AF"/>
    <w:rsid w:val="0004674B"/>
    <w:rsid w:val="00056451"/>
    <w:rsid w:val="00072C16"/>
    <w:rsid w:val="0007607E"/>
    <w:rsid w:val="00083B07"/>
    <w:rsid w:val="000A4AB7"/>
    <w:rsid w:val="000C114D"/>
    <w:rsid w:val="000D4F3E"/>
    <w:rsid w:val="000F32B5"/>
    <w:rsid w:val="0012184B"/>
    <w:rsid w:val="001247C9"/>
    <w:rsid w:val="0012525D"/>
    <w:rsid w:val="00127E05"/>
    <w:rsid w:val="00140F99"/>
    <w:rsid w:val="00146238"/>
    <w:rsid w:val="001548B6"/>
    <w:rsid w:val="00162636"/>
    <w:rsid w:val="00166D48"/>
    <w:rsid w:val="00172E0A"/>
    <w:rsid w:val="00175C09"/>
    <w:rsid w:val="00182D2A"/>
    <w:rsid w:val="0019105B"/>
    <w:rsid w:val="001A119E"/>
    <w:rsid w:val="001A2F12"/>
    <w:rsid w:val="001B5F09"/>
    <w:rsid w:val="001C7DBF"/>
    <w:rsid w:val="001D273F"/>
    <w:rsid w:val="001E4F14"/>
    <w:rsid w:val="001F056B"/>
    <w:rsid w:val="001F3B1C"/>
    <w:rsid w:val="0021001A"/>
    <w:rsid w:val="00217F61"/>
    <w:rsid w:val="002341B6"/>
    <w:rsid w:val="00234DEF"/>
    <w:rsid w:val="00240823"/>
    <w:rsid w:val="0025666F"/>
    <w:rsid w:val="00280EFA"/>
    <w:rsid w:val="002848E5"/>
    <w:rsid w:val="0029247D"/>
    <w:rsid w:val="002C28C0"/>
    <w:rsid w:val="002C386E"/>
    <w:rsid w:val="002C4DB5"/>
    <w:rsid w:val="002C5A61"/>
    <w:rsid w:val="002D3B34"/>
    <w:rsid w:val="00300BC9"/>
    <w:rsid w:val="00316CE9"/>
    <w:rsid w:val="00322B10"/>
    <w:rsid w:val="003251B4"/>
    <w:rsid w:val="003346EC"/>
    <w:rsid w:val="00344AC8"/>
    <w:rsid w:val="00346240"/>
    <w:rsid w:val="003517AF"/>
    <w:rsid w:val="00353E4C"/>
    <w:rsid w:val="00354F07"/>
    <w:rsid w:val="00357690"/>
    <w:rsid w:val="00362685"/>
    <w:rsid w:val="00375CEE"/>
    <w:rsid w:val="00385976"/>
    <w:rsid w:val="00385F8A"/>
    <w:rsid w:val="00390F0A"/>
    <w:rsid w:val="003D2621"/>
    <w:rsid w:val="003D5EF3"/>
    <w:rsid w:val="003E1D19"/>
    <w:rsid w:val="00406E50"/>
    <w:rsid w:val="00413236"/>
    <w:rsid w:val="00417198"/>
    <w:rsid w:val="00430010"/>
    <w:rsid w:val="00431757"/>
    <w:rsid w:val="00446AE6"/>
    <w:rsid w:val="00452F91"/>
    <w:rsid w:val="004550B7"/>
    <w:rsid w:val="004764C7"/>
    <w:rsid w:val="00477F3B"/>
    <w:rsid w:val="00480D2F"/>
    <w:rsid w:val="00493D0F"/>
    <w:rsid w:val="00495964"/>
    <w:rsid w:val="004A5D90"/>
    <w:rsid w:val="004B31E2"/>
    <w:rsid w:val="004D234F"/>
    <w:rsid w:val="004E2087"/>
    <w:rsid w:val="004E6F09"/>
    <w:rsid w:val="004F1D6A"/>
    <w:rsid w:val="004F76CD"/>
    <w:rsid w:val="00504742"/>
    <w:rsid w:val="00514EAC"/>
    <w:rsid w:val="0051635B"/>
    <w:rsid w:val="00516A85"/>
    <w:rsid w:val="005264AB"/>
    <w:rsid w:val="00533023"/>
    <w:rsid w:val="00542BC3"/>
    <w:rsid w:val="005479CF"/>
    <w:rsid w:val="00571FC6"/>
    <w:rsid w:val="00580424"/>
    <w:rsid w:val="005865B2"/>
    <w:rsid w:val="005B06D1"/>
    <w:rsid w:val="005D17C2"/>
    <w:rsid w:val="005D7101"/>
    <w:rsid w:val="005F0787"/>
    <w:rsid w:val="006052D7"/>
    <w:rsid w:val="006063C8"/>
    <w:rsid w:val="0065221E"/>
    <w:rsid w:val="00655947"/>
    <w:rsid w:val="006614BC"/>
    <w:rsid w:val="00687DD4"/>
    <w:rsid w:val="006926A2"/>
    <w:rsid w:val="00693E92"/>
    <w:rsid w:val="00695179"/>
    <w:rsid w:val="006A017C"/>
    <w:rsid w:val="006A595C"/>
    <w:rsid w:val="006B5D9F"/>
    <w:rsid w:val="006B74C5"/>
    <w:rsid w:val="006B7B87"/>
    <w:rsid w:val="006D04F2"/>
    <w:rsid w:val="006D17BF"/>
    <w:rsid w:val="006E77E8"/>
    <w:rsid w:val="00705980"/>
    <w:rsid w:val="00710E45"/>
    <w:rsid w:val="00712A0A"/>
    <w:rsid w:val="007230D7"/>
    <w:rsid w:val="0074704F"/>
    <w:rsid w:val="00754869"/>
    <w:rsid w:val="00777127"/>
    <w:rsid w:val="0078364C"/>
    <w:rsid w:val="007A725C"/>
    <w:rsid w:val="007A7A0C"/>
    <w:rsid w:val="007C4551"/>
    <w:rsid w:val="007C67BF"/>
    <w:rsid w:val="007F4009"/>
    <w:rsid w:val="00804846"/>
    <w:rsid w:val="00833E0E"/>
    <w:rsid w:val="008346C7"/>
    <w:rsid w:val="008477C8"/>
    <w:rsid w:val="00856044"/>
    <w:rsid w:val="0089256F"/>
    <w:rsid w:val="00895328"/>
    <w:rsid w:val="008A138F"/>
    <w:rsid w:val="008A2F63"/>
    <w:rsid w:val="008A69EE"/>
    <w:rsid w:val="008D5B43"/>
    <w:rsid w:val="008E2DEF"/>
    <w:rsid w:val="008F78BA"/>
    <w:rsid w:val="0090432B"/>
    <w:rsid w:val="00912A0D"/>
    <w:rsid w:val="0091486A"/>
    <w:rsid w:val="00946631"/>
    <w:rsid w:val="009547B9"/>
    <w:rsid w:val="00970D90"/>
    <w:rsid w:val="00980038"/>
    <w:rsid w:val="00996FC7"/>
    <w:rsid w:val="009A32AE"/>
    <w:rsid w:val="009A5068"/>
    <w:rsid w:val="009C1DFC"/>
    <w:rsid w:val="009C5406"/>
    <w:rsid w:val="009D1487"/>
    <w:rsid w:val="009D6939"/>
    <w:rsid w:val="009E03D8"/>
    <w:rsid w:val="009E1868"/>
    <w:rsid w:val="00A047D9"/>
    <w:rsid w:val="00A0536A"/>
    <w:rsid w:val="00A33D00"/>
    <w:rsid w:val="00A61FA6"/>
    <w:rsid w:val="00A65067"/>
    <w:rsid w:val="00A73956"/>
    <w:rsid w:val="00A81DB5"/>
    <w:rsid w:val="00A909CA"/>
    <w:rsid w:val="00A976FA"/>
    <w:rsid w:val="00AA2BE1"/>
    <w:rsid w:val="00AC133D"/>
    <w:rsid w:val="00AE2314"/>
    <w:rsid w:val="00AF05E9"/>
    <w:rsid w:val="00AF4F7F"/>
    <w:rsid w:val="00B1657B"/>
    <w:rsid w:val="00B244D9"/>
    <w:rsid w:val="00B31396"/>
    <w:rsid w:val="00B50749"/>
    <w:rsid w:val="00B62A52"/>
    <w:rsid w:val="00B66659"/>
    <w:rsid w:val="00B739EA"/>
    <w:rsid w:val="00BA0DEC"/>
    <w:rsid w:val="00BA10A0"/>
    <w:rsid w:val="00BA4937"/>
    <w:rsid w:val="00BA6BC4"/>
    <w:rsid w:val="00BC12EE"/>
    <w:rsid w:val="00BC631E"/>
    <w:rsid w:val="00BE2DD8"/>
    <w:rsid w:val="00BF6381"/>
    <w:rsid w:val="00BF7CB7"/>
    <w:rsid w:val="00C13029"/>
    <w:rsid w:val="00C23B00"/>
    <w:rsid w:val="00C31D1D"/>
    <w:rsid w:val="00C35BCC"/>
    <w:rsid w:val="00C43187"/>
    <w:rsid w:val="00C53CA2"/>
    <w:rsid w:val="00C57D3D"/>
    <w:rsid w:val="00C62E35"/>
    <w:rsid w:val="00C64DDE"/>
    <w:rsid w:val="00C66145"/>
    <w:rsid w:val="00C80DDB"/>
    <w:rsid w:val="00C96699"/>
    <w:rsid w:val="00CA54E2"/>
    <w:rsid w:val="00CB5B23"/>
    <w:rsid w:val="00CD4D11"/>
    <w:rsid w:val="00CE12CD"/>
    <w:rsid w:val="00CE4442"/>
    <w:rsid w:val="00CE54A3"/>
    <w:rsid w:val="00CF4C18"/>
    <w:rsid w:val="00D05C97"/>
    <w:rsid w:val="00D137DB"/>
    <w:rsid w:val="00D21CF8"/>
    <w:rsid w:val="00D23C49"/>
    <w:rsid w:val="00D27029"/>
    <w:rsid w:val="00D407CF"/>
    <w:rsid w:val="00D41732"/>
    <w:rsid w:val="00D54554"/>
    <w:rsid w:val="00D62383"/>
    <w:rsid w:val="00D62411"/>
    <w:rsid w:val="00D76EF4"/>
    <w:rsid w:val="00D80730"/>
    <w:rsid w:val="00D9003A"/>
    <w:rsid w:val="00DB64DF"/>
    <w:rsid w:val="00E25307"/>
    <w:rsid w:val="00E335B2"/>
    <w:rsid w:val="00E50A5A"/>
    <w:rsid w:val="00E541BC"/>
    <w:rsid w:val="00E66565"/>
    <w:rsid w:val="00E67109"/>
    <w:rsid w:val="00EB37AF"/>
    <w:rsid w:val="00EB7BC5"/>
    <w:rsid w:val="00EC7C9F"/>
    <w:rsid w:val="00F01F80"/>
    <w:rsid w:val="00F1009C"/>
    <w:rsid w:val="00F17B07"/>
    <w:rsid w:val="00F23ED0"/>
    <w:rsid w:val="00F34E43"/>
    <w:rsid w:val="00F36440"/>
    <w:rsid w:val="00F40E67"/>
    <w:rsid w:val="00F62F88"/>
    <w:rsid w:val="00F64E78"/>
    <w:rsid w:val="00F65AB9"/>
    <w:rsid w:val="00F7293E"/>
    <w:rsid w:val="00F833F5"/>
    <w:rsid w:val="00FA6656"/>
    <w:rsid w:val="00FB4697"/>
    <w:rsid w:val="00FD2A7B"/>
    <w:rsid w:val="00FE32B0"/>
    <w:rsid w:val="00FF7D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4110F"/>
  <w15:chartTrackingRefBased/>
  <w15:docId w15:val="{8C4563C9-615B-4573-8D1A-D7A2152D4A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2B10"/>
    <w:pPr>
      <w:spacing w:after="220" w:line="240" w:lineRule="auto"/>
    </w:pPr>
    <w:rPr>
      <w:kern w:val="0"/>
      <w:sz w:val="22"/>
      <w:szCs w:val="22"/>
      <w14:ligatures w14:val="none"/>
    </w:rPr>
  </w:style>
  <w:style w:type="paragraph" w:styleId="Heading1">
    <w:name w:val="heading 1"/>
    <w:basedOn w:val="Normal"/>
    <w:next w:val="Normal"/>
    <w:link w:val="Heading1Char"/>
    <w:uiPriority w:val="9"/>
    <w:qFormat/>
    <w:rsid w:val="003517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17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17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17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17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17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17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17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17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17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17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17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17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17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17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17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17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17AF"/>
    <w:rPr>
      <w:rFonts w:eastAsiaTheme="majorEastAsia" w:cstheme="majorBidi"/>
      <w:color w:val="272727" w:themeColor="text1" w:themeTint="D8"/>
    </w:rPr>
  </w:style>
  <w:style w:type="paragraph" w:styleId="Title">
    <w:name w:val="Title"/>
    <w:basedOn w:val="Normal"/>
    <w:next w:val="Normal"/>
    <w:link w:val="TitleChar"/>
    <w:uiPriority w:val="10"/>
    <w:qFormat/>
    <w:rsid w:val="003517A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17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17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17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17AF"/>
    <w:pPr>
      <w:spacing w:before="160"/>
      <w:jc w:val="center"/>
    </w:pPr>
    <w:rPr>
      <w:i/>
      <w:iCs/>
      <w:color w:val="404040" w:themeColor="text1" w:themeTint="BF"/>
    </w:rPr>
  </w:style>
  <w:style w:type="character" w:customStyle="1" w:styleId="QuoteChar">
    <w:name w:val="Quote Char"/>
    <w:basedOn w:val="DefaultParagraphFont"/>
    <w:link w:val="Quote"/>
    <w:uiPriority w:val="29"/>
    <w:rsid w:val="003517AF"/>
    <w:rPr>
      <w:i/>
      <w:iCs/>
      <w:color w:val="404040" w:themeColor="text1" w:themeTint="BF"/>
    </w:rPr>
  </w:style>
  <w:style w:type="paragraph" w:styleId="ListParagraph">
    <w:name w:val="List Paragraph"/>
    <w:basedOn w:val="Normal"/>
    <w:uiPriority w:val="34"/>
    <w:qFormat/>
    <w:rsid w:val="003517AF"/>
    <w:pPr>
      <w:ind w:left="720"/>
      <w:contextualSpacing/>
    </w:pPr>
  </w:style>
  <w:style w:type="character" w:styleId="IntenseEmphasis">
    <w:name w:val="Intense Emphasis"/>
    <w:basedOn w:val="DefaultParagraphFont"/>
    <w:uiPriority w:val="21"/>
    <w:qFormat/>
    <w:rsid w:val="003517AF"/>
    <w:rPr>
      <w:i/>
      <w:iCs/>
      <w:color w:val="0F4761" w:themeColor="accent1" w:themeShade="BF"/>
    </w:rPr>
  </w:style>
  <w:style w:type="paragraph" w:styleId="IntenseQuote">
    <w:name w:val="Intense Quote"/>
    <w:basedOn w:val="Normal"/>
    <w:next w:val="Normal"/>
    <w:link w:val="IntenseQuoteChar"/>
    <w:uiPriority w:val="30"/>
    <w:qFormat/>
    <w:rsid w:val="003517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17AF"/>
    <w:rPr>
      <w:i/>
      <w:iCs/>
      <w:color w:val="0F4761" w:themeColor="accent1" w:themeShade="BF"/>
    </w:rPr>
  </w:style>
  <w:style w:type="character" w:styleId="IntenseReference">
    <w:name w:val="Intense Reference"/>
    <w:basedOn w:val="DefaultParagraphFont"/>
    <w:uiPriority w:val="32"/>
    <w:qFormat/>
    <w:rsid w:val="003517AF"/>
    <w:rPr>
      <w:b/>
      <w:bCs/>
      <w:smallCaps/>
      <w:color w:val="0F4761" w:themeColor="accent1" w:themeShade="BF"/>
      <w:spacing w:val="5"/>
    </w:rPr>
  </w:style>
  <w:style w:type="table" w:styleId="TableGrid">
    <w:name w:val="Table Grid"/>
    <w:basedOn w:val="TableNormal"/>
    <w:uiPriority w:val="39"/>
    <w:rsid w:val="00322B10"/>
    <w:pPr>
      <w:spacing w:after="22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rsid w:val="00322B10"/>
    <w:pPr>
      <w:spacing w:after="0"/>
    </w:pPr>
  </w:style>
  <w:style w:type="character" w:customStyle="1" w:styleId="HeaderChar">
    <w:name w:val="Header Char"/>
    <w:basedOn w:val="DefaultParagraphFont"/>
    <w:link w:val="Header"/>
    <w:uiPriority w:val="99"/>
    <w:rsid w:val="00322B10"/>
    <w:rPr>
      <w:kern w:val="0"/>
      <w:sz w:val="22"/>
      <w:szCs w:val="22"/>
      <w14:ligatures w14:val="none"/>
    </w:rPr>
  </w:style>
  <w:style w:type="paragraph" w:styleId="NormalWeb">
    <w:name w:val="Normal (Web)"/>
    <w:basedOn w:val="Normal"/>
    <w:uiPriority w:val="99"/>
    <w:semiHidden/>
    <w:unhideWhenUsed/>
    <w:rsid w:val="00B739EA"/>
    <w:rPr>
      <w:rFonts w:ascii="Times New Roman" w:hAnsi="Times New Roman" w:cs="Times New Roman"/>
      <w:sz w:val="24"/>
      <w:szCs w:val="24"/>
    </w:rPr>
  </w:style>
  <w:style w:type="character" w:styleId="Hyperlink">
    <w:name w:val="Hyperlink"/>
    <w:basedOn w:val="DefaultParagraphFont"/>
    <w:uiPriority w:val="99"/>
    <w:unhideWhenUsed/>
    <w:rsid w:val="002C386E"/>
    <w:rPr>
      <w:color w:val="467886" w:themeColor="hyperlink"/>
      <w:u w:val="single"/>
    </w:rPr>
  </w:style>
  <w:style w:type="character" w:styleId="UnresolvedMention">
    <w:name w:val="Unresolved Mention"/>
    <w:basedOn w:val="DefaultParagraphFont"/>
    <w:uiPriority w:val="99"/>
    <w:semiHidden/>
    <w:unhideWhenUsed/>
    <w:rsid w:val="002C386E"/>
    <w:rPr>
      <w:color w:val="605E5C"/>
      <w:shd w:val="clear" w:color="auto" w:fill="E1DFDD"/>
    </w:rPr>
  </w:style>
  <w:style w:type="character" w:styleId="FollowedHyperlink">
    <w:name w:val="FollowedHyperlink"/>
    <w:basedOn w:val="DefaultParagraphFont"/>
    <w:uiPriority w:val="99"/>
    <w:semiHidden/>
    <w:unhideWhenUsed/>
    <w:rsid w:val="002C5A61"/>
    <w:rPr>
      <w:color w:val="96607D" w:themeColor="followedHyperlink"/>
      <w:u w:val="single"/>
    </w:rPr>
  </w:style>
  <w:style w:type="paragraph" w:styleId="Footer">
    <w:name w:val="footer"/>
    <w:basedOn w:val="Normal"/>
    <w:link w:val="FooterChar"/>
    <w:uiPriority w:val="99"/>
    <w:semiHidden/>
    <w:unhideWhenUsed/>
    <w:rsid w:val="00E50A5A"/>
    <w:pPr>
      <w:tabs>
        <w:tab w:val="center" w:pos="4513"/>
        <w:tab w:val="right" w:pos="9026"/>
      </w:tabs>
      <w:spacing w:after="0"/>
    </w:pPr>
  </w:style>
  <w:style w:type="character" w:customStyle="1" w:styleId="FooterChar">
    <w:name w:val="Footer Char"/>
    <w:basedOn w:val="DefaultParagraphFont"/>
    <w:link w:val="Footer"/>
    <w:uiPriority w:val="99"/>
    <w:semiHidden/>
    <w:rsid w:val="00E50A5A"/>
    <w:rPr>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diagramQuickStyle" Target="diagrams/quickStyle1.xml"/><Relationship Id="rId18" Type="http://schemas.openxmlformats.org/officeDocument/2006/relationships/hyperlink" Target="https://digital.nhs.uk/data-and-information/publications/statistical/national-child-measurement-programme/2022-23-school-year"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diagramLayout" Target="diagrams/layout1.xml"/><Relationship Id="rId17" Type="http://schemas.openxmlformats.org/officeDocument/2006/relationships/hyperlink" Target="https://www.gov.uk/government/publications/childhood-obesity-a-plan-for-action" TargetMode="External"/><Relationship Id="rId2" Type="http://schemas.openxmlformats.org/officeDocument/2006/relationships/styles" Target="styles.xml"/><Relationship Id="rId16" Type="http://schemas.openxmlformats.org/officeDocument/2006/relationships/hyperlink" Target="https://www.bma.org.uk/media/v34b4qyq/bma-embargo-ultra-processed-food-report-_final.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Data" Target="diagrams/data1.xml"/><Relationship Id="rId5" Type="http://schemas.openxmlformats.org/officeDocument/2006/relationships/footnotes" Target="footnotes.xml"/><Relationship Id="rId15" Type="http://schemas.microsoft.com/office/2007/relationships/diagramDrawing" Target="diagrams/drawing1.xml"/><Relationship Id="rId10" Type="http://schemas.openxmlformats.org/officeDocument/2006/relationships/image" Target="media/image2.png"/><Relationship Id="rId19" Type="http://schemas.openxmlformats.org/officeDocument/2006/relationships/hyperlink" Target="https://www.gov.uk/government/publications/national-child-measurement-programme-operational-guidance" TargetMode="Externa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34D104-7D93-4DC9-AA78-CFDC22EB2B7D}"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D895BCAF-11FD-4161-9460-71155FF594D5}">
      <dgm:prSet>
        <dgm:style>
          <a:lnRef idx="2">
            <a:schemeClr val="dk1"/>
          </a:lnRef>
          <a:fillRef idx="1">
            <a:schemeClr val="lt1"/>
          </a:fillRef>
          <a:effectRef idx="0">
            <a:schemeClr val="dk1"/>
          </a:effectRef>
          <a:fontRef idx="minor">
            <a:schemeClr val="dk1"/>
          </a:fontRef>
        </dgm:style>
      </dgm:prSet>
      <dgm:spPr>
        <a:solidFill>
          <a:schemeClr val="accent5">
            <a:lumMod val="75000"/>
          </a:schemeClr>
        </a:solidFill>
      </dgm:spPr>
      <dgm:t>
        <a:bodyPr/>
        <a:lstStyle/>
        <a:p>
          <a:pPr>
            <a:lnSpc>
              <a:spcPct val="150000"/>
            </a:lnSpc>
          </a:pPr>
          <a:r>
            <a:rPr lang="en-GB" b="1" i="0">
              <a:solidFill>
                <a:schemeClr val="bg1"/>
              </a:solidFill>
              <a:latin typeface="Aptos" panose="020B0004020202020204" pitchFamily="34" charset="0"/>
            </a:rPr>
            <a:t>Respect for Intellectual Property:</a:t>
          </a:r>
          <a:endParaRPr lang="en-GB">
            <a:solidFill>
              <a:schemeClr val="bg1"/>
            </a:solidFill>
            <a:latin typeface="Aptos" panose="020B0004020202020204" pitchFamily="34" charset="0"/>
          </a:endParaRPr>
        </a:p>
      </dgm:t>
    </dgm:pt>
    <dgm:pt modelId="{1D8F6D8C-F89F-400C-A451-06369F630D13}" type="sibTrans" cxnId="{56DD223B-87BE-41AD-A123-502044CB6C82}">
      <dgm:prSet/>
      <dgm:spPr/>
      <dgm:t>
        <a:bodyPr/>
        <a:lstStyle/>
        <a:p>
          <a:pPr>
            <a:lnSpc>
              <a:spcPct val="150000"/>
            </a:lnSpc>
          </a:pPr>
          <a:endParaRPr lang="en-GB">
            <a:latin typeface="Aptos" panose="020B0004020202020204" pitchFamily="34" charset="0"/>
          </a:endParaRPr>
        </a:p>
      </dgm:t>
    </dgm:pt>
    <dgm:pt modelId="{55C24B6C-44F8-45FA-AE8C-D7852F8F756E}" type="parTrans" cxnId="{56DD223B-87BE-41AD-A123-502044CB6C82}">
      <dgm:prSet/>
      <dgm:spPr/>
      <dgm:t>
        <a:bodyPr/>
        <a:lstStyle/>
        <a:p>
          <a:pPr>
            <a:lnSpc>
              <a:spcPct val="150000"/>
            </a:lnSpc>
          </a:pPr>
          <a:endParaRPr lang="en-GB">
            <a:latin typeface="Aptos" panose="020B0004020202020204" pitchFamily="34" charset="0"/>
          </a:endParaRPr>
        </a:p>
      </dgm:t>
    </dgm:pt>
    <dgm:pt modelId="{DD8DD7F7-557F-4529-952E-996BE575A6CC}">
      <dgm:prSet/>
      <dgm:spPr>
        <a:solidFill>
          <a:schemeClr val="accent5">
            <a:lumMod val="20000"/>
            <a:lumOff val="80000"/>
            <a:alpha val="90000"/>
          </a:schemeClr>
        </a:solidFill>
      </dgm:spPr>
      <dgm:t>
        <a:bodyPr/>
        <a:lstStyle/>
        <a:p>
          <a:pPr>
            <a:lnSpc>
              <a:spcPct val="150000"/>
            </a:lnSpc>
          </a:pPr>
          <a:r>
            <a:rPr lang="en-US"/>
            <a:t>Maintained strict adherence to the UWTSD Harvard Referencing style to eliminate the risk of plagiarism.</a:t>
          </a:r>
          <a:endParaRPr lang="en-GB" dirty="0">
            <a:latin typeface="Aptos" panose="020B0004020202020204" pitchFamily="34" charset="0"/>
          </a:endParaRPr>
        </a:p>
      </dgm:t>
    </dgm:pt>
    <dgm:pt modelId="{069345D4-AF17-4BE2-BEFD-16AAD453ED22}" type="sibTrans" cxnId="{DA224816-7824-4FE5-9CD1-3E0ECE27E8A0}">
      <dgm:prSet/>
      <dgm:spPr/>
      <dgm:t>
        <a:bodyPr/>
        <a:lstStyle/>
        <a:p>
          <a:pPr>
            <a:lnSpc>
              <a:spcPct val="150000"/>
            </a:lnSpc>
          </a:pPr>
          <a:endParaRPr lang="en-GB">
            <a:latin typeface="Aptos" panose="020B0004020202020204" pitchFamily="34" charset="0"/>
          </a:endParaRPr>
        </a:p>
      </dgm:t>
    </dgm:pt>
    <dgm:pt modelId="{898A7FBF-8854-4FCD-8F75-6D0A10D342BF}" type="parTrans" cxnId="{DA224816-7824-4FE5-9CD1-3E0ECE27E8A0}">
      <dgm:prSet/>
      <dgm:spPr/>
      <dgm:t>
        <a:bodyPr/>
        <a:lstStyle/>
        <a:p>
          <a:pPr>
            <a:lnSpc>
              <a:spcPct val="150000"/>
            </a:lnSpc>
          </a:pPr>
          <a:endParaRPr lang="en-GB">
            <a:latin typeface="Aptos" panose="020B0004020202020204" pitchFamily="34" charset="0"/>
          </a:endParaRPr>
        </a:p>
      </dgm:t>
    </dgm:pt>
    <dgm:pt modelId="{D2F35989-0D76-4707-8851-E95507DAC780}">
      <dgm:prSet/>
      <dgm:spPr>
        <a:solidFill>
          <a:schemeClr val="accent5">
            <a:lumMod val="75000"/>
          </a:schemeClr>
        </a:solidFill>
      </dgm:spPr>
      <dgm:t>
        <a:bodyPr/>
        <a:lstStyle/>
        <a:p>
          <a:pPr>
            <a:lnSpc>
              <a:spcPct val="150000"/>
            </a:lnSpc>
          </a:pPr>
          <a:r>
            <a:rPr lang="en-US" b="1"/>
            <a:t>Contextual Respect:</a:t>
          </a:r>
          <a:r>
            <a:rPr lang="en-US"/>
            <a:t> </a:t>
          </a:r>
          <a:endParaRPr lang="en-GB">
            <a:latin typeface="Aptos" panose="020B0004020202020204" pitchFamily="34" charset="0"/>
          </a:endParaRPr>
        </a:p>
      </dgm:t>
    </dgm:pt>
    <dgm:pt modelId="{B96B68E4-E5AE-4BB2-A658-AF9FA9406E6C}" type="sibTrans" cxnId="{CB93FF67-74EB-4163-A9EC-6469F10734D1}">
      <dgm:prSet/>
      <dgm:spPr/>
      <dgm:t>
        <a:bodyPr/>
        <a:lstStyle/>
        <a:p>
          <a:pPr>
            <a:lnSpc>
              <a:spcPct val="150000"/>
            </a:lnSpc>
          </a:pPr>
          <a:endParaRPr lang="en-GB">
            <a:latin typeface="Aptos" panose="020B0004020202020204" pitchFamily="34" charset="0"/>
          </a:endParaRPr>
        </a:p>
      </dgm:t>
    </dgm:pt>
    <dgm:pt modelId="{95A47F62-7CA1-4144-B825-A44483178729}" type="parTrans" cxnId="{CB93FF67-74EB-4163-A9EC-6469F10734D1}">
      <dgm:prSet/>
      <dgm:spPr/>
      <dgm:t>
        <a:bodyPr/>
        <a:lstStyle/>
        <a:p>
          <a:pPr>
            <a:lnSpc>
              <a:spcPct val="150000"/>
            </a:lnSpc>
          </a:pPr>
          <a:endParaRPr lang="en-GB">
            <a:latin typeface="Aptos" panose="020B0004020202020204" pitchFamily="34" charset="0"/>
          </a:endParaRPr>
        </a:p>
      </dgm:t>
    </dgm:pt>
    <dgm:pt modelId="{B8AA4B07-C565-4CCF-9950-02D7DCC3515C}">
      <dgm:prSet/>
      <dgm:spPr>
        <a:solidFill>
          <a:schemeClr val="accent5">
            <a:lumMod val="20000"/>
            <a:lumOff val="80000"/>
            <a:alpha val="90000"/>
          </a:schemeClr>
        </a:solidFill>
      </dgm:spPr>
      <dgm:t>
        <a:bodyPr/>
        <a:lstStyle/>
        <a:p>
          <a:pPr>
            <a:lnSpc>
              <a:spcPct val="150000"/>
            </a:lnSpc>
          </a:pPr>
          <a:r>
            <a:rPr lang="en-US"/>
            <a:t>Ensured findings were not decontextualized to fit a narrative (e.g., carefully balancing the epidemiological utility of the NCMP data with the psychological harm it causes adolescents) </a:t>
          </a:r>
          <a:r>
            <a:rPr lang="en-US" b="0" i="0" u="none"/>
            <a:t>(Viner et al., 2024).</a:t>
          </a:r>
          <a:endParaRPr lang="en-GB" b="0">
            <a:latin typeface="Aptos" panose="020B0004020202020204" pitchFamily="34" charset="0"/>
          </a:endParaRPr>
        </a:p>
      </dgm:t>
    </dgm:pt>
    <dgm:pt modelId="{BA44317E-0141-443D-B3B3-5D8A23F7257D}" type="sibTrans" cxnId="{54E1D1F9-2D03-4A36-ADEB-7EC8EB0F85F9}">
      <dgm:prSet/>
      <dgm:spPr/>
      <dgm:t>
        <a:bodyPr/>
        <a:lstStyle/>
        <a:p>
          <a:pPr>
            <a:lnSpc>
              <a:spcPct val="150000"/>
            </a:lnSpc>
          </a:pPr>
          <a:endParaRPr lang="en-GB">
            <a:latin typeface="Aptos" panose="020B0004020202020204" pitchFamily="34" charset="0"/>
          </a:endParaRPr>
        </a:p>
      </dgm:t>
    </dgm:pt>
    <dgm:pt modelId="{7CE0ECD8-FF60-40FC-834A-69289342858B}" type="parTrans" cxnId="{54E1D1F9-2D03-4A36-ADEB-7EC8EB0F85F9}">
      <dgm:prSet/>
      <dgm:spPr/>
      <dgm:t>
        <a:bodyPr/>
        <a:lstStyle/>
        <a:p>
          <a:pPr>
            <a:lnSpc>
              <a:spcPct val="150000"/>
            </a:lnSpc>
          </a:pPr>
          <a:endParaRPr lang="en-GB">
            <a:latin typeface="Aptos" panose="020B0004020202020204" pitchFamily="34" charset="0"/>
          </a:endParaRPr>
        </a:p>
      </dgm:t>
    </dgm:pt>
    <dgm:pt modelId="{5674B894-A55E-4559-8EA7-028C3F32E4B2}">
      <dgm:prSet/>
      <dgm:spPr>
        <a:solidFill>
          <a:schemeClr val="accent5">
            <a:lumMod val="75000"/>
          </a:schemeClr>
        </a:solidFill>
      </dgm:spPr>
      <dgm:t>
        <a:bodyPr/>
        <a:lstStyle/>
        <a:p>
          <a:pPr>
            <a:lnSpc>
              <a:spcPct val="150000"/>
            </a:lnSpc>
          </a:pPr>
          <a:r>
            <a:rPr lang="en-GB" b="1" i="0">
              <a:latin typeface="Aptos" panose="020B0004020202020204" pitchFamily="34" charset="0"/>
            </a:rPr>
            <a:t>Data Integrity and Reliability:</a:t>
          </a:r>
          <a:r>
            <a:rPr lang="en-GB">
              <a:latin typeface="Aptos" panose="020B0004020202020204" pitchFamily="34" charset="0"/>
            </a:rPr>
            <a:t> </a:t>
          </a:r>
        </a:p>
      </dgm:t>
    </dgm:pt>
    <dgm:pt modelId="{94E754A5-C7C4-42B9-A350-BD17338F58B9}" type="sibTrans" cxnId="{8A48955A-FF8F-4776-99D4-D2F9A35739B0}">
      <dgm:prSet/>
      <dgm:spPr/>
      <dgm:t>
        <a:bodyPr/>
        <a:lstStyle/>
        <a:p>
          <a:pPr>
            <a:lnSpc>
              <a:spcPct val="150000"/>
            </a:lnSpc>
          </a:pPr>
          <a:endParaRPr lang="en-GB">
            <a:latin typeface="Aptos" panose="020B0004020202020204" pitchFamily="34" charset="0"/>
          </a:endParaRPr>
        </a:p>
      </dgm:t>
    </dgm:pt>
    <dgm:pt modelId="{CF4D6B60-7FC7-4A9C-B7E1-C22EA10EB381}" type="parTrans" cxnId="{8A48955A-FF8F-4776-99D4-D2F9A35739B0}">
      <dgm:prSet/>
      <dgm:spPr/>
      <dgm:t>
        <a:bodyPr/>
        <a:lstStyle/>
        <a:p>
          <a:pPr>
            <a:lnSpc>
              <a:spcPct val="150000"/>
            </a:lnSpc>
          </a:pPr>
          <a:endParaRPr lang="en-GB">
            <a:latin typeface="Aptos" panose="020B0004020202020204" pitchFamily="34" charset="0"/>
          </a:endParaRPr>
        </a:p>
      </dgm:t>
    </dgm:pt>
    <dgm:pt modelId="{31ECEDD7-80EF-414B-BE50-B610D566367B}">
      <dgm:prSet/>
      <dgm:spPr>
        <a:solidFill>
          <a:schemeClr val="accent5">
            <a:lumMod val="20000"/>
            <a:lumOff val="80000"/>
            <a:alpha val="90000"/>
          </a:schemeClr>
        </a:solidFill>
      </dgm:spPr>
      <dgm:t>
        <a:bodyPr/>
        <a:lstStyle/>
        <a:p>
          <a:pPr>
            <a:lnSpc>
              <a:spcPct val="150000"/>
            </a:lnSpc>
          </a:pPr>
          <a:r>
            <a:rPr lang="en-US"/>
            <a:t>Actively avoided "cherry-picking" data by objectively seeking out and reporting counterarguments and limitations within the literature </a:t>
          </a:r>
          <a:r>
            <a:rPr lang="en-US" b="0" i="0" u="none"/>
            <a:t>(Surabhi &amp; Singh, 2021).</a:t>
          </a:r>
          <a:endParaRPr lang="en-GB" b="0">
            <a:latin typeface="Aptos" panose="020B0004020202020204" pitchFamily="34" charset="0"/>
          </a:endParaRPr>
        </a:p>
      </dgm:t>
    </dgm:pt>
    <dgm:pt modelId="{BAE7B1D5-018D-43C6-93C5-0E28100285E0}" type="sibTrans" cxnId="{7B9CB682-0DC9-4815-951A-E787AB7CD2FE}">
      <dgm:prSet/>
      <dgm:spPr/>
      <dgm:t>
        <a:bodyPr/>
        <a:lstStyle/>
        <a:p>
          <a:pPr>
            <a:lnSpc>
              <a:spcPct val="150000"/>
            </a:lnSpc>
          </a:pPr>
          <a:endParaRPr lang="en-GB">
            <a:latin typeface="Aptos" panose="020B0004020202020204" pitchFamily="34" charset="0"/>
          </a:endParaRPr>
        </a:p>
      </dgm:t>
    </dgm:pt>
    <dgm:pt modelId="{20439AF7-F994-4596-8154-7958604637F8}" type="parTrans" cxnId="{7B9CB682-0DC9-4815-951A-E787AB7CD2FE}">
      <dgm:prSet/>
      <dgm:spPr/>
      <dgm:t>
        <a:bodyPr/>
        <a:lstStyle/>
        <a:p>
          <a:pPr>
            <a:lnSpc>
              <a:spcPct val="150000"/>
            </a:lnSpc>
          </a:pPr>
          <a:endParaRPr lang="en-GB">
            <a:latin typeface="Aptos" panose="020B0004020202020204" pitchFamily="34" charset="0"/>
          </a:endParaRPr>
        </a:p>
      </dgm:t>
    </dgm:pt>
    <dgm:pt modelId="{15D7D02F-9806-4A7F-A42D-FE7E83343FED}" type="pres">
      <dgm:prSet presAssocID="{7634D104-7D93-4DC9-AA78-CFDC22EB2B7D}" presName="Name0" presStyleCnt="0">
        <dgm:presLayoutVars>
          <dgm:dir/>
          <dgm:animLvl val="lvl"/>
          <dgm:resizeHandles val="exact"/>
        </dgm:presLayoutVars>
      </dgm:prSet>
      <dgm:spPr/>
    </dgm:pt>
    <dgm:pt modelId="{060EE54F-9EBC-4508-90E0-A71D8106BA41}" type="pres">
      <dgm:prSet presAssocID="{D895BCAF-11FD-4161-9460-71155FF594D5}" presName="composite" presStyleCnt="0"/>
      <dgm:spPr/>
    </dgm:pt>
    <dgm:pt modelId="{5E4A68E9-45A9-433C-B39E-FA98BC5055EA}" type="pres">
      <dgm:prSet presAssocID="{D895BCAF-11FD-4161-9460-71155FF594D5}" presName="parTx" presStyleLbl="alignNode1" presStyleIdx="0" presStyleCnt="3">
        <dgm:presLayoutVars>
          <dgm:chMax val="0"/>
          <dgm:chPref val="0"/>
          <dgm:bulletEnabled val="1"/>
        </dgm:presLayoutVars>
      </dgm:prSet>
      <dgm:spPr/>
    </dgm:pt>
    <dgm:pt modelId="{0916EB88-9427-4C81-A0D0-B1BC4D25BFB9}" type="pres">
      <dgm:prSet presAssocID="{D895BCAF-11FD-4161-9460-71155FF594D5}" presName="desTx" presStyleLbl="alignAccFollowNode1" presStyleIdx="0" presStyleCnt="3">
        <dgm:presLayoutVars>
          <dgm:bulletEnabled val="1"/>
        </dgm:presLayoutVars>
      </dgm:prSet>
      <dgm:spPr/>
    </dgm:pt>
    <dgm:pt modelId="{5A8A88A5-B4F4-47DC-BABC-220E75C6B14E}" type="pres">
      <dgm:prSet presAssocID="{1D8F6D8C-F89F-400C-A451-06369F630D13}" presName="space" presStyleCnt="0"/>
      <dgm:spPr/>
    </dgm:pt>
    <dgm:pt modelId="{ABE7DA82-7937-4173-A683-867FD7F4045F}" type="pres">
      <dgm:prSet presAssocID="{D2F35989-0D76-4707-8851-E95507DAC780}" presName="composite" presStyleCnt="0"/>
      <dgm:spPr/>
    </dgm:pt>
    <dgm:pt modelId="{0F07604D-46A6-4ADA-B996-B9E43A897BA8}" type="pres">
      <dgm:prSet presAssocID="{D2F35989-0D76-4707-8851-E95507DAC780}" presName="parTx" presStyleLbl="alignNode1" presStyleIdx="1" presStyleCnt="3">
        <dgm:presLayoutVars>
          <dgm:chMax val="0"/>
          <dgm:chPref val="0"/>
          <dgm:bulletEnabled val="1"/>
        </dgm:presLayoutVars>
      </dgm:prSet>
      <dgm:spPr/>
    </dgm:pt>
    <dgm:pt modelId="{D9C43641-36D4-43D5-A2FD-0F9F6D2C43BC}" type="pres">
      <dgm:prSet presAssocID="{D2F35989-0D76-4707-8851-E95507DAC780}" presName="desTx" presStyleLbl="alignAccFollowNode1" presStyleIdx="1" presStyleCnt="3">
        <dgm:presLayoutVars>
          <dgm:bulletEnabled val="1"/>
        </dgm:presLayoutVars>
      </dgm:prSet>
      <dgm:spPr/>
    </dgm:pt>
    <dgm:pt modelId="{8D77E0EF-A152-4EF7-A7FC-CC6FAF7F6B43}" type="pres">
      <dgm:prSet presAssocID="{B96B68E4-E5AE-4BB2-A658-AF9FA9406E6C}" presName="space" presStyleCnt="0"/>
      <dgm:spPr/>
    </dgm:pt>
    <dgm:pt modelId="{D3157F63-FA9E-47B4-8FF4-EE6DAC4A8479}" type="pres">
      <dgm:prSet presAssocID="{5674B894-A55E-4559-8EA7-028C3F32E4B2}" presName="composite" presStyleCnt="0"/>
      <dgm:spPr/>
    </dgm:pt>
    <dgm:pt modelId="{594F44BC-596E-4978-9BF4-2F7DCCF10A7F}" type="pres">
      <dgm:prSet presAssocID="{5674B894-A55E-4559-8EA7-028C3F32E4B2}" presName="parTx" presStyleLbl="alignNode1" presStyleIdx="2" presStyleCnt="3">
        <dgm:presLayoutVars>
          <dgm:chMax val="0"/>
          <dgm:chPref val="0"/>
          <dgm:bulletEnabled val="1"/>
        </dgm:presLayoutVars>
      </dgm:prSet>
      <dgm:spPr/>
    </dgm:pt>
    <dgm:pt modelId="{B4F89DDA-DC7D-4C4E-967D-E22B07A05DB1}" type="pres">
      <dgm:prSet presAssocID="{5674B894-A55E-4559-8EA7-028C3F32E4B2}" presName="desTx" presStyleLbl="alignAccFollowNode1" presStyleIdx="2" presStyleCnt="3">
        <dgm:presLayoutVars>
          <dgm:bulletEnabled val="1"/>
        </dgm:presLayoutVars>
      </dgm:prSet>
      <dgm:spPr/>
    </dgm:pt>
  </dgm:ptLst>
  <dgm:cxnLst>
    <dgm:cxn modelId="{DA224816-7824-4FE5-9CD1-3E0ECE27E8A0}" srcId="{D895BCAF-11FD-4161-9460-71155FF594D5}" destId="{DD8DD7F7-557F-4529-952E-996BE575A6CC}" srcOrd="0" destOrd="0" parTransId="{898A7FBF-8854-4FCD-8F75-6D0A10D342BF}" sibTransId="{069345D4-AF17-4BE2-BEFD-16AAD453ED22}"/>
    <dgm:cxn modelId="{56DD223B-87BE-41AD-A123-502044CB6C82}" srcId="{7634D104-7D93-4DC9-AA78-CFDC22EB2B7D}" destId="{D895BCAF-11FD-4161-9460-71155FF594D5}" srcOrd="0" destOrd="0" parTransId="{55C24B6C-44F8-45FA-AE8C-D7852F8F756E}" sibTransId="{1D8F6D8C-F89F-400C-A451-06369F630D13}"/>
    <dgm:cxn modelId="{399E6863-0942-4C7F-888F-D5A856FD2535}" type="presOf" srcId="{D2F35989-0D76-4707-8851-E95507DAC780}" destId="{0F07604D-46A6-4ADA-B996-B9E43A897BA8}" srcOrd="0" destOrd="0" presId="urn:microsoft.com/office/officeart/2005/8/layout/hList1"/>
    <dgm:cxn modelId="{CB93FF67-74EB-4163-A9EC-6469F10734D1}" srcId="{7634D104-7D93-4DC9-AA78-CFDC22EB2B7D}" destId="{D2F35989-0D76-4707-8851-E95507DAC780}" srcOrd="1" destOrd="0" parTransId="{95A47F62-7CA1-4144-B825-A44483178729}" sibTransId="{B96B68E4-E5AE-4BB2-A658-AF9FA9406E6C}"/>
    <dgm:cxn modelId="{6D02BE70-8BF6-45CD-ABFA-06108FDCC6B4}" type="presOf" srcId="{B8AA4B07-C565-4CCF-9950-02D7DCC3515C}" destId="{D9C43641-36D4-43D5-A2FD-0F9F6D2C43BC}" srcOrd="0" destOrd="0" presId="urn:microsoft.com/office/officeart/2005/8/layout/hList1"/>
    <dgm:cxn modelId="{8A48955A-FF8F-4776-99D4-D2F9A35739B0}" srcId="{7634D104-7D93-4DC9-AA78-CFDC22EB2B7D}" destId="{5674B894-A55E-4559-8EA7-028C3F32E4B2}" srcOrd="2" destOrd="0" parTransId="{CF4D6B60-7FC7-4A9C-B7E1-C22EA10EB381}" sibTransId="{94E754A5-C7C4-42B9-A350-BD17338F58B9}"/>
    <dgm:cxn modelId="{7B9CB682-0DC9-4815-951A-E787AB7CD2FE}" srcId="{5674B894-A55E-4559-8EA7-028C3F32E4B2}" destId="{31ECEDD7-80EF-414B-BE50-B610D566367B}" srcOrd="0" destOrd="0" parTransId="{20439AF7-F994-4596-8154-7958604637F8}" sibTransId="{BAE7B1D5-018D-43C6-93C5-0E28100285E0}"/>
    <dgm:cxn modelId="{9835A583-CD6D-42A3-B319-63D857434C2F}" type="presOf" srcId="{5674B894-A55E-4559-8EA7-028C3F32E4B2}" destId="{594F44BC-596E-4978-9BF4-2F7DCCF10A7F}" srcOrd="0" destOrd="0" presId="urn:microsoft.com/office/officeart/2005/8/layout/hList1"/>
    <dgm:cxn modelId="{E184228C-34B7-4DE5-A1F8-16A52B0ADA2D}" type="presOf" srcId="{7634D104-7D93-4DC9-AA78-CFDC22EB2B7D}" destId="{15D7D02F-9806-4A7F-A42D-FE7E83343FED}" srcOrd="0" destOrd="0" presId="urn:microsoft.com/office/officeart/2005/8/layout/hList1"/>
    <dgm:cxn modelId="{0347E8C6-F21E-4852-9890-A625EBCAFF9A}" type="presOf" srcId="{D895BCAF-11FD-4161-9460-71155FF594D5}" destId="{5E4A68E9-45A9-433C-B39E-FA98BC5055EA}" srcOrd="0" destOrd="0" presId="urn:microsoft.com/office/officeart/2005/8/layout/hList1"/>
    <dgm:cxn modelId="{69B898E8-8AC1-49BC-ACDC-C481A18F83F5}" type="presOf" srcId="{DD8DD7F7-557F-4529-952E-996BE575A6CC}" destId="{0916EB88-9427-4C81-A0D0-B1BC4D25BFB9}" srcOrd="0" destOrd="0" presId="urn:microsoft.com/office/officeart/2005/8/layout/hList1"/>
    <dgm:cxn modelId="{6BE8E3EC-C2A7-498E-A235-A16E4F8BFFEE}" type="presOf" srcId="{31ECEDD7-80EF-414B-BE50-B610D566367B}" destId="{B4F89DDA-DC7D-4C4E-967D-E22B07A05DB1}" srcOrd="0" destOrd="0" presId="urn:microsoft.com/office/officeart/2005/8/layout/hList1"/>
    <dgm:cxn modelId="{54E1D1F9-2D03-4A36-ADEB-7EC8EB0F85F9}" srcId="{D2F35989-0D76-4707-8851-E95507DAC780}" destId="{B8AA4B07-C565-4CCF-9950-02D7DCC3515C}" srcOrd="0" destOrd="0" parTransId="{7CE0ECD8-FF60-40FC-834A-69289342858B}" sibTransId="{BA44317E-0141-443D-B3B3-5D8A23F7257D}"/>
    <dgm:cxn modelId="{D2721AD5-678A-4F64-B8C6-E3935F754701}" type="presParOf" srcId="{15D7D02F-9806-4A7F-A42D-FE7E83343FED}" destId="{060EE54F-9EBC-4508-90E0-A71D8106BA41}" srcOrd="0" destOrd="0" presId="urn:microsoft.com/office/officeart/2005/8/layout/hList1"/>
    <dgm:cxn modelId="{EEF4B7C3-F2D6-42E9-91ED-4BC363CA8724}" type="presParOf" srcId="{060EE54F-9EBC-4508-90E0-A71D8106BA41}" destId="{5E4A68E9-45A9-433C-B39E-FA98BC5055EA}" srcOrd="0" destOrd="0" presId="urn:microsoft.com/office/officeart/2005/8/layout/hList1"/>
    <dgm:cxn modelId="{7C7A81B5-FB86-439D-BAB5-BF9CACFD41A4}" type="presParOf" srcId="{060EE54F-9EBC-4508-90E0-A71D8106BA41}" destId="{0916EB88-9427-4C81-A0D0-B1BC4D25BFB9}" srcOrd="1" destOrd="0" presId="urn:microsoft.com/office/officeart/2005/8/layout/hList1"/>
    <dgm:cxn modelId="{AE1E55F4-BCBA-4F89-BEEC-DC69CC502B51}" type="presParOf" srcId="{15D7D02F-9806-4A7F-A42D-FE7E83343FED}" destId="{5A8A88A5-B4F4-47DC-BABC-220E75C6B14E}" srcOrd="1" destOrd="0" presId="urn:microsoft.com/office/officeart/2005/8/layout/hList1"/>
    <dgm:cxn modelId="{8CD2570A-1DB5-4713-8ECD-C3D1706E5888}" type="presParOf" srcId="{15D7D02F-9806-4A7F-A42D-FE7E83343FED}" destId="{ABE7DA82-7937-4173-A683-867FD7F4045F}" srcOrd="2" destOrd="0" presId="urn:microsoft.com/office/officeart/2005/8/layout/hList1"/>
    <dgm:cxn modelId="{1ED1A475-0814-4B15-8A8C-467C10F19746}" type="presParOf" srcId="{ABE7DA82-7937-4173-A683-867FD7F4045F}" destId="{0F07604D-46A6-4ADA-B996-B9E43A897BA8}" srcOrd="0" destOrd="0" presId="urn:microsoft.com/office/officeart/2005/8/layout/hList1"/>
    <dgm:cxn modelId="{00619DFD-61E0-4F5F-BDA6-AAFE0C663138}" type="presParOf" srcId="{ABE7DA82-7937-4173-A683-867FD7F4045F}" destId="{D9C43641-36D4-43D5-A2FD-0F9F6D2C43BC}" srcOrd="1" destOrd="0" presId="urn:microsoft.com/office/officeart/2005/8/layout/hList1"/>
    <dgm:cxn modelId="{9EC54B59-14EE-4AAC-BEB8-245DACFF5D57}" type="presParOf" srcId="{15D7D02F-9806-4A7F-A42D-FE7E83343FED}" destId="{8D77E0EF-A152-4EF7-A7FC-CC6FAF7F6B43}" srcOrd="3" destOrd="0" presId="urn:microsoft.com/office/officeart/2005/8/layout/hList1"/>
    <dgm:cxn modelId="{C415C117-14BC-4407-B987-447450AB1CBE}" type="presParOf" srcId="{15D7D02F-9806-4A7F-A42D-FE7E83343FED}" destId="{D3157F63-FA9E-47B4-8FF4-EE6DAC4A8479}" srcOrd="4" destOrd="0" presId="urn:microsoft.com/office/officeart/2005/8/layout/hList1"/>
    <dgm:cxn modelId="{19B97481-E48F-43F3-A077-97AA9B37C348}" type="presParOf" srcId="{D3157F63-FA9E-47B4-8FF4-EE6DAC4A8479}" destId="{594F44BC-596E-4978-9BF4-2F7DCCF10A7F}" srcOrd="0" destOrd="0" presId="urn:microsoft.com/office/officeart/2005/8/layout/hList1"/>
    <dgm:cxn modelId="{B1886AD7-B1E8-4153-BF70-4C17CC2F5B8C}" type="presParOf" srcId="{D3157F63-FA9E-47B4-8FF4-EE6DAC4A8479}" destId="{B4F89DDA-DC7D-4C4E-967D-E22B07A05DB1}" srcOrd="1" destOrd="0" presId="urn:microsoft.com/office/officeart/2005/8/layout/hLis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4A68E9-45A9-433C-B39E-FA98BC5055EA}">
      <dsp:nvSpPr>
        <dsp:cNvPr id="0" name=""/>
        <dsp:cNvSpPr/>
      </dsp:nvSpPr>
      <dsp:spPr>
        <a:xfrm>
          <a:off x="2777" y="56583"/>
          <a:ext cx="2707704" cy="340746"/>
        </a:xfrm>
        <a:prstGeom prst="rect">
          <a:avLst/>
        </a:prstGeom>
        <a:solidFill>
          <a:schemeClr val="accent5">
            <a:lumMod val="75000"/>
          </a:schemeClr>
        </a:solidFill>
        <a:ln w="1905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78232" tIns="44704" rIns="78232" bIns="44704" numCol="1" spcCol="1270" anchor="ctr" anchorCtr="0">
          <a:noAutofit/>
        </a:bodyPr>
        <a:lstStyle/>
        <a:p>
          <a:pPr marL="0" lvl="0" indent="0" algn="ctr" defTabSz="488950">
            <a:lnSpc>
              <a:spcPct val="150000"/>
            </a:lnSpc>
            <a:spcBef>
              <a:spcPct val="0"/>
            </a:spcBef>
            <a:spcAft>
              <a:spcPct val="35000"/>
            </a:spcAft>
            <a:buNone/>
          </a:pPr>
          <a:r>
            <a:rPr lang="en-GB" sz="1100" b="1" i="0" kern="1200">
              <a:solidFill>
                <a:schemeClr val="bg1"/>
              </a:solidFill>
              <a:latin typeface="Aptos" panose="020B0004020202020204" pitchFamily="34" charset="0"/>
            </a:rPr>
            <a:t>Respect for Intellectual Property:</a:t>
          </a:r>
          <a:endParaRPr lang="en-GB" sz="1100" kern="1200">
            <a:solidFill>
              <a:schemeClr val="bg1"/>
            </a:solidFill>
            <a:latin typeface="Aptos" panose="020B0004020202020204" pitchFamily="34" charset="0"/>
          </a:endParaRPr>
        </a:p>
      </dsp:txBody>
      <dsp:txXfrm>
        <a:off x="2777" y="56583"/>
        <a:ext cx="2707704" cy="340746"/>
      </dsp:txXfrm>
    </dsp:sp>
    <dsp:sp modelId="{0916EB88-9427-4C81-A0D0-B1BC4D25BFB9}">
      <dsp:nvSpPr>
        <dsp:cNvPr id="0" name=""/>
        <dsp:cNvSpPr/>
      </dsp:nvSpPr>
      <dsp:spPr>
        <a:xfrm>
          <a:off x="2777" y="397330"/>
          <a:ext cx="2707704" cy="1670160"/>
        </a:xfrm>
        <a:prstGeom prst="rect">
          <a:avLst/>
        </a:prstGeom>
        <a:solidFill>
          <a:schemeClr val="accent5">
            <a:lumMod val="20000"/>
            <a:lumOff val="80000"/>
            <a:alpha val="9000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150000"/>
            </a:lnSpc>
            <a:spcBef>
              <a:spcPct val="0"/>
            </a:spcBef>
            <a:spcAft>
              <a:spcPct val="15000"/>
            </a:spcAft>
            <a:buChar char="•"/>
          </a:pPr>
          <a:r>
            <a:rPr lang="en-US" sz="1100" kern="1200"/>
            <a:t>Maintained strict adherence to the UWTSD Harvard Referencing style to eliminate the risk of plagiarism.</a:t>
          </a:r>
          <a:endParaRPr lang="en-GB" sz="1100" kern="1200" dirty="0">
            <a:latin typeface="Aptos" panose="020B0004020202020204" pitchFamily="34" charset="0"/>
          </a:endParaRPr>
        </a:p>
      </dsp:txBody>
      <dsp:txXfrm>
        <a:off x="2777" y="397330"/>
        <a:ext cx="2707704" cy="1670160"/>
      </dsp:txXfrm>
    </dsp:sp>
    <dsp:sp modelId="{0F07604D-46A6-4ADA-B996-B9E43A897BA8}">
      <dsp:nvSpPr>
        <dsp:cNvPr id="0" name=""/>
        <dsp:cNvSpPr/>
      </dsp:nvSpPr>
      <dsp:spPr>
        <a:xfrm>
          <a:off x="3089560" y="56583"/>
          <a:ext cx="2707704" cy="340746"/>
        </a:xfrm>
        <a:prstGeom prst="rect">
          <a:avLst/>
        </a:prstGeom>
        <a:solidFill>
          <a:schemeClr val="accent5">
            <a:lumMod val="7500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150000"/>
            </a:lnSpc>
            <a:spcBef>
              <a:spcPct val="0"/>
            </a:spcBef>
            <a:spcAft>
              <a:spcPct val="35000"/>
            </a:spcAft>
            <a:buNone/>
          </a:pPr>
          <a:r>
            <a:rPr lang="en-US" sz="1100" b="1" kern="1200"/>
            <a:t>Contextual Respect:</a:t>
          </a:r>
          <a:r>
            <a:rPr lang="en-US" sz="1100" kern="1200"/>
            <a:t> </a:t>
          </a:r>
          <a:endParaRPr lang="en-GB" sz="1100" kern="1200">
            <a:latin typeface="Aptos" panose="020B0004020202020204" pitchFamily="34" charset="0"/>
          </a:endParaRPr>
        </a:p>
      </dsp:txBody>
      <dsp:txXfrm>
        <a:off x="3089560" y="56583"/>
        <a:ext cx="2707704" cy="340746"/>
      </dsp:txXfrm>
    </dsp:sp>
    <dsp:sp modelId="{D9C43641-36D4-43D5-A2FD-0F9F6D2C43BC}">
      <dsp:nvSpPr>
        <dsp:cNvPr id="0" name=""/>
        <dsp:cNvSpPr/>
      </dsp:nvSpPr>
      <dsp:spPr>
        <a:xfrm>
          <a:off x="3089560" y="397330"/>
          <a:ext cx="2707704" cy="1670160"/>
        </a:xfrm>
        <a:prstGeom prst="rect">
          <a:avLst/>
        </a:prstGeom>
        <a:solidFill>
          <a:schemeClr val="accent5">
            <a:lumMod val="20000"/>
            <a:lumOff val="80000"/>
            <a:alpha val="9000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150000"/>
            </a:lnSpc>
            <a:spcBef>
              <a:spcPct val="0"/>
            </a:spcBef>
            <a:spcAft>
              <a:spcPct val="15000"/>
            </a:spcAft>
            <a:buChar char="•"/>
          </a:pPr>
          <a:r>
            <a:rPr lang="en-US" sz="1100" kern="1200"/>
            <a:t>Ensured findings were not decontextualized to fit a narrative (e.g., carefully balancing the epidemiological utility of the NCMP data with the psychological harm it causes adolescents) </a:t>
          </a:r>
          <a:r>
            <a:rPr lang="en-US" sz="1100" b="0" i="0" u="none" kern="1200"/>
            <a:t>(Viner et al., 2024).</a:t>
          </a:r>
          <a:endParaRPr lang="en-GB" sz="1100" b="0" kern="1200">
            <a:latin typeface="Aptos" panose="020B0004020202020204" pitchFamily="34" charset="0"/>
          </a:endParaRPr>
        </a:p>
      </dsp:txBody>
      <dsp:txXfrm>
        <a:off x="3089560" y="397330"/>
        <a:ext cx="2707704" cy="1670160"/>
      </dsp:txXfrm>
    </dsp:sp>
    <dsp:sp modelId="{594F44BC-596E-4978-9BF4-2F7DCCF10A7F}">
      <dsp:nvSpPr>
        <dsp:cNvPr id="0" name=""/>
        <dsp:cNvSpPr/>
      </dsp:nvSpPr>
      <dsp:spPr>
        <a:xfrm>
          <a:off x="6176343" y="56583"/>
          <a:ext cx="2707704" cy="340746"/>
        </a:xfrm>
        <a:prstGeom prst="rect">
          <a:avLst/>
        </a:prstGeom>
        <a:solidFill>
          <a:schemeClr val="accent5">
            <a:lumMod val="7500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150000"/>
            </a:lnSpc>
            <a:spcBef>
              <a:spcPct val="0"/>
            </a:spcBef>
            <a:spcAft>
              <a:spcPct val="35000"/>
            </a:spcAft>
            <a:buNone/>
          </a:pPr>
          <a:r>
            <a:rPr lang="en-GB" sz="1100" b="1" i="0" kern="1200">
              <a:latin typeface="Aptos" panose="020B0004020202020204" pitchFamily="34" charset="0"/>
            </a:rPr>
            <a:t>Data Integrity and Reliability:</a:t>
          </a:r>
          <a:r>
            <a:rPr lang="en-GB" sz="1100" kern="1200">
              <a:latin typeface="Aptos" panose="020B0004020202020204" pitchFamily="34" charset="0"/>
            </a:rPr>
            <a:t> </a:t>
          </a:r>
        </a:p>
      </dsp:txBody>
      <dsp:txXfrm>
        <a:off x="6176343" y="56583"/>
        <a:ext cx="2707704" cy="340746"/>
      </dsp:txXfrm>
    </dsp:sp>
    <dsp:sp modelId="{B4F89DDA-DC7D-4C4E-967D-E22B07A05DB1}">
      <dsp:nvSpPr>
        <dsp:cNvPr id="0" name=""/>
        <dsp:cNvSpPr/>
      </dsp:nvSpPr>
      <dsp:spPr>
        <a:xfrm>
          <a:off x="6176343" y="397330"/>
          <a:ext cx="2707704" cy="1670160"/>
        </a:xfrm>
        <a:prstGeom prst="rect">
          <a:avLst/>
        </a:prstGeom>
        <a:solidFill>
          <a:schemeClr val="accent5">
            <a:lumMod val="20000"/>
            <a:lumOff val="80000"/>
            <a:alpha val="9000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150000"/>
            </a:lnSpc>
            <a:spcBef>
              <a:spcPct val="0"/>
            </a:spcBef>
            <a:spcAft>
              <a:spcPct val="15000"/>
            </a:spcAft>
            <a:buChar char="•"/>
          </a:pPr>
          <a:r>
            <a:rPr lang="en-US" sz="1100" kern="1200"/>
            <a:t>Actively avoided "cherry-picking" data by objectively seeking out and reporting counterarguments and limitations within the literature </a:t>
          </a:r>
          <a:r>
            <a:rPr lang="en-US" sz="1100" b="0" i="0" u="none" kern="1200"/>
            <a:t>(Surabhi &amp; Singh, 2021).</a:t>
          </a:r>
          <a:endParaRPr lang="en-GB" sz="1100" b="0" kern="1200">
            <a:latin typeface="Aptos" panose="020B0004020202020204" pitchFamily="34" charset="0"/>
          </a:endParaRPr>
        </a:p>
      </dsp:txBody>
      <dsp:txXfrm>
        <a:off x="6176343" y="397330"/>
        <a:ext cx="2707704" cy="1670160"/>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999</Words>
  <Characters>5695</Characters>
  <Application>Microsoft Office Word</Application>
  <DocSecurity>0</DocSecurity>
  <Lines>47</Lines>
  <Paragraphs>13</Paragraphs>
  <ScaleCrop>false</ScaleCrop>
  <Company/>
  <LinksUpToDate>false</LinksUpToDate>
  <CharactersWithSpaces>6681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Muzhgan Nassiri (2239091)</dc:creator>
  <cp:keywords/>
  <dc:description/>
  <cp:lastModifiedBy>Muzhgan Nassiri (2239091)</cp:lastModifiedBy>
  <cp:revision>2</cp:revision>
  <dcterms:created xsi:type="dcterms:W3CDTF">2026-04-07T22:13:00Z</dcterms:created>
  <dcterms:modified xsi:type="dcterms:W3CDTF">2026-04-07T22:13:00Z</dcterms:modified>
</cp:coreProperties>
</file>