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4508"/>
        <w:gridCol w:w="4508"/>
      </w:tblGrid>
      <w:tr w:rsidR="000D6EFA" w14:paraId="017DEF1D" w14:textId="77777777" w:rsidTr="000D6EFA">
        <w:tc>
          <w:tcPr>
            <w:tcW w:w="4508" w:type="dxa"/>
          </w:tcPr>
          <w:p w14:paraId="7F0CB0BC" w14:textId="03DC9BC9" w:rsidR="000D6EFA" w:rsidRPr="001A08E5" w:rsidRDefault="000D6EFA">
            <w:pPr>
              <w:rPr>
                <w:sz w:val="36"/>
                <w:szCs w:val="36"/>
              </w:rPr>
            </w:pPr>
            <w:r w:rsidRPr="001A08E5">
              <w:rPr>
                <w:sz w:val="36"/>
                <w:szCs w:val="36"/>
              </w:rPr>
              <w:t>Name:</w:t>
            </w:r>
          </w:p>
        </w:tc>
        <w:tc>
          <w:tcPr>
            <w:tcW w:w="4508" w:type="dxa"/>
          </w:tcPr>
          <w:p w14:paraId="24E50858" w14:textId="6F33049F" w:rsidR="000D6EFA" w:rsidRPr="001A08E5" w:rsidRDefault="00A961BC">
            <w:pPr>
              <w:rPr>
                <w:sz w:val="36"/>
                <w:szCs w:val="36"/>
              </w:rPr>
            </w:pPr>
            <w:r w:rsidRPr="001A08E5">
              <w:rPr>
                <w:sz w:val="36"/>
                <w:szCs w:val="36"/>
              </w:rPr>
              <w:t>Saleem Hussain</w:t>
            </w:r>
          </w:p>
        </w:tc>
      </w:tr>
      <w:tr w:rsidR="000D6EFA" w14:paraId="4D6E70CF" w14:textId="77777777" w:rsidTr="000D6EFA">
        <w:tc>
          <w:tcPr>
            <w:tcW w:w="4508" w:type="dxa"/>
          </w:tcPr>
          <w:p w14:paraId="574AE887" w14:textId="37D5E4BF" w:rsidR="000D6EFA" w:rsidRPr="001A08E5" w:rsidRDefault="000D6EFA">
            <w:pPr>
              <w:rPr>
                <w:sz w:val="36"/>
                <w:szCs w:val="36"/>
              </w:rPr>
            </w:pPr>
            <w:r w:rsidRPr="001A08E5">
              <w:rPr>
                <w:sz w:val="36"/>
                <w:szCs w:val="36"/>
              </w:rPr>
              <w:t>Student ID:</w:t>
            </w:r>
          </w:p>
        </w:tc>
        <w:tc>
          <w:tcPr>
            <w:tcW w:w="4508" w:type="dxa"/>
          </w:tcPr>
          <w:p w14:paraId="6FC75756" w14:textId="1D344CE4" w:rsidR="000D6EFA" w:rsidRPr="001A08E5" w:rsidRDefault="001A08E5">
            <w:pPr>
              <w:rPr>
                <w:sz w:val="36"/>
                <w:szCs w:val="36"/>
              </w:rPr>
            </w:pPr>
            <w:r w:rsidRPr="001A08E5">
              <w:rPr>
                <w:rFonts w:ascii="Arial" w:hAnsi="Arial" w:cs="Arial"/>
                <w:color w:val="242130"/>
                <w:sz w:val="36"/>
                <w:szCs w:val="36"/>
                <w:shd w:val="clear" w:color="auto" w:fill="FFFFFF"/>
              </w:rPr>
              <w:t>2506895</w:t>
            </w:r>
          </w:p>
        </w:tc>
      </w:tr>
      <w:tr w:rsidR="000D6EFA" w14:paraId="521A28D0" w14:textId="77777777" w:rsidTr="000D6EFA">
        <w:tc>
          <w:tcPr>
            <w:tcW w:w="4508" w:type="dxa"/>
          </w:tcPr>
          <w:p w14:paraId="20EA84B3" w14:textId="1F5F49DA" w:rsidR="000D6EFA" w:rsidRPr="001A08E5" w:rsidRDefault="000D6EFA">
            <w:pPr>
              <w:rPr>
                <w:sz w:val="36"/>
                <w:szCs w:val="36"/>
              </w:rPr>
            </w:pPr>
            <w:r w:rsidRPr="001A08E5">
              <w:rPr>
                <w:sz w:val="36"/>
                <w:szCs w:val="36"/>
              </w:rPr>
              <w:t>Module title:</w:t>
            </w:r>
          </w:p>
        </w:tc>
        <w:tc>
          <w:tcPr>
            <w:tcW w:w="4508" w:type="dxa"/>
          </w:tcPr>
          <w:p w14:paraId="5FF19626" w14:textId="2A1C306E" w:rsidR="000D6EFA" w:rsidRPr="001A08E5" w:rsidRDefault="001A08E5">
            <w:pPr>
              <w:rPr>
                <w:sz w:val="36"/>
                <w:szCs w:val="36"/>
              </w:rPr>
            </w:pPr>
            <w:r w:rsidRPr="001A08E5">
              <w:rPr>
                <w:sz w:val="36"/>
                <w:szCs w:val="36"/>
              </w:rPr>
              <w:t>Digital Skills and Research Methods</w:t>
            </w:r>
          </w:p>
        </w:tc>
      </w:tr>
      <w:tr w:rsidR="000D6EFA" w14:paraId="5339A82C" w14:textId="77777777" w:rsidTr="000D6EFA">
        <w:tc>
          <w:tcPr>
            <w:tcW w:w="4508" w:type="dxa"/>
          </w:tcPr>
          <w:p w14:paraId="509C9AD0" w14:textId="7BCD8B67" w:rsidR="000D6EFA" w:rsidRPr="001A08E5" w:rsidRDefault="000D6EFA">
            <w:pPr>
              <w:rPr>
                <w:sz w:val="36"/>
                <w:szCs w:val="36"/>
              </w:rPr>
            </w:pPr>
            <w:r w:rsidRPr="001A08E5">
              <w:rPr>
                <w:sz w:val="36"/>
                <w:szCs w:val="36"/>
              </w:rPr>
              <w:t>Module Code:</w:t>
            </w:r>
          </w:p>
        </w:tc>
        <w:tc>
          <w:tcPr>
            <w:tcW w:w="4508" w:type="dxa"/>
          </w:tcPr>
          <w:p w14:paraId="22EC02F1" w14:textId="27B6968B" w:rsidR="000D6EFA" w:rsidRPr="001A08E5" w:rsidRDefault="001A08E5">
            <w:pPr>
              <w:rPr>
                <w:sz w:val="36"/>
                <w:szCs w:val="36"/>
              </w:rPr>
            </w:pPr>
            <w:r w:rsidRPr="001A08E5">
              <w:rPr>
                <w:sz w:val="36"/>
                <w:szCs w:val="36"/>
              </w:rPr>
              <w:t>LCHS4007</w:t>
            </w:r>
          </w:p>
        </w:tc>
      </w:tr>
      <w:tr w:rsidR="000D6EFA" w14:paraId="58A5499D" w14:textId="77777777" w:rsidTr="000D6EFA">
        <w:tc>
          <w:tcPr>
            <w:tcW w:w="4508" w:type="dxa"/>
          </w:tcPr>
          <w:p w14:paraId="65F58AE8" w14:textId="1B074D07" w:rsidR="000D6EFA" w:rsidRPr="001A08E5" w:rsidRDefault="000D6EFA">
            <w:pPr>
              <w:rPr>
                <w:sz w:val="36"/>
                <w:szCs w:val="36"/>
              </w:rPr>
            </w:pPr>
            <w:r w:rsidRPr="001A08E5">
              <w:rPr>
                <w:sz w:val="36"/>
                <w:szCs w:val="36"/>
              </w:rPr>
              <w:t>Lecturer Name:</w:t>
            </w:r>
          </w:p>
        </w:tc>
        <w:tc>
          <w:tcPr>
            <w:tcW w:w="4508" w:type="dxa"/>
          </w:tcPr>
          <w:p w14:paraId="17DEC7D7" w14:textId="579C8EA4" w:rsidR="000D6EFA" w:rsidRPr="001A08E5" w:rsidRDefault="001A08E5">
            <w:pPr>
              <w:rPr>
                <w:sz w:val="36"/>
                <w:szCs w:val="36"/>
              </w:rPr>
            </w:pPr>
            <w:r w:rsidRPr="001A08E5">
              <w:rPr>
                <w:rFonts w:ascii="Source Sans Pro" w:hAnsi="Source Sans Pro"/>
                <w:color w:val="000000" w:themeColor="text1"/>
                <w:sz w:val="36"/>
                <w:szCs w:val="36"/>
                <w:shd w:val="clear" w:color="auto" w:fill="FFFFFF"/>
              </w:rPr>
              <w:t>Masud Siddiqui</w:t>
            </w:r>
          </w:p>
        </w:tc>
      </w:tr>
    </w:tbl>
    <w:p w14:paraId="2D75085C" w14:textId="4678D7A0" w:rsidR="000D6EFA" w:rsidRDefault="000D6EFA"/>
    <w:p w14:paraId="24F4ED2B" w14:textId="77777777" w:rsidR="000D6EFA" w:rsidRDefault="000D6EFA">
      <w:r>
        <w:br w:type="page"/>
      </w:r>
    </w:p>
    <w:p w14:paraId="2E0665B7" w14:textId="5CA71315" w:rsidR="00D37AAD" w:rsidRPr="001A08E5" w:rsidRDefault="000D6EFA" w:rsidP="00732124">
      <w:pPr>
        <w:spacing w:line="360" w:lineRule="auto"/>
        <w:rPr>
          <w:rFonts w:ascii="Arial" w:hAnsi="Arial" w:cs="Arial"/>
          <w:b/>
          <w:bCs/>
          <w:u w:val="single"/>
        </w:rPr>
      </w:pPr>
      <w:r w:rsidRPr="001A08E5">
        <w:rPr>
          <w:rFonts w:ascii="Arial" w:hAnsi="Arial" w:cs="Arial"/>
          <w:b/>
          <w:bCs/>
          <w:u w:val="single"/>
        </w:rPr>
        <w:lastRenderedPageBreak/>
        <w:t>Introduction</w:t>
      </w:r>
    </w:p>
    <w:p w14:paraId="74ED2AA1" w14:textId="2731BD37" w:rsidR="000D6EFA" w:rsidRPr="001A08E5" w:rsidRDefault="000D6EFA" w:rsidP="00732124">
      <w:pPr>
        <w:spacing w:line="360" w:lineRule="auto"/>
        <w:rPr>
          <w:rFonts w:ascii="Arial" w:hAnsi="Arial" w:cs="Arial"/>
        </w:rPr>
      </w:pPr>
      <w:r w:rsidRPr="001A08E5">
        <w:rPr>
          <w:rFonts w:ascii="Arial" w:hAnsi="Arial" w:cs="Arial"/>
        </w:rPr>
        <w:t xml:space="preserve">This report aims to investigate the influence of digital health (DHRs), also known as electronic health records (EHRs), on patient care in the UK’s health and social care system. The adoption of digital technologies within the National health service (NHS) and social care organisations has changed the way patient information is stored, accessed, and share. The research will explore the advantages and challenges of DHRs, assess their Impact on the quality of care, and consider the effects on healthcare workers and patients. Additionally, the study </w:t>
      </w:r>
      <w:r w:rsidR="00AD3677" w:rsidRPr="001A08E5">
        <w:rPr>
          <w:rFonts w:ascii="Arial" w:hAnsi="Arial" w:cs="Arial"/>
        </w:rPr>
        <w:t>will cover relevant research methods and approaches to data collection.</w:t>
      </w:r>
    </w:p>
    <w:p w14:paraId="0ADF3C55" w14:textId="77777777" w:rsidR="00AD3677" w:rsidRPr="001A08E5" w:rsidRDefault="00AD3677" w:rsidP="00732124">
      <w:pPr>
        <w:spacing w:line="360" w:lineRule="auto"/>
        <w:rPr>
          <w:rFonts w:ascii="Arial" w:hAnsi="Arial" w:cs="Arial"/>
        </w:rPr>
      </w:pPr>
    </w:p>
    <w:p w14:paraId="131E3DC0" w14:textId="77777777" w:rsidR="00AD3677" w:rsidRPr="001A08E5" w:rsidRDefault="00AD3677" w:rsidP="00732124">
      <w:pPr>
        <w:spacing w:line="360" w:lineRule="auto"/>
        <w:rPr>
          <w:rFonts w:ascii="Arial" w:hAnsi="Arial" w:cs="Arial"/>
          <w:b/>
          <w:bCs/>
        </w:rPr>
      </w:pPr>
    </w:p>
    <w:p w14:paraId="7C5320AD" w14:textId="2FE3D67E" w:rsidR="00AD3677" w:rsidRPr="001A08E5" w:rsidRDefault="00AD3677" w:rsidP="00732124">
      <w:pPr>
        <w:spacing w:line="360" w:lineRule="auto"/>
        <w:rPr>
          <w:rFonts w:ascii="Arial" w:hAnsi="Arial" w:cs="Arial"/>
          <w:b/>
          <w:bCs/>
          <w:u w:val="single"/>
        </w:rPr>
      </w:pPr>
      <w:r w:rsidRPr="001A08E5">
        <w:rPr>
          <w:rFonts w:ascii="Arial" w:hAnsi="Arial" w:cs="Arial"/>
          <w:b/>
          <w:bCs/>
          <w:u w:val="single"/>
        </w:rPr>
        <w:t>Research Topic Identification</w:t>
      </w:r>
    </w:p>
    <w:p w14:paraId="63A563B3" w14:textId="7B161B97" w:rsidR="009B0924" w:rsidRPr="0046468A" w:rsidRDefault="00AD3677" w:rsidP="00732124">
      <w:pPr>
        <w:spacing w:line="360" w:lineRule="auto"/>
        <w:rPr>
          <w:rFonts w:ascii="Times New Roman" w:eastAsia="Times New Roman" w:hAnsi="Times New Roman" w:cs="Times New Roman"/>
          <w:kern w:val="0"/>
          <w:sz w:val="24"/>
          <w:szCs w:val="24"/>
          <w:lang w:eastAsia="en-GB"/>
          <w14:ligatures w14:val="none"/>
        </w:rPr>
      </w:pPr>
      <w:r w:rsidRPr="001A08E5">
        <w:rPr>
          <w:rFonts w:ascii="Arial" w:hAnsi="Arial" w:cs="Arial"/>
        </w:rPr>
        <w:t xml:space="preserve">One of key developments in the UK health and social care over the past decade has been the move from paper-based digital health records. These digital records allow healthcare professionals to record, store, access patient information electronically, aiming to improve accuracy, accessibility, and care coordination </w:t>
      </w:r>
      <w:r w:rsidR="0046468A" w:rsidRPr="0046468A">
        <w:rPr>
          <w:rFonts w:ascii="Arial" w:eastAsia="Times New Roman" w:hAnsi="Arial" w:cs="Arial"/>
          <w:kern w:val="0"/>
          <w:lang w:eastAsia="en-GB"/>
          <w14:ligatures w14:val="none"/>
        </w:rPr>
        <w:t>(Department of Health and Social Care, 2025)</w:t>
      </w:r>
      <w:r w:rsidRPr="001A08E5">
        <w:rPr>
          <w:rFonts w:ascii="Arial" w:hAnsi="Arial" w:cs="Arial"/>
        </w:rPr>
        <w:t xml:space="preserve">. However, despite these benefits, concerns have arisen around data privacy, digital literacy, and how well different systems </w:t>
      </w:r>
      <w:r w:rsidR="00A961BC" w:rsidRPr="001A08E5">
        <w:rPr>
          <w:rFonts w:ascii="Arial" w:hAnsi="Arial" w:cs="Arial"/>
        </w:rPr>
        <w:t>work together across organisations. Because of these challenges, careful research is needed to understand how digital records affect the quality of patient care in practice</w:t>
      </w:r>
      <w:r w:rsidR="009B0924" w:rsidRPr="001A08E5">
        <w:rPr>
          <w:rFonts w:ascii="Arial" w:hAnsi="Arial" w:cs="Arial"/>
        </w:rPr>
        <w:t xml:space="preserve"> </w:t>
      </w:r>
      <w:r w:rsidR="009B0924" w:rsidRPr="001A08E5">
        <w:rPr>
          <w:rFonts w:ascii="Arial" w:eastAsia="Times New Roman" w:hAnsi="Arial" w:cs="Arial"/>
          <w:kern w:val="0"/>
          <w:lang w:eastAsia="en-GB"/>
          <w14:ligatures w14:val="none"/>
        </w:rPr>
        <w:t>(Kim et al., 2023)</w:t>
      </w:r>
    </w:p>
    <w:p w14:paraId="1F82E4EE" w14:textId="5AEEA8E3" w:rsidR="00AD3677" w:rsidRPr="001A08E5" w:rsidRDefault="009B0924" w:rsidP="00732124">
      <w:pPr>
        <w:spacing w:line="360" w:lineRule="auto"/>
        <w:rPr>
          <w:rFonts w:ascii="Arial" w:hAnsi="Arial" w:cs="Arial"/>
        </w:rPr>
      </w:pPr>
      <w:r w:rsidRPr="001A08E5">
        <w:rPr>
          <w:rFonts w:ascii="Arial" w:hAnsi="Arial" w:cs="Arial"/>
        </w:rPr>
        <w:t xml:space="preserve"> </w:t>
      </w:r>
      <w:r w:rsidR="00A961BC" w:rsidRPr="001A08E5">
        <w:rPr>
          <w:rFonts w:ascii="Arial" w:hAnsi="Arial" w:cs="Arial"/>
        </w:rPr>
        <w:t>.</w:t>
      </w:r>
    </w:p>
    <w:p w14:paraId="3D9A2036" w14:textId="77777777" w:rsidR="00A961BC" w:rsidRPr="001A08E5" w:rsidRDefault="00A961BC" w:rsidP="00732124">
      <w:pPr>
        <w:spacing w:line="360" w:lineRule="auto"/>
        <w:rPr>
          <w:rFonts w:ascii="Arial" w:hAnsi="Arial" w:cs="Arial"/>
        </w:rPr>
      </w:pPr>
    </w:p>
    <w:p w14:paraId="64623AFD" w14:textId="0D65C562" w:rsidR="00A961BC" w:rsidRPr="001A08E5" w:rsidRDefault="00A961BC" w:rsidP="00732124">
      <w:pPr>
        <w:spacing w:line="360" w:lineRule="auto"/>
        <w:rPr>
          <w:rFonts w:ascii="Arial" w:hAnsi="Arial" w:cs="Arial"/>
          <w:b/>
          <w:bCs/>
          <w:u w:val="single"/>
        </w:rPr>
      </w:pPr>
      <w:r w:rsidRPr="001A08E5">
        <w:rPr>
          <w:rFonts w:ascii="Arial" w:hAnsi="Arial" w:cs="Arial"/>
          <w:b/>
          <w:bCs/>
          <w:u w:val="single"/>
        </w:rPr>
        <w:t xml:space="preserve">Who Is affected by the </w:t>
      </w:r>
      <w:r w:rsidR="009F27B1" w:rsidRPr="001A08E5">
        <w:rPr>
          <w:rFonts w:ascii="Arial" w:hAnsi="Arial" w:cs="Arial"/>
          <w:b/>
          <w:bCs/>
          <w:u w:val="single"/>
        </w:rPr>
        <w:t>Issue?</w:t>
      </w:r>
    </w:p>
    <w:p w14:paraId="5F051A80" w14:textId="77777777" w:rsidR="0046468A" w:rsidRPr="0046468A" w:rsidRDefault="00A961BC" w:rsidP="00732124">
      <w:pPr>
        <w:spacing w:line="360" w:lineRule="auto"/>
        <w:rPr>
          <w:rFonts w:ascii="Times New Roman" w:eastAsia="Times New Roman" w:hAnsi="Times New Roman" w:cs="Times New Roman"/>
          <w:kern w:val="0"/>
          <w:sz w:val="24"/>
          <w:szCs w:val="24"/>
          <w:lang w:eastAsia="en-GB"/>
          <w14:ligatures w14:val="none"/>
        </w:rPr>
      </w:pPr>
      <w:r w:rsidRPr="001A08E5">
        <w:rPr>
          <w:rFonts w:ascii="Arial" w:hAnsi="Arial" w:cs="Arial"/>
        </w:rPr>
        <w:t xml:space="preserve">This issue impacts a variety of people involved in the health and social care system. Most importantly, it affects patients, whose safety, privacy, and care quality rely on the accurate and secure handling of their data. It also concerns healthcare professionals like nurses, </w:t>
      </w:r>
      <w:r w:rsidR="009F27B1" w:rsidRPr="001A08E5">
        <w:rPr>
          <w:rFonts w:ascii="Arial" w:hAnsi="Arial" w:cs="Arial"/>
        </w:rPr>
        <w:t>doctors,</w:t>
      </w:r>
      <w:r w:rsidRPr="001A08E5">
        <w:rPr>
          <w:rFonts w:ascii="Arial" w:hAnsi="Arial" w:cs="Arial"/>
        </w:rPr>
        <w:t xml:space="preserve"> and care coordinators, who need to adjust to new digitals </w:t>
      </w:r>
      <w:r w:rsidR="002F32E0" w:rsidRPr="001A08E5">
        <w:rPr>
          <w:rFonts w:ascii="Arial" w:hAnsi="Arial" w:cs="Arial"/>
        </w:rPr>
        <w:t>systems (</w:t>
      </w:r>
      <w:r w:rsidR="002F32E0" w:rsidRPr="001A08E5">
        <w:rPr>
          <w:rFonts w:ascii="Arial" w:hAnsi="Arial" w:cs="Arial"/>
        </w:rPr>
        <w:t>Anders Bach-Mortensen et al., 2025)</w:t>
      </w:r>
      <w:r w:rsidR="002F32E0" w:rsidRPr="001A08E5">
        <w:rPr>
          <w:rFonts w:ascii="Arial" w:hAnsi="Arial" w:cs="Arial"/>
        </w:rPr>
        <w:t xml:space="preserve">. </w:t>
      </w:r>
      <w:r w:rsidR="002F32E0" w:rsidRPr="001A08E5">
        <w:rPr>
          <w:rFonts w:ascii="Arial" w:hAnsi="Arial" w:cs="Arial"/>
        </w:rPr>
        <w:t>Furthermore, healthcare organisations, such as the NHS trusts and care homes face difficulties in adopting and managing these technologies, particularly regarding costs, staff training, and meeting data protection rules</w:t>
      </w:r>
      <w:r w:rsidR="0046468A">
        <w:rPr>
          <w:rFonts w:ascii="Arial" w:hAnsi="Arial" w:cs="Arial"/>
        </w:rPr>
        <w:t xml:space="preserve"> </w:t>
      </w:r>
      <w:r w:rsidR="0046468A" w:rsidRPr="0046468A">
        <w:rPr>
          <w:rFonts w:ascii="Arial" w:eastAsia="Times New Roman" w:hAnsi="Arial" w:cs="Arial"/>
          <w:kern w:val="0"/>
          <w:lang w:eastAsia="en-GB"/>
          <w14:ligatures w14:val="none"/>
        </w:rPr>
        <w:t>(Jefferies and Wickens, 2025)</w:t>
      </w:r>
    </w:p>
    <w:p w14:paraId="3243D4A8" w14:textId="61D67804" w:rsidR="002F32E0" w:rsidRPr="001A08E5" w:rsidRDefault="002F32E0" w:rsidP="00732124">
      <w:pPr>
        <w:spacing w:line="360" w:lineRule="auto"/>
        <w:rPr>
          <w:rFonts w:ascii="Arial" w:hAnsi="Arial" w:cs="Arial"/>
        </w:rPr>
      </w:pPr>
    </w:p>
    <w:p w14:paraId="02DE0CF5" w14:textId="1DEF2D86" w:rsidR="009F27B1" w:rsidRPr="001A08E5" w:rsidRDefault="009F27B1" w:rsidP="00732124">
      <w:pPr>
        <w:spacing w:line="360" w:lineRule="auto"/>
        <w:rPr>
          <w:rFonts w:ascii="Arial" w:hAnsi="Arial" w:cs="Arial"/>
        </w:rPr>
      </w:pPr>
    </w:p>
    <w:p w14:paraId="691CE007" w14:textId="77777777" w:rsidR="004A244B" w:rsidRPr="001A08E5" w:rsidRDefault="004A244B" w:rsidP="00732124">
      <w:pPr>
        <w:spacing w:line="360" w:lineRule="auto"/>
        <w:rPr>
          <w:rFonts w:ascii="Arial" w:hAnsi="Arial" w:cs="Arial"/>
        </w:rPr>
      </w:pPr>
    </w:p>
    <w:p w14:paraId="7E00AE17" w14:textId="77777777" w:rsidR="004A244B" w:rsidRPr="001A08E5" w:rsidRDefault="004A244B" w:rsidP="00732124">
      <w:pPr>
        <w:spacing w:line="360" w:lineRule="auto"/>
        <w:rPr>
          <w:rFonts w:ascii="Arial" w:hAnsi="Arial" w:cs="Arial"/>
        </w:rPr>
      </w:pPr>
    </w:p>
    <w:p w14:paraId="1EEF0393" w14:textId="77777777" w:rsidR="0046468A" w:rsidRDefault="0046468A" w:rsidP="00732124">
      <w:pPr>
        <w:spacing w:line="360" w:lineRule="auto"/>
        <w:rPr>
          <w:rFonts w:ascii="Arial" w:hAnsi="Arial" w:cs="Arial"/>
          <w:b/>
          <w:bCs/>
          <w:u w:val="single"/>
        </w:rPr>
      </w:pPr>
    </w:p>
    <w:p w14:paraId="7ECB0960" w14:textId="7BC71148" w:rsidR="009F27B1" w:rsidRPr="001A08E5" w:rsidRDefault="009F27B1" w:rsidP="00732124">
      <w:pPr>
        <w:spacing w:line="360" w:lineRule="auto"/>
        <w:rPr>
          <w:rFonts w:ascii="Arial" w:hAnsi="Arial" w:cs="Arial"/>
          <w:b/>
          <w:bCs/>
          <w:u w:val="single"/>
        </w:rPr>
      </w:pPr>
      <w:r w:rsidRPr="001A08E5">
        <w:rPr>
          <w:rFonts w:ascii="Arial" w:hAnsi="Arial" w:cs="Arial"/>
          <w:b/>
          <w:bCs/>
          <w:u w:val="single"/>
        </w:rPr>
        <w:t>Justification for Research</w:t>
      </w:r>
    </w:p>
    <w:p w14:paraId="42F991CC" w14:textId="46CDC353" w:rsidR="004A244B" w:rsidRPr="001A08E5" w:rsidRDefault="009F27B1" w:rsidP="00732124">
      <w:pPr>
        <w:spacing w:line="360" w:lineRule="auto"/>
        <w:rPr>
          <w:rFonts w:ascii="Arial" w:hAnsi="Arial" w:cs="Arial"/>
        </w:rPr>
      </w:pPr>
      <w:r w:rsidRPr="001A08E5">
        <w:rPr>
          <w:rFonts w:ascii="Arial" w:hAnsi="Arial" w:cs="Arial"/>
        </w:rPr>
        <w:t xml:space="preserve">Research on digital health records is important because digitalisation is now a key part of the NHS strategy. The UK government Data Saves Lives </w:t>
      </w:r>
      <w:r w:rsidR="00F54459" w:rsidRPr="001A08E5">
        <w:rPr>
          <w:rFonts w:ascii="Arial" w:hAnsi="Arial" w:cs="Arial"/>
        </w:rPr>
        <w:t>policy aims</w:t>
      </w:r>
      <w:r w:rsidRPr="001A08E5">
        <w:rPr>
          <w:rFonts w:ascii="Arial" w:hAnsi="Arial" w:cs="Arial"/>
        </w:rPr>
        <w:t xml:space="preserve"> to build a more connected digital health system</w:t>
      </w:r>
      <w:r w:rsidR="00F54459" w:rsidRPr="001A08E5">
        <w:rPr>
          <w:rFonts w:ascii="Arial" w:eastAsia="Times New Roman" w:hAnsi="Arial" w:cs="Arial"/>
          <w:kern w:val="0"/>
          <w:lang w:eastAsia="en-GB"/>
          <w14:ligatures w14:val="none"/>
        </w:rPr>
        <w:t xml:space="preserve"> </w:t>
      </w:r>
      <w:r w:rsidR="00F54459" w:rsidRPr="001A08E5">
        <w:rPr>
          <w:rFonts w:ascii="Arial" w:eastAsia="Times New Roman" w:hAnsi="Arial" w:cs="Arial"/>
          <w:kern w:val="0"/>
          <w:lang w:eastAsia="en-GB"/>
          <w14:ligatures w14:val="none"/>
        </w:rPr>
        <w:t>(UK Parliament, 2022)</w:t>
      </w:r>
      <w:r w:rsidR="004A244B" w:rsidRPr="001A08E5">
        <w:rPr>
          <w:rFonts w:ascii="Arial" w:eastAsia="Times New Roman" w:hAnsi="Arial" w:cs="Arial"/>
          <w:kern w:val="0"/>
          <w:lang w:eastAsia="en-GB"/>
          <w14:ligatures w14:val="none"/>
        </w:rPr>
        <w:t>.</w:t>
      </w:r>
      <w:r w:rsidR="004A244B" w:rsidRPr="001A08E5">
        <w:rPr>
          <w:rFonts w:ascii="Arial" w:hAnsi="Arial" w:cs="Arial"/>
        </w:rPr>
        <w:t xml:space="preserve"> </w:t>
      </w:r>
      <w:r w:rsidR="004A244B" w:rsidRPr="001A08E5">
        <w:rPr>
          <w:rFonts w:ascii="Arial" w:hAnsi="Arial" w:cs="Arial"/>
        </w:rPr>
        <w:t xml:space="preserve">However, evidence shows that inconsistent use of digital health records can cause communication problems and mistakes in patient care. </w:t>
      </w:r>
    </w:p>
    <w:p w14:paraId="48FF7C6D" w14:textId="314AC39F" w:rsidR="009F27B1" w:rsidRPr="001A08E5" w:rsidRDefault="004A244B" w:rsidP="00732124">
      <w:pPr>
        <w:spacing w:line="360" w:lineRule="auto"/>
        <w:rPr>
          <w:rFonts w:ascii="Arial" w:hAnsi="Arial" w:cs="Arial"/>
        </w:rPr>
      </w:pPr>
      <w:r w:rsidRPr="001A08E5">
        <w:rPr>
          <w:rFonts w:ascii="Arial" w:hAnsi="Arial" w:cs="Arial"/>
        </w:rPr>
        <w:t xml:space="preserve"> </w:t>
      </w:r>
      <w:r w:rsidRPr="001A08E5">
        <w:rPr>
          <w:rFonts w:ascii="Arial" w:hAnsi="Arial" w:cs="Arial"/>
        </w:rPr>
        <w:t xml:space="preserve">According to </w:t>
      </w:r>
      <w:r w:rsidRPr="001A08E5">
        <w:rPr>
          <w:rFonts w:ascii="Arial" w:hAnsi="Arial" w:cs="Arial"/>
        </w:rPr>
        <w:t>research (</w:t>
      </w:r>
      <w:r w:rsidRPr="001A08E5">
        <w:rPr>
          <w:rFonts w:ascii="Arial" w:hAnsi="Arial" w:cs="Arial"/>
        </w:rPr>
        <w:t>Mumtaz et al., 2023)</w:t>
      </w:r>
      <w:r w:rsidRPr="001A08E5">
        <w:rPr>
          <w:rFonts w:ascii="Arial" w:hAnsi="Arial" w:cs="Arial"/>
        </w:rPr>
        <w:t xml:space="preserve"> </w:t>
      </w:r>
      <w:r w:rsidRPr="001A08E5">
        <w:rPr>
          <w:rFonts w:ascii="Arial" w:hAnsi="Arial" w:cs="Arial"/>
        </w:rPr>
        <w:t xml:space="preserve">points out that gaps in digital links between hospitals, GP practices, and social care can lead to fragmented care and repeated work. Understanding both the benefits and drawbacks of digital health records can help decision- makers create policies that improve patient outcomes and make digital health services fairer for </w:t>
      </w:r>
      <w:r w:rsidRPr="001A08E5">
        <w:rPr>
          <w:rFonts w:ascii="Arial" w:hAnsi="Arial" w:cs="Arial"/>
        </w:rPr>
        <w:t>everyone.</w:t>
      </w:r>
    </w:p>
    <w:p w14:paraId="6FE25BA8" w14:textId="77777777" w:rsidR="00194EF5" w:rsidRPr="001A08E5" w:rsidRDefault="00194EF5" w:rsidP="00732124">
      <w:pPr>
        <w:spacing w:line="360" w:lineRule="auto"/>
        <w:rPr>
          <w:rFonts w:ascii="Arial" w:hAnsi="Arial" w:cs="Arial"/>
        </w:rPr>
      </w:pPr>
    </w:p>
    <w:p w14:paraId="79630B64" w14:textId="77777777" w:rsidR="00194EF5" w:rsidRPr="001A08E5" w:rsidRDefault="00194EF5" w:rsidP="00732124">
      <w:pPr>
        <w:spacing w:line="360" w:lineRule="auto"/>
        <w:rPr>
          <w:rFonts w:ascii="Arial" w:hAnsi="Arial" w:cs="Arial"/>
        </w:rPr>
      </w:pPr>
    </w:p>
    <w:p w14:paraId="3E1AC7A4" w14:textId="77777777" w:rsidR="00194EF5" w:rsidRPr="001A08E5" w:rsidRDefault="00194EF5" w:rsidP="00732124">
      <w:pPr>
        <w:spacing w:line="360" w:lineRule="auto"/>
        <w:rPr>
          <w:rFonts w:ascii="Arial" w:hAnsi="Arial" w:cs="Arial"/>
        </w:rPr>
      </w:pPr>
    </w:p>
    <w:p w14:paraId="54D18185" w14:textId="77777777" w:rsidR="00DF1191" w:rsidRPr="001A08E5" w:rsidRDefault="00DF1191" w:rsidP="00732124">
      <w:pPr>
        <w:spacing w:line="360" w:lineRule="auto"/>
        <w:rPr>
          <w:rFonts w:ascii="Arial" w:hAnsi="Arial" w:cs="Arial"/>
        </w:rPr>
      </w:pPr>
    </w:p>
    <w:p w14:paraId="582A3868" w14:textId="4FAEEB2D" w:rsidR="00DF1191" w:rsidRPr="001A08E5" w:rsidRDefault="00DF1191" w:rsidP="00732124">
      <w:pPr>
        <w:spacing w:line="360" w:lineRule="auto"/>
        <w:rPr>
          <w:rFonts w:ascii="Arial" w:hAnsi="Arial" w:cs="Arial"/>
          <w:b/>
          <w:bCs/>
          <w:u w:val="single"/>
        </w:rPr>
      </w:pPr>
      <w:r w:rsidRPr="001A08E5">
        <w:rPr>
          <w:rFonts w:ascii="Arial" w:hAnsi="Arial" w:cs="Arial"/>
          <w:b/>
          <w:bCs/>
          <w:u w:val="single"/>
        </w:rPr>
        <w:t>Review of Three information Sources</w:t>
      </w:r>
    </w:p>
    <w:p w14:paraId="63AE9190" w14:textId="2D343FB0" w:rsidR="00DF1191" w:rsidRPr="001A08E5" w:rsidRDefault="00DF1191" w:rsidP="00732124">
      <w:pPr>
        <w:spacing w:line="360" w:lineRule="auto"/>
        <w:rPr>
          <w:rFonts w:ascii="Arial" w:hAnsi="Arial" w:cs="Arial"/>
        </w:rPr>
      </w:pPr>
      <w:r w:rsidRPr="001A08E5">
        <w:rPr>
          <w:rFonts w:ascii="Arial" w:hAnsi="Arial" w:cs="Arial"/>
        </w:rPr>
        <w:t>Source 1: NHS Digital (202</w:t>
      </w:r>
      <w:r w:rsidR="00303A25" w:rsidRPr="001A08E5">
        <w:rPr>
          <w:rFonts w:ascii="Arial" w:hAnsi="Arial" w:cs="Arial"/>
        </w:rPr>
        <w:t>2</w:t>
      </w:r>
      <w:r w:rsidRPr="001A08E5">
        <w:rPr>
          <w:rFonts w:ascii="Arial" w:hAnsi="Arial" w:cs="Arial"/>
        </w:rPr>
        <w:t xml:space="preserve">) – ‘’ Digital Health and Care strategy’’ </w:t>
      </w:r>
    </w:p>
    <w:p w14:paraId="33EA3266" w14:textId="0F24F9F0" w:rsidR="00303A25" w:rsidRPr="001A08E5" w:rsidRDefault="00DF1191" w:rsidP="00732124">
      <w:pPr>
        <w:spacing w:line="360" w:lineRule="auto"/>
        <w:rPr>
          <w:rFonts w:ascii="Times New Roman" w:eastAsia="Times New Roman" w:hAnsi="Times New Roman" w:cs="Times New Roman"/>
          <w:kern w:val="0"/>
          <w:lang w:eastAsia="en-GB"/>
          <w14:ligatures w14:val="none"/>
        </w:rPr>
      </w:pPr>
      <w:r w:rsidRPr="001A08E5">
        <w:rPr>
          <w:rFonts w:ascii="Arial" w:hAnsi="Arial" w:cs="Arial"/>
        </w:rPr>
        <w:t xml:space="preserve">This official government document outlines the UK’s Strategic plan for digital transformation in health and care services. It includes </w:t>
      </w:r>
      <w:r w:rsidR="000B2F13" w:rsidRPr="001A08E5">
        <w:rPr>
          <w:rFonts w:ascii="Arial" w:hAnsi="Arial" w:cs="Arial"/>
        </w:rPr>
        <w:t xml:space="preserve">up-to-date statistics, policy goals, and implementation strategies for digital record systems. The </w:t>
      </w:r>
      <w:r w:rsidR="002F4662" w:rsidRPr="001A08E5">
        <w:rPr>
          <w:rFonts w:ascii="Arial" w:hAnsi="Arial" w:cs="Arial"/>
        </w:rPr>
        <w:t>source is highly relevant because it offers authoritative insight into national policy and government priorities. It was chosen for its reliability and current information, helping to place digital health records within the broader digital transformation framework</w:t>
      </w:r>
      <w:r w:rsidR="00303A25" w:rsidRPr="001A08E5">
        <w:rPr>
          <w:rFonts w:ascii="Arial" w:eastAsia="Times New Roman" w:hAnsi="Arial" w:cs="Arial"/>
          <w:kern w:val="0"/>
          <w:lang w:eastAsia="en-GB"/>
          <w14:ligatures w14:val="none"/>
        </w:rPr>
        <w:t xml:space="preserve"> </w:t>
      </w:r>
      <w:r w:rsidR="00303A25" w:rsidRPr="001A08E5">
        <w:rPr>
          <w:rFonts w:ascii="Arial" w:eastAsia="Times New Roman" w:hAnsi="Arial" w:cs="Arial"/>
          <w:kern w:val="0"/>
          <w:lang w:eastAsia="en-GB"/>
          <w14:ligatures w14:val="none"/>
        </w:rPr>
        <w:t>(Department of Health and Social Care, 2022)</w:t>
      </w:r>
      <w:r w:rsidR="00303A25" w:rsidRPr="001A08E5">
        <w:rPr>
          <w:rFonts w:ascii="Arial" w:eastAsia="Times New Roman" w:hAnsi="Arial" w:cs="Arial"/>
          <w:kern w:val="0"/>
          <w:lang w:eastAsia="en-GB"/>
          <w14:ligatures w14:val="none"/>
        </w:rPr>
        <w:t>.</w:t>
      </w:r>
    </w:p>
    <w:p w14:paraId="0DB1154E" w14:textId="0D6C4F25" w:rsidR="00DF1191" w:rsidRPr="001A08E5" w:rsidRDefault="00303A25" w:rsidP="00732124">
      <w:pPr>
        <w:spacing w:line="360" w:lineRule="auto"/>
        <w:rPr>
          <w:rFonts w:ascii="Arial" w:hAnsi="Arial" w:cs="Arial"/>
        </w:rPr>
      </w:pPr>
      <w:r w:rsidRPr="001A08E5">
        <w:rPr>
          <w:rFonts w:ascii="Arial" w:hAnsi="Arial" w:cs="Arial"/>
        </w:rPr>
        <w:t xml:space="preserve"> </w:t>
      </w:r>
    </w:p>
    <w:p w14:paraId="0AA7A323" w14:textId="77777777" w:rsidR="00194EF5" w:rsidRPr="001A08E5" w:rsidRDefault="00194EF5" w:rsidP="00732124">
      <w:pPr>
        <w:spacing w:line="360" w:lineRule="auto"/>
        <w:rPr>
          <w:rFonts w:ascii="Arial" w:hAnsi="Arial" w:cs="Arial"/>
        </w:rPr>
      </w:pPr>
    </w:p>
    <w:p w14:paraId="0492EC8B" w14:textId="61C3D96B" w:rsidR="00194EF5" w:rsidRPr="001A08E5" w:rsidRDefault="00194EF5" w:rsidP="00732124">
      <w:pPr>
        <w:spacing w:line="360" w:lineRule="auto"/>
        <w:rPr>
          <w:rFonts w:ascii="Arial" w:hAnsi="Arial" w:cs="Arial"/>
        </w:rPr>
      </w:pPr>
      <w:r w:rsidRPr="001A08E5">
        <w:rPr>
          <w:rFonts w:ascii="Arial" w:hAnsi="Arial" w:cs="Arial"/>
        </w:rPr>
        <w:t>Source 2: The King’s Fund (20</w:t>
      </w:r>
      <w:r w:rsidR="00C076AB" w:rsidRPr="001A08E5">
        <w:rPr>
          <w:rFonts w:ascii="Arial" w:hAnsi="Arial" w:cs="Arial"/>
        </w:rPr>
        <w:t>16</w:t>
      </w:r>
      <w:r w:rsidRPr="001A08E5">
        <w:rPr>
          <w:rFonts w:ascii="Arial" w:hAnsi="Arial" w:cs="Arial"/>
        </w:rPr>
        <w:t>)- ‘’Digital Transformation in the NHS’’</w:t>
      </w:r>
    </w:p>
    <w:p w14:paraId="6E63C1E9" w14:textId="646C77B1" w:rsidR="00C076AB" w:rsidRPr="001A08E5" w:rsidRDefault="00194EF5" w:rsidP="00732124">
      <w:pPr>
        <w:spacing w:line="360" w:lineRule="auto"/>
        <w:rPr>
          <w:rFonts w:ascii="Times New Roman" w:eastAsia="Times New Roman" w:hAnsi="Times New Roman" w:cs="Times New Roman"/>
          <w:kern w:val="0"/>
          <w:lang w:eastAsia="en-GB"/>
          <w14:ligatures w14:val="none"/>
        </w:rPr>
      </w:pPr>
      <w:r w:rsidRPr="001A08E5">
        <w:rPr>
          <w:rFonts w:ascii="Arial" w:hAnsi="Arial" w:cs="Arial"/>
        </w:rPr>
        <w:t xml:space="preserve">The King’s Fund. an independent health policy think tank, provides analysis of NHS reforms and challenges. This report reviews the progress and limitations of digitalisation in </w:t>
      </w:r>
      <w:r w:rsidRPr="001A08E5">
        <w:rPr>
          <w:rFonts w:ascii="Arial" w:hAnsi="Arial" w:cs="Arial"/>
        </w:rPr>
        <w:lastRenderedPageBreak/>
        <w:t xml:space="preserve">healthcare, featuring case studies on electronic health record. It is significant for its critical evaluation of how digital tools affect efficiency, patient safety, and staff workload. This source was selected for its balanced, evidence-based viewpoint, useful for examining both the advantages and challenges of digital health record </w:t>
      </w:r>
      <w:r w:rsidR="00C076AB" w:rsidRPr="001A08E5">
        <w:rPr>
          <w:rFonts w:ascii="Arial" w:hAnsi="Arial" w:cs="Arial"/>
        </w:rPr>
        <w:t>implementation</w:t>
      </w:r>
      <w:r w:rsidR="00C076AB" w:rsidRPr="001A08E5">
        <w:rPr>
          <w:rFonts w:ascii="Arial" w:eastAsia="Times New Roman" w:hAnsi="Arial" w:cs="Arial"/>
          <w:kern w:val="0"/>
          <w:lang w:eastAsia="en-GB"/>
          <w14:ligatures w14:val="none"/>
        </w:rPr>
        <w:t xml:space="preserve"> </w:t>
      </w:r>
      <w:r w:rsidR="00C076AB" w:rsidRPr="001A08E5">
        <w:rPr>
          <w:rFonts w:ascii="Arial" w:eastAsia="Times New Roman" w:hAnsi="Arial" w:cs="Arial"/>
          <w:kern w:val="0"/>
          <w:lang w:eastAsia="en-GB"/>
          <w14:ligatures w14:val="none"/>
        </w:rPr>
        <w:t>(Dunn, Honeyman and Mckenna, 2016)</w:t>
      </w:r>
    </w:p>
    <w:p w14:paraId="5BA2CA21" w14:textId="0412E875" w:rsidR="00194EF5" w:rsidRPr="001A08E5" w:rsidRDefault="00C076AB" w:rsidP="00732124">
      <w:pPr>
        <w:spacing w:line="360" w:lineRule="auto"/>
        <w:rPr>
          <w:rFonts w:ascii="Arial" w:hAnsi="Arial" w:cs="Arial"/>
        </w:rPr>
      </w:pPr>
      <w:r w:rsidRPr="001A08E5">
        <w:rPr>
          <w:rFonts w:ascii="Arial" w:hAnsi="Arial" w:cs="Arial"/>
        </w:rPr>
        <w:t xml:space="preserve"> .</w:t>
      </w:r>
      <w:r w:rsidR="00194EF5" w:rsidRPr="001A08E5">
        <w:rPr>
          <w:rFonts w:ascii="Arial" w:hAnsi="Arial" w:cs="Arial"/>
        </w:rPr>
        <w:t xml:space="preserve"> </w:t>
      </w:r>
    </w:p>
    <w:p w14:paraId="49D8579C" w14:textId="77777777" w:rsidR="00194EF5" w:rsidRPr="001A08E5" w:rsidRDefault="00194EF5" w:rsidP="00732124">
      <w:pPr>
        <w:spacing w:line="360" w:lineRule="auto"/>
        <w:rPr>
          <w:rFonts w:ascii="Arial" w:hAnsi="Arial" w:cs="Arial"/>
        </w:rPr>
      </w:pPr>
    </w:p>
    <w:p w14:paraId="764CF99E" w14:textId="020DE195" w:rsidR="00194EF5" w:rsidRPr="001A08E5" w:rsidRDefault="00194EF5" w:rsidP="00732124">
      <w:pPr>
        <w:spacing w:line="360" w:lineRule="auto"/>
        <w:rPr>
          <w:rFonts w:ascii="Arial" w:hAnsi="Arial" w:cs="Arial"/>
        </w:rPr>
      </w:pPr>
      <w:r w:rsidRPr="001A08E5">
        <w:rPr>
          <w:rFonts w:ascii="Arial" w:hAnsi="Arial" w:cs="Arial"/>
        </w:rPr>
        <w:t>Source 3:  The Health Foundation (202</w:t>
      </w:r>
      <w:r w:rsidR="00C076AB" w:rsidRPr="001A08E5">
        <w:rPr>
          <w:rFonts w:ascii="Arial" w:hAnsi="Arial" w:cs="Arial"/>
        </w:rPr>
        <w:t>5</w:t>
      </w:r>
      <w:r w:rsidRPr="001A08E5">
        <w:rPr>
          <w:rFonts w:ascii="Arial" w:hAnsi="Arial" w:cs="Arial"/>
        </w:rPr>
        <w:t xml:space="preserve">) ‘’Data and Digital technology in Health and Care’’ </w:t>
      </w:r>
    </w:p>
    <w:p w14:paraId="74760A63" w14:textId="1FB975C1" w:rsidR="00C076AB" w:rsidRPr="001A08E5" w:rsidRDefault="00194EF5" w:rsidP="00732124">
      <w:pPr>
        <w:spacing w:line="360" w:lineRule="auto"/>
        <w:rPr>
          <w:rFonts w:ascii="Times New Roman" w:eastAsia="Times New Roman" w:hAnsi="Times New Roman" w:cs="Times New Roman"/>
          <w:kern w:val="0"/>
          <w:lang w:eastAsia="en-GB"/>
          <w14:ligatures w14:val="none"/>
        </w:rPr>
      </w:pPr>
      <w:r w:rsidRPr="001A08E5">
        <w:rPr>
          <w:rFonts w:ascii="Arial" w:hAnsi="Arial" w:cs="Arial"/>
        </w:rPr>
        <w:t>This research report examines how data and digital technologies can enhance health outcomes. If applied effectively. It addresses obstacles such as staff training, interoperability, and data governance. The Health Foundation is reputable UK research organisation, making this a credible secondary source. It was chosen for its focus on practical challenges and its thorough analysis of the impact of digital health records on care qualities across different settings</w:t>
      </w:r>
      <w:r w:rsidR="00C076AB" w:rsidRPr="001A08E5">
        <w:rPr>
          <w:rFonts w:ascii="Arial" w:eastAsia="Times New Roman" w:hAnsi="Arial" w:cs="Arial"/>
          <w:kern w:val="0"/>
          <w:lang w:eastAsia="en-GB"/>
          <w14:ligatures w14:val="none"/>
        </w:rPr>
        <w:t xml:space="preserve"> </w:t>
      </w:r>
      <w:r w:rsidR="00C076AB" w:rsidRPr="001A08E5">
        <w:rPr>
          <w:rFonts w:ascii="Arial" w:eastAsia="Times New Roman" w:hAnsi="Arial" w:cs="Arial"/>
          <w:kern w:val="0"/>
          <w:lang w:eastAsia="en-GB"/>
          <w14:ligatures w14:val="none"/>
        </w:rPr>
        <w:t>(The Health Foundation, 2025)</w:t>
      </w:r>
    </w:p>
    <w:p w14:paraId="596C1A71" w14:textId="6F7968E1" w:rsidR="00194EF5" w:rsidRPr="001A08E5" w:rsidRDefault="00C076AB" w:rsidP="00732124">
      <w:pPr>
        <w:spacing w:line="360" w:lineRule="auto"/>
        <w:rPr>
          <w:rFonts w:ascii="Arial" w:hAnsi="Arial" w:cs="Arial"/>
        </w:rPr>
      </w:pPr>
      <w:r w:rsidRPr="001A08E5">
        <w:rPr>
          <w:rFonts w:ascii="Arial" w:hAnsi="Arial" w:cs="Arial"/>
        </w:rPr>
        <w:t xml:space="preserve"> </w:t>
      </w:r>
      <w:r w:rsidR="00194EF5" w:rsidRPr="001A08E5">
        <w:rPr>
          <w:rFonts w:ascii="Arial" w:hAnsi="Arial" w:cs="Arial"/>
        </w:rPr>
        <w:t>.</w:t>
      </w:r>
    </w:p>
    <w:p w14:paraId="2A8B4A91" w14:textId="77777777" w:rsidR="00194EF5" w:rsidRPr="001A08E5" w:rsidRDefault="00194EF5" w:rsidP="00732124">
      <w:pPr>
        <w:spacing w:line="360" w:lineRule="auto"/>
        <w:rPr>
          <w:rFonts w:ascii="Arial" w:hAnsi="Arial" w:cs="Arial"/>
        </w:rPr>
      </w:pPr>
    </w:p>
    <w:p w14:paraId="3C2C0021" w14:textId="30C16DC3" w:rsidR="00F0272E" w:rsidRPr="001A08E5" w:rsidRDefault="00F0272E" w:rsidP="00732124">
      <w:pPr>
        <w:spacing w:line="360" w:lineRule="auto"/>
        <w:rPr>
          <w:rFonts w:ascii="Arial" w:hAnsi="Arial" w:cs="Arial"/>
          <w:b/>
          <w:bCs/>
          <w:u w:val="single"/>
        </w:rPr>
      </w:pPr>
      <w:r w:rsidRPr="001A08E5">
        <w:rPr>
          <w:rFonts w:ascii="Arial" w:hAnsi="Arial" w:cs="Arial"/>
          <w:b/>
          <w:bCs/>
          <w:u w:val="single"/>
        </w:rPr>
        <w:t>Summary of Topic Importance</w:t>
      </w:r>
    </w:p>
    <w:p w14:paraId="7704178E" w14:textId="35AE0131" w:rsidR="00B92D27" w:rsidRPr="001A08E5" w:rsidRDefault="00F0272E" w:rsidP="00732124">
      <w:pPr>
        <w:spacing w:line="360" w:lineRule="auto"/>
        <w:rPr>
          <w:rFonts w:ascii="Times New Roman" w:eastAsia="Times New Roman" w:hAnsi="Times New Roman" w:cs="Times New Roman"/>
          <w:kern w:val="0"/>
          <w:lang w:eastAsia="en-GB"/>
          <w14:ligatures w14:val="none"/>
        </w:rPr>
      </w:pPr>
      <w:r w:rsidRPr="001A08E5">
        <w:rPr>
          <w:rFonts w:ascii="Arial" w:hAnsi="Arial" w:cs="Arial"/>
        </w:rPr>
        <w:t xml:space="preserve">To sum up, examining the effects of digital health records patient care is essential for understanding how digital health transformation influences of the delivery of services. This topic is both current and relevant to learning goals related to digital skills and research methods. It links technology with practical care outcomes and helps create evidence-based suggestions to improve data management and the patient </w:t>
      </w:r>
      <w:r w:rsidR="00B92D27" w:rsidRPr="001A08E5">
        <w:rPr>
          <w:rFonts w:ascii="Arial" w:hAnsi="Arial" w:cs="Arial"/>
        </w:rPr>
        <w:t xml:space="preserve">experience </w:t>
      </w:r>
      <w:r w:rsidR="00B92D27" w:rsidRPr="001A08E5">
        <w:rPr>
          <w:rFonts w:ascii="Arial" w:eastAsia="Times New Roman" w:hAnsi="Arial" w:cs="Arial"/>
          <w:kern w:val="0"/>
          <w:lang w:eastAsia="en-GB"/>
          <w14:ligatures w14:val="none"/>
        </w:rPr>
        <w:t>(Brands et al., 2022)</w:t>
      </w:r>
      <w:r w:rsidR="00B92D27" w:rsidRPr="001A08E5">
        <w:rPr>
          <w:rFonts w:ascii="Arial" w:eastAsia="Times New Roman" w:hAnsi="Arial" w:cs="Arial"/>
          <w:kern w:val="0"/>
          <w:lang w:eastAsia="en-GB"/>
          <w14:ligatures w14:val="none"/>
        </w:rPr>
        <w:t>.</w:t>
      </w:r>
    </w:p>
    <w:p w14:paraId="1FB82C4B" w14:textId="73089419" w:rsidR="00F0272E" w:rsidRPr="001A08E5" w:rsidRDefault="00F0272E" w:rsidP="00732124">
      <w:pPr>
        <w:spacing w:line="360" w:lineRule="auto"/>
        <w:rPr>
          <w:rFonts w:ascii="Arial" w:hAnsi="Arial" w:cs="Arial"/>
        </w:rPr>
      </w:pPr>
    </w:p>
    <w:p w14:paraId="4455BC7B" w14:textId="77777777" w:rsidR="00F0272E" w:rsidRPr="001A08E5" w:rsidRDefault="00F0272E" w:rsidP="00732124">
      <w:pPr>
        <w:spacing w:line="360" w:lineRule="auto"/>
        <w:rPr>
          <w:rFonts w:ascii="Arial" w:hAnsi="Arial" w:cs="Arial"/>
          <w:b/>
          <w:bCs/>
        </w:rPr>
      </w:pPr>
    </w:p>
    <w:p w14:paraId="515629D5" w14:textId="3A8EABC0" w:rsidR="00F0272E" w:rsidRPr="001A08E5" w:rsidRDefault="00F0272E" w:rsidP="00732124">
      <w:pPr>
        <w:spacing w:line="360" w:lineRule="auto"/>
        <w:rPr>
          <w:rFonts w:ascii="Arial" w:hAnsi="Arial" w:cs="Arial"/>
          <w:b/>
          <w:bCs/>
          <w:u w:val="single"/>
        </w:rPr>
      </w:pPr>
      <w:r w:rsidRPr="001A08E5">
        <w:rPr>
          <w:rFonts w:ascii="Arial" w:hAnsi="Arial" w:cs="Arial"/>
          <w:b/>
          <w:bCs/>
          <w:u w:val="single"/>
        </w:rPr>
        <w:t>Research Methodologies</w:t>
      </w:r>
    </w:p>
    <w:p w14:paraId="7750389E" w14:textId="5239EB09" w:rsidR="00FF4624" w:rsidRPr="001A08E5" w:rsidRDefault="00F0272E" w:rsidP="00732124">
      <w:pPr>
        <w:spacing w:line="360" w:lineRule="auto"/>
        <w:rPr>
          <w:rFonts w:ascii="Times New Roman" w:eastAsia="Times New Roman" w:hAnsi="Times New Roman" w:cs="Times New Roman"/>
          <w:kern w:val="0"/>
          <w:lang w:eastAsia="en-GB"/>
          <w14:ligatures w14:val="none"/>
        </w:rPr>
      </w:pPr>
      <w:r w:rsidRPr="001A08E5">
        <w:rPr>
          <w:rFonts w:ascii="Arial" w:hAnsi="Arial" w:cs="Arial"/>
        </w:rPr>
        <w:t xml:space="preserve">Health and social care research can use quantitative, qualitative, or mixed methods. Quantitative research deals with measurable data like patient satisfaction ratings, wait </w:t>
      </w:r>
      <w:r w:rsidR="004A244B" w:rsidRPr="001A08E5">
        <w:rPr>
          <w:rFonts w:ascii="Arial" w:hAnsi="Arial" w:cs="Arial"/>
        </w:rPr>
        <w:t>times, and</w:t>
      </w:r>
      <w:r w:rsidRPr="001A08E5">
        <w:rPr>
          <w:rFonts w:ascii="Arial" w:hAnsi="Arial" w:cs="Arial"/>
        </w:rPr>
        <w:t xml:space="preserve"> error counts, using tools such as surveys and statistical test to find </w:t>
      </w:r>
      <w:r w:rsidR="00FF4624" w:rsidRPr="001A08E5">
        <w:rPr>
          <w:rFonts w:ascii="Arial" w:hAnsi="Arial" w:cs="Arial"/>
        </w:rPr>
        <w:t>patterns.</w:t>
      </w:r>
      <w:r w:rsidRPr="001A08E5">
        <w:rPr>
          <w:rFonts w:ascii="Arial" w:hAnsi="Arial" w:cs="Arial"/>
        </w:rPr>
        <w:t xml:space="preserve"> On the other hands, qualitative research looks at personal experiences and meanings through interviews, focus groups, or case studies, offering deeper understanding of patient and staff perspectives </w:t>
      </w:r>
      <w:r w:rsidR="00FF4624" w:rsidRPr="001A08E5">
        <w:rPr>
          <w:rFonts w:ascii="Arial" w:eastAsia="Times New Roman" w:hAnsi="Arial" w:cs="Arial"/>
          <w:kern w:val="0"/>
          <w:lang w:eastAsia="en-GB"/>
          <w14:ligatures w14:val="none"/>
        </w:rPr>
        <w:t>(Östlund et al., 2020)</w:t>
      </w:r>
    </w:p>
    <w:p w14:paraId="09CC1C48" w14:textId="5B990C31" w:rsidR="00F0272E" w:rsidRPr="001A08E5" w:rsidRDefault="00F0272E" w:rsidP="00732124">
      <w:pPr>
        <w:spacing w:line="360" w:lineRule="auto"/>
        <w:rPr>
          <w:rFonts w:ascii="Arial" w:hAnsi="Arial" w:cs="Arial"/>
        </w:rPr>
      </w:pPr>
    </w:p>
    <w:p w14:paraId="6F19D61D" w14:textId="34696334" w:rsidR="009F432A" w:rsidRPr="001A08E5" w:rsidRDefault="00F0272E" w:rsidP="00732124">
      <w:pPr>
        <w:spacing w:line="360" w:lineRule="auto"/>
        <w:rPr>
          <w:rFonts w:ascii="Arial" w:hAnsi="Arial" w:cs="Arial"/>
        </w:rPr>
      </w:pPr>
      <w:r w:rsidRPr="001A08E5">
        <w:rPr>
          <w:rFonts w:ascii="Arial" w:hAnsi="Arial" w:cs="Arial"/>
        </w:rPr>
        <w:t xml:space="preserve">For this study, a mixed-methods approach is ideal. It combines the numerical power of </w:t>
      </w:r>
      <w:r w:rsidR="00F031AB" w:rsidRPr="001A08E5">
        <w:rPr>
          <w:rFonts w:ascii="Arial" w:hAnsi="Arial" w:cs="Arial"/>
        </w:rPr>
        <w:t>quantitative</w:t>
      </w:r>
      <w:r w:rsidRPr="001A08E5">
        <w:rPr>
          <w:rFonts w:ascii="Arial" w:hAnsi="Arial" w:cs="Arial"/>
        </w:rPr>
        <w:t xml:space="preserve"> data with the detailed, contextual insights from qualitative research. The </w:t>
      </w:r>
      <w:r w:rsidR="009F432A" w:rsidRPr="001A08E5">
        <w:rPr>
          <w:rFonts w:ascii="Arial" w:hAnsi="Arial" w:cs="Arial"/>
        </w:rPr>
        <w:t xml:space="preserve">quantitative part might involve analysing NHS Digital data on system performative or error rates, while the qualitative part could include case studies or interviews with healthcare workers about their experiences with digital health record systems. This mix provides a thorough view of digital health records affect patient care from both statistical and human </w:t>
      </w:r>
      <w:r w:rsidR="004A244B" w:rsidRPr="001A08E5">
        <w:rPr>
          <w:rFonts w:ascii="Arial" w:hAnsi="Arial" w:cs="Arial"/>
        </w:rPr>
        <w:t>viewpoint.</w:t>
      </w:r>
      <w:r w:rsidR="009F432A" w:rsidRPr="001A08E5">
        <w:rPr>
          <w:rFonts w:ascii="Arial" w:hAnsi="Arial" w:cs="Arial"/>
        </w:rPr>
        <w:t xml:space="preserve"> </w:t>
      </w:r>
    </w:p>
    <w:p w14:paraId="52D257BA" w14:textId="5FCF76CB" w:rsidR="009F432A" w:rsidRPr="001A08E5" w:rsidRDefault="009F432A" w:rsidP="00732124">
      <w:pPr>
        <w:spacing w:line="360" w:lineRule="auto"/>
        <w:rPr>
          <w:rFonts w:ascii="Arial" w:hAnsi="Arial" w:cs="Arial"/>
        </w:rPr>
      </w:pPr>
      <w:r w:rsidRPr="001A08E5">
        <w:rPr>
          <w:rFonts w:ascii="Arial" w:hAnsi="Arial" w:cs="Arial"/>
        </w:rPr>
        <w:t>This approach fits the study’s goal to evaluate both measurable results (like efficiency and safety) and experiential aspects (such as user satisfaction and confidence). Using mixed methods ensures a well-rounded analysis that captures the complexity of implementing digital health in the UK healthcare system.</w:t>
      </w:r>
    </w:p>
    <w:p w14:paraId="301D3634" w14:textId="77777777" w:rsidR="009F432A" w:rsidRPr="001A08E5" w:rsidRDefault="009F432A" w:rsidP="00732124">
      <w:pPr>
        <w:spacing w:line="360" w:lineRule="auto"/>
        <w:rPr>
          <w:rFonts w:ascii="Arial" w:hAnsi="Arial" w:cs="Arial"/>
        </w:rPr>
      </w:pPr>
    </w:p>
    <w:p w14:paraId="56C44483" w14:textId="77777777" w:rsidR="009F432A" w:rsidRPr="001A08E5" w:rsidRDefault="009F432A" w:rsidP="00732124">
      <w:pPr>
        <w:spacing w:line="360" w:lineRule="auto"/>
        <w:rPr>
          <w:rFonts w:ascii="Arial" w:hAnsi="Arial" w:cs="Arial"/>
        </w:rPr>
      </w:pPr>
    </w:p>
    <w:p w14:paraId="0D845D97" w14:textId="47154DD8" w:rsidR="009F432A" w:rsidRPr="001A08E5" w:rsidRDefault="009F432A" w:rsidP="00732124">
      <w:pPr>
        <w:spacing w:line="360" w:lineRule="auto"/>
        <w:rPr>
          <w:rFonts w:ascii="Arial" w:hAnsi="Arial" w:cs="Arial"/>
          <w:b/>
          <w:bCs/>
          <w:u w:val="single"/>
        </w:rPr>
      </w:pPr>
      <w:r w:rsidRPr="001A08E5">
        <w:rPr>
          <w:rFonts w:ascii="Arial" w:hAnsi="Arial" w:cs="Arial"/>
          <w:b/>
          <w:bCs/>
          <w:u w:val="single"/>
        </w:rPr>
        <w:t>Data collection</w:t>
      </w:r>
    </w:p>
    <w:p w14:paraId="6DECB59C" w14:textId="77777777" w:rsidR="00D41244" w:rsidRPr="00D41244" w:rsidRDefault="00F031AB" w:rsidP="00732124">
      <w:pPr>
        <w:spacing w:line="360" w:lineRule="auto"/>
        <w:rPr>
          <w:rFonts w:ascii="Times New Roman" w:eastAsia="Times New Roman" w:hAnsi="Times New Roman" w:cs="Times New Roman"/>
          <w:kern w:val="0"/>
          <w:sz w:val="24"/>
          <w:szCs w:val="24"/>
          <w:lang w:eastAsia="en-GB"/>
          <w14:ligatures w14:val="none"/>
        </w:rPr>
      </w:pPr>
      <w:r w:rsidRPr="001A08E5">
        <w:rPr>
          <w:rFonts w:ascii="Arial" w:hAnsi="Arial" w:cs="Arial"/>
        </w:rPr>
        <w:t xml:space="preserve">Data collection in research is generally categorised into primary and secondary sources. Primary data are gathered firsthand by the researcher through methods such as surveys, interviews, or </w:t>
      </w:r>
      <w:r w:rsidR="00D41244" w:rsidRPr="001A08E5">
        <w:rPr>
          <w:rFonts w:ascii="Arial" w:hAnsi="Arial" w:cs="Arial"/>
        </w:rPr>
        <w:t>observations.</w:t>
      </w:r>
      <w:r w:rsidRPr="001A08E5">
        <w:rPr>
          <w:rFonts w:ascii="Arial" w:hAnsi="Arial" w:cs="Arial"/>
        </w:rPr>
        <w:t xml:space="preserve"> In contrast, secondary data consist of pre-existing information from sources like government publications, academic journals, and statistical databases. Both types have advantages and disadvantages: primary data offer original and context -specific insights but can be costly and time-consuming to obtain, while secondary data provide ease of access and</w:t>
      </w:r>
      <w:r w:rsidR="00E448B8" w:rsidRPr="001A08E5">
        <w:rPr>
          <w:rFonts w:ascii="Arial" w:hAnsi="Arial" w:cs="Arial"/>
        </w:rPr>
        <w:t xml:space="preserve"> wider coverage but rely on the accuracy and relevance of previously collected </w:t>
      </w:r>
      <w:r w:rsidR="00D41244" w:rsidRPr="001A08E5">
        <w:rPr>
          <w:rFonts w:ascii="Arial" w:hAnsi="Arial" w:cs="Arial"/>
        </w:rPr>
        <w:t>information</w:t>
      </w:r>
      <w:r w:rsidR="00D41244">
        <w:rPr>
          <w:rFonts w:ascii="Arial" w:hAnsi="Arial" w:cs="Arial"/>
        </w:rPr>
        <w:t xml:space="preserve"> </w:t>
      </w:r>
      <w:r w:rsidR="00D41244" w:rsidRPr="00D41244">
        <w:rPr>
          <w:rFonts w:ascii="Arial" w:eastAsia="Times New Roman" w:hAnsi="Arial" w:cs="Arial"/>
          <w:kern w:val="0"/>
          <w:lang w:eastAsia="en-GB"/>
          <w14:ligatures w14:val="none"/>
        </w:rPr>
        <w:t>(Mazhar, 2021)</w:t>
      </w:r>
    </w:p>
    <w:p w14:paraId="24606B03" w14:textId="2D001FB4" w:rsidR="009F432A" w:rsidRPr="001A08E5" w:rsidRDefault="00D41244" w:rsidP="00732124">
      <w:pPr>
        <w:spacing w:line="360" w:lineRule="auto"/>
        <w:rPr>
          <w:rFonts w:ascii="Arial" w:hAnsi="Arial" w:cs="Arial"/>
        </w:rPr>
      </w:pPr>
      <w:r>
        <w:rPr>
          <w:rFonts w:ascii="Arial" w:hAnsi="Arial" w:cs="Arial"/>
        </w:rPr>
        <w:t>.</w:t>
      </w:r>
    </w:p>
    <w:p w14:paraId="667DDB1E" w14:textId="548B3E75" w:rsidR="00E448B8" w:rsidRPr="001A08E5" w:rsidRDefault="00E448B8" w:rsidP="00732124">
      <w:pPr>
        <w:spacing w:line="360" w:lineRule="auto"/>
        <w:rPr>
          <w:rFonts w:ascii="Arial" w:hAnsi="Arial" w:cs="Arial"/>
        </w:rPr>
      </w:pPr>
      <w:r w:rsidRPr="001A08E5">
        <w:rPr>
          <w:rFonts w:ascii="Arial" w:hAnsi="Arial" w:cs="Arial"/>
        </w:rPr>
        <w:t xml:space="preserve">For this study on digital health records, secondary data collection is deemed most suitable. Given the focus on established systems and policies within the UK healthcare sector, there exists a rich array of reliable secondary sources, including NHS Digital statistics, government policies from institutions such as The King’s Fund and The Health </w:t>
      </w:r>
      <w:r w:rsidR="004A244B" w:rsidRPr="001A08E5">
        <w:rPr>
          <w:rFonts w:ascii="Arial" w:hAnsi="Arial" w:cs="Arial"/>
        </w:rPr>
        <w:t>Foundation. utilizing</w:t>
      </w:r>
      <w:r w:rsidRPr="001A08E5">
        <w:rPr>
          <w:rFonts w:ascii="Arial" w:hAnsi="Arial" w:cs="Arial"/>
        </w:rPr>
        <w:t xml:space="preserve"> these sources facilitates thorough analysis without the ethical and logistical challenges often associated with primary data collection. </w:t>
      </w:r>
    </w:p>
    <w:p w14:paraId="435A481D" w14:textId="77777777" w:rsidR="00E448B8" w:rsidRPr="001A08E5" w:rsidRDefault="00E448B8" w:rsidP="00732124">
      <w:pPr>
        <w:spacing w:line="360" w:lineRule="auto"/>
        <w:rPr>
          <w:rFonts w:ascii="Arial" w:hAnsi="Arial" w:cs="Arial"/>
        </w:rPr>
      </w:pPr>
    </w:p>
    <w:p w14:paraId="3FDF1A64" w14:textId="0A2A01CE" w:rsidR="00E448B8" w:rsidRPr="001A08E5" w:rsidRDefault="00E448B8" w:rsidP="00732124">
      <w:pPr>
        <w:spacing w:line="360" w:lineRule="auto"/>
        <w:rPr>
          <w:rFonts w:ascii="Arial" w:hAnsi="Arial" w:cs="Arial"/>
        </w:rPr>
      </w:pPr>
      <w:r w:rsidRPr="001A08E5">
        <w:rPr>
          <w:rFonts w:ascii="Arial" w:hAnsi="Arial" w:cs="Arial"/>
        </w:rPr>
        <w:lastRenderedPageBreak/>
        <w:t xml:space="preserve">Moreover, employing secondary data complements the </w:t>
      </w:r>
      <w:r w:rsidR="004A244B" w:rsidRPr="001A08E5">
        <w:rPr>
          <w:rFonts w:ascii="Arial" w:hAnsi="Arial" w:cs="Arial"/>
        </w:rPr>
        <w:t>mixed methods</w:t>
      </w:r>
      <w:r w:rsidRPr="001A08E5">
        <w:rPr>
          <w:rFonts w:ascii="Arial" w:hAnsi="Arial" w:cs="Arial"/>
        </w:rPr>
        <w:t xml:space="preserve"> design by integrating quantitative performance metrics (such as patient outcomes and adoption </w:t>
      </w:r>
      <w:r w:rsidR="004A244B" w:rsidRPr="001A08E5">
        <w:rPr>
          <w:rFonts w:ascii="Arial" w:hAnsi="Arial" w:cs="Arial"/>
        </w:rPr>
        <w:t>rates)</w:t>
      </w:r>
      <w:r w:rsidRPr="001A08E5">
        <w:rPr>
          <w:rFonts w:ascii="Arial" w:hAnsi="Arial" w:cs="Arial"/>
        </w:rPr>
        <w:t xml:space="preserve"> with qualitative insights </w:t>
      </w:r>
      <w:r w:rsidR="004A244B" w:rsidRPr="001A08E5">
        <w:rPr>
          <w:rFonts w:ascii="Arial" w:hAnsi="Arial" w:cs="Arial"/>
        </w:rPr>
        <w:t>(such</w:t>
      </w:r>
      <w:r w:rsidRPr="001A08E5">
        <w:rPr>
          <w:rFonts w:ascii="Arial" w:hAnsi="Arial" w:cs="Arial"/>
        </w:rPr>
        <w:t xml:space="preserve"> as healthcare staff experiences). Examining these varied data sets will provide a comprehensive understanding of the impact of digital health records on patient care quality and operational efficiency across diverse health and social care environments.</w:t>
      </w:r>
    </w:p>
    <w:p w14:paraId="21B99306" w14:textId="77777777" w:rsidR="00E448B8" w:rsidRPr="001A08E5" w:rsidRDefault="00E448B8" w:rsidP="00732124">
      <w:pPr>
        <w:spacing w:line="360" w:lineRule="auto"/>
        <w:rPr>
          <w:rFonts w:ascii="Arial" w:hAnsi="Arial" w:cs="Arial"/>
          <w:u w:val="single"/>
        </w:rPr>
      </w:pPr>
    </w:p>
    <w:p w14:paraId="4D54AAFD" w14:textId="77777777" w:rsidR="008B7902" w:rsidRPr="001A08E5" w:rsidRDefault="008B7902" w:rsidP="00732124">
      <w:pPr>
        <w:spacing w:line="360" w:lineRule="auto"/>
        <w:rPr>
          <w:rFonts w:ascii="Arial" w:hAnsi="Arial" w:cs="Arial"/>
          <w:u w:val="single"/>
        </w:rPr>
      </w:pPr>
    </w:p>
    <w:p w14:paraId="16315549" w14:textId="77777777" w:rsidR="008B7902" w:rsidRPr="001A08E5" w:rsidRDefault="008B7902" w:rsidP="00732124">
      <w:pPr>
        <w:spacing w:line="360" w:lineRule="auto"/>
        <w:rPr>
          <w:rFonts w:ascii="Arial" w:hAnsi="Arial" w:cs="Arial"/>
          <w:u w:val="single"/>
        </w:rPr>
      </w:pPr>
    </w:p>
    <w:p w14:paraId="38FC365C" w14:textId="77777777" w:rsidR="008B7902" w:rsidRPr="001A08E5" w:rsidRDefault="008B7902" w:rsidP="00732124">
      <w:pPr>
        <w:spacing w:line="360" w:lineRule="auto"/>
        <w:rPr>
          <w:rFonts w:ascii="Arial" w:hAnsi="Arial" w:cs="Arial"/>
          <w:u w:val="single"/>
        </w:rPr>
      </w:pPr>
    </w:p>
    <w:p w14:paraId="241F75E9" w14:textId="77777777" w:rsidR="008B7902" w:rsidRPr="001A08E5" w:rsidRDefault="008B7902" w:rsidP="00732124">
      <w:pPr>
        <w:spacing w:line="360" w:lineRule="auto"/>
        <w:rPr>
          <w:rFonts w:ascii="Arial" w:hAnsi="Arial" w:cs="Arial"/>
          <w:u w:val="single"/>
        </w:rPr>
      </w:pPr>
    </w:p>
    <w:p w14:paraId="70415EC6" w14:textId="77777777" w:rsidR="008B7902" w:rsidRPr="001A08E5" w:rsidRDefault="008B7902" w:rsidP="00732124">
      <w:pPr>
        <w:spacing w:line="360" w:lineRule="auto"/>
        <w:rPr>
          <w:rFonts w:ascii="Arial" w:hAnsi="Arial" w:cs="Arial"/>
          <w:u w:val="single"/>
        </w:rPr>
      </w:pPr>
    </w:p>
    <w:p w14:paraId="538BD9DC" w14:textId="77777777" w:rsidR="008B7902" w:rsidRPr="001A08E5" w:rsidRDefault="008B7902" w:rsidP="00732124">
      <w:pPr>
        <w:spacing w:line="360" w:lineRule="auto"/>
        <w:rPr>
          <w:rFonts w:ascii="Arial" w:hAnsi="Arial" w:cs="Arial"/>
          <w:u w:val="single"/>
        </w:rPr>
      </w:pPr>
    </w:p>
    <w:p w14:paraId="09EDD4F3" w14:textId="77777777" w:rsidR="008B7902" w:rsidRPr="001A08E5" w:rsidRDefault="008B7902" w:rsidP="00732124">
      <w:pPr>
        <w:spacing w:line="360" w:lineRule="auto"/>
        <w:rPr>
          <w:rFonts w:ascii="Arial" w:hAnsi="Arial" w:cs="Arial"/>
          <w:u w:val="single"/>
        </w:rPr>
      </w:pPr>
    </w:p>
    <w:p w14:paraId="5620FD2B" w14:textId="77777777" w:rsidR="008B7902" w:rsidRPr="001A08E5" w:rsidRDefault="008B7902" w:rsidP="00732124">
      <w:pPr>
        <w:spacing w:line="360" w:lineRule="auto"/>
        <w:rPr>
          <w:rFonts w:ascii="Arial" w:hAnsi="Arial" w:cs="Arial"/>
          <w:u w:val="single"/>
        </w:rPr>
      </w:pPr>
    </w:p>
    <w:p w14:paraId="1DA337B9" w14:textId="07951DF0" w:rsidR="00E448B8" w:rsidRPr="001A08E5" w:rsidRDefault="00E448B8" w:rsidP="00732124">
      <w:pPr>
        <w:spacing w:line="360" w:lineRule="auto"/>
        <w:rPr>
          <w:rFonts w:ascii="Arial" w:hAnsi="Arial" w:cs="Arial"/>
          <w:b/>
          <w:bCs/>
          <w:u w:val="single"/>
        </w:rPr>
      </w:pPr>
      <w:r w:rsidRPr="001A08E5">
        <w:rPr>
          <w:rFonts w:ascii="Arial" w:hAnsi="Arial" w:cs="Arial"/>
          <w:b/>
          <w:bCs/>
          <w:u w:val="single"/>
        </w:rPr>
        <w:t>Conclusion</w:t>
      </w:r>
    </w:p>
    <w:p w14:paraId="60426CCF" w14:textId="0AEE871C" w:rsidR="00E448B8" w:rsidRPr="001A08E5" w:rsidRDefault="008B7902" w:rsidP="00732124">
      <w:pPr>
        <w:spacing w:line="360" w:lineRule="auto"/>
        <w:rPr>
          <w:rFonts w:ascii="Arial" w:hAnsi="Arial" w:cs="Arial"/>
        </w:rPr>
      </w:pPr>
      <w:r w:rsidRPr="001A08E5">
        <w:rPr>
          <w:rFonts w:ascii="Arial" w:hAnsi="Arial" w:cs="Arial"/>
        </w:rPr>
        <w:t xml:space="preserve">This report has examined the effects of digital health records (DHRs) on patient care within the UK’s health and social care sectors. It has been established that while DHRs provide significant advantages- such as enhanced communication, improved data accuracy, and greater accessibility- they also pose challenges related to interoperability, digital </w:t>
      </w:r>
      <w:r w:rsidR="004A244B" w:rsidRPr="001A08E5">
        <w:rPr>
          <w:rFonts w:ascii="Arial" w:hAnsi="Arial" w:cs="Arial"/>
        </w:rPr>
        <w:t>literacy,</w:t>
      </w:r>
      <w:r w:rsidRPr="001A08E5">
        <w:rPr>
          <w:rFonts w:ascii="Arial" w:hAnsi="Arial" w:cs="Arial"/>
        </w:rPr>
        <w:t xml:space="preserve"> and privacy issues. The adoption of a mixed-methods research design, utilising secondary data, offers a comprehensive framework for </w:t>
      </w:r>
      <w:r w:rsidR="004A244B" w:rsidRPr="001A08E5">
        <w:rPr>
          <w:rFonts w:ascii="Arial" w:hAnsi="Arial" w:cs="Arial"/>
        </w:rPr>
        <w:t>thoroughly understanding</w:t>
      </w:r>
      <w:r w:rsidRPr="001A08E5">
        <w:rPr>
          <w:rFonts w:ascii="Arial" w:hAnsi="Arial" w:cs="Arial"/>
        </w:rPr>
        <w:t xml:space="preserve"> these complexities.</w:t>
      </w:r>
    </w:p>
    <w:p w14:paraId="60CA7B5D" w14:textId="3A2CA307" w:rsidR="00D41244" w:rsidRDefault="008B7902" w:rsidP="00732124">
      <w:pPr>
        <w:spacing w:line="360" w:lineRule="auto"/>
        <w:rPr>
          <w:rFonts w:ascii="Arial" w:hAnsi="Arial" w:cs="Arial"/>
        </w:rPr>
      </w:pPr>
      <w:r w:rsidRPr="001A08E5">
        <w:rPr>
          <w:rFonts w:ascii="Arial" w:hAnsi="Arial" w:cs="Arial"/>
        </w:rPr>
        <w:t>The results emphasise that the effective deployment of DHRs relies not only on technological factors but also on adequate staff training, robust data governance, and the cultivation of patient trust. As digital transformation continues to evolve within the NHS and social care services, continuous research and evaluation remain crucial to ensuring that technological advancements lead to meaningful enhancements in the quality and safety of patient care.</w:t>
      </w:r>
    </w:p>
    <w:p w14:paraId="5D771118" w14:textId="77777777" w:rsidR="00D41244" w:rsidRDefault="00D41244">
      <w:pPr>
        <w:rPr>
          <w:rFonts w:ascii="Arial" w:hAnsi="Arial" w:cs="Arial"/>
        </w:rPr>
      </w:pPr>
      <w:r>
        <w:rPr>
          <w:rFonts w:ascii="Arial" w:hAnsi="Arial" w:cs="Arial"/>
        </w:rPr>
        <w:br w:type="page"/>
      </w:r>
    </w:p>
    <w:p w14:paraId="2DACC271" w14:textId="50F71BF5" w:rsidR="00CF2053" w:rsidRPr="00CF2053" w:rsidRDefault="00D41244" w:rsidP="00CF2053">
      <w:pPr>
        <w:spacing w:line="360" w:lineRule="auto"/>
        <w:rPr>
          <w:rFonts w:ascii="Arial" w:hAnsi="Arial" w:cs="Arial"/>
          <w:sz w:val="36"/>
          <w:szCs w:val="36"/>
          <w:u w:val="single"/>
        </w:rPr>
      </w:pPr>
      <w:r w:rsidRPr="00D41244">
        <w:rPr>
          <w:rFonts w:ascii="Arial" w:hAnsi="Arial" w:cs="Arial"/>
          <w:sz w:val="36"/>
          <w:szCs w:val="36"/>
          <w:u w:val="single"/>
        </w:rPr>
        <w:lastRenderedPageBreak/>
        <w:t>References</w:t>
      </w:r>
    </w:p>
    <w:p w14:paraId="57AC2CB6" w14:textId="686C4E8C" w:rsidR="00CF2053" w:rsidRPr="00CF2053" w:rsidRDefault="00CF2053" w:rsidP="00CF2053">
      <w:pPr>
        <w:spacing w:after="240" w:line="360" w:lineRule="auto"/>
        <w:rPr>
          <w:rFonts w:ascii="Arial" w:eastAsia="Times New Roman" w:hAnsi="Arial" w:cs="Arial"/>
          <w:kern w:val="0"/>
          <w:lang w:eastAsia="en-GB"/>
          <w14:ligatures w14:val="none"/>
        </w:rPr>
      </w:pPr>
      <w:r w:rsidRPr="00CF2053">
        <w:rPr>
          <w:rFonts w:ascii="Arial" w:eastAsia="Times New Roman" w:hAnsi="Arial" w:cs="Arial"/>
          <w:kern w:val="0"/>
          <w:lang w:eastAsia="en-GB"/>
          <w14:ligatures w14:val="none"/>
        </w:rPr>
        <w:t xml:space="preserve">Anders Bach-Mortensen, Goodair, B., Esposti, M.D. and Needham, C. (2025). England’s </w:t>
      </w:r>
      <w:proofErr w:type="gramStart"/>
      <w:r w:rsidRPr="00CF2053">
        <w:rPr>
          <w:rFonts w:ascii="Arial" w:eastAsia="Times New Roman" w:hAnsi="Arial" w:cs="Arial"/>
          <w:kern w:val="0"/>
          <w:lang w:eastAsia="en-GB"/>
          <w14:ligatures w14:val="none"/>
        </w:rPr>
        <w:t>two tier</w:t>
      </w:r>
      <w:proofErr w:type="gramEnd"/>
      <w:r w:rsidRPr="00CF2053">
        <w:rPr>
          <w:rFonts w:ascii="Arial" w:eastAsia="Times New Roman" w:hAnsi="Arial" w:cs="Arial"/>
          <w:kern w:val="0"/>
          <w:lang w:eastAsia="en-GB"/>
          <w14:ligatures w14:val="none"/>
        </w:rPr>
        <w:t xml:space="preserve"> care system deepens social care inequalities. </w:t>
      </w:r>
      <w:r w:rsidRPr="00CF2053">
        <w:rPr>
          <w:rFonts w:ascii="Arial" w:eastAsia="Times New Roman" w:hAnsi="Arial" w:cs="Arial"/>
          <w:i/>
          <w:iCs/>
          <w:kern w:val="0"/>
          <w:lang w:eastAsia="en-GB"/>
          <w14:ligatures w14:val="none"/>
        </w:rPr>
        <w:t>PubMed</w:t>
      </w:r>
      <w:r w:rsidRPr="00CF2053">
        <w:rPr>
          <w:rFonts w:ascii="Arial" w:eastAsia="Times New Roman" w:hAnsi="Arial" w:cs="Arial"/>
          <w:kern w:val="0"/>
          <w:lang w:eastAsia="en-GB"/>
          <w14:ligatures w14:val="none"/>
        </w:rPr>
        <w:t xml:space="preserve">, [online] 390, </w:t>
      </w:r>
      <w:proofErr w:type="gramStart"/>
      <w:r w:rsidRPr="00CF2053">
        <w:rPr>
          <w:rFonts w:ascii="Arial" w:eastAsia="Times New Roman" w:hAnsi="Arial" w:cs="Arial"/>
          <w:kern w:val="0"/>
          <w:lang w:eastAsia="en-GB"/>
          <w14:ligatures w14:val="none"/>
        </w:rPr>
        <w:t>pp.e</w:t>
      </w:r>
      <w:proofErr w:type="gramEnd"/>
      <w:r w:rsidRPr="00CF2053">
        <w:rPr>
          <w:rFonts w:ascii="Arial" w:eastAsia="Times New Roman" w:hAnsi="Arial" w:cs="Arial"/>
          <w:kern w:val="0"/>
          <w:lang w:eastAsia="en-GB"/>
          <w14:ligatures w14:val="none"/>
        </w:rPr>
        <w:t xml:space="preserve">084808–e084808. </w:t>
      </w:r>
      <w:proofErr w:type="spellStart"/>
      <w:proofErr w:type="gramStart"/>
      <w:r w:rsidRPr="00CF2053">
        <w:rPr>
          <w:rFonts w:ascii="Arial" w:eastAsia="Times New Roman" w:hAnsi="Arial" w:cs="Arial"/>
          <w:kern w:val="0"/>
          <w:lang w:eastAsia="en-GB"/>
          <w14:ligatures w14:val="none"/>
        </w:rPr>
        <w:t>doi:https</w:t>
      </w:r>
      <w:proofErr w:type="spellEnd"/>
      <w:r w:rsidRPr="00CF2053">
        <w:rPr>
          <w:rFonts w:ascii="Arial" w:eastAsia="Times New Roman" w:hAnsi="Arial" w:cs="Arial"/>
          <w:kern w:val="0"/>
          <w:lang w:eastAsia="en-GB"/>
          <w14:ligatures w14:val="none"/>
        </w:rPr>
        <w:t>://doi.org/10.1136/bmj-2025-084808</w:t>
      </w:r>
      <w:proofErr w:type="gramEnd"/>
      <w:r w:rsidR="005566A6">
        <w:rPr>
          <w:rFonts w:ascii="Arial" w:eastAsia="Times New Roman" w:hAnsi="Arial" w:cs="Arial"/>
          <w:kern w:val="0"/>
          <w:lang w:eastAsia="en-GB"/>
          <w14:ligatures w14:val="none"/>
        </w:rPr>
        <w:t xml:space="preserve"> </w:t>
      </w:r>
      <w:r w:rsidRPr="00CF2053">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(Accessed 26 October 2025)</w:t>
      </w:r>
    </w:p>
    <w:p w14:paraId="033C1CC9" w14:textId="1A56B9C2" w:rsidR="00CF2053" w:rsidRPr="00CF2053" w:rsidRDefault="00CF2053" w:rsidP="00CF2053">
      <w:pPr>
        <w:spacing w:after="240" w:line="360" w:lineRule="auto"/>
        <w:rPr>
          <w:rFonts w:ascii="Arial" w:eastAsia="Times New Roman" w:hAnsi="Arial" w:cs="Arial"/>
          <w:kern w:val="0"/>
          <w:lang w:eastAsia="en-GB"/>
          <w14:ligatures w14:val="none"/>
        </w:rPr>
      </w:pPr>
      <w:r w:rsidRPr="00CF2053">
        <w:rPr>
          <w:rFonts w:ascii="Arial" w:eastAsia="Times New Roman" w:hAnsi="Arial" w:cs="Arial"/>
          <w:kern w:val="0"/>
          <w:lang w:eastAsia="en-GB"/>
          <w14:ligatures w14:val="none"/>
        </w:rPr>
        <w:t xml:space="preserve">Brands, M.R., Gouw, S.C., </w:t>
      </w:r>
      <w:proofErr w:type="spellStart"/>
      <w:r w:rsidRPr="00CF2053">
        <w:rPr>
          <w:rFonts w:ascii="Arial" w:eastAsia="Times New Roman" w:hAnsi="Arial" w:cs="Arial"/>
          <w:kern w:val="0"/>
          <w:lang w:eastAsia="en-GB"/>
          <w14:ligatures w14:val="none"/>
        </w:rPr>
        <w:t>Beestrum</w:t>
      </w:r>
      <w:proofErr w:type="spellEnd"/>
      <w:r w:rsidRPr="00CF2053">
        <w:rPr>
          <w:rFonts w:ascii="Arial" w:eastAsia="Times New Roman" w:hAnsi="Arial" w:cs="Arial"/>
          <w:kern w:val="0"/>
          <w:lang w:eastAsia="en-GB"/>
          <w14:ligatures w14:val="none"/>
        </w:rPr>
        <w:t xml:space="preserve">, M., Cronin, R.M., </w:t>
      </w:r>
      <w:proofErr w:type="spellStart"/>
      <w:r w:rsidRPr="00CF2053">
        <w:rPr>
          <w:rFonts w:ascii="Arial" w:eastAsia="Times New Roman" w:hAnsi="Arial" w:cs="Arial"/>
          <w:kern w:val="0"/>
          <w:lang w:eastAsia="en-GB"/>
          <w14:ligatures w14:val="none"/>
        </w:rPr>
        <w:t>Fijnvandraat</w:t>
      </w:r>
      <w:proofErr w:type="spellEnd"/>
      <w:r w:rsidRPr="00CF2053">
        <w:rPr>
          <w:rFonts w:ascii="Arial" w:eastAsia="Times New Roman" w:hAnsi="Arial" w:cs="Arial"/>
          <w:kern w:val="0"/>
          <w:lang w:eastAsia="en-GB"/>
          <w14:ligatures w14:val="none"/>
        </w:rPr>
        <w:t>, K. and Badawy, S.M. (2022). Patient-</w:t>
      </w:r>
      <w:proofErr w:type="spellStart"/>
      <w:r w:rsidRPr="00CF2053">
        <w:rPr>
          <w:rFonts w:ascii="Arial" w:eastAsia="Times New Roman" w:hAnsi="Arial" w:cs="Arial"/>
          <w:kern w:val="0"/>
          <w:lang w:eastAsia="en-GB"/>
          <w14:ligatures w14:val="none"/>
        </w:rPr>
        <w:t>Centered</w:t>
      </w:r>
      <w:proofErr w:type="spellEnd"/>
      <w:r w:rsidRPr="00CF2053">
        <w:rPr>
          <w:rFonts w:ascii="Arial" w:eastAsia="Times New Roman" w:hAnsi="Arial" w:cs="Arial"/>
          <w:kern w:val="0"/>
          <w:lang w:eastAsia="en-GB"/>
          <w14:ligatures w14:val="none"/>
        </w:rPr>
        <w:t xml:space="preserve"> Digital Health Records and Their Effects on Health Outcomes: Systematic Review. </w:t>
      </w:r>
      <w:r w:rsidRPr="00CF2053">
        <w:rPr>
          <w:rFonts w:ascii="Arial" w:eastAsia="Times New Roman" w:hAnsi="Arial" w:cs="Arial"/>
          <w:i/>
          <w:iCs/>
          <w:kern w:val="0"/>
          <w:lang w:eastAsia="en-GB"/>
          <w14:ligatures w14:val="none"/>
        </w:rPr>
        <w:t>Journal of Medical Internet Research</w:t>
      </w:r>
      <w:r w:rsidRPr="00CF2053">
        <w:rPr>
          <w:rFonts w:ascii="Arial" w:eastAsia="Times New Roman" w:hAnsi="Arial" w:cs="Arial"/>
          <w:kern w:val="0"/>
          <w:lang w:eastAsia="en-GB"/>
          <w14:ligatures w14:val="none"/>
        </w:rPr>
        <w:t xml:space="preserve">, 24(12). </w:t>
      </w:r>
      <w:proofErr w:type="spellStart"/>
      <w:r w:rsidRPr="00CF2053">
        <w:rPr>
          <w:rFonts w:ascii="Arial" w:eastAsia="Times New Roman" w:hAnsi="Arial" w:cs="Arial"/>
          <w:kern w:val="0"/>
          <w:lang w:eastAsia="en-GB"/>
          <w14:ligatures w14:val="none"/>
        </w:rPr>
        <w:t>doi</w:t>
      </w:r>
      <w:proofErr w:type="spellEnd"/>
      <w:r w:rsidRPr="00CF2053">
        <w:rPr>
          <w:rFonts w:ascii="Arial" w:eastAsia="Times New Roman" w:hAnsi="Arial" w:cs="Arial"/>
          <w:kern w:val="0"/>
          <w:lang w:eastAsia="en-GB"/>
          <w14:ligatures w14:val="none"/>
        </w:rPr>
        <w:t xml:space="preserve">: </w:t>
      </w:r>
      <w:hyperlink r:id="rId4" w:history="1">
        <w:r w:rsidR="005566A6" w:rsidRPr="007A6FA3">
          <w:rPr>
            <w:rStyle w:val="Hyperlink"/>
            <w:rFonts w:ascii="Arial" w:eastAsia="Times New Roman" w:hAnsi="Arial" w:cs="Arial"/>
            <w:kern w:val="0"/>
            <w:lang w:eastAsia="en-GB"/>
            <w14:ligatures w14:val="none"/>
          </w:rPr>
          <w:t>https://doi.org/10.2196/43086</w:t>
        </w:r>
      </w:hyperlink>
      <w:r w:rsidRPr="00CF2053">
        <w:rPr>
          <w:rFonts w:ascii="Arial" w:eastAsia="Times New Roman" w:hAnsi="Arial" w:cs="Arial"/>
          <w:kern w:val="0"/>
          <w:lang w:eastAsia="en-GB"/>
          <w14:ligatures w14:val="none"/>
        </w:rPr>
        <w:t>.</w:t>
      </w:r>
      <w:r w:rsidR="005566A6">
        <w:rPr>
          <w:rFonts w:ascii="Arial" w:eastAsia="Times New Roman" w:hAnsi="Arial" w:cs="Arial"/>
          <w:kern w:val="0"/>
          <w:lang w:eastAsia="en-GB"/>
          <w14:ligatures w14:val="none"/>
        </w:rPr>
        <w:t xml:space="preserve"> </w:t>
      </w:r>
      <w:r w:rsidRPr="00CF2053">
        <w:rPr>
          <w:rFonts w:ascii="Arial" w:eastAsia="Times New Roman" w:hAnsi="Arial" w:cs="Arial"/>
          <w:kern w:val="0"/>
          <w:lang w:eastAsia="en-GB"/>
          <w14:ligatures w14:val="none"/>
        </w:rPr>
        <w:t>(Accessed</w:t>
      </w:r>
      <w:r>
        <w:rPr>
          <w:rFonts w:ascii="Arial" w:eastAsia="Times New Roman" w:hAnsi="Arial" w:cs="Arial"/>
          <w:kern w:val="0"/>
          <w:lang w:eastAsia="en-GB"/>
          <w14:ligatures w14:val="none"/>
        </w:rPr>
        <w:t xml:space="preserve"> 26 October 2025)</w:t>
      </w:r>
    </w:p>
    <w:p w14:paraId="3428F641" w14:textId="631F59FE" w:rsidR="00CF2053" w:rsidRPr="00CF2053" w:rsidRDefault="00CF2053" w:rsidP="00CF2053">
      <w:pPr>
        <w:spacing w:after="240" w:line="360" w:lineRule="auto"/>
        <w:rPr>
          <w:rFonts w:ascii="Arial" w:eastAsia="Times New Roman" w:hAnsi="Arial" w:cs="Arial"/>
          <w:kern w:val="0"/>
          <w:lang w:eastAsia="en-GB"/>
          <w14:ligatures w14:val="none"/>
        </w:rPr>
      </w:pPr>
      <w:r w:rsidRPr="00CF2053">
        <w:rPr>
          <w:rFonts w:ascii="Arial" w:eastAsia="Times New Roman" w:hAnsi="Arial" w:cs="Arial"/>
          <w:kern w:val="0"/>
          <w:lang w:eastAsia="en-GB"/>
          <w14:ligatures w14:val="none"/>
        </w:rPr>
        <w:t xml:space="preserve">Department of Health and Social Care (2022). </w:t>
      </w:r>
      <w:r w:rsidRPr="00CF2053">
        <w:rPr>
          <w:rFonts w:ascii="Arial" w:eastAsia="Times New Roman" w:hAnsi="Arial" w:cs="Arial"/>
          <w:i/>
          <w:iCs/>
          <w:kern w:val="0"/>
          <w:lang w:eastAsia="en-GB"/>
          <w14:ligatures w14:val="none"/>
        </w:rPr>
        <w:t>A Plan for Digital Health and Social Care</w:t>
      </w:r>
      <w:r w:rsidRPr="00CF2053">
        <w:rPr>
          <w:rFonts w:ascii="Arial" w:eastAsia="Times New Roman" w:hAnsi="Arial" w:cs="Arial"/>
          <w:kern w:val="0"/>
          <w:lang w:eastAsia="en-GB"/>
          <w14:ligatures w14:val="none"/>
        </w:rPr>
        <w:t xml:space="preserve">. [online] GOV.UK. Available at: </w:t>
      </w:r>
      <w:hyperlink r:id="rId5" w:history="1">
        <w:r w:rsidRPr="00CF2053">
          <w:rPr>
            <w:rStyle w:val="Hyperlink"/>
            <w:rFonts w:ascii="Arial" w:eastAsia="Times New Roman" w:hAnsi="Arial" w:cs="Arial"/>
            <w:kern w:val="0"/>
            <w:lang w:eastAsia="en-GB"/>
            <w14:ligatures w14:val="none"/>
          </w:rPr>
          <w:t>https://www.gov.uk/government/publications/a-plan-for-digital-health-and-social-care/a-plan-for-digital-health-and-social-care</w:t>
        </w:r>
      </w:hyperlink>
      <w:r w:rsidRPr="00CF2053">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(Accessed 26 October 2025)</w:t>
      </w:r>
    </w:p>
    <w:p w14:paraId="227BEE0A" w14:textId="5353BDCD" w:rsidR="00CF2053" w:rsidRPr="00CF2053" w:rsidRDefault="00CF2053" w:rsidP="00CF2053">
      <w:pPr>
        <w:spacing w:after="240" w:line="360" w:lineRule="auto"/>
        <w:rPr>
          <w:rFonts w:ascii="Arial" w:eastAsia="Times New Roman" w:hAnsi="Arial" w:cs="Arial"/>
          <w:kern w:val="0"/>
          <w:lang w:eastAsia="en-GB"/>
          <w14:ligatures w14:val="none"/>
        </w:rPr>
      </w:pPr>
      <w:r w:rsidRPr="00CF2053">
        <w:rPr>
          <w:rFonts w:ascii="Arial" w:eastAsia="Times New Roman" w:hAnsi="Arial" w:cs="Arial"/>
          <w:kern w:val="0"/>
          <w:lang w:eastAsia="en-GB"/>
          <w14:ligatures w14:val="none"/>
        </w:rPr>
        <w:t xml:space="preserve">Department of Health and Social Care (2025). </w:t>
      </w:r>
      <w:r w:rsidRPr="00CF2053">
        <w:rPr>
          <w:rFonts w:ascii="Arial" w:eastAsia="Times New Roman" w:hAnsi="Arial" w:cs="Arial"/>
          <w:i/>
          <w:iCs/>
          <w:kern w:val="0"/>
          <w:lang w:eastAsia="en-GB"/>
          <w14:ligatures w14:val="none"/>
        </w:rPr>
        <w:t>Fit for the future: 10 Year Health Plan for England - Executive Summary</w:t>
      </w:r>
      <w:r w:rsidRPr="00CF2053">
        <w:rPr>
          <w:rFonts w:ascii="Arial" w:eastAsia="Times New Roman" w:hAnsi="Arial" w:cs="Arial"/>
          <w:kern w:val="0"/>
          <w:lang w:eastAsia="en-GB"/>
          <w14:ligatures w14:val="none"/>
        </w:rPr>
        <w:t xml:space="preserve">. [online] GOV.UK. Available at: </w:t>
      </w:r>
      <w:hyperlink r:id="rId6" w:history="1">
        <w:r w:rsidRPr="00CF2053">
          <w:rPr>
            <w:rStyle w:val="Hyperlink"/>
            <w:rFonts w:ascii="Arial" w:eastAsia="Times New Roman" w:hAnsi="Arial" w:cs="Arial"/>
            <w:kern w:val="0"/>
            <w:lang w:eastAsia="en-GB"/>
            <w14:ligatures w14:val="none"/>
          </w:rPr>
          <w:t>https://www.gov.uk/government/publications/10-year-health-plan-for-england-fit-for-the-future/fit-for-the-future-10-year-health-plan-for-england-executive-summary</w:t>
        </w:r>
      </w:hyperlink>
      <w:r w:rsidRPr="00CF2053">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(Accessed 27 October 2025)</w:t>
      </w:r>
    </w:p>
    <w:p w14:paraId="0767B89F" w14:textId="143928A4" w:rsidR="00CF2053" w:rsidRPr="00CF2053" w:rsidRDefault="00CF2053" w:rsidP="00CF2053">
      <w:pPr>
        <w:spacing w:after="240" w:line="360" w:lineRule="auto"/>
        <w:rPr>
          <w:rFonts w:ascii="Arial" w:eastAsia="Times New Roman" w:hAnsi="Arial" w:cs="Arial"/>
          <w:kern w:val="0"/>
          <w:lang w:eastAsia="en-GB"/>
          <w14:ligatures w14:val="none"/>
        </w:rPr>
      </w:pPr>
      <w:r w:rsidRPr="00CF2053">
        <w:rPr>
          <w:rFonts w:ascii="Arial" w:eastAsia="Times New Roman" w:hAnsi="Arial" w:cs="Arial"/>
          <w:kern w:val="0"/>
          <w:lang w:eastAsia="en-GB"/>
          <w14:ligatures w14:val="none"/>
        </w:rPr>
        <w:t xml:space="preserve">Dunn, P., Honeyman, M. and Mckenna, H. (2016). </w:t>
      </w:r>
      <w:r w:rsidRPr="00CF2053">
        <w:rPr>
          <w:rFonts w:ascii="Arial" w:eastAsia="Times New Roman" w:hAnsi="Arial" w:cs="Arial"/>
          <w:i/>
          <w:iCs/>
          <w:kern w:val="0"/>
          <w:lang w:eastAsia="en-GB"/>
          <w14:ligatures w14:val="none"/>
        </w:rPr>
        <w:t>A digital NHS?</w:t>
      </w:r>
      <w:r w:rsidRPr="00CF2053">
        <w:rPr>
          <w:rFonts w:ascii="Arial" w:eastAsia="Times New Roman" w:hAnsi="Arial" w:cs="Arial"/>
          <w:kern w:val="0"/>
          <w:lang w:eastAsia="en-GB"/>
          <w14:ligatures w14:val="none"/>
        </w:rPr>
        <w:t xml:space="preserve"> [online] The King’s Fund. Available at: </w:t>
      </w:r>
      <w:hyperlink r:id="rId7" w:history="1">
        <w:r w:rsidRPr="00CF2053">
          <w:rPr>
            <w:rStyle w:val="Hyperlink"/>
            <w:rFonts w:ascii="Arial" w:eastAsia="Times New Roman" w:hAnsi="Arial" w:cs="Arial"/>
            <w:kern w:val="0"/>
            <w:lang w:eastAsia="en-GB"/>
            <w14:ligatures w14:val="none"/>
          </w:rPr>
          <w:t>https://www.kingsfund.org.uk/insight-and-analysis/reports/digital-nhs</w:t>
        </w:r>
      </w:hyperlink>
      <w:r w:rsidRPr="00CF2053">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(Accessed 28 October 2025)</w:t>
      </w:r>
    </w:p>
    <w:p w14:paraId="31226E13" w14:textId="6FF84FEB" w:rsidR="00CF2053" w:rsidRPr="00CF2053" w:rsidRDefault="00CF2053" w:rsidP="00CF2053">
      <w:pPr>
        <w:spacing w:after="240" w:line="360" w:lineRule="auto"/>
        <w:rPr>
          <w:rFonts w:ascii="Arial" w:eastAsia="Times New Roman" w:hAnsi="Arial" w:cs="Arial"/>
          <w:kern w:val="0"/>
          <w:lang w:eastAsia="en-GB"/>
          <w14:ligatures w14:val="none"/>
        </w:rPr>
      </w:pPr>
      <w:r w:rsidRPr="00CF2053">
        <w:rPr>
          <w:rFonts w:ascii="Arial" w:eastAsia="Times New Roman" w:hAnsi="Arial" w:cs="Arial"/>
          <w:kern w:val="0"/>
          <w:lang w:eastAsia="en-GB"/>
          <w14:ligatures w14:val="none"/>
        </w:rPr>
        <w:t xml:space="preserve">Jefferies, D. and Wickens, C. (2025). </w:t>
      </w:r>
      <w:r w:rsidRPr="00CF2053">
        <w:rPr>
          <w:rFonts w:ascii="Arial" w:eastAsia="Times New Roman" w:hAnsi="Arial" w:cs="Arial"/>
          <w:i/>
          <w:iCs/>
          <w:kern w:val="0"/>
          <w:lang w:eastAsia="en-GB"/>
          <w14:ligatures w14:val="none"/>
        </w:rPr>
        <w:t>Tight Budgets and Tough Decisions | the Impact of NHS Financial Decisions | the King’s Fund</w:t>
      </w:r>
      <w:r w:rsidRPr="00CF2053">
        <w:rPr>
          <w:rFonts w:ascii="Arial" w:eastAsia="Times New Roman" w:hAnsi="Arial" w:cs="Arial"/>
          <w:kern w:val="0"/>
          <w:lang w:eastAsia="en-GB"/>
          <w14:ligatures w14:val="none"/>
        </w:rPr>
        <w:t xml:space="preserve">. [online] The King’s Fund. Available at: </w:t>
      </w:r>
      <w:hyperlink r:id="rId8" w:history="1">
        <w:r w:rsidRPr="00CF2053">
          <w:rPr>
            <w:rStyle w:val="Hyperlink"/>
            <w:rFonts w:ascii="Arial" w:eastAsia="Times New Roman" w:hAnsi="Arial" w:cs="Arial"/>
            <w:kern w:val="0"/>
            <w:lang w:eastAsia="en-GB"/>
            <w14:ligatures w14:val="none"/>
          </w:rPr>
          <w:t>https://www.kingsfund.org.uk/insight-and-analysis/long-reads/tight-budgets-tough-choices</w:t>
        </w:r>
      </w:hyperlink>
      <w:r w:rsidRPr="00CF2053">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(Accessed 29 October 2025)</w:t>
      </w:r>
    </w:p>
    <w:p w14:paraId="10E59F3B" w14:textId="4EA13CC1" w:rsidR="00CF2053" w:rsidRPr="00CF2053" w:rsidRDefault="00CF2053" w:rsidP="00CF2053">
      <w:pPr>
        <w:spacing w:after="240" w:line="360" w:lineRule="auto"/>
        <w:rPr>
          <w:rFonts w:ascii="Arial" w:eastAsia="Times New Roman" w:hAnsi="Arial" w:cs="Arial"/>
          <w:kern w:val="0"/>
          <w:lang w:eastAsia="en-GB"/>
          <w14:ligatures w14:val="none"/>
        </w:rPr>
      </w:pPr>
      <w:r w:rsidRPr="00CF2053">
        <w:rPr>
          <w:rFonts w:ascii="Arial" w:eastAsia="Times New Roman" w:hAnsi="Arial" w:cs="Arial"/>
          <w:kern w:val="0"/>
          <w:lang w:eastAsia="en-GB"/>
          <w14:ligatures w14:val="none"/>
        </w:rPr>
        <w:t xml:space="preserve">Kim, Y., Kim, S.H., Peterson, R.A. and Choi, J. (2023). Privacy concern and its consequences: A meta-analysis. </w:t>
      </w:r>
      <w:r w:rsidRPr="00CF2053">
        <w:rPr>
          <w:rFonts w:ascii="Arial" w:eastAsia="Times New Roman" w:hAnsi="Arial" w:cs="Arial"/>
          <w:i/>
          <w:iCs/>
          <w:kern w:val="0"/>
          <w:lang w:eastAsia="en-GB"/>
          <w14:ligatures w14:val="none"/>
        </w:rPr>
        <w:t>Technological Forecasting and Social Change</w:t>
      </w:r>
      <w:r w:rsidRPr="00CF2053">
        <w:rPr>
          <w:rFonts w:ascii="Arial" w:eastAsia="Times New Roman" w:hAnsi="Arial" w:cs="Arial"/>
          <w:kern w:val="0"/>
          <w:lang w:eastAsia="en-GB"/>
          <w14:ligatures w14:val="none"/>
        </w:rPr>
        <w:t xml:space="preserve">, 196, pp.122789–122789. </w:t>
      </w:r>
      <w:proofErr w:type="spellStart"/>
      <w:proofErr w:type="gramStart"/>
      <w:r w:rsidRPr="00CF2053">
        <w:rPr>
          <w:rFonts w:ascii="Arial" w:eastAsia="Times New Roman" w:hAnsi="Arial" w:cs="Arial"/>
          <w:kern w:val="0"/>
          <w:lang w:eastAsia="en-GB"/>
          <w14:ligatures w14:val="none"/>
        </w:rPr>
        <w:t>doi:https</w:t>
      </w:r>
      <w:proofErr w:type="spellEnd"/>
      <w:r w:rsidRPr="00CF2053">
        <w:rPr>
          <w:rFonts w:ascii="Arial" w:eastAsia="Times New Roman" w:hAnsi="Arial" w:cs="Arial"/>
          <w:kern w:val="0"/>
          <w:lang w:eastAsia="en-GB"/>
          <w14:ligatures w14:val="none"/>
        </w:rPr>
        <w:t>://doi.org/10.1016/j.techfore.2023.122789</w:t>
      </w:r>
      <w:proofErr w:type="gramEnd"/>
      <w:r w:rsidRPr="00CF2053">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w:t>
      </w:r>
      <w:r w:rsidR="005566A6">
        <w:rPr>
          <w:rFonts w:ascii="Arial" w:eastAsia="Times New Roman" w:hAnsi="Arial" w:cs="Arial"/>
          <w:kern w:val="0"/>
          <w:lang w:eastAsia="en-GB"/>
          <w14:ligatures w14:val="none"/>
        </w:rPr>
        <w:t>(Accessed</w:t>
      </w:r>
      <w:r>
        <w:rPr>
          <w:rFonts w:ascii="Arial" w:eastAsia="Times New Roman" w:hAnsi="Arial" w:cs="Arial"/>
          <w:kern w:val="0"/>
          <w:lang w:eastAsia="en-GB"/>
          <w14:ligatures w14:val="none"/>
        </w:rPr>
        <w:t xml:space="preserve"> 29 October 2025)</w:t>
      </w:r>
    </w:p>
    <w:p w14:paraId="541A431E" w14:textId="0FE5C8E6" w:rsidR="00CF2053" w:rsidRPr="00CF2053" w:rsidRDefault="00CF2053" w:rsidP="00CF2053">
      <w:pPr>
        <w:spacing w:after="240" w:line="360" w:lineRule="auto"/>
        <w:rPr>
          <w:rFonts w:ascii="Arial" w:eastAsia="Times New Roman" w:hAnsi="Arial" w:cs="Arial"/>
          <w:kern w:val="0"/>
          <w:lang w:eastAsia="en-GB"/>
          <w14:ligatures w14:val="none"/>
        </w:rPr>
      </w:pPr>
      <w:r w:rsidRPr="00CF2053">
        <w:rPr>
          <w:rFonts w:ascii="Arial" w:eastAsia="Times New Roman" w:hAnsi="Arial" w:cs="Arial"/>
          <w:kern w:val="0"/>
          <w:lang w:eastAsia="en-GB"/>
          <w14:ligatures w14:val="none"/>
        </w:rPr>
        <w:t xml:space="preserve">Mazhar, S.A. (2021). </w:t>
      </w:r>
      <w:r w:rsidRPr="00CF2053">
        <w:rPr>
          <w:rFonts w:ascii="Arial" w:eastAsia="Times New Roman" w:hAnsi="Arial" w:cs="Arial"/>
          <w:i/>
          <w:iCs/>
          <w:kern w:val="0"/>
          <w:lang w:eastAsia="en-GB"/>
          <w14:ligatures w14:val="none"/>
        </w:rPr>
        <w:t>Methods of Data Collection: A Fundamental Tool of Research</w:t>
      </w:r>
      <w:r w:rsidRPr="00CF2053">
        <w:rPr>
          <w:rFonts w:ascii="Arial" w:eastAsia="Times New Roman" w:hAnsi="Arial" w:cs="Arial"/>
          <w:kern w:val="0"/>
          <w:lang w:eastAsia="en-GB"/>
          <w14:ligatures w14:val="none"/>
        </w:rPr>
        <w:t xml:space="preserve">. [online] ResearchGate. Available at: </w:t>
      </w:r>
      <w:hyperlink r:id="rId9" w:history="1">
        <w:r w:rsidRPr="00CF2053">
          <w:rPr>
            <w:rStyle w:val="Hyperlink"/>
            <w:rFonts w:ascii="Arial" w:eastAsia="Times New Roman" w:hAnsi="Arial" w:cs="Arial"/>
            <w:kern w:val="0"/>
            <w:lang w:eastAsia="en-GB"/>
            <w14:ligatures w14:val="none"/>
          </w:rPr>
          <w:t>https://www.researchgate.net/publication/356269289_Methods_of_Data_Collection_A_Fundamental_Tool_of_Research</w:t>
        </w:r>
      </w:hyperlink>
      <w:r w:rsidRPr="00CF2053">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(Accessed 30 October 2025)</w:t>
      </w:r>
    </w:p>
    <w:p w14:paraId="0E8DC7F1" w14:textId="5598038A" w:rsidR="00CF2053" w:rsidRPr="00CF2053" w:rsidRDefault="00CF2053" w:rsidP="00CF2053">
      <w:pPr>
        <w:spacing w:after="240" w:line="360" w:lineRule="auto"/>
        <w:rPr>
          <w:rFonts w:ascii="Arial" w:eastAsia="Times New Roman" w:hAnsi="Arial" w:cs="Arial"/>
          <w:kern w:val="0"/>
          <w:lang w:eastAsia="en-GB"/>
          <w14:ligatures w14:val="none"/>
        </w:rPr>
      </w:pPr>
      <w:r w:rsidRPr="00CF2053">
        <w:rPr>
          <w:rFonts w:ascii="Arial" w:eastAsia="Times New Roman" w:hAnsi="Arial" w:cs="Arial"/>
          <w:kern w:val="0"/>
          <w:lang w:eastAsia="en-GB"/>
          <w14:ligatures w14:val="none"/>
        </w:rPr>
        <w:lastRenderedPageBreak/>
        <w:t xml:space="preserve">Mumtaz, H., Riaz, M.H., Wajid, H., Saqib, M., Zeeshan, M.H., Khan, S.E., Chauhan, Y.R., Sohail, H. and Vohra, L.I. (2023). Current challenges and potential solutions to the use of digital health technologies in evidence generation: a narrative review. </w:t>
      </w:r>
      <w:r w:rsidRPr="00CF2053">
        <w:rPr>
          <w:rFonts w:ascii="Arial" w:eastAsia="Times New Roman" w:hAnsi="Arial" w:cs="Arial"/>
          <w:i/>
          <w:iCs/>
          <w:kern w:val="0"/>
          <w:lang w:eastAsia="en-GB"/>
          <w14:ligatures w14:val="none"/>
        </w:rPr>
        <w:t>Frontiers in digital health</w:t>
      </w:r>
      <w:r w:rsidRPr="00CF2053">
        <w:rPr>
          <w:rFonts w:ascii="Arial" w:eastAsia="Times New Roman" w:hAnsi="Arial" w:cs="Arial"/>
          <w:kern w:val="0"/>
          <w:lang w:eastAsia="en-GB"/>
          <w14:ligatures w14:val="none"/>
        </w:rPr>
        <w:t xml:space="preserve">, [online] 5(5). </w:t>
      </w:r>
      <w:r>
        <w:rPr>
          <w:rFonts w:ascii="Arial" w:eastAsia="Times New Roman" w:hAnsi="Arial" w:cs="Arial"/>
          <w:kern w:val="0"/>
          <w:lang w:eastAsia="en-GB"/>
          <w14:ligatures w14:val="none"/>
        </w:rPr>
        <w:t xml:space="preserve"> </w:t>
      </w:r>
      <w:proofErr w:type="spellStart"/>
      <w:proofErr w:type="gramStart"/>
      <w:r w:rsidRPr="00CF2053">
        <w:rPr>
          <w:rFonts w:ascii="Arial" w:eastAsia="Times New Roman" w:hAnsi="Arial" w:cs="Arial"/>
          <w:kern w:val="0"/>
          <w:lang w:eastAsia="en-GB"/>
          <w14:ligatures w14:val="none"/>
        </w:rPr>
        <w:t>doi:https</w:t>
      </w:r>
      <w:proofErr w:type="spellEnd"/>
      <w:r w:rsidRPr="00CF2053">
        <w:rPr>
          <w:rFonts w:ascii="Arial" w:eastAsia="Times New Roman" w:hAnsi="Arial" w:cs="Arial"/>
          <w:kern w:val="0"/>
          <w:lang w:eastAsia="en-GB"/>
          <w14:ligatures w14:val="none"/>
        </w:rPr>
        <w:t>://doi.org/10.3389/fdgth.2023.1203945</w:t>
      </w:r>
      <w:proofErr w:type="gramEnd"/>
      <w:r w:rsidRPr="00CF2053">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(Accessed 30 October 2025)</w:t>
      </w:r>
    </w:p>
    <w:p w14:paraId="703C2D8F" w14:textId="3F3F6B78" w:rsidR="00CF2053" w:rsidRPr="00CF2053" w:rsidRDefault="00CF2053" w:rsidP="00CF2053">
      <w:pPr>
        <w:spacing w:after="240" w:line="360" w:lineRule="auto"/>
        <w:rPr>
          <w:rFonts w:ascii="Arial" w:eastAsia="Times New Roman" w:hAnsi="Arial" w:cs="Arial"/>
          <w:kern w:val="0"/>
          <w:lang w:eastAsia="en-GB"/>
          <w14:ligatures w14:val="none"/>
        </w:rPr>
      </w:pPr>
      <w:r w:rsidRPr="00CF2053">
        <w:rPr>
          <w:rFonts w:ascii="Arial" w:eastAsia="Times New Roman" w:hAnsi="Arial" w:cs="Arial"/>
          <w:kern w:val="0"/>
          <w:lang w:eastAsia="en-GB"/>
          <w14:ligatures w14:val="none"/>
        </w:rPr>
        <w:t xml:space="preserve">Östlund, U., Kidd, L., </w:t>
      </w:r>
      <w:proofErr w:type="spellStart"/>
      <w:r w:rsidRPr="00CF2053">
        <w:rPr>
          <w:rFonts w:ascii="Arial" w:eastAsia="Times New Roman" w:hAnsi="Arial" w:cs="Arial"/>
          <w:kern w:val="0"/>
          <w:lang w:eastAsia="en-GB"/>
          <w14:ligatures w14:val="none"/>
        </w:rPr>
        <w:t>Wengström</w:t>
      </w:r>
      <w:proofErr w:type="spellEnd"/>
      <w:r w:rsidRPr="00CF2053">
        <w:rPr>
          <w:rFonts w:ascii="Arial" w:eastAsia="Times New Roman" w:hAnsi="Arial" w:cs="Arial"/>
          <w:kern w:val="0"/>
          <w:lang w:eastAsia="en-GB"/>
          <w14:ligatures w14:val="none"/>
        </w:rPr>
        <w:t xml:space="preserve">, Y. and Rowa-Dewar, N. (2020). Combining Qualitative and Quantitative Research within Mixed Method Research designs: a Methodological Review. </w:t>
      </w:r>
      <w:r w:rsidRPr="00CF2053">
        <w:rPr>
          <w:rFonts w:ascii="Arial" w:eastAsia="Times New Roman" w:hAnsi="Arial" w:cs="Arial"/>
          <w:i/>
          <w:iCs/>
          <w:kern w:val="0"/>
          <w:lang w:eastAsia="en-GB"/>
          <w14:ligatures w14:val="none"/>
        </w:rPr>
        <w:t>International Journal of Nursing Studies</w:t>
      </w:r>
      <w:r w:rsidRPr="00CF2053">
        <w:rPr>
          <w:rFonts w:ascii="Arial" w:eastAsia="Times New Roman" w:hAnsi="Arial" w:cs="Arial"/>
          <w:kern w:val="0"/>
          <w:lang w:eastAsia="en-GB"/>
          <w14:ligatures w14:val="none"/>
        </w:rPr>
        <w:t xml:space="preserve">, [online] 48(3), pp.369–383. </w:t>
      </w:r>
      <w:proofErr w:type="spellStart"/>
      <w:proofErr w:type="gramStart"/>
      <w:r w:rsidRPr="00CF2053">
        <w:rPr>
          <w:rFonts w:ascii="Arial" w:eastAsia="Times New Roman" w:hAnsi="Arial" w:cs="Arial"/>
          <w:kern w:val="0"/>
          <w:lang w:eastAsia="en-GB"/>
          <w14:ligatures w14:val="none"/>
        </w:rPr>
        <w:t>doi:https</w:t>
      </w:r>
      <w:proofErr w:type="spellEnd"/>
      <w:r w:rsidRPr="00CF2053">
        <w:rPr>
          <w:rFonts w:ascii="Arial" w:eastAsia="Times New Roman" w:hAnsi="Arial" w:cs="Arial"/>
          <w:kern w:val="0"/>
          <w:lang w:eastAsia="en-GB"/>
          <w14:ligatures w14:val="none"/>
        </w:rPr>
        <w:t>://doi.org/10.1016/j.ijnurstu.2010.10.005</w:t>
      </w:r>
      <w:proofErr w:type="gramEnd"/>
      <w:r w:rsidRPr="00CF2053">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w:t>
      </w:r>
      <w:r w:rsidR="005566A6">
        <w:rPr>
          <w:rFonts w:ascii="Arial" w:eastAsia="Times New Roman" w:hAnsi="Arial" w:cs="Arial"/>
          <w:kern w:val="0"/>
          <w:lang w:eastAsia="en-GB"/>
          <w14:ligatures w14:val="none"/>
        </w:rPr>
        <w:t>(Accessed</w:t>
      </w:r>
      <w:r>
        <w:rPr>
          <w:rFonts w:ascii="Arial" w:eastAsia="Times New Roman" w:hAnsi="Arial" w:cs="Arial"/>
          <w:kern w:val="0"/>
          <w:lang w:eastAsia="en-GB"/>
          <w14:ligatures w14:val="none"/>
        </w:rPr>
        <w:t xml:space="preserve"> 31 October 2025)</w:t>
      </w:r>
    </w:p>
    <w:p w14:paraId="4FACABF4" w14:textId="12880FA3" w:rsidR="00CF2053" w:rsidRPr="00CF2053" w:rsidRDefault="00CF2053" w:rsidP="00CF2053">
      <w:pPr>
        <w:spacing w:after="240" w:line="360" w:lineRule="auto"/>
        <w:rPr>
          <w:rFonts w:ascii="Arial" w:eastAsia="Times New Roman" w:hAnsi="Arial" w:cs="Arial"/>
          <w:kern w:val="0"/>
          <w:lang w:eastAsia="en-GB"/>
          <w14:ligatures w14:val="none"/>
        </w:rPr>
      </w:pPr>
      <w:r w:rsidRPr="00CF2053">
        <w:rPr>
          <w:rFonts w:ascii="Arial" w:eastAsia="Times New Roman" w:hAnsi="Arial" w:cs="Arial"/>
          <w:kern w:val="0"/>
          <w:lang w:eastAsia="en-GB"/>
          <w14:ligatures w14:val="none"/>
        </w:rPr>
        <w:t xml:space="preserve">The Health Foundation (2025). </w:t>
      </w:r>
      <w:r w:rsidRPr="00CF2053">
        <w:rPr>
          <w:rFonts w:ascii="Arial" w:eastAsia="Times New Roman" w:hAnsi="Arial" w:cs="Arial"/>
          <w:i/>
          <w:iCs/>
          <w:kern w:val="0"/>
          <w:lang w:eastAsia="en-GB"/>
          <w14:ligatures w14:val="none"/>
        </w:rPr>
        <w:t>Digitising the NHS and adult social care</w:t>
      </w:r>
      <w:r w:rsidRPr="00CF2053">
        <w:rPr>
          <w:rFonts w:ascii="Arial" w:eastAsia="Times New Roman" w:hAnsi="Arial" w:cs="Arial"/>
          <w:kern w:val="0"/>
          <w:lang w:eastAsia="en-GB"/>
          <w14:ligatures w14:val="none"/>
        </w:rPr>
        <w:t xml:space="preserve">. [online] The Health Foundation. Available at: </w:t>
      </w:r>
      <w:hyperlink r:id="rId10" w:history="1">
        <w:r w:rsidRPr="00CF2053">
          <w:rPr>
            <w:rStyle w:val="Hyperlink"/>
            <w:rFonts w:ascii="Arial" w:eastAsia="Times New Roman" w:hAnsi="Arial" w:cs="Arial"/>
            <w:kern w:val="0"/>
            <w:lang w:eastAsia="en-GB"/>
            <w14:ligatures w14:val="none"/>
          </w:rPr>
          <w:t>https://www.health.org.uk/reports-and-analysis/analysis/digitising-the-nhs-and-adult-social-care-what-could-it-cost</w:t>
        </w:r>
      </w:hyperlink>
      <w:r w:rsidRPr="00CF2053">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(Accessed 1 November 2025)</w:t>
      </w:r>
    </w:p>
    <w:p w14:paraId="2E4D83C9" w14:textId="58E6D5ED" w:rsidR="00CF2053" w:rsidRPr="00CF2053" w:rsidRDefault="00CF2053" w:rsidP="00CF2053">
      <w:pPr>
        <w:spacing w:after="240" w:line="360" w:lineRule="auto"/>
        <w:rPr>
          <w:rFonts w:ascii="Arial" w:eastAsia="Times New Roman" w:hAnsi="Arial" w:cs="Arial"/>
          <w:kern w:val="0"/>
          <w:lang w:eastAsia="en-GB"/>
          <w14:ligatures w14:val="none"/>
        </w:rPr>
      </w:pPr>
      <w:r w:rsidRPr="00CF2053">
        <w:rPr>
          <w:rFonts w:ascii="Arial" w:eastAsia="Times New Roman" w:hAnsi="Arial" w:cs="Arial"/>
          <w:kern w:val="0"/>
          <w:lang w:eastAsia="en-GB"/>
          <w14:ligatures w14:val="none"/>
        </w:rPr>
        <w:t xml:space="preserve">UK Parliament (2022). </w:t>
      </w:r>
      <w:r w:rsidRPr="00CF2053">
        <w:rPr>
          <w:rFonts w:ascii="Arial" w:eastAsia="Times New Roman" w:hAnsi="Arial" w:cs="Arial"/>
          <w:i/>
          <w:iCs/>
          <w:kern w:val="0"/>
          <w:lang w:eastAsia="en-GB"/>
          <w14:ligatures w14:val="none"/>
        </w:rPr>
        <w:t>Digital transformation in the NHS - Health and Social Care Committee</w:t>
      </w:r>
      <w:r w:rsidRPr="00CF2053">
        <w:rPr>
          <w:rFonts w:ascii="Arial" w:eastAsia="Times New Roman" w:hAnsi="Arial" w:cs="Arial"/>
          <w:kern w:val="0"/>
          <w:lang w:eastAsia="en-GB"/>
          <w14:ligatures w14:val="none"/>
        </w:rPr>
        <w:t xml:space="preserve">. [online] Parliament.uk. Available at: </w:t>
      </w:r>
      <w:hyperlink r:id="rId11" w:history="1">
        <w:r w:rsidRPr="00CF2053">
          <w:rPr>
            <w:rStyle w:val="Hyperlink"/>
            <w:rFonts w:ascii="Arial" w:eastAsia="Times New Roman" w:hAnsi="Arial" w:cs="Arial"/>
            <w:kern w:val="0"/>
            <w:lang w:eastAsia="en-GB"/>
            <w14:ligatures w14:val="none"/>
          </w:rPr>
          <w:t>https://publications.parliament.uk/pa/cm5803/cmselect/cmhealth/223/report.html</w:t>
        </w:r>
      </w:hyperlink>
      <w:r w:rsidRPr="00CF2053">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w:t>
      </w:r>
      <w:r w:rsidR="005566A6">
        <w:rPr>
          <w:rFonts w:ascii="Arial" w:eastAsia="Times New Roman" w:hAnsi="Arial" w:cs="Arial"/>
          <w:kern w:val="0"/>
          <w:lang w:eastAsia="en-GB"/>
          <w14:ligatures w14:val="none"/>
        </w:rPr>
        <w:t>(Accessed</w:t>
      </w:r>
      <w:r>
        <w:rPr>
          <w:rFonts w:ascii="Arial" w:eastAsia="Times New Roman" w:hAnsi="Arial" w:cs="Arial"/>
          <w:kern w:val="0"/>
          <w:lang w:eastAsia="en-GB"/>
          <w14:ligatures w14:val="none"/>
        </w:rPr>
        <w:t xml:space="preserve"> 1 November 2025)</w:t>
      </w:r>
    </w:p>
    <w:p w14:paraId="3AA915F8" w14:textId="77777777" w:rsidR="00D41244" w:rsidRPr="00CF2053" w:rsidRDefault="00D41244" w:rsidP="001A08E5">
      <w:pPr>
        <w:spacing w:line="360" w:lineRule="auto"/>
        <w:rPr>
          <w:rFonts w:ascii="Arial" w:hAnsi="Arial" w:cs="Arial"/>
          <w:u w:val="single"/>
        </w:rPr>
      </w:pPr>
    </w:p>
    <w:sectPr w:rsidR="00D41244" w:rsidRPr="00CF2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EFA"/>
    <w:rsid w:val="000B2F13"/>
    <w:rsid w:val="000D6EFA"/>
    <w:rsid w:val="001234C1"/>
    <w:rsid w:val="00181962"/>
    <w:rsid w:val="00194EF5"/>
    <w:rsid w:val="001A08E5"/>
    <w:rsid w:val="002F32E0"/>
    <w:rsid w:val="002F4662"/>
    <w:rsid w:val="00303A25"/>
    <w:rsid w:val="003576AD"/>
    <w:rsid w:val="0046468A"/>
    <w:rsid w:val="004A244B"/>
    <w:rsid w:val="005566A6"/>
    <w:rsid w:val="00732124"/>
    <w:rsid w:val="00845190"/>
    <w:rsid w:val="00891C0A"/>
    <w:rsid w:val="008B7902"/>
    <w:rsid w:val="009867CA"/>
    <w:rsid w:val="009B0924"/>
    <w:rsid w:val="009F27B1"/>
    <w:rsid w:val="009F432A"/>
    <w:rsid w:val="00A961BC"/>
    <w:rsid w:val="00AD3677"/>
    <w:rsid w:val="00B1739E"/>
    <w:rsid w:val="00B92D27"/>
    <w:rsid w:val="00BF4DC0"/>
    <w:rsid w:val="00C076AB"/>
    <w:rsid w:val="00CF2053"/>
    <w:rsid w:val="00D37AAD"/>
    <w:rsid w:val="00D41244"/>
    <w:rsid w:val="00DB55AF"/>
    <w:rsid w:val="00DF1191"/>
    <w:rsid w:val="00E448B8"/>
    <w:rsid w:val="00E83A94"/>
    <w:rsid w:val="00F0272E"/>
    <w:rsid w:val="00F031AB"/>
    <w:rsid w:val="00F54459"/>
    <w:rsid w:val="00FF4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593F"/>
  <w15:chartTrackingRefBased/>
  <w15:docId w15:val="{DEB38EB0-2DB4-42DA-86E6-2138BDD44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6E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6E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6E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6E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6E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6E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6E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6E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6E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6E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6E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6E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6E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6E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6E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6E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6E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6EFA"/>
    <w:rPr>
      <w:rFonts w:eastAsiaTheme="majorEastAsia" w:cstheme="majorBidi"/>
      <w:color w:val="272727" w:themeColor="text1" w:themeTint="D8"/>
    </w:rPr>
  </w:style>
  <w:style w:type="paragraph" w:styleId="Title">
    <w:name w:val="Title"/>
    <w:basedOn w:val="Normal"/>
    <w:next w:val="Normal"/>
    <w:link w:val="TitleChar"/>
    <w:uiPriority w:val="10"/>
    <w:qFormat/>
    <w:rsid w:val="000D6E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6E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6E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6E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6EFA"/>
    <w:pPr>
      <w:spacing w:before="160"/>
      <w:jc w:val="center"/>
    </w:pPr>
    <w:rPr>
      <w:i/>
      <w:iCs/>
      <w:color w:val="404040" w:themeColor="text1" w:themeTint="BF"/>
    </w:rPr>
  </w:style>
  <w:style w:type="character" w:customStyle="1" w:styleId="QuoteChar">
    <w:name w:val="Quote Char"/>
    <w:basedOn w:val="DefaultParagraphFont"/>
    <w:link w:val="Quote"/>
    <w:uiPriority w:val="29"/>
    <w:rsid w:val="000D6EFA"/>
    <w:rPr>
      <w:i/>
      <w:iCs/>
      <w:color w:val="404040" w:themeColor="text1" w:themeTint="BF"/>
    </w:rPr>
  </w:style>
  <w:style w:type="paragraph" w:styleId="ListParagraph">
    <w:name w:val="List Paragraph"/>
    <w:basedOn w:val="Normal"/>
    <w:uiPriority w:val="34"/>
    <w:qFormat/>
    <w:rsid w:val="000D6EFA"/>
    <w:pPr>
      <w:ind w:left="720"/>
      <w:contextualSpacing/>
    </w:pPr>
  </w:style>
  <w:style w:type="character" w:styleId="IntenseEmphasis">
    <w:name w:val="Intense Emphasis"/>
    <w:basedOn w:val="DefaultParagraphFont"/>
    <w:uiPriority w:val="21"/>
    <w:qFormat/>
    <w:rsid w:val="000D6EFA"/>
    <w:rPr>
      <w:i/>
      <w:iCs/>
      <w:color w:val="0F4761" w:themeColor="accent1" w:themeShade="BF"/>
    </w:rPr>
  </w:style>
  <w:style w:type="paragraph" w:styleId="IntenseQuote">
    <w:name w:val="Intense Quote"/>
    <w:basedOn w:val="Normal"/>
    <w:next w:val="Normal"/>
    <w:link w:val="IntenseQuoteChar"/>
    <w:uiPriority w:val="30"/>
    <w:qFormat/>
    <w:rsid w:val="000D6E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6EFA"/>
    <w:rPr>
      <w:i/>
      <w:iCs/>
      <w:color w:val="0F4761" w:themeColor="accent1" w:themeShade="BF"/>
    </w:rPr>
  </w:style>
  <w:style w:type="character" w:styleId="IntenseReference">
    <w:name w:val="Intense Reference"/>
    <w:basedOn w:val="DefaultParagraphFont"/>
    <w:uiPriority w:val="32"/>
    <w:qFormat/>
    <w:rsid w:val="000D6EFA"/>
    <w:rPr>
      <w:b/>
      <w:bCs/>
      <w:smallCaps/>
      <w:color w:val="0F4761" w:themeColor="accent1" w:themeShade="BF"/>
      <w:spacing w:val="5"/>
    </w:rPr>
  </w:style>
  <w:style w:type="table" w:styleId="TableGrid">
    <w:name w:val="Table Grid"/>
    <w:basedOn w:val="TableNormal"/>
    <w:uiPriority w:val="39"/>
    <w:rsid w:val="000D6E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F2053"/>
    <w:rPr>
      <w:color w:val="467886" w:themeColor="hyperlink"/>
      <w:u w:val="single"/>
    </w:rPr>
  </w:style>
  <w:style w:type="character" w:styleId="UnresolvedMention">
    <w:name w:val="Unresolved Mention"/>
    <w:basedOn w:val="DefaultParagraphFont"/>
    <w:uiPriority w:val="99"/>
    <w:semiHidden/>
    <w:unhideWhenUsed/>
    <w:rsid w:val="00CF20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48475">
      <w:bodyDiv w:val="1"/>
      <w:marLeft w:val="0"/>
      <w:marRight w:val="0"/>
      <w:marTop w:val="0"/>
      <w:marBottom w:val="0"/>
      <w:divBdr>
        <w:top w:val="none" w:sz="0" w:space="0" w:color="auto"/>
        <w:left w:val="none" w:sz="0" w:space="0" w:color="auto"/>
        <w:bottom w:val="none" w:sz="0" w:space="0" w:color="auto"/>
        <w:right w:val="none" w:sz="0" w:space="0" w:color="auto"/>
      </w:divBdr>
    </w:div>
    <w:div w:id="578295189">
      <w:bodyDiv w:val="1"/>
      <w:marLeft w:val="0"/>
      <w:marRight w:val="0"/>
      <w:marTop w:val="0"/>
      <w:marBottom w:val="0"/>
      <w:divBdr>
        <w:top w:val="none" w:sz="0" w:space="0" w:color="auto"/>
        <w:left w:val="none" w:sz="0" w:space="0" w:color="auto"/>
        <w:bottom w:val="none" w:sz="0" w:space="0" w:color="auto"/>
        <w:right w:val="none" w:sz="0" w:space="0" w:color="auto"/>
      </w:divBdr>
    </w:div>
    <w:div w:id="581255590">
      <w:bodyDiv w:val="1"/>
      <w:marLeft w:val="0"/>
      <w:marRight w:val="0"/>
      <w:marTop w:val="0"/>
      <w:marBottom w:val="0"/>
      <w:divBdr>
        <w:top w:val="none" w:sz="0" w:space="0" w:color="auto"/>
        <w:left w:val="none" w:sz="0" w:space="0" w:color="auto"/>
        <w:bottom w:val="none" w:sz="0" w:space="0" w:color="auto"/>
        <w:right w:val="none" w:sz="0" w:space="0" w:color="auto"/>
      </w:divBdr>
    </w:div>
    <w:div w:id="648680174">
      <w:bodyDiv w:val="1"/>
      <w:marLeft w:val="0"/>
      <w:marRight w:val="0"/>
      <w:marTop w:val="0"/>
      <w:marBottom w:val="0"/>
      <w:divBdr>
        <w:top w:val="none" w:sz="0" w:space="0" w:color="auto"/>
        <w:left w:val="none" w:sz="0" w:space="0" w:color="auto"/>
        <w:bottom w:val="none" w:sz="0" w:space="0" w:color="auto"/>
        <w:right w:val="none" w:sz="0" w:space="0" w:color="auto"/>
      </w:divBdr>
    </w:div>
    <w:div w:id="698749643">
      <w:bodyDiv w:val="1"/>
      <w:marLeft w:val="0"/>
      <w:marRight w:val="0"/>
      <w:marTop w:val="0"/>
      <w:marBottom w:val="0"/>
      <w:divBdr>
        <w:top w:val="none" w:sz="0" w:space="0" w:color="auto"/>
        <w:left w:val="none" w:sz="0" w:space="0" w:color="auto"/>
        <w:bottom w:val="none" w:sz="0" w:space="0" w:color="auto"/>
        <w:right w:val="none" w:sz="0" w:space="0" w:color="auto"/>
      </w:divBdr>
      <w:divsChild>
        <w:div w:id="87773334">
          <w:marLeft w:val="0"/>
          <w:marRight w:val="0"/>
          <w:marTop w:val="0"/>
          <w:marBottom w:val="0"/>
          <w:divBdr>
            <w:top w:val="none" w:sz="0" w:space="0" w:color="auto"/>
            <w:left w:val="none" w:sz="0" w:space="0" w:color="auto"/>
            <w:bottom w:val="none" w:sz="0" w:space="0" w:color="auto"/>
            <w:right w:val="none" w:sz="0" w:space="0" w:color="auto"/>
          </w:divBdr>
        </w:div>
      </w:divsChild>
    </w:div>
    <w:div w:id="896553758">
      <w:bodyDiv w:val="1"/>
      <w:marLeft w:val="0"/>
      <w:marRight w:val="0"/>
      <w:marTop w:val="0"/>
      <w:marBottom w:val="0"/>
      <w:divBdr>
        <w:top w:val="none" w:sz="0" w:space="0" w:color="auto"/>
        <w:left w:val="none" w:sz="0" w:space="0" w:color="auto"/>
        <w:bottom w:val="none" w:sz="0" w:space="0" w:color="auto"/>
        <w:right w:val="none" w:sz="0" w:space="0" w:color="auto"/>
      </w:divBdr>
    </w:div>
    <w:div w:id="956762724">
      <w:bodyDiv w:val="1"/>
      <w:marLeft w:val="0"/>
      <w:marRight w:val="0"/>
      <w:marTop w:val="0"/>
      <w:marBottom w:val="0"/>
      <w:divBdr>
        <w:top w:val="none" w:sz="0" w:space="0" w:color="auto"/>
        <w:left w:val="none" w:sz="0" w:space="0" w:color="auto"/>
        <w:bottom w:val="none" w:sz="0" w:space="0" w:color="auto"/>
        <w:right w:val="none" w:sz="0" w:space="0" w:color="auto"/>
      </w:divBdr>
    </w:div>
    <w:div w:id="1458908411">
      <w:bodyDiv w:val="1"/>
      <w:marLeft w:val="0"/>
      <w:marRight w:val="0"/>
      <w:marTop w:val="0"/>
      <w:marBottom w:val="0"/>
      <w:divBdr>
        <w:top w:val="none" w:sz="0" w:space="0" w:color="auto"/>
        <w:left w:val="none" w:sz="0" w:space="0" w:color="auto"/>
        <w:bottom w:val="none" w:sz="0" w:space="0" w:color="auto"/>
        <w:right w:val="none" w:sz="0" w:space="0" w:color="auto"/>
      </w:divBdr>
    </w:div>
    <w:div w:id="1522860445">
      <w:bodyDiv w:val="1"/>
      <w:marLeft w:val="0"/>
      <w:marRight w:val="0"/>
      <w:marTop w:val="0"/>
      <w:marBottom w:val="0"/>
      <w:divBdr>
        <w:top w:val="none" w:sz="0" w:space="0" w:color="auto"/>
        <w:left w:val="none" w:sz="0" w:space="0" w:color="auto"/>
        <w:bottom w:val="none" w:sz="0" w:space="0" w:color="auto"/>
        <w:right w:val="none" w:sz="0" w:space="0" w:color="auto"/>
      </w:divBdr>
    </w:div>
    <w:div w:id="1525555952">
      <w:bodyDiv w:val="1"/>
      <w:marLeft w:val="0"/>
      <w:marRight w:val="0"/>
      <w:marTop w:val="0"/>
      <w:marBottom w:val="0"/>
      <w:divBdr>
        <w:top w:val="none" w:sz="0" w:space="0" w:color="auto"/>
        <w:left w:val="none" w:sz="0" w:space="0" w:color="auto"/>
        <w:bottom w:val="none" w:sz="0" w:space="0" w:color="auto"/>
        <w:right w:val="none" w:sz="0" w:space="0" w:color="auto"/>
      </w:divBdr>
    </w:div>
    <w:div w:id="1651903107">
      <w:bodyDiv w:val="1"/>
      <w:marLeft w:val="0"/>
      <w:marRight w:val="0"/>
      <w:marTop w:val="0"/>
      <w:marBottom w:val="0"/>
      <w:divBdr>
        <w:top w:val="none" w:sz="0" w:space="0" w:color="auto"/>
        <w:left w:val="none" w:sz="0" w:space="0" w:color="auto"/>
        <w:bottom w:val="none" w:sz="0" w:space="0" w:color="auto"/>
        <w:right w:val="none" w:sz="0" w:space="0" w:color="auto"/>
      </w:divBdr>
    </w:div>
    <w:div w:id="1667708971">
      <w:bodyDiv w:val="1"/>
      <w:marLeft w:val="0"/>
      <w:marRight w:val="0"/>
      <w:marTop w:val="0"/>
      <w:marBottom w:val="0"/>
      <w:divBdr>
        <w:top w:val="none" w:sz="0" w:space="0" w:color="auto"/>
        <w:left w:val="none" w:sz="0" w:space="0" w:color="auto"/>
        <w:bottom w:val="none" w:sz="0" w:space="0" w:color="auto"/>
        <w:right w:val="none" w:sz="0" w:space="0" w:color="auto"/>
      </w:divBdr>
    </w:div>
    <w:div w:id="1847748419">
      <w:bodyDiv w:val="1"/>
      <w:marLeft w:val="0"/>
      <w:marRight w:val="0"/>
      <w:marTop w:val="0"/>
      <w:marBottom w:val="0"/>
      <w:divBdr>
        <w:top w:val="none" w:sz="0" w:space="0" w:color="auto"/>
        <w:left w:val="none" w:sz="0" w:space="0" w:color="auto"/>
        <w:bottom w:val="none" w:sz="0" w:space="0" w:color="auto"/>
        <w:right w:val="none" w:sz="0" w:space="0" w:color="auto"/>
      </w:divBdr>
    </w:div>
    <w:div w:id="2085955219">
      <w:bodyDiv w:val="1"/>
      <w:marLeft w:val="0"/>
      <w:marRight w:val="0"/>
      <w:marTop w:val="0"/>
      <w:marBottom w:val="0"/>
      <w:divBdr>
        <w:top w:val="none" w:sz="0" w:space="0" w:color="auto"/>
        <w:left w:val="none" w:sz="0" w:space="0" w:color="auto"/>
        <w:bottom w:val="none" w:sz="0" w:space="0" w:color="auto"/>
        <w:right w:val="none" w:sz="0" w:space="0" w:color="auto"/>
      </w:divBdr>
    </w:div>
    <w:div w:id="2123458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insight-and-analysis/long-reads/tight-budgets-tough-choice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kingsfund.org.uk/insight-and-analysis/reports/digital-nh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10-year-health-plan-for-england-fit-for-the-future/fit-for-the-future-10-year-health-plan-for-england-executive-summary" TargetMode="External"/><Relationship Id="rId11" Type="http://schemas.openxmlformats.org/officeDocument/2006/relationships/hyperlink" Target="https://publications.parliament.uk/pa/cm5803/cmselect/cmhealth/223/report.html" TargetMode="External"/><Relationship Id="rId5" Type="http://schemas.openxmlformats.org/officeDocument/2006/relationships/hyperlink" Target="https://www.gov.uk/government/publications/a-plan-for-digital-health-and-social-care/a-plan-for-digital-health-and-social-care" TargetMode="External"/><Relationship Id="rId10" Type="http://schemas.openxmlformats.org/officeDocument/2006/relationships/hyperlink" Target="https://www.health.org.uk/reports-and-analysis/analysis/digitising-the-nhs-and-adult-social-care-what-could-it-cost" TargetMode="External"/><Relationship Id="rId4" Type="http://schemas.openxmlformats.org/officeDocument/2006/relationships/hyperlink" Target="https://doi.org/10.2196/43086" TargetMode="External"/><Relationship Id="rId9" Type="http://schemas.openxmlformats.org/officeDocument/2006/relationships/hyperlink" Target="https://www.researchgate.net/publication/356269289_Methods_of_Data_Collection_A_Fundamental_Tool_of_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1948</Words>
  <Characters>11674</Characters>
  <Application>Microsoft Office Word</Application>
  <DocSecurity>0</DocSecurity>
  <Lines>243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Saleem Hussain (2506895)</dc:creator>
  <cp:keywords/>
  <dc:description/>
  <cp:lastModifiedBy>Saleem Hussain (2506895)</cp:lastModifiedBy>
  <cp:revision>2</cp:revision>
  <dcterms:created xsi:type="dcterms:W3CDTF">2025-11-11T02:12:00Z</dcterms:created>
  <dcterms:modified xsi:type="dcterms:W3CDTF">2025-11-11T02:12:00Z</dcterms:modified>
</cp:coreProperties>
</file>