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9F3CD" w14:textId="0EE8819E" w:rsidR="00700D57" w:rsidRDefault="00C9267B" w:rsidP="00C9267B">
      <w:pPr>
        <w:jc w:val="center"/>
        <w:rPr>
          <w:sz w:val="32"/>
          <w:szCs w:val="32"/>
        </w:rPr>
      </w:pPr>
      <w:r w:rsidRPr="00C9267B">
        <w:rPr>
          <w:sz w:val="32"/>
          <w:szCs w:val="32"/>
        </w:rPr>
        <w:t>PTP assignment</w:t>
      </w:r>
    </w:p>
    <w:p w14:paraId="7351D0A4" w14:textId="77777777" w:rsidR="00C9267B" w:rsidRDefault="00C9267B" w:rsidP="00C9267B">
      <w:pPr>
        <w:jc w:val="center"/>
        <w:rPr>
          <w:sz w:val="32"/>
          <w:szCs w:val="32"/>
        </w:rPr>
      </w:pPr>
    </w:p>
    <w:p w14:paraId="2D6CA175" w14:textId="77777777" w:rsidR="00C9267B" w:rsidRDefault="00C9267B" w:rsidP="00C9267B">
      <w:pPr>
        <w:jc w:val="center"/>
        <w:rPr>
          <w:sz w:val="32"/>
          <w:szCs w:val="32"/>
        </w:rPr>
      </w:pPr>
    </w:p>
    <w:p w14:paraId="7463DE4D" w14:textId="4CB975CA" w:rsidR="00C9267B" w:rsidRDefault="00223D93" w:rsidP="00C9267B">
      <w:pPr>
        <w:rPr>
          <w:sz w:val="28"/>
          <w:szCs w:val="28"/>
        </w:rPr>
      </w:pPr>
      <w:r>
        <w:rPr>
          <w:sz w:val="28"/>
          <w:szCs w:val="28"/>
        </w:rPr>
        <w:t>10</w:t>
      </w:r>
      <w:r w:rsidRPr="00223D93">
        <w:rPr>
          <w:sz w:val="28"/>
          <w:szCs w:val="28"/>
          <w:vertAlign w:val="superscript"/>
        </w:rPr>
        <w:t>th</w:t>
      </w:r>
      <w:r>
        <w:rPr>
          <w:sz w:val="28"/>
          <w:szCs w:val="28"/>
        </w:rPr>
        <w:t xml:space="preserve"> November 2023</w:t>
      </w:r>
    </w:p>
    <w:p w14:paraId="456F30D3" w14:textId="55B0F8D3" w:rsidR="00F96B87" w:rsidRDefault="00F96B87" w:rsidP="00C9267B">
      <w:pPr>
        <w:rPr>
          <w:rFonts w:ascii="Calibri" w:eastAsia="Arial" w:hAnsi="Calibri" w:cs="Arial"/>
          <w:b/>
          <w:bCs/>
          <w:spacing w:val="1"/>
        </w:rPr>
      </w:pPr>
      <w:r w:rsidRPr="00CD3A73">
        <w:rPr>
          <w:rFonts w:ascii="Calibri" w:eastAsia="Arial" w:hAnsi="Calibri" w:cs="Arial"/>
          <w:b/>
          <w:bCs/>
          <w:spacing w:val="1"/>
        </w:rPr>
        <w:t xml:space="preserve">a </w:t>
      </w:r>
      <w:r>
        <w:rPr>
          <w:rFonts w:ascii="Calibri" w:eastAsia="Arial" w:hAnsi="Calibri" w:cs="Arial"/>
          <w:b/>
          <w:bCs/>
          <w:spacing w:val="1"/>
        </w:rPr>
        <w:t>2500</w:t>
      </w:r>
      <w:r w:rsidRPr="00CD3A73">
        <w:rPr>
          <w:rFonts w:ascii="Calibri" w:eastAsia="Arial" w:hAnsi="Calibri" w:cs="Arial"/>
          <w:b/>
          <w:bCs/>
          <w:spacing w:val="1"/>
        </w:rPr>
        <w:t xml:space="preserve"> word</w:t>
      </w:r>
    </w:p>
    <w:p w14:paraId="3D768595" w14:textId="4A297E66" w:rsidR="00C43228" w:rsidRDefault="00C43228" w:rsidP="00C9267B">
      <w:pPr>
        <w:rPr>
          <w:rFonts w:ascii="Calibri" w:eastAsia="Arial" w:hAnsi="Calibri" w:cs="Arial"/>
          <w:b/>
          <w:bCs/>
          <w:spacing w:val="1"/>
        </w:rPr>
      </w:pPr>
      <w:r>
        <w:rPr>
          <w:rFonts w:ascii="Calibri" w:eastAsia="Arial" w:hAnsi="Calibri" w:cs="Arial"/>
          <w:b/>
          <w:bCs/>
          <w:spacing w:val="1"/>
        </w:rPr>
        <w:t>third person:</w:t>
      </w:r>
    </w:p>
    <w:p w14:paraId="7EE8380D" w14:textId="76FD72D5" w:rsidR="00C43228" w:rsidRDefault="008808DC" w:rsidP="00C9267B">
      <w:pPr>
        <w:rPr>
          <w:rFonts w:ascii="Calibri" w:eastAsia="Arial" w:hAnsi="Calibri" w:cs="Arial"/>
          <w:b/>
          <w:bCs/>
          <w:spacing w:val="1"/>
        </w:rPr>
      </w:pPr>
      <w:r>
        <w:rPr>
          <w:rFonts w:ascii="Calibri" w:eastAsia="Arial" w:hAnsi="Calibri" w:cs="Arial"/>
          <w:b/>
          <w:bCs/>
          <w:spacing w:val="1"/>
        </w:rPr>
        <w:t xml:space="preserve">this case study </w:t>
      </w:r>
      <w:proofErr w:type="gramStart"/>
      <w:r>
        <w:rPr>
          <w:rFonts w:ascii="Calibri" w:eastAsia="Arial" w:hAnsi="Calibri" w:cs="Arial"/>
          <w:b/>
          <w:bCs/>
          <w:spacing w:val="1"/>
        </w:rPr>
        <w:t>suggests</w:t>
      </w:r>
      <w:proofErr w:type="gramEnd"/>
      <w:r>
        <w:rPr>
          <w:rFonts w:ascii="Calibri" w:eastAsia="Arial" w:hAnsi="Calibri" w:cs="Arial"/>
          <w:b/>
          <w:bCs/>
          <w:spacing w:val="1"/>
        </w:rPr>
        <w:t xml:space="preserve"> </w:t>
      </w:r>
    </w:p>
    <w:p w14:paraId="3AB906BF" w14:textId="52C15739" w:rsidR="008808DC" w:rsidRDefault="008808DC" w:rsidP="00C9267B">
      <w:pPr>
        <w:rPr>
          <w:rFonts w:ascii="Calibri" w:eastAsia="Arial" w:hAnsi="Calibri" w:cs="Arial"/>
          <w:b/>
          <w:bCs/>
          <w:spacing w:val="1"/>
        </w:rPr>
      </w:pPr>
      <w:r>
        <w:rPr>
          <w:rFonts w:ascii="Calibri" w:eastAsia="Arial" w:hAnsi="Calibri" w:cs="Arial"/>
          <w:b/>
          <w:bCs/>
          <w:spacing w:val="1"/>
        </w:rPr>
        <w:t xml:space="preserve">he </w:t>
      </w:r>
      <w:proofErr w:type="gramStart"/>
      <w:r>
        <w:rPr>
          <w:rFonts w:ascii="Calibri" w:eastAsia="Arial" w:hAnsi="Calibri" w:cs="Arial"/>
          <w:b/>
          <w:bCs/>
          <w:spacing w:val="1"/>
        </w:rPr>
        <w:t>says</w:t>
      </w:r>
      <w:proofErr w:type="gramEnd"/>
    </w:p>
    <w:p w14:paraId="60AA44C7" w14:textId="24DA938D" w:rsidR="00CD21C1" w:rsidRDefault="00CD21C1" w:rsidP="00C9267B">
      <w:pPr>
        <w:rPr>
          <w:sz w:val="28"/>
          <w:szCs w:val="28"/>
        </w:rPr>
      </w:pPr>
      <w:r>
        <w:rPr>
          <w:rFonts w:ascii="Calibri" w:eastAsia="Arial" w:hAnsi="Calibri" w:cs="Arial"/>
          <w:b/>
          <w:bCs/>
          <w:spacing w:val="1"/>
        </w:rPr>
        <w:t xml:space="preserve">20-25 references </w:t>
      </w:r>
      <w:r w:rsidR="00DD5DC1">
        <w:rPr>
          <w:rFonts w:ascii="Calibri" w:eastAsia="Arial" w:hAnsi="Calibri" w:cs="Arial"/>
          <w:b/>
          <w:bCs/>
          <w:spacing w:val="1"/>
        </w:rPr>
        <w:t xml:space="preserve">(only reference a relevant point) always back it </w:t>
      </w:r>
      <w:proofErr w:type="gramStart"/>
      <w:r w:rsidR="00DD5DC1">
        <w:rPr>
          <w:rFonts w:ascii="Calibri" w:eastAsia="Arial" w:hAnsi="Calibri" w:cs="Arial"/>
          <w:b/>
          <w:bCs/>
          <w:spacing w:val="1"/>
        </w:rPr>
        <w:t>up</w:t>
      </w:r>
      <w:proofErr w:type="gramEnd"/>
      <w:r w:rsidR="00DD5DC1">
        <w:rPr>
          <w:rFonts w:ascii="Calibri" w:eastAsia="Arial" w:hAnsi="Calibri" w:cs="Arial"/>
          <w:b/>
          <w:bCs/>
          <w:spacing w:val="1"/>
        </w:rPr>
        <w:t xml:space="preserve"> </w:t>
      </w:r>
      <w:r w:rsidR="00FB74A6">
        <w:rPr>
          <w:rFonts w:ascii="Calibri" w:eastAsia="Arial" w:hAnsi="Calibri" w:cs="Arial"/>
          <w:b/>
          <w:bCs/>
          <w:spacing w:val="1"/>
        </w:rPr>
        <w:t xml:space="preserve"> </w:t>
      </w:r>
    </w:p>
    <w:p w14:paraId="566B4474" w14:textId="77777777" w:rsidR="00223D93" w:rsidRDefault="00223D93" w:rsidP="00C9267B">
      <w:pPr>
        <w:rPr>
          <w:sz w:val="28"/>
          <w:szCs w:val="2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6"/>
        <w:gridCol w:w="6066"/>
      </w:tblGrid>
      <w:tr w:rsidR="00BC1AFB" w:rsidRPr="00891D9F" w14:paraId="354AC7F6" w14:textId="77777777" w:rsidTr="00CE4573">
        <w:tc>
          <w:tcPr>
            <w:tcW w:w="3856" w:type="dxa"/>
            <w:shd w:val="clear" w:color="auto" w:fill="auto"/>
          </w:tcPr>
          <w:p w14:paraId="6F6C6D85" w14:textId="77777777" w:rsidR="00BC1AFB" w:rsidRPr="00A406E5" w:rsidRDefault="00BC1AFB" w:rsidP="008237FA">
            <w:pPr>
              <w:spacing w:before="120" w:after="120"/>
              <w:jc w:val="both"/>
              <w:rPr>
                <w:rFonts w:ascii="Arial" w:hAnsi="Arial" w:cs="Arial"/>
                <w:b/>
                <w:sz w:val="22"/>
                <w:szCs w:val="22"/>
              </w:rPr>
            </w:pPr>
            <w:r w:rsidRPr="00A406E5">
              <w:rPr>
                <w:rFonts w:ascii="Arial" w:hAnsi="Arial" w:cs="Arial"/>
                <w:b/>
                <w:sz w:val="22"/>
                <w:szCs w:val="22"/>
              </w:rPr>
              <w:t>Assignment Title:</w:t>
            </w:r>
          </w:p>
        </w:tc>
        <w:tc>
          <w:tcPr>
            <w:tcW w:w="6066" w:type="dxa"/>
          </w:tcPr>
          <w:p w14:paraId="2DB28952" w14:textId="170D989B" w:rsidR="00BC1AFB" w:rsidRPr="00891D9F" w:rsidRDefault="00BC1AFB" w:rsidP="008237FA">
            <w:pPr>
              <w:spacing w:before="120" w:after="120"/>
              <w:jc w:val="both"/>
              <w:rPr>
                <w:rFonts w:ascii="Arial" w:hAnsi="Arial" w:cs="Arial"/>
                <w:b/>
                <w:sz w:val="22"/>
                <w:szCs w:val="22"/>
              </w:rPr>
            </w:pPr>
            <w:r>
              <w:rPr>
                <w:rFonts w:ascii="Arial" w:hAnsi="Arial" w:cs="Arial"/>
                <w:b/>
                <w:sz w:val="22"/>
                <w:szCs w:val="22"/>
              </w:rPr>
              <w:t xml:space="preserve">An examination of how crime and anti-social behaviour can </w:t>
            </w:r>
            <w:r w:rsidR="00AC552E">
              <w:rPr>
                <w:rFonts w:ascii="Arial" w:hAnsi="Arial" w:cs="Arial"/>
                <w:b/>
                <w:sz w:val="22"/>
                <w:szCs w:val="22"/>
              </w:rPr>
              <w:t>affect</w:t>
            </w:r>
            <w:r>
              <w:rPr>
                <w:rFonts w:ascii="Arial" w:hAnsi="Arial" w:cs="Arial"/>
                <w:b/>
                <w:sz w:val="22"/>
                <w:szCs w:val="22"/>
              </w:rPr>
              <w:t xml:space="preserve"> local </w:t>
            </w:r>
            <w:proofErr w:type="gramStart"/>
            <w:r>
              <w:rPr>
                <w:rFonts w:ascii="Arial" w:hAnsi="Arial" w:cs="Arial"/>
                <w:b/>
                <w:sz w:val="22"/>
                <w:szCs w:val="22"/>
              </w:rPr>
              <w:t xml:space="preserve">communities </w:t>
            </w:r>
            <w:r w:rsidR="004F4554">
              <w:rPr>
                <w:rFonts w:ascii="Arial" w:hAnsi="Arial" w:cs="Arial"/>
                <w:b/>
                <w:sz w:val="22"/>
                <w:szCs w:val="22"/>
              </w:rPr>
              <w:t xml:space="preserve"> (</w:t>
            </w:r>
            <w:proofErr w:type="gramEnd"/>
            <w:r w:rsidR="004F4554">
              <w:rPr>
                <w:rFonts w:ascii="Arial" w:hAnsi="Arial" w:cs="Arial"/>
                <w:b/>
                <w:sz w:val="22"/>
                <w:szCs w:val="22"/>
              </w:rPr>
              <w:t xml:space="preserve">Fiona </w:t>
            </w:r>
            <w:proofErr w:type="spellStart"/>
            <w:r w:rsidR="004F4554">
              <w:rPr>
                <w:rFonts w:ascii="Arial" w:hAnsi="Arial" w:cs="Arial"/>
                <w:b/>
                <w:sz w:val="22"/>
                <w:szCs w:val="22"/>
              </w:rPr>
              <w:t>pilkinson</w:t>
            </w:r>
            <w:proofErr w:type="spellEnd"/>
            <w:r w:rsidR="004F4554">
              <w:rPr>
                <w:rFonts w:ascii="Arial" w:hAnsi="Arial" w:cs="Arial"/>
                <w:b/>
                <w:sz w:val="22"/>
                <w:szCs w:val="22"/>
              </w:rPr>
              <w:t>)</w:t>
            </w:r>
          </w:p>
        </w:tc>
      </w:tr>
    </w:tbl>
    <w:p w14:paraId="2AEAD65A" w14:textId="33991D91"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Examine the function of community policing, and key issues relevant to community </w:t>
      </w:r>
      <w:r w:rsidR="00AC552E">
        <w:rPr>
          <w:rFonts w:ascii="Arial" w:hAnsi="Arial" w:cs="Arial"/>
          <w:b/>
        </w:rPr>
        <w:t>policing</w:t>
      </w:r>
      <w:r w:rsidR="00AC552E" w:rsidRPr="00F12EE7">
        <w:rPr>
          <w:rFonts w:ascii="Arial" w:hAnsi="Arial" w:cs="Arial"/>
          <w:b/>
        </w:rPr>
        <w:t>.</w:t>
      </w:r>
    </w:p>
    <w:p w14:paraId="0E2E11C4" w14:textId="77777777" w:rsidR="00CE4573" w:rsidRPr="005C7D8D" w:rsidRDefault="00CE4573" w:rsidP="00CE4573">
      <w:pPr>
        <w:pStyle w:val="ListParagraph"/>
        <w:autoSpaceDE w:val="0"/>
        <w:autoSpaceDN w:val="0"/>
        <w:adjustRightInd w:val="0"/>
        <w:spacing w:before="100" w:after="100"/>
        <w:rPr>
          <w:rFonts w:ascii="Arial" w:hAnsi="Arial" w:cs="Arial"/>
          <w:b/>
        </w:rPr>
      </w:pPr>
    </w:p>
    <w:p w14:paraId="186C423B" w14:textId="798116C8" w:rsidR="00CE4573" w:rsidRPr="005C2619"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Explore a range of community policing contexts in which effective communication can bring </w:t>
      </w:r>
      <w:proofErr w:type="gramStart"/>
      <w:r>
        <w:rPr>
          <w:rFonts w:ascii="Arial" w:hAnsi="Arial" w:cs="Arial"/>
          <w:b/>
        </w:rPr>
        <w:t xml:space="preserve">particular </w:t>
      </w:r>
      <w:r w:rsidR="00AC552E">
        <w:rPr>
          <w:rFonts w:ascii="Arial" w:hAnsi="Arial" w:cs="Arial"/>
          <w:b/>
        </w:rPr>
        <w:t>benefits</w:t>
      </w:r>
      <w:proofErr w:type="gramEnd"/>
      <w:r w:rsidR="00AC552E">
        <w:rPr>
          <w:rFonts w:ascii="Arial" w:hAnsi="Arial" w:cs="Arial"/>
          <w:b/>
        </w:rPr>
        <w:t>.</w:t>
      </w:r>
    </w:p>
    <w:p w14:paraId="0C35837D" w14:textId="77777777" w:rsidR="00CE4573" w:rsidRPr="00F12EE7" w:rsidRDefault="00CE4573" w:rsidP="00CE4573">
      <w:pPr>
        <w:pStyle w:val="ListParagraph"/>
        <w:autoSpaceDE w:val="0"/>
        <w:autoSpaceDN w:val="0"/>
        <w:adjustRightInd w:val="0"/>
        <w:spacing w:before="100" w:after="100"/>
        <w:rPr>
          <w:rFonts w:ascii="Arial" w:hAnsi="Arial" w:cs="Arial"/>
          <w:b/>
        </w:rPr>
      </w:pPr>
    </w:p>
    <w:p w14:paraId="7C0212C5" w14:textId="25DFB442"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Evaluate how crime and anti-social behaviour affects local communicates and what constitutes effective and appropriate police </w:t>
      </w:r>
      <w:r w:rsidR="00AC552E">
        <w:rPr>
          <w:rFonts w:ascii="Arial" w:hAnsi="Arial" w:cs="Arial"/>
          <w:b/>
        </w:rPr>
        <w:t>action.</w:t>
      </w:r>
    </w:p>
    <w:p w14:paraId="769710E4" w14:textId="77777777" w:rsidR="00CE4573" w:rsidRPr="00EE3013" w:rsidRDefault="00CE4573" w:rsidP="00CE4573">
      <w:pPr>
        <w:pStyle w:val="ListParagraph"/>
        <w:rPr>
          <w:rFonts w:ascii="Arial" w:hAnsi="Arial" w:cs="Arial"/>
          <w:b/>
        </w:rPr>
      </w:pPr>
    </w:p>
    <w:p w14:paraId="1C6FE84D" w14:textId="03EF9218"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Describe how to foster effective partnerships in community </w:t>
      </w:r>
      <w:r w:rsidR="00AC552E">
        <w:rPr>
          <w:rFonts w:ascii="Arial" w:hAnsi="Arial" w:cs="Arial"/>
          <w:b/>
        </w:rPr>
        <w:t>policing.</w:t>
      </w:r>
    </w:p>
    <w:p w14:paraId="0C2F93FD" w14:textId="77777777" w:rsidR="00CE4573" w:rsidRPr="007F4984" w:rsidRDefault="00CE4573" w:rsidP="00CE4573">
      <w:pPr>
        <w:pStyle w:val="ListParagraph"/>
        <w:rPr>
          <w:rFonts w:ascii="Arial" w:hAnsi="Arial" w:cs="Arial"/>
          <w:b/>
        </w:rPr>
      </w:pPr>
    </w:p>
    <w:p w14:paraId="184D055D" w14:textId="76C2BF75"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Understand the purpose and value of community </w:t>
      </w:r>
      <w:r w:rsidR="00AC552E">
        <w:rPr>
          <w:rFonts w:ascii="Arial" w:hAnsi="Arial" w:cs="Arial"/>
          <w:b/>
        </w:rPr>
        <w:t>engagement.</w:t>
      </w:r>
    </w:p>
    <w:p w14:paraId="5DD379F4" w14:textId="77777777" w:rsidR="00CE4573" w:rsidRPr="008448A2" w:rsidRDefault="00CE4573" w:rsidP="00CE4573">
      <w:pPr>
        <w:pStyle w:val="ListParagraph"/>
        <w:rPr>
          <w:rFonts w:ascii="Arial" w:hAnsi="Arial" w:cs="Arial"/>
          <w:b/>
        </w:rPr>
      </w:pPr>
    </w:p>
    <w:p w14:paraId="14FA7630" w14:textId="77777777"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Analyse </w:t>
      </w:r>
      <w:proofErr w:type="gramStart"/>
      <w:r>
        <w:rPr>
          <w:rFonts w:ascii="Arial" w:hAnsi="Arial" w:cs="Arial"/>
          <w:b/>
        </w:rPr>
        <w:t>why</w:t>
      </w:r>
      <w:proofErr w:type="gramEnd"/>
      <w:r>
        <w:rPr>
          <w:rFonts w:ascii="Arial" w:hAnsi="Arial" w:cs="Arial"/>
          <w:b/>
        </w:rPr>
        <w:t xml:space="preserve"> key incidents/events have had a damaging effect on the willingness of communities to engage with the police</w:t>
      </w:r>
    </w:p>
    <w:p w14:paraId="6794BC2B" w14:textId="77777777" w:rsidR="00CE4573" w:rsidRPr="008448A2" w:rsidRDefault="00CE4573" w:rsidP="00CE4573">
      <w:pPr>
        <w:pStyle w:val="ListParagraph"/>
        <w:rPr>
          <w:rFonts w:ascii="Arial" w:hAnsi="Arial" w:cs="Arial"/>
          <w:b/>
        </w:rPr>
      </w:pPr>
    </w:p>
    <w:p w14:paraId="5003A851" w14:textId="7A6D1551"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Explain how engaging with the community to examine/critique current policing practice can have a positive impact on </w:t>
      </w:r>
      <w:r w:rsidR="00AC552E">
        <w:rPr>
          <w:rFonts w:ascii="Arial" w:hAnsi="Arial" w:cs="Arial"/>
          <w:b/>
        </w:rPr>
        <w:t>policing.</w:t>
      </w:r>
      <w:r>
        <w:rPr>
          <w:rFonts w:ascii="Arial" w:hAnsi="Arial" w:cs="Arial"/>
          <w:b/>
        </w:rPr>
        <w:t xml:space="preserve"> </w:t>
      </w:r>
    </w:p>
    <w:p w14:paraId="375D1E71" w14:textId="77777777" w:rsidR="00CE4573" w:rsidRPr="005C7D8D" w:rsidRDefault="00CE4573" w:rsidP="00CE4573">
      <w:pPr>
        <w:pStyle w:val="ListParagraph"/>
        <w:rPr>
          <w:rFonts w:ascii="Arial" w:hAnsi="Arial" w:cs="Arial"/>
          <w:b/>
        </w:rPr>
      </w:pPr>
    </w:p>
    <w:p w14:paraId="0A65A7ED" w14:textId="3831E491"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Evaluate the role of community policing in fostering and maintaining community </w:t>
      </w:r>
      <w:proofErr w:type="spellStart"/>
      <w:proofErr w:type="gramStart"/>
      <w:r w:rsidR="00AC552E">
        <w:rPr>
          <w:rFonts w:ascii="Arial" w:hAnsi="Arial" w:cs="Arial"/>
          <w:b/>
        </w:rPr>
        <w:t>cohesion.</w:t>
      </w:r>
      <w:r w:rsidR="00604B2D">
        <w:rPr>
          <w:rFonts w:ascii="Arial" w:hAnsi="Arial" w:cs="Arial"/>
          <w:b/>
        </w:rPr>
        <w:t>n</w:t>
      </w:r>
      <w:proofErr w:type="spellEnd"/>
      <w:proofErr w:type="gramEnd"/>
    </w:p>
    <w:p w14:paraId="78E7DE86" w14:textId="77777777" w:rsidR="00CE4573" w:rsidRPr="005C7D8D" w:rsidRDefault="00CE4573" w:rsidP="00CE4573">
      <w:pPr>
        <w:pStyle w:val="ListParagraph"/>
        <w:rPr>
          <w:rFonts w:ascii="Arial" w:hAnsi="Arial" w:cs="Arial"/>
          <w:b/>
        </w:rPr>
      </w:pPr>
    </w:p>
    <w:p w14:paraId="7250BA0E" w14:textId="367D269E"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Understand the key principles of effective community </w:t>
      </w:r>
      <w:r w:rsidR="00AC552E">
        <w:rPr>
          <w:rFonts w:ascii="Arial" w:hAnsi="Arial" w:cs="Arial"/>
          <w:b/>
        </w:rPr>
        <w:t>engagement.</w:t>
      </w:r>
      <w:r>
        <w:rPr>
          <w:rFonts w:ascii="Arial" w:hAnsi="Arial" w:cs="Arial"/>
          <w:b/>
        </w:rPr>
        <w:t xml:space="preserve"> </w:t>
      </w:r>
    </w:p>
    <w:p w14:paraId="1DFEA333" w14:textId="77777777" w:rsidR="00CE4573" w:rsidRPr="004272A0" w:rsidRDefault="00CE4573" w:rsidP="00CE4573">
      <w:pPr>
        <w:pStyle w:val="ListParagraph"/>
        <w:rPr>
          <w:rFonts w:ascii="Arial" w:hAnsi="Arial" w:cs="Arial"/>
          <w:b/>
        </w:rPr>
      </w:pPr>
    </w:p>
    <w:p w14:paraId="4CC79599" w14:textId="12F1C83C" w:rsidR="00CE4573" w:rsidRDefault="00CE4573" w:rsidP="00CE4573">
      <w:pPr>
        <w:pStyle w:val="ListParagraph"/>
        <w:numPr>
          <w:ilvl w:val="0"/>
          <w:numId w:val="1"/>
        </w:numPr>
        <w:autoSpaceDE w:val="0"/>
        <w:autoSpaceDN w:val="0"/>
        <w:adjustRightInd w:val="0"/>
        <w:spacing w:before="100" w:after="100"/>
        <w:rPr>
          <w:rFonts w:ascii="Arial" w:hAnsi="Arial" w:cs="Arial"/>
          <w:b/>
        </w:rPr>
      </w:pPr>
      <w:r>
        <w:rPr>
          <w:rFonts w:ascii="Arial" w:hAnsi="Arial" w:cs="Arial"/>
          <w:b/>
        </w:rPr>
        <w:t xml:space="preserve">Evaluate the impact of potential challenges to community policing and the future role of the community </w:t>
      </w:r>
      <w:r w:rsidR="00AC552E">
        <w:rPr>
          <w:rFonts w:ascii="Arial" w:hAnsi="Arial" w:cs="Arial"/>
          <w:b/>
        </w:rPr>
        <w:t>constable.</w:t>
      </w:r>
    </w:p>
    <w:p w14:paraId="498759BD" w14:textId="77777777" w:rsidR="00AC552E" w:rsidRPr="00AC552E" w:rsidRDefault="00AC552E" w:rsidP="00AC552E">
      <w:pPr>
        <w:pStyle w:val="ListParagraph"/>
        <w:rPr>
          <w:rFonts w:ascii="Arial" w:hAnsi="Arial" w:cs="Arial"/>
          <w:b/>
        </w:rPr>
      </w:pPr>
    </w:p>
    <w:p w14:paraId="3C25E64D" w14:textId="77777777" w:rsidR="00DB512C" w:rsidRDefault="00DB512C" w:rsidP="00DB512C">
      <w:pPr>
        <w:ind w:right="243"/>
        <w:rPr>
          <w:rFonts w:ascii="Calibri" w:eastAsia="Arial" w:hAnsi="Calibri" w:cs="Arial"/>
          <w:b/>
          <w:bCs/>
          <w:spacing w:val="1"/>
        </w:rPr>
      </w:pPr>
    </w:p>
    <w:p w14:paraId="1500E2C1" w14:textId="2D9BC299" w:rsidR="00DB512C" w:rsidRDefault="00DB512C" w:rsidP="00DB512C">
      <w:pPr>
        <w:ind w:right="243"/>
        <w:rPr>
          <w:rFonts w:ascii="Calibri" w:eastAsia="Arial" w:hAnsi="Calibri" w:cs="Arial"/>
          <w:b/>
          <w:bCs/>
          <w:spacing w:val="1"/>
        </w:rPr>
      </w:pPr>
      <w:r>
        <w:rPr>
          <w:rFonts w:ascii="Calibri" w:eastAsia="Arial" w:hAnsi="Calibri" w:cs="Arial"/>
          <w:b/>
          <w:bCs/>
          <w:spacing w:val="1"/>
        </w:rPr>
        <w:t xml:space="preserve">Students should draw upon a </w:t>
      </w:r>
      <w:proofErr w:type="gramStart"/>
      <w:r>
        <w:rPr>
          <w:rFonts w:ascii="Calibri" w:eastAsia="Arial" w:hAnsi="Calibri" w:cs="Arial"/>
          <w:b/>
          <w:bCs/>
          <w:spacing w:val="1"/>
        </w:rPr>
        <w:t>high profile</w:t>
      </w:r>
      <w:proofErr w:type="gramEnd"/>
      <w:r>
        <w:rPr>
          <w:rFonts w:ascii="Calibri" w:eastAsia="Arial" w:hAnsi="Calibri" w:cs="Arial"/>
          <w:b/>
          <w:bCs/>
          <w:spacing w:val="1"/>
        </w:rPr>
        <w:t xml:space="preserve"> event (e.g. George Floyd, Fiona Pilkington) and consider the following:</w:t>
      </w:r>
      <w:r w:rsidR="00995E05" w:rsidRPr="00995E05">
        <w:t xml:space="preserve"> </w:t>
      </w:r>
      <w:r w:rsidR="00B07869">
        <w:t xml:space="preserve"> </w:t>
      </w:r>
    </w:p>
    <w:p w14:paraId="232E7D3D" w14:textId="77777777" w:rsidR="00AC552E" w:rsidRDefault="00AC552E" w:rsidP="00AC552E">
      <w:pPr>
        <w:autoSpaceDE w:val="0"/>
        <w:autoSpaceDN w:val="0"/>
        <w:adjustRightInd w:val="0"/>
        <w:spacing w:before="100" w:after="100"/>
        <w:rPr>
          <w:rFonts w:ascii="Arial" w:hAnsi="Arial" w:cs="Arial"/>
          <w:b/>
        </w:rPr>
      </w:pPr>
    </w:p>
    <w:p w14:paraId="23AD353B" w14:textId="77777777" w:rsidR="00AC552E" w:rsidRDefault="00AC552E" w:rsidP="00AC552E">
      <w:pPr>
        <w:pStyle w:val="ListParagraph"/>
        <w:numPr>
          <w:ilvl w:val="0"/>
          <w:numId w:val="2"/>
        </w:numPr>
        <w:ind w:right="243"/>
        <w:rPr>
          <w:rFonts w:ascii="Calibri" w:eastAsia="Arial" w:hAnsi="Calibri" w:cs="Arial"/>
          <w:b/>
          <w:bCs/>
          <w:spacing w:val="1"/>
          <w:sz w:val="24"/>
          <w:szCs w:val="24"/>
        </w:rPr>
      </w:pPr>
      <w:r>
        <w:rPr>
          <w:rFonts w:ascii="Calibri" w:eastAsia="Arial" w:hAnsi="Calibri" w:cs="Arial"/>
          <w:b/>
          <w:bCs/>
          <w:spacing w:val="1"/>
          <w:sz w:val="24"/>
          <w:szCs w:val="24"/>
        </w:rPr>
        <w:t>impact of crime and ASB on victims and communities</w:t>
      </w:r>
    </w:p>
    <w:p w14:paraId="46DFD7BF" w14:textId="77777777" w:rsidR="00AC552E" w:rsidRDefault="00AC552E" w:rsidP="00AC552E">
      <w:pPr>
        <w:pStyle w:val="ListParagraph"/>
        <w:numPr>
          <w:ilvl w:val="0"/>
          <w:numId w:val="2"/>
        </w:numPr>
        <w:ind w:right="243"/>
        <w:rPr>
          <w:rFonts w:ascii="Calibri" w:eastAsia="Arial" w:hAnsi="Calibri" w:cs="Arial"/>
          <w:b/>
          <w:bCs/>
          <w:spacing w:val="1"/>
          <w:sz w:val="24"/>
          <w:szCs w:val="24"/>
        </w:rPr>
      </w:pPr>
      <w:r>
        <w:rPr>
          <w:rFonts w:ascii="Calibri" w:eastAsia="Arial" w:hAnsi="Calibri" w:cs="Arial"/>
          <w:b/>
          <w:bCs/>
          <w:spacing w:val="1"/>
          <w:sz w:val="24"/>
          <w:szCs w:val="24"/>
        </w:rPr>
        <w:t xml:space="preserve">what constitutes effective and appropriate police </w:t>
      </w:r>
      <w:proofErr w:type="gramStart"/>
      <w:r>
        <w:rPr>
          <w:rFonts w:ascii="Calibri" w:eastAsia="Arial" w:hAnsi="Calibri" w:cs="Arial"/>
          <w:b/>
          <w:bCs/>
          <w:spacing w:val="1"/>
          <w:sz w:val="24"/>
          <w:szCs w:val="24"/>
        </w:rPr>
        <w:t>action</w:t>
      </w:r>
      <w:proofErr w:type="gramEnd"/>
    </w:p>
    <w:p w14:paraId="1464A6E3" w14:textId="77777777" w:rsidR="00AC552E" w:rsidRDefault="00AC552E" w:rsidP="00AC552E">
      <w:pPr>
        <w:pStyle w:val="ListParagraph"/>
        <w:numPr>
          <w:ilvl w:val="0"/>
          <w:numId w:val="2"/>
        </w:numPr>
        <w:ind w:right="243"/>
        <w:rPr>
          <w:rFonts w:ascii="Calibri" w:eastAsia="Arial" w:hAnsi="Calibri" w:cs="Arial"/>
          <w:b/>
          <w:bCs/>
          <w:spacing w:val="1"/>
          <w:sz w:val="24"/>
          <w:szCs w:val="24"/>
        </w:rPr>
      </w:pPr>
      <w:r>
        <w:rPr>
          <w:rFonts w:ascii="Calibri" w:eastAsia="Arial" w:hAnsi="Calibri" w:cs="Arial"/>
          <w:b/>
          <w:bCs/>
          <w:spacing w:val="1"/>
          <w:sz w:val="24"/>
          <w:szCs w:val="24"/>
        </w:rPr>
        <w:t>impact on current and future trust between communities and the police</w:t>
      </w:r>
    </w:p>
    <w:p w14:paraId="7463068A" w14:textId="1EC903E6" w:rsidR="00AC552E" w:rsidRDefault="00AC552E" w:rsidP="00AC552E">
      <w:pPr>
        <w:pStyle w:val="ListParagraph"/>
        <w:numPr>
          <w:ilvl w:val="0"/>
          <w:numId w:val="2"/>
        </w:numPr>
        <w:ind w:right="243"/>
        <w:rPr>
          <w:rFonts w:ascii="Calibri" w:eastAsia="Arial" w:hAnsi="Calibri" w:cs="Arial"/>
          <w:b/>
          <w:bCs/>
          <w:spacing w:val="1"/>
          <w:sz w:val="24"/>
          <w:szCs w:val="24"/>
        </w:rPr>
      </w:pPr>
      <w:r>
        <w:rPr>
          <w:rFonts w:ascii="Calibri" w:eastAsia="Arial" w:hAnsi="Calibri" w:cs="Arial"/>
          <w:b/>
          <w:bCs/>
          <w:spacing w:val="1"/>
          <w:sz w:val="24"/>
          <w:szCs w:val="24"/>
        </w:rPr>
        <w:t>preventing and responding to crime and ASB in communities</w:t>
      </w:r>
    </w:p>
    <w:p w14:paraId="119AE954" w14:textId="77777777" w:rsidR="00C43228" w:rsidRDefault="00C43228" w:rsidP="00C43228">
      <w:pPr>
        <w:pStyle w:val="ListParagraph"/>
        <w:ind w:right="243"/>
        <w:rPr>
          <w:rFonts w:ascii="Calibri" w:eastAsia="Arial" w:hAnsi="Calibri" w:cs="Arial"/>
          <w:b/>
          <w:bCs/>
          <w:spacing w:val="1"/>
          <w:sz w:val="24"/>
          <w:szCs w:val="24"/>
        </w:rPr>
      </w:pPr>
    </w:p>
    <w:p w14:paraId="4E298138" w14:textId="77777777" w:rsidR="00A56EE7" w:rsidRDefault="00A56EE7" w:rsidP="00A56EE7">
      <w:pPr>
        <w:ind w:right="243"/>
        <w:rPr>
          <w:rFonts w:ascii="Calibri" w:eastAsia="Arial" w:hAnsi="Calibri" w:cs="Arial"/>
          <w:b/>
          <w:bCs/>
          <w:spacing w:val="1"/>
        </w:rPr>
      </w:pPr>
    </w:p>
    <w:p w14:paraId="0C603975" w14:textId="26F1C58A" w:rsidR="00A56EE7" w:rsidRDefault="00C12A62" w:rsidP="00A56EE7">
      <w:pPr>
        <w:ind w:right="243"/>
        <w:rPr>
          <w:rFonts w:ascii="Calibri" w:eastAsia="Arial" w:hAnsi="Calibri" w:cs="Arial"/>
          <w:b/>
          <w:bCs/>
          <w:spacing w:val="1"/>
        </w:rPr>
      </w:pPr>
      <w:r>
        <w:rPr>
          <w:rFonts w:ascii="Calibri" w:eastAsia="Arial" w:hAnsi="Calibri" w:cs="Arial"/>
          <w:b/>
          <w:bCs/>
          <w:spacing w:val="1"/>
        </w:rPr>
        <w:t xml:space="preserve"> </w:t>
      </w:r>
    </w:p>
    <w:p w14:paraId="2A2CA3FF" w14:textId="276DE9DE" w:rsidR="00A56EE7" w:rsidRDefault="00A56EE7" w:rsidP="00A56EE7">
      <w:pPr>
        <w:ind w:right="243"/>
        <w:rPr>
          <w:rFonts w:ascii="Calibri" w:eastAsia="Arial" w:hAnsi="Calibri" w:cs="Arial"/>
          <w:b/>
          <w:bCs/>
          <w:spacing w:val="1"/>
        </w:rPr>
      </w:pPr>
      <w:r>
        <w:rPr>
          <w:rFonts w:ascii="Calibri" w:eastAsia="Arial" w:hAnsi="Calibri" w:cs="Arial"/>
          <w:b/>
          <w:bCs/>
          <w:spacing w:val="1"/>
        </w:rPr>
        <w:t>introduction</w:t>
      </w:r>
      <w:r w:rsidR="00613028">
        <w:rPr>
          <w:rFonts w:ascii="Calibri" w:eastAsia="Arial" w:hAnsi="Calibri" w:cs="Arial"/>
          <w:b/>
          <w:bCs/>
          <w:spacing w:val="1"/>
        </w:rPr>
        <w:t>:</w:t>
      </w:r>
    </w:p>
    <w:p w14:paraId="449424DC" w14:textId="27B44C9E" w:rsidR="00613028" w:rsidRDefault="00613028" w:rsidP="00A56EE7">
      <w:pPr>
        <w:ind w:right="243"/>
        <w:rPr>
          <w:rFonts w:ascii="Calibri" w:eastAsia="Arial" w:hAnsi="Calibri" w:cs="Arial"/>
          <w:b/>
          <w:bCs/>
          <w:spacing w:val="1"/>
        </w:rPr>
      </w:pPr>
      <w:r>
        <w:rPr>
          <w:rFonts w:ascii="Calibri" w:eastAsia="Arial" w:hAnsi="Calibri" w:cs="Arial"/>
          <w:b/>
          <w:bCs/>
          <w:spacing w:val="1"/>
        </w:rPr>
        <w:t>250 words</w:t>
      </w:r>
    </w:p>
    <w:p w14:paraId="593EA30E" w14:textId="77777777" w:rsidR="00613028" w:rsidRDefault="00613028" w:rsidP="00A56EE7">
      <w:pPr>
        <w:ind w:right="243"/>
        <w:rPr>
          <w:rFonts w:ascii="Calibri" w:eastAsia="Arial" w:hAnsi="Calibri" w:cs="Arial"/>
          <w:b/>
          <w:bCs/>
          <w:spacing w:val="1"/>
        </w:rPr>
      </w:pPr>
    </w:p>
    <w:p w14:paraId="15A4B40C" w14:textId="4F7752D2" w:rsidR="00613028" w:rsidRDefault="00613028" w:rsidP="00A56EE7">
      <w:pPr>
        <w:ind w:right="243"/>
        <w:rPr>
          <w:rFonts w:ascii="Calibri" w:eastAsia="Arial" w:hAnsi="Calibri" w:cs="Arial"/>
          <w:b/>
          <w:bCs/>
          <w:spacing w:val="1"/>
        </w:rPr>
      </w:pPr>
      <w:r>
        <w:rPr>
          <w:rFonts w:ascii="Calibri" w:eastAsia="Arial" w:hAnsi="Calibri" w:cs="Arial"/>
          <w:b/>
          <w:bCs/>
          <w:spacing w:val="1"/>
        </w:rPr>
        <w:t>Main body:</w:t>
      </w:r>
      <w:r w:rsidR="00CF685B" w:rsidRPr="00CF685B">
        <w:t xml:space="preserve"> </w:t>
      </w:r>
    </w:p>
    <w:p w14:paraId="6B7400FC" w14:textId="77777777" w:rsidR="00613028" w:rsidRDefault="00613028" w:rsidP="00A56EE7">
      <w:pPr>
        <w:ind w:right="243"/>
        <w:rPr>
          <w:rFonts w:ascii="Calibri" w:eastAsia="Arial" w:hAnsi="Calibri" w:cs="Arial"/>
          <w:b/>
          <w:bCs/>
          <w:spacing w:val="1"/>
        </w:rPr>
      </w:pPr>
    </w:p>
    <w:p w14:paraId="047E7282" w14:textId="2DEA7ACB" w:rsidR="00613028" w:rsidRDefault="00613028" w:rsidP="00A56EE7">
      <w:pPr>
        <w:ind w:right="243"/>
        <w:rPr>
          <w:rFonts w:ascii="Calibri" w:eastAsia="Arial" w:hAnsi="Calibri" w:cs="Arial"/>
          <w:b/>
          <w:bCs/>
          <w:spacing w:val="1"/>
        </w:rPr>
      </w:pPr>
      <w:r>
        <w:rPr>
          <w:rFonts w:ascii="Calibri" w:eastAsia="Arial" w:hAnsi="Calibri" w:cs="Arial"/>
          <w:b/>
          <w:bCs/>
          <w:spacing w:val="1"/>
        </w:rPr>
        <w:t>Conclusion:</w:t>
      </w:r>
    </w:p>
    <w:p w14:paraId="12C14423" w14:textId="2CAD56F7" w:rsidR="00613028" w:rsidRPr="00A56EE7" w:rsidRDefault="00613028" w:rsidP="00A56EE7">
      <w:pPr>
        <w:ind w:right="243"/>
        <w:rPr>
          <w:rFonts w:ascii="Calibri" w:eastAsia="Arial" w:hAnsi="Calibri" w:cs="Arial"/>
          <w:b/>
          <w:bCs/>
          <w:spacing w:val="1"/>
        </w:rPr>
      </w:pPr>
      <w:r>
        <w:rPr>
          <w:rFonts w:ascii="Calibri" w:eastAsia="Arial" w:hAnsi="Calibri" w:cs="Arial"/>
          <w:b/>
          <w:bCs/>
          <w:spacing w:val="1"/>
        </w:rPr>
        <w:t xml:space="preserve">300 words </w:t>
      </w:r>
    </w:p>
    <w:p w14:paraId="481D35FE" w14:textId="77777777" w:rsidR="00AC552E" w:rsidRPr="00AC552E" w:rsidRDefault="00AC552E" w:rsidP="00AC552E">
      <w:pPr>
        <w:autoSpaceDE w:val="0"/>
        <w:autoSpaceDN w:val="0"/>
        <w:adjustRightInd w:val="0"/>
        <w:spacing w:before="100" w:after="100"/>
        <w:rPr>
          <w:rFonts w:ascii="Arial" w:hAnsi="Arial" w:cs="Arial"/>
          <w:b/>
        </w:rPr>
      </w:pPr>
    </w:p>
    <w:p w14:paraId="3A05F13B" w14:textId="586B6585" w:rsidR="00223D93" w:rsidRDefault="00FA1609" w:rsidP="00C9267B">
      <w:r>
        <w:fldChar w:fldCharType="begin"/>
      </w:r>
      <w:r>
        <w:instrText xml:space="preserve"> INCLUDEPICTURE "/Users/saffron/Library/Group Containers/UBF8T346G9.ms/WebArchiveCopyPasteTempFiles/com.microsoft.Word/PEELParagraphsSentenceStartersPosterpoetryessay.crop_678x509_21,0.preview.png" \* MERGEFORMATINET </w:instrText>
      </w:r>
      <w:r>
        <w:fldChar w:fldCharType="separate"/>
      </w:r>
      <w:r>
        <w:rPr>
          <w:noProof/>
        </w:rPr>
        <w:drawing>
          <wp:inline distT="0" distB="0" distL="0" distR="0" wp14:anchorId="2B228FDC" wp14:editId="67F5BE04">
            <wp:extent cx="5731510" cy="4302760"/>
            <wp:effectExtent l="0" t="0" r="0" b="2540"/>
            <wp:docPr id="1678625946" name="Picture 2" descr="PEEL Paragraphs Sentence Starters Poster - English Display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L Paragraphs Sentence Starters Poster - English Display | Teaching  Resour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r>
        <w:fldChar w:fldCharType="end"/>
      </w:r>
    </w:p>
    <w:p w14:paraId="2274F4FF" w14:textId="77777777" w:rsidR="0086007F" w:rsidRDefault="0086007F" w:rsidP="00C9267B"/>
    <w:p w14:paraId="7F4C08CC" w14:textId="77777777" w:rsidR="0086007F" w:rsidRDefault="0086007F" w:rsidP="00C9267B"/>
    <w:p w14:paraId="7B983ECF" w14:textId="77777777" w:rsidR="0086007F" w:rsidRDefault="0086007F" w:rsidP="00C9267B"/>
    <w:p w14:paraId="35ADDA03" w14:textId="77777777" w:rsidR="0086007F" w:rsidRDefault="0086007F" w:rsidP="00C9267B"/>
    <w:p w14:paraId="0D662625" w14:textId="77777777" w:rsidR="0086007F" w:rsidRDefault="0086007F" w:rsidP="00C9267B"/>
    <w:p w14:paraId="711AEFF6" w14:textId="77777777" w:rsidR="0086007F" w:rsidRDefault="0086007F" w:rsidP="00C9267B"/>
    <w:p w14:paraId="61A7253D" w14:textId="77777777" w:rsidR="0086007F" w:rsidRDefault="0086007F" w:rsidP="00C9267B"/>
    <w:p w14:paraId="67251850" w14:textId="77777777" w:rsidR="0086007F" w:rsidRDefault="0086007F" w:rsidP="00C9267B"/>
    <w:p w14:paraId="6AA2DC26" w14:textId="77777777" w:rsidR="0086007F" w:rsidRDefault="0086007F" w:rsidP="00C9267B"/>
    <w:p w14:paraId="4CA65CEA" w14:textId="77777777" w:rsidR="0086007F" w:rsidRDefault="0086007F" w:rsidP="00C9267B"/>
    <w:p w14:paraId="3C76F908" w14:textId="77777777" w:rsidR="0086007F" w:rsidRDefault="0086007F" w:rsidP="00C9267B"/>
    <w:p w14:paraId="19D77EBF" w14:textId="77777777" w:rsidR="0086007F" w:rsidRDefault="0086007F" w:rsidP="00C9267B"/>
    <w:p w14:paraId="7EB1922C" w14:textId="77777777" w:rsidR="0086007F" w:rsidRDefault="0086007F" w:rsidP="00C9267B"/>
    <w:p w14:paraId="56F57FD8" w14:textId="77777777" w:rsidR="0086007F" w:rsidRPr="00DD4606" w:rsidRDefault="0086007F" w:rsidP="00C9267B"/>
    <w:p w14:paraId="2557E0FF" w14:textId="7D418E1A" w:rsidR="00F3144C" w:rsidRPr="00DD4606" w:rsidRDefault="00F3144C" w:rsidP="00C9267B">
      <w:r w:rsidRPr="00DD4606">
        <w:br/>
        <w:t>Introduction</w:t>
      </w:r>
    </w:p>
    <w:p w14:paraId="67BE2B37" w14:textId="77777777" w:rsidR="00E15E8E" w:rsidRPr="00DD4606" w:rsidRDefault="00E15E8E" w:rsidP="00C9267B"/>
    <w:p w14:paraId="058A42B8" w14:textId="713D8B09" w:rsidR="00E15E8E" w:rsidRPr="00F329D5" w:rsidRDefault="00E15E8E" w:rsidP="00E15E8E">
      <w:r w:rsidRPr="00F329D5">
        <w:t>Criminal activity and antisocial behaviour have widespread consequences</w:t>
      </w:r>
      <w:r w:rsidR="007C5B44" w:rsidRPr="00F329D5">
        <w:t xml:space="preserve"> </w:t>
      </w:r>
      <w:r w:rsidRPr="00F329D5">
        <w:t>which directly affect the communities in which they happen.  This essay will investigate the significant impact that these problems have on local communities.</w:t>
      </w:r>
      <w:r w:rsidR="00067C2D" w:rsidRPr="00F329D5">
        <w:t xml:space="preserve"> </w:t>
      </w:r>
      <w:r w:rsidRPr="00F329D5">
        <w:t xml:space="preserve">Trust, safety, and a commitment to upholding shared values are fundamental to the functioning of communities, which play an important part in society.  Crime and other types of antisocial activity, on the other hand, </w:t>
      </w:r>
      <w:proofErr w:type="gramStart"/>
      <w:r w:rsidRPr="00F329D5">
        <w:t>have the ability to</w:t>
      </w:r>
      <w:proofErr w:type="gramEnd"/>
      <w:r w:rsidRPr="00F329D5">
        <w:t xml:space="preserve"> cause chaos </w:t>
      </w:r>
      <w:r w:rsidR="0045444E" w:rsidRPr="00F329D5">
        <w:t>and interrupt</w:t>
      </w:r>
      <w:r w:rsidRPr="00F329D5">
        <w:t xml:space="preserve"> the peace that exists inside communities.  The consequences are widespread and can be seen in a variety of areas of life in the community.</w:t>
      </w:r>
      <w:r w:rsidR="00F119D8" w:rsidRPr="00F329D5">
        <w:t xml:space="preserve"> </w:t>
      </w:r>
    </w:p>
    <w:p w14:paraId="4F25D3FA" w14:textId="77777777" w:rsidR="00351CE0" w:rsidRPr="00F329D5" w:rsidRDefault="00351CE0" w:rsidP="00E15E8E"/>
    <w:p w14:paraId="7362248B" w14:textId="77777777" w:rsidR="00351CE0" w:rsidRPr="00F329D5" w:rsidRDefault="00351CE0" w:rsidP="00E15E8E"/>
    <w:p w14:paraId="557AD79B" w14:textId="77777777" w:rsidR="00C449E4" w:rsidRPr="00F329D5" w:rsidRDefault="00C449E4" w:rsidP="00E15E8E"/>
    <w:p w14:paraId="3FF99391" w14:textId="2C4A411D" w:rsidR="003366D0" w:rsidRPr="00F329D5" w:rsidRDefault="00560548" w:rsidP="003366D0">
      <w:r w:rsidRPr="00F329D5">
        <w:t xml:space="preserve">According to a </w:t>
      </w:r>
      <w:proofErr w:type="gramStart"/>
      <w:r w:rsidRPr="00F329D5">
        <w:t>study  (</w:t>
      </w:r>
      <w:proofErr w:type="gramEnd"/>
      <w:r w:rsidRPr="00F329D5">
        <w:t xml:space="preserve">Smith 2018), it has been found that </w:t>
      </w:r>
      <w:proofErr w:type="spellStart"/>
      <w:r w:rsidR="00E4112E" w:rsidRPr="00F329D5">
        <w:t>anti social</w:t>
      </w:r>
      <w:proofErr w:type="spellEnd"/>
      <w:r w:rsidR="00E4112E" w:rsidRPr="00F329D5">
        <w:t xml:space="preserve"> behaviour (ASB) can </w:t>
      </w:r>
      <w:r w:rsidRPr="00F329D5">
        <w:t xml:space="preserve">frequently lead to physical injuries, causing victims to endure pain, disability, and trauma.  Individuals who have experienced burglary and theft may face significant financial challenges and emotional distress due to the violation of their property (Johnson, 2016). </w:t>
      </w:r>
      <w:r w:rsidR="003366D0" w:rsidRPr="00F329D5">
        <w:t xml:space="preserve">The consequences of </w:t>
      </w:r>
      <w:r w:rsidR="00E4112E" w:rsidRPr="00F329D5">
        <w:t xml:space="preserve">ASB </w:t>
      </w:r>
      <w:r w:rsidR="003366D0" w:rsidRPr="00F329D5">
        <w:t xml:space="preserve">reach far beyond the initial trauma experienced. individuals who have experienced trauma may </w:t>
      </w:r>
      <w:r w:rsidR="00B87A35" w:rsidRPr="00F329D5">
        <w:t>develop</w:t>
      </w:r>
      <w:r w:rsidR="003366D0" w:rsidRPr="00F329D5">
        <w:t xml:space="preserve"> symptoms such as anxiety, depression, and post-traumatic stress disorder.   These symptoms can have a lasting impact on their mental well-being.  These psychological effects can greatly impact the overall well-being of individuals.   The case of Fiona Pilkington demonstrates the harmful impact that anti-social behaviour can have on a community.   In October 2007, Fiona Pilkington sadly ended her own life and the life of her daughter, </w:t>
      </w:r>
      <w:r w:rsidR="00B87A35" w:rsidRPr="00F329D5">
        <w:t>Francesca</w:t>
      </w:r>
      <w:r w:rsidR="003366D0" w:rsidRPr="00F329D5">
        <w:t xml:space="preserve"> Hardwick.  Fiona had two children who faced challenges.   </w:t>
      </w:r>
      <w:r w:rsidR="00595A1E" w:rsidRPr="00F329D5">
        <w:t>Francesca</w:t>
      </w:r>
      <w:r w:rsidR="003366D0" w:rsidRPr="00F329D5">
        <w:t xml:space="preserve"> encountered difficulties due to a learning disability, while Anthony struggled with severe dyslexia.   They had experienced a long history of anti-social behaviour and hate crimes.    From 1997 to 2006, the family experienced a total of nineteen incidents of anti-social behaviour, with ten of them occurring in 2004 (Wallis, L., 2010).</w:t>
      </w:r>
    </w:p>
    <w:p w14:paraId="188B14EB" w14:textId="77777777" w:rsidR="00F04C21" w:rsidRPr="00F329D5" w:rsidRDefault="00F04C21" w:rsidP="003366D0"/>
    <w:p w14:paraId="7B8A7BF1" w14:textId="515BBCBA" w:rsidR="004B372B" w:rsidRPr="00F329D5" w:rsidRDefault="00B0539E" w:rsidP="004B372B">
      <w:r w:rsidRPr="00F329D5">
        <w:t xml:space="preserve">Communities lack trust as a result of crime and ASB (anti-social </w:t>
      </w:r>
      <w:proofErr w:type="gramStart"/>
      <w:r w:rsidRPr="00F329D5">
        <w:t>behaviour )</w:t>
      </w:r>
      <w:proofErr w:type="gramEnd"/>
      <w:r w:rsidRPr="00F329D5">
        <w:t xml:space="preserve">. </w:t>
      </w:r>
      <w:r w:rsidR="00F329D5" w:rsidRPr="00F329D5">
        <w:t xml:space="preserve">Heap,2021 states that </w:t>
      </w:r>
      <w:r w:rsidRPr="00F329D5">
        <w:t xml:space="preserve">people of a community may become more fearful </w:t>
      </w:r>
      <w:proofErr w:type="gramStart"/>
      <w:r w:rsidRPr="00F329D5">
        <w:t>as a result of</w:t>
      </w:r>
      <w:proofErr w:type="gramEnd"/>
      <w:r w:rsidRPr="00F329D5">
        <w:t xml:space="preserve"> high crime rates. This concern frequently causes social isolation, a decline in neighbourly confidence, and refusal to participate in neighbourhood activities. Reduced social cohesion might make it more difficult for communities to work together to solve problems and increase safety. </w:t>
      </w:r>
      <w:proofErr w:type="gramStart"/>
      <w:r w:rsidR="004B372B" w:rsidRPr="00F329D5">
        <w:t>Again</w:t>
      </w:r>
      <w:proofErr w:type="gramEnd"/>
      <w:r w:rsidR="004B372B" w:rsidRPr="00F329D5">
        <w:t xml:space="preserve"> following the Pilkington case, the community had to face its failings in providing assistance to vulnerable individuals.   As a result, there was a growing recognition of the importance of improving mental health services and implementing policies to support individuals who experience harassment, especially those with disabilities.   The case sparked demands for enhanced anti-bullying efforts in </w:t>
      </w:r>
      <w:proofErr w:type="gramStart"/>
      <w:r w:rsidR="004B372B" w:rsidRPr="00F329D5">
        <w:t>schools  and</w:t>
      </w:r>
      <w:proofErr w:type="gramEnd"/>
      <w:r w:rsidR="004B372B" w:rsidRPr="00F329D5">
        <w:t xml:space="preserve"> work places, along with a need for proactive law enforcement to address the hate crimes.  Fiona Pilkington's story sparked a powerful movement among disability rights advocates, </w:t>
      </w:r>
      <w:proofErr w:type="gramStart"/>
      <w:r w:rsidR="004B372B" w:rsidRPr="00F329D5">
        <w:t>leading  to</w:t>
      </w:r>
      <w:proofErr w:type="gramEnd"/>
      <w:r w:rsidR="004B372B" w:rsidRPr="00F329D5">
        <w:t xml:space="preserve"> a wider discussion on society's perception of individuals with disabilities.   Communities were encouraged to look at their roles in safeguarding the most vulnerable members, highlighting the importance of empathy and solidarity</w:t>
      </w:r>
      <w:sdt>
        <w:sdtPr>
          <w:id w:val="-1892880462"/>
          <w:citation/>
        </w:sdtPr>
        <w:sdtEndPr/>
        <w:sdtContent>
          <w:r w:rsidR="005541F0" w:rsidRPr="00F329D5">
            <w:fldChar w:fldCharType="begin"/>
          </w:r>
          <w:r w:rsidR="005541F0" w:rsidRPr="00F329D5">
            <w:instrText xml:space="preserve"> CITATION Reb20 \l 2057 </w:instrText>
          </w:r>
          <w:r w:rsidR="005541F0" w:rsidRPr="00F329D5">
            <w:fldChar w:fldCharType="separate"/>
          </w:r>
          <w:r w:rsidR="005541F0" w:rsidRPr="00F329D5">
            <w:rPr>
              <w:noProof/>
            </w:rPr>
            <w:t xml:space="preserve"> (Brown, 2020)</w:t>
          </w:r>
          <w:r w:rsidR="005541F0" w:rsidRPr="00F329D5">
            <w:fldChar w:fldCharType="end"/>
          </w:r>
        </w:sdtContent>
      </w:sdt>
      <w:r w:rsidR="004B372B" w:rsidRPr="00F329D5">
        <w:t>.</w:t>
      </w:r>
    </w:p>
    <w:p w14:paraId="4489E7DA" w14:textId="77777777" w:rsidR="000B0713" w:rsidRPr="00F329D5" w:rsidRDefault="000B0713" w:rsidP="004B372B"/>
    <w:p w14:paraId="616D8D5F" w14:textId="77777777" w:rsidR="00F36A0E" w:rsidRPr="00F329D5" w:rsidRDefault="000B0713" w:rsidP="00F36A0E">
      <w:r w:rsidRPr="00F329D5">
        <w:t xml:space="preserve">Furthermore, addressing anti-social behaviour is crucial for maintaining public order and promoting community well-being.   It is crucial to </w:t>
      </w:r>
      <w:proofErr w:type="gramStart"/>
      <w:r w:rsidRPr="00F329D5">
        <w:t>effectively and appropriately address such behaviour</w:t>
      </w:r>
      <w:proofErr w:type="gramEnd"/>
      <w:r w:rsidRPr="00F329D5">
        <w:t xml:space="preserve"> in order to maintain a balance between civil liberties and public norms.</w:t>
      </w:r>
      <w:r w:rsidR="001D481B" w:rsidRPr="00F329D5">
        <w:t xml:space="preserve"> Addressing anti-social behaviour often requires a proactive approach </w:t>
      </w:r>
      <w:proofErr w:type="gramStart"/>
      <w:r w:rsidR="001D481B" w:rsidRPr="00F329D5">
        <w:t>in order to</w:t>
      </w:r>
      <w:proofErr w:type="gramEnd"/>
      <w:r w:rsidR="001D481B" w:rsidRPr="00F329D5">
        <w:t xml:space="preserve"> ensure effective police action.  Community policing is a crucial strategy focusing on building community relationships and trust.  Officers who closely engage with communities can gather valuable intelligence and work together with residents to prevent anti-social behaviour before it escalates.   According to Wilson (2020), the Harvard Kennedy School emphasises the significance of community policing in improving public safety.</w:t>
      </w:r>
      <w:r w:rsidR="00F36A0E" w:rsidRPr="00F329D5">
        <w:t xml:space="preserve"> However Restorative justice approaches are being more acknowledged as a significant tool in addressing inappropriate police actions.   These approaches prioritise the restoration of the damage created by anti-social behaviour rather than only penalising the offenders.   Restorative justice has the potential to improve results for both victims and offenders, while also developing a feeling of accountability within the community (</w:t>
      </w:r>
      <w:proofErr w:type="spellStart"/>
      <w:r w:rsidR="00F36A0E" w:rsidRPr="00F329D5">
        <w:t>Lederach</w:t>
      </w:r>
      <w:proofErr w:type="spellEnd"/>
      <w:r w:rsidR="00F36A0E" w:rsidRPr="00F329D5">
        <w:t>, 2017).</w:t>
      </w:r>
    </w:p>
    <w:p w14:paraId="5A9903AF" w14:textId="42D5666E" w:rsidR="001D481B" w:rsidRPr="00F329D5" w:rsidRDefault="001D481B" w:rsidP="001D481B"/>
    <w:p w14:paraId="1232BC12" w14:textId="77777777" w:rsidR="00DD0602" w:rsidRPr="00F329D5" w:rsidRDefault="00DD0602" w:rsidP="00DD0602">
      <w:proofErr w:type="gramStart"/>
      <w:r w:rsidRPr="00F329D5">
        <w:t>Additionally</w:t>
      </w:r>
      <w:proofErr w:type="gramEnd"/>
      <w:r w:rsidRPr="00F329D5">
        <w:t xml:space="preserve"> The police have a fundamental role in upholding law and order, serving as a crucial foundation for the proper functioning of any society.   Although there is general agreement on the importance of law enforcement agencies, the definition of effective and appropriate police action has been a topic of ongoing discussion and development.   The criteria for assessing the conduct of law enforcement officials are complex, involving ethical, legal, and practical factors. Ensuring that police action is in accordance with legal criteria is a crucial element of the success within the police service. In relation to this issue, researchers such as Smith (2017) emphasise the need of following to established legal procedures. Police officers must strictly comply with the law and ensure the protection of citizens' fundamental rights in their conduct.     It is vital to comply to the Fourth Amendment, which protects against unjustified searches and seizures, and the Fifth Amendment, which guarantees the right to stay silent and defends against self-incrimination.  </w:t>
      </w:r>
    </w:p>
    <w:p w14:paraId="3F65B05E" w14:textId="0DFCAA7D" w:rsidR="00DD0602" w:rsidRPr="00F329D5" w:rsidRDefault="00DD0602" w:rsidP="00DD0602">
      <w:r w:rsidRPr="00F329D5">
        <w:t xml:space="preserve">Also, considering ethical factors is crucial when determining the appropriate course of action for law enforcement.   Experts in policing, such as Williams (2019), emphasise the significance of fostering a robust ethical culture within law enforcement agencies. Police officers are expected to demonstrate integrity, fairness, and respect for the dignity of individuals they </w:t>
      </w:r>
      <w:proofErr w:type="gramStart"/>
      <w:r w:rsidRPr="00F329D5">
        <w:t>come into contact with</w:t>
      </w:r>
      <w:proofErr w:type="gramEnd"/>
      <w:r w:rsidRPr="00F329D5">
        <w:t xml:space="preserve">.  Practising ethical behaviour is of highest importance when it comes to establishing trust with the community, as it plays a vital role in ensuring effective policing. Engaging with the community is also crucial for police to take effective and appropriate action.  In Brown's (2020) argument, it is emphasised that police officers should actively engage with the communities they serve. This involves building positive relationships and working together with community members to address public safety concerns.  Community policing is a powerful tool in crime prevention and building a feeling of safety, all while avoiding excessive enforcement measures. </w:t>
      </w:r>
    </w:p>
    <w:p w14:paraId="08CB3AA8" w14:textId="187A74CB" w:rsidR="000D3A39" w:rsidRPr="00F329D5" w:rsidRDefault="00DD0602" w:rsidP="00DD0602">
      <w:r w:rsidRPr="00F329D5">
        <w:t xml:space="preserve">overall, ensuring effective and appropriate police action covers various aspects, including following the law, behaving ethically, using force judiciously, engaging with the community, and being transparent.   In order to find the perfect </w:t>
      </w:r>
      <w:proofErr w:type="spellStart"/>
      <w:proofErr w:type="gramStart"/>
      <w:r w:rsidRPr="00F329D5">
        <w:t>balance,the</w:t>
      </w:r>
      <w:proofErr w:type="spellEnd"/>
      <w:proofErr w:type="gramEnd"/>
      <w:r w:rsidRPr="00F329D5">
        <w:t xml:space="preserve"> police service need to constantly assess their methods and adjust them to meet the changing needs and expectations of the communities they are responsible for.   Creating a safe and fair society depends on the combined efforts of police service and the communities they serve. </w:t>
      </w:r>
    </w:p>
    <w:p w14:paraId="48E7BC48" w14:textId="77777777" w:rsidR="00282FC4" w:rsidRPr="00F329D5" w:rsidRDefault="00282FC4" w:rsidP="00DD0602"/>
    <w:p w14:paraId="530D5D3C" w14:textId="4E015BBA" w:rsidR="00282FC4" w:rsidRPr="00F329D5" w:rsidRDefault="00282FC4" w:rsidP="00282FC4">
      <w:r w:rsidRPr="00F329D5">
        <w:t>Community policing strategies that are effective typically use a combination of the O.S.A.R.A. model and hotspot policing. These approaches help to tackle and prevent crime, while also promoting community engagement and safety.   The O.S.A.R.A. model, also known as the Observe, Orient, Specify, Act, Review, and Assess model, provides a structured framework for community policing (Eck &amp; Spelman, 1987).   It prioritises problem-solving and data-driven decision-making to ensure that law enforcement agencies are responsive to the needs of the community.</w:t>
      </w:r>
      <w:r w:rsidR="000D3A39" w:rsidRPr="00F329D5">
        <w:t xml:space="preserve"> </w:t>
      </w:r>
      <w:r w:rsidRPr="00F329D5">
        <w:t xml:space="preserve">Hotspot policing, in contrast, focuses on specific geographical areas that have high levels of criminal activity. This targeted approach allows the police </w:t>
      </w:r>
      <w:proofErr w:type="gramStart"/>
      <w:r w:rsidRPr="00F329D5">
        <w:t>force  to</w:t>
      </w:r>
      <w:proofErr w:type="gramEnd"/>
      <w:r w:rsidRPr="00F329D5">
        <w:t xml:space="preserve"> concentrate their resources effectively (Sherman &amp; Weisburd, 1995).   The concept of hotspot policing is based on the understanding that crime tends to be concentrated in specific areas. By focusing on these hotspots, the police service can make a substantial difference in enhancing community </w:t>
      </w:r>
      <w:proofErr w:type="gramStart"/>
      <w:r w:rsidRPr="00F329D5">
        <w:t>safety as a whole</w:t>
      </w:r>
      <w:proofErr w:type="gramEnd"/>
      <w:r w:rsidRPr="00F329D5">
        <w:t>.</w:t>
      </w:r>
      <w:r w:rsidR="00754323" w:rsidRPr="00F329D5">
        <w:t xml:space="preserve"> </w:t>
      </w:r>
      <w:r w:rsidRPr="00F329D5">
        <w:t xml:space="preserve">By combining the O.S.A.R.A. model with hotspot policing, police departments can effectively pinpoint and analyse specific problems, enabling them to develop customised strategies to address these issues.   Studies have shown that hotspot policing has the potential to significantly decrease crime rates, especially when concentrated on ongoing hotspots (Braga, </w:t>
      </w:r>
      <w:proofErr w:type="spellStart"/>
      <w:r w:rsidRPr="00F329D5">
        <w:t>Papachristos</w:t>
      </w:r>
      <w:proofErr w:type="spellEnd"/>
      <w:r w:rsidRPr="00F329D5">
        <w:t>, &amp; Hureau, 2014).</w:t>
      </w:r>
    </w:p>
    <w:p w14:paraId="42BEA7E7" w14:textId="77777777" w:rsidR="00282FC4" w:rsidRPr="00F329D5" w:rsidRDefault="00282FC4" w:rsidP="00282FC4"/>
    <w:p w14:paraId="273C3258" w14:textId="77777777" w:rsidR="00282FC4" w:rsidRPr="00F329D5" w:rsidRDefault="00282FC4" w:rsidP="00282FC4">
      <w:r w:rsidRPr="00F329D5">
        <w:t>This thorough approach ensures that law enforcement is not just responding to criminal activity, but also actively collaborating with communities to prevent it.   Law enforcement agencies can greatly improve their relationship with communities and build public trust by addressing the underlying issues that contribute to problems in specific areas. This approach not only benefits the people, but also contributes to the overall well-being of the community.   In general, the O.S.A.R.A. model and hotspot policing work together to enhance the police's ability to serve their communities. These strategies focus on tackling crime and disorder while also prioritising community engagement and problem-solving.</w:t>
      </w:r>
    </w:p>
    <w:p w14:paraId="44ED6E69" w14:textId="77777777" w:rsidR="006665AB" w:rsidRPr="00F329D5" w:rsidRDefault="006665AB" w:rsidP="00282FC4"/>
    <w:p w14:paraId="4A77A52A" w14:textId="77777777" w:rsidR="00990126" w:rsidRPr="00F329D5" w:rsidRDefault="00990126" w:rsidP="00282FC4"/>
    <w:p w14:paraId="0CA9CD42" w14:textId="77777777" w:rsidR="00B06D7E" w:rsidRPr="00F329D5" w:rsidRDefault="00B06D7E" w:rsidP="00B06D7E">
      <w:r w:rsidRPr="00F329D5">
        <w:t xml:space="preserve">It is </w:t>
      </w:r>
      <w:proofErr w:type="spellStart"/>
      <w:r w:rsidRPr="00F329D5">
        <w:t>extreamly</w:t>
      </w:r>
      <w:proofErr w:type="spellEnd"/>
      <w:r w:rsidRPr="00F329D5">
        <w:t xml:space="preserve"> important </w:t>
      </w:r>
      <w:proofErr w:type="spellStart"/>
      <w:r w:rsidRPr="00F329D5">
        <w:t>fr</w:t>
      </w:r>
      <w:proofErr w:type="spellEnd"/>
      <w:r w:rsidRPr="00F329D5">
        <w:t xml:space="preserve"> the police service to connect and speak to the communities as when individuals are given the chance to share their thoughts and opinions on policing strategies, it can be </w:t>
      </w:r>
      <w:proofErr w:type="gramStart"/>
      <w:r w:rsidRPr="00F329D5">
        <w:t>really valuable</w:t>
      </w:r>
      <w:proofErr w:type="gramEnd"/>
      <w:r w:rsidRPr="00F329D5">
        <w:t xml:space="preserve"> in pinpointing areas that could use some improvement. This could then lead to a better overall quality of the police service.   This collaborative approach promotes a sense of ownership and shared responsibility for community safety, resulting in a stronger connection between the police and the community (</w:t>
      </w:r>
      <w:proofErr w:type="spellStart"/>
      <w:r w:rsidRPr="00F329D5">
        <w:t>Gau</w:t>
      </w:r>
      <w:proofErr w:type="spellEnd"/>
      <w:r w:rsidRPr="00F329D5">
        <w:t xml:space="preserve"> &amp; Pratt, 2010).</w:t>
      </w:r>
    </w:p>
    <w:p w14:paraId="6435FB55" w14:textId="0636F544" w:rsidR="00B06D7E" w:rsidRPr="00F329D5" w:rsidRDefault="00B06D7E" w:rsidP="00B06D7E">
      <w:r w:rsidRPr="00F329D5">
        <w:t>In addition, the community's valuable input enables law enforcement agencies to develop a deeper understanding of the specific concerns and priorities of the neighbourhoods they serve.     It is crucial to develop customised strategies that effectively tackle the underlying factors of crime and disorder (Rosenbaum, Schuck, Costello, Stanek, &amp; Hawkins, 2015). overall, when the community actively participates in policing, it encourages transparency and accountability. This then helps ensure that the police force practises are in line with the community's needs, resulting in safer and more united communities.</w:t>
      </w:r>
    </w:p>
    <w:p w14:paraId="14E282CE" w14:textId="77777777" w:rsidR="00C127BE" w:rsidRPr="00F329D5" w:rsidRDefault="00C127BE" w:rsidP="00B06D7E"/>
    <w:p w14:paraId="7CE18CF6" w14:textId="77777777" w:rsidR="005D7069" w:rsidRPr="00F329D5" w:rsidRDefault="005D7069" w:rsidP="005D7069">
      <w:r w:rsidRPr="00F329D5">
        <w:t>The Fiona Pilkington case serves as a significant reminder of the serious impact that policing anti-social behaviour can have on a community.    This case highlighted the importance of police agencies taking more effective action to address concerns of vulnerability and harassment, especially among marginalised and vulnerable populations (HMIC, 2011).   The subsequent review of the case prompted deep reflection within the police force and resulted in recommendations for enhancing practises and procedures, such as improving communication with victims and communities.</w:t>
      </w:r>
    </w:p>
    <w:p w14:paraId="73E9C628" w14:textId="77777777" w:rsidR="005D7069" w:rsidRPr="00F329D5" w:rsidRDefault="005D7069" w:rsidP="005D7069"/>
    <w:p w14:paraId="6A63D20F" w14:textId="77777777" w:rsidR="005D7069" w:rsidRPr="00F329D5" w:rsidRDefault="005D7069" w:rsidP="005D7069">
      <w:r w:rsidRPr="00F329D5">
        <w:t>The Pilkington case led to significant changes in how the police handle issues of anti-social behaviour, domestic abuse, and community engagement, as highlighted by Connelly and Tucker (2017).  Police departments in the UK along with others have highlighted the significance of actively listening to and providing support for victims of harassment and abuse. They are also focused on building stronger connections with local communities.</w:t>
      </w:r>
    </w:p>
    <w:p w14:paraId="127E6816" w14:textId="77777777" w:rsidR="005D7069" w:rsidRPr="00F329D5" w:rsidRDefault="005D7069" w:rsidP="005D7069"/>
    <w:p w14:paraId="166BD748" w14:textId="77777777" w:rsidR="005D7069" w:rsidRPr="00F329D5" w:rsidRDefault="005D7069" w:rsidP="005D7069">
      <w:r w:rsidRPr="00F329D5">
        <w:t xml:space="preserve">This case is a clear example of how fragile trust can be between the police and the community, especially when urgent and difficult issues are not addressed adequately.   </w:t>
      </w:r>
      <w:proofErr w:type="gramStart"/>
      <w:r w:rsidRPr="00F329D5">
        <w:t>In order to</w:t>
      </w:r>
      <w:proofErr w:type="gramEnd"/>
      <w:r w:rsidRPr="00F329D5">
        <w:t xml:space="preserve"> rebuild trust and prevent similar tragic outcomes, it is crucial for the police and other agencies to enhance their responsiveness, transparency, and compassion when interacting with the public. This is especially important in cases that involve vulnerable individuals, such as Fiona Pilkington and her family.</w:t>
      </w:r>
    </w:p>
    <w:p w14:paraId="422E9CFA" w14:textId="77777777" w:rsidR="005D7069" w:rsidRPr="00F329D5" w:rsidRDefault="005D7069" w:rsidP="005D7069"/>
    <w:p w14:paraId="0DE72573" w14:textId="66C8053E" w:rsidR="000860E3" w:rsidRPr="00F329D5" w:rsidRDefault="005D7069" w:rsidP="003D516C">
      <w:r w:rsidRPr="00F329D5">
        <w:t>The Fiona Pilkington case had a profound and long-lasting effect on the trust between communities and the police. It served as a clear reminder of the serious repercussions that can arise from insufficient responses to anti-social behaviour and domestic abuse.   This event led to a reassessment of police methods and a renewed dedication to fostering trust by enhancing community involvement and implementing more efficient strategies to address pressing social concerns</w:t>
      </w:r>
      <w:r w:rsidR="00866A2F" w:rsidRPr="00F329D5">
        <w:rPr>
          <w:rFonts w:ascii="Open Sans" w:hAnsi="Open Sans" w:cs="Open Sans"/>
          <w:color w:val="686868"/>
          <w:sz w:val="21"/>
          <w:szCs w:val="21"/>
          <w:shd w:val="clear" w:color="auto" w:fill="F2F2F2"/>
        </w:rPr>
        <w:t xml:space="preserve"> </w:t>
      </w:r>
      <w:r w:rsidR="00866A2F" w:rsidRPr="00F329D5">
        <w:rPr>
          <w:rFonts w:ascii="Open Sans" w:hAnsi="Open Sans" w:cs="Open Sans"/>
          <w:color w:val="686868"/>
          <w:sz w:val="21"/>
          <w:szCs w:val="21"/>
          <w:shd w:val="clear" w:color="auto" w:fill="F2F2F2"/>
        </w:rPr>
        <w:t>(Fiona Pilkington (Leicestershire) | Hampshire Safeguarding Adults Board</w:t>
      </w:r>
      <w:r w:rsidR="00866A2F" w:rsidRPr="00F329D5">
        <w:rPr>
          <w:rFonts w:ascii="Open Sans" w:hAnsi="Open Sans" w:cs="Open Sans"/>
          <w:color w:val="686868"/>
          <w:sz w:val="21"/>
          <w:szCs w:val="21"/>
          <w:shd w:val="clear" w:color="auto" w:fill="F2F2F2"/>
        </w:rPr>
        <w:t>)</w:t>
      </w:r>
      <w:r w:rsidRPr="00F329D5">
        <w:t xml:space="preserve">. </w:t>
      </w:r>
    </w:p>
    <w:p w14:paraId="2FD8F337" w14:textId="5517BC5D" w:rsidR="003D516C" w:rsidRPr="00F329D5" w:rsidRDefault="003D516C" w:rsidP="003D516C">
      <w:r w:rsidRPr="00F329D5">
        <w:t xml:space="preserve">Over the years policing the community has changed significantly. Community policing is a philosophy and strategy that aims to foster positive relationships between the police service agencies and the communities they serve. It has gained widely adapted to improve public safety and build trust.   Nevertheless, the implementation of community policing has encountered various challenges that have impacted its effectiveness and sparked inquiries regarding the future role of the community </w:t>
      </w:r>
      <w:proofErr w:type="gramStart"/>
      <w:r w:rsidRPr="00F329D5">
        <w:t>constable</w:t>
      </w:r>
      <w:r w:rsidR="00003CC0" w:rsidRPr="00F329D5">
        <w:t>(</w:t>
      </w:r>
      <w:proofErr w:type="gramEnd"/>
      <w:r w:rsidR="00003CC0" w:rsidRPr="00F329D5">
        <w:t>Rogers,2012)</w:t>
      </w:r>
      <w:r w:rsidRPr="00F329D5">
        <w:t xml:space="preserve">. </w:t>
      </w:r>
    </w:p>
    <w:p w14:paraId="30F75B26" w14:textId="77777777" w:rsidR="003D516C" w:rsidRPr="00F329D5" w:rsidRDefault="003D516C" w:rsidP="003D516C"/>
    <w:p w14:paraId="1C70964D" w14:textId="77777777" w:rsidR="003D516C" w:rsidRPr="00F329D5" w:rsidRDefault="003D516C" w:rsidP="003D516C">
      <w:r w:rsidRPr="00F329D5">
        <w:t xml:space="preserve">Community policing faces a major challenge when it comes to resource allocation.  Community policing efforts have faced challenges due to budget constraints which can limit the resources at their disposal.     Insufficient funding can lead to a reduction in the number of officers available in communities, making it difficult to establish meaningful connections with residents.     Moreover, the uneven distribution of wealth within communities can have a direct impact on the ability of residents to fully engage in community policing initiatives.   Some people may struggle to effectively engage with the police service due to a lack of time, resources, or social </w:t>
      </w:r>
      <w:r w:rsidRPr="00F329D5">
        <w:rPr>
          <w:color w:val="000000" w:themeColor="text1"/>
        </w:rPr>
        <w:t>connections (Miller, 2016).</w:t>
      </w:r>
    </w:p>
    <w:p w14:paraId="2642C51E" w14:textId="77777777" w:rsidR="003D516C" w:rsidRPr="00F329D5" w:rsidRDefault="003D516C" w:rsidP="003D516C"/>
    <w:p w14:paraId="6A90CBC4" w14:textId="77777777" w:rsidR="003D516C" w:rsidRPr="00F329D5" w:rsidRDefault="003D516C" w:rsidP="003D516C"/>
    <w:p w14:paraId="4FE5FD10" w14:textId="77777777" w:rsidR="003D516C" w:rsidRPr="00F329D5" w:rsidRDefault="003D516C" w:rsidP="003D516C"/>
    <w:p w14:paraId="452A2701" w14:textId="77777777" w:rsidR="003D516C" w:rsidRPr="00F329D5" w:rsidRDefault="003D516C" w:rsidP="003D516C">
      <w:r w:rsidRPr="00F329D5">
        <w:t>Addressing systemic issues related to police misconduct and abuse of power is another challenge that needs to be tackled.   Public trust in the police force has been significantly undermined due to well-known instances of police brutality and misconduct.   Establishing genuine connections between the community and the police can be quite difficult when communities perceive themselves as being unfairly targeted or treated.   To tackle this challenge, it is important to provide extensive training, establish accountability mechanisms, and promote transparency in policing (Katz, 2020).</w:t>
      </w:r>
    </w:p>
    <w:p w14:paraId="7D27232E" w14:textId="77777777" w:rsidR="003D516C" w:rsidRPr="00F329D5" w:rsidRDefault="003D516C" w:rsidP="003D516C"/>
    <w:p w14:paraId="617DA966" w14:textId="77777777" w:rsidR="003D516C" w:rsidRPr="00F329D5" w:rsidRDefault="003D516C" w:rsidP="003D516C">
      <w:r w:rsidRPr="00F329D5">
        <w:t>The rapid progress of technology and the growing reliance on surveillance and data collection in law enforcement bring about a range of possibilities and complications.   Technology has the potential to improve community policing, but it's important to address concerns about privacy and civil rights by regulating data collection and surveillance methods.   Finding the perfect equilibrium between utilising technology to enhance community safety and protecting individuals' rights is a challenging endeavour (Alpert, 2018).</w:t>
      </w:r>
    </w:p>
    <w:p w14:paraId="2CD89A7A" w14:textId="77777777" w:rsidR="003D516C" w:rsidRPr="00F329D5" w:rsidRDefault="003D516C" w:rsidP="003D516C"/>
    <w:p w14:paraId="0CAB0DCB" w14:textId="77777777" w:rsidR="003D516C" w:rsidRPr="00F329D5" w:rsidRDefault="003D516C" w:rsidP="003D516C">
      <w:r w:rsidRPr="00F329D5">
        <w:t>The future community constable must address these issues. To sustain public trust, the police force must prioritise community policing with proper resources and community outreach. Training should emphasise de-escalation, cultural awareness, and conflict resolution. Addressing police misbehaviour requires transparency and accountability.</w:t>
      </w:r>
    </w:p>
    <w:p w14:paraId="503F7D5C" w14:textId="758DA4F5" w:rsidR="003D516C" w:rsidRPr="00F329D5" w:rsidRDefault="003D516C" w:rsidP="003D516C">
      <w:r w:rsidRPr="00F329D5">
        <w:t xml:space="preserve"> Community constables should be able to use data for crime prevention and public safety while protecting privacy rights as technology advances. Community policing monitoring should be regulated by policy.</w:t>
      </w:r>
      <w:r w:rsidR="006107CF" w:rsidRPr="00F329D5">
        <w:t xml:space="preserve"> </w:t>
      </w:r>
      <w:r w:rsidRPr="00F329D5">
        <w:t xml:space="preserve">Finally, community policing improves public safety and fosters confidence between law enforcement and communities. It struggles with resource allocation, police malfeasance, and technology. Addressing these issues is essential for communities </w:t>
      </w:r>
      <w:proofErr w:type="gramStart"/>
      <w:r w:rsidRPr="00F329D5">
        <w:t>success</w:t>
      </w:r>
      <w:r w:rsidR="007A7C23" w:rsidRPr="00F329D5">
        <w:t>(</w:t>
      </w:r>
      <w:proofErr w:type="spellStart"/>
      <w:proofErr w:type="gramEnd"/>
      <w:r w:rsidR="007A7C23" w:rsidRPr="00F329D5">
        <w:t>Sko</w:t>
      </w:r>
      <w:r w:rsidR="000860E3" w:rsidRPr="00F329D5">
        <w:t>gan</w:t>
      </w:r>
      <w:proofErr w:type="spellEnd"/>
      <w:r w:rsidR="000860E3" w:rsidRPr="00F329D5">
        <w:t xml:space="preserve"> 2006)</w:t>
      </w:r>
      <w:r w:rsidRPr="00F329D5">
        <w:t>.</w:t>
      </w:r>
    </w:p>
    <w:p w14:paraId="6E2CB8B7" w14:textId="77777777" w:rsidR="0083637A" w:rsidRPr="00F329D5" w:rsidRDefault="0083637A" w:rsidP="003D516C"/>
    <w:p w14:paraId="437CDA39" w14:textId="77777777" w:rsidR="0083637A" w:rsidRPr="00F329D5" w:rsidRDefault="0083637A" w:rsidP="003D516C"/>
    <w:p w14:paraId="6BEC8ABB" w14:textId="2DB91218" w:rsidR="0083637A" w:rsidRPr="00F329D5" w:rsidRDefault="0083637A" w:rsidP="00D0143F">
      <w:r w:rsidRPr="00F329D5">
        <w:t xml:space="preserve">To </w:t>
      </w:r>
      <w:proofErr w:type="gramStart"/>
      <w:r w:rsidRPr="00F329D5">
        <w:t xml:space="preserve">conclude </w:t>
      </w:r>
      <w:r w:rsidR="0096693A" w:rsidRPr="00F329D5">
        <w:t xml:space="preserve"> the</w:t>
      </w:r>
      <w:proofErr w:type="gramEnd"/>
      <w:r w:rsidR="0096693A" w:rsidRPr="00F329D5">
        <w:t xml:space="preserve"> United Kingdom, crime and ASB have profound consequences for victims and communities. Victims often experience physical and psychological trauma, while communities may face fear, economic decline, and increased demands on law enforcement and social services. These issues must be addressed within the wider context of social and economic factors. Understanding these impacts is crucial for developing effective strategies to enhance community safety, social support, and overall well-being.</w:t>
      </w:r>
      <w:r w:rsidR="0076454E" w:rsidRPr="00F329D5">
        <w:t xml:space="preserve"> The essay also </w:t>
      </w:r>
      <w:r w:rsidR="00FF6CF7" w:rsidRPr="00F329D5">
        <w:t xml:space="preserve">concludes that </w:t>
      </w:r>
      <w:r w:rsidR="00D0143F" w:rsidRPr="00F329D5">
        <w:t xml:space="preserve">the basic purpose of community policing is to improve police force and community ties. Community policing prioritises this goal to promote trust and collaboration. This method emphasises the police force partnerships and communication. Community policing improves public safety and community security by creating strong connections. Without the </w:t>
      </w:r>
      <w:r w:rsidR="00B30BCA" w:rsidRPr="00F329D5">
        <w:t xml:space="preserve">correct </w:t>
      </w:r>
      <w:r w:rsidR="00D0143F" w:rsidRPr="00F329D5">
        <w:t>community policing</w:t>
      </w:r>
      <w:r w:rsidR="001759F5" w:rsidRPr="00F329D5">
        <w:t>,</w:t>
      </w:r>
      <w:r w:rsidR="00D0143F" w:rsidRPr="00F329D5">
        <w:t xml:space="preserve"> </w:t>
      </w:r>
      <w:r w:rsidR="00A30D6F" w:rsidRPr="00F329D5">
        <w:t xml:space="preserve">we see situations such as the Fiona </w:t>
      </w:r>
      <w:r w:rsidR="001759F5" w:rsidRPr="00F329D5">
        <w:t>Pilkington</w:t>
      </w:r>
      <w:r w:rsidR="00A30D6F" w:rsidRPr="00F329D5">
        <w:t xml:space="preserve"> case which </w:t>
      </w:r>
      <w:r w:rsidR="001759F5" w:rsidRPr="00F329D5">
        <w:t>leads</w:t>
      </w:r>
      <w:r w:rsidR="00A30D6F" w:rsidRPr="00F329D5">
        <w:t xml:space="preserve"> to bigger problems </w:t>
      </w:r>
      <w:r w:rsidR="00320204" w:rsidRPr="00F329D5">
        <w:t xml:space="preserve">as it leads to the </w:t>
      </w:r>
      <w:r w:rsidR="001759F5" w:rsidRPr="00F329D5">
        <w:t>public's</w:t>
      </w:r>
      <w:r w:rsidR="00320204" w:rsidRPr="00F329D5">
        <w:t xml:space="preserve"> lack of trust towards the police </w:t>
      </w:r>
      <w:r w:rsidR="00D7572A" w:rsidRPr="00F329D5">
        <w:t>service.</w:t>
      </w:r>
    </w:p>
    <w:p w14:paraId="45E65BCE" w14:textId="77777777" w:rsidR="006107CF" w:rsidRPr="00F329D5" w:rsidRDefault="006107CF" w:rsidP="003D516C"/>
    <w:p w14:paraId="4E3FD6B6" w14:textId="77777777" w:rsidR="006107CF" w:rsidRPr="006107CF" w:rsidRDefault="006107CF" w:rsidP="003D516C">
      <w:pPr>
        <w:rPr>
          <w:highlight w:val="green"/>
        </w:rPr>
      </w:pPr>
    </w:p>
    <w:p w14:paraId="4470A0E3" w14:textId="77777777" w:rsidR="003D516C" w:rsidRDefault="003D516C" w:rsidP="00282FC4"/>
    <w:p w14:paraId="2ADBB0AC" w14:textId="77777777" w:rsidR="006665AB" w:rsidRDefault="006665AB" w:rsidP="00282FC4"/>
    <w:p w14:paraId="3B2BD7F9" w14:textId="09F2F683" w:rsidR="00DD0602" w:rsidRPr="00DD0602" w:rsidRDefault="00DD0602" w:rsidP="00DD0602">
      <w:r w:rsidRPr="00DD0602">
        <w:t xml:space="preserve"> </w:t>
      </w:r>
    </w:p>
    <w:p w14:paraId="7D20A7BF" w14:textId="77777777" w:rsidR="006638D6" w:rsidRPr="00681D36" w:rsidRDefault="006638D6" w:rsidP="001D481B"/>
    <w:p w14:paraId="2E68EB2F" w14:textId="3B2F259E" w:rsidR="000B0713" w:rsidRDefault="000B0713" w:rsidP="000B0713"/>
    <w:p w14:paraId="352C9AAF" w14:textId="0A13403F" w:rsidR="000B0713" w:rsidRPr="003C3466" w:rsidRDefault="000B0713" w:rsidP="004B372B"/>
    <w:p w14:paraId="35DB3319" w14:textId="0AC1B754" w:rsidR="00571CF1" w:rsidRDefault="00571CF1" w:rsidP="0093767A">
      <w:pPr>
        <w:pStyle w:val="NoSpacing"/>
      </w:pPr>
    </w:p>
    <w:p w14:paraId="1D01A4E2" w14:textId="77777777" w:rsidR="00F9256B" w:rsidRDefault="00F9256B" w:rsidP="0093767A">
      <w:pPr>
        <w:pStyle w:val="NoSpacing"/>
      </w:pPr>
    </w:p>
    <w:p w14:paraId="407DC792" w14:textId="77777777" w:rsidR="00F9256B" w:rsidRDefault="00F9256B" w:rsidP="0093767A">
      <w:pPr>
        <w:pStyle w:val="NoSpacing"/>
      </w:pPr>
    </w:p>
    <w:p w14:paraId="5B0F2A39" w14:textId="77777777" w:rsidR="00FC1951" w:rsidRPr="0089367D" w:rsidRDefault="00FC1951" w:rsidP="00FC1951">
      <w:pPr>
        <w:numPr>
          <w:ilvl w:val="0"/>
          <w:numId w:val="3"/>
        </w:numPr>
      </w:pPr>
      <w:r w:rsidRPr="0089367D">
        <w:t>Alpert, G. P. (2018). Community Policing, Public Safety, and Civil Liberties. In R. W. McQuade (Ed.), Comparative Criminal Justice (pp. 439-453). Routledge.</w:t>
      </w:r>
    </w:p>
    <w:p w14:paraId="47F3479D" w14:textId="77777777" w:rsidR="00FC1951" w:rsidRPr="0089367D" w:rsidRDefault="00FC1951" w:rsidP="00FC1951">
      <w:pPr>
        <w:ind w:left="720"/>
      </w:pPr>
    </w:p>
    <w:p w14:paraId="54AC83E0" w14:textId="0591DDB6" w:rsidR="00FC1951" w:rsidRPr="0089367D" w:rsidRDefault="00FC1951" w:rsidP="00FC1951">
      <w:pPr>
        <w:numPr>
          <w:ilvl w:val="0"/>
          <w:numId w:val="3"/>
        </w:numPr>
      </w:pPr>
      <w:r w:rsidRPr="0089367D">
        <w:t xml:space="preserve">Braga, A. A., </w:t>
      </w:r>
      <w:proofErr w:type="spellStart"/>
      <w:r w:rsidRPr="0089367D">
        <w:t>Papachristos</w:t>
      </w:r>
      <w:proofErr w:type="spellEnd"/>
      <w:r w:rsidRPr="0089367D">
        <w:t>, A. V., &amp; Hureau, D. M. (2014). The Effects of Hotspots Policing on Crime: An Updated Systematic Review and Meta-Analysis. Justice Quarterly, 31(4), 633-663.</w:t>
      </w:r>
    </w:p>
    <w:p w14:paraId="2000AAFE" w14:textId="77777777" w:rsidR="00FC1951" w:rsidRPr="0089367D" w:rsidRDefault="00FC1951" w:rsidP="00FC1951">
      <w:pPr>
        <w:ind w:left="720"/>
      </w:pPr>
    </w:p>
    <w:p w14:paraId="5D4186B4" w14:textId="77777777" w:rsidR="003B71DC" w:rsidRPr="0089367D" w:rsidRDefault="003B71DC" w:rsidP="003B71DC">
      <w:pPr>
        <w:pStyle w:val="ListParagraph"/>
      </w:pPr>
    </w:p>
    <w:p w14:paraId="35D993AA" w14:textId="77777777" w:rsidR="003B71DC" w:rsidRPr="0089367D" w:rsidRDefault="003B71DC" w:rsidP="003B71DC">
      <w:pPr>
        <w:numPr>
          <w:ilvl w:val="0"/>
          <w:numId w:val="3"/>
        </w:numPr>
        <w:pBdr>
          <w:top w:val="single" w:sz="2" w:space="0" w:color="D9D9E3"/>
          <w:left w:val="single" w:sz="2" w:space="5" w:color="D9D9E3"/>
          <w:bottom w:val="single" w:sz="2" w:space="0" w:color="D9D9E3"/>
          <w:right w:val="single" w:sz="2" w:space="0" w:color="D9D9E3"/>
        </w:pBdr>
        <w:rPr>
          <w:rFonts w:ascii="Segoe UI" w:eastAsia="Times New Roman" w:hAnsi="Segoe UI" w:cs="Segoe UI"/>
          <w:kern w:val="0"/>
          <w:sz w:val="21"/>
          <w:szCs w:val="21"/>
          <w:lang w:eastAsia="en-GB"/>
          <w14:ligatures w14:val="none"/>
        </w:rPr>
      </w:pPr>
      <w:r w:rsidRPr="0089367D">
        <w:rPr>
          <w:rFonts w:ascii="Segoe UI" w:eastAsia="Times New Roman" w:hAnsi="Segoe UI" w:cs="Segoe UI"/>
          <w:kern w:val="0"/>
          <w:sz w:val="21"/>
          <w:szCs w:val="21"/>
          <w:lang w:eastAsia="en-GB"/>
          <w14:ligatures w14:val="none"/>
        </w:rPr>
        <w:t>Brown, L. (2020). Community Policing and Crime Prevention: Strategies and Best Practices. Harvard University Press.</w:t>
      </w:r>
    </w:p>
    <w:p w14:paraId="07EF5E5B" w14:textId="77777777" w:rsidR="00B41E5C" w:rsidRPr="0089367D" w:rsidRDefault="00B41E5C" w:rsidP="00B41E5C">
      <w:pPr>
        <w:numPr>
          <w:ilvl w:val="0"/>
          <w:numId w:val="3"/>
        </w:numPr>
      </w:pPr>
      <w:r w:rsidRPr="0089367D">
        <w:t>Connelly, R., &amp; Tucker, A. (2017). Vulnerability and the Police: A Historical Analysis of Governance. Springer.</w:t>
      </w:r>
    </w:p>
    <w:p w14:paraId="432F043B" w14:textId="77777777" w:rsidR="0062141E" w:rsidRPr="0089367D" w:rsidRDefault="0062141E" w:rsidP="0062141E">
      <w:pPr>
        <w:numPr>
          <w:ilvl w:val="0"/>
          <w:numId w:val="3"/>
        </w:numPr>
      </w:pPr>
      <w:r w:rsidRPr="0089367D">
        <w:t>Eck, J. E., &amp; Spelman, W. (1987). Problem-Solving: Problem-Oriented Policing in Newport News. Police Foundation.</w:t>
      </w:r>
    </w:p>
    <w:p w14:paraId="62C961A4" w14:textId="1CD73D94" w:rsidR="003D5B0A" w:rsidRPr="0089367D" w:rsidRDefault="003D5B0A" w:rsidP="0062141E">
      <w:pPr>
        <w:numPr>
          <w:ilvl w:val="0"/>
          <w:numId w:val="3"/>
        </w:numPr>
      </w:pPr>
      <w:r w:rsidRPr="0089367D">
        <w:rPr>
          <w:rFonts w:ascii="Open Sans" w:hAnsi="Open Sans" w:cs="Open Sans"/>
          <w:color w:val="212121"/>
          <w:sz w:val="21"/>
          <w:szCs w:val="21"/>
          <w:shd w:val="clear" w:color="auto" w:fill="F2F2F2"/>
        </w:rPr>
        <w:t>Fiona Pilkington (Leicestershire) | Hampshire Safeguarding Adults Board [online], (no date-b).</w:t>
      </w:r>
      <w:r w:rsidRPr="0089367D">
        <w:rPr>
          <w:rStyle w:val="apple-converted-space"/>
          <w:rFonts w:ascii="Open Sans" w:hAnsi="Open Sans" w:cs="Open Sans"/>
          <w:color w:val="212121"/>
          <w:sz w:val="21"/>
          <w:szCs w:val="21"/>
          <w:shd w:val="clear" w:color="auto" w:fill="F2F2F2"/>
        </w:rPr>
        <w:t> </w:t>
      </w:r>
      <w:r w:rsidRPr="0089367D">
        <w:rPr>
          <w:rFonts w:ascii="Open Sans" w:hAnsi="Open Sans" w:cs="Open Sans"/>
          <w:i/>
          <w:iCs/>
          <w:color w:val="212121"/>
          <w:sz w:val="21"/>
          <w:szCs w:val="21"/>
        </w:rPr>
        <w:t>Hampshire Safeguarding Adults Board | Working together to safeguard adults at risk</w:t>
      </w:r>
      <w:r w:rsidRPr="0089367D">
        <w:rPr>
          <w:rFonts w:ascii="Open Sans" w:hAnsi="Open Sans" w:cs="Open Sans"/>
          <w:color w:val="212121"/>
          <w:sz w:val="21"/>
          <w:szCs w:val="21"/>
          <w:shd w:val="clear" w:color="auto" w:fill="F2F2F2"/>
        </w:rPr>
        <w:t xml:space="preserve">. [Viewed </w:t>
      </w:r>
      <w:r w:rsidR="000E1A22" w:rsidRPr="0089367D">
        <w:rPr>
          <w:rFonts w:ascii="Open Sans" w:hAnsi="Open Sans" w:cs="Open Sans"/>
          <w:color w:val="212121"/>
          <w:sz w:val="21"/>
          <w:szCs w:val="21"/>
          <w:shd w:val="clear" w:color="auto" w:fill="F2F2F2"/>
        </w:rPr>
        <w:t xml:space="preserve">03 November </w:t>
      </w:r>
      <w:r w:rsidRPr="0089367D">
        <w:rPr>
          <w:rFonts w:ascii="Open Sans" w:hAnsi="Open Sans" w:cs="Open Sans"/>
          <w:color w:val="212121"/>
          <w:sz w:val="21"/>
          <w:szCs w:val="21"/>
          <w:shd w:val="clear" w:color="auto" w:fill="F2F2F2"/>
        </w:rPr>
        <w:t>2023]. Available from:</w:t>
      </w:r>
      <w:r w:rsidRPr="0089367D">
        <w:rPr>
          <w:rStyle w:val="apple-converted-space"/>
          <w:rFonts w:ascii="Open Sans" w:hAnsi="Open Sans" w:cs="Open Sans"/>
          <w:color w:val="212121"/>
          <w:sz w:val="21"/>
          <w:szCs w:val="21"/>
          <w:shd w:val="clear" w:color="auto" w:fill="F2F2F2"/>
        </w:rPr>
        <w:t> </w:t>
      </w:r>
      <w:hyperlink r:id="rId7" w:tgtFrame="_blank" w:history="1">
        <w:r w:rsidRPr="0089367D">
          <w:rPr>
            <w:rStyle w:val="Hyperlink"/>
            <w:rFonts w:ascii="Open Sans" w:hAnsi="Open Sans" w:cs="Open Sans"/>
            <w:color w:val="1A57AA"/>
            <w:sz w:val="21"/>
            <w:szCs w:val="21"/>
            <w:u w:val="none"/>
          </w:rPr>
          <w:t>https://www.hampshiresab.org.uk/learning-from-experience-database/serious-case-reviews/fiona-pilkington-leicestershire/</w:t>
        </w:r>
      </w:hyperlink>
    </w:p>
    <w:p w14:paraId="15FB8487" w14:textId="4ACA6F08" w:rsidR="0062141E" w:rsidRPr="0089367D" w:rsidRDefault="00B40132" w:rsidP="00866A2F">
      <w:pPr>
        <w:numPr>
          <w:ilvl w:val="0"/>
          <w:numId w:val="3"/>
        </w:numPr>
      </w:pPr>
      <w:proofErr w:type="spellStart"/>
      <w:r w:rsidRPr="0089367D">
        <w:t>Gau</w:t>
      </w:r>
      <w:proofErr w:type="spellEnd"/>
      <w:r w:rsidRPr="0089367D">
        <w:t xml:space="preserve">, J. M., &amp; Pratt, T. C. (2010). Community Policing in America: Changing the Nature, Structure, and Function of the Police. Criminal Justice and </w:t>
      </w:r>
      <w:proofErr w:type="spellStart"/>
      <w:r w:rsidRPr="0089367D">
        <w:t>Behavior</w:t>
      </w:r>
      <w:proofErr w:type="spellEnd"/>
      <w:r w:rsidRPr="0089367D">
        <w:t>, 37(11), 1259-1278.</w:t>
      </w:r>
    </w:p>
    <w:p w14:paraId="23B3BCB0" w14:textId="6274A1F3" w:rsidR="00230EA8" w:rsidRPr="0089367D" w:rsidRDefault="00230EA8" w:rsidP="00866A2F">
      <w:pPr>
        <w:numPr>
          <w:ilvl w:val="0"/>
          <w:numId w:val="3"/>
        </w:numPr>
      </w:pPr>
      <w:r w:rsidRPr="0089367D">
        <w:t>Heap, V., 2021. Exploring the effects of long-term anti-social behaviour victimisation. </w:t>
      </w:r>
      <w:r w:rsidRPr="0089367D">
        <w:rPr>
          <w:i/>
          <w:iCs/>
        </w:rPr>
        <w:t>International Review of Victimology</w:t>
      </w:r>
      <w:r w:rsidRPr="0089367D">
        <w:t>, </w:t>
      </w:r>
      <w:r w:rsidRPr="0089367D">
        <w:rPr>
          <w:i/>
          <w:iCs/>
        </w:rPr>
        <w:t>27</w:t>
      </w:r>
      <w:r w:rsidRPr="0089367D">
        <w:t>(2), pp.227-242.</w:t>
      </w:r>
    </w:p>
    <w:p w14:paraId="58302831" w14:textId="77777777" w:rsidR="0062141E" w:rsidRPr="0089367D" w:rsidRDefault="0062141E" w:rsidP="0062141E"/>
    <w:p w14:paraId="7C11C6EF" w14:textId="77777777" w:rsidR="0062141E" w:rsidRPr="0089367D" w:rsidRDefault="0062141E" w:rsidP="0062141E">
      <w:pPr>
        <w:numPr>
          <w:ilvl w:val="0"/>
          <w:numId w:val="3"/>
        </w:numPr>
        <w:rPr>
          <w:rStyle w:val="Hyperlink"/>
          <w:color w:val="auto"/>
          <w:u w:val="none"/>
        </w:rPr>
      </w:pPr>
      <w:r w:rsidRPr="0089367D">
        <w:t xml:space="preserve">HMIC (Her Majesty's Inspectorate of Constabulary). (2011). HMIC Review of the Contact Management Arrangements of Leicestershire Police: Final Report. Retrieved from </w:t>
      </w:r>
      <w:hyperlink r:id="rId8" w:tgtFrame="_new" w:history="1">
        <w:r w:rsidRPr="0089367D">
          <w:rPr>
            <w:rStyle w:val="Hyperlink"/>
          </w:rPr>
          <w:t>https://www.justiceinspectorates.gov.uk/hmicfrs/publications/hmic-review-of-the-contact-management-arrangements-of-leicestershire-police/</w:t>
        </w:r>
      </w:hyperlink>
    </w:p>
    <w:p w14:paraId="1359799F" w14:textId="77777777" w:rsidR="00B40132" w:rsidRPr="0089367D" w:rsidRDefault="00B40132" w:rsidP="00B40132">
      <w:pPr>
        <w:ind w:left="720"/>
      </w:pPr>
    </w:p>
    <w:p w14:paraId="2E0A53E7" w14:textId="0CA2B8EA" w:rsidR="003B71DC" w:rsidRPr="0089367D" w:rsidRDefault="008C2FA9" w:rsidP="00FC1951">
      <w:pPr>
        <w:numPr>
          <w:ilvl w:val="0"/>
          <w:numId w:val="3"/>
        </w:numPr>
      </w:pPr>
      <w:r w:rsidRPr="0089367D">
        <w:t>Katz, C. M. (2020). Police Misconduct and Civil Rights. Routledge.</w:t>
      </w:r>
    </w:p>
    <w:p w14:paraId="5FD1083E" w14:textId="77777777" w:rsidR="008F0FD9" w:rsidRPr="0089367D" w:rsidRDefault="008F0FD9" w:rsidP="008F0FD9">
      <w:pPr>
        <w:numPr>
          <w:ilvl w:val="0"/>
          <w:numId w:val="3"/>
        </w:numPr>
      </w:pPr>
      <w:proofErr w:type="spellStart"/>
      <w:r w:rsidRPr="0089367D">
        <w:t>Lederach</w:t>
      </w:r>
      <w:proofErr w:type="spellEnd"/>
      <w:r w:rsidRPr="0089367D">
        <w:t>, J. P. (2017). The Moral Imagination: The Art and Soul of Building Peace. Oxford University Press.</w:t>
      </w:r>
    </w:p>
    <w:p w14:paraId="73436E55" w14:textId="77777777" w:rsidR="00F4042F" w:rsidRPr="0089367D" w:rsidRDefault="00F4042F" w:rsidP="00F4042F">
      <w:pPr>
        <w:numPr>
          <w:ilvl w:val="0"/>
          <w:numId w:val="3"/>
        </w:numPr>
      </w:pPr>
      <w:r w:rsidRPr="0089367D">
        <w:t>Miller, J. (2016). The limits of community policing. In S. M. Cox &amp; J. F. Eck (Eds.), The Oxford Handbook of Police and Policing (pp. 475-492). Oxford University Press.</w:t>
      </w:r>
    </w:p>
    <w:p w14:paraId="48FD48EF" w14:textId="779B7AFE" w:rsidR="007A2087" w:rsidRPr="0089367D" w:rsidRDefault="007A2087" w:rsidP="00F4042F">
      <w:pPr>
        <w:numPr>
          <w:ilvl w:val="0"/>
          <w:numId w:val="3"/>
        </w:numPr>
      </w:pPr>
      <w:r w:rsidRPr="0089367D">
        <w:t>Rogers, C. and Gravelle, J., 2012. UK policing and change: Reflections for policing worldwide. </w:t>
      </w:r>
      <w:r w:rsidRPr="0089367D">
        <w:rPr>
          <w:i/>
          <w:iCs/>
        </w:rPr>
        <w:t>Rev. Eur. Stud.</w:t>
      </w:r>
      <w:r w:rsidRPr="0089367D">
        <w:t>, </w:t>
      </w:r>
      <w:r w:rsidRPr="0089367D">
        <w:rPr>
          <w:i/>
          <w:iCs/>
        </w:rPr>
        <w:t>4</w:t>
      </w:r>
      <w:r w:rsidRPr="0089367D">
        <w:t>, p.42.</w:t>
      </w:r>
    </w:p>
    <w:p w14:paraId="7FC3959F" w14:textId="77777777" w:rsidR="00F4042F" w:rsidRPr="0089367D" w:rsidRDefault="00F4042F" w:rsidP="00F4042F">
      <w:pPr>
        <w:numPr>
          <w:ilvl w:val="0"/>
          <w:numId w:val="3"/>
        </w:numPr>
      </w:pPr>
      <w:r w:rsidRPr="0089367D">
        <w:t>Rosenbaum, D. P., Schuck, A. M., Costello, S. K., Stanek, E. J., &amp; Hawkins, D. F. (2015). Measuring Community-Oriented Policing: A Cross-City Assessment. Justice Quarterly, 32(3), 548-573.</w:t>
      </w:r>
    </w:p>
    <w:p w14:paraId="7C647B1D" w14:textId="728A72BA" w:rsidR="007A7C23" w:rsidRPr="0089367D" w:rsidRDefault="007A7C23" w:rsidP="00F4042F">
      <w:pPr>
        <w:numPr>
          <w:ilvl w:val="0"/>
          <w:numId w:val="3"/>
        </w:numPr>
      </w:pPr>
      <w:proofErr w:type="spellStart"/>
      <w:r w:rsidRPr="0089367D">
        <w:t>Skogan</w:t>
      </w:r>
      <w:proofErr w:type="spellEnd"/>
      <w:r w:rsidRPr="0089367D">
        <w:t>, W. G. (2006). "Asymmetry in the impact of encounters with police." Police Quarterly, 9(4), 399-420.</w:t>
      </w:r>
    </w:p>
    <w:p w14:paraId="2705973E" w14:textId="77777777" w:rsidR="00DE16C8" w:rsidRPr="0089367D" w:rsidRDefault="00DE16C8" w:rsidP="00DE16C8">
      <w:pPr>
        <w:numPr>
          <w:ilvl w:val="0"/>
          <w:numId w:val="3"/>
        </w:numPr>
        <w:pBdr>
          <w:top w:val="single" w:sz="2" w:space="0" w:color="D9D9E3"/>
          <w:left w:val="single" w:sz="2" w:space="5" w:color="D9D9E3"/>
          <w:bottom w:val="single" w:sz="2" w:space="0" w:color="D9D9E3"/>
          <w:right w:val="single" w:sz="2" w:space="0" w:color="D9D9E3"/>
        </w:pBdr>
        <w:rPr>
          <w:rFonts w:ascii="Segoe UI" w:eastAsia="Times New Roman" w:hAnsi="Segoe UI" w:cs="Segoe UI"/>
          <w:kern w:val="0"/>
          <w:sz w:val="21"/>
          <w:szCs w:val="21"/>
          <w:lang w:eastAsia="en-GB"/>
          <w14:ligatures w14:val="none"/>
        </w:rPr>
      </w:pPr>
      <w:r w:rsidRPr="0089367D">
        <w:rPr>
          <w:rFonts w:ascii="Segoe UI" w:eastAsia="Times New Roman" w:hAnsi="Segoe UI" w:cs="Segoe UI"/>
          <w:kern w:val="0"/>
          <w:sz w:val="21"/>
          <w:szCs w:val="21"/>
          <w:lang w:eastAsia="en-GB"/>
          <w14:ligatures w14:val="none"/>
        </w:rPr>
        <w:t>Smith, J. (2017). Policing and the Rule of Law. Harvard Law Review, 125(4), 1137-1160.</w:t>
      </w:r>
    </w:p>
    <w:p w14:paraId="1C87F6AC" w14:textId="77777777" w:rsidR="00DE16C8" w:rsidRPr="0089367D" w:rsidRDefault="00DE16C8" w:rsidP="00DE16C8">
      <w:pPr>
        <w:numPr>
          <w:ilvl w:val="0"/>
          <w:numId w:val="3"/>
        </w:numPr>
        <w:pBdr>
          <w:top w:val="single" w:sz="2" w:space="0" w:color="D9D9E3"/>
          <w:left w:val="single" w:sz="2" w:space="5" w:color="D9D9E3"/>
          <w:bottom w:val="single" w:sz="2" w:space="0" w:color="D9D9E3"/>
          <w:right w:val="single" w:sz="2" w:space="0" w:color="D9D9E3"/>
        </w:pBdr>
        <w:rPr>
          <w:rFonts w:ascii="Segoe UI" w:eastAsia="Times New Roman" w:hAnsi="Segoe UI" w:cs="Segoe UI"/>
          <w:kern w:val="0"/>
          <w:sz w:val="21"/>
          <w:szCs w:val="21"/>
          <w:lang w:eastAsia="en-GB"/>
          <w14:ligatures w14:val="none"/>
        </w:rPr>
      </w:pPr>
      <w:r w:rsidRPr="0089367D">
        <w:rPr>
          <w:rFonts w:ascii="Segoe UI" w:eastAsia="Times New Roman" w:hAnsi="Segoe UI" w:cs="Segoe UI"/>
          <w:kern w:val="0"/>
          <w:sz w:val="21"/>
          <w:szCs w:val="21"/>
          <w:lang w:eastAsia="en-GB"/>
          <w14:ligatures w14:val="none"/>
        </w:rPr>
        <w:t>Williams, A. (2019). Ethics in Policing: A Handbook for Police Officers. Harvard University Press.</w:t>
      </w:r>
    </w:p>
    <w:p w14:paraId="68CFEB58" w14:textId="77777777" w:rsidR="008C2FA9" w:rsidRPr="00681D36" w:rsidRDefault="008C2FA9" w:rsidP="00487601">
      <w:pPr>
        <w:ind w:left="643"/>
      </w:pPr>
    </w:p>
    <w:p w14:paraId="16539791" w14:textId="77777777" w:rsidR="00F9256B" w:rsidRDefault="00F9256B" w:rsidP="0093767A">
      <w:pPr>
        <w:pStyle w:val="NoSpacing"/>
      </w:pPr>
    </w:p>
    <w:p w14:paraId="7D9D0574" w14:textId="77777777" w:rsidR="00F9256B" w:rsidRDefault="00F9256B" w:rsidP="0093767A">
      <w:pPr>
        <w:pStyle w:val="NoSpacing"/>
      </w:pPr>
    </w:p>
    <w:p w14:paraId="3BAA4954" w14:textId="77777777" w:rsidR="00FC1951" w:rsidRDefault="00FC1951" w:rsidP="0093767A">
      <w:pPr>
        <w:pStyle w:val="NoSpacing"/>
      </w:pPr>
    </w:p>
    <w:p w14:paraId="403A651F" w14:textId="77777777" w:rsidR="00FC1951" w:rsidRDefault="00FC1951" w:rsidP="0093767A">
      <w:pPr>
        <w:pStyle w:val="NoSpacing"/>
      </w:pPr>
    </w:p>
    <w:p w14:paraId="6D5FD63F" w14:textId="77777777" w:rsidR="00FC1951" w:rsidRDefault="00FC1951" w:rsidP="0093767A">
      <w:pPr>
        <w:pStyle w:val="NoSpacing"/>
      </w:pPr>
    </w:p>
    <w:p w14:paraId="0FADD463" w14:textId="77777777" w:rsidR="00FC1951" w:rsidRDefault="00FC1951" w:rsidP="0093767A">
      <w:pPr>
        <w:pStyle w:val="NoSpacing"/>
      </w:pPr>
    </w:p>
    <w:p w14:paraId="3D706253" w14:textId="77777777" w:rsidR="00F9256B" w:rsidRDefault="00F9256B" w:rsidP="0093767A">
      <w:pPr>
        <w:pStyle w:val="NoSpacing"/>
      </w:pPr>
    </w:p>
    <w:p w14:paraId="04965E11" w14:textId="77777777" w:rsidR="00F9256B" w:rsidRDefault="00F9256B" w:rsidP="0093767A">
      <w:pPr>
        <w:pStyle w:val="NoSpacing"/>
      </w:pPr>
    </w:p>
    <w:p w14:paraId="58D13297" w14:textId="77777777" w:rsidR="00FC1951" w:rsidRDefault="00FC1951" w:rsidP="0093767A">
      <w:pPr>
        <w:pStyle w:val="NoSpacing"/>
      </w:pPr>
    </w:p>
    <w:p w14:paraId="365CBD54" w14:textId="77777777" w:rsidR="00FC1951" w:rsidRDefault="00FC1951" w:rsidP="0093767A">
      <w:pPr>
        <w:pStyle w:val="NoSpacing"/>
      </w:pPr>
    </w:p>
    <w:p w14:paraId="6403C1B6" w14:textId="77777777" w:rsidR="00FC1951" w:rsidRDefault="00FC1951" w:rsidP="0093767A">
      <w:pPr>
        <w:pStyle w:val="NoSpacing"/>
      </w:pPr>
    </w:p>
    <w:p w14:paraId="3AB13EF3" w14:textId="77777777" w:rsidR="00FC1951" w:rsidRDefault="00FC1951" w:rsidP="0093767A">
      <w:pPr>
        <w:pStyle w:val="NoSpacing"/>
      </w:pPr>
    </w:p>
    <w:p w14:paraId="6024ACAA" w14:textId="5BB4D528" w:rsidR="002A7267" w:rsidRDefault="002A7267" w:rsidP="008D59EC"/>
    <w:p w14:paraId="56C559F2" w14:textId="77777777" w:rsidR="00F4042F" w:rsidRDefault="00F4042F" w:rsidP="008D59EC"/>
    <w:p w14:paraId="612A54E6" w14:textId="77777777" w:rsidR="005D49BB" w:rsidRDefault="005D49BB" w:rsidP="00B0539E"/>
    <w:p w14:paraId="640BA203" w14:textId="77777777" w:rsidR="006D4F4A" w:rsidRDefault="006D4F4A" w:rsidP="00B0539E"/>
    <w:p w14:paraId="6A4B6728" w14:textId="77777777" w:rsidR="006D4F4A" w:rsidRDefault="006D4F4A" w:rsidP="00B0539E"/>
    <w:p w14:paraId="1F834CAF" w14:textId="77777777" w:rsidR="00C44017" w:rsidRDefault="00C44017" w:rsidP="00603A79">
      <w:pPr>
        <w:rPr>
          <w:sz w:val="28"/>
          <w:szCs w:val="28"/>
        </w:rPr>
      </w:pPr>
    </w:p>
    <w:p w14:paraId="2584507E" w14:textId="77777777" w:rsidR="00C44017" w:rsidRPr="00603A79" w:rsidRDefault="00C44017" w:rsidP="00603A79">
      <w:pPr>
        <w:rPr>
          <w:sz w:val="28"/>
          <w:szCs w:val="28"/>
        </w:rPr>
      </w:pPr>
    </w:p>
    <w:p w14:paraId="036AFD0A" w14:textId="77777777" w:rsidR="00560548" w:rsidRPr="00C9267B" w:rsidRDefault="00560548" w:rsidP="00E15E8E">
      <w:pPr>
        <w:rPr>
          <w:sz w:val="28"/>
          <w:szCs w:val="28"/>
        </w:rPr>
      </w:pPr>
    </w:p>
    <w:sectPr w:rsidR="00560548" w:rsidRPr="00C926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7C3F"/>
    <w:multiLevelType w:val="hybridMultilevel"/>
    <w:tmpl w:val="63505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84516"/>
    <w:multiLevelType w:val="multilevel"/>
    <w:tmpl w:val="4FD29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341FE"/>
    <w:multiLevelType w:val="multilevel"/>
    <w:tmpl w:val="BC0A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3F69E9"/>
    <w:multiLevelType w:val="multilevel"/>
    <w:tmpl w:val="DEAAB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8950AC"/>
    <w:multiLevelType w:val="multilevel"/>
    <w:tmpl w:val="2E0AA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C96BBB"/>
    <w:multiLevelType w:val="multilevel"/>
    <w:tmpl w:val="8D160074"/>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4C5C8C"/>
    <w:multiLevelType w:val="multilevel"/>
    <w:tmpl w:val="691E1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0990131">
    <w:abstractNumId w:val="0"/>
  </w:num>
  <w:num w:numId="2" w16cid:durableId="2079740633">
    <w:abstractNumId w:val="2"/>
  </w:num>
  <w:num w:numId="3" w16cid:durableId="1373266428">
    <w:abstractNumId w:val="6"/>
  </w:num>
  <w:num w:numId="4" w16cid:durableId="593249383">
    <w:abstractNumId w:val="4"/>
  </w:num>
  <w:num w:numId="5" w16cid:durableId="1678118256">
    <w:abstractNumId w:val="7"/>
  </w:num>
  <w:num w:numId="6" w16cid:durableId="1334799332">
    <w:abstractNumId w:val="1"/>
  </w:num>
  <w:num w:numId="7" w16cid:durableId="1415317793">
    <w:abstractNumId w:val="3"/>
  </w:num>
  <w:num w:numId="8" w16cid:durableId="1276909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0F9"/>
    <w:rsid w:val="00003CC0"/>
    <w:rsid w:val="0000597B"/>
    <w:rsid w:val="00067C2D"/>
    <w:rsid w:val="000860E3"/>
    <w:rsid w:val="0009082E"/>
    <w:rsid w:val="000964A6"/>
    <w:rsid w:val="000A7B79"/>
    <w:rsid w:val="000B0713"/>
    <w:rsid w:val="000D3A39"/>
    <w:rsid w:val="000E1A22"/>
    <w:rsid w:val="001025F1"/>
    <w:rsid w:val="001423A1"/>
    <w:rsid w:val="001759F5"/>
    <w:rsid w:val="001A2696"/>
    <w:rsid w:val="001D481B"/>
    <w:rsid w:val="00223D93"/>
    <w:rsid w:val="00230EA8"/>
    <w:rsid w:val="00245696"/>
    <w:rsid w:val="00282FC4"/>
    <w:rsid w:val="002A7267"/>
    <w:rsid w:val="002B6F7A"/>
    <w:rsid w:val="00320204"/>
    <w:rsid w:val="003366D0"/>
    <w:rsid w:val="00351CE0"/>
    <w:rsid w:val="003600F9"/>
    <w:rsid w:val="00362E37"/>
    <w:rsid w:val="003945B9"/>
    <w:rsid w:val="003A6031"/>
    <w:rsid w:val="003B5E09"/>
    <w:rsid w:val="003B71DC"/>
    <w:rsid w:val="003D516C"/>
    <w:rsid w:val="003D5B0A"/>
    <w:rsid w:val="0045444E"/>
    <w:rsid w:val="00487601"/>
    <w:rsid w:val="004945D7"/>
    <w:rsid w:val="004B372B"/>
    <w:rsid w:val="004D4029"/>
    <w:rsid w:val="004F4554"/>
    <w:rsid w:val="005251F2"/>
    <w:rsid w:val="005541F0"/>
    <w:rsid w:val="00560548"/>
    <w:rsid w:val="00564306"/>
    <w:rsid w:val="00571CF1"/>
    <w:rsid w:val="00586925"/>
    <w:rsid w:val="00595A1E"/>
    <w:rsid w:val="005D49BB"/>
    <w:rsid w:val="005D7069"/>
    <w:rsid w:val="00603A79"/>
    <w:rsid w:val="00604B2D"/>
    <w:rsid w:val="00607A70"/>
    <w:rsid w:val="006107CF"/>
    <w:rsid w:val="00613028"/>
    <w:rsid w:val="0062141E"/>
    <w:rsid w:val="006638D6"/>
    <w:rsid w:val="006665AB"/>
    <w:rsid w:val="00666868"/>
    <w:rsid w:val="006B1A49"/>
    <w:rsid w:val="006D38C0"/>
    <w:rsid w:val="006D4F4A"/>
    <w:rsid w:val="006F5CA5"/>
    <w:rsid w:val="00700D57"/>
    <w:rsid w:val="0074015E"/>
    <w:rsid w:val="00754323"/>
    <w:rsid w:val="0076454E"/>
    <w:rsid w:val="007922DB"/>
    <w:rsid w:val="007A2087"/>
    <w:rsid w:val="007A7C23"/>
    <w:rsid w:val="007C1CDD"/>
    <w:rsid w:val="007C5B44"/>
    <w:rsid w:val="008209AA"/>
    <w:rsid w:val="00832CCB"/>
    <w:rsid w:val="0083637A"/>
    <w:rsid w:val="0086007F"/>
    <w:rsid w:val="00864504"/>
    <w:rsid w:val="00866A2F"/>
    <w:rsid w:val="00873172"/>
    <w:rsid w:val="008744E1"/>
    <w:rsid w:val="008808DC"/>
    <w:rsid w:val="008910E7"/>
    <w:rsid w:val="0089367D"/>
    <w:rsid w:val="008B0979"/>
    <w:rsid w:val="008C2FA9"/>
    <w:rsid w:val="008D59EC"/>
    <w:rsid w:val="008F0FD9"/>
    <w:rsid w:val="0093767A"/>
    <w:rsid w:val="009572E5"/>
    <w:rsid w:val="009573DE"/>
    <w:rsid w:val="0096693A"/>
    <w:rsid w:val="00985864"/>
    <w:rsid w:val="00990126"/>
    <w:rsid w:val="00995E05"/>
    <w:rsid w:val="009F1914"/>
    <w:rsid w:val="00A30D6F"/>
    <w:rsid w:val="00A53289"/>
    <w:rsid w:val="00A56988"/>
    <w:rsid w:val="00A56EE7"/>
    <w:rsid w:val="00A967FA"/>
    <w:rsid w:val="00AC552E"/>
    <w:rsid w:val="00AF5AF7"/>
    <w:rsid w:val="00B0539E"/>
    <w:rsid w:val="00B06D7E"/>
    <w:rsid w:val="00B07869"/>
    <w:rsid w:val="00B30BCA"/>
    <w:rsid w:val="00B40132"/>
    <w:rsid w:val="00B41E5C"/>
    <w:rsid w:val="00B87A35"/>
    <w:rsid w:val="00BC1AFB"/>
    <w:rsid w:val="00BD2FC3"/>
    <w:rsid w:val="00C127BE"/>
    <w:rsid w:val="00C12A62"/>
    <w:rsid w:val="00C255D4"/>
    <w:rsid w:val="00C43228"/>
    <w:rsid w:val="00C44017"/>
    <w:rsid w:val="00C449E4"/>
    <w:rsid w:val="00C81C4E"/>
    <w:rsid w:val="00C82E11"/>
    <w:rsid w:val="00C9267B"/>
    <w:rsid w:val="00CD21C1"/>
    <w:rsid w:val="00CE4573"/>
    <w:rsid w:val="00CF685B"/>
    <w:rsid w:val="00D0143F"/>
    <w:rsid w:val="00D162D4"/>
    <w:rsid w:val="00D51888"/>
    <w:rsid w:val="00D7572A"/>
    <w:rsid w:val="00D927C8"/>
    <w:rsid w:val="00D93C1E"/>
    <w:rsid w:val="00DA5571"/>
    <w:rsid w:val="00DB3253"/>
    <w:rsid w:val="00DB512C"/>
    <w:rsid w:val="00DD0602"/>
    <w:rsid w:val="00DD4606"/>
    <w:rsid w:val="00DD5DC1"/>
    <w:rsid w:val="00DE16C8"/>
    <w:rsid w:val="00E15E8E"/>
    <w:rsid w:val="00E4112E"/>
    <w:rsid w:val="00E8506D"/>
    <w:rsid w:val="00EA7EAA"/>
    <w:rsid w:val="00ED43DC"/>
    <w:rsid w:val="00EF2659"/>
    <w:rsid w:val="00F04C21"/>
    <w:rsid w:val="00F119D8"/>
    <w:rsid w:val="00F3144C"/>
    <w:rsid w:val="00F329D5"/>
    <w:rsid w:val="00F36A0E"/>
    <w:rsid w:val="00F4042F"/>
    <w:rsid w:val="00F9256B"/>
    <w:rsid w:val="00F96B87"/>
    <w:rsid w:val="00FA1609"/>
    <w:rsid w:val="00FB06BB"/>
    <w:rsid w:val="00FB74A6"/>
    <w:rsid w:val="00FC1951"/>
    <w:rsid w:val="00FC74D5"/>
    <w:rsid w:val="00FF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98BB79"/>
  <w15:chartTrackingRefBased/>
  <w15:docId w15:val="{2A5A51FB-B839-E944-B1C7-02F39829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E4573"/>
    <w:pPr>
      <w:ind w:left="720"/>
      <w:contextualSpacing/>
    </w:pPr>
    <w:rPr>
      <w:rFonts w:ascii="Times New Roman" w:eastAsia="Times New Roman" w:hAnsi="Times New Roman" w:cs="Times New Roman"/>
      <w:kern w:val="0"/>
      <w:sz w:val="20"/>
      <w:szCs w:val="20"/>
      <w:lang w:eastAsia="en-GB"/>
      <w14:ligatures w14:val="none"/>
    </w:rPr>
  </w:style>
  <w:style w:type="paragraph" w:styleId="NoSpacing">
    <w:name w:val="No Spacing"/>
    <w:uiPriority w:val="1"/>
    <w:qFormat/>
    <w:rsid w:val="0093767A"/>
  </w:style>
  <w:style w:type="character" w:styleId="Hyperlink">
    <w:name w:val="Hyperlink"/>
    <w:basedOn w:val="DefaultParagraphFont"/>
    <w:uiPriority w:val="99"/>
    <w:unhideWhenUsed/>
    <w:rsid w:val="0000597B"/>
    <w:rPr>
      <w:color w:val="0563C1" w:themeColor="hyperlink"/>
      <w:u w:val="single"/>
    </w:rPr>
  </w:style>
  <w:style w:type="character" w:customStyle="1" w:styleId="apple-converted-space">
    <w:name w:val="apple-converted-space"/>
    <w:basedOn w:val="DefaultParagraphFont"/>
    <w:rsid w:val="003D5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331933">
      <w:bodyDiv w:val="1"/>
      <w:marLeft w:val="0"/>
      <w:marRight w:val="0"/>
      <w:marTop w:val="0"/>
      <w:marBottom w:val="0"/>
      <w:divBdr>
        <w:top w:val="none" w:sz="0" w:space="0" w:color="auto"/>
        <w:left w:val="none" w:sz="0" w:space="0" w:color="auto"/>
        <w:bottom w:val="none" w:sz="0" w:space="0" w:color="auto"/>
        <w:right w:val="none" w:sz="0" w:space="0" w:color="auto"/>
      </w:divBdr>
    </w:div>
    <w:div w:id="1874684655">
      <w:bodyDiv w:val="1"/>
      <w:marLeft w:val="0"/>
      <w:marRight w:val="0"/>
      <w:marTop w:val="0"/>
      <w:marBottom w:val="0"/>
      <w:divBdr>
        <w:top w:val="none" w:sz="0" w:space="0" w:color="auto"/>
        <w:left w:val="none" w:sz="0" w:space="0" w:color="auto"/>
        <w:bottom w:val="none" w:sz="0" w:space="0" w:color="auto"/>
        <w:right w:val="none" w:sz="0" w:space="0" w:color="auto"/>
      </w:divBdr>
    </w:div>
    <w:div w:id="189800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publications/hmic-review-of-the-contact-management-arrangements-of-leicestershire-police/" TargetMode="External"/><Relationship Id="rId3" Type="http://schemas.openxmlformats.org/officeDocument/2006/relationships/styles" Target="styles.xml"/><Relationship Id="rId7" Type="http://schemas.openxmlformats.org/officeDocument/2006/relationships/hyperlink" Target="https://www.hampshiresab.org.uk/learning-from-experience-database/serious-case-reviews/fiona-pilkington-leicestershi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Reb20</b:Tag>
    <b:SourceType>InternetSite</b:SourceType>
    <b:Guid>{B0548800-4684-2046-A0D2-362BC7AB946F}</b:Guid>
    <b:Title>ASB help </b:Title>
    <b:Year>2020</b:Year>
    <b:Author>
      <b:Author>
        <b:NameList>
          <b:Person>
            <b:Last>Brown</b:Last>
            <b:First>Rebecca</b:First>
            <b:Middle>H</b:Middle>
          </b:Person>
        </b:NameList>
      </b:Author>
    </b:Author>
    <b:URL>https://asbhelp.co.uk/a-pilkington-malaise-have-we-really-learnt-the-lessons-for-2020/</b:URL>
    <b:YearAccessed>2023</b:YearAccessed>
    <b:MonthAccessed>10</b:MonthAccessed>
    <b:DayAccessed>20</b:DayAccessed>
    <b:RefOrder>1</b:RefOrder>
  </b:Source>
</b:Sources>
</file>

<file path=customXml/itemProps1.xml><?xml version="1.0" encoding="utf-8"?>
<ds:datastoreItem xmlns:ds="http://schemas.openxmlformats.org/officeDocument/2006/customXml" ds:itemID="{C46527AF-7913-6643-B126-CFFEC398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3231</Words>
  <Characters>18418</Characters>
  <Application>Microsoft Office Word</Application>
  <DocSecurity>0</DocSecurity>
  <Lines>153</Lines>
  <Paragraphs>43</Paragraphs>
  <ScaleCrop>false</ScaleCrop>
  <Company/>
  <LinksUpToDate>false</LinksUpToDate>
  <CharactersWithSpaces>21606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148</cp:revision>
  <dcterms:created xsi:type="dcterms:W3CDTF">2023-10-03T10:12:00Z</dcterms:created>
  <dcterms:modified xsi:type="dcterms:W3CDTF">2023-11-10T12:10:00Z</dcterms:modified>
</cp:coreProperties>
</file>