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media/image1.jpeg" ContentType="image/jpeg"/>
  <Override PartName="/word/header1.xml" ContentType="application/vnd.openxmlformats-officedocument.wordprocessingml.header+xml"/>
  <Override PartName="/word/footer1.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spacing w:before="120" w:after="120" w:line="360" w:lineRule="auto"/>
        <w:jc w:val="both"/>
        <w:rPr>
          <w:rFonts w:ascii="Times New Roman" w:cs="Times New Roman" w:hAnsi="Times New Roman" w:eastAsia="Times New Roman"/>
          <w:b w:val="1"/>
          <w:bCs w:val="1"/>
          <w:sz w:val="24"/>
          <w:szCs w:val="24"/>
        </w:rPr>
      </w:pPr>
    </w:p>
    <w:p>
      <w:pPr>
        <w:pStyle w:val="Body"/>
        <w:spacing w:line="360" w:lineRule="auto"/>
        <w:rPr>
          <w:rFonts w:ascii="Times New Roman" w:cs="Times New Roman" w:hAnsi="Times New Roman" w:eastAsia="Times New Roman"/>
          <w:b w:val="1"/>
          <w:bCs w:val="1"/>
          <w:sz w:val="32"/>
          <w:szCs w:val="32"/>
        </w:rPr>
      </w:pPr>
      <w:r>
        <w:rPr>
          <w:rFonts w:ascii="Times New Roman" w:hAnsi="Times New Roman"/>
          <w:b w:val="1"/>
          <w:bCs w:val="1"/>
          <w:sz w:val="32"/>
          <w:szCs w:val="32"/>
          <w:rtl w:val="0"/>
          <w:lang w:val="en-US"/>
        </w:rPr>
        <w:t xml:space="preserve">      Questions and Guidelines for Assessment Component 1</w:t>
      </w:r>
    </w:p>
    <w:p>
      <w:pPr>
        <w:pStyle w:val="Body"/>
        <w:spacing w:line="360" w:lineRule="auto"/>
        <w:rPr>
          <w:rFonts w:ascii="Times New Roman" w:cs="Times New Roman" w:hAnsi="Times New Roman" w:eastAsia="Times New Roman"/>
        </w:rPr>
      </w:pPr>
      <w:r>
        <w:rPr>
          <w:rFonts w:ascii="Times New Roman" w:cs="Times New Roman" w:hAnsi="Times New Roman" w:eastAsia="Times New Roman"/>
        </w:rPr>
        <w:drawing xmlns:a="http://schemas.openxmlformats.org/drawingml/2006/main">
          <wp:inline distT="0" distB="0" distL="0" distR="0">
            <wp:extent cx="3345180" cy="1343661"/>
            <wp:effectExtent l="0" t="0" r="0" b="0"/>
            <wp:docPr id="1073741825" name="officeArt object" descr="UWTSD logo | Discover Dylan Thomas"/>
            <wp:cNvGraphicFramePr/>
            <a:graphic xmlns:a="http://schemas.openxmlformats.org/drawingml/2006/main">
              <a:graphicData uri="http://schemas.openxmlformats.org/drawingml/2006/picture">
                <pic:pic xmlns:pic="http://schemas.openxmlformats.org/drawingml/2006/picture">
                  <pic:nvPicPr>
                    <pic:cNvPr id="1073741825" name="UWTSD logo | Discover Dylan Thomas" descr="UWTSD logo | Discover Dylan Thomas"/>
                    <pic:cNvPicPr>
                      <a:picLocks noChangeAspect="1"/>
                    </pic:cNvPicPr>
                  </pic:nvPicPr>
                  <pic:blipFill>
                    <a:blip r:embed="rId4">
                      <a:extLst/>
                    </a:blip>
                    <a:stretch>
                      <a:fillRect/>
                    </a:stretch>
                  </pic:blipFill>
                  <pic:spPr>
                    <a:xfrm>
                      <a:off x="0" y="0"/>
                      <a:ext cx="3345180" cy="1343661"/>
                    </a:xfrm>
                    <a:prstGeom prst="rect">
                      <a:avLst/>
                    </a:prstGeom>
                    <a:ln w="12700" cap="flat">
                      <a:noFill/>
                      <a:miter lim="400000"/>
                    </a:ln>
                    <a:effectLst/>
                  </pic:spPr>
                </pic:pic>
              </a:graphicData>
            </a:graphic>
          </wp:inline>
        </w:drawing>
      </w:r>
    </w:p>
    <w:p>
      <w:pPr>
        <w:pStyle w:val="Body"/>
        <w:spacing w:line="360" w:lineRule="auto"/>
        <w:rPr>
          <w:rFonts w:ascii="Times New Roman" w:cs="Times New Roman" w:hAnsi="Times New Roman" w:eastAsia="Times New Roman"/>
          <w:b w:val="1"/>
          <w:bCs w:val="1"/>
        </w:rPr>
      </w:pPr>
    </w:p>
    <w:p>
      <w:pPr>
        <w:pStyle w:val="Body"/>
        <w:spacing w:line="360" w:lineRule="auto"/>
        <w:rPr>
          <w:rFonts w:ascii="Times New Roman" w:cs="Times New Roman" w:hAnsi="Times New Roman" w:eastAsia="Times New Roman"/>
          <w:b w:val="1"/>
          <w:bCs w:val="1"/>
          <w:sz w:val="36"/>
          <w:szCs w:val="36"/>
        </w:rPr>
      </w:pPr>
    </w:p>
    <w:p>
      <w:pPr>
        <w:pStyle w:val="Body"/>
        <w:spacing w:line="360" w:lineRule="auto"/>
        <w:jc w:val="center"/>
        <w:rPr>
          <w:rFonts w:ascii="Times New Roman" w:cs="Times New Roman" w:hAnsi="Times New Roman" w:eastAsia="Times New Roman"/>
          <w:b w:val="1"/>
          <w:bCs w:val="1"/>
          <w:sz w:val="36"/>
          <w:szCs w:val="36"/>
        </w:rPr>
      </w:pPr>
      <w:r>
        <w:rPr>
          <w:rFonts w:ascii="Times New Roman" w:hAnsi="Times New Roman"/>
          <w:b w:val="1"/>
          <w:bCs w:val="1"/>
          <w:sz w:val="36"/>
          <w:szCs w:val="36"/>
          <w:shd w:val="clear" w:color="auto" w:fill="ffffff"/>
          <w:rtl w:val="0"/>
          <w:lang w:val="en-US"/>
        </w:rPr>
        <w:t>Changemakers: Creativity and Value Creation</w:t>
      </w:r>
    </w:p>
    <w:p>
      <w:pPr>
        <w:pStyle w:val="Body"/>
        <w:spacing w:line="360" w:lineRule="auto"/>
        <w:jc w:val="center"/>
        <w:rPr>
          <w:rFonts w:ascii="Times New Roman" w:cs="Times New Roman" w:hAnsi="Times New Roman" w:eastAsia="Times New Roman"/>
          <w:b w:val="1"/>
          <w:bCs w:val="1"/>
          <w:sz w:val="36"/>
          <w:szCs w:val="36"/>
        </w:rPr>
      </w:pPr>
      <w:r>
        <w:rPr>
          <w:rFonts w:ascii="Times New Roman" w:hAnsi="Times New Roman"/>
          <w:b w:val="1"/>
          <w:bCs w:val="1"/>
          <w:sz w:val="36"/>
          <w:szCs w:val="36"/>
          <w:rtl w:val="0"/>
          <w:lang w:val="en-US"/>
        </w:rPr>
        <w:t>Professions (BMHP5014)</w:t>
      </w:r>
    </w:p>
    <w:p>
      <w:pPr>
        <w:pStyle w:val="Body"/>
        <w:spacing w:line="360" w:lineRule="auto"/>
        <w:jc w:val="center"/>
        <w:rPr>
          <w:rFonts w:ascii="Times New Roman" w:cs="Times New Roman" w:hAnsi="Times New Roman" w:eastAsia="Times New Roman"/>
          <w:b w:val="1"/>
          <w:bCs w:val="1"/>
          <w:sz w:val="36"/>
          <w:szCs w:val="36"/>
        </w:rPr>
      </w:pPr>
    </w:p>
    <w:p>
      <w:pPr>
        <w:pStyle w:val="Body"/>
        <w:spacing w:line="360" w:lineRule="auto"/>
        <w:jc w:val="center"/>
        <w:rPr>
          <w:rFonts w:ascii="Times New Roman" w:cs="Times New Roman" w:hAnsi="Times New Roman" w:eastAsia="Times New Roman"/>
          <w:b w:val="1"/>
          <w:bCs w:val="1"/>
          <w:sz w:val="36"/>
          <w:szCs w:val="36"/>
        </w:rPr>
      </w:pPr>
    </w:p>
    <w:p>
      <w:pPr>
        <w:pStyle w:val="Body"/>
        <w:spacing w:line="360" w:lineRule="auto"/>
        <w:rPr>
          <w:rFonts w:ascii="Times New Roman" w:cs="Times New Roman" w:hAnsi="Times New Roman" w:eastAsia="Times New Roman"/>
          <w:sz w:val="32"/>
          <w:szCs w:val="32"/>
        </w:rPr>
      </w:pPr>
      <w:r>
        <w:rPr>
          <w:rFonts w:ascii="Times New Roman" w:hAnsi="Times New Roman"/>
          <w:b w:val="1"/>
          <w:bCs w:val="1"/>
          <w:sz w:val="32"/>
          <w:szCs w:val="32"/>
          <w:rtl w:val="0"/>
          <w:lang w:val="fr-FR"/>
        </w:rPr>
        <w:t>Component 1:</w:t>
      </w:r>
      <w:r>
        <w:rPr>
          <w:rFonts w:ascii="Times New Roman" w:hAnsi="Times New Roman"/>
          <w:rtl w:val="0"/>
        </w:rPr>
        <w:t xml:space="preserve"> </w:t>
      </w:r>
      <w:r>
        <w:rPr>
          <w:rFonts w:ascii="Times New Roman" w:hAnsi="Times New Roman"/>
          <w:b w:val="1"/>
          <w:bCs w:val="1"/>
          <w:sz w:val="32"/>
          <w:szCs w:val="32"/>
          <w:rtl w:val="0"/>
          <w:lang w:val="en-US"/>
        </w:rPr>
        <w:t>Online portfolio of set exercises</w:t>
      </w:r>
    </w:p>
    <w:p>
      <w:pPr>
        <w:pStyle w:val="Body"/>
        <w:spacing w:line="360" w:lineRule="auto"/>
        <w:rPr>
          <w:rFonts w:ascii="Times New Roman" w:cs="Times New Roman" w:hAnsi="Times New Roman" w:eastAsia="Times New Roman"/>
          <w:b w:val="1"/>
          <w:bCs w:val="1"/>
          <w:sz w:val="32"/>
          <w:szCs w:val="32"/>
        </w:rPr>
      </w:pPr>
    </w:p>
    <w:p>
      <w:pPr>
        <w:pStyle w:val="Body"/>
        <w:spacing w:line="360" w:lineRule="auto"/>
        <w:rPr>
          <w:rFonts w:ascii="Times New Roman" w:cs="Times New Roman" w:hAnsi="Times New Roman" w:eastAsia="Times New Roman"/>
          <w:b w:val="1"/>
          <w:bCs w:val="1"/>
          <w:sz w:val="32"/>
          <w:szCs w:val="32"/>
        </w:rPr>
      </w:pPr>
      <w:r>
        <w:rPr>
          <w:rFonts w:ascii="Times New Roman" w:hAnsi="Times New Roman"/>
          <w:b w:val="1"/>
          <w:bCs w:val="1"/>
          <w:sz w:val="32"/>
          <w:szCs w:val="32"/>
          <w:rtl w:val="0"/>
          <w:lang w:val="en-US"/>
        </w:rPr>
        <w:t>Student name:</w:t>
      </w:r>
      <w:r>
        <w:rPr>
          <w:rFonts w:ascii="Times New Roman" w:hAnsi="Times New Roman"/>
          <w:b w:val="1"/>
          <w:bCs w:val="1"/>
          <w:sz w:val="32"/>
          <w:szCs w:val="32"/>
          <w:rtl w:val="0"/>
          <w:lang w:val="en-US"/>
        </w:rPr>
        <w:t>Iasmina Ra</w:t>
      </w:r>
      <w:r>
        <w:rPr>
          <w:rFonts w:ascii="Times New Roman" w:hAnsi="Times New Roman" w:hint="default"/>
          <w:b w:val="1"/>
          <w:bCs w:val="1"/>
          <w:sz w:val="32"/>
          <w:szCs w:val="32"/>
          <w:rtl w:val="0"/>
          <w:lang w:val="en-US"/>
        </w:rPr>
        <w:t>ț</w:t>
      </w:r>
      <w:r>
        <w:rPr>
          <w:rFonts w:ascii="Times New Roman" w:hAnsi="Times New Roman"/>
          <w:b w:val="1"/>
          <w:bCs w:val="1"/>
          <w:sz w:val="32"/>
          <w:szCs w:val="32"/>
          <w:rtl w:val="0"/>
          <w:lang w:val="en-US"/>
        </w:rPr>
        <w:t>iu</w:t>
      </w:r>
    </w:p>
    <w:p>
      <w:pPr>
        <w:pStyle w:val="Body"/>
        <w:spacing w:line="360" w:lineRule="auto"/>
        <w:rPr>
          <w:rFonts w:ascii="Times New Roman" w:cs="Times New Roman" w:hAnsi="Times New Roman" w:eastAsia="Times New Roman"/>
          <w:b w:val="1"/>
          <w:bCs w:val="1"/>
          <w:sz w:val="32"/>
          <w:szCs w:val="32"/>
        </w:rPr>
      </w:pPr>
      <w:r>
        <w:rPr>
          <w:rFonts w:ascii="Times New Roman" w:hAnsi="Times New Roman"/>
          <w:b w:val="1"/>
          <w:bCs w:val="1"/>
          <w:sz w:val="32"/>
          <w:szCs w:val="32"/>
          <w:rtl w:val="0"/>
          <w:lang w:val="en-US"/>
        </w:rPr>
        <w:t>Student number:</w:t>
      </w:r>
      <w:r>
        <w:rPr>
          <w:rFonts w:ascii="Times New Roman" w:hAnsi="Times New Roman"/>
          <w:b w:val="1"/>
          <w:bCs w:val="1"/>
          <w:sz w:val="32"/>
          <w:szCs w:val="32"/>
          <w:rtl w:val="0"/>
          <w:lang w:val="en-US"/>
        </w:rPr>
        <w:t>2414787</w:t>
      </w:r>
    </w:p>
    <w:p>
      <w:pPr>
        <w:pStyle w:val="Body"/>
        <w:spacing w:line="360" w:lineRule="auto"/>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b w:val="1"/>
          <w:bCs w:val="1"/>
          <w:sz w:val="32"/>
          <w:szCs w:val="32"/>
          <w:rtl w:val="0"/>
          <w:lang w:val="fr-FR"/>
        </w:rPr>
        <w:t>Lecturer</w:t>
      </w:r>
      <w:r>
        <w:rPr>
          <w:rFonts w:ascii="Times New Roman" w:hAnsi="Times New Roman" w:hint="default"/>
          <w:b w:val="1"/>
          <w:bCs w:val="1"/>
          <w:sz w:val="32"/>
          <w:szCs w:val="32"/>
          <w:rtl w:val="0"/>
          <w:lang w:val="en-US"/>
        </w:rPr>
        <w:t>’</w:t>
      </w:r>
      <w:r>
        <w:rPr>
          <w:rFonts w:ascii="Times New Roman" w:hAnsi="Times New Roman"/>
          <w:b w:val="1"/>
          <w:bCs w:val="1"/>
          <w:sz w:val="32"/>
          <w:szCs w:val="32"/>
          <w:rtl w:val="0"/>
          <w:lang w:val="en-US"/>
        </w:rPr>
        <w:t>s name:</w:t>
      </w:r>
      <w:r>
        <w:rPr>
          <w:rFonts w:ascii="Times New Roman" w:hAnsi="Times New Roman"/>
          <w:b w:val="1"/>
          <w:bCs w:val="1"/>
          <w:sz w:val="32"/>
          <w:szCs w:val="32"/>
          <w:rtl w:val="0"/>
          <w:lang w:val="en-US"/>
        </w:rPr>
        <w:t>Carolina Salami</w:t>
      </w:r>
    </w:p>
    <w:p>
      <w:pPr>
        <w:pStyle w:val="Body"/>
        <w:spacing w:before="120" w:after="120" w:line="360" w:lineRule="auto"/>
        <w:rPr>
          <w:rFonts w:ascii="Times New Roman" w:cs="Times New Roman" w:hAnsi="Times New Roman" w:eastAsia="Times New Roman"/>
          <w:sz w:val="24"/>
          <w:szCs w:val="24"/>
        </w:rPr>
      </w:pPr>
    </w:p>
    <w:p>
      <w:pPr>
        <w:pStyle w:val="Body"/>
        <w:spacing w:before="120" w:after="120" w:line="360" w:lineRule="auto"/>
        <w:jc w:val="both"/>
        <w:rPr>
          <w:rFonts w:ascii="Times New Roman" w:cs="Times New Roman" w:hAnsi="Times New Roman" w:eastAsia="Times New Roman"/>
          <w:b w:val="1"/>
          <w:bCs w:val="1"/>
          <w:sz w:val="24"/>
          <w:szCs w:val="24"/>
        </w:rPr>
      </w:pPr>
    </w:p>
    <w:p>
      <w:pPr>
        <w:pStyle w:val="Body"/>
        <w:spacing w:before="120" w:after="120" w:line="360" w:lineRule="auto"/>
        <w:jc w:val="both"/>
        <w:rPr>
          <w:rFonts w:ascii="Times New Roman" w:cs="Times New Roman" w:hAnsi="Times New Roman" w:eastAsia="Times New Roman"/>
          <w:b w:val="1"/>
          <w:bCs w:val="1"/>
          <w:sz w:val="24"/>
          <w:szCs w:val="24"/>
        </w:rPr>
      </w:pPr>
    </w:p>
    <w:p>
      <w:pPr>
        <w:pStyle w:val="Body"/>
        <w:spacing w:before="120" w:after="120" w:line="360" w:lineRule="auto"/>
        <w:jc w:val="both"/>
        <w:rPr>
          <w:rFonts w:ascii="Times New Roman" w:cs="Times New Roman" w:hAnsi="Times New Roman" w:eastAsia="Times New Roman"/>
          <w:b w:val="1"/>
          <w:bCs w:val="1"/>
          <w:sz w:val="24"/>
          <w:szCs w:val="24"/>
        </w:rPr>
      </w:pPr>
    </w:p>
    <w:p>
      <w:pPr>
        <w:pStyle w:val="Heading"/>
        <w:tabs>
          <w:tab w:val="left" w:pos="720"/>
        </w:tabs>
        <w:spacing w:before="120" w:after="120" w:line="360" w:lineRule="auto"/>
        <w:ind w:left="432" w:hanging="432"/>
        <w:jc w:val="both"/>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r>
        <w:rPr>
          <w:rFonts w:ascii="Times New Roman" w:hAnsi="Times New Roman"/>
          <w:b w:val="1"/>
          <w:bCs w:val="1"/>
          <w:outline w:val="0"/>
          <w:color w:val="000000"/>
          <w:sz w:val="24"/>
          <w:szCs w:val="24"/>
          <w:u w:color="000000"/>
          <w:rtl w:val="0"/>
          <w:lang w:val="fr-FR"/>
          <w14:textFill>
            <w14:solidFill>
              <w14:srgbClr w14:val="000000"/>
            </w14:solidFill>
          </w14:textFill>
        </w:rPr>
        <w:t>Introduction</w:t>
      </w:r>
    </w:p>
    <w:p>
      <w:pPr>
        <w:pStyle w:val="Body"/>
        <w:spacing w:before="120" w:after="120"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This portfolio includes innovation, creativity, value creation, and change, all of which are increasingly being regarded as important capabilities in the health and social care professional operating in a complex and changing system. It focuses on six activities that are conceptual exploration of key terms, mind map of a real-world health problem, personal reflection of a group learning experience, and critical application of module themes to practice. </w:t>
      </w:r>
    </w:p>
    <w:p>
      <w:pPr>
        <w:pStyle w:val="Heading"/>
        <w:tabs>
          <w:tab w:val="left" w:pos="720"/>
        </w:tabs>
        <w:ind w:left="432" w:hanging="432"/>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r>
        <w:rPr>
          <w:rFonts w:ascii="Times New Roman" w:hAnsi="Times New Roman"/>
          <w:b w:val="1"/>
          <w:bCs w:val="1"/>
          <w:outline w:val="0"/>
          <w:color w:val="000000"/>
          <w:sz w:val="24"/>
          <w:szCs w:val="24"/>
          <w:u w:color="000000"/>
          <w:rtl w:val="0"/>
          <w:lang w:val="en-US"/>
          <w14:textFill>
            <w14:solidFill>
              <w14:srgbClr w14:val="000000"/>
            </w14:solidFill>
          </w14:textFill>
        </w:rPr>
        <w:t>Task 1: Defining Key Concepts in Practice</w:t>
      </w:r>
    </w:p>
    <w:p>
      <w:pPr>
        <w:pStyle w:val="Heading 2"/>
        <w:spacing w:before="120" w:after="120" w:line="360" w:lineRule="auto"/>
        <w:jc w:val="both"/>
        <w:rPr>
          <w:b w:val="1"/>
          <w:bCs w:val="1"/>
          <w:outline w:val="0"/>
          <w:color w:val="000000"/>
          <w:u w:color="000000"/>
          <w14:textFill>
            <w14:solidFill>
              <w14:srgbClr w14:val="000000"/>
            </w14:solidFill>
          </w14:textFill>
        </w:rPr>
      </w:pPr>
      <w:r>
        <w:rPr>
          <w:b w:val="1"/>
          <w:bCs w:val="1"/>
          <w:outline w:val="0"/>
          <w:color w:val="000000"/>
          <w:u w:color="000000"/>
          <w:rtl w:val="0"/>
          <w:lang w:val="it-IT"/>
          <w14:textFill>
            <w14:solidFill>
              <w14:srgbClr w14:val="000000"/>
            </w14:solidFill>
          </w14:textFill>
        </w:rPr>
        <w:t>Innovation</w:t>
      </w:r>
    </w:p>
    <w:p>
      <w:pPr>
        <w:pStyle w:val="Body"/>
        <w:spacing w:before="120" w:after="120"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Innovation in health and social care refers to the introduction of a new or greatly enhanced process, product, or service that can add value to current practices. Innovation is significant to health and social care to address the issue of high demands of care (NHS, 2023). NHS App is example of innovation in healthcare. The theory of Diffusion of Innovations suggests that when new ideas and technologies are perceived as fitting the existing set of values, they become diffused in the organizations. </w:t>
      </w:r>
    </w:p>
    <w:p>
      <w:pPr>
        <w:pStyle w:val="Heading 2"/>
        <w:spacing w:before="120" w:after="120" w:line="360" w:lineRule="auto"/>
        <w:jc w:val="both"/>
        <w:rPr>
          <w:b w:val="1"/>
          <w:bCs w:val="1"/>
          <w:outline w:val="0"/>
          <w:color w:val="000000"/>
          <w:u w:color="000000"/>
          <w14:textFill>
            <w14:solidFill>
              <w14:srgbClr w14:val="000000"/>
            </w14:solidFill>
          </w14:textFill>
        </w:rPr>
      </w:pPr>
      <w:r>
        <w:rPr>
          <w:b w:val="1"/>
          <w:bCs w:val="1"/>
          <w:outline w:val="0"/>
          <w:color w:val="000000"/>
          <w:u w:color="000000"/>
          <w:rtl w:val="0"/>
          <w:lang w:val="en-US"/>
          <w14:textFill>
            <w14:solidFill>
              <w14:srgbClr w14:val="000000"/>
            </w14:solidFill>
          </w14:textFill>
        </w:rPr>
        <w:t>Creativity</w:t>
      </w:r>
    </w:p>
    <w:p>
      <w:pPr>
        <w:pStyle w:val="Body"/>
        <w:spacing w:before="120" w:after="120"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Creativity is the ability to brainstorm, to think of unique, handy concepts that upset the status quo and introduce applicable change. Health and social care creativity is not just limited to artistic expression, but also to the innovative thinking regarding patient care, use of resources, and service delivery. For example, co-production of care plans with patients. (National Institute for Health and Care Excellence (NICE), 2021). According to theory of Amabile (1996), creativity can arise when there is a combination of intrinsic motivation, knowledge, and abilities to think creatively, can be used in healthcare settings. </w:t>
      </w:r>
    </w:p>
    <w:p>
      <w:pPr>
        <w:pStyle w:val="Heading 2"/>
        <w:spacing w:before="120" w:after="120" w:line="360" w:lineRule="auto"/>
        <w:jc w:val="both"/>
        <w:rPr>
          <w:b w:val="1"/>
          <w:bCs w:val="1"/>
          <w:outline w:val="0"/>
          <w:color w:val="000000"/>
          <w:u w:color="000000"/>
          <w14:textFill>
            <w14:solidFill>
              <w14:srgbClr w14:val="000000"/>
            </w14:solidFill>
          </w14:textFill>
        </w:rPr>
      </w:pPr>
      <w:r>
        <w:rPr>
          <w:b w:val="1"/>
          <w:bCs w:val="1"/>
          <w:outline w:val="0"/>
          <w:color w:val="000000"/>
          <w:u w:color="000000"/>
          <w:rtl w:val="0"/>
          <w:lang w:val="en-US"/>
          <w14:textFill>
            <w14:solidFill>
              <w14:srgbClr w14:val="000000"/>
            </w14:solidFill>
          </w14:textFill>
        </w:rPr>
        <w:t>Value Creation</w:t>
      </w:r>
    </w:p>
    <w:p>
      <w:pPr>
        <w:pStyle w:val="Body"/>
        <w:spacing w:before="120" w:after="120"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Value creation in health and social care is the notion that describes the creation of meaningful, measurable patient or service-user outcomes relative to the spending. The concept is being embedded in the NHS, whereby financial sustainability is becoming imminent. An example of such an initiative is the Integrated Care System (ICS) model that was suggested by the Health and Care Act 2022 to improve services (Health and Care Act, 2022). Moreover, according to Porter (2010), the optimal approach to maximizing value is to and reorganize the services around the patient experience rather than institutional convenience.</w:t>
      </w:r>
    </w:p>
    <w:p>
      <w:pPr>
        <w:pStyle w:val="Heading 2"/>
        <w:spacing w:before="120" w:after="120" w:line="360" w:lineRule="auto"/>
        <w:jc w:val="both"/>
        <w:rPr>
          <w:b w:val="1"/>
          <w:bCs w:val="1"/>
          <w:outline w:val="0"/>
          <w:color w:val="000000"/>
          <w:u w:color="000000"/>
          <w14:textFill>
            <w14:solidFill>
              <w14:srgbClr w14:val="000000"/>
            </w14:solidFill>
          </w14:textFill>
        </w:rPr>
      </w:pPr>
      <w:r>
        <w:rPr>
          <w:b w:val="1"/>
          <w:bCs w:val="1"/>
          <w:outline w:val="0"/>
          <w:color w:val="000000"/>
          <w:u w:color="000000"/>
          <w:rtl w:val="0"/>
          <w:lang w:val="fr-FR"/>
          <w14:textFill>
            <w14:solidFill>
              <w14:srgbClr w14:val="000000"/>
            </w14:solidFill>
          </w14:textFill>
        </w:rPr>
        <w:t>Change</w:t>
      </w:r>
    </w:p>
    <w:p>
      <w:pPr>
        <w:pStyle w:val="Body"/>
        <w:spacing w:before="120" w:after="120"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Change in health and social care contexts is a suggested or ad hoc change of practices, structure, or culture, depending on the new evidence, policy, or social necessity. Change management is also critical as poorly managed change can worsen the health and safety of the personnel (West, Bailey and Williams, 2020). For example, electronic patient records (EPR) is a change initiative. Fruther, theory of Lewin highlights three stages of change that  play most significant role in theal health and social care. These stages includes, unfreezing the status of the current behavior, passing to a new status, and refreezing the change (Burnes, 2020).</w:t>
      </w:r>
    </w:p>
    <w:p>
      <w:pPr>
        <w:pStyle w:val="Heading"/>
        <w:tabs>
          <w:tab w:val="left" w:pos="720"/>
        </w:tabs>
        <w:spacing w:before="120" w:after="120" w:line="360" w:lineRule="auto"/>
        <w:ind w:left="432" w:hanging="432"/>
        <w:jc w:val="both"/>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r>
        <w:rPr>
          <w:rFonts w:ascii="Times New Roman" w:hAnsi="Times New Roman"/>
          <w:b w:val="1"/>
          <w:bCs w:val="1"/>
          <w:outline w:val="0"/>
          <w:color w:val="000000"/>
          <w:sz w:val="24"/>
          <w:szCs w:val="24"/>
          <w:u w:color="000000"/>
          <w:rtl w:val="0"/>
          <w:lang w:val="en-US"/>
          <w14:textFill>
            <w14:solidFill>
              <w14:srgbClr w14:val="000000"/>
            </w14:solidFill>
          </w14:textFill>
        </w:rPr>
        <w:t>Task 2:  Mind Map and Written Explanation</w:t>
      </w:r>
    </w:p>
    <w:p>
      <w:pPr>
        <w:pStyle w:val="Body"/>
        <w:keepNext w:val="1"/>
        <w:jc w:val="center"/>
        <w:rPr>
          <w:rFonts w:ascii="Times New Roman" w:cs="Times New Roman" w:hAnsi="Times New Roman" w:eastAsia="Times New Roman"/>
        </w:rPr>
      </w:pPr>
      <w:r>
        <w:rPr>
          <w:rFonts w:ascii="Times New Roman" w:cs="Times New Roman" w:hAnsi="Times New Roman" w:eastAsia="Times New Roman"/>
        </w:rPr>
        <w:drawing xmlns:a="http://schemas.openxmlformats.org/drawingml/2006/main">
          <wp:inline distT="0" distB="0" distL="0" distR="0">
            <wp:extent cx="3552825" cy="3505200"/>
            <wp:effectExtent l="0" t="0" r="0" b="0"/>
            <wp:docPr id="1073741826" name="officeArt object" descr="Picture 1"/>
            <wp:cNvGraphicFramePr/>
            <a:graphic xmlns:a="http://schemas.openxmlformats.org/drawingml/2006/main">
              <a:graphicData uri="http://schemas.openxmlformats.org/drawingml/2006/picture">
                <pic:pic xmlns:pic="http://schemas.openxmlformats.org/drawingml/2006/picture">
                  <pic:nvPicPr>
                    <pic:cNvPr id="1073741826" name="Picture 1" descr="Picture 1"/>
                    <pic:cNvPicPr>
                      <a:picLocks noChangeAspect="1"/>
                    </pic:cNvPicPr>
                  </pic:nvPicPr>
                  <pic:blipFill>
                    <a:blip r:embed="rId5">
                      <a:extLst/>
                    </a:blip>
                    <a:stretch>
                      <a:fillRect/>
                    </a:stretch>
                  </pic:blipFill>
                  <pic:spPr>
                    <a:xfrm>
                      <a:off x="0" y="0"/>
                      <a:ext cx="3552825" cy="3505200"/>
                    </a:xfrm>
                    <a:prstGeom prst="rect">
                      <a:avLst/>
                    </a:prstGeom>
                    <a:ln w="12700" cap="flat">
                      <a:noFill/>
                      <a:miter lim="400000"/>
                    </a:ln>
                    <a:effectLst/>
                  </pic:spPr>
                </pic:pic>
              </a:graphicData>
            </a:graphic>
          </wp:inline>
        </w:drawing>
      </w:r>
    </w:p>
    <w:p>
      <w:pPr>
        <w:pStyle w:val="caption"/>
        <w:jc w:val="center"/>
        <w:rPr>
          <w:rFonts w:ascii="Times New Roman" w:cs="Times New Roman" w:hAnsi="Times New Roman" w:eastAsia="Times New Roman"/>
          <w:outline w:val="0"/>
          <w:color w:val="000000"/>
          <w:u w:color="000000"/>
          <w14:textFill>
            <w14:solidFill>
              <w14:srgbClr w14:val="000000"/>
            </w14:solidFill>
          </w14:textFill>
        </w:rPr>
      </w:pPr>
      <w:r>
        <w:rPr>
          <w:rFonts w:ascii="Times New Roman" w:hAnsi="Times New Roman"/>
          <w:outline w:val="0"/>
          <w:color w:val="000000"/>
          <w:u w:color="000000"/>
          <w:rtl w:val="0"/>
          <w:lang w:val="en-US"/>
          <w14:textFill>
            <w14:solidFill>
              <w14:srgbClr w14:val="000000"/>
            </w14:solidFill>
          </w14:textFill>
        </w:rPr>
        <w:t>Figure 1: Mind Map</w:t>
      </w:r>
    </w:p>
    <w:p>
      <w:pPr>
        <w:pStyle w:val="Body"/>
        <w:spacing w:before="120" w:after="120"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Among the most apparent and persistent problems of the NHS, there are long queues in GP surgeries. NHS England (2023) has shown that average GP waiting time has been increasing significantly, with the majority of patients waiting more than two weeks to see a doctor as part of regular appointments. This has negative consequences: patients show up on a later date with more serious illnesses, A&amp;E becomes overcrowded, and healthcare costs rise. The high workload leads to burnout among staff and reduced capacity (NHS, 2023). A systems thinking approach recognizes that these causes, impacts, and solutions are not in isolation, but instead, they are an interdependent feedback loop. Changing one thing, e.g., by hiring more GPs, without an attempt to fight the digital-access barriers or investing in preventative care, will not lead to sustainable change (King's Fund, 2026).</w:t>
      </w:r>
    </w:p>
    <w:p>
      <w:pPr>
        <w:pStyle w:val="Heading"/>
        <w:tabs>
          <w:tab w:val="left" w:pos="720"/>
        </w:tabs>
        <w:spacing w:before="120" w:after="120" w:line="360" w:lineRule="auto"/>
        <w:ind w:left="432" w:hanging="432"/>
        <w:jc w:val="both"/>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r>
        <w:rPr>
          <w:rFonts w:ascii="Times New Roman" w:hAnsi="Times New Roman"/>
          <w:b w:val="1"/>
          <w:bCs w:val="1"/>
          <w:outline w:val="0"/>
          <w:color w:val="000000"/>
          <w:sz w:val="24"/>
          <w:szCs w:val="24"/>
          <w:u w:color="000000"/>
          <w:rtl w:val="0"/>
          <w:lang w:val="en-US"/>
          <w14:textFill>
            <w14:solidFill>
              <w14:srgbClr w14:val="000000"/>
            </w14:solidFill>
          </w14:textFill>
        </w:rPr>
        <w:t>Task 3: Self-Reflection on Group Activity</w:t>
      </w:r>
    </w:p>
    <w:p>
      <w:pPr>
        <w:pStyle w:val="Body"/>
        <w:spacing w:before="120" w:after="120"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This reflection applies Gibbs Reflective Cycle (1988) to reflect on my learning experience with the activity related to the Convergent and Divergent Thinking. The model by Gibbs is popular in health and social care education due to its cyclical and structured nature. </w:t>
      </w:r>
    </w:p>
    <w:p>
      <w:pPr>
        <w:pStyle w:val="caption"/>
        <w:keepNext w:val="1"/>
        <w:spacing w:before="120" w:after="120" w:line="360" w:lineRule="auto"/>
        <w:jc w:val="both"/>
        <w:rPr>
          <w:rFonts w:ascii="Times New Roman" w:cs="Times New Roman" w:hAnsi="Times New Roman" w:eastAsia="Times New Roman"/>
          <w:outline w:val="0"/>
          <w:color w:val="000000"/>
          <w:sz w:val="24"/>
          <w:szCs w:val="24"/>
          <w:u w:color="000000"/>
          <w14:textFill>
            <w14:solidFill>
              <w14:srgbClr w14:val="000000"/>
            </w14:solidFill>
          </w14:textFill>
        </w:rPr>
      </w:pPr>
      <w:r>
        <w:rPr>
          <w:rFonts w:ascii="Times New Roman" w:hAnsi="Times New Roman"/>
          <w:outline w:val="0"/>
          <w:color w:val="000000"/>
          <w:sz w:val="24"/>
          <w:szCs w:val="24"/>
          <w:u w:color="000000"/>
          <w:rtl w:val="0"/>
          <w:lang w:val="en-US"/>
          <w14:textFill>
            <w14:solidFill>
              <w14:srgbClr w14:val="000000"/>
            </w14:solidFill>
          </w14:textFill>
        </w:rPr>
        <w:t>Table 2 Gibbs' Reflective Cycle Applied to Group Activity</w:t>
      </w:r>
    </w:p>
    <w:tbl>
      <w:tblPr>
        <w:tblW w:w="9360" w:type="dxa"/>
        <w:jc w:val="left"/>
        <w:tblInd w:w="108"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d0ddef"/>
        <w:tblLayout w:type="fixed"/>
      </w:tblPr>
      <w:tblGrid>
        <w:gridCol w:w="2200"/>
        <w:gridCol w:w="7160"/>
      </w:tblGrid>
      <w:tr>
        <w:tblPrEx>
          <w:shd w:val="clear" w:color="auto" w:fill="d0ddef"/>
        </w:tblPrEx>
        <w:trPr>
          <w:trHeight w:val="1182" w:hRule="atLeast"/>
        </w:trPr>
        <w:tc>
          <w:tcPr>
            <w:tcW w:type="dxa" w:w="2200"/>
            <w:tcBorders>
              <w:top w:val="single" w:color="aaaaaa" w:sz="1" w:space="0" w:shadow="0" w:frame="0"/>
              <w:left w:val="single" w:color="aaaaaa" w:sz="1" w:space="0" w:shadow="0" w:frame="0"/>
              <w:bottom w:val="single" w:color="aaaaaa" w:sz="1" w:space="0" w:shadow="0" w:frame="0"/>
              <w:right w:val="single" w:color="aaaaaa" w:sz="1" w:space="0" w:shadow="0" w:frame="0"/>
            </w:tcBorders>
            <w:shd w:val="clear" w:color="auto" w:fill="d6e4f0"/>
            <w:tcMar>
              <w:top w:type="dxa" w:w="80"/>
              <w:left w:type="dxa" w:w="80"/>
              <w:bottom w:type="dxa" w:w="80"/>
              <w:right w:type="dxa" w:w="80"/>
            </w:tcMar>
            <w:vAlign w:val="top"/>
          </w:tcPr>
          <w:p>
            <w:pPr>
              <w:pStyle w:val="Body"/>
              <w:spacing w:before="120" w:after="120" w:line="360" w:lineRule="auto"/>
              <w:jc w:val="both"/>
            </w:pPr>
            <w:r>
              <w:rPr>
                <w:rFonts w:ascii="Times New Roman" w:hAnsi="Times New Roman"/>
                <w:b w:val="1"/>
                <w:bCs w:val="1"/>
                <w:sz w:val="24"/>
                <w:szCs w:val="24"/>
                <w:shd w:val="nil" w:color="auto" w:fill="auto"/>
                <w:rtl w:val="0"/>
                <w:lang w:val="en-US"/>
              </w:rPr>
              <w:t>Description</w:t>
            </w:r>
          </w:p>
        </w:tc>
        <w:tc>
          <w:tcPr>
            <w:tcW w:type="dxa" w:w="7160"/>
            <w:tcBorders>
              <w:top w:val="single" w:color="aaaaaa" w:sz="1" w:space="0" w:shadow="0" w:frame="0"/>
              <w:left w:val="single" w:color="aaaaaa" w:sz="1" w:space="0" w:shadow="0" w:frame="0"/>
              <w:bottom w:val="single" w:color="aaaaaa" w:sz="1" w:space="0" w:shadow="0" w:frame="0"/>
              <w:right w:val="single" w:color="aaaaaa" w:sz="1" w:space="0" w:shadow="0" w:frame="0"/>
            </w:tcBorders>
            <w:shd w:val="clear" w:color="auto" w:fill="auto"/>
            <w:tcMar>
              <w:top w:type="dxa" w:w="80"/>
              <w:left w:type="dxa" w:w="80"/>
              <w:bottom w:type="dxa" w:w="80"/>
              <w:right w:type="dxa" w:w="80"/>
            </w:tcMar>
            <w:vAlign w:val="top"/>
          </w:tcPr>
          <w:p>
            <w:pPr>
              <w:pStyle w:val="Body"/>
              <w:spacing w:before="120" w:after="120" w:line="360" w:lineRule="auto"/>
              <w:jc w:val="both"/>
            </w:pPr>
            <w:r>
              <w:rPr>
                <w:rFonts w:ascii="Times New Roman" w:hAnsi="Times New Roman"/>
                <w:sz w:val="24"/>
                <w:szCs w:val="24"/>
                <w:shd w:val="nil" w:color="auto" w:fill="auto"/>
                <w:rtl w:val="0"/>
                <w:lang w:val="en-US"/>
              </w:rPr>
              <w:t>During a class activity, we were introduced to convergent and divergent thinking as two contrasting cognitive approaches used in problem-solving within health and social care.</w:t>
            </w:r>
          </w:p>
        </w:tc>
      </w:tr>
      <w:tr>
        <w:tblPrEx>
          <w:shd w:val="clear" w:color="auto" w:fill="d0ddef"/>
        </w:tblPrEx>
        <w:trPr>
          <w:trHeight w:val="1182" w:hRule="atLeast"/>
        </w:trPr>
        <w:tc>
          <w:tcPr>
            <w:tcW w:type="dxa" w:w="2200"/>
            <w:tcBorders>
              <w:top w:val="single" w:color="aaaaaa" w:sz="1" w:space="0" w:shadow="0" w:frame="0"/>
              <w:left w:val="single" w:color="aaaaaa" w:sz="1" w:space="0" w:shadow="0" w:frame="0"/>
              <w:bottom w:val="single" w:color="aaaaaa" w:sz="1" w:space="0" w:shadow="0" w:frame="0"/>
              <w:right w:val="single" w:color="aaaaaa" w:sz="1" w:space="0" w:shadow="0" w:frame="0"/>
            </w:tcBorders>
            <w:shd w:val="clear" w:color="auto" w:fill="eaf3fb"/>
            <w:tcMar>
              <w:top w:type="dxa" w:w="80"/>
              <w:left w:type="dxa" w:w="80"/>
              <w:bottom w:type="dxa" w:w="80"/>
              <w:right w:type="dxa" w:w="80"/>
            </w:tcMar>
            <w:vAlign w:val="top"/>
          </w:tcPr>
          <w:p>
            <w:pPr>
              <w:pStyle w:val="Body"/>
              <w:spacing w:before="120" w:after="120" w:line="360" w:lineRule="auto"/>
              <w:jc w:val="both"/>
            </w:pPr>
            <w:r>
              <w:rPr>
                <w:rFonts w:ascii="Times New Roman" w:hAnsi="Times New Roman"/>
                <w:b w:val="1"/>
                <w:bCs w:val="1"/>
                <w:sz w:val="24"/>
                <w:szCs w:val="24"/>
                <w:shd w:val="nil" w:color="auto" w:fill="auto"/>
                <w:rtl w:val="0"/>
                <w:lang w:val="en-US"/>
              </w:rPr>
              <w:t>Feelings</w:t>
            </w:r>
          </w:p>
        </w:tc>
        <w:tc>
          <w:tcPr>
            <w:tcW w:type="dxa" w:w="7160"/>
            <w:tcBorders>
              <w:top w:val="single" w:color="aaaaaa" w:sz="1" w:space="0" w:shadow="0" w:frame="0"/>
              <w:left w:val="single" w:color="aaaaaa" w:sz="1" w:space="0" w:shadow="0" w:frame="0"/>
              <w:bottom w:val="single" w:color="aaaaaa" w:sz="1" w:space="0" w:shadow="0" w:frame="0"/>
              <w:right w:val="single" w:color="aaaaaa" w:sz="1" w:space="0" w:shadow="0" w:frame="0"/>
            </w:tcBorders>
            <w:shd w:val="clear" w:color="auto" w:fill="auto"/>
            <w:tcMar>
              <w:top w:type="dxa" w:w="80"/>
              <w:left w:type="dxa" w:w="80"/>
              <w:bottom w:type="dxa" w:w="80"/>
              <w:right w:type="dxa" w:w="80"/>
            </w:tcMar>
            <w:vAlign w:val="top"/>
          </w:tcPr>
          <w:p>
            <w:pPr>
              <w:pStyle w:val="Body"/>
              <w:spacing w:before="120" w:after="120" w:line="360" w:lineRule="auto"/>
              <w:jc w:val="both"/>
            </w:pPr>
            <w:r>
              <w:rPr>
                <w:rFonts w:ascii="Times New Roman" w:hAnsi="Times New Roman"/>
                <w:sz w:val="24"/>
                <w:szCs w:val="24"/>
                <w:shd w:val="nil" w:color="auto" w:fill="auto"/>
                <w:rtl w:val="0"/>
                <w:lang w:val="en-US"/>
              </w:rPr>
              <w:t>Initially, I felt uncertain about how to distinguish between the two styles. I was more comfortable with structured, single-answer thinking and found open-ended divergent tasks challenging.</w:t>
            </w:r>
          </w:p>
        </w:tc>
      </w:tr>
      <w:tr>
        <w:tblPrEx>
          <w:shd w:val="clear" w:color="auto" w:fill="d0ddef"/>
        </w:tblPrEx>
        <w:trPr>
          <w:trHeight w:val="1182" w:hRule="atLeast"/>
        </w:trPr>
        <w:tc>
          <w:tcPr>
            <w:tcW w:type="dxa" w:w="2200"/>
            <w:tcBorders>
              <w:top w:val="single" w:color="aaaaaa" w:sz="1" w:space="0" w:shadow="0" w:frame="0"/>
              <w:left w:val="single" w:color="aaaaaa" w:sz="1" w:space="0" w:shadow="0" w:frame="0"/>
              <w:bottom w:val="single" w:color="aaaaaa" w:sz="1" w:space="0" w:shadow="0" w:frame="0"/>
              <w:right w:val="single" w:color="aaaaaa" w:sz="1" w:space="0" w:shadow="0" w:frame="0"/>
            </w:tcBorders>
            <w:shd w:val="clear" w:color="auto" w:fill="fff2cc"/>
            <w:tcMar>
              <w:top w:type="dxa" w:w="80"/>
              <w:left w:type="dxa" w:w="80"/>
              <w:bottom w:type="dxa" w:w="80"/>
              <w:right w:type="dxa" w:w="80"/>
            </w:tcMar>
            <w:vAlign w:val="top"/>
          </w:tcPr>
          <w:p>
            <w:pPr>
              <w:pStyle w:val="Body"/>
              <w:spacing w:before="120" w:after="120" w:line="360" w:lineRule="auto"/>
              <w:jc w:val="both"/>
            </w:pPr>
            <w:r>
              <w:rPr>
                <w:rFonts w:ascii="Times New Roman" w:hAnsi="Times New Roman"/>
                <w:b w:val="1"/>
                <w:bCs w:val="1"/>
                <w:sz w:val="24"/>
                <w:szCs w:val="24"/>
                <w:shd w:val="nil" w:color="auto" w:fill="auto"/>
                <w:rtl w:val="0"/>
                <w:lang w:val="en-US"/>
              </w:rPr>
              <w:t>Evaluation</w:t>
            </w:r>
          </w:p>
        </w:tc>
        <w:tc>
          <w:tcPr>
            <w:tcW w:type="dxa" w:w="7160"/>
            <w:tcBorders>
              <w:top w:val="single" w:color="aaaaaa" w:sz="1" w:space="0" w:shadow="0" w:frame="0"/>
              <w:left w:val="single" w:color="aaaaaa" w:sz="1" w:space="0" w:shadow="0" w:frame="0"/>
              <w:bottom w:val="single" w:color="aaaaaa" w:sz="1" w:space="0" w:shadow="0" w:frame="0"/>
              <w:right w:val="single" w:color="aaaaaa" w:sz="1" w:space="0" w:shadow="0" w:frame="0"/>
            </w:tcBorders>
            <w:shd w:val="clear" w:color="auto" w:fill="auto"/>
            <w:tcMar>
              <w:top w:type="dxa" w:w="80"/>
              <w:left w:type="dxa" w:w="80"/>
              <w:bottom w:type="dxa" w:w="80"/>
              <w:right w:type="dxa" w:w="80"/>
            </w:tcMar>
            <w:vAlign w:val="top"/>
          </w:tcPr>
          <w:p>
            <w:pPr>
              <w:pStyle w:val="Body"/>
              <w:spacing w:before="120" w:after="120" w:line="360" w:lineRule="auto"/>
              <w:jc w:val="both"/>
            </w:pPr>
            <w:r>
              <w:rPr>
                <w:rFonts w:ascii="Times New Roman" w:hAnsi="Times New Roman"/>
                <w:sz w:val="24"/>
                <w:szCs w:val="24"/>
                <w:shd w:val="nil" w:color="auto" w:fill="auto"/>
                <w:rtl w:val="0"/>
                <w:lang w:val="en-US"/>
              </w:rPr>
              <w:t>What went well: exposure to a range of creative ideas from peers. What could improve: I did not contribute as many ideas as I could have during the divergent phase.</w:t>
            </w:r>
          </w:p>
        </w:tc>
      </w:tr>
      <w:tr>
        <w:tblPrEx>
          <w:shd w:val="clear" w:color="auto" w:fill="d0ddef"/>
        </w:tblPrEx>
        <w:trPr>
          <w:trHeight w:val="1182" w:hRule="atLeast"/>
        </w:trPr>
        <w:tc>
          <w:tcPr>
            <w:tcW w:type="dxa" w:w="2200"/>
            <w:tcBorders>
              <w:top w:val="single" w:color="aaaaaa" w:sz="1" w:space="0" w:shadow="0" w:frame="0"/>
              <w:left w:val="single" w:color="aaaaaa" w:sz="1" w:space="0" w:shadow="0" w:frame="0"/>
              <w:bottom w:val="single" w:color="aaaaaa" w:sz="1" w:space="0" w:shadow="0" w:frame="0"/>
              <w:right w:val="single" w:color="aaaaaa" w:sz="1" w:space="0" w:shadow="0" w:frame="0"/>
            </w:tcBorders>
            <w:shd w:val="clear" w:color="auto" w:fill="e2efda"/>
            <w:tcMar>
              <w:top w:type="dxa" w:w="80"/>
              <w:left w:type="dxa" w:w="80"/>
              <w:bottom w:type="dxa" w:w="80"/>
              <w:right w:type="dxa" w:w="80"/>
            </w:tcMar>
            <w:vAlign w:val="top"/>
          </w:tcPr>
          <w:p>
            <w:pPr>
              <w:pStyle w:val="Body"/>
              <w:spacing w:before="120" w:after="120" w:line="360" w:lineRule="auto"/>
              <w:jc w:val="both"/>
            </w:pPr>
            <w:r>
              <w:rPr>
                <w:rFonts w:ascii="Times New Roman" w:hAnsi="Times New Roman"/>
                <w:b w:val="1"/>
                <w:bCs w:val="1"/>
                <w:sz w:val="24"/>
                <w:szCs w:val="24"/>
                <w:shd w:val="nil" w:color="auto" w:fill="auto"/>
                <w:rtl w:val="0"/>
                <w:lang w:val="en-US"/>
              </w:rPr>
              <w:t>Analysis</w:t>
            </w:r>
          </w:p>
        </w:tc>
        <w:tc>
          <w:tcPr>
            <w:tcW w:type="dxa" w:w="7160"/>
            <w:tcBorders>
              <w:top w:val="single" w:color="aaaaaa" w:sz="1" w:space="0" w:shadow="0" w:frame="0"/>
              <w:left w:val="single" w:color="aaaaaa" w:sz="1" w:space="0" w:shadow="0" w:frame="0"/>
              <w:bottom w:val="single" w:color="aaaaaa" w:sz="1" w:space="0" w:shadow="0" w:frame="0"/>
              <w:right w:val="single" w:color="aaaaaa" w:sz="1" w:space="0" w:shadow="0" w:frame="0"/>
            </w:tcBorders>
            <w:shd w:val="clear" w:color="auto" w:fill="auto"/>
            <w:tcMar>
              <w:top w:type="dxa" w:w="80"/>
              <w:left w:type="dxa" w:w="80"/>
              <w:bottom w:type="dxa" w:w="80"/>
              <w:right w:type="dxa" w:w="80"/>
            </w:tcMar>
            <w:vAlign w:val="top"/>
          </w:tcPr>
          <w:p>
            <w:pPr>
              <w:pStyle w:val="Body"/>
              <w:spacing w:before="120" w:after="120" w:line="360" w:lineRule="auto"/>
              <w:jc w:val="both"/>
            </w:pPr>
            <w:r>
              <w:rPr>
                <w:rFonts w:ascii="Times New Roman" w:hAnsi="Times New Roman"/>
                <w:sz w:val="24"/>
                <w:szCs w:val="24"/>
                <w:shd w:val="nil" w:color="auto" w:fill="auto"/>
                <w:rtl w:val="0"/>
                <w:lang w:val="en-US"/>
              </w:rPr>
              <w:t>Convergent thinking focuses on identifying one correct solution, while divergent thinking generates multiple possibilities (Cropley, 2006, cited in Runco &amp; Jaeger, 2012). Both are valuable in healthcare innovation.</w:t>
            </w:r>
          </w:p>
        </w:tc>
      </w:tr>
      <w:tr>
        <w:tblPrEx>
          <w:shd w:val="clear" w:color="auto" w:fill="d0ddef"/>
        </w:tblPrEx>
        <w:trPr>
          <w:trHeight w:val="1182" w:hRule="atLeast"/>
        </w:trPr>
        <w:tc>
          <w:tcPr>
            <w:tcW w:type="dxa" w:w="2200"/>
            <w:tcBorders>
              <w:top w:val="single" w:color="aaaaaa" w:sz="1" w:space="0" w:shadow="0" w:frame="0"/>
              <w:left w:val="single" w:color="aaaaaa" w:sz="1" w:space="0" w:shadow="0" w:frame="0"/>
              <w:bottom w:val="single" w:color="aaaaaa" w:sz="1" w:space="0" w:shadow="0" w:frame="0"/>
              <w:right w:val="single" w:color="aaaaaa" w:sz="1" w:space="0" w:shadow="0" w:frame="0"/>
            </w:tcBorders>
            <w:shd w:val="clear" w:color="auto" w:fill="f4ecff"/>
            <w:tcMar>
              <w:top w:type="dxa" w:w="80"/>
              <w:left w:type="dxa" w:w="80"/>
              <w:bottom w:type="dxa" w:w="80"/>
              <w:right w:type="dxa" w:w="80"/>
            </w:tcMar>
            <w:vAlign w:val="top"/>
          </w:tcPr>
          <w:p>
            <w:pPr>
              <w:pStyle w:val="Body"/>
              <w:spacing w:before="120" w:after="120" w:line="360" w:lineRule="auto"/>
              <w:jc w:val="both"/>
            </w:pPr>
            <w:r>
              <w:rPr>
                <w:rFonts w:ascii="Times New Roman" w:hAnsi="Times New Roman"/>
                <w:b w:val="1"/>
                <w:bCs w:val="1"/>
                <w:sz w:val="24"/>
                <w:szCs w:val="24"/>
                <w:shd w:val="nil" w:color="auto" w:fill="auto"/>
                <w:rtl w:val="0"/>
                <w:lang w:val="en-US"/>
              </w:rPr>
              <w:t>Conclusion</w:t>
            </w:r>
          </w:p>
        </w:tc>
        <w:tc>
          <w:tcPr>
            <w:tcW w:type="dxa" w:w="7160"/>
            <w:tcBorders>
              <w:top w:val="single" w:color="aaaaaa" w:sz="1" w:space="0" w:shadow="0" w:frame="0"/>
              <w:left w:val="single" w:color="aaaaaa" w:sz="1" w:space="0" w:shadow="0" w:frame="0"/>
              <w:bottom w:val="single" w:color="aaaaaa" w:sz="1" w:space="0" w:shadow="0" w:frame="0"/>
              <w:right w:val="single" w:color="aaaaaa" w:sz="1" w:space="0" w:shadow="0" w:frame="0"/>
            </w:tcBorders>
            <w:shd w:val="clear" w:color="auto" w:fill="auto"/>
            <w:tcMar>
              <w:top w:type="dxa" w:w="80"/>
              <w:left w:type="dxa" w:w="80"/>
              <w:bottom w:type="dxa" w:w="80"/>
              <w:right w:type="dxa" w:w="80"/>
            </w:tcMar>
            <w:vAlign w:val="top"/>
          </w:tcPr>
          <w:p>
            <w:pPr>
              <w:pStyle w:val="Body"/>
              <w:spacing w:before="120" w:after="120" w:line="360" w:lineRule="auto"/>
              <w:jc w:val="both"/>
            </w:pPr>
            <w:r>
              <w:rPr>
                <w:rFonts w:ascii="Times New Roman" w:hAnsi="Times New Roman"/>
                <w:sz w:val="24"/>
                <w:szCs w:val="24"/>
                <w:shd w:val="nil" w:color="auto" w:fill="auto"/>
                <w:rtl w:val="0"/>
                <w:lang w:val="en-US"/>
              </w:rPr>
              <w:t>I learned that I tend to default to convergent thinking. Divergent thinking is equally important for creativity and problem-solving in health and social care practice.</w:t>
            </w:r>
          </w:p>
        </w:tc>
      </w:tr>
      <w:tr>
        <w:tblPrEx>
          <w:shd w:val="clear" w:color="auto" w:fill="d0ddef"/>
        </w:tblPrEx>
        <w:trPr>
          <w:trHeight w:val="1182" w:hRule="atLeast"/>
        </w:trPr>
        <w:tc>
          <w:tcPr>
            <w:tcW w:type="dxa" w:w="2200"/>
            <w:tcBorders>
              <w:top w:val="single" w:color="aaaaaa" w:sz="1" w:space="0" w:shadow="0" w:frame="0"/>
              <w:left w:val="single" w:color="aaaaaa" w:sz="1" w:space="0" w:shadow="0" w:frame="0"/>
              <w:bottom w:val="single" w:color="aaaaaa" w:sz="1" w:space="0" w:shadow="0" w:frame="0"/>
              <w:right w:val="single" w:color="aaaaaa" w:sz="1" w:space="0" w:shadow="0" w:frame="0"/>
            </w:tcBorders>
            <w:shd w:val="clear" w:color="auto" w:fill="fdebd0"/>
            <w:tcMar>
              <w:top w:type="dxa" w:w="80"/>
              <w:left w:type="dxa" w:w="80"/>
              <w:bottom w:type="dxa" w:w="80"/>
              <w:right w:type="dxa" w:w="80"/>
            </w:tcMar>
            <w:vAlign w:val="top"/>
          </w:tcPr>
          <w:p>
            <w:pPr>
              <w:pStyle w:val="Body"/>
              <w:spacing w:before="120" w:after="120" w:line="360" w:lineRule="auto"/>
              <w:jc w:val="both"/>
            </w:pPr>
            <w:r>
              <w:rPr>
                <w:rFonts w:ascii="Times New Roman" w:hAnsi="Times New Roman"/>
                <w:b w:val="1"/>
                <w:bCs w:val="1"/>
                <w:sz w:val="24"/>
                <w:szCs w:val="24"/>
                <w:shd w:val="nil" w:color="auto" w:fill="auto"/>
                <w:rtl w:val="0"/>
                <w:lang w:val="en-US"/>
              </w:rPr>
              <w:t>Action Plan</w:t>
            </w:r>
          </w:p>
        </w:tc>
        <w:tc>
          <w:tcPr>
            <w:tcW w:type="dxa" w:w="7160"/>
            <w:tcBorders>
              <w:top w:val="single" w:color="aaaaaa" w:sz="1" w:space="0" w:shadow="0" w:frame="0"/>
              <w:left w:val="single" w:color="aaaaaa" w:sz="1" w:space="0" w:shadow="0" w:frame="0"/>
              <w:bottom w:val="single" w:color="aaaaaa" w:sz="1" w:space="0" w:shadow="0" w:frame="0"/>
              <w:right w:val="single" w:color="aaaaaa" w:sz="1" w:space="0" w:shadow="0" w:frame="0"/>
            </w:tcBorders>
            <w:shd w:val="clear" w:color="auto" w:fill="auto"/>
            <w:tcMar>
              <w:top w:type="dxa" w:w="80"/>
              <w:left w:type="dxa" w:w="80"/>
              <w:bottom w:type="dxa" w:w="80"/>
              <w:right w:type="dxa" w:w="80"/>
            </w:tcMar>
            <w:vAlign w:val="top"/>
          </w:tcPr>
          <w:p>
            <w:pPr>
              <w:pStyle w:val="Body"/>
              <w:spacing w:before="120" w:after="120" w:line="360" w:lineRule="auto"/>
              <w:jc w:val="both"/>
            </w:pPr>
            <w:r>
              <w:rPr>
                <w:rFonts w:ascii="Times New Roman" w:hAnsi="Times New Roman"/>
                <w:sz w:val="24"/>
                <w:szCs w:val="24"/>
                <w:shd w:val="nil" w:color="auto" w:fill="auto"/>
                <w:rtl w:val="0"/>
                <w:lang w:val="en-US"/>
              </w:rPr>
              <w:t>In future activities, I will actively challenge myself to generate a wider range of ideas before narrowing down solutions, applying divergent thinking more deliberately.</w:t>
            </w:r>
          </w:p>
        </w:tc>
      </w:tr>
    </w:tbl>
    <w:p>
      <w:pPr>
        <w:pStyle w:val="caption"/>
        <w:keepNext w:val="1"/>
        <w:widowControl w:val="0"/>
        <w:spacing w:before="120" w:after="120"/>
        <w:jc w:val="both"/>
        <w:rPr>
          <w:rFonts w:ascii="Times New Roman" w:cs="Times New Roman" w:hAnsi="Times New Roman" w:eastAsia="Times New Roman"/>
          <w:outline w:val="0"/>
          <w:color w:val="000000"/>
          <w:sz w:val="24"/>
          <w:szCs w:val="24"/>
          <w:u w:color="000000"/>
          <w14:textFill>
            <w14:solidFill>
              <w14:srgbClr w14:val="000000"/>
            </w14:solidFill>
          </w14:textFill>
        </w:rPr>
      </w:pPr>
    </w:p>
    <w:p>
      <w:pPr>
        <w:pStyle w:val="Heading"/>
        <w:tabs>
          <w:tab w:val="left" w:pos="720"/>
        </w:tabs>
        <w:spacing w:before="120" w:after="120" w:line="360" w:lineRule="auto"/>
        <w:ind w:left="432" w:hanging="432"/>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r>
        <w:rPr>
          <w:rFonts w:ascii="Times New Roman" w:hAnsi="Times New Roman"/>
          <w:b w:val="1"/>
          <w:bCs w:val="1"/>
          <w:outline w:val="0"/>
          <w:color w:val="000000"/>
          <w:sz w:val="24"/>
          <w:szCs w:val="24"/>
          <w:u w:color="000000"/>
          <w:rtl w:val="0"/>
          <w:lang w:val="en-US"/>
          <w14:textFill>
            <w14:solidFill>
              <w14:srgbClr w14:val="000000"/>
            </w14:solidFill>
          </w14:textFill>
        </w:rPr>
        <w:t>Task 4: Case Study Analysis of a UK Innovation</w:t>
      </w:r>
    </w:p>
    <w:p>
      <w:pPr>
        <w:pStyle w:val="Body"/>
        <w:spacing w:before="120" w:after="120"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One of the most important innovations in the NHS is telehealth in primary care, especially remote consultations and new triage systems. The main challenge was insufficient access to healthcare services, particularly during the COVID-19 pandemic, and mounting patient demand and strain on GP services (NHS, 2023). In solving this problem, creativity was essential in redesigning traditional face-to-face care in adaptable digital designs, including video consultations and remote monitoring. This change allowed healthcare providers to sustain service delivery and minimize the risk of infection and enhance the access of patients with mobility issues (Williamson, 2023).</w:t>
      </w:r>
    </w:p>
    <w:p>
      <w:pPr>
        <w:pStyle w:val="Body"/>
        <w:spacing w:before="120" w:after="120"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The value created can be seen at various levels. To service users, telehealth enhanced access, convenience, and continuity of care. To its staff, it made their work more efficient as it meant fewer missed appointments and easier prioritisation of the most complex cases.  Reported outcomes consist of patient satisfaction, better chronic condition management, and minimized the risk of spreading the pandemic among patients (Williamson, 2023). The Telehealth adoption was accelerated due to the diffusion of innovation theory which states that telehealth was seen to be useful, easy to use, and it will not disrupt the existing practice (Rogers, 2003).</w:t>
      </w:r>
    </w:p>
    <w:p>
      <w:pPr>
        <w:pStyle w:val="Heading"/>
        <w:tabs>
          <w:tab w:val="left" w:pos="720"/>
        </w:tabs>
        <w:spacing w:before="120" w:after="120" w:line="360" w:lineRule="auto"/>
        <w:ind w:left="432" w:hanging="432"/>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r>
        <w:rPr>
          <w:rFonts w:ascii="Times New Roman" w:hAnsi="Times New Roman"/>
          <w:b w:val="1"/>
          <w:bCs w:val="1"/>
          <w:outline w:val="0"/>
          <w:color w:val="000000"/>
          <w:sz w:val="24"/>
          <w:szCs w:val="24"/>
          <w:u w:color="000000"/>
          <w:rtl w:val="0"/>
          <w:lang w:val="en-US"/>
          <w14:textFill>
            <w14:solidFill>
              <w14:srgbClr w14:val="000000"/>
            </w14:solidFill>
          </w14:textFill>
        </w:rPr>
        <w:t xml:space="preserve">Task 5: Research Task </w:t>
      </w:r>
    </w:p>
    <w:p>
      <w:pPr>
        <w:pStyle w:val="Body"/>
        <w:spacing w:before="120" w:after="120"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A notable research by Maslach and Leiter points to burnout as a result of overworking, loss of control, and emotional burnout due to the constant demands of patients (Mishra, 2025). This is elaborated with the Maslach Burnout Theory that emphasizes the effects of long-term stress on the diminishing professional performance and work disengagement. This is one of the reasons why a high number of healthcare employees feel fatigued and demotivated working in a high-pressure setting like an emergency department. In the same vein, a study by Jamil et al. (2023) highlights the contribution of organisational aspects, such as bad leadership, staffing, and lack of support, as key drivers of stress. Their results agree with the perspective of a systems theory viewpoint, which proposes that burnout is not a personal problem but a negative outcome of systemic failures in healthcare organisations.</w:t>
      </w:r>
    </w:p>
    <w:p>
      <w:pPr>
        <w:pStyle w:val="Body"/>
        <w:spacing w:before="120" w:after="120"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Although both studies concur on workload and pressure being the core causes, Maslach and Leiter emphasize more on the psychological aspects, as compared to West et al. who emphasize organisational responsibility. This manifests itself in the real care setting in terms of increased sick leave, poor quality of care and staff turnover. </w:t>
      </w:r>
    </w:p>
    <w:p>
      <w:pPr>
        <w:pStyle w:val="Heading"/>
        <w:tabs>
          <w:tab w:val="left" w:pos="720"/>
        </w:tabs>
        <w:ind w:left="432" w:hanging="432"/>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r>
        <w:rPr>
          <w:rFonts w:ascii="Times New Roman" w:hAnsi="Times New Roman"/>
          <w:b w:val="1"/>
          <w:bCs w:val="1"/>
          <w:outline w:val="0"/>
          <w:color w:val="000000"/>
          <w:sz w:val="24"/>
          <w:szCs w:val="24"/>
          <w:u w:color="000000"/>
          <w:rtl w:val="0"/>
          <w14:textFill>
            <w14:solidFill>
              <w14:srgbClr w14:val="000000"/>
            </w14:solidFill>
          </w14:textFill>
        </w:rPr>
        <w:t>Task 6: Investigating Digital Innovation</w:t>
      </w:r>
    </w:p>
    <w:p>
      <w:pPr>
        <w:pStyle w:val="Heading 2"/>
        <w:spacing w:before="120" w:after="120" w:line="360" w:lineRule="auto"/>
        <w:rPr>
          <w:b w:val="1"/>
          <w:bCs w:val="1"/>
          <w:outline w:val="0"/>
          <w:color w:val="000000"/>
          <w:u w:color="000000"/>
          <w14:textFill>
            <w14:solidFill>
              <w14:srgbClr w14:val="000000"/>
            </w14:solidFill>
          </w14:textFill>
        </w:rPr>
      </w:pPr>
      <w:r>
        <w:rPr>
          <w:b w:val="1"/>
          <w:bCs w:val="1"/>
          <w:outline w:val="0"/>
          <w:color w:val="000000"/>
          <w:u w:color="000000"/>
          <w:rtl w:val="0"/>
          <w:lang w:val="en-US"/>
          <w14:textFill>
            <w14:solidFill>
              <w14:srgbClr w14:val="000000"/>
            </w14:solidFill>
          </w14:textFill>
        </w:rPr>
        <w:t xml:space="preserve">Wearable Health Technologies </w:t>
      </w:r>
    </w:p>
    <w:p>
      <w:pPr>
        <w:pStyle w:val="Body"/>
        <w:spacing w:before="120" w:after="120"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Smartwatches and other wearable health technologies have a considerable advantage in the management of chronic health conditions by offering the ability to monitor patient health data continuously (Jafleh et al., 2024). The devices will be able to monitor the heart rate, activity, and sleep duration, which will enable them to identify potential health problems at an early stage. Indicatively, patients with heart diseases can be notified about irregular heartbeats, allowing them to obtain medical care on time.  Wearable devices in the real-world setting save time in the hospital because they can be used to monitor the patient remotely, especially in chronic illnesses like diabetes or high blood pressure.</w:t>
      </w:r>
    </w:p>
    <w:p>
      <w:pPr>
        <w:pStyle w:val="Body"/>
        <w:spacing w:before="120" w:after="120"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According to the Technology Acceptance Model (Davis, 1989) when patients feel that they are useful and simple to operate, they are more likely to embrace these devices. This highlights the importance of user-friendly design in increasing engagement and improving health outcomes.</w:t>
      </w:r>
    </w:p>
    <w:p>
      <w:pPr>
        <w:pStyle w:val="Heading 2"/>
        <w:spacing w:before="120" w:after="120" w:line="360" w:lineRule="auto"/>
        <w:rPr>
          <w:b w:val="1"/>
          <w:bCs w:val="1"/>
          <w:outline w:val="0"/>
          <w:color w:val="000000"/>
          <w:u w:color="000000"/>
          <w14:textFill>
            <w14:solidFill>
              <w14:srgbClr w14:val="000000"/>
            </w14:solidFill>
          </w14:textFill>
        </w:rPr>
      </w:pPr>
      <w:r>
        <w:rPr>
          <w:b w:val="1"/>
          <w:bCs w:val="1"/>
          <w:outline w:val="0"/>
          <w:color w:val="000000"/>
          <w:u w:color="000000"/>
          <w:rtl w:val="0"/>
          <w:lang w:val="en-US"/>
          <w14:textFill>
            <w14:solidFill>
              <w14:srgbClr w14:val="000000"/>
            </w14:solidFill>
          </w14:textFill>
        </w:rPr>
        <w:t>Electronic Health Records (EHRs)</w:t>
      </w:r>
    </w:p>
    <w:p>
      <w:pPr>
        <w:pStyle w:val="Body"/>
        <w:spacing w:before="120" w:after="120"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Electronic Health Records (EHRs) enhance the exchange of information and collaboration between healthcare providers because they allow access to patient data in real-time (Adeniyi et al., 2024). As an example, EHRs enable multidisciplinary teams to more effectively coordinate care particularly in the case of patients with complicated conditions in NHS hospitals. Regarding the Technology Acceptance Model (Davis, 1989), the effective implementation will be possible only when the staff believes that the EHR systems are effective and will help them to work more efficiently. System usability and training are thus vital in making sure that it is widely adopted.</w:t>
      </w:r>
    </w:p>
    <w:p>
      <w:pPr>
        <w:pStyle w:val="Heading 2"/>
        <w:spacing w:before="120" w:after="120" w:line="360" w:lineRule="auto"/>
        <w:rPr>
          <w:b w:val="1"/>
          <w:bCs w:val="1"/>
          <w:outline w:val="0"/>
          <w:color w:val="000000"/>
          <w:u w:color="000000"/>
          <w14:textFill>
            <w14:solidFill>
              <w14:srgbClr w14:val="000000"/>
            </w14:solidFill>
          </w14:textFill>
        </w:rPr>
      </w:pPr>
      <w:r>
        <w:rPr>
          <w:b w:val="1"/>
          <w:bCs w:val="1"/>
          <w:outline w:val="0"/>
          <w:color w:val="000000"/>
          <w:u w:color="000000"/>
          <w:rtl w:val="0"/>
          <w:lang w:val="en-US"/>
          <w14:textFill>
            <w14:solidFill>
              <w14:srgbClr w14:val="000000"/>
            </w14:solidFill>
          </w14:textFill>
        </w:rPr>
        <w:t>Preventative care with the help of digital technology</w:t>
      </w:r>
    </w:p>
    <w:p>
      <w:pPr>
        <w:pStyle w:val="Body"/>
        <w:spacing w:before="120" w:after="120"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Digital technology has a significant part in preventative care and health promotion through promoting early intervention and healthier behaviours. Personalised health advice, reminders and educational information can be supplied via mobile health applications and online services. As an example, physical activity or healthy dieting apps can be used to prevent the development of chronic illnesses (obesity, diabetes, etc.) (WHO, 2021).</w:t>
      </w:r>
    </w:p>
    <w:p>
      <w:pPr>
        <w:pStyle w:val="Body"/>
        <w:spacing w:before="120" w:after="120"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In the real-life context, NHS digital campaigns and applications, like weight management tools, can give people the proactive health management of their health before complications occur. This decreases the burden on healthcare systems in the long run. According to the Technology Acceptance Model (Davis, 1989), people would use these tools more often when they are user-friendly and offer apparent advantages. As such, proper design and accessibility are required to help optimise user engagement and encourage long-term behavioural change.</w:t>
      </w:r>
    </w:p>
    <w:p>
      <w:pPr>
        <w:pStyle w:val="Heading"/>
        <w:tabs>
          <w:tab w:val="left" w:pos="720"/>
        </w:tabs>
        <w:spacing w:before="120" w:after="120" w:line="360" w:lineRule="auto"/>
        <w:ind w:left="432" w:hanging="432"/>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r>
        <w:rPr>
          <w:rFonts w:ascii="Times New Roman" w:hAnsi="Times New Roman"/>
          <w:b w:val="1"/>
          <w:bCs w:val="1"/>
          <w:outline w:val="0"/>
          <w:color w:val="000000"/>
          <w:sz w:val="24"/>
          <w:szCs w:val="24"/>
          <w:u w:color="000000"/>
          <w:rtl w:val="0"/>
          <w:lang w:val="en-US"/>
          <w14:textFill>
            <w14:solidFill>
              <w14:srgbClr w14:val="000000"/>
            </w14:solidFill>
          </w14:textFill>
        </w:rPr>
        <w:t>Task 7: NHS Leadership Framework</w:t>
      </w:r>
    </w:p>
    <w:p>
      <w:pPr>
        <w:pStyle w:val="Heading 2"/>
        <w:spacing w:before="120" w:after="120" w:line="360" w:lineRule="auto"/>
        <w:rPr>
          <w:b w:val="1"/>
          <w:bCs w:val="1"/>
          <w:outline w:val="0"/>
          <w:color w:val="000000"/>
          <w:u w:color="000000"/>
          <w14:textFill>
            <w14:solidFill>
              <w14:srgbClr w14:val="000000"/>
            </w14:solidFill>
          </w14:textFill>
        </w:rPr>
      </w:pPr>
      <w:r>
        <w:rPr>
          <w:b w:val="1"/>
          <w:bCs w:val="1"/>
          <w:outline w:val="0"/>
          <w:color w:val="000000"/>
          <w:u w:color="000000"/>
          <w:rtl w:val="0"/>
          <w:lang w:val="en-US"/>
          <w14:textFill>
            <w14:solidFill>
              <w14:srgbClr w14:val="000000"/>
            </w14:solidFill>
          </w14:textFill>
        </w:rPr>
        <w:t xml:space="preserve">Summary </w:t>
      </w:r>
    </w:p>
    <w:p>
      <w:pPr>
        <w:pStyle w:val="Body"/>
        <w:spacing w:before="120" w:after="120"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The NHS Leadership Framework identifies the major behaviours and competencies that are needed to be effective leaders in health and social care. It is dedicated to such areas as care leadership, vision sharing, information evaluation, and team engagement. The model underlines that leadership is not pertinent to the senior positions only but must be reflected at every level of practice. It is significant because it enhances patient care, organisational performance and staff wellbeing. The framework can assist healthcare professionals to address complex issues in the NHS by encouraging teamwork, ethical decision-making, and continuous improvement. It also promotes innovation as it helps leaders to embrace change and apply new ideas. </w:t>
      </w:r>
    </w:p>
    <w:p>
      <w:pPr>
        <w:pStyle w:val="Heading 2"/>
        <w:spacing w:before="120" w:after="120" w:line="360" w:lineRule="auto"/>
        <w:rPr>
          <w:b w:val="1"/>
          <w:bCs w:val="1"/>
          <w:outline w:val="0"/>
          <w:color w:val="000000"/>
          <w:u w:color="000000"/>
          <w14:textFill>
            <w14:solidFill>
              <w14:srgbClr w14:val="000000"/>
            </w14:solidFill>
          </w14:textFill>
        </w:rPr>
      </w:pPr>
      <w:r>
        <w:rPr>
          <w:b w:val="1"/>
          <w:bCs w:val="1"/>
          <w:outline w:val="0"/>
          <w:color w:val="000000"/>
          <w:u w:color="000000"/>
          <w:rtl w:val="0"/>
          <w:lang w:val="en-US"/>
          <w14:textFill>
            <w14:solidFill>
              <w14:srgbClr w14:val="000000"/>
            </w14:solidFill>
          </w14:textFill>
        </w:rPr>
        <w:t>Leadership Behaviour: Sharing Purpose</w:t>
      </w:r>
    </w:p>
    <w:p>
      <w:pPr>
        <w:pStyle w:val="Body"/>
        <w:spacing w:before="120" w:after="120"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Inspiring shared purpose entails designing a clear vision, which encourages employees to strive towards a purpose. With this behaviour, a leader is able to promote creativity by allowing the team members to share their ideas and feel appreciated in the decision making process. A leader, say in a hospital, may engage employees in creating new patient care pathways, which will promote innovation and ownership. This is in line with the Transformational Leadership Theory (Bass and Avolio, 1994) which focuses on motivating and inspiring teams to perform better.</w:t>
      </w:r>
    </w:p>
    <w:p>
      <w:pPr>
        <w:pStyle w:val="Heading 2"/>
        <w:spacing w:before="120" w:after="120" w:line="360" w:lineRule="auto"/>
        <w:rPr>
          <w:b w:val="1"/>
          <w:bCs w:val="1"/>
          <w:outline w:val="0"/>
          <w:color w:val="000000"/>
          <w:u w:color="000000"/>
          <w14:textFill>
            <w14:solidFill>
              <w14:srgbClr w14:val="000000"/>
            </w14:solidFill>
          </w14:textFill>
        </w:rPr>
      </w:pPr>
      <w:r>
        <w:rPr>
          <w:b w:val="1"/>
          <w:bCs w:val="1"/>
          <w:outline w:val="0"/>
          <w:color w:val="000000"/>
          <w:u w:color="000000"/>
          <w:rtl w:val="0"/>
          <w:lang w:val="fr-FR"/>
          <w14:textFill>
            <w14:solidFill>
              <w14:srgbClr w14:val="000000"/>
            </w14:solidFill>
          </w14:textFill>
        </w:rPr>
        <w:t xml:space="preserve">Reflective Journal </w:t>
      </w:r>
    </w:p>
    <w:p>
      <w:pPr>
        <w:pStyle w:val="Body"/>
        <w:spacing w:before="120" w:after="120"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My knowledge about creativity and value creation in health and social care has changed during this module. My initial understanding of innovation was based on innovation as grand-scale technological change; however, now I understand that even minor, daily practice changes can make a real difference. My goal in my future practice is to use this learning by actively contributing towards innovation in teams and supporting the same within the team. Based on the Transformational Leadership Theory, I realize that it is important to motivate other people and provide a favorable atmosphere of change. </w:t>
      </w:r>
    </w:p>
    <w:p>
      <w:pPr>
        <w:pStyle w:val="Heading"/>
        <w:tabs>
          <w:tab w:val="left" w:pos="720"/>
        </w:tabs>
        <w:ind w:left="432" w:hanging="432"/>
        <w:rPr>
          <w:rFonts w:ascii="Times New Roman" w:cs="Times New Roman" w:hAnsi="Times New Roman" w:eastAsia="Times New Roman"/>
          <w:b w:val="1"/>
          <w:bCs w:val="1"/>
          <w:outline w:val="0"/>
          <w:color w:val="000000"/>
          <w:u w:color="000000"/>
          <w14:textFill>
            <w14:solidFill>
              <w14:srgbClr w14:val="000000"/>
            </w14:solidFill>
          </w14:textFill>
        </w:rPr>
      </w:pPr>
      <w:r>
        <w:rPr>
          <w:rFonts w:ascii="Times New Roman" w:hAnsi="Times New Roman"/>
          <w:b w:val="1"/>
          <w:bCs w:val="1"/>
          <w:outline w:val="0"/>
          <w:color w:val="000000"/>
          <w:u w:color="000000"/>
          <w:rtl w:val="0"/>
          <w:lang w:val="fr-FR"/>
          <w14:textFill>
            <w14:solidFill>
              <w14:srgbClr w14:val="000000"/>
            </w14:solidFill>
          </w14:textFill>
        </w:rPr>
        <w:t>Task 8: Self-reflection journal entry</w:t>
      </w:r>
    </w:p>
    <w:p>
      <w:pPr>
        <w:pStyle w:val="Body"/>
        <w:spacing w:before="120" w:after="120"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The module has greatly transformed my perception of creativity, innovation, and value creation in health and social care. Previously, I believed innovation was mainly about technology; however, I now recognise that it also involves problem-solving, teamwork, and improving everyday practices. The analysing of the healthcare innovations, demonstrating the way of how the simplest changes can improve patient outcomes was one of the activities that stimulated my thoughts. This made me understand that creativity is a practical skill that can be implemented in actual care settings. I can use the Reflective Cycle created by Gibbs to assess my learning and what I need to work on. When making placements in the future, I would like to use creative thinking that would imply new ways of care delivery and engaging in team discussions. This experience has prompted me to assume a proactive approach and acknowledge that even minor contributions can add significant value to healthcare practice.</w:t>
      </w:r>
    </w:p>
    <w:p>
      <w:pPr>
        <w:pStyle w:val="Heading"/>
        <w:tabs>
          <w:tab w:val="left" w:pos="720"/>
        </w:tabs>
        <w:spacing w:before="120" w:after="120" w:line="360" w:lineRule="auto"/>
        <w:ind w:left="432" w:hanging="432"/>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r>
        <w:rPr>
          <w:rFonts w:ascii="Times New Roman" w:hAnsi="Times New Roman"/>
          <w:b w:val="1"/>
          <w:bCs w:val="1"/>
          <w:outline w:val="0"/>
          <w:color w:val="000000"/>
          <w:sz w:val="24"/>
          <w:szCs w:val="24"/>
          <w:u w:color="000000"/>
          <w:rtl w:val="0"/>
          <w:lang w:val="it-IT"/>
          <w14:textFill>
            <w14:solidFill>
              <w14:srgbClr w14:val="000000"/>
            </w14:solidFill>
          </w14:textFill>
        </w:rPr>
        <w:t>Conclusion</w:t>
      </w:r>
    </w:p>
    <w:p>
      <w:pPr>
        <w:pStyle w:val="Body"/>
        <w:spacing w:before="120" w:after="120" w:line="360" w:lineRule="auto"/>
        <w:jc w:val="both"/>
        <w:rPr>
          <w:rFonts w:ascii="Times New Roman" w:cs="Times New Roman" w:hAnsi="Times New Roman" w:eastAsia="Times New Roman"/>
          <w:sz w:val="24"/>
          <w:szCs w:val="24"/>
        </w:rPr>
      </w:pPr>
      <w:r>
        <w:rPr>
          <w:rFonts w:ascii="Times New Roman" w:hAnsi="Times New Roman"/>
          <w:sz w:val="24"/>
          <w:szCs w:val="24"/>
          <w:rtl w:val="0"/>
          <w:lang w:val="en-US"/>
        </w:rPr>
        <w:t xml:space="preserve">This portfolio has been able to show the interaction with the main themes which are innovation, creativity, value creation, and change. In four tasks, major theoretical frameworks have been applied to real-world health and social care issues, including GP waiting times and digital exclusion, to the unsustainable growth of social care demand. The reflective element has brought to the fore the need to work on both convergent and divergent thinking skills, and the application assignments have ensured that successful changemaking needs critical thinking, systems thinking, and a sense of equity. </w:t>
      </w:r>
    </w:p>
    <w:p>
      <w:pPr>
        <w:pStyle w:val="Body"/>
        <w:spacing w:before="120" w:after="120" w:line="360" w:lineRule="auto"/>
        <w:jc w:val="both"/>
        <w:rPr>
          <w:rFonts w:ascii="Times New Roman" w:cs="Times New Roman" w:hAnsi="Times New Roman" w:eastAsia="Times New Roman"/>
          <w:sz w:val="24"/>
          <w:szCs w:val="24"/>
        </w:rPr>
      </w:pPr>
    </w:p>
    <w:p>
      <w:pPr>
        <w:pStyle w:val="Body"/>
        <w:spacing w:before="120" w:after="120" w:line="360" w:lineRule="auto"/>
        <w:jc w:val="both"/>
        <w:rPr>
          <w:rFonts w:ascii="Times New Roman" w:cs="Times New Roman" w:hAnsi="Times New Roman" w:eastAsia="Times New Roman"/>
          <w:sz w:val="24"/>
          <w:szCs w:val="24"/>
        </w:rPr>
      </w:pPr>
    </w:p>
    <w:p>
      <w:pPr>
        <w:pStyle w:val="Body"/>
        <w:spacing w:before="120" w:after="120" w:line="360" w:lineRule="auto"/>
        <w:jc w:val="both"/>
        <w:rPr>
          <w:rFonts w:ascii="Times New Roman" w:cs="Times New Roman" w:hAnsi="Times New Roman" w:eastAsia="Times New Roman"/>
          <w:sz w:val="24"/>
          <w:szCs w:val="24"/>
        </w:rPr>
      </w:pPr>
    </w:p>
    <w:p>
      <w:pPr>
        <w:pStyle w:val="Body"/>
        <w:spacing w:before="120" w:after="120" w:line="360" w:lineRule="auto"/>
      </w:pPr>
      <w:r>
        <w:rPr>
          <w:rFonts w:ascii="Arial Unicode MS" w:cs="Arial Unicode MS" w:hAnsi="Arial Unicode MS" w:eastAsia="Arial Unicode MS"/>
          <w:b w:val="0"/>
          <w:bCs w:val="0"/>
          <w:i w:val="0"/>
          <w:iCs w:val="0"/>
          <w:sz w:val="24"/>
          <w:szCs w:val="24"/>
        </w:rPr>
        <w:br w:type="page"/>
      </w:r>
    </w:p>
    <w:p>
      <w:pPr>
        <w:pStyle w:val="Body"/>
        <w:spacing w:before="120" w:after="120" w:line="360" w:lineRule="auto"/>
        <w:jc w:val="both"/>
        <w:rPr>
          <w:rFonts w:ascii="Times New Roman" w:cs="Times New Roman" w:hAnsi="Times New Roman" w:eastAsia="Times New Roman"/>
          <w:sz w:val="24"/>
          <w:szCs w:val="24"/>
        </w:rPr>
      </w:pPr>
    </w:p>
    <w:p>
      <w:pPr>
        <w:pStyle w:val="Heading"/>
        <w:tabs>
          <w:tab w:val="left" w:pos="720"/>
        </w:tabs>
        <w:spacing w:before="120" w:after="120" w:line="360" w:lineRule="auto"/>
        <w:ind w:left="432" w:hanging="432"/>
        <w:jc w:val="both"/>
        <w:rPr>
          <w:rFonts w:ascii="Times New Roman" w:cs="Times New Roman" w:hAnsi="Times New Roman" w:eastAsia="Times New Roman"/>
          <w:b w:val="1"/>
          <w:bCs w:val="1"/>
          <w:outline w:val="0"/>
          <w:color w:val="000000"/>
          <w:sz w:val="24"/>
          <w:szCs w:val="24"/>
          <w:u w:color="000000"/>
          <w14:textFill>
            <w14:solidFill>
              <w14:srgbClr w14:val="000000"/>
            </w14:solidFill>
          </w14:textFill>
        </w:rPr>
      </w:pPr>
      <w:r>
        <w:rPr>
          <w:rFonts w:ascii="Times New Roman" w:hAnsi="Times New Roman"/>
          <w:b w:val="1"/>
          <w:bCs w:val="1"/>
          <w:outline w:val="0"/>
          <w:color w:val="000000"/>
          <w:sz w:val="24"/>
          <w:szCs w:val="24"/>
          <w:u w:color="000000"/>
          <w:rtl w:val="0"/>
          <w:lang w:val="fr-FR"/>
          <w14:textFill>
            <w14:solidFill>
              <w14:srgbClr w14:val="000000"/>
            </w14:solidFill>
          </w14:textFill>
        </w:rPr>
        <w:t xml:space="preserve"> Bibliography</w:t>
      </w:r>
    </w:p>
    <w:p>
      <w:pPr>
        <w:pStyle w:val="Body"/>
        <w:spacing w:before="120" w:after="120" w:line="36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Adeniyi, A.O., Arowoogun, J.O., Chidi, R., Okolo, C.A. and Babawarun, O. (2024). The impact of electronic health records on patient care and outcomes: A comprehensive review. </w:t>
      </w:r>
      <w:r>
        <w:rPr>
          <w:rFonts w:ascii="Times New Roman" w:hAnsi="Times New Roman"/>
          <w:i w:val="1"/>
          <w:iCs w:val="1"/>
          <w:sz w:val="24"/>
          <w:szCs w:val="24"/>
          <w:rtl w:val="0"/>
          <w:lang w:val="en-US"/>
        </w:rPr>
        <w:t>World Journal of Advanced Research and Reviews</w:t>
      </w:r>
      <w:r>
        <w:rPr>
          <w:rFonts w:ascii="Times New Roman" w:hAnsi="Times New Roman"/>
          <w:sz w:val="24"/>
          <w:szCs w:val="24"/>
          <w:rtl w:val="0"/>
        </w:rPr>
        <w:t>, 21(2), pp.1446</w:t>
      </w:r>
      <w:r>
        <w:rPr>
          <w:rFonts w:ascii="Times New Roman" w:hAnsi="Times New Roman" w:hint="default"/>
          <w:sz w:val="24"/>
          <w:szCs w:val="24"/>
          <w:rtl w:val="0"/>
          <w:lang w:val="en-US"/>
        </w:rPr>
        <w:t>–</w:t>
      </w:r>
      <w:r>
        <w:rPr>
          <w:rFonts w:ascii="Times New Roman" w:hAnsi="Times New Roman"/>
          <w:sz w:val="24"/>
          <w:szCs w:val="24"/>
          <w:rtl w:val="0"/>
          <w:lang w:val="pt-PT"/>
        </w:rPr>
        <w:t xml:space="preserve">1455. doi: </w:t>
      </w:r>
      <w:r>
        <w:rPr>
          <w:rStyle w:val="Hyperlink.0"/>
        </w:rPr>
        <w:fldChar w:fldCharType="begin" w:fldLock="0"/>
      </w:r>
      <w:r>
        <w:rPr>
          <w:rStyle w:val="Hyperlink.0"/>
        </w:rPr>
        <w:instrText xml:space="preserve"> HYPERLINK "https://doi.org/10.30574/wjarr.2024.21.2.0592"</w:instrText>
      </w:r>
      <w:r>
        <w:rPr>
          <w:rStyle w:val="Hyperlink.0"/>
        </w:rPr>
        <w:fldChar w:fldCharType="separate" w:fldLock="0"/>
      </w:r>
      <w:r>
        <w:rPr>
          <w:rStyle w:val="Hyperlink.0"/>
          <w:rtl w:val="0"/>
          <w:lang w:val="de-DE"/>
        </w:rPr>
        <w:t>https://doi.org/10.30574/wjarr.2024.21.2.0592</w:t>
      </w:r>
      <w:r>
        <w:rPr/>
        <w:fldChar w:fldCharType="end" w:fldLock="0"/>
      </w:r>
      <w:r>
        <w:rPr>
          <w:rFonts w:ascii="Times New Roman" w:hAnsi="Times New Roman"/>
          <w:sz w:val="24"/>
          <w:szCs w:val="24"/>
          <w:rtl w:val="0"/>
        </w:rPr>
        <w:t xml:space="preserve"> </w:t>
      </w:r>
    </w:p>
    <w:p>
      <w:pPr>
        <w:pStyle w:val="Normal (Web)"/>
        <w:spacing w:before="120" w:after="120" w:line="360" w:lineRule="auto"/>
        <w:jc w:val="both"/>
      </w:pPr>
      <w:r>
        <w:rPr>
          <w:rtl w:val="0"/>
          <w:lang w:val="en-US"/>
        </w:rPr>
        <w:t xml:space="preserve">Bass, B.M. and Avolio, B.J. (1994). </w:t>
      </w:r>
      <w:r>
        <w:rPr>
          <w:i w:val="1"/>
          <w:iCs w:val="1"/>
          <w:rtl w:val="0"/>
          <w:lang w:val="en-US"/>
        </w:rPr>
        <w:t>Improving Organizational Effectiveness through Transformational Leadership</w:t>
      </w:r>
      <w:r>
        <w:rPr>
          <w:rtl w:val="0"/>
          <w:lang w:val="en-US"/>
        </w:rPr>
        <w:t xml:space="preserve">. [online] psycnet.apa.org. Available at: </w:t>
      </w:r>
      <w:r>
        <w:rPr>
          <w:rStyle w:val="Link"/>
        </w:rPr>
        <w:fldChar w:fldCharType="begin" w:fldLock="0"/>
      </w:r>
      <w:r>
        <w:rPr>
          <w:rStyle w:val="Link"/>
        </w:rPr>
        <w:instrText xml:space="preserve"> HYPERLINK "https://psycnet.apa.org/record/1995-97316-000"</w:instrText>
      </w:r>
      <w:r>
        <w:rPr>
          <w:rStyle w:val="Link"/>
        </w:rPr>
        <w:fldChar w:fldCharType="separate" w:fldLock="0"/>
      </w:r>
      <w:r>
        <w:rPr>
          <w:rStyle w:val="Link"/>
          <w:rtl w:val="0"/>
          <w:lang w:val="en-US"/>
        </w:rPr>
        <w:t>https://psycnet.apa.org/record/1995-97316-000</w:t>
      </w:r>
      <w:r>
        <w:rPr/>
        <w:fldChar w:fldCharType="end" w:fldLock="0"/>
      </w:r>
      <w:r>
        <w:rPr>
          <w:rtl w:val="0"/>
          <w:lang w:val="en-US"/>
        </w:rPr>
        <w:t xml:space="preserve"> </w:t>
      </w:r>
    </w:p>
    <w:p>
      <w:pPr>
        <w:pStyle w:val="Normal (Web)"/>
        <w:spacing w:before="120" w:after="120" w:line="360" w:lineRule="auto"/>
        <w:jc w:val="both"/>
      </w:pPr>
      <w:r>
        <w:rPr>
          <w:rtl w:val="0"/>
          <w:lang w:val="en-US"/>
        </w:rPr>
        <w:t xml:space="preserve">Bessant, J.R. and Tidd, J. (2024). </w:t>
      </w:r>
      <w:r>
        <w:rPr>
          <w:i w:val="1"/>
          <w:iCs w:val="1"/>
          <w:rtl w:val="0"/>
          <w:lang w:val="en-US"/>
        </w:rPr>
        <w:t>Innovation and Entrepreneurship</w:t>
      </w:r>
      <w:r>
        <w:rPr>
          <w:rtl w:val="0"/>
          <w:lang w:val="en-US"/>
        </w:rPr>
        <w:t>. Wiley.</w:t>
      </w:r>
    </w:p>
    <w:p>
      <w:pPr>
        <w:pStyle w:val="Normal (Web)"/>
        <w:spacing w:before="120" w:after="120" w:line="360" w:lineRule="auto"/>
        <w:jc w:val="both"/>
      </w:pPr>
      <w:r>
        <w:rPr>
          <w:rtl w:val="0"/>
          <w:lang w:val="en-US"/>
        </w:rPr>
        <w:t xml:space="preserve">Burnes, B. (2020). The Origins of Lewin's three-step Model of Change. </w:t>
      </w:r>
      <w:r>
        <w:rPr>
          <w:i w:val="1"/>
          <w:iCs w:val="1"/>
          <w:rtl w:val="0"/>
          <w:lang w:val="en-US"/>
        </w:rPr>
        <w:t>The Journal of Applied Behavioral Science</w:t>
      </w:r>
      <w:r>
        <w:rPr>
          <w:rtl w:val="0"/>
          <w:lang w:val="en-US"/>
        </w:rPr>
        <w:t>, 56(1), pp.32</w:t>
      </w:r>
      <w:r>
        <w:rPr>
          <w:rtl w:val="0"/>
          <w:lang w:val="en-US"/>
        </w:rPr>
        <w:t>–</w:t>
      </w:r>
      <w:r>
        <w:rPr>
          <w:rtl w:val="0"/>
          <w:lang w:val="en-US"/>
        </w:rPr>
        <w:t xml:space="preserve">59. doi: </w:t>
      </w:r>
      <w:r>
        <w:rPr>
          <w:rStyle w:val="Link"/>
        </w:rPr>
        <w:fldChar w:fldCharType="begin" w:fldLock="0"/>
      </w:r>
      <w:r>
        <w:rPr>
          <w:rStyle w:val="Link"/>
        </w:rPr>
        <w:instrText xml:space="preserve"> HYPERLINK "https://doi.org/10.1177/0021886319892685"</w:instrText>
      </w:r>
      <w:r>
        <w:rPr>
          <w:rStyle w:val="Link"/>
        </w:rPr>
        <w:fldChar w:fldCharType="separate" w:fldLock="0"/>
      </w:r>
      <w:r>
        <w:rPr>
          <w:rStyle w:val="Link"/>
          <w:rtl w:val="0"/>
          <w:lang w:val="en-US"/>
        </w:rPr>
        <w:t>https://doi.org/10.1177/0021886319892685</w:t>
      </w:r>
      <w:r>
        <w:rPr/>
        <w:fldChar w:fldCharType="end" w:fldLock="0"/>
      </w:r>
      <w:r>
        <w:rPr>
          <w:rtl w:val="0"/>
          <w:lang w:val="en-US"/>
        </w:rPr>
        <w:t xml:space="preserve"> </w:t>
      </w:r>
    </w:p>
    <w:p>
      <w:pPr>
        <w:pStyle w:val="Normal (Web)"/>
        <w:spacing w:before="120" w:after="120" w:line="360" w:lineRule="auto"/>
        <w:jc w:val="both"/>
      </w:pPr>
      <w:r>
        <w:rPr>
          <w:rtl w:val="0"/>
          <w:lang w:val="en-US"/>
        </w:rPr>
        <w:t xml:space="preserve">Davis, F.D. (1989). Perceived usefulness, perceived ease of use, and user acceptance of information technology. </w:t>
      </w:r>
      <w:r>
        <w:rPr>
          <w:i w:val="1"/>
          <w:iCs w:val="1"/>
          <w:rtl w:val="0"/>
          <w:lang w:val="en-US"/>
        </w:rPr>
        <w:t>MIS Quarterly</w:t>
      </w:r>
      <w:r>
        <w:rPr>
          <w:rtl w:val="0"/>
          <w:lang w:val="en-US"/>
        </w:rPr>
        <w:t>, [online] 13(3), pp.319</w:t>
      </w:r>
      <w:r>
        <w:rPr>
          <w:rtl w:val="0"/>
          <w:lang w:val="en-US"/>
        </w:rPr>
        <w:t>–</w:t>
      </w:r>
      <w:r>
        <w:rPr>
          <w:rtl w:val="0"/>
          <w:lang w:val="en-US"/>
        </w:rPr>
        <w:t xml:space="preserve">340. doi: </w:t>
      </w:r>
      <w:r>
        <w:rPr>
          <w:rStyle w:val="Link"/>
        </w:rPr>
        <w:fldChar w:fldCharType="begin" w:fldLock="0"/>
      </w:r>
      <w:r>
        <w:rPr>
          <w:rStyle w:val="Link"/>
        </w:rPr>
        <w:instrText xml:space="preserve"> HYPERLINK "https://doi.org/10.2307/249008"</w:instrText>
      </w:r>
      <w:r>
        <w:rPr>
          <w:rStyle w:val="Link"/>
        </w:rPr>
        <w:fldChar w:fldCharType="separate" w:fldLock="0"/>
      </w:r>
      <w:r>
        <w:rPr>
          <w:rStyle w:val="Link"/>
          <w:rtl w:val="0"/>
          <w:lang w:val="en-US"/>
        </w:rPr>
        <w:t>https://doi.org/10.2307/249008</w:t>
      </w:r>
      <w:r>
        <w:rPr/>
        <w:fldChar w:fldCharType="end" w:fldLock="0"/>
      </w:r>
      <w:r>
        <w:rPr>
          <w:rtl w:val="0"/>
          <w:lang w:val="en-US"/>
        </w:rPr>
        <w:t xml:space="preserve"> </w:t>
      </w:r>
    </w:p>
    <w:p>
      <w:pPr>
        <w:pStyle w:val="Normal (Web)"/>
        <w:spacing w:before="120" w:after="120" w:line="360" w:lineRule="auto"/>
        <w:jc w:val="both"/>
      </w:pPr>
      <w:r>
        <w:rPr>
          <w:rtl w:val="0"/>
          <w:lang w:val="en-US"/>
        </w:rPr>
        <w:t xml:space="preserve">Health and Care Act (2022). </w:t>
      </w:r>
      <w:r>
        <w:rPr>
          <w:i w:val="1"/>
          <w:iCs w:val="1"/>
          <w:rtl w:val="0"/>
          <w:lang w:val="en-US"/>
        </w:rPr>
        <w:t>Health and Care Act 2022</w:t>
      </w:r>
      <w:r>
        <w:rPr>
          <w:rtl w:val="0"/>
          <w:lang w:val="en-US"/>
        </w:rPr>
        <w:t xml:space="preserve">. [online] Legislation.gov.uk. Available at: </w:t>
      </w:r>
      <w:r>
        <w:rPr>
          <w:rStyle w:val="Link"/>
        </w:rPr>
        <w:fldChar w:fldCharType="begin" w:fldLock="0"/>
      </w:r>
      <w:r>
        <w:rPr>
          <w:rStyle w:val="Link"/>
        </w:rPr>
        <w:instrText xml:space="preserve"> HYPERLINK "https://www.legislation.gov.uk/ukpga/2022/31/contents"</w:instrText>
      </w:r>
      <w:r>
        <w:rPr>
          <w:rStyle w:val="Link"/>
        </w:rPr>
        <w:fldChar w:fldCharType="separate" w:fldLock="0"/>
      </w:r>
      <w:r>
        <w:rPr>
          <w:rStyle w:val="Link"/>
          <w:rtl w:val="0"/>
          <w:lang w:val="en-US"/>
        </w:rPr>
        <w:t>https://www.legislation.gov.uk/ukpga/2022/31/contents</w:t>
      </w:r>
      <w:r>
        <w:rPr/>
        <w:fldChar w:fldCharType="end" w:fldLock="0"/>
      </w:r>
      <w:r>
        <w:rPr>
          <w:rtl w:val="0"/>
          <w:lang w:val="en-US"/>
        </w:rPr>
        <w:t xml:space="preserve"> </w:t>
      </w:r>
    </w:p>
    <w:p>
      <w:pPr>
        <w:pStyle w:val="Body"/>
        <w:spacing w:before="120" w:after="120" w:line="360" w:lineRule="auto"/>
        <w:rPr>
          <w:rFonts w:ascii="Times New Roman" w:cs="Times New Roman" w:hAnsi="Times New Roman" w:eastAsia="Times New Roman"/>
          <w:sz w:val="24"/>
          <w:szCs w:val="24"/>
        </w:rPr>
      </w:pPr>
      <w:r>
        <w:rPr>
          <w:rFonts w:ascii="Times New Roman" w:hAnsi="Times New Roman"/>
          <w:sz w:val="24"/>
          <w:szCs w:val="24"/>
          <w:rtl w:val="0"/>
          <w:lang w:val="en-US"/>
        </w:rPr>
        <w:t xml:space="preserve">Jafleh, E.A., Alnaqbi, F.A., Almaeeni, H.A., Faqeeh, S., Alzaabi, M.A. and Al Zaman, K. (2024). The Role of Wearable Devices in Chronic Disease Monitoring and Patient Care: A Comprehensive Review. </w:t>
      </w:r>
      <w:r>
        <w:rPr>
          <w:rFonts w:ascii="Times New Roman" w:hAnsi="Times New Roman"/>
          <w:i w:val="1"/>
          <w:iCs w:val="1"/>
          <w:sz w:val="24"/>
          <w:szCs w:val="24"/>
          <w:rtl w:val="0"/>
          <w:lang w:val="fr-FR"/>
        </w:rPr>
        <w:t>Cureus</w:t>
      </w:r>
      <w:r>
        <w:rPr>
          <w:rFonts w:ascii="Times New Roman" w:hAnsi="Times New Roman"/>
          <w:sz w:val="24"/>
          <w:szCs w:val="24"/>
          <w:rtl w:val="0"/>
          <w:lang w:val="en-US"/>
        </w:rPr>
        <w:t xml:space="preserve">, [online] 16(9). Available at: </w:t>
      </w:r>
      <w:r>
        <w:rPr>
          <w:rStyle w:val="Hyperlink.0"/>
        </w:rPr>
        <w:fldChar w:fldCharType="begin" w:fldLock="0"/>
      </w:r>
      <w:r>
        <w:rPr>
          <w:rStyle w:val="Hyperlink.0"/>
        </w:rPr>
        <w:instrText xml:space="preserve"> HYPERLINK "https://pubmed.ncbi.nlm.nih.gov/39381470/"</w:instrText>
      </w:r>
      <w:r>
        <w:rPr>
          <w:rStyle w:val="Hyperlink.0"/>
        </w:rPr>
        <w:fldChar w:fldCharType="separate" w:fldLock="0"/>
      </w:r>
      <w:r>
        <w:rPr>
          <w:rStyle w:val="Hyperlink.0"/>
          <w:rtl w:val="0"/>
        </w:rPr>
        <w:t>https://pubmed.ncbi.nlm.nih.gov/39381470/</w:t>
      </w:r>
      <w:r>
        <w:rPr/>
        <w:fldChar w:fldCharType="end" w:fldLock="0"/>
      </w:r>
      <w:r>
        <w:rPr>
          <w:rFonts w:ascii="Times New Roman" w:hAnsi="Times New Roman"/>
          <w:sz w:val="24"/>
          <w:szCs w:val="24"/>
          <w:rtl w:val="0"/>
        </w:rPr>
        <w:t>.</w:t>
      </w:r>
    </w:p>
    <w:p>
      <w:pPr>
        <w:pStyle w:val="Normal (Web)"/>
        <w:spacing w:before="120" w:after="120" w:line="360" w:lineRule="auto"/>
        <w:jc w:val="both"/>
      </w:pPr>
      <w:r>
        <w:rPr>
          <w:rtl w:val="0"/>
          <w:lang w:val="en-US"/>
        </w:rPr>
        <w:t xml:space="preserve">Jamil, A., Sehat, R.M., Johari, Y.C., Nordin, E., Hussein, W.S. and Hasin, H. (2023). Exploring the link between job stress and performance: Identifying the root causes. </w:t>
      </w:r>
      <w:r>
        <w:rPr>
          <w:i w:val="1"/>
          <w:iCs w:val="1"/>
          <w:rtl w:val="0"/>
          <w:lang w:val="en-US"/>
        </w:rPr>
        <w:t>International Journal of Academic Research in accounting, Finance and Management Sciences</w:t>
      </w:r>
      <w:r>
        <w:rPr>
          <w:rtl w:val="0"/>
          <w:lang w:val="en-US"/>
        </w:rPr>
        <w:t xml:space="preserve">, 13(3). doi: </w:t>
      </w:r>
      <w:r>
        <w:rPr>
          <w:rStyle w:val="Link"/>
        </w:rPr>
        <w:fldChar w:fldCharType="begin" w:fldLock="0"/>
      </w:r>
      <w:r>
        <w:rPr>
          <w:rStyle w:val="Link"/>
        </w:rPr>
        <w:instrText xml:space="preserve"> HYPERLINK "https://doi.org/10.6007/ijarafms/v13-i3/19073"</w:instrText>
      </w:r>
      <w:r>
        <w:rPr>
          <w:rStyle w:val="Link"/>
        </w:rPr>
        <w:fldChar w:fldCharType="separate" w:fldLock="0"/>
      </w:r>
      <w:r>
        <w:rPr>
          <w:rStyle w:val="Link"/>
          <w:rtl w:val="0"/>
          <w:lang w:val="en-US"/>
        </w:rPr>
        <w:t>https://doi.org/10.6007/ijarafms/v13-i3/19073</w:t>
      </w:r>
      <w:r>
        <w:rPr/>
        <w:fldChar w:fldCharType="end" w:fldLock="0"/>
      </w:r>
      <w:r>
        <w:rPr>
          <w:rtl w:val="0"/>
          <w:lang w:val="en-US"/>
        </w:rPr>
        <w:t xml:space="preserve"> </w:t>
      </w:r>
    </w:p>
    <w:p>
      <w:pPr>
        <w:pStyle w:val="Normal (Web)"/>
        <w:spacing w:before="120" w:after="120" w:line="360" w:lineRule="auto"/>
        <w:jc w:val="both"/>
      </w:pPr>
      <w:r>
        <w:rPr>
          <w:rtl w:val="0"/>
          <w:lang w:val="en-US"/>
        </w:rPr>
        <w:t xml:space="preserve">King's Fund (2026). </w:t>
      </w:r>
      <w:r>
        <w:rPr>
          <w:i w:val="1"/>
          <w:iCs w:val="1"/>
          <w:rtl w:val="0"/>
          <w:lang w:val="en-US"/>
        </w:rPr>
        <w:t>Social Care 360: Access</w:t>
      </w:r>
      <w:r>
        <w:rPr>
          <w:rtl w:val="0"/>
          <w:lang w:val="en-US"/>
        </w:rPr>
        <w:t xml:space="preserve">. [online] The King's Fund. Available at: </w:t>
      </w:r>
      <w:r>
        <w:rPr>
          <w:rStyle w:val="Link"/>
        </w:rPr>
        <w:fldChar w:fldCharType="begin" w:fldLock="0"/>
      </w:r>
      <w:r>
        <w:rPr>
          <w:rStyle w:val="Link"/>
        </w:rPr>
        <w:instrText xml:space="preserve"> HYPERLINK "https://www.kingsfund.org.uk/insight-and-analysis/long-reads/social-care-360-access"</w:instrText>
      </w:r>
      <w:r>
        <w:rPr>
          <w:rStyle w:val="Link"/>
        </w:rPr>
        <w:fldChar w:fldCharType="separate" w:fldLock="0"/>
      </w:r>
      <w:r>
        <w:rPr>
          <w:rStyle w:val="Link"/>
          <w:rtl w:val="0"/>
          <w:lang w:val="en-US"/>
        </w:rPr>
        <w:t>https://www.kingsfund.org.uk/insight-and-analysis/long-reads/social-care-360-access</w:t>
      </w:r>
      <w:r>
        <w:rPr/>
        <w:fldChar w:fldCharType="end" w:fldLock="0"/>
      </w:r>
      <w:r>
        <w:rPr>
          <w:rtl w:val="0"/>
          <w:lang w:val="en-US"/>
        </w:rPr>
        <w:t xml:space="preserve"> </w:t>
      </w:r>
    </w:p>
    <w:p>
      <w:pPr>
        <w:pStyle w:val="Normal (Web)"/>
        <w:spacing w:before="120" w:after="120" w:line="360" w:lineRule="auto"/>
        <w:jc w:val="both"/>
      </w:pPr>
      <w:r>
        <w:rPr>
          <w:rtl w:val="0"/>
          <w:lang w:val="en-US"/>
        </w:rPr>
        <w:t xml:space="preserve">Mishra, S. (2025). </w:t>
      </w:r>
      <w:r>
        <w:rPr>
          <w:i w:val="1"/>
          <w:iCs w:val="1"/>
          <w:rtl w:val="0"/>
          <w:lang w:val="en-US"/>
        </w:rPr>
        <w:t>Under Pressure: The Impact of Workplace Stress on Performance, Satisfaction, and Emotional Labor in High-Demand Professions</w:t>
      </w:r>
      <w:r>
        <w:rPr>
          <w:rtl w:val="0"/>
          <w:lang w:val="en-US"/>
        </w:rPr>
        <w:t xml:space="preserve">. [online] ResearchGate. doi: </w:t>
      </w:r>
      <w:r>
        <w:rPr>
          <w:rStyle w:val="Link"/>
        </w:rPr>
        <w:fldChar w:fldCharType="begin" w:fldLock="0"/>
      </w:r>
      <w:r>
        <w:rPr>
          <w:rStyle w:val="Link"/>
        </w:rPr>
        <w:instrText xml:space="preserve"> HYPERLINK "https://doi.org/10.58445/rars.2769"</w:instrText>
      </w:r>
      <w:r>
        <w:rPr>
          <w:rStyle w:val="Link"/>
        </w:rPr>
        <w:fldChar w:fldCharType="separate" w:fldLock="0"/>
      </w:r>
      <w:r>
        <w:rPr>
          <w:rStyle w:val="Link"/>
          <w:rtl w:val="0"/>
          <w:lang w:val="en-US"/>
        </w:rPr>
        <w:t>https://doi.org/10.58445/rars.2769</w:t>
      </w:r>
      <w:r>
        <w:rPr/>
        <w:fldChar w:fldCharType="end" w:fldLock="0"/>
      </w:r>
      <w:r>
        <w:rPr>
          <w:rtl w:val="0"/>
          <w:lang w:val="en-US"/>
        </w:rPr>
        <w:t xml:space="preserve"> </w:t>
      </w:r>
    </w:p>
    <w:p>
      <w:pPr>
        <w:pStyle w:val="Normal (Web)"/>
        <w:spacing w:before="120" w:after="120" w:line="360" w:lineRule="auto"/>
        <w:jc w:val="both"/>
      </w:pPr>
      <w:r>
        <w:rPr>
          <w:rtl w:val="0"/>
          <w:lang w:val="en-US"/>
        </w:rPr>
        <w:t xml:space="preserve">National Institute for Health and Care Excellence (NICE) (2021). </w:t>
      </w:r>
      <w:r>
        <w:rPr>
          <w:i w:val="1"/>
          <w:iCs w:val="1"/>
          <w:rtl w:val="0"/>
          <w:lang w:val="en-US"/>
        </w:rPr>
        <w:t>Shared Decision Making NICE Guideline</w:t>
      </w:r>
      <w:r>
        <w:rPr>
          <w:rtl w:val="0"/>
          <w:lang w:val="en-US"/>
        </w:rPr>
        <w:t xml:space="preserve">. [online] Available at: </w:t>
      </w:r>
      <w:r>
        <w:rPr>
          <w:rStyle w:val="Link"/>
        </w:rPr>
        <w:fldChar w:fldCharType="begin" w:fldLock="0"/>
      </w:r>
      <w:r>
        <w:rPr>
          <w:rStyle w:val="Link"/>
        </w:rPr>
        <w:instrText xml:space="preserve"> HYPERLINK "https://www.nice.org.uk/guidance/ng197/resources/shared-decision-making-pdf-66142087186885"</w:instrText>
      </w:r>
      <w:r>
        <w:rPr>
          <w:rStyle w:val="Link"/>
        </w:rPr>
        <w:fldChar w:fldCharType="separate" w:fldLock="0"/>
      </w:r>
      <w:r>
        <w:rPr>
          <w:rStyle w:val="Link"/>
          <w:rtl w:val="0"/>
          <w:lang w:val="en-US"/>
        </w:rPr>
        <w:t>https://www.nice.org.uk/guidance/ng197/resources/shared-decision-making-pdf-66142087186885</w:t>
      </w:r>
      <w:r>
        <w:rPr/>
        <w:fldChar w:fldCharType="end" w:fldLock="0"/>
      </w:r>
      <w:r>
        <w:rPr>
          <w:rtl w:val="0"/>
          <w:lang w:val="en-US"/>
        </w:rPr>
        <w:t xml:space="preserve"> </w:t>
      </w:r>
    </w:p>
    <w:p>
      <w:pPr>
        <w:pStyle w:val="Normal (Web)"/>
        <w:spacing w:before="120" w:after="120" w:line="360" w:lineRule="auto"/>
        <w:jc w:val="both"/>
      </w:pPr>
      <w:r>
        <w:rPr>
          <w:rtl w:val="0"/>
          <w:lang w:val="en-US"/>
        </w:rPr>
        <w:t xml:space="preserve">NHS (2025). </w:t>
      </w:r>
      <w:r>
        <w:rPr>
          <w:i w:val="1"/>
          <w:iCs w:val="1"/>
          <w:rtl w:val="0"/>
          <w:lang w:val="en-US"/>
        </w:rPr>
        <w:t>UK Government Web Archive</w:t>
      </w:r>
      <w:r>
        <w:rPr>
          <w:rtl w:val="0"/>
          <w:lang w:val="en-US"/>
        </w:rPr>
        <w:t xml:space="preserve">. [online] Nationalarchives.gov.uk. Available at: </w:t>
      </w:r>
      <w:r>
        <w:rPr>
          <w:rStyle w:val="Link"/>
        </w:rPr>
        <w:fldChar w:fldCharType="begin" w:fldLock="0"/>
      </w:r>
      <w:r>
        <w:rPr>
          <w:rStyle w:val="Link"/>
        </w:rPr>
        <w:instrText xml:space="preserve"> HYPERLINK "https://webarchive.nationalarchives.gov.uk/ukgwa/20250707103655/https://www.longtermplan.nhs.uk/"</w:instrText>
      </w:r>
      <w:r>
        <w:rPr>
          <w:rStyle w:val="Link"/>
        </w:rPr>
        <w:fldChar w:fldCharType="separate" w:fldLock="0"/>
      </w:r>
      <w:r>
        <w:rPr>
          <w:rStyle w:val="Link"/>
          <w:rtl w:val="0"/>
          <w:lang w:val="en-US"/>
        </w:rPr>
        <w:t>https://webarchive.nationalarchives.gov.uk/ukgwa/20250707103655/https://www.longtermplan.nhs.uk/</w:t>
      </w:r>
      <w:r>
        <w:rPr/>
        <w:fldChar w:fldCharType="end" w:fldLock="0"/>
      </w:r>
      <w:r>
        <w:rPr>
          <w:rtl w:val="0"/>
          <w:lang w:val="en-US"/>
        </w:rPr>
        <w:t xml:space="preserve"> </w:t>
      </w:r>
    </w:p>
    <w:p>
      <w:pPr>
        <w:pStyle w:val="Normal (Web)"/>
        <w:spacing w:before="120" w:after="120" w:line="360" w:lineRule="auto"/>
        <w:jc w:val="both"/>
      </w:pPr>
      <w:r>
        <w:rPr>
          <w:rtl w:val="0"/>
          <w:lang w:val="en-US"/>
        </w:rPr>
        <w:t xml:space="preserve">NHS England (2023). </w:t>
      </w:r>
      <w:r>
        <w:rPr>
          <w:i w:val="1"/>
          <w:iCs w:val="1"/>
          <w:rtl w:val="0"/>
          <w:lang w:val="en-US"/>
        </w:rPr>
        <w:t>Digital transformation</w:t>
      </w:r>
      <w:r>
        <w:rPr>
          <w:rtl w:val="0"/>
          <w:lang w:val="en-US"/>
        </w:rPr>
        <w:t xml:space="preserve">. [online] England.nhs.uk. Available at: </w:t>
      </w:r>
      <w:r>
        <w:rPr>
          <w:rStyle w:val="Link"/>
        </w:rPr>
        <w:fldChar w:fldCharType="begin" w:fldLock="0"/>
      </w:r>
      <w:r>
        <w:rPr>
          <w:rStyle w:val="Link"/>
        </w:rPr>
        <w:instrText xml:space="preserve"> HYPERLINK "https://www.england.nhs.uk/digitaltechnology/"</w:instrText>
      </w:r>
      <w:r>
        <w:rPr>
          <w:rStyle w:val="Link"/>
        </w:rPr>
        <w:fldChar w:fldCharType="separate" w:fldLock="0"/>
      </w:r>
      <w:r>
        <w:rPr>
          <w:rStyle w:val="Link"/>
          <w:rtl w:val="0"/>
          <w:lang w:val="en-US"/>
        </w:rPr>
        <w:t>https://www.england.nhs.uk/digitaltechnology/</w:t>
      </w:r>
      <w:r>
        <w:rPr/>
        <w:fldChar w:fldCharType="end" w:fldLock="0"/>
      </w:r>
      <w:r>
        <w:rPr>
          <w:rtl w:val="0"/>
          <w:lang w:val="en-US"/>
        </w:rPr>
        <w:t xml:space="preserve"> </w:t>
      </w:r>
    </w:p>
    <w:p>
      <w:pPr>
        <w:pStyle w:val="Normal (Web)"/>
        <w:spacing w:before="120" w:after="120" w:line="360" w:lineRule="auto"/>
        <w:jc w:val="both"/>
      </w:pPr>
      <w:r>
        <w:rPr>
          <w:rtl w:val="0"/>
          <w:lang w:val="en-US"/>
        </w:rPr>
        <w:t xml:space="preserve">ONS (2020). </w:t>
      </w:r>
      <w:r>
        <w:rPr>
          <w:i w:val="1"/>
          <w:iCs w:val="1"/>
          <w:rtl w:val="0"/>
          <w:lang w:val="en-US"/>
        </w:rPr>
        <w:t>Health state life expectancies, UK QMI: 2020 to 2022 - Office for National Statistics</w:t>
      </w:r>
      <w:r>
        <w:rPr>
          <w:rtl w:val="0"/>
          <w:lang w:val="en-US"/>
        </w:rPr>
        <w:t xml:space="preserve">. [online] Ons.gov.uk. Available at: </w:t>
      </w:r>
      <w:r>
        <w:rPr>
          <w:rStyle w:val="Link"/>
        </w:rPr>
        <w:fldChar w:fldCharType="begin" w:fldLock="0"/>
      </w:r>
      <w:r>
        <w:rPr>
          <w:rStyle w:val="Link"/>
        </w:rPr>
        <w:instrText xml:space="preserve"> HYPERLINK "https://www.ons.gov.uk/peoplepopulationandcommunity/healthandsocialcare/healthandlifeexpectancies/methodologies/healthstatelifeexpectanciesukqmi2020to2022"</w:instrText>
      </w:r>
      <w:r>
        <w:rPr>
          <w:rStyle w:val="Link"/>
        </w:rPr>
        <w:fldChar w:fldCharType="separate" w:fldLock="0"/>
      </w:r>
      <w:r>
        <w:rPr>
          <w:rStyle w:val="Link"/>
          <w:rtl w:val="0"/>
          <w:lang w:val="en-US"/>
        </w:rPr>
        <w:t>https://www.ons.gov.uk/peoplepopulationandcommunity/healthandsocialcare/healthandlifeexpectancies/methodologies/healthstatelifeexpectanciesukqmi2020to2022</w:t>
      </w:r>
      <w:r>
        <w:rPr/>
        <w:fldChar w:fldCharType="end" w:fldLock="0"/>
      </w:r>
      <w:r>
        <w:rPr>
          <w:rtl w:val="0"/>
          <w:lang w:val="en-US"/>
        </w:rPr>
        <w:t xml:space="preserve"> </w:t>
      </w:r>
    </w:p>
    <w:p>
      <w:pPr>
        <w:pStyle w:val="Normal (Web)"/>
        <w:spacing w:before="120" w:after="120" w:line="360" w:lineRule="auto"/>
        <w:jc w:val="both"/>
      </w:pPr>
      <w:r>
        <w:rPr>
          <w:rtl w:val="0"/>
          <w:lang w:val="en-US"/>
        </w:rPr>
        <w:t xml:space="preserve">Piwek, L., Ellis, D.A., Andrews, S. and Joinson, A. (2016). The Rise of Consumer Health Wearables: Promises and Barriers. </w:t>
      </w:r>
      <w:r>
        <w:rPr>
          <w:i w:val="1"/>
          <w:iCs w:val="1"/>
          <w:rtl w:val="0"/>
          <w:lang w:val="en-US"/>
        </w:rPr>
        <w:t>PLOS Medicine</w:t>
      </w:r>
      <w:r>
        <w:rPr>
          <w:rtl w:val="0"/>
          <w:lang w:val="en-US"/>
        </w:rPr>
        <w:t xml:space="preserve">, [online] 13(2), p.e1001953. doi: </w:t>
      </w:r>
      <w:r>
        <w:rPr>
          <w:rStyle w:val="Link"/>
        </w:rPr>
        <w:fldChar w:fldCharType="begin" w:fldLock="0"/>
      </w:r>
      <w:r>
        <w:rPr>
          <w:rStyle w:val="Link"/>
        </w:rPr>
        <w:instrText xml:space="preserve"> HYPERLINK "https://doi.org/10.1371/journal.pmed.1001953"</w:instrText>
      </w:r>
      <w:r>
        <w:rPr>
          <w:rStyle w:val="Link"/>
        </w:rPr>
        <w:fldChar w:fldCharType="separate" w:fldLock="0"/>
      </w:r>
      <w:r>
        <w:rPr>
          <w:rStyle w:val="Link"/>
          <w:rtl w:val="0"/>
          <w:lang w:val="en-US"/>
        </w:rPr>
        <w:t>https://doi.org/10.1371/journal.pmed.1001953</w:t>
      </w:r>
      <w:r>
        <w:rPr/>
        <w:fldChar w:fldCharType="end" w:fldLock="0"/>
      </w:r>
      <w:r>
        <w:rPr>
          <w:rtl w:val="0"/>
          <w:lang w:val="en-US"/>
        </w:rPr>
        <w:t xml:space="preserve"> </w:t>
      </w:r>
    </w:p>
    <w:p>
      <w:pPr>
        <w:pStyle w:val="Normal (Web)"/>
        <w:spacing w:before="120" w:after="120" w:line="360" w:lineRule="auto"/>
        <w:jc w:val="both"/>
      </w:pPr>
      <w:r>
        <w:rPr>
          <w:rtl w:val="0"/>
          <w:lang w:val="en-US"/>
        </w:rPr>
        <w:t xml:space="preserve">Rogers, E.M. (2003). </w:t>
      </w:r>
      <w:r>
        <w:rPr>
          <w:i w:val="1"/>
          <w:iCs w:val="1"/>
          <w:rtl w:val="0"/>
          <w:lang w:val="en-US"/>
        </w:rPr>
        <w:t>Diffusion of innovations</w:t>
      </w:r>
      <w:r>
        <w:rPr>
          <w:rtl w:val="0"/>
          <w:lang w:val="en-US"/>
        </w:rPr>
        <w:t>. 5th ed. New York: Simon and Schuster.</w:t>
      </w:r>
    </w:p>
    <w:p>
      <w:pPr>
        <w:pStyle w:val="Normal (Web)"/>
        <w:spacing w:before="120" w:after="120" w:line="360" w:lineRule="auto"/>
        <w:jc w:val="both"/>
      </w:pPr>
      <w:r>
        <w:rPr>
          <w:rtl w:val="0"/>
          <w:lang w:val="en-US"/>
        </w:rPr>
        <w:t xml:space="preserve">West, M., Bailey, S. and Williams, E. (2020). </w:t>
      </w:r>
      <w:r>
        <w:rPr>
          <w:i w:val="1"/>
          <w:iCs w:val="1"/>
          <w:rtl w:val="0"/>
          <w:lang w:val="en-US"/>
        </w:rPr>
        <w:t>The Courage of Compassion: Supporting Nurses and Midwives to Deliver High-Quality Care</w:t>
      </w:r>
      <w:r>
        <w:rPr>
          <w:rtl w:val="0"/>
          <w:lang w:val="en-US"/>
        </w:rPr>
        <w:t xml:space="preserve">. [online] The King's Fund. Available at: </w:t>
      </w:r>
      <w:r>
        <w:rPr>
          <w:rStyle w:val="Link"/>
        </w:rPr>
        <w:fldChar w:fldCharType="begin" w:fldLock="0"/>
      </w:r>
      <w:r>
        <w:rPr>
          <w:rStyle w:val="Link"/>
        </w:rPr>
        <w:instrText xml:space="preserve"> HYPERLINK "https://www.kingsfund.org.uk/insight-and-analysis/reports/courage-compassion-supporting-nurses-midwives"</w:instrText>
      </w:r>
      <w:r>
        <w:rPr>
          <w:rStyle w:val="Link"/>
        </w:rPr>
        <w:fldChar w:fldCharType="separate" w:fldLock="0"/>
      </w:r>
      <w:r>
        <w:rPr>
          <w:rStyle w:val="Link"/>
          <w:rtl w:val="0"/>
          <w:lang w:val="en-US"/>
        </w:rPr>
        <w:t>https://www.kingsfund.org.uk/insight-and-analysis/reports/courage-compassion-supporting-nurses-midwives</w:t>
      </w:r>
      <w:r>
        <w:rPr/>
        <w:fldChar w:fldCharType="end" w:fldLock="0"/>
      </w:r>
      <w:r>
        <w:rPr>
          <w:rtl w:val="0"/>
          <w:lang w:val="en-US"/>
        </w:rPr>
        <w:t xml:space="preserve">. </w:t>
      </w:r>
    </w:p>
    <w:p>
      <w:pPr>
        <w:pStyle w:val="Normal (Web)"/>
        <w:spacing w:before="120" w:after="120" w:line="360" w:lineRule="auto"/>
        <w:jc w:val="both"/>
      </w:pPr>
      <w:r>
        <w:rPr>
          <w:rtl w:val="0"/>
          <w:lang w:val="en-US"/>
        </w:rPr>
        <w:t xml:space="preserve">WHO (2024). </w:t>
      </w:r>
      <w:r>
        <w:rPr>
          <w:i w:val="1"/>
          <w:iCs w:val="1"/>
          <w:rtl w:val="0"/>
          <w:lang w:val="en-US"/>
        </w:rPr>
        <w:t>Digital health</w:t>
      </w:r>
      <w:r>
        <w:rPr>
          <w:rtl w:val="0"/>
          <w:lang w:val="en-US"/>
        </w:rPr>
        <w:t xml:space="preserve">. [online] www.who.int. Available at: </w:t>
      </w:r>
      <w:r>
        <w:rPr>
          <w:rStyle w:val="Link"/>
        </w:rPr>
        <w:fldChar w:fldCharType="begin" w:fldLock="0"/>
      </w:r>
      <w:r>
        <w:rPr>
          <w:rStyle w:val="Link"/>
        </w:rPr>
        <w:instrText xml:space="preserve"> HYPERLINK "https://www.who.int/health-topics/digital-health"</w:instrText>
      </w:r>
      <w:r>
        <w:rPr>
          <w:rStyle w:val="Link"/>
        </w:rPr>
        <w:fldChar w:fldCharType="separate" w:fldLock="0"/>
      </w:r>
      <w:r>
        <w:rPr>
          <w:rStyle w:val="Link"/>
          <w:rtl w:val="0"/>
          <w:lang w:val="en-US"/>
        </w:rPr>
        <w:t>https://www.who.int/health-topics/digital-health</w:t>
      </w:r>
      <w:r>
        <w:rPr/>
        <w:fldChar w:fldCharType="end" w:fldLock="0"/>
      </w:r>
      <w:r>
        <w:rPr>
          <w:rtl w:val="0"/>
          <w:lang w:val="en-US"/>
        </w:rPr>
        <w:t xml:space="preserve">. </w:t>
      </w:r>
    </w:p>
    <w:p>
      <w:pPr>
        <w:pStyle w:val="Body"/>
        <w:spacing w:before="120" w:after="120" w:line="360" w:lineRule="auto"/>
      </w:pPr>
      <w:r>
        <w:rPr>
          <w:rFonts w:ascii="Times New Roman" w:hAnsi="Times New Roman"/>
          <w:sz w:val="24"/>
          <w:szCs w:val="24"/>
          <w:rtl w:val="0"/>
          <w:lang w:val="en-US"/>
        </w:rPr>
        <w:t>Williamson, J.R. (2023). Applying diffusion of innovation theory to examine providers</w:t>
      </w:r>
      <w:r>
        <w:rPr>
          <w:rFonts w:ascii="Times New Roman" w:hAnsi="Times New Roman" w:hint="default"/>
          <w:sz w:val="24"/>
          <w:szCs w:val="24"/>
          <w:rtl w:val="0"/>
          <w:lang w:val="en-US"/>
        </w:rPr>
        <w:t xml:space="preserve">’ </w:t>
      </w:r>
      <w:r>
        <w:rPr>
          <w:rFonts w:ascii="Times New Roman" w:hAnsi="Times New Roman"/>
          <w:sz w:val="24"/>
          <w:szCs w:val="24"/>
          <w:rtl w:val="0"/>
          <w:lang w:val="en-US"/>
        </w:rPr>
        <w:t xml:space="preserve">perceptions of rural telehealth application and competencies. </w:t>
      </w:r>
      <w:r>
        <w:rPr>
          <w:rFonts w:ascii="Times New Roman" w:hAnsi="Times New Roman"/>
          <w:i w:val="1"/>
          <w:iCs w:val="1"/>
          <w:sz w:val="24"/>
          <w:szCs w:val="24"/>
          <w:rtl w:val="0"/>
          <w:lang w:val="it-IT"/>
        </w:rPr>
        <w:t>Rural Society</w:t>
      </w:r>
      <w:r>
        <w:rPr>
          <w:rFonts w:ascii="Times New Roman" w:hAnsi="Times New Roman"/>
          <w:sz w:val="24"/>
          <w:szCs w:val="24"/>
          <w:rtl w:val="0"/>
        </w:rPr>
        <w:t>, 32(3), pp.201</w:t>
      </w:r>
      <w:r>
        <w:rPr>
          <w:rFonts w:ascii="Times New Roman" w:hAnsi="Times New Roman" w:hint="default"/>
          <w:sz w:val="24"/>
          <w:szCs w:val="24"/>
          <w:rtl w:val="0"/>
          <w:lang w:val="en-US"/>
        </w:rPr>
        <w:t>–</w:t>
      </w:r>
      <w:r>
        <w:rPr>
          <w:rFonts w:ascii="Times New Roman" w:hAnsi="Times New Roman"/>
          <w:sz w:val="24"/>
          <w:szCs w:val="24"/>
          <w:rtl w:val="0"/>
          <w:lang w:val="en-US"/>
        </w:rPr>
        <w:t xml:space="preserve">219. doi: </w:t>
      </w:r>
      <w:r>
        <w:rPr>
          <w:rStyle w:val="Hyperlink.0"/>
        </w:rPr>
        <w:fldChar w:fldCharType="begin" w:fldLock="0"/>
      </w:r>
      <w:r>
        <w:rPr>
          <w:rStyle w:val="Hyperlink.0"/>
        </w:rPr>
        <w:instrText xml:space="preserve"> HYPERLINK "https://doi.org/10.1080/10371656.2023.2270852"</w:instrText>
      </w:r>
      <w:r>
        <w:rPr>
          <w:rStyle w:val="Hyperlink.0"/>
        </w:rPr>
        <w:fldChar w:fldCharType="separate" w:fldLock="0"/>
      </w:r>
      <w:r>
        <w:rPr>
          <w:rStyle w:val="Hyperlink.0"/>
          <w:rtl w:val="0"/>
          <w:lang w:val="en-US"/>
        </w:rPr>
        <w:t>https://doi.org/10.1080/10371656.2023.2270852</w:t>
      </w:r>
      <w:r>
        <w:rPr/>
        <w:fldChar w:fldCharType="end" w:fldLock="0"/>
      </w:r>
      <w:r>
        <w:rPr>
          <w:rFonts w:ascii="Times New Roman" w:hAnsi="Times New Roman"/>
          <w:sz w:val="24"/>
          <w:szCs w:val="24"/>
          <w:rtl w:val="0"/>
        </w:rPr>
        <w:t xml:space="preserve"> </w:t>
      </w:r>
    </w:p>
    <w:sectPr>
      <w:headerReference w:type="default" r:id="rId6"/>
      <w:footerReference w:type="default" r:id="rId7"/>
      <w:pgSz w:w="12240" w:h="15840" w:orient="portrait"/>
      <w:pgMar w:top="1440" w:right="1440" w:bottom="1440" w:left="1440" w:header="720" w:footer="72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Calibri">
    <w:charset w:val="00"/>
    <w:family w:val="roman"/>
    <w:pitch w:val="default"/>
  </w:font>
  <w:font w:name="Helvetica Neue">
    <w:charset w:val="00"/>
    <w:family w:val="roman"/>
    <w:pitch w:val="default"/>
  </w:font>
  <w:font w:name="Calibri Light">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w:tabs>
        <w:tab w:val="right" w:pos="9340"/>
        <w:tab w:val="clear" w:pos="9360"/>
      </w:tabs>
      <w:ind w:firstLine="2160"/>
    </w:pPr>
    <w:r>
      <w:rPr>
        <w:rFonts w:ascii="Times New Roman" w:hAnsi="Times New Roman"/>
        <w:sz w:val="24"/>
        <w:szCs w:val="24"/>
        <w:rtl w:val="0"/>
        <w:lang w:val="en-US"/>
      </w:rPr>
      <w:t xml:space="preserve">          </w:t>
      <w:tab/>
      <w:tab/>
    </w:r>
    <w:r>
      <w:rPr>
        <w:rFonts w:ascii="Times New Roman" w:cs="Times New Roman" w:hAnsi="Times New Roman" w:eastAsia="Times New Roman"/>
        <w:sz w:val="24"/>
        <w:szCs w:val="24"/>
        <w:rtl w:val="0"/>
      </w:rPr>
      <w:fldChar w:fldCharType="begin" w:fldLock="0"/>
    </w:r>
    <w:r>
      <w:rPr>
        <w:rFonts w:ascii="Times New Roman" w:cs="Times New Roman" w:hAnsi="Times New Roman" w:eastAsia="Times New Roman"/>
        <w:sz w:val="24"/>
        <w:szCs w:val="24"/>
        <w:rtl w:val="0"/>
      </w:rPr>
      <w:instrText xml:space="preserve"> PAGE </w:instrText>
    </w:r>
    <w:r>
      <w:rPr>
        <w:rFonts w:ascii="Times New Roman" w:cs="Times New Roman" w:hAnsi="Times New Roman" w:eastAsia="Times New Roman"/>
        <w:sz w:val="24"/>
        <w:szCs w:val="24"/>
        <w:rtl w:val="0"/>
      </w:rPr>
      <w:fldChar w:fldCharType="separate" w:fldLock="0"/>
    </w:r>
    <w:r>
      <w:rPr>
        <w:rFonts w:ascii="Times New Roman" w:cs="Times New Roman" w:hAnsi="Times New Roman" w:eastAsia="Times New Roman"/>
        <w:sz w:val="24"/>
        <w:szCs w:val="24"/>
        <w:rtl w:val="0"/>
      </w:rPr>
    </w:r>
    <w:r>
      <w:rPr>
        <w:rFonts w:ascii="Times New Roman" w:cs="Times New Roman" w:hAnsi="Times New Roman" w:eastAsia="Times New Roman"/>
        <w:sz w:val="24"/>
        <w:szCs w:val="24"/>
        <w:rtl w:val="0"/>
      </w:rPr>
      <w:fldChar w:fldCharType="end" w:fldLock="0"/>
    </w:r>
    <w:r>
      <w:rPr>
        <w:rFonts w:ascii="Times New Roman" w:cs="Times New Roman" w:hAnsi="Times New Roman" w:eastAsia="Times New Roman"/>
        <w:sz w:val="24"/>
        <w:szCs w:val="24"/>
      </w:rP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w:name w:val="header"/>
    <w:next w:val="header"/>
    <w:pPr>
      <w:keepNext w:val="0"/>
      <w:keepLines w:val="0"/>
      <w:pageBreakBefore w:val="0"/>
      <w:widowControl w:val="1"/>
      <w:shd w:val="clear" w:color="auto" w:fill="auto"/>
      <w:tabs>
        <w:tab w:val="center" w:pos="4680"/>
        <w:tab w:val="right" w:pos="9360"/>
      </w:tabs>
      <w:suppressAutoHyphens w:val="0"/>
      <w:bidi w:val="0"/>
      <w:spacing w:before="0" w:after="0" w:line="240" w:lineRule="auto"/>
      <w:ind w:left="0" w:right="0" w:firstLine="0"/>
      <w:jc w:val="left"/>
      <w:outlineLvl w:val="9"/>
    </w:pPr>
    <w:rPr>
      <w:rFonts w:ascii="Calibri" w:cs="Arial Unicode MS" w:hAnsi="Calibri"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Fill>
        <w14:solidFill>
          <w14:srgbClr w14:val="000000"/>
        </w14:solidFill>
      </w14:textFill>
    </w:r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
    <w:name w:val="Body"/>
    <w:next w:val="Body"/>
    <w:pPr>
      <w:keepNext w:val="0"/>
      <w:keepLines w:val="0"/>
      <w:pageBreakBefore w:val="0"/>
      <w:widowControl w:val="1"/>
      <w:shd w:val="clear" w:color="auto" w:fill="auto"/>
      <w:suppressAutoHyphens w:val="0"/>
      <w:bidi w:val="0"/>
      <w:spacing w:before="0" w:after="160" w:line="259" w:lineRule="auto"/>
      <w:ind w:left="0" w:right="0" w:firstLine="0"/>
      <w:jc w:val="left"/>
      <w:outlineLvl w:val="9"/>
    </w:pPr>
    <w:rPr>
      <w:rFonts w:ascii="Calibri" w:cs="Calibri" w:hAnsi="Calibri" w:eastAsia="Calibri"/>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14:textOutline>
        <w14:noFill/>
      </w14:textOutline>
      <w14:textFill>
        <w14:solidFill>
          <w14:srgbClr w14:val="000000"/>
        </w14:solidFill>
      </w14:textFill>
    </w:rPr>
  </w:style>
  <w:style w:type="paragraph" w:styleId="Heading">
    <w:name w:val="Heading"/>
    <w:next w:val="Body"/>
    <w:pPr>
      <w:keepNext w:val="1"/>
      <w:keepLines w:val="1"/>
      <w:pageBreakBefore w:val="0"/>
      <w:widowControl w:val="1"/>
      <w:shd w:val="clear" w:color="auto" w:fill="auto"/>
      <w:suppressAutoHyphens w:val="0"/>
      <w:bidi w:val="0"/>
      <w:spacing w:before="240" w:after="0" w:line="259" w:lineRule="auto"/>
      <w:ind w:left="0" w:right="0" w:firstLine="0"/>
      <w:jc w:val="left"/>
      <w:outlineLvl w:val="0"/>
    </w:pPr>
    <w:rPr>
      <w:rFonts w:ascii="Calibri Light" w:cs="Arial Unicode MS" w:hAnsi="Calibri Light" w:eastAsia="Arial Unicode MS"/>
      <w:b w:val="0"/>
      <w:bCs w:val="0"/>
      <w:i w:val="0"/>
      <w:iCs w:val="0"/>
      <w:caps w:val="0"/>
      <w:smallCaps w:val="0"/>
      <w:strike w:val="0"/>
      <w:dstrike w:val="0"/>
      <w:outline w:val="0"/>
      <w:color w:val="2e74b5"/>
      <w:spacing w:val="0"/>
      <w:kern w:val="0"/>
      <w:position w:val="0"/>
      <w:sz w:val="32"/>
      <w:szCs w:val="32"/>
      <w:u w:val="none" w:color="2e74b5"/>
      <w:shd w:val="nil" w:color="auto" w:fill="auto"/>
      <w:vertAlign w:val="baseline"/>
      <w:lang w:val="fr-FR"/>
      <w14:textOutline>
        <w14:noFill/>
      </w14:textOutline>
      <w14:textFill>
        <w14:solidFill>
          <w14:srgbClr w14:val="2E74B5"/>
        </w14:solidFill>
      </w14:textFill>
    </w:rPr>
  </w:style>
  <w:style w:type="paragraph" w:styleId="Heading 2">
    <w:name w:val="Heading 2"/>
    <w:next w:val="Body"/>
    <w:pPr>
      <w:keepNext w:val="1"/>
      <w:keepLines w:val="1"/>
      <w:pageBreakBefore w:val="0"/>
      <w:widowControl w:val="1"/>
      <w:shd w:val="clear" w:color="auto" w:fill="auto"/>
      <w:suppressAutoHyphens w:val="0"/>
      <w:bidi w:val="0"/>
      <w:spacing w:before="40" w:after="0" w:line="259" w:lineRule="auto"/>
      <w:ind w:left="0" w:right="0" w:firstLine="0"/>
      <w:jc w:val="left"/>
      <w:outlineLvl w:val="1"/>
    </w:pPr>
    <w:rPr>
      <w:rFonts w:ascii="Times New Roman" w:cs="Arial Unicode MS" w:hAnsi="Times New Roman" w:eastAsia="Arial Unicode MS"/>
      <w:b w:val="0"/>
      <w:bCs w:val="0"/>
      <w:i w:val="0"/>
      <w:iCs w:val="0"/>
      <w:caps w:val="0"/>
      <w:smallCaps w:val="0"/>
      <w:strike w:val="0"/>
      <w:dstrike w:val="0"/>
      <w:outline w:val="0"/>
      <w:color w:val="2e74b5"/>
      <w:spacing w:val="0"/>
      <w:kern w:val="0"/>
      <w:position w:val="0"/>
      <w:sz w:val="24"/>
      <w:szCs w:val="24"/>
      <w:u w:val="none" w:color="2e74b5"/>
      <w:shd w:val="nil" w:color="auto" w:fill="auto"/>
      <w:vertAlign w:val="baseline"/>
      <w:lang w:val="it-IT"/>
      <w14:textOutline>
        <w14:noFill/>
      </w14:textOutline>
      <w14:textFill>
        <w14:solidFill>
          <w14:srgbClr w14:val="2E74B5"/>
        </w14:solidFill>
      </w14:textFill>
    </w:rPr>
  </w:style>
  <w:style w:type="paragraph" w:styleId="caption">
    <w:name w:val="caption"/>
    <w:next w:val="Body"/>
    <w:pPr>
      <w:keepNext w:val="0"/>
      <w:keepLines w:val="0"/>
      <w:pageBreakBefore w:val="0"/>
      <w:widowControl w:val="1"/>
      <w:shd w:val="clear" w:color="auto" w:fill="auto"/>
      <w:suppressAutoHyphens w:val="0"/>
      <w:bidi w:val="0"/>
      <w:spacing w:before="0" w:after="200" w:line="240" w:lineRule="auto"/>
      <w:ind w:left="0" w:right="0" w:firstLine="0"/>
      <w:jc w:val="left"/>
      <w:outlineLvl w:val="9"/>
    </w:pPr>
    <w:rPr>
      <w:rFonts w:ascii="Calibri" w:cs="Arial Unicode MS" w:hAnsi="Calibri" w:eastAsia="Arial Unicode MS"/>
      <w:b w:val="0"/>
      <w:bCs w:val="0"/>
      <w:i w:val="1"/>
      <w:iCs w:val="1"/>
      <w:caps w:val="0"/>
      <w:smallCaps w:val="0"/>
      <w:strike w:val="0"/>
      <w:dstrike w:val="0"/>
      <w:outline w:val="0"/>
      <w:color w:val="44546a"/>
      <w:spacing w:val="0"/>
      <w:kern w:val="0"/>
      <w:position w:val="0"/>
      <w:sz w:val="18"/>
      <w:szCs w:val="18"/>
      <w:u w:val="none" w:color="44546a"/>
      <w:shd w:val="nil" w:color="auto" w:fill="auto"/>
      <w:vertAlign w:val="baseline"/>
      <w:lang w:val="en-US"/>
      <w14:textOutline>
        <w14:noFill/>
      </w14:textOutline>
      <w14:textFill>
        <w14:solidFill>
          <w14:srgbClr w14:val="44546A"/>
        </w14:solidFill>
      </w14:textFill>
    </w:rPr>
  </w:style>
  <w:style w:type="character" w:styleId="Link">
    <w:name w:val="Link"/>
    <w:rPr>
      <w:outline w:val="0"/>
      <w:color w:val="0563c1"/>
      <w:u w:val="single" w:color="0563c1"/>
      <w14:textFill>
        <w14:solidFill>
          <w14:srgbClr w14:val="0563C1"/>
        </w14:solidFill>
      </w14:textFill>
    </w:rPr>
  </w:style>
  <w:style w:type="character" w:styleId="Hyperlink.0">
    <w:name w:val="Hyperlink.0"/>
    <w:basedOn w:val="Link"/>
    <w:next w:val="Hyperlink.0"/>
    <w:rPr>
      <w:rFonts w:ascii="Times New Roman" w:cs="Times New Roman" w:hAnsi="Times New Roman" w:eastAsia="Times New Roman"/>
      <w:sz w:val="24"/>
      <w:szCs w:val="24"/>
    </w:rPr>
  </w:style>
  <w:style w:type="paragraph" w:styleId="Normal (Web)">
    <w:name w:val="Normal (Web)"/>
    <w:next w:val="Normal (Web)"/>
    <w:pPr>
      <w:keepNext w:val="0"/>
      <w:keepLines w:val="0"/>
      <w:pageBreakBefore w:val="0"/>
      <w:widowControl w:val="1"/>
      <w:shd w:val="clear" w:color="auto" w:fill="auto"/>
      <w:suppressAutoHyphens w:val="0"/>
      <w:bidi w:val="0"/>
      <w:spacing w:before="100" w:after="100" w:line="240" w:lineRule="auto"/>
      <w:ind w:left="0" w:right="0" w:firstLine="0"/>
      <w:jc w:val="left"/>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image" Target="media/image1.jpeg"/><Relationship Id="rId5" Type="http://schemas.openxmlformats.org/officeDocument/2006/relationships/image" Target="media/image1.png"/><Relationship Id="rId6" Type="http://schemas.openxmlformats.org/officeDocument/2006/relationships/header" Target="header1.xml"/><Relationship Id="rId7" Type="http://schemas.openxmlformats.org/officeDocument/2006/relationships/footer" Target="footer1.xml"/><Relationship Id="rId8"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Theme">
  <a:themeElements>
    <a:clrScheme name="Office Theme">
      <a:dk1>
        <a:srgbClr val="000000"/>
      </a:dk1>
      <a:lt1>
        <a:srgbClr val="FFFFFF"/>
      </a:lt1>
      <a:dk2>
        <a:srgbClr val="A7A7A7"/>
      </a:dk2>
      <a:lt2>
        <a:srgbClr val="535353"/>
      </a:lt2>
      <a:accent1>
        <a:srgbClr val="5B9BD5"/>
      </a:accent1>
      <a:accent2>
        <a:srgbClr val="ED7D31"/>
      </a:accent2>
      <a:accent3>
        <a:srgbClr val="A5A5A5"/>
      </a:accent3>
      <a:accent4>
        <a:srgbClr val="FFC000"/>
      </a:accent4>
      <a:accent5>
        <a:srgbClr val="4472C4"/>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