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F14E7" w14:textId="4AC20367" w:rsidR="0056016E" w:rsidRDefault="0015064A">
      <w:pPr>
        <w:rPr>
          <w:rFonts w:ascii="Abadi" w:hAnsi="Abadi"/>
          <w:b/>
          <w:bCs/>
          <w:sz w:val="24"/>
          <w:szCs w:val="24"/>
        </w:rPr>
      </w:pPr>
      <w:r w:rsidRPr="0015064A">
        <w:rPr>
          <w:rFonts w:ascii="Abadi" w:hAnsi="Abadi"/>
          <w:b/>
          <w:bCs/>
          <w:sz w:val="24"/>
          <w:szCs w:val="24"/>
          <w:u w:val="single"/>
        </w:rPr>
        <w:t>Student:</w:t>
      </w:r>
      <w:r>
        <w:rPr>
          <w:rFonts w:ascii="Abadi" w:hAnsi="Abadi"/>
          <w:b/>
          <w:bCs/>
          <w:sz w:val="24"/>
          <w:szCs w:val="24"/>
        </w:rPr>
        <w:t xml:space="preserve"> Vasile Aurel Cristescu</w:t>
      </w:r>
    </w:p>
    <w:p w14:paraId="10095745" w14:textId="62427F14" w:rsidR="0015064A" w:rsidRDefault="0015064A">
      <w:pPr>
        <w:rPr>
          <w:rFonts w:ascii="Abadi" w:hAnsi="Abadi"/>
          <w:b/>
          <w:bCs/>
          <w:sz w:val="24"/>
          <w:szCs w:val="24"/>
        </w:rPr>
      </w:pPr>
      <w:r w:rsidRPr="0015064A">
        <w:rPr>
          <w:rFonts w:ascii="Abadi" w:hAnsi="Abadi"/>
          <w:b/>
          <w:bCs/>
          <w:sz w:val="24"/>
          <w:szCs w:val="24"/>
          <w:u w:val="single"/>
        </w:rPr>
        <w:t>Student Number</w:t>
      </w:r>
      <w:r>
        <w:rPr>
          <w:rFonts w:ascii="Abadi" w:hAnsi="Abadi"/>
          <w:b/>
          <w:bCs/>
          <w:sz w:val="24"/>
          <w:szCs w:val="24"/>
        </w:rPr>
        <w:t>: 2228672</w:t>
      </w:r>
    </w:p>
    <w:p w14:paraId="2C11FDD4" w14:textId="4BBE2816" w:rsidR="0015064A" w:rsidRDefault="0015064A">
      <w:pPr>
        <w:rPr>
          <w:rFonts w:ascii="Abadi" w:hAnsi="Abadi"/>
          <w:b/>
          <w:bCs/>
          <w:sz w:val="24"/>
          <w:szCs w:val="24"/>
        </w:rPr>
      </w:pPr>
      <w:r>
        <w:rPr>
          <w:rFonts w:ascii="Abadi" w:hAnsi="Abadi"/>
          <w:b/>
          <w:bCs/>
          <w:sz w:val="24"/>
          <w:szCs w:val="24"/>
          <w:u w:val="single"/>
        </w:rPr>
        <w:t>Module:</w:t>
      </w:r>
      <w:r>
        <w:rPr>
          <w:rFonts w:ascii="Abadi" w:hAnsi="Abadi"/>
          <w:b/>
          <w:bCs/>
          <w:sz w:val="24"/>
          <w:szCs w:val="24"/>
        </w:rPr>
        <w:t xml:space="preserve"> Legal Process</w:t>
      </w:r>
    </w:p>
    <w:p w14:paraId="5914C150" w14:textId="5832A5B1" w:rsidR="0015064A" w:rsidRDefault="0015064A">
      <w:pPr>
        <w:rPr>
          <w:rFonts w:ascii="Abadi" w:hAnsi="Abadi"/>
          <w:b/>
          <w:bCs/>
          <w:sz w:val="24"/>
          <w:szCs w:val="24"/>
        </w:rPr>
      </w:pPr>
      <w:r>
        <w:rPr>
          <w:rFonts w:ascii="Abadi" w:hAnsi="Abadi"/>
          <w:b/>
          <w:bCs/>
          <w:sz w:val="24"/>
          <w:szCs w:val="24"/>
          <w:u w:val="single"/>
        </w:rPr>
        <w:t xml:space="preserve">Module code: </w:t>
      </w:r>
      <w:r>
        <w:rPr>
          <w:rFonts w:ascii="Abadi" w:hAnsi="Abadi"/>
          <w:b/>
          <w:bCs/>
          <w:sz w:val="24"/>
          <w:szCs w:val="24"/>
        </w:rPr>
        <w:t>BMPL40</w:t>
      </w:r>
      <w:r w:rsidR="00D34843">
        <w:rPr>
          <w:rFonts w:ascii="Abadi" w:hAnsi="Abadi"/>
          <w:b/>
          <w:bCs/>
          <w:sz w:val="24"/>
          <w:szCs w:val="24"/>
        </w:rPr>
        <w:t>11</w:t>
      </w:r>
    </w:p>
    <w:p w14:paraId="10E639B1" w14:textId="6A9B3306" w:rsidR="009A2670" w:rsidRDefault="0015064A" w:rsidP="009A2670">
      <w:pPr>
        <w:spacing w:before="120" w:after="120"/>
        <w:rPr>
          <w:rFonts w:ascii="Arial" w:hAnsi="Arial" w:cs="Arial"/>
          <w:b/>
        </w:rPr>
      </w:pPr>
      <w:r>
        <w:rPr>
          <w:rFonts w:ascii="Abadi" w:hAnsi="Abadi"/>
          <w:b/>
          <w:bCs/>
          <w:sz w:val="24"/>
          <w:szCs w:val="24"/>
          <w:u w:val="single"/>
        </w:rPr>
        <w:t>Assessment title</w:t>
      </w:r>
      <w:r w:rsidRPr="009A2670">
        <w:rPr>
          <w:rFonts w:ascii="Abadi" w:hAnsi="Abadi"/>
          <w:b/>
          <w:bCs/>
          <w:sz w:val="24"/>
          <w:szCs w:val="24"/>
          <w:u w:val="single"/>
        </w:rPr>
        <w:t xml:space="preserve">: </w:t>
      </w:r>
      <w:r w:rsidR="005424A0">
        <w:rPr>
          <w:rFonts w:ascii="Abadi" w:hAnsi="Abadi" w:cs="Arial"/>
          <w:b/>
          <w:sz w:val="24"/>
          <w:szCs w:val="24"/>
        </w:rPr>
        <w:t xml:space="preserve"> </w:t>
      </w:r>
      <w:r w:rsidR="00411268">
        <w:rPr>
          <w:rFonts w:ascii="Abadi" w:hAnsi="Abadi" w:cs="Arial"/>
          <w:b/>
          <w:sz w:val="24"/>
          <w:szCs w:val="24"/>
        </w:rPr>
        <w:t xml:space="preserve">Human Rights </w:t>
      </w:r>
      <w:r w:rsidR="00FC4220">
        <w:rPr>
          <w:rFonts w:ascii="Abadi" w:hAnsi="Abadi" w:cs="Arial"/>
          <w:b/>
          <w:sz w:val="24"/>
          <w:szCs w:val="24"/>
        </w:rPr>
        <w:t>and</w:t>
      </w:r>
      <w:r w:rsidR="00411268">
        <w:rPr>
          <w:rFonts w:ascii="Abadi" w:hAnsi="Abadi" w:cs="Arial"/>
          <w:b/>
          <w:sz w:val="24"/>
          <w:szCs w:val="24"/>
        </w:rPr>
        <w:t xml:space="preserve"> Police</w:t>
      </w:r>
      <w:r w:rsidR="00E513A3">
        <w:rPr>
          <w:rFonts w:ascii="Abadi" w:hAnsi="Abadi" w:cs="Arial"/>
          <w:b/>
          <w:sz w:val="24"/>
          <w:szCs w:val="24"/>
        </w:rPr>
        <w:t xml:space="preserve"> powers</w:t>
      </w:r>
      <w:r w:rsidR="004D5F49">
        <w:rPr>
          <w:rFonts w:ascii="Abadi" w:hAnsi="Abadi" w:cs="Arial"/>
          <w:b/>
          <w:sz w:val="24"/>
          <w:szCs w:val="24"/>
        </w:rPr>
        <w:t>.</w:t>
      </w:r>
    </w:p>
    <w:p w14:paraId="7822BB95" w14:textId="1099442D" w:rsidR="0015064A" w:rsidRDefault="0015064A">
      <w:pPr>
        <w:rPr>
          <w:rFonts w:ascii="Abadi" w:hAnsi="Abadi"/>
          <w:b/>
          <w:bCs/>
          <w:sz w:val="24"/>
          <w:szCs w:val="24"/>
        </w:rPr>
      </w:pPr>
    </w:p>
    <w:p w14:paraId="2DFDB0C4" w14:textId="77777777" w:rsidR="0015064A" w:rsidRDefault="0015064A">
      <w:pPr>
        <w:rPr>
          <w:rFonts w:ascii="Abadi" w:hAnsi="Abadi"/>
          <w:b/>
          <w:bCs/>
          <w:sz w:val="24"/>
          <w:szCs w:val="24"/>
        </w:rPr>
      </w:pPr>
    </w:p>
    <w:p w14:paraId="75AF7484" w14:textId="77777777" w:rsidR="0015064A" w:rsidRDefault="0015064A">
      <w:pPr>
        <w:rPr>
          <w:rFonts w:ascii="Abadi" w:hAnsi="Abadi"/>
          <w:b/>
          <w:bCs/>
          <w:sz w:val="24"/>
          <w:szCs w:val="24"/>
        </w:rPr>
      </w:pPr>
    </w:p>
    <w:p w14:paraId="59E8153E" w14:textId="535962BA" w:rsidR="00B842AB" w:rsidRDefault="001C2B64" w:rsidP="00B842AB">
      <w:pPr>
        <w:rPr>
          <w:rFonts w:ascii="Abadi" w:hAnsi="Abadi"/>
          <w:b/>
          <w:bCs/>
          <w:sz w:val="24"/>
          <w:szCs w:val="24"/>
          <w:u w:val="single"/>
        </w:rPr>
      </w:pPr>
      <w:r>
        <w:rPr>
          <w:rFonts w:ascii="Abadi" w:hAnsi="Abadi"/>
          <w:b/>
          <w:bCs/>
          <w:sz w:val="24"/>
          <w:szCs w:val="24"/>
          <w:u w:val="single"/>
        </w:rPr>
        <w:t>Introduction,</w:t>
      </w:r>
    </w:p>
    <w:p w14:paraId="7EBA1182" w14:textId="77777777" w:rsidR="00BD6423" w:rsidRDefault="00136DBE" w:rsidP="00B842AB">
      <w:pPr>
        <w:rPr>
          <w:rFonts w:ascii="Abadi" w:hAnsi="Abadi" w:cs="Arial"/>
          <w:color w:val="000000" w:themeColor="text1"/>
          <w:sz w:val="24"/>
          <w:szCs w:val="24"/>
          <w:shd w:val="clear" w:color="auto" w:fill="FFFFFF"/>
        </w:rPr>
      </w:pPr>
      <w:r w:rsidRPr="00136DBE">
        <w:rPr>
          <w:rFonts w:ascii="Abadi" w:hAnsi="Abadi" w:cs="Arial"/>
          <w:color w:val="000000" w:themeColor="text1"/>
          <w:sz w:val="24"/>
          <w:szCs w:val="24"/>
          <w:shd w:val="clear" w:color="auto" w:fill="FFFFFF"/>
        </w:rPr>
        <w:t xml:space="preserve">The relationship between human rights and police powers is a complex and evolving aspect of law enforcement in the United Kingdom. Human rights legislation, particularly the European Convention on Human Rights (ECHR), plays a crucial role in shaping the boundaries within which police forces operate. This essay explores the impact of human rights on police powers in the UK, </w:t>
      </w:r>
      <w:r w:rsidRPr="00136DBE">
        <w:rPr>
          <w:rFonts w:ascii="Abadi" w:hAnsi="Abadi" w:cs="Arial"/>
          <w:color w:val="000000" w:themeColor="text1"/>
          <w:sz w:val="24"/>
          <w:szCs w:val="24"/>
          <w:shd w:val="clear" w:color="auto" w:fill="FFFFFF"/>
        </w:rPr>
        <w:t>analysing</w:t>
      </w:r>
      <w:r w:rsidRPr="00136DBE">
        <w:rPr>
          <w:rFonts w:ascii="Abadi" w:hAnsi="Abadi" w:cs="Arial"/>
          <w:color w:val="000000" w:themeColor="text1"/>
          <w:sz w:val="24"/>
          <w:szCs w:val="24"/>
          <w:shd w:val="clear" w:color="auto" w:fill="FFFFFF"/>
        </w:rPr>
        <w:t xml:space="preserve"> how rights such as the right to liberty, privacy, and fair trial influence the exercise of police authority.</w:t>
      </w:r>
    </w:p>
    <w:p w14:paraId="57E13DE9" w14:textId="77777777" w:rsidR="00BD6423" w:rsidRDefault="00BD6423" w:rsidP="00B842AB">
      <w:pPr>
        <w:rPr>
          <w:rFonts w:ascii="Abadi" w:hAnsi="Abadi" w:cs="Arial"/>
          <w:color w:val="000000" w:themeColor="text1"/>
          <w:sz w:val="24"/>
          <w:szCs w:val="24"/>
          <w:shd w:val="clear" w:color="auto" w:fill="FFFFFF"/>
        </w:rPr>
      </w:pPr>
    </w:p>
    <w:p w14:paraId="61C684F2" w14:textId="17E72EAE" w:rsidR="00BD6423" w:rsidRPr="00BD6423" w:rsidRDefault="00136DBE" w:rsidP="00B842AB">
      <w:pPr>
        <w:rPr>
          <w:rFonts w:ascii="Abadi" w:hAnsi="Abadi" w:cs="Arial"/>
          <w:b/>
          <w:bCs/>
          <w:color w:val="000000" w:themeColor="text1"/>
          <w:sz w:val="24"/>
          <w:szCs w:val="24"/>
          <w:shd w:val="clear" w:color="auto" w:fill="FFFFFF"/>
        </w:rPr>
      </w:pPr>
      <w:r w:rsidRPr="00BD6423">
        <w:rPr>
          <w:rFonts w:ascii="Abadi" w:hAnsi="Abadi" w:cs="Arial"/>
          <w:b/>
          <w:bCs/>
          <w:color w:val="000000" w:themeColor="text1"/>
          <w:sz w:val="24"/>
          <w:szCs w:val="24"/>
          <w:shd w:val="clear" w:color="auto" w:fill="FFFFFF"/>
        </w:rPr>
        <w:t xml:space="preserve">Historical Context: </w:t>
      </w:r>
    </w:p>
    <w:p w14:paraId="3CB96320" w14:textId="77777777" w:rsidR="00830E0F" w:rsidRDefault="00136DBE" w:rsidP="00B842AB">
      <w:pPr>
        <w:rPr>
          <w:rFonts w:ascii="Abadi" w:hAnsi="Abadi" w:cs="Arial"/>
          <w:color w:val="000000" w:themeColor="text1"/>
          <w:sz w:val="24"/>
          <w:szCs w:val="24"/>
          <w:shd w:val="clear" w:color="auto" w:fill="FFFFFF"/>
        </w:rPr>
      </w:pPr>
      <w:r w:rsidRPr="00136DBE">
        <w:rPr>
          <w:rFonts w:ascii="Abadi" w:hAnsi="Abadi" w:cs="Arial"/>
          <w:color w:val="000000" w:themeColor="text1"/>
          <w:sz w:val="24"/>
          <w:szCs w:val="24"/>
          <w:shd w:val="clear" w:color="auto" w:fill="FFFFFF"/>
        </w:rPr>
        <w:t>The incorporation of the ECHR into UK law through the Human Rights Act 1998 marked a significant shift in the legal landscape, requiring public authorities, including the police, to respect individuals' human rights in their actions. This legal framework introduced a new dimension to police conduct, emphasizing the need to balance public safety and security with the protection of individual rights.</w:t>
      </w:r>
    </w:p>
    <w:p w14:paraId="1AD224B5" w14:textId="0BB64DBE" w:rsidR="00136DBE" w:rsidRPr="00136DBE" w:rsidRDefault="00136DBE" w:rsidP="00B842AB">
      <w:pPr>
        <w:rPr>
          <w:rFonts w:ascii="Abadi" w:hAnsi="Abadi"/>
          <w:b/>
          <w:bCs/>
          <w:color w:val="000000" w:themeColor="text1"/>
          <w:sz w:val="24"/>
          <w:szCs w:val="24"/>
          <w:u w:val="single"/>
        </w:rPr>
      </w:pPr>
      <w:r w:rsidRPr="00136DBE">
        <w:rPr>
          <w:rFonts w:ascii="Abadi" w:hAnsi="Abadi" w:cs="Arial"/>
          <w:color w:val="000000" w:themeColor="text1"/>
          <w:sz w:val="24"/>
          <w:szCs w:val="24"/>
          <w:shd w:val="clear" w:color="auto" w:fill="FFFFFF"/>
        </w:rPr>
        <w:t xml:space="preserve">Impact on Police Powers: One of the key impacts of human rights on police powers is the requirement for law enforcement agencies to act in accordance with the principles of legality, necessity, and proportionality. This means that police actions, such as arrests, searches, and surveillance, must be based on clear legal authority, justified by legitimate objectives, and carried out in a manner that is proportionate to the threat or risk posed. The right to liberty enshrined in Article 5 of the ECHR places constraints on police powers of detention and requires that individuals can only be deprived of their liberty in specific circumstances and with proper legal safeguards. This has led to reforms in police custody procedures and practices to ensure that individuals' rights are upheld during detention. Furthermore, the right to privacy under Article 8 of the ECHR has implications for police surveillance activities, data collection, and information sharing. Police forces are required to adhere to strict guidelines to prevent unjustified intrusions into individuals' private lives and to safeguard personal data in compliance with data protection laws. The right to a fair trial guaranteed by Article 6 of the ECHR influences police investigations, evidence gathering, and the prosecution process. Police officers must ensure that suspects are treated fairly, provided with access to legal representation, and that evidence is gathered and handled in a manner that upholds the principles of fairness and due process. Challenges and Balancing Rights: </w:t>
      </w:r>
      <w:r w:rsidRPr="00136DBE">
        <w:rPr>
          <w:rFonts w:ascii="Abadi" w:hAnsi="Abadi" w:cs="Arial"/>
          <w:color w:val="000000" w:themeColor="text1"/>
          <w:sz w:val="24"/>
          <w:szCs w:val="24"/>
          <w:shd w:val="clear" w:color="auto" w:fill="FFFFFF"/>
        </w:rPr>
        <w:lastRenderedPageBreak/>
        <w:t>While human rights legislation enhances accountability and transparency in policing, it also presents challenges in balancing individual rights with the duty to maintain public order and safety. The use of stop and search powers, counter-terrorism measures, and technology-enabled surveillance raises concerns about potential infringements of civil liberties and the need for robust oversight mechanisms.</w:t>
      </w:r>
    </w:p>
    <w:p w14:paraId="294D69CD" w14:textId="77777777" w:rsidR="003229F8" w:rsidRDefault="00645551" w:rsidP="00B842AB">
      <w:pPr>
        <w:rPr>
          <w:rFonts w:ascii="Abadi" w:hAnsi="Abadi" w:cs="Arial"/>
          <w:color w:val="000000" w:themeColor="text1"/>
          <w:sz w:val="24"/>
          <w:szCs w:val="24"/>
          <w:shd w:val="clear" w:color="auto" w:fill="FFFFFF"/>
        </w:rPr>
      </w:pPr>
      <w:r w:rsidRPr="00426BB4">
        <w:rPr>
          <w:rFonts w:ascii="Abadi" w:hAnsi="Abadi" w:cs="Arial"/>
          <w:b/>
          <w:bCs/>
          <w:color w:val="000000" w:themeColor="text1"/>
          <w:sz w:val="24"/>
          <w:szCs w:val="24"/>
          <w:shd w:val="clear" w:color="auto" w:fill="FFFFFF"/>
        </w:rPr>
        <w:t>Article 3</w:t>
      </w:r>
      <w:r w:rsidRPr="00136DBE">
        <w:rPr>
          <w:rFonts w:ascii="Abadi" w:hAnsi="Abadi" w:cs="Arial"/>
          <w:color w:val="000000" w:themeColor="text1"/>
          <w:sz w:val="24"/>
          <w:szCs w:val="24"/>
          <w:shd w:val="clear" w:color="auto" w:fill="FFFFFF"/>
        </w:rPr>
        <w:t xml:space="preserve"> of the ECHR is a fundamental provision that prohibits torture, inhuman, or degrading treatment or punishment. This article enshrines the right of individuals to be free from any form of physical or psychological abuse while in the custody or control of the state, including law enforcement agencies. In the context of police powers, Article 3 imposes a strict obligation on the police to ensure that individuals in their custody are treated with dignity and respect, without subjecting them to any form of mistreatment. The prohibition of torture and inhuman or degrading treatment places a significant restriction on police powers during arrest, detention, and interrogation.</w:t>
      </w:r>
    </w:p>
    <w:p w14:paraId="45170372" w14:textId="0B6ED016" w:rsidR="00426BB4" w:rsidRDefault="00645551" w:rsidP="00B842AB">
      <w:pPr>
        <w:rPr>
          <w:rFonts w:ascii="Abadi" w:hAnsi="Abadi" w:cs="Arial"/>
          <w:color w:val="000000" w:themeColor="text1"/>
          <w:sz w:val="24"/>
          <w:szCs w:val="24"/>
          <w:shd w:val="clear" w:color="auto" w:fill="FFFFFF"/>
        </w:rPr>
      </w:pPr>
      <w:r w:rsidRPr="00136DBE">
        <w:rPr>
          <w:rFonts w:ascii="Abadi" w:hAnsi="Abadi" w:cs="Arial"/>
          <w:color w:val="000000" w:themeColor="text1"/>
          <w:sz w:val="24"/>
          <w:szCs w:val="24"/>
          <w:shd w:val="clear" w:color="auto" w:fill="FFFFFF"/>
        </w:rPr>
        <w:t>Law enforcement officers must adhere to established protocols and guidelines to prevent any form of abuse or mistreatment of individuals in their custody. This includes providing adequate care for detainees, respecting their physical and mental well-being, and upholding their rights even in the face of criminal charges. In practice, compliance with Article 3 requires police forces to maintain high standards of professionalism and ethical conduct in their interactions with suspects, detainees, and members of the public. Any allegations of ill-treatment or abuse by law enforcement officials are thoroughly investigated, and accountability mechanisms are put in place to address violations of this fundamental human right.</w:t>
      </w:r>
    </w:p>
    <w:p w14:paraId="73F5614B" w14:textId="77777777" w:rsidR="00537C32" w:rsidRDefault="00645551" w:rsidP="00B842AB">
      <w:pPr>
        <w:rPr>
          <w:rFonts w:ascii="Abadi" w:hAnsi="Abadi" w:cs="Arial"/>
          <w:color w:val="000000" w:themeColor="text1"/>
          <w:sz w:val="24"/>
          <w:szCs w:val="24"/>
          <w:shd w:val="clear" w:color="auto" w:fill="FFFFFF"/>
        </w:rPr>
      </w:pPr>
      <w:r w:rsidRPr="00426BB4">
        <w:rPr>
          <w:rFonts w:ascii="Abadi" w:hAnsi="Abadi" w:cs="Arial"/>
          <w:b/>
          <w:bCs/>
          <w:color w:val="000000" w:themeColor="text1"/>
          <w:sz w:val="24"/>
          <w:szCs w:val="24"/>
          <w:shd w:val="clear" w:color="auto" w:fill="FFFFFF"/>
        </w:rPr>
        <w:t>Article 5 - Right to Liberty and Security</w:t>
      </w:r>
      <w:r w:rsidR="00426BB4">
        <w:rPr>
          <w:rFonts w:ascii="Abadi" w:hAnsi="Abadi" w:cs="Arial"/>
          <w:color w:val="000000" w:themeColor="text1"/>
          <w:sz w:val="24"/>
          <w:szCs w:val="24"/>
          <w:shd w:val="clear" w:color="auto" w:fill="FFFFFF"/>
        </w:rPr>
        <w:t xml:space="preserve">, </w:t>
      </w:r>
      <w:r w:rsidRPr="00136DBE">
        <w:rPr>
          <w:rFonts w:ascii="Abadi" w:hAnsi="Abadi" w:cs="Arial"/>
          <w:color w:val="000000" w:themeColor="text1"/>
          <w:sz w:val="24"/>
          <w:szCs w:val="24"/>
          <w:shd w:val="clear" w:color="auto" w:fill="FFFFFF"/>
        </w:rPr>
        <w:t>guarantees the right to liberty and security of person. This provision establishes the principle that no one shall be deprived of their liberty except in accordance with lawful procedures and for legitimate reasons. In the context of policing, Article 5 places constraints on police powers related to the arrest and detention of individuals.</w:t>
      </w:r>
    </w:p>
    <w:p w14:paraId="73039620" w14:textId="5E68C25D" w:rsidR="00426BB4" w:rsidRDefault="00645551" w:rsidP="00B842AB">
      <w:pPr>
        <w:rPr>
          <w:rFonts w:ascii="Abadi" w:hAnsi="Abadi" w:cs="Arial"/>
          <w:color w:val="000000" w:themeColor="text1"/>
          <w:sz w:val="24"/>
          <w:szCs w:val="24"/>
          <w:shd w:val="clear" w:color="auto" w:fill="FFFFFF"/>
        </w:rPr>
      </w:pPr>
      <w:r w:rsidRPr="00136DBE">
        <w:rPr>
          <w:rFonts w:ascii="Abadi" w:hAnsi="Abadi" w:cs="Arial"/>
          <w:color w:val="000000" w:themeColor="text1"/>
          <w:sz w:val="24"/>
          <w:szCs w:val="24"/>
          <w:shd w:val="clear" w:color="auto" w:fill="FFFFFF"/>
        </w:rPr>
        <w:t xml:space="preserve"> Police powers to arrest and detain individuals are circumscribed by the requirements of Article 5, which mandate that arrests must be based on reasonable suspicion, authorized by law, and subject to judicial review. The right to be promptly informed of the reasons for the arrest and any charges against them is also a crucial element of Article 5. Moreover, Article 5 sets out specific categories of permissible grounds for deprivation of liberty, such as the prevention of crime, the lawful arrest or detention of persons for non-compliance with a court order, or the lawful detention of persons of unsound mind. Police powers to detain individuals must be exercised within these legal frameworks to ensure compliance with the right to liberty and security as enshrined in the ECHR. </w:t>
      </w:r>
    </w:p>
    <w:p w14:paraId="1D9F925B" w14:textId="77777777" w:rsidR="00537C32" w:rsidRDefault="00645551" w:rsidP="00B842AB">
      <w:pPr>
        <w:rPr>
          <w:rFonts w:ascii="Abadi" w:hAnsi="Abadi" w:cs="Arial"/>
          <w:color w:val="000000" w:themeColor="text1"/>
          <w:sz w:val="24"/>
          <w:szCs w:val="24"/>
          <w:shd w:val="clear" w:color="auto" w:fill="FFFFFF"/>
        </w:rPr>
      </w:pPr>
      <w:r w:rsidRPr="00426BB4">
        <w:rPr>
          <w:rFonts w:ascii="Abadi" w:hAnsi="Abadi" w:cs="Arial"/>
          <w:b/>
          <w:bCs/>
          <w:color w:val="000000" w:themeColor="text1"/>
          <w:sz w:val="24"/>
          <w:szCs w:val="24"/>
          <w:shd w:val="clear" w:color="auto" w:fill="FFFFFF"/>
        </w:rPr>
        <w:t>Article 8 - Right to Respect for Private and Family Life</w:t>
      </w:r>
      <w:r w:rsidR="00426BB4">
        <w:rPr>
          <w:rFonts w:ascii="Abadi" w:hAnsi="Abadi" w:cs="Arial"/>
          <w:color w:val="000000" w:themeColor="text1"/>
          <w:sz w:val="24"/>
          <w:szCs w:val="24"/>
          <w:shd w:val="clear" w:color="auto" w:fill="FFFFFF"/>
        </w:rPr>
        <w:t>,</w:t>
      </w:r>
      <w:r w:rsidRPr="00136DBE">
        <w:rPr>
          <w:rFonts w:ascii="Abadi" w:hAnsi="Abadi" w:cs="Arial"/>
          <w:color w:val="000000" w:themeColor="text1"/>
          <w:sz w:val="24"/>
          <w:szCs w:val="24"/>
          <w:shd w:val="clear" w:color="auto" w:fill="FFFFFF"/>
        </w:rPr>
        <w:t xml:space="preserve"> protects the right to respect for private and family life, home, and correspondence. This provision recognizes the importance of individual privacy and personal autonomy, prohibiting arbitrary interference by public authorities, including the police, in the private sphere of individuals. In the context of police powers, Article 8 imposes limitations on law enforcement activities that may intrude upon the privacy of individuals. This includes </w:t>
      </w:r>
      <w:r w:rsidRPr="00136DBE">
        <w:rPr>
          <w:rFonts w:ascii="Abadi" w:hAnsi="Abadi" w:cs="Arial"/>
          <w:color w:val="000000" w:themeColor="text1"/>
          <w:sz w:val="24"/>
          <w:szCs w:val="24"/>
          <w:shd w:val="clear" w:color="auto" w:fill="FFFFFF"/>
        </w:rPr>
        <w:lastRenderedPageBreak/>
        <w:t xml:space="preserve">surveillance operations, searches of private property, and the collection of personal data. </w:t>
      </w:r>
    </w:p>
    <w:p w14:paraId="0FF43FAF" w14:textId="27A26F96" w:rsidR="00AA2D7F" w:rsidRPr="00136DBE" w:rsidRDefault="00645551" w:rsidP="00B842AB">
      <w:pPr>
        <w:rPr>
          <w:rFonts w:ascii="Abadi" w:hAnsi="Abadi"/>
          <w:b/>
          <w:bCs/>
          <w:color w:val="000000" w:themeColor="text1"/>
          <w:sz w:val="24"/>
          <w:szCs w:val="24"/>
          <w:u w:val="single"/>
        </w:rPr>
      </w:pPr>
      <w:r w:rsidRPr="00136DBE">
        <w:rPr>
          <w:rFonts w:ascii="Abadi" w:hAnsi="Abadi" w:cs="Arial"/>
          <w:color w:val="000000" w:themeColor="text1"/>
          <w:sz w:val="24"/>
          <w:szCs w:val="24"/>
          <w:shd w:val="clear" w:color="auto" w:fill="FFFFFF"/>
        </w:rPr>
        <w:t>Police actions that interfere with an individual's private life must be conducted in accordance with the law, based on legitimate objectives, and be necessary in a democratic society. The application of Article 8 to police powers requires a careful balance between the need for effective law enforcement and the protection of individual privacy rights. Police forces are required to follow strict procedural safeguards when conducting searches, surveillance, or other activities that may impact the private lives of individuals. Transparency, accountability, and oversight mechanisms play a crucial role in ensuring that police powers are exercised in a manner that respects the right to privacy as guaranteed under Article 8 of the ECHR</w:t>
      </w:r>
    </w:p>
    <w:p w14:paraId="445AC3E8" w14:textId="72531DA5" w:rsidR="00CF306B" w:rsidRDefault="00CF306B" w:rsidP="00CF306B">
      <w:pPr>
        <w:rPr>
          <w:rFonts w:ascii="Abadi" w:hAnsi="Abadi"/>
          <w:b/>
          <w:bCs/>
          <w:sz w:val="24"/>
          <w:szCs w:val="24"/>
        </w:rPr>
      </w:pPr>
      <w:r w:rsidRPr="00CF306B">
        <w:rPr>
          <w:rFonts w:ascii="Abadi" w:hAnsi="Abadi"/>
          <w:b/>
          <w:bCs/>
          <w:sz w:val="24"/>
          <w:szCs w:val="24"/>
        </w:rPr>
        <w:t>Conclusion</w:t>
      </w:r>
      <w:r>
        <w:rPr>
          <w:rFonts w:ascii="Abadi" w:hAnsi="Abadi"/>
          <w:b/>
          <w:bCs/>
          <w:sz w:val="24"/>
          <w:szCs w:val="24"/>
        </w:rPr>
        <w:t>,</w:t>
      </w:r>
    </w:p>
    <w:p w14:paraId="52810609" w14:textId="0791A67D" w:rsidR="00CF306B" w:rsidRPr="00D3434B" w:rsidRDefault="00D3434B" w:rsidP="00CF306B">
      <w:pPr>
        <w:rPr>
          <w:rFonts w:ascii="Abadi" w:hAnsi="Abadi"/>
          <w:b/>
          <w:bCs/>
          <w:color w:val="000000" w:themeColor="text1"/>
          <w:sz w:val="24"/>
          <w:szCs w:val="24"/>
        </w:rPr>
      </w:pPr>
      <w:r w:rsidRPr="00D3434B">
        <w:rPr>
          <w:rFonts w:ascii="Abadi" w:hAnsi="Abadi" w:cs="Arial"/>
          <w:color w:val="000000" w:themeColor="text1"/>
          <w:sz w:val="24"/>
          <w:szCs w:val="24"/>
          <w:shd w:val="clear" w:color="auto" w:fill="FFFFFF"/>
        </w:rPr>
        <w:t>In conclusion, human rights have had a profound impact on police powers in the UK, shaping the legal framework within which law enforcement operates. The principles of human rights, including the right to liberty, privacy, and fair trial, serve as essential safeguards against abuse of power and ensure that police actions are carried out in a manner that respects individual dignity and rights. As society evolves and new challenges emerge, the ongoing dialogue between human rights and police powers will continue to shape the future of law enforcement in the UK</w:t>
      </w:r>
      <w:r>
        <w:rPr>
          <w:rFonts w:ascii="Abadi" w:hAnsi="Abadi" w:cs="Arial"/>
          <w:color w:val="000000" w:themeColor="text1"/>
          <w:sz w:val="24"/>
          <w:szCs w:val="24"/>
          <w:shd w:val="clear" w:color="auto" w:fill="FFFFFF"/>
        </w:rPr>
        <w:t>.</w:t>
      </w:r>
    </w:p>
    <w:p w14:paraId="5B89069E" w14:textId="77777777" w:rsidR="0069235D" w:rsidRDefault="0069235D" w:rsidP="00B842AB">
      <w:pPr>
        <w:rPr>
          <w:rFonts w:ascii="Abadi" w:hAnsi="Abadi"/>
          <w:sz w:val="24"/>
          <w:szCs w:val="24"/>
        </w:rPr>
      </w:pPr>
    </w:p>
    <w:p w14:paraId="2E59FCE4" w14:textId="77777777" w:rsidR="008A1916" w:rsidRPr="0069235D" w:rsidRDefault="008A1916" w:rsidP="00B842AB">
      <w:pPr>
        <w:rPr>
          <w:rFonts w:ascii="Abadi" w:hAnsi="Abadi"/>
          <w:sz w:val="24"/>
          <w:szCs w:val="24"/>
        </w:rPr>
      </w:pPr>
    </w:p>
    <w:p w14:paraId="0034D2F4" w14:textId="6F6F0C26" w:rsidR="00B842AB" w:rsidRDefault="0069235D" w:rsidP="00B842AB">
      <w:pPr>
        <w:rPr>
          <w:rFonts w:ascii="Abadi" w:hAnsi="Abadi"/>
          <w:b/>
          <w:bCs/>
          <w:sz w:val="24"/>
          <w:szCs w:val="24"/>
        </w:rPr>
      </w:pPr>
      <w:r w:rsidRPr="0069235D">
        <w:rPr>
          <w:rFonts w:ascii="Abadi" w:hAnsi="Abadi"/>
          <w:b/>
          <w:bCs/>
          <w:sz w:val="24"/>
          <w:szCs w:val="24"/>
        </w:rPr>
        <w:t>Reference List,</w:t>
      </w:r>
      <w:r>
        <w:rPr>
          <w:rFonts w:ascii="Abadi" w:hAnsi="Abadi"/>
          <w:b/>
          <w:bCs/>
          <w:sz w:val="24"/>
          <w:szCs w:val="24"/>
        </w:rPr>
        <w:t xml:space="preserve"> </w:t>
      </w:r>
    </w:p>
    <w:p w14:paraId="7A2CA6DB" w14:textId="77777777" w:rsidR="00DF0D7C" w:rsidRDefault="00DF0D7C" w:rsidP="00B842AB">
      <w:pPr>
        <w:rPr>
          <w:rFonts w:ascii="Abadi" w:hAnsi="Abadi"/>
          <w:b/>
          <w:bCs/>
          <w:sz w:val="24"/>
          <w:szCs w:val="24"/>
        </w:rPr>
      </w:pPr>
    </w:p>
    <w:p w14:paraId="68CA6887" w14:textId="77777777" w:rsidR="00B95343" w:rsidRPr="00F849D9" w:rsidRDefault="00B95343">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European Convention on Human Rights (ECHR), article 3 - Prohibition of Torture: Council of Europe. (n.d.). *European Convention on Human Rights*. [Online]. Available at: [</w:t>
      </w:r>
      <w:hyperlink r:id="rId7" w:tgtFrame="_blank" w:history="1">
        <w:r w:rsidRPr="00F849D9">
          <w:rPr>
            <w:rStyle w:val="Hyperlink"/>
            <w:rFonts w:ascii="Abadi" w:hAnsi="Abadi" w:cs="Arial"/>
            <w:color w:val="1155CC"/>
            <w:sz w:val="24"/>
            <w:szCs w:val="24"/>
            <w:shd w:val="clear" w:color="auto" w:fill="FFFFFF"/>
          </w:rPr>
          <w:t>https://www.echr.coe.int/Documents/Convention_ENG.pdf](https://www.echr.coe.int/Documents/Convention_ENG.pdf)</w:t>
        </w:r>
      </w:hyperlink>
      <w:r w:rsidRPr="00F849D9">
        <w:rPr>
          <w:rFonts w:ascii="Abadi" w:hAnsi="Abadi" w:cs="Arial"/>
          <w:color w:val="222222"/>
          <w:sz w:val="24"/>
          <w:szCs w:val="24"/>
          <w:shd w:val="clear" w:color="auto" w:fill="FFFFFF"/>
        </w:rPr>
        <w:t> </w:t>
      </w:r>
    </w:p>
    <w:p w14:paraId="28EE240C" w14:textId="51876C7B" w:rsidR="00B95343" w:rsidRPr="00F849D9" w:rsidRDefault="00B95343">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Accessed: </w:t>
      </w:r>
      <w:r w:rsidR="00256D96"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March 15, 2024</w:t>
      </w:r>
      <w:r w:rsidR="00256D96" w:rsidRPr="00F849D9">
        <w:rPr>
          <w:rFonts w:ascii="Abadi" w:hAnsi="Abadi" w:cs="Arial"/>
          <w:color w:val="222222"/>
          <w:sz w:val="24"/>
          <w:szCs w:val="24"/>
          <w:shd w:val="clear" w:color="auto" w:fill="FFFFFF"/>
        </w:rPr>
        <w:t>]</w:t>
      </w:r>
    </w:p>
    <w:p w14:paraId="30E4C79D" w14:textId="77777777" w:rsidR="00256D96" w:rsidRPr="00F849D9" w:rsidRDefault="00B95343">
      <w:pPr>
        <w:rPr>
          <w:rFonts w:ascii="Abadi" w:hAnsi="Abadi"/>
          <w:sz w:val="24"/>
          <w:szCs w:val="24"/>
        </w:rPr>
      </w:pPr>
      <w:r w:rsidRPr="00F849D9">
        <w:rPr>
          <w:rFonts w:ascii="Abadi" w:hAnsi="Abadi" w:cs="Arial"/>
          <w:color w:val="222222"/>
          <w:sz w:val="24"/>
          <w:szCs w:val="24"/>
          <w:shd w:val="clear" w:color="auto" w:fill="FFFFFF"/>
        </w:rPr>
        <w:t>European Convention on Human Rights (ECHR), article 5 - Right to Liberty and Security: Council of Europe. (n.d.). *European Convention on Human Rights*. [Online]. Available at: [</w:t>
      </w:r>
      <w:hyperlink r:id="rId8" w:tgtFrame="_blank" w:history="1">
        <w:r w:rsidRPr="00F849D9">
          <w:rPr>
            <w:rStyle w:val="Hyperlink"/>
            <w:rFonts w:ascii="Abadi" w:hAnsi="Abadi" w:cs="Arial"/>
            <w:color w:val="1155CC"/>
            <w:sz w:val="24"/>
            <w:szCs w:val="24"/>
            <w:shd w:val="clear" w:color="auto" w:fill="FFFFFF"/>
          </w:rPr>
          <w:t>https://www.echr.coe.int/Documents/Convention_ENG.pdf](https://www.echr.coe.int/Documents/Convention_ENG.pdf)</w:t>
        </w:r>
      </w:hyperlink>
    </w:p>
    <w:p w14:paraId="0865F38C" w14:textId="7D362E54" w:rsidR="00256D96" w:rsidRPr="00F849D9" w:rsidRDefault="00B95343">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Accessed: </w:t>
      </w:r>
      <w:r w:rsidR="00F631B5"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March 15, 2024</w:t>
      </w:r>
      <w:r w:rsidR="00F631B5" w:rsidRPr="00F849D9">
        <w:rPr>
          <w:rFonts w:ascii="Abadi" w:hAnsi="Abadi" w:cs="Arial"/>
          <w:color w:val="222222"/>
          <w:sz w:val="24"/>
          <w:szCs w:val="24"/>
          <w:shd w:val="clear" w:color="auto" w:fill="FFFFFF"/>
        </w:rPr>
        <w:t>]</w:t>
      </w:r>
    </w:p>
    <w:p w14:paraId="772A4903" w14:textId="77777777" w:rsidR="00256D96" w:rsidRPr="00F849D9" w:rsidRDefault="00B95343">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European Convention on Human Rights (ECHR), article 6 - Right to a Fair Trial: Council of Europe. (n.d.). *European Convention on Human Rights*. [Online]. Available at: [</w:t>
      </w:r>
      <w:hyperlink r:id="rId9" w:tgtFrame="_blank" w:history="1">
        <w:r w:rsidRPr="00F849D9">
          <w:rPr>
            <w:rStyle w:val="Hyperlink"/>
            <w:rFonts w:ascii="Abadi" w:hAnsi="Abadi" w:cs="Arial"/>
            <w:color w:val="1155CC"/>
            <w:sz w:val="24"/>
            <w:szCs w:val="24"/>
            <w:shd w:val="clear" w:color="auto" w:fill="FFFFFF"/>
          </w:rPr>
          <w:t>https://www.echr.coe.int/Documents/Convention_ENG.pdf](https://www.echr.coe.int/Documents/Convention_ENG.pdf)</w:t>
        </w:r>
      </w:hyperlink>
      <w:r w:rsidRPr="00F849D9">
        <w:rPr>
          <w:rFonts w:ascii="Abadi" w:hAnsi="Abadi" w:cs="Arial"/>
          <w:color w:val="222222"/>
          <w:sz w:val="24"/>
          <w:szCs w:val="24"/>
          <w:shd w:val="clear" w:color="auto" w:fill="FFFFFF"/>
        </w:rPr>
        <w:t> </w:t>
      </w:r>
    </w:p>
    <w:p w14:paraId="7A08B13B" w14:textId="3E350543" w:rsidR="00026B54" w:rsidRPr="00F849D9" w:rsidRDefault="00B95343">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Accessed: </w:t>
      </w:r>
      <w:r w:rsidR="00F631B5"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March 15, 2024</w:t>
      </w:r>
      <w:r w:rsidR="00F631B5"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 xml:space="preserve"> </w:t>
      </w:r>
    </w:p>
    <w:p w14:paraId="1C379DD2" w14:textId="77777777" w:rsidR="009519A0" w:rsidRPr="00F849D9" w:rsidRDefault="009519A0">
      <w:pPr>
        <w:rPr>
          <w:rFonts w:ascii="Abadi" w:hAnsi="Abadi"/>
          <w:sz w:val="24"/>
          <w:szCs w:val="24"/>
        </w:rPr>
      </w:pPr>
      <w:r w:rsidRPr="00F849D9">
        <w:rPr>
          <w:rFonts w:ascii="Abadi" w:hAnsi="Abadi" w:cs="Arial"/>
          <w:color w:val="222222"/>
          <w:sz w:val="24"/>
          <w:szCs w:val="24"/>
          <w:shd w:val="clear" w:color="auto" w:fill="FFFFFF"/>
        </w:rPr>
        <w:lastRenderedPageBreak/>
        <w:t>European Convention on Human Rights (ECHR), article 8 - Right to Respect for Private and Family Life. 2. Office of Public Sector Information. (n.d.). *Human Rights Act 1998*. [Online]. Available at: [</w:t>
      </w:r>
      <w:hyperlink r:id="rId10" w:tgtFrame="_blank" w:history="1">
        <w:r w:rsidRPr="00F849D9">
          <w:rPr>
            <w:rStyle w:val="Hyperlink"/>
            <w:rFonts w:ascii="Abadi" w:hAnsi="Abadi" w:cs="Arial"/>
            <w:color w:val="1155CC"/>
            <w:sz w:val="24"/>
            <w:szCs w:val="24"/>
            <w:shd w:val="clear" w:color="auto" w:fill="FFFFFF"/>
          </w:rPr>
          <w:t>https://www.legislation.gov.uk/ukpga/1998/42/contents](https://www.legislation.gov.uk/ukpga/1998/42/contents)</w:t>
        </w:r>
      </w:hyperlink>
    </w:p>
    <w:p w14:paraId="7A6C703C" w14:textId="035EF2BC" w:rsidR="009519A0" w:rsidRPr="00F849D9" w:rsidRDefault="009519A0">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Accessed: </w:t>
      </w:r>
      <w:r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March 15, 2024</w:t>
      </w:r>
      <w:r w:rsidRPr="00F849D9">
        <w:rPr>
          <w:rFonts w:ascii="Abadi" w:hAnsi="Abadi" w:cs="Arial"/>
          <w:color w:val="222222"/>
          <w:sz w:val="24"/>
          <w:szCs w:val="24"/>
          <w:shd w:val="clear" w:color="auto" w:fill="FFFFFF"/>
        </w:rPr>
        <w:t>]</w:t>
      </w:r>
    </w:p>
    <w:p w14:paraId="55A99E7D" w14:textId="77777777" w:rsidR="003F0F4F" w:rsidRPr="00F849D9" w:rsidRDefault="003F0F4F" w:rsidP="003F0F4F">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Council of Europe. (n.d.). *European Convention on Human Rights*. [Online]. Available at: [</w:t>
      </w:r>
      <w:hyperlink r:id="rId11" w:tgtFrame="_blank" w:history="1">
        <w:r w:rsidRPr="00F849D9">
          <w:rPr>
            <w:rStyle w:val="Hyperlink"/>
            <w:rFonts w:ascii="Abadi" w:hAnsi="Abadi" w:cs="Arial"/>
            <w:color w:val="1155CC"/>
            <w:sz w:val="24"/>
            <w:szCs w:val="24"/>
            <w:shd w:val="clear" w:color="auto" w:fill="FFFFFF"/>
          </w:rPr>
          <w:t>https://www.echr.coe.int/Documents/Convention_ENG.pdf](https://www.echr.coe.int/Documents/Convention_ENG.pdf)</w:t>
        </w:r>
      </w:hyperlink>
      <w:r w:rsidRPr="00F849D9">
        <w:rPr>
          <w:rFonts w:ascii="Abadi" w:hAnsi="Abadi" w:cs="Arial"/>
          <w:color w:val="222222"/>
          <w:sz w:val="24"/>
          <w:szCs w:val="24"/>
          <w:shd w:val="clear" w:color="auto" w:fill="FFFFFF"/>
        </w:rPr>
        <w:t> </w:t>
      </w:r>
    </w:p>
    <w:p w14:paraId="0FCF6E2D" w14:textId="7849E169" w:rsidR="003F0F4F" w:rsidRPr="00F849D9" w:rsidRDefault="003F0F4F" w:rsidP="003F0F4F">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Accessed: </w:t>
      </w:r>
      <w:r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March 15, 2024</w:t>
      </w:r>
      <w:r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 xml:space="preserve"> </w:t>
      </w:r>
    </w:p>
    <w:p w14:paraId="59C5AECA" w14:textId="760B9700" w:rsidR="003F0F4F" w:rsidRPr="00F849D9" w:rsidRDefault="00AE58B9">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De </w:t>
      </w:r>
      <w:r w:rsidR="009E25A8" w:rsidRPr="00F849D9">
        <w:rPr>
          <w:rFonts w:ascii="Abadi" w:hAnsi="Abadi" w:cs="Arial"/>
          <w:color w:val="222222"/>
          <w:sz w:val="24"/>
          <w:szCs w:val="24"/>
          <w:shd w:val="clear" w:color="auto" w:fill="FFFFFF"/>
        </w:rPr>
        <w:t>Leondra’s</w:t>
      </w:r>
      <w:r w:rsidRPr="00F849D9">
        <w:rPr>
          <w:rFonts w:ascii="Abadi" w:hAnsi="Abadi" w:cs="Arial"/>
          <w:color w:val="222222"/>
          <w:sz w:val="24"/>
          <w:szCs w:val="24"/>
          <w:shd w:val="clear" w:color="auto" w:fill="FFFFFF"/>
        </w:rPr>
        <w:t>, F. (2017). *EU Security and Justice Law: After Brexit*. Hart Publishing.</w:t>
      </w:r>
    </w:p>
    <w:p w14:paraId="1C450465" w14:textId="77777777" w:rsidR="00826ADE" w:rsidRPr="00F849D9" w:rsidRDefault="00826ADE">
      <w:pPr>
        <w:rPr>
          <w:rFonts w:ascii="Abadi" w:hAnsi="Abadi"/>
          <w:sz w:val="24"/>
          <w:szCs w:val="24"/>
        </w:rPr>
      </w:pPr>
      <w:r w:rsidRPr="00F849D9">
        <w:rPr>
          <w:rFonts w:ascii="Abadi" w:hAnsi="Abadi" w:cs="Arial"/>
          <w:color w:val="222222"/>
          <w:sz w:val="24"/>
          <w:szCs w:val="24"/>
          <w:shd w:val="clear" w:color="auto" w:fill="FFFFFF"/>
        </w:rPr>
        <w:t>Great Britain. Independent Reviewer of Terrorism Legislation. (2018). *The Terrorism Acts in 2017 - Report of the Independent Reviewer of Terrorism Legislation*. [Online]. Available at: [</w:t>
      </w:r>
      <w:hyperlink r:id="rId12" w:tgtFrame="_blank" w:history="1">
        <w:r w:rsidRPr="00F849D9">
          <w:rPr>
            <w:rStyle w:val="Hyperlink"/>
            <w:rFonts w:ascii="Abadi" w:hAnsi="Abadi" w:cs="Arial"/>
            <w:color w:val="1155CC"/>
            <w:sz w:val="24"/>
            <w:szCs w:val="24"/>
            <w:shd w:val="clear" w:color="auto" w:fill="FFFFFF"/>
          </w:rPr>
          <w:t>https://www.gov.uk/government/publications/the-terrorism-acts-in-2017-report-of-the-independent-reviewer](https://www.gov.uk/government/publications/the-terrorism-acts-in-2017-report-of-the-independent-reviewer)</w:t>
        </w:r>
      </w:hyperlink>
    </w:p>
    <w:p w14:paraId="771E5421" w14:textId="7DA5BEA1" w:rsidR="00826ADE" w:rsidRPr="00F849D9" w:rsidRDefault="00826ADE">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Accessed: </w:t>
      </w:r>
      <w:r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March 15, 2024</w:t>
      </w:r>
      <w:r w:rsidRPr="00F849D9">
        <w:rPr>
          <w:rFonts w:ascii="Abadi" w:hAnsi="Abadi" w:cs="Arial"/>
          <w:color w:val="222222"/>
          <w:sz w:val="24"/>
          <w:szCs w:val="24"/>
          <w:shd w:val="clear" w:color="auto" w:fill="FFFFFF"/>
        </w:rPr>
        <w:t>]</w:t>
      </w:r>
    </w:p>
    <w:p w14:paraId="33B7E0EA" w14:textId="02663ED7" w:rsidR="00026B54" w:rsidRPr="00F849D9" w:rsidRDefault="00B95343">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Harris, D. J., O'Boyle, M., &amp; Warbrick, C. (2014). *Law of the European Convention on Human Rights*. Oxford University Press.</w:t>
      </w:r>
    </w:p>
    <w:p w14:paraId="6563AA0E" w14:textId="77777777" w:rsidR="002046EC" w:rsidRPr="00F849D9" w:rsidRDefault="002046EC">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House of Commons Library. (2020). *Powers of the Police and Criminal Evidence Act 1984*. [Online]. Available at: [</w:t>
      </w:r>
      <w:hyperlink r:id="rId13" w:tgtFrame="_blank" w:history="1">
        <w:r w:rsidRPr="00F849D9">
          <w:rPr>
            <w:rStyle w:val="Hyperlink"/>
            <w:rFonts w:ascii="Abadi" w:hAnsi="Abadi" w:cs="Arial"/>
            <w:color w:val="1155CC"/>
            <w:sz w:val="24"/>
            <w:szCs w:val="24"/>
            <w:shd w:val="clear" w:color="auto" w:fill="FFFFFF"/>
          </w:rPr>
          <w:t>https://researchbriefings.files.parliament.uk/documents/SN03876/SN03876.pdf](https://researchbriefings.files.parliament.uk/documents/SN03876/SN03876.pdf)</w:t>
        </w:r>
      </w:hyperlink>
      <w:r w:rsidRPr="00F849D9">
        <w:rPr>
          <w:rFonts w:ascii="Abadi" w:hAnsi="Abadi" w:cs="Arial"/>
          <w:color w:val="222222"/>
          <w:sz w:val="24"/>
          <w:szCs w:val="24"/>
          <w:shd w:val="clear" w:color="auto" w:fill="FFFFFF"/>
        </w:rPr>
        <w:t> </w:t>
      </w:r>
    </w:p>
    <w:p w14:paraId="55D735CB" w14:textId="67C6E784" w:rsidR="002046EC" w:rsidRPr="00F849D9" w:rsidRDefault="002046EC">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Accessed: </w:t>
      </w:r>
      <w:r w:rsidR="00F42DF1" w:rsidRPr="00F849D9">
        <w:rPr>
          <w:rFonts w:ascii="Abadi" w:hAnsi="Abadi" w:cs="Arial"/>
          <w:color w:val="222222"/>
          <w:sz w:val="24"/>
          <w:szCs w:val="24"/>
          <w:shd w:val="clear" w:color="auto" w:fill="FFFFFF"/>
        </w:rPr>
        <w:t>[</w:t>
      </w:r>
      <w:r w:rsidRPr="00F849D9">
        <w:rPr>
          <w:rFonts w:ascii="Abadi" w:hAnsi="Abadi" w:cs="Arial"/>
          <w:color w:val="222222"/>
          <w:sz w:val="24"/>
          <w:szCs w:val="24"/>
          <w:shd w:val="clear" w:color="auto" w:fill="FFFFFF"/>
        </w:rPr>
        <w:t>March 15, 2024</w:t>
      </w:r>
      <w:r w:rsidR="00F42DF1" w:rsidRPr="00F849D9">
        <w:rPr>
          <w:rFonts w:ascii="Abadi" w:hAnsi="Abadi" w:cs="Arial"/>
          <w:color w:val="222222"/>
          <w:sz w:val="24"/>
          <w:szCs w:val="24"/>
          <w:shd w:val="clear" w:color="auto" w:fill="FFFFFF"/>
        </w:rPr>
        <w:t>]</w:t>
      </w:r>
    </w:p>
    <w:p w14:paraId="2B5E452C" w14:textId="77777777" w:rsidR="009519A0" w:rsidRPr="00F849D9" w:rsidRDefault="00B95343">
      <w:pPr>
        <w:rPr>
          <w:rFonts w:ascii="Abadi" w:hAnsi="Abadi" w:cs="Arial"/>
          <w:color w:val="222222"/>
          <w:sz w:val="24"/>
          <w:szCs w:val="24"/>
          <w:shd w:val="clear" w:color="auto" w:fill="FFFFFF"/>
        </w:rPr>
      </w:pPr>
      <w:proofErr w:type="spellStart"/>
      <w:r w:rsidRPr="00F849D9">
        <w:rPr>
          <w:rFonts w:ascii="Abadi" w:hAnsi="Abadi" w:cs="Arial"/>
          <w:color w:val="222222"/>
          <w:sz w:val="24"/>
          <w:szCs w:val="24"/>
          <w:shd w:val="clear" w:color="auto" w:fill="FFFFFF"/>
        </w:rPr>
        <w:t>Letsas</w:t>
      </w:r>
      <w:proofErr w:type="spellEnd"/>
      <w:r w:rsidRPr="00F849D9">
        <w:rPr>
          <w:rFonts w:ascii="Abadi" w:hAnsi="Abadi" w:cs="Arial"/>
          <w:color w:val="222222"/>
          <w:sz w:val="24"/>
          <w:szCs w:val="24"/>
          <w:shd w:val="clear" w:color="auto" w:fill="FFFFFF"/>
        </w:rPr>
        <w:t>, G. (2018). *A Theory of Interpretation of the European Convention on Human Rights*. Oxford University Press</w:t>
      </w:r>
      <w:r w:rsidR="00F631B5" w:rsidRPr="00F849D9">
        <w:rPr>
          <w:rFonts w:ascii="Abadi" w:hAnsi="Abadi" w:cs="Arial"/>
          <w:color w:val="222222"/>
          <w:sz w:val="24"/>
          <w:szCs w:val="24"/>
          <w:shd w:val="clear" w:color="auto" w:fill="FFFFFF"/>
        </w:rPr>
        <w:t>.</w:t>
      </w:r>
      <w:r w:rsidR="009519A0" w:rsidRPr="00F849D9">
        <w:rPr>
          <w:rFonts w:ascii="Abadi" w:hAnsi="Abadi" w:cs="Arial"/>
          <w:color w:val="222222"/>
          <w:sz w:val="24"/>
          <w:szCs w:val="24"/>
          <w:shd w:val="clear" w:color="auto" w:fill="FFFFFF"/>
        </w:rPr>
        <w:t xml:space="preserve"> </w:t>
      </w:r>
    </w:p>
    <w:p w14:paraId="6B7F2F79" w14:textId="67B55534" w:rsidR="001C2B64" w:rsidRPr="00F849D9" w:rsidRDefault="009519A0">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Ovey, C., White, R., &amp; Jacobs, F. (2010). *The European Convention on Human Rights*. Oxford University Press. </w:t>
      </w:r>
    </w:p>
    <w:p w14:paraId="3DFA440C" w14:textId="2A624C5D" w:rsidR="002046EC" w:rsidRPr="00F849D9" w:rsidRDefault="002046EC">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Quirk, H. (2019). "Balancing </w:t>
      </w:r>
      <w:r w:rsidR="005C510A" w:rsidRPr="00F849D9">
        <w:rPr>
          <w:rFonts w:ascii="Abadi" w:hAnsi="Abadi" w:cs="Arial"/>
          <w:color w:val="222222"/>
          <w:sz w:val="24"/>
          <w:szCs w:val="24"/>
          <w:shd w:val="clear" w:color="auto" w:fill="FFFFFF"/>
        </w:rPr>
        <w:t>Counterterrorism</w:t>
      </w:r>
      <w:r w:rsidRPr="00F849D9">
        <w:rPr>
          <w:rFonts w:ascii="Abadi" w:hAnsi="Abadi" w:cs="Arial"/>
          <w:color w:val="222222"/>
          <w:sz w:val="24"/>
          <w:szCs w:val="24"/>
          <w:shd w:val="clear" w:color="auto" w:fill="FFFFFF"/>
        </w:rPr>
        <w:t xml:space="preserve"> and Human Rights: The Impact of the ECHR on the UK’s Terrorism Stop and Search Powers." *Human Rights Case Digest, </w:t>
      </w:r>
      <w:r w:rsidR="009E25A8" w:rsidRPr="00F849D9">
        <w:rPr>
          <w:rFonts w:ascii="Abadi" w:hAnsi="Abadi" w:cs="Arial"/>
          <w:color w:val="222222"/>
          <w:sz w:val="24"/>
          <w:szCs w:val="24"/>
          <w:shd w:val="clear" w:color="auto" w:fill="FFFFFF"/>
        </w:rPr>
        <w:t>77. *</w:t>
      </w:r>
      <w:r w:rsidRPr="00F849D9">
        <w:rPr>
          <w:rFonts w:ascii="Abadi" w:hAnsi="Abadi" w:cs="Arial"/>
          <w:color w:val="222222"/>
          <w:sz w:val="24"/>
          <w:szCs w:val="24"/>
          <w:shd w:val="clear" w:color="auto" w:fill="FFFFFF"/>
        </w:rPr>
        <w:t xml:space="preserve"> </w:t>
      </w:r>
    </w:p>
    <w:p w14:paraId="4511AFF5" w14:textId="5EED9BC2" w:rsidR="002046EC" w:rsidRPr="00F849D9" w:rsidRDefault="002046EC">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Rowe, M. (2017). *Police Integrity Management in the UK: Law, Accountability and the Rights of Policing*. Springer.</w:t>
      </w:r>
    </w:p>
    <w:p w14:paraId="5C7D4581" w14:textId="77777777" w:rsidR="005C510A" w:rsidRPr="00F849D9" w:rsidRDefault="005C510A" w:rsidP="005C510A">
      <w:pPr>
        <w:rPr>
          <w:rFonts w:ascii="Abadi" w:hAnsi="Abadi" w:cs="Arial"/>
          <w:color w:val="222222"/>
          <w:sz w:val="24"/>
          <w:szCs w:val="24"/>
          <w:shd w:val="clear" w:color="auto" w:fill="FFFFFF"/>
        </w:rPr>
      </w:pPr>
      <w:r w:rsidRPr="00F849D9">
        <w:rPr>
          <w:rFonts w:ascii="Abadi" w:hAnsi="Abadi" w:cs="Arial"/>
          <w:color w:val="222222"/>
          <w:sz w:val="24"/>
          <w:szCs w:val="24"/>
          <w:shd w:val="clear" w:color="auto" w:fill="FFFFFF"/>
        </w:rPr>
        <w:t xml:space="preserve">Stell, L., &amp; Fenton, R. (2018). *Human Rights and Police Stop and Search Powers: Balancing Security and Liberty in the Human Rights Act Era*. Palgrave Macmillan. </w:t>
      </w:r>
    </w:p>
    <w:p w14:paraId="2541B283" w14:textId="18FB7BFF" w:rsidR="00F42DF1" w:rsidRPr="00AE58B9" w:rsidRDefault="002046EC">
      <w:pPr>
        <w:rPr>
          <w:rFonts w:ascii="Arial" w:hAnsi="Arial" w:cs="Arial"/>
          <w:color w:val="222222"/>
          <w:shd w:val="clear" w:color="auto" w:fill="FFFFFF"/>
        </w:rPr>
      </w:pPr>
      <w:r>
        <w:rPr>
          <w:rFonts w:ascii="Arial" w:hAnsi="Arial" w:cs="Arial"/>
          <w:color w:val="222222"/>
          <w:shd w:val="clear" w:color="auto" w:fill="FFFFFF"/>
        </w:rPr>
        <w:t xml:space="preserve"> </w:t>
      </w:r>
    </w:p>
    <w:sectPr w:rsidR="00F42DF1" w:rsidRPr="00AE58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64A"/>
    <w:rsid w:val="00022C0E"/>
    <w:rsid w:val="00026B54"/>
    <w:rsid w:val="000312F9"/>
    <w:rsid w:val="000448AD"/>
    <w:rsid w:val="000534D8"/>
    <w:rsid w:val="00054902"/>
    <w:rsid w:val="00081820"/>
    <w:rsid w:val="000C1DED"/>
    <w:rsid w:val="000D645C"/>
    <w:rsid w:val="000E31D4"/>
    <w:rsid w:val="0011151C"/>
    <w:rsid w:val="00136DBE"/>
    <w:rsid w:val="0015064A"/>
    <w:rsid w:val="00152652"/>
    <w:rsid w:val="001701DA"/>
    <w:rsid w:val="001801FC"/>
    <w:rsid w:val="001933A1"/>
    <w:rsid w:val="001B093A"/>
    <w:rsid w:val="001B643A"/>
    <w:rsid w:val="001C2B64"/>
    <w:rsid w:val="001C5BD8"/>
    <w:rsid w:val="00200E28"/>
    <w:rsid w:val="002046EC"/>
    <w:rsid w:val="002068B8"/>
    <w:rsid w:val="00250BB8"/>
    <w:rsid w:val="00256D96"/>
    <w:rsid w:val="0026230D"/>
    <w:rsid w:val="002771FF"/>
    <w:rsid w:val="0029035F"/>
    <w:rsid w:val="002A1E46"/>
    <w:rsid w:val="002C5834"/>
    <w:rsid w:val="002D1B4B"/>
    <w:rsid w:val="002E393E"/>
    <w:rsid w:val="002F34C1"/>
    <w:rsid w:val="002F592F"/>
    <w:rsid w:val="003229F8"/>
    <w:rsid w:val="00392149"/>
    <w:rsid w:val="003A0CD6"/>
    <w:rsid w:val="003F0F4F"/>
    <w:rsid w:val="003F15AE"/>
    <w:rsid w:val="004018A6"/>
    <w:rsid w:val="00405B50"/>
    <w:rsid w:val="00407A62"/>
    <w:rsid w:val="00411268"/>
    <w:rsid w:val="00423CE1"/>
    <w:rsid w:val="0042639C"/>
    <w:rsid w:val="00426BB4"/>
    <w:rsid w:val="00430A33"/>
    <w:rsid w:val="00450EB1"/>
    <w:rsid w:val="004516ED"/>
    <w:rsid w:val="0048371C"/>
    <w:rsid w:val="00495CE4"/>
    <w:rsid w:val="004D01AF"/>
    <w:rsid w:val="004D51F3"/>
    <w:rsid w:val="004D5F49"/>
    <w:rsid w:val="004E2808"/>
    <w:rsid w:val="004E2FED"/>
    <w:rsid w:val="004F6213"/>
    <w:rsid w:val="005075A8"/>
    <w:rsid w:val="00527F15"/>
    <w:rsid w:val="00531C2C"/>
    <w:rsid w:val="00537C32"/>
    <w:rsid w:val="005424A0"/>
    <w:rsid w:val="00555374"/>
    <w:rsid w:val="005556EA"/>
    <w:rsid w:val="0056016E"/>
    <w:rsid w:val="00561206"/>
    <w:rsid w:val="00566A6D"/>
    <w:rsid w:val="00575F4B"/>
    <w:rsid w:val="00584643"/>
    <w:rsid w:val="0059201D"/>
    <w:rsid w:val="005A1DC3"/>
    <w:rsid w:val="005B4B6B"/>
    <w:rsid w:val="005B4B88"/>
    <w:rsid w:val="005C510A"/>
    <w:rsid w:val="005D1910"/>
    <w:rsid w:val="005D1972"/>
    <w:rsid w:val="005D4E16"/>
    <w:rsid w:val="005D7BF5"/>
    <w:rsid w:val="005F4058"/>
    <w:rsid w:val="0060594E"/>
    <w:rsid w:val="0061295C"/>
    <w:rsid w:val="00631933"/>
    <w:rsid w:val="00640A33"/>
    <w:rsid w:val="00645551"/>
    <w:rsid w:val="00656BC4"/>
    <w:rsid w:val="00656FBB"/>
    <w:rsid w:val="00657F50"/>
    <w:rsid w:val="0069028F"/>
    <w:rsid w:val="0069235D"/>
    <w:rsid w:val="006B5D2C"/>
    <w:rsid w:val="006C2751"/>
    <w:rsid w:val="00723259"/>
    <w:rsid w:val="007371CB"/>
    <w:rsid w:val="00754567"/>
    <w:rsid w:val="007830B9"/>
    <w:rsid w:val="007D3DF0"/>
    <w:rsid w:val="007D65C3"/>
    <w:rsid w:val="00810925"/>
    <w:rsid w:val="0081202E"/>
    <w:rsid w:val="00813A1F"/>
    <w:rsid w:val="00820A5D"/>
    <w:rsid w:val="00826ADE"/>
    <w:rsid w:val="00830E0F"/>
    <w:rsid w:val="00846FB8"/>
    <w:rsid w:val="00851242"/>
    <w:rsid w:val="00855EDD"/>
    <w:rsid w:val="00862A98"/>
    <w:rsid w:val="0087618A"/>
    <w:rsid w:val="008776B7"/>
    <w:rsid w:val="008A1916"/>
    <w:rsid w:val="008A75CA"/>
    <w:rsid w:val="008C78BB"/>
    <w:rsid w:val="008D5423"/>
    <w:rsid w:val="008D63D1"/>
    <w:rsid w:val="00921BB7"/>
    <w:rsid w:val="00923244"/>
    <w:rsid w:val="009409CB"/>
    <w:rsid w:val="009519A0"/>
    <w:rsid w:val="009564E5"/>
    <w:rsid w:val="00957276"/>
    <w:rsid w:val="009872BC"/>
    <w:rsid w:val="00992ABA"/>
    <w:rsid w:val="009A2670"/>
    <w:rsid w:val="009E25A8"/>
    <w:rsid w:val="00A5129E"/>
    <w:rsid w:val="00A6635E"/>
    <w:rsid w:val="00A8238E"/>
    <w:rsid w:val="00AA1BEC"/>
    <w:rsid w:val="00AA2D7F"/>
    <w:rsid w:val="00AB7FE3"/>
    <w:rsid w:val="00AE58B9"/>
    <w:rsid w:val="00AF27A4"/>
    <w:rsid w:val="00B152F6"/>
    <w:rsid w:val="00B65595"/>
    <w:rsid w:val="00B842AB"/>
    <w:rsid w:val="00B95343"/>
    <w:rsid w:val="00BD0463"/>
    <w:rsid w:val="00BD6423"/>
    <w:rsid w:val="00C1527D"/>
    <w:rsid w:val="00C47601"/>
    <w:rsid w:val="00C62E41"/>
    <w:rsid w:val="00C9445A"/>
    <w:rsid w:val="00CA4FEB"/>
    <w:rsid w:val="00CD21A8"/>
    <w:rsid w:val="00CE6621"/>
    <w:rsid w:val="00CF306B"/>
    <w:rsid w:val="00CF37D9"/>
    <w:rsid w:val="00CF53F1"/>
    <w:rsid w:val="00D14139"/>
    <w:rsid w:val="00D1741F"/>
    <w:rsid w:val="00D321C5"/>
    <w:rsid w:val="00D3434B"/>
    <w:rsid w:val="00D34843"/>
    <w:rsid w:val="00D44A07"/>
    <w:rsid w:val="00D44AE9"/>
    <w:rsid w:val="00D56F85"/>
    <w:rsid w:val="00D74226"/>
    <w:rsid w:val="00DA246A"/>
    <w:rsid w:val="00DC1B1B"/>
    <w:rsid w:val="00DD09BD"/>
    <w:rsid w:val="00DD2257"/>
    <w:rsid w:val="00DF0D7C"/>
    <w:rsid w:val="00DF77E5"/>
    <w:rsid w:val="00E104E6"/>
    <w:rsid w:val="00E319D4"/>
    <w:rsid w:val="00E41FD7"/>
    <w:rsid w:val="00E44E8A"/>
    <w:rsid w:val="00E51042"/>
    <w:rsid w:val="00E513A3"/>
    <w:rsid w:val="00E829DF"/>
    <w:rsid w:val="00EB3291"/>
    <w:rsid w:val="00EE25BA"/>
    <w:rsid w:val="00EE3CD0"/>
    <w:rsid w:val="00F42DF1"/>
    <w:rsid w:val="00F631B5"/>
    <w:rsid w:val="00F82357"/>
    <w:rsid w:val="00F849D9"/>
    <w:rsid w:val="00FA2F15"/>
    <w:rsid w:val="00FC4220"/>
    <w:rsid w:val="00FD7929"/>
    <w:rsid w:val="00FF3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0CCE2"/>
  <w15:chartTrackingRefBased/>
  <w15:docId w15:val="{816E670E-6851-4337-8F2B-E004483EA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61206"/>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61206"/>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unhideWhenUsed/>
    <w:rsid w:val="0069028F"/>
    <w:rPr>
      <w:color w:val="0563C1" w:themeColor="hyperlink"/>
      <w:u w:val="single"/>
    </w:rPr>
  </w:style>
  <w:style w:type="character" w:styleId="UnresolvedMention">
    <w:name w:val="Unresolved Mention"/>
    <w:basedOn w:val="DefaultParagraphFont"/>
    <w:uiPriority w:val="99"/>
    <w:semiHidden/>
    <w:unhideWhenUsed/>
    <w:rsid w:val="0069028F"/>
    <w:rPr>
      <w:color w:val="605E5C"/>
      <w:shd w:val="clear" w:color="auto" w:fill="E1DFDD"/>
    </w:rPr>
  </w:style>
  <w:style w:type="character" w:customStyle="1" w:styleId="author">
    <w:name w:val="author"/>
    <w:basedOn w:val="DefaultParagraphFont"/>
    <w:rsid w:val="005D1972"/>
  </w:style>
  <w:style w:type="character" w:customStyle="1" w:styleId="pubyear">
    <w:name w:val="pubyear"/>
    <w:basedOn w:val="DefaultParagraphFont"/>
    <w:rsid w:val="005D1972"/>
  </w:style>
  <w:style w:type="character" w:customStyle="1" w:styleId="articletitle">
    <w:name w:val="articletitle"/>
    <w:basedOn w:val="DefaultParagraphFont"/>
    <w:rsid w:val="005D1972"/>
  </w:style>
  <w:style w:type="character" w:customStyle="1" w:styleId="vol">
    <w:name w:val="vol"/>
    <w:basedOn w:val="DefaultParagraphFont"/>
    <w:rsid w:val="005D1972"/>
  </w:style>
  <w:style w:type="character" w:customStyle="1" w:styleId="pagefirst">
    <w:name w:val="pagefirst"/>
    <w:basedOn w:val="DefaultParagraphFont"/>
    <w:rsid w:val="005D1972"/>
  </w:style>
  <w:style w:type="character" w:customStyle="1" w:styleId="pagelast">
    <w:name w:val="pagelast"/>
    <w:basedOn w:val="DefaultParagraphFont"/>
    <w:rsid w:val="005D1972"/>
  </w:style>
  <w:style w:type="character" w:customStyle="1" w:styleId="groupname">
    <w:name w:val="groupname"/>
    <w:basedOn w:val="DefaultParagraphFont"/>
    <w:rsid w:val="008A75CA"/>
  </w:style>
  <w:style w:type="character" w:customStyle="1" w:styleId="booktitle">
    <w:name w:val="booktitle"/>
    <w:basedOn w:val="DefaultParagraphFont"/>
    <w:rsid w:val="008A75CA"/>
  </w:style>
  <w:style w:type="character" w:customStyle="1" w:styleId="publisherlocation">
    <w:name w:val="publisherlocation"/>
    <w:basedOn w:val="DefaultParagraphFont"/>
    <w:rsid w:val="008A7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581075">
      <w:bodyDiv w:val="1"/>
      <w:marLeft w:val="0"/>
      <w:marRight w:val="0"/>
      <w:marTop w:val="0"/>
      <w:marBottom w:val="0"/>
      <w:divBdr>
        <w:top w:val="none" w:sz="0" w:space="0" w:color="auto"/>
        <w:left w:val="none" w:sz="0" w:space="0" w:color="auto"/>
        <w:bottom w:val="none" w:sz="0" w:space="0" w:color="auto"/>
        <w:right w:val="none" w:sz="0" w:space="0" w:color="auto"/>
      </w:divBdr>
    </w:div>
    <w:div w:id="1378317464">
      <w:bodyDiv w:val="1"/>
      <w:marLeft w:val="0"/>
      <w:marRight w:val="0"/>
      <w:marTop w:val="0"/>
      <w:marBottom w:val="0"/>
      <w:divBdr>
        <w:top w:val="none" w:sz="0" w:space="0" w:color="auto"/>
        <w:left w:val="none" w:sz="0" w:space="0" w:color="auto"/>
        <w:bottom w:val="none" w:sz="0" w:space="0" w:color="auto"/>
        <w:right w:val="none" w:sz="0" w:space="0" w:color="auto"/>
      </w:divBdr>
    </w:div>
    <w:div w:id="181791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hr.coe.int/Documents/Convention_ENG.pdf%5D(https:/www.echr.coe.int/Documents/Convention_ENG.pdf)" TargetMode="External"/><Relationship Id="rId13" Type="http://schemas.openxmlformats.org/officeDocument/2006/relationships/hyperlink" Target="https://researchbriefings.files.parliament.uk/documents/SN03876/SN03876.pdf%5D(https:/researchbriefings.files.parliament.uk/documents/SN03876/SN03876.pdf)" TargetMode="External"/><Relationship Id="rId3" Type="http://schemas.openxmlformats.org/officeDocument/2006/relationships/customXml" Target="../customXml/item3.xml"/><Relationship Id="rId7" Type="http://schemas.openxmlformats.org/officeDocument/2006/relationships/hyperlink" Target="https://www.echr.coe.int/Documents/Convention_ENG.pdf%5D(https:/www.echr.coe.int/Documents/Convention_ENG.pdf)" TargetMode="External"/><Relationship Id="rId12" Type="http://schemas.openxmlformats.org/officeDocument/2006/relationships/hyperlink" Target="https://www.gov.uk/government/publications/the-terrorism-acts-in-2017-report-of-the-independent-reviewer%5D(https:/www.gov.uk/government/publications/the-terrorism-acts-in-2017-report-of-the-independent-reviewe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chr.coe.int/Documents/Convention_ENG.pdf%5D(https:/www.echr.coe.int/Documents/Convention_ENG.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legislation.gov.uk/ukpga/1998/42/contents%5D(https:/www.legislation.gov.uk/ukpga/1998/42/contents)" TargetMode="External"/><Relationship Id="rId4" Type="http://schemas.openxmlformats.org/officeDocument/2006/relationships/styles" Target="styles.xml"/><Relationship Id="rId9" Type="http://schemas.openxmlformats.org/officeDocument/2006/relationships/hyperlink" Target="https://www.echr.coe.int/Documents/Convention_ENG.pdf%5D(https:/www.echr.coe.int/Documents/Convention_ENG.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4231FA-52C3-4131-BB62-76C0DAE551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81AFC6-6BB3-4A5F-A19B-C5342FD53F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9CF9CCC-DF46-4BE5-B259-21A1A4AD7C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8938</TotalTime>
  <Pages>4</Pages>
  <Words>1476</Words>
  <Characters>9184</Characters>
  <Application>Microsoft Office Word</Application>
  <DocSecurity>0</DocSecurity>
  <Lines>160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Cristescu (2228672)</dc:creator>
  <cp:keywords/>
  <dc:description/>
  <cp:lastModifiedBy>Vasile Cristescu (2228672)</cp:lastModifiedBy>
  <cp:revision>178</cp:revision>
  <dcterms:created xsi:type="dcterms:W3CDTF">2023-04-27T10:41:00Z</dcterms:created>
  <dcterms:modified xsi:type="dcterms:W3CDTF">2024-03-15T15:00:00Z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