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F2A75" w14:textId="2ED98F51" w:rsidR="009815A2" w:rsidRDefault="009815A2" w:rsidP="009815A2">
      <w:pPr>
        <w:spacing w:line="360" w:lineRule="auto"/>
        <w:ind w:left="850" w:right="850"/>
        <w:jc w:val="center"/>
        <w:rPr>
          <w:rFonts w:ascii="Arial" w:hAnsi="Arial" w:cs="Arial"/>
          <w:b/>
          <w:bCs/>
          <w:color w:val="222222"/>
          <w:sz w:val="24"/>
          <w:szCs w:val="24"/>
          <w:shd w:val="clear" w:color="auto" w:fill="FFFFFF"/>
        </w:rPr>
      </w:pPr>
      <w:r>
        <w:rPr>
          <w:rFonts w:ascii="Arial" w:hAnsi="Arial" w:cs="Arial"/>
          <w:b/>
          <w:bCs/>
          <w:noProof/>
          <w:color w:val="222222"/>
          <w:sz w:val="24"/>
          <w:szCs w:val="24"/>
          <w:shd w:val="clear" w:color="auto" w:fill="FFFFFF"/>
          <w14:ligatures w14:val="standardContextual"/>
        </w:rPr>
        <w:drawing>
          <wp:inline distT="0" distB="0" distL="0" distR="0" wp14:anchorId="6B5BE745" wp14:editId="1DA2BF09">
            <wp:extent cx="3056709" cy="1698172"/>
            <wp:effectExtent l="0" t="0" r="4445" b="3810"/>
            <wp:docPr id="172599949"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9949" name="Picture 1" descr="A black and yellow logo&#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44119" cy="1746733"/>
                    </a:xfrm>
                    <a:prstGeom prst="rect">
                      <a:avLst/>
                    </a:prstGeom>
                  </pic:spPr>
                </pic:pic>
              </a:graphicData>
            </a:graphic>
          </wp:inline>
        </w:drawing>
      </w:r>
    </w:p>
    <w:p w14:paraId="749C93B5" w14:textId="77777777" w:rsidR="009815A2" w:rsidRPr="00AE0CB7" w:rsidRDefault="009815A2" w:rsidP="009815A2">
      <w:pPr>
        <w:spacing w:line="360" w:lineRule="auto"/>
        <w:ind w:left="850" w:right="850"/>
        <w:jc w:val="center"/>
        <w:rPr>
          <w:rFonts w:ascii="Arial" w:hAnsi="Arial" w:cs="Arial"/>
          <w:b/>
          <w:bCs/>
          <w:color w:val="222222"/>
          <w:sz w:val="24"/>
          <w:szCs w:val="24"/>
          <w:shd w:val="clear" w:color="auto" w:fill="FFFFFF"/>
        </w:rPr>
      </w:pPr>
      <w:r w:rsidRPr="00AE0CB7">
        <w:rPr>
          <w:rFonts w:ascii="Arial" w:hAnsi="Arial" w:cs="Arial"/>
          <w:b/>
          <w:bCs/>
          <w:color w:val="222222"/>
          <w:sz w:val="24"/>
          <w:szCs w:val="24"/>
          <w:shd w:val="clear" w:color="auto" w:fill="FFFFFF"/>
        </w:rPr>
        <w:t>Certificate of Higher Education in Employability Skills</w:t>
      </w:r>
    </w:p>
    <w:p w14:paraId="35DB725A" w14:textId="77777777" w:rsidR="009815A2" w:rsidRPr="00AE0CB7" w:rsidRDefault="009815A2" w:rsidP="009815A2">
      <w:pPr>
        <w:spacing w:line="360" w:lineRule="auto"/>
        <w:ind w:left="850" w:right="850"/>
        <w:jc w:val="center"/>
        <w:rPr>
          <w:rFonts w:ascii="Arial" w:hAnsi="Arial" w:cs="Arial"/>
          <w:b/>
          <w:bCs/>
          <w:color w:val="222222"/>
          <w:sz w:val="24"/>
          <w:szCs w:val="24"/>
          <w:shd w:val="clear" w:color="auto" w:fill="FFFFFF"/>
        </w:rPr>
      </w:pPr>
    </w:p>
    <w:p w14:paraId="3EBEBA3E" w14:textId="77777777" w:rsidR="009815A2" w:rsidRPr="00AE0CB7" w:rsidRDefault="009815A2" w:rsidP="009815A2">
      <w:pPr>
        <w:spacing w:line="360" w:lineRule="auto"/>
        <w:ind w:left="850" w:right="850"/>
        <w:jc w:val="center"/>
        <w:rPr>
          <w:rFonts w:ascii="Arial" w:hAnsi="Arial" w:cs="Arial"/>
          <w:b/>
          <w:bCs/>
          <w:color w:val="222222"/>
          <w:sz w:val="24"/>
          <w:szCs w:val="24"/>
          <w:shd w:val="clear" w:color="auto" w:fill="FFFFFF"/>
        </w:rPr>
      </w:pPr>
      <w:r w:rsidRPr="00AE0CB7">
        <w:rPr>
          <w:rFonts w:ascii="Arial" w:hAnsi="Arial" w:cs="Arial"/>
          <w:b/>
          <w:bCs/>
          <w:color w:val="222222"/>
          <w:sz w:val="24"/>
          <w:szCs w:val="24"/>
          <w:shd w:val="clear" w:color="auto" w:fill="FFFFFF"/>
        </w:rPr>
        <w:t>Problem Solving and Innovation BMSW4014</w:t>
      </w:r>
    </w:p>
    <w:p w14:paraId="35FBA44E" w14:textId="77777777" w:rsidR="009815A2" w:rsidRPr="00AE0CB7" w:rsidRDefault="009815A2" w:rsidP="009815A2">
      <w:pPr>
        <w:spacing w:line="360" w:lineRule="auto"/>
        <w:ind w:left="850" w:right="850"/>
        <w:jc w:val="center"/>
        <w:rPr>
          <w:rFonts w:ascii="Arial" w:hAnsi="Arial" w:cs="Arial"/>
          <w:b/>
          <w:bCs/>
          <w:color w:val="222222"/>
          <w:sz w:val="24"/>
          <w:szCs w:val="24"/>
          <w:shd w:val="clear" w:color="auto" w:fill="FFFFFF"/>
        </w:rPr>
      </w:pPr>
    </w:p>
    <w:p w14:paraId="11DB1EA1" w14:textId="77777777" w:rsidR="009815A2" w:rsidRPr="00903539" w:rsidRDefault="009815A2" w:rsidP="009815A2">
      <w:pPr>
        <w:spacing w:after="0" w:line="360" w:lineRule="auto"/>
        <w:contextualSpacing/>
        <w:jc w:val="center"/>
        <w:rPr>
          <w:rFonts w:ascii="Arial" w:hAnsi="Arial" w:cs="Arial"/>
          <w:b/>
          <w:bCs/>
          <w:sz w:val="24"/>
          <w:szCs w:val="24"/>
          <w:lang w:bidi="ar-SA"/>
        </w:rPr>
      </w:pPr>
      <w:r w:rsidRPr="00903539">
        <w:rPr>
          <w:rFonts w:ascii="Arial" w:hAnsi="Arial" w:cs="Arial"/>
          <w:b/>
          <w:bCs/>
          <w:sz w:val="24"/>
          <w:szCs w:val="24"/>
          <w:lang w:bidi="ar-SA"/>
        </w:rPr>
        <w:t>A Critical Analysis of External Factors Influencing the UK Electric Vehicle Industry</w:t>
      </w:r>
    </w:p>
    <w:p w14:paraId="1E32B53F" w14:textId="77777777" w:rsidR="009815A2" w:rsidRPr="00AE0CB7" w:rsidRDefault="009815A2" w:rsidP="009815A2">
      <w:pPr>
        <w:spacing w:after="0" w:line="360" w:lineRule="auto"/>
        <w:ind w:left="850" w:right="850"/>
        <w:contextualSpacing/>
        <w:jc w:val="center"/>
        <w:rPr>
          <w:rFonts w:ascii="Arial" w:hAnsi="Arial" w:cs="Arial"/>
          <w:b/>
          <w:bCs/>
          <w:color w:val="222222"/>
          <w:sz w:val="24"/>
          <w:szCs w:val="24"/>
          <w:shd w:val="clear" w:color="auto" w:fill="FFFFFF"/>
        </w:rPr>
      </w:pPr>
    </w:p>
    <w:p w14:paraId="1A5FF28D" w14:textId="77777777" w:rsidR="009815A2" w:rsidRPr="00AE0CB7" w:rsidRDefault="009815A2" w:rsidP="009815A2">
      <w:pPr>
        <w:spacing w:after="0" w:line="360" w:lineRule="auto"/>
        <w:ind w:left="850" w:right="850"/>
        <w:contextualSpacing/>
        <w:jc w:val="center"/>
        <w:rPr>
          <w:rFonts w:ascii="Arial" w:hAnsi="Arial" w:cs="Arial"/>
          <w:b/>
          <w:bCs/>
          <w:color w:val="222222"/>
          <w:sz w:val="24"/>
          <w:szCs w:val="24"/>
          <w:shd w:val="clear" w:color="auto" w:fill="FFFFFF"/>
        </w:rPr>
      </w:pPr>
    </w:p>
    <w:p w14:paraId="6DE8DBB1" w14:textId="77777777" w:rsidR="009815A2" w:rsidRPr="00AE0CB7" w:rsidRDefault="009815A2" w:rsidP="009815A2">
      <w:pPr>
        <w:spacing w:after="0" w:line="360" w:lineRule="auto"/>
        <w:ind w:left="850" w:right="850"/>
        <w:contextualSpacing/>
        <w:jc w:val="center"/>
        <w:rPr>
          <w:rFonts w:ascii="Arial" w:hAnsi="Arial" w:cs="Arial"/>
          <w:b/>
          <w:bCs/>
          <w:color w:val="222222"/>
          <w:sz w:val="24"/>
          <w:szCs w:val="24"/>
          <w:shd w:val="clear" w:color="auto" w:fill="FFFFFF"/>
        </w:rPr>
      </w:pPr>
      <w:r w:rsidRPr="00AE0CB7">
        <w:rPr>
          <w:rFonts w:ascii="Arial" w:hAnsi="Arial" w:cs="Arial"/>
          <w:b/>
          <w:bCs/>
          <w:color w:val="222222"/>
          <w:sz w:val="24"/>
          <w:szCs w:val="24"/>
          <w:shd w:val="clear" w:color="auto" w:fill="FFFFFF"/>
        </w:rPr>
        <w:t>Kailash Doolar 2434709</w:t>
      </w:r>
    </w:p>
    <w:p w14:paraId="194118A7" w14:textId="77777777" w:rsidR="009815A2" w:rsidRPr="00AE0CB7" w:rsidRDefault="009815A2" w:rsidP="009815A2">
      <w:pPr>
        <w:spacing w:after="0" w:line="360" w:lineRule="auto"/>
        <w:ind w:left="850" w:right="850"/>
        <w:contextualSpacing/>
        <w:jc w:val="center"/>
        <w:rPr>
          <w:rFonts w:ascii="Arial" w:hAnsi="Arial" w:cs="Arial"/>
          <w:b/>
          <w:bCs/>
          <w:color w:val="222222"/>
          <w:sz w:val="24"/>
          <w:szCs w:val="24"/>
          <w:shd w:val="clear" w:color="auto" w:fill="FFFFFF"/>
        </w:rPr>
      </w:pPr>
      <w:r w:rsidRPr="00AE0CB7">
        <w:rPr>
          <w:rFonts w:ascii="Arial" w:hAnsi="Arial" w:cs="Arial"/>
          <w:b/>
          <w:bCs/>
          <w:color w:val="222222"/>
          <w:sz w:val="24"/>
          <w:szCs w:val="24"/>
          <w:shd w:val="clear" w:color="auto" w:fill="FFFFFF"/>
        </w:rPr>
        <w:t xml:space="preserve">05/12/2025 </w:t>
      </w:r>
    </w:p>
    <w:p w14:paraId="715B822D" w14:textId="77777777" w:rsidR="009815A2" w:rsidRPr="00AE0CB7" w:rsidRDefault="009815A2" w:rsidP="009815A2">
      <w:pPr>
        <w:spacing w:after="0" w:line="360" w:lineRule="auto"/>
        <w:ind w:left="850" w:right="850"/>
        <w:contextualSpacing/>
        <w:jc w:val="center"/>
        <w:rPr>
          <w:rFonts w:ascii="Arial" w:hAnsi="Arial" w:cs="Arial"/>
          <w:b/>
          <w:bCs/>
          <w:color w:val="222222"/>
          <w:sz w:val="24"/>
          <w:szCs w:val="24"/>
          <w:shd w:val="clear" w:color="auto" w:fill="FFFFFF"/>
        </w:rPr>
      </w:pPr>
      <w:r w:rsidRPr="00AE0CB7">
        <w:rPr>
          <w:rFonts w:ascii="Arial" w:hAnsi="Arial" w:cs="Arial"/>
          <w:b/>
          <w:bCs/>
          <w:color w:val="222222"/>
          <w:sz w:val="24"/>
          <w:szCs w:val="24"/>
          <w:shd w:val="clear" w:color="auto" w:fill="FFFFFF"/>
        </w:rPr>
        <w:t xml:space="preserve">Module Lead: Jaliya de Silva </w:t>
      </w:r>
    </w:p>
    <w:p w14:paraId="5E9DEB70" w14:textId="77777777" w:rsidR="009815A2" w:rsidRPr="00AE0CB7" w:rsidRDefault="009815A2" w:rsidP="009815A2">
      <w:pPr>
        <w:spacing w:after="0" w:line="360" w:lineRule="auto"/>
        <w:contextualSpacing/>
        <w:jc w:val="center"/>
        <w:rPr>
          <w:rFonts w:ascii="Arial" w:hAnsi="Arial" w:cs="Arial"/>
          <w:sz w:val="24"/>
          <w:szCs w:val="24"/>
          <w:lang w:bidi="ar-SA"/>
        </w:rPr>
      </w:pPr>
    </w:p>
    <w:p w14:paraId="6B5E0186" w14:textId="77777777" w:rsidR="009815A2" w:rsidRPr="00AE0CB7" w:rsidRDefault="009815A2" w:rsidP="009815A2">
      <w:pPr>
        <w:spacing w:after="0" w:line="360" w:lineRule="auto"/>
        <w:contextualSpacing/>
        <w:jc w:val="center"/>
        <w:rPr>
          <w:rFonts w:ascii="Arial" w:hAnsi="Arial" w:cs="Arial"/>
          <w:sz w:val="24"/>
          <w:szCs w:val="24"/>
          <w:lang w:bidi="ar-SA"/>
        </w:rPr>
      </w:pPr>
    </w:p>
    <w:p w14:paraId="106D69B8" w14:textId="77777777" w:rsidR="009815A2" w:rsidRPr="00AE0CB7" w:rsidRDefault="009815A2" w:rsidP="009815A2">
      <w:pPr>
        <w:spacing w:after="0" w:line="360" w:lineRule="auto"/>
        <w:contextualSpacing/>
        <w:rPr>
          <w:rFonts w:ascii="Arial" w:hAnsi="Arial" w:cs="Arial"/>
          <w:sz w:val="24"/>
          <w:szCs w:val="24"/>
          <w:lang w:bidi="ar-SA"/>
        </w:rPr>
      </w:pPr>
      <w:r w:rsidRPr="00AE0CB7">
        <w:rPr>
          <w:rFonts w:ascii="Arial" w:hAnsi="Arial" w:cs="Arial"/>
          <w:sz w:val="24"/>
          <w:szCs w:val="24"/>
          <w:lang w:bidi="ar-SA"/>
        </w:rPr>
        <w:br w:type="page"/>
      </w:r>
    </w:p>
    <w:sdt>
      <w:sdtPr>
        <w:rPr>
          <w:rFonts w:ascii="Arial" w:eastAsiaTheme="minorHAnsi" w:hAnsi="Arial" w:cs="Arial"/>
          <w:b/>
          <w:bCs/>
          <w:color w:val="auto"/>
          <w:sz w:val="24"/>
          <w:szCs w:val="24"/>
        </w:rPr>
        <w:id w:val="-1439674816"/>
        <w:docPartObj>
          <w:docPartGallery w:val="Table of Contents"/>
          <w:docPartUnique/>
        </w:docPartObj>
      </w:sdtPr>
      <w:sdtEndPr>
        <w:rPr>
          <w:noProof/>
        </w:rPr>
      </w:sdtEndPr>
      <w:sdtContent>
        <w:p w14:paraId="507D6ADF" w14:textId="77777777" w:rsidR="009815A2" w:rsidRPr="00AE0CB7" w:rsidRDefault="009815A2" w:rsidP="009815A2">
          <w:pPr>
            <w:pStyle w:val="TOCHeading"/>
            <w:spacing w:before="0" w:line="360" w:lineRule="auto"/>
            <w:contextualSpacing/>
            <w:jc w:val="center"/>
            <w:rPr>
              <w:rFonts w:ascii="Arial" w:hAnsi="Arial" w:cs="Arial"/>
              <w:b/>
              <w:bCs/>
              <w:color w:val="auto"/>
              <w:sz w:val="24"/>
              <w:szCs w:val="24"/>
            </w:rPr>
          </w:pPr>
          <w:r w:rsidRPr="00AE0CB7">
            <w:rPr>
              <w:rFonts w:ascii="Arial" w:hAnsi="Arial" w:cs="Arial"/>
              <w:b/>
              <w:bCs/>
              <w:color w:val="auto"/>
              <w:sz w:val="24"/>
              <w:szCs w:val="24"/>
            </w:rPr>
            <w:t>Table of Contents</w:t>
          </w:r>
        </w:p>
        <w:p w14:paraId="7679BB3C" w14:textId="77777777" w:rsidR="009815A2" w:rsidRPr="00AE0CB7" w:rsidRDefault="009815A2" w:rsidP="009815A2">
          <w:pPr>
            <w:pStyle w:val="TOC1"/>
            <w:tabs>
              <w:tab w:val="right" w:leader="dot" w:pos="9350"/>
            </w:tabs>
            <w:spacing w:after="0" w:line="360" w:lineRule="auto"/>
            <w:contextualSpacing/>
            <w:rPr>
              <w:rFonts w:ascii="Arial" w:eastAsiaTheme="minorEastAsia" w:hAnsi="Arial" w:cs="Arial"/>
              <w:noProof/>
              <w:sz w:val="24"/>
              <w:szCs w:val="24"/>
              <w:lang w:val="en-GB" w:eastAsia="en-GB" w:bidi="ar-SA"/>
            </w:rPr>
          </w:pPr>
          <w:r w:rsidRPr="00AE0CB7">
            <w:rPr>
              <w:rFonts w:ascii="Arial" w:hAnsi="Arial" w:cs="Arial"/>
              <w:b/>
              <w:bCs/>
              <w:noProof/>
              <w:sz w:val="24"/>
              <w:szCs w:val="24"/>
            </w:rPr>
            <w:fldChar w:fldCharType="begin"/>
          </w:r>
          <w:r w:rsidRPr="00AE0CB7">
            <w:rPr>
              <w:rFonts w:ascii="Arial" w:hAnsi="Arial" w:cs="Arial"/>
              <w:b/>
              <w:bCs/>
              <w:noProof/>
              <w:sz w:val="24"/>
              <w:szCs w:val="24"/>
            </w:rPr>
            <w:instrText xml:space="preserve"> TOC \o "1-3" \h \z \u </w:instrText>
          </w:r>
          <w:r w:rsidRPr="00AE0CB7">
            <w:rPr>
              <w:rFonts w:ascii="Arial" w:hAnsi="Arial" w:cs="Arial"/>
              <w:b/>
              <w:bCs/>
              <w:noProof/>
              <w:sz w:val="24"/>
              <w:szCs w:val="24"/>
            </w:rPr>
            <w:fldChar w:fldCharType="separate"/>
          </w:r>
          <w:hyperlink w:anchor="_Toc212328480" w:history="1">
            <w:r w:rsidRPr="00AE0CB7">
              <w:rPr>
                <w:rStyle w:val="Hyperlink"/>
                <w:rFonts w:ascii="Arial" w:hAnsi="Arial" w:cs="Arial"/>
                <w:noProof/>
                <w:sz w:val="24"/>
                <w:szCs w:val="24"/>
              </w:rPr>
              <w:t>1. Introduction</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_Toc212328480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3</w:t>
            </w:r>
            <w:r w:rsidRPr="00AE0CB7">
              <w:rPr>
                <w:rFonts w:ascii="Arial" w:hAnsi="Arial" w:cs="Arial"/>
                <w:noProof/>
                <w:webHidden/>
                <w:sz w:val="24"/>
                <w:szCs w:val="24"/>
              </w:rPr>
              <w:fldChar w:fldCharType="end"/>
            </w:r>
          </w:hyperlink>
        </w:p>
        <w:p w14:paraId="3710DEEA" w14:textId="77777777" w:rsidR="009815A2" w:rsidRPr="00AE0CB7" w:rsidRDefault="009815A2" w:rsidP="009815A2">
          <w:pPr>
            <w:pStyle w:val="TOC1"/>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81" w:history="1">
            <w:r w:rsidRPr="00AE0CB7">
              <w:rPr>
                <w:rStyle w:val="Hyperlink"/>
                <w:rFonts w:ascii="Arial" w:hAnsi="Arial" w:cs="Arial"/>
                <w:noProof/>
                <w:sz w:val="24"/>
                <w:szCs w:val="24"/>
              </w:rPr>
              <w:t>2. Overview of the UK Electric Vehicle Industry</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_Toc212328481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3</w:t>
            </w:r>
            <w:r w:rsidRPr="00AE0CB7">
              <w:rPr>
                <w:rFonts w:ascii="Arial" w:hAnsi="Arial" w:cs="Arial"/>
                <w:noProof/>
                <w:webHidden/>
                <w:sz w:val="24"/>
                <w:szCs w:val="24"/>
              </w:rPr>
              <w:fldChar w:fldCharType="end"/>
            </w:r>
          </w:hyperlink>
        </w:p>
        <w:p w14:paraId="1D448310" w14:textId="77777777" w:rsidR="009815A2" w:rsidRPr="00AE0CB7" w:rsidRDefault="009815A2" w:rsidP="009815A2">
          <w:pPr>
            <w:pStyle w:val="TOC1"/>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82" w:history="1">
            <w:r w:rsidRPr="00AE0CB7">
              <w:rPr>
                <w:rStyle w:val="Hyperlink"/>
                <w:rFonts w:ascii="Arial" w:hAnsi="Arial" w:cs="Arial"/>
                <w:noProof/>
                <w:sz w:val="24"/>
                <w:szCs w:val="24"/>
              </w:rPr>
              <w:t>3. External Factors Influencing the UK EV Industry: PESTLE Analysis</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_Toc212328482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4</w:t>
            </w:r>
            <w:r w:rsidRPr="00AE0CB7">
              <w:rPr>
                <w:rFonts w:ascii="Arial" w:hAnsi="Arial" w:cs="Arial"/>
                <w:noProof/>
                <w:webHidden/>
                <w:sz w:val="24"/>
                <w:szCs w:val="24"/>
              </w:rPr>
              <w:fldChar w:fldCharType="end"/>
            </w:r>
          </w:hyperlink>
        </w:p>
        <w:p w14:paraId="6864BE4C" w14:textId="77777777" w:rsidR="009815A2" w:rsidRPr="00AE0CB7" w:rsidRDefault="009815A2" w:rsidP="009815A2">
          <w:pPr>
            <w:pStyle w:val="TOC2"/>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83" w:history="1">
            <w:r w:rsidRPr="00AE0CB7">
              <w:rPr>
                <w:rStyle w:val="Hyperlink"/>
                <w:rFonts w:ascii="Arial" w:hAnsi="Arial" w:cs="Arial"/>
                <w:noProof/>
                <w:sz w:val="24"/>
                <w:szCs w:val="24"/>
              </w:rPr>
              <w:t>3.1 Political Factors</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_Toc212328483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4</w:t>
            </w:r>
            <w:r w:rsidRPr="00AE0CB7">
              <w:rPr>
                <w:rFonts w:ascii="Arial" w:hAnsi="Arial" w:cs="Arial"/>
                <w:noProof/>
                <w:webHidden/>
                <w:sz w:val="24"/>
                <w:szCs w:val="24"/>
              </w:rPr>
              <w:fldChar w:fldCharType="end"/>
            </w:r>
          </w:hyperlink>
        </w:p>
        <w:p w14:paraId="7BE5605E" w14:textId="77777777" w:rsidR="009815A2" w:rsidRPr="00AE0CB7" w:rsidRDefault="009815A2" w:rsidP="009815A2">
          <w:pPr>
            <w:pStyle w:val="TOC2"/>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84" w:history="1">
            <w:r w:rsidRPr="00AE0CB7">
              <w:rPr>
                <w:rStyle w:val="Hyperlink"/>
                <w:rFonts w:ascii="Arial" w:hAnsi="Arial" w:cs="Arial"/>
                <w:noProof/>
                <w:sz w:val="24"/>
                <w:szCs w:val="24"/>
              </w:rPr>
              <w:t>3.2 Economic Factors</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_Toc212328484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4</w:t>
            </w:r>
            <w:r w:rsidRPr="00AE0CB7">
              <w:rPr>
                <w:rFonts w:ascii="Arial" w:hAnsi="Arial" w:cs="Arial"/>
                <w:noProof/>
                <w:webHidden/>
                <w:sz w:val="24"/>
                <w:szCs w:val="24"/>
              </w:rPr>
              <w:fldChar w:fldCharType="end"/>
            </w:r>
          </w:hyperlink>
        </w:p>
        <w:p w14:paraId="29AEF288" w14:textId="77777777" w:rsidR="009815A2" w:rsidRPr="00AE0CB7" w:rsidRDefault="009815A2" w:rsidP="009815A2">
          <w:pPr>
            <w:pStyle w:val="TOC2"/>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85" w:history="1">
            <w:r w:rsidRPr="00AE0CB7">
              <w:rPr>
                <w:rStyle w:val="Hyperlink"/>
                <w:rFonts w:ascii="Arial" w:hAnsi="Arial" w:cs="Arial"/>
                <w:noProof/>
                <w:sz w:val="24"/>
                <w:szCs w:val="24"/>
              </w:rPr>
              <w:t>3.3 Social Factors</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_Toc212328485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4</w:t>
            </w:r>
            <w:r w:rsidRPr="00AE0CB7">
              <w:rPr>
                <w:rFonts w:ascii="Arial" w:hAnsi="Arial" w:cs="Arial"/>
                <w:noProof/>
                <w:webHidden/>
                <w:sz w:val="24"/>
                <w:szCs w:val="24"/>
              </w:rPr>
              <w:fldChar w:fldCharType="end"/>
            </w:r>
          </w:hyperlink>
        </w:p>
        <w:p w14:paraId="379B12F7" w14:textId="77777777" w:rsidR="009815A2" w:rsidRPr="00AE0CB7" w:rsidRDefault="009815A2" w:rsidP="009815A2">
          <w:pPr>
            <w:pStyle w:val="TOC2"/>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86" w:history="1">
            <w:r w:rsidRPr="00AE0CB7">
              <w:rPr>
                <w:rStyle w:val="Hyperlink"/>
                <w:rFonts w:ascii="Arial" w:hAnsi="Arial" w:cs="Arial"/>
                <w:noProof/>
                <w:sz w:val="24"/>
                <w:szCs w:val="24"/>
              </w:rPr>
              <w:t>3.4 Technological Factors</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_Toc212328486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5</w:t>
            </w:r>
            <w:r w:rsidRPr="00AE0CB7">
              <w:rPr>
                <w:rFonts w:ascii="Arial" w:hAnsi="Arial" w:cs="Arial"/>
                <w:noProof/>
                <w:webHidden/>
                <w:sz w:val="24"/>
                <w:szCs w:val="24"/>
              </w:rPr>
              <w:fldChar w:fldCharType="end"/>
            </w:r>
          </w:hyperlink>
        </w:p>
        <w:p w14:paraId="5333531D" w14:textId="77777777" w:rsidR="009815A2" w:rsidRPr="00AE0CB7" w:rsidRDefault="009815A2" w:rsidP="009815A2">
          <w:pPr>
            <w:pStyle w:val="TOC2"/>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87" w:history="1">
            <w:r w:rsidRPr="00AE0CB7">
              <w:rPr>
                <w:rStyle w:val="Hyperlink"/>
                <w:rFonts w:ascii="Arial" w:hAnsi="Arial" w:cs="Arial"/>
                <w:noProof/>
                <w:sz w:val="24"/>
                <w:szCs w:val="24"/>
              </w:rPr>
              <w:t>3.5 Legal Factors</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_Toc212328487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5</w:t>
            </w:r>
            <w:r w:rsidRPr="00AE0CB7">
              <w:rPr>
                <w:rFonts w:ascii="Arial" w:hAnsi="Arial" w:cs="Arial"/>
                <w:noProof/>
                <w:webHidden/>
                <w:sz w:val="24"/>
                <w:szCs w:val="24"/>
              </w:rPr>
              <w:fldChar w:fldCharType="end"/>
            </w:r>
          </w:hyperlink>
        </w:p>
        <w:p w14:paraId="73086104" w14:textId="77777777" w:rsidR="009815A2" w:rsidRPr="00AE0CB7" w:rsidRDefault="009815A2" w:rsidP="009815A2">
          <w:pPr>
            <w:pStyle w:val="TOC2"/>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88" w:history="1">
            <w:r w:rsidRPr="00AE0CB7">
              <w:rPr>
                <w:rStyle w:val="Hyperlink"/>
                <w:rFonts w:ascii="Arial" w:hAnsi="Arial" w:cs="Arial"/>
                <w:noProof/>
                <w:sz w:val="24"/>
                <w:szCs w:val="24"/>
              </w:rPr>
              <w:t>3.6 Environmental Factors</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_Toc212328488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6</w:t>
            </w:r>
            <w:r w:rsidRPr="00AE0CB7">
              <w:rPr>
                <w:rFonts w:ascii="Arial" w:hAnsi="Arial" w:cs="Arial"/>
                <w:noProof/>
                <w:webHidden/>
                <w:sz w:val="24"/>
                <w:szCs w:val="24"/>
              </w:rPr>
              <w:fldChar w:fldCharType="end"/>
            </w:r>
          </w:hyperlink>
        </w:p>
        <w:p w14:paraId="237EBC5C" w14:textId="77777777" w:rsidR="009815A2" w:rsidRPr="00AE0CB7" w:rsidRDefault="009815A2" w:rsidP="009815A2">
          <w:pPr>
            <w:pStyle w:val="TOC1"/>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89" w:history="1">
            <w:r w:rsidRPr="00AE0CB7">
              <w:rPr>
                <w:rStyle w:val="Hyperlink"/>
                <w:rFonts w:ascii="Arial" w:hAnsi="Arial" w:cs="Arial"/>
                <w:noProof/>
                <w:sz w:val="24"/>
                <w:szCs w:val="24"/>
              </w:rPr>
              <w:t>4. SWOT Analysis of the UK Electric Vehicle Industry</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_Toc212328489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6</w:t>
            </w:r>
            <w:r w:rsidRPr="00AE0CB7">
              <w:rPr>
                <w:rFonts w:ascii="Arial" w:hAnsi="Arial" w:cs="Arial"/>
                <w:noProof/>
                <w:webHidden/>
                <w:sz w:val="24"/>
                <w:szCs w:val="24"/>
              </w:rPr>
              <w:fldChar w:fldCharType="end"/>
            </w:r>
          </w:hyperlink>
        </w:p>
        <w:p w14:paraId="500CCA19" w14:textId="77777777" w:rsidR="009815A2" w:rsidRPr="00AE0CB7" w:rsidRDefault="009815A2" w:rsidP="009815A2">
          <w:pPr>
            <w:pStyle w:val="TOC1"/>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90" w:history="1">
            <w:r w:rsidRPr="00AE0CB7">
              <w:rPr>
                <w:rStyle w:val="Hyperlink"/>
                <w:rFonts w:ascii="Arial" w:hAnsi="Arial" w:cs="Arial"/>
                <w:noProof/>
                <w:sz w:val="24"/>
                <w:szCs w:val="24"/>
              </w:rPr>
              <w:t>5. Innovation, Infrastructure, and Industry Transformation</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_Toc212328490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6</w:t>
            </w:r>
            <w:r w:rsidRPr="00AE0CB7">
              <w:rPr>
                <w:rFonts w:ascii="Arial" w:hAnsi="Arial" w:cs="Arial"/>
                <w:noProof/>
                <w:webHidden/>
                <w:sz w:val="24"/>
                <w:szCs w:val="24"/>
              </w:rPr>
              <w:fldChar w:fldCharType="end"/>
            </w:r>
          </w:hyperlink>
        </w:p>
        <w:p w14:paraId="15B1EF29" w14:textId="77777777" w:rsidR="009815A2" w:rsidRPr="00AE0CB7" w:rsidRDefault="009815A2" w:rsidP="009815A2">
          <w:pPr>
            <w:pStyle w:val="TOC1"/>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91" w:history="1">
            <w:r w:rsidRPr="00AE0CB7">
              <w:rPr>
                <w:rStyle w:val="Hyperlink"/>
                <w:rFonts w:ascii="Arial" w:hAnsi="Arial" w:cs="Arial"/>
                <w:noProof/>
                <w:sz w:val="24"/>
                <w:szCs w:val="24"/>
              </w:rPr>
              <w:t>6. Conclusion</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_Toc212328491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7</w:t>
            </w:r>
            <w:r w:rsidRPr="00AE0CB7">
              <w:rPr>
                <w:rFonts w:ascii="Arial" w:hAnsi="Arial" w:cs="Arial"/>
                <w:noProof/>
                <w:webHidden/>
                <w:sz w:val="24"/>
                <w:szCs w:val="24"/>
              </w:rPr>
              <w:fldChar w:fldCharType="end"/>
            </w:r>
          </w:hyperlink>
        </w:p>
        <w:p w14:paraId="6630B5B5" w14:textId="77777777" w:rsidR="009815A2" w:rsidRPr="00AE0CB7" w:rsidRDefault="009815A2" w:rsidP="009815A2">
          <w:pPr>
            <w:pStyle w:val="TOC1"/>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92" w:history="1">
            <w:r w:rsidRPr="00AE0CB7">
              <w:rPr>
                <w:rStyle w:val="Hyperlink"/>
                <w:rFonts w:ascii="Arial" w:hAnsi="Arial" w:cs="Arial"/>
                <w:noProof/>
                <w:sz w:val="24"/>
                <w:szCs w:val="24"/>
              </w:rPr>
              <w:t>7. Recommendations</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_Toc212328492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7</w:t>
            </w:r>
            <w:r w:rsidRPr="00AE0CB7">
              <w:rPr>
                <w:rFonts w:ascii="Arial" w:hAnsi="Arial" w:cs="Arial"/>
                <w:noProof/>
                <w:webHidden/>
                <w:sz w:val="24"/>
                <w:szCs w:val="24"/>
              </w:rPr>
              <w:fldChar w:fldCharType="end"/>
            </w:r>
          </w:hyperlink>
        </w:p>
        <w:p w14:paraId="75B7DB55" w14:textId="77777777" w:rsidR="009815A2" w:rsidRPr="00AE0CB7" w:rsidRDefault="009815A2" w:rsidP="009815A2">
          <w:pPr>
            <w:pStyle w:val="TOC1"/>
            <w:tabs>
              <w:tab w:val="right" w:leader="dot" w:pos="9350"/>
            </w:tabs>
            <w:spacing w:after="0" w:line="360" w:lineRule="auto"/>
            <w:contextualSpacing/>
            <w:rPr>
              <w:rFonts w:ascii="Arial" w:eastAsiaTheme="minorEastAsia" w:hAnsi="Arial" w:cs="Arial"/>
              <w:noProof/>
              <w:sz w:val="24"/>
              <w:szCs w:val="24"/>
              <w:lang w:val="en-GB" w:eastAsia="en-GB" w:bidi="ar-SA"/>
            </w:rPr>
          </w:pPr>
          <w:hyperlink w:anchor="_Toc212328493" w:history="1">
            <w:r w:rsidRPr="00AE0CB7">
              <w:rPr>
                <w:rStyle w:val="Hyperlink"/>
                <w:rFonts w:ascii="Arial" w:hAnsi="Arial" w:cs="Arial"/>
                <w:noProof/>
                <w:sz w:val="24"/>
                <w:szCs w:val="24"/>
                <w:shd w:val="clear" w:color="auto" w:fill="FFFFFF"/>
              </w:rPr>
              <w:t>References</w:t>
            </w:r>
            <w:r w:rsidRPr="00AE0CB7">
              <w:rPr>
                <w:rFonts w:ascii="Arial" w:hAnsi="Arial" w:cs="Arial"/>
                <w:noProof/>
                <w:webHidden/>
                <w:sz w:val="24"/>
                <w:szCs w:val="24"/>
              </w:rPr>
              <w:tab/>
            </w:r>
            <w:r w:rsidRPr="00AE0CB7">
              <w:rPr>
                <w:rFonts w:ascii="Arial" w:hAnsi="Arial" w:cs="Arial"/>
                <w:noProof/>
                <w:webHidden/>
                <w:sz w:val="24"/>
                <w:szCs w:val="24"/>
              </w:rPr>
              <w:fldChar w:fldCharType="begin"/>
            </w:r>
            <w:r w:rsidRPr="00AE0CB7">
              <w:rPr>
                <w:rFonts w:ascii="Arial" w:hAnsi="Arial" w:cs="Arial"/>
                <w:noProof/>
                <w:webHidden/>
                <w:sz w:val="24"/>
                <w:szCs w:val="24"/>
              </w:rPr>
              <w:instrText xml:space="preserve"> PAGEREF _Toc212328493 \h </w:instrText>
            </w:r>
            <w:r w:rsidRPr="00AE0CB7">
              <w:rPr>
                <w:rFonts w:ascii="Arial" w:hAnsi="Arial" w:cs="Arial"/>
                <w:noProof/>
                <w:webHidden/>
                <w:sz w:val="24"/>
                <w:szCs w:val="24"/>
              </w:rPr>
            </w:r>
            <w:r w:rsidRPr="00AE0CB7">
              <w:rPr>
                <w:rFonts w:ascii="Arial" w:hAnsi="Arial" w:cs="Arial"/>
                <w:noProof/>
                <w:webHidden/>
                <w:sz w:val="24"/>
                <w:szCs w:val="24"/>
              </w:rPr>
              <w:fldChar w:fldCharType="separate"/>
            </w:r>
            <w:r w:rsidRPr="00AE0CB7">
              <w:rPr>
                <w:rFonts w:ascii="Arial" w:hAnsi="Arial" w:cs="Arial"/>
                <w:noProof/>
                <w:webHidden/>
                <w:sz w:val="24"/>
                <w:szCs w:val="24"/>
              </w:rPr>
              <w:t>9</w:t>
            </w:r>
            <w:r w:rsidRPr="00AE0CB7">
              <w:rPr>
                <w:rFonts w:ascii="Arial" w:hAnsi="Arial" w:cs="Arial"/>
                <w:noProof/>
                <w:webHidden/>
                <w:sz w:val="24"/>
                <w:szCs w:val="24"/>
              </w:rPr>
              <w:fldChar w:fldCharType="end"/>
            </w:r>
          </w:hyperlink>
        </w:p>
        <w:p w14:paraId="29665260" w14:textId="77777777" w:rsidR="009815A2" w:rsidRPr="00AE0CB7" w:rsidRDefault="009815A2" w:rsidP="009815A2">
          <w:pPr>
            <w:spacing w:after="0" w:line="360" w:lineRule="auto"/>
            <w:contextualSpacing/>
            <w:rPr>
              <w:rFonts w:ascii="Arial" w:hAnsi="Arial" w:cs="Arial"/>
              <w:sz w:val="24"/>
              <w:szCs w:val="24"/>
            </w:rPr>
          </w:pPr>
          <w:r w:rsidRPr="00AE0CB7">
            <w:rPr>
              <w:rFonts w:ascii="Arial" w:hAnsi="Arial" w:cs="Arial"/>
              <w:b/>
              <w:bCs/>
              <w:noProof/>
              <w:sz w:val="24"/>
              <w:szCs w:val="24"/>
            </w:rPr>
            <w:fldChar w:fldCharType="end"/>
          </w:r>
        </w:p>
      </w:sdtContent>
    </w:sdt>
    <w:p w14:paraId="55730883" w14:textId="77777777" w:rsidR="009815A2" w:rsidRPr="00AE0CB7" w:rsidRDefault="009815A2" w:rsidP="009815A2">
      <w:pPr>
        <w:spacing w:after="0" w:line="360" w:lineRule="auto"/>
        <w:contextualSpacing/>
        <w:rPr>
          <w:rFonts w:ascii="Arial" w:hAnsi="Arial" w:cs="Arial"/>
          <w:sz w:val="24"/>
          <w:szCs w:val="24"/>
          <w:lang w:bidi="ar-SA"/>
        </w:rPr>
      </w:pPr>
      <w:r w:rsidRPr="00AE0CB7">
        <w:rPr>
          <w:rFonts w:ascii="Arial" w:hAnsi="Arial" w:cs="Arial"/>
          <w:sz w:val="24"/>
          <w:szCs w:val="24"/>
          <w:lang w:bidi="ar-SA"/>
        </w:rPr>
        <w:br w:type="page"/>
      </w:r>
    </w:p>
    <w:p w14:paraId="391A690D" w14:textId="77777777" w:rsidR="009815A2" w:rsidRPr="00AE0CB7" w:rsidRDefault="009815A2" w:rsidP="009815A2">
      <w:pPr>
        <w:spacing w:after="0" w:line="360" w:lineRule="auto"/>
        <w:contextualSpacing/>
        <w:jc w:val="center"/>
        <w:rPr>
          <w:rFonts w:ascii="Arial" w:hAnsi="Arial" w:cs="Arial"/>
          <w:sz w:val="24"/>
          <w:szCs w:val="24"/>
          <w:lang w:bidi="ar-SA"/>
        </w:rPr>
      </w:pPr>
      <w:r w:rsidRPr="00AE0CB7">
        <w:rPr>
          <w:rFonts w:ascii="Arial" w:hAnsi="Arial" w:cs="Arial"/>
          <w:sz w:val="24"/>
          <w:szCs w:val="24"/>
          <w:lang w:bidi="ar-SA"/>
        </w:rPr>
        <w:lastRenderedPageBreak/>
        <w:t>A Critical Analysis of External Factors Influencing the UK Electric Vehicle Industry</w:t>
      </w:r>
    </w:p>
    <w:p w14:paraId="453CDAEF" w14:textId="77777777" w:rsidR="009815A2" w:rsidRPr="00AE0CB7" w:rsidRDefault="009815A2" w:rsidP="009815A2">
      <w:pPr>
        <w:pStyle w:val="Heading1"/>
        <w:spacing w:before="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12328480"/>
      <w:r w:rsidRPr="00AE0CB7">
        <w:rPr>
          <w:rStyle w:val="Strong"/>
          <w:rFonts w:ascii="Arial" w:hAnsi="Arial" w:cs="Arial"/>
          <w:b w:val="0"/>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bookmarkEnd w:id="0"/>
    </w:p>
    <w:p w14:paraId="4AA7DA0A" w14:textId="77777777" w:rsidR="009815A2" w:rsidRPr="00AE0CB7" w:rsidRDefault="009815A2" w:rsidP="009815A2">
      <w:pPr>
        <w:spacing w:after="0" w:line="360" w:lineRule="auto"/>
        <w:ind w:firstLine="720"/>
        <w:contextualSpacing/>
        <w:rPr>
          <w:rFonts w:ascii="Arial" w:eastAsia="Times New Roman" w:hAnsi="Arial" w:cs="Arial"/>
          <w:sz w:val="24"/>
          <w:szCs w:val="24"/>
          <w:lang w:bidi="ar-SA"/>
        </w:rPr>
      </w:pPr>
      <w:r w:rsidRPr="00AE0CB7">
        <w:rPr>
          <w:rFonts w:ascii="Arial" w:eastAsia="Times New Roman" w:hAnsi="Arial" w:cs="Arial"/>
          <w:sz w:val="24"/>
          <w:szCs w:val="24"/>
          <w:lang w:bidi="ar-SA"/>
        </w:rPr>
        <w:t>The electric vehicle (EV) market in the UK has developed at an extremely rapid pace over the past decade. This has been attributed to the government support, new technology, and global shift towards a cleaner transport. Over 1.5 million EVs were recorded in the UK roads in 2024. They are also proposing to achieve the target of net-zero carbon emission by the year 2050 (GOV.UK, 2024).</w:t>
      </w:r>
    </w:p>
    <w:p w14:paraId="24649BF5" w14:textId="77777777" w:rsidR="009815A2" w:rsidRPr="00AE0CB7" w:rsidRDefault="009815A2" w:rsidP="009815A2">
      <w:pPr>
        <w:spacing w:after="0" w:line="360" w:lineRule="auto"/>
        <w:ind w:firstLine="720"/>
        <w:contextualSpacing/>
        <w:rPr>
          <w:rFonts w:ascii="Arial" w:hAnsi="Arial" w:cs="Arial"/>
          <w:sz w:val="24"/>
          <w:szCs w:val="24"/>
        </w:rPr>
      </w:pPr>
      <w:r w:rsidRPr="00AE0CB7">
        <w:rPr>
          <w:rFonts w:ascii="Arial" w:eastAsia="Times New Roman" w:hAnsi="Arial" w:cs="Arial"/>
          <w:sz w:val="24"/>
          <w:szCs w:val="24"/>
          <w:lang w:bidi="ar-SA"/>
        </w:rPr>
        <w:t>Nevertheless, economic uncertainty, delays in the supply chain, insufficient number of charging stations and mixed consumer views are a few other problems that the industry is experiencing. This report is aimed at examining the external forces influencing the UK EV market through two models PESTLE (Political, Economic, Social, Technological, Legal, and Environmental) and SWOT (Strengths, Weaknesses, Opportunities, Threats). It also reveals the role played by innovation and infrastructure development, which makes the industry stronger, sustainable, and competitive.</w:t>
      </w:r>
    </w:p>
    <w:p w14:paraId="42BFD62D" w14:textId="77777777" w:rsidR="009815A2" w:rsidRPr="00AE0CB7" w:rsidRDefault="009815A2" w:rsidP="009815A2">
      <w:pPr>
        <w:spacing w:after="0" w:line="360" w:lineRule="auto"/>
        <w:ind w:firstLine="720"/>
        <w:contextualSpacing/>
        <w:rPr>
          <w:rFonts w:ascii="Arial" w:eastAsia="Times New Roman" w:hAnsi="Arial" w:cs="Arial"/>
          <w:sz w:val="24"/>
          <w:szCs w:val="24"/>
          <w:lang w:bidi="ar-SA"/>
        </w:rPr>
      </w:pPr>
    </w:p>
    <w:p w14:paraId="548863D3" w14:textId="77777777" w:rsidR="009815A2" w:rsidRPr="00AE0CB7" w:rsidRDefault="009815A2" w:rsidP="009815A2">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12328481"/>
      <w:r w:rsidRPr="00AE0CB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Overview of the UK Electric Vehicle Industry</w:t>
      </w:r>
      <w:bookmarkEnd w:id="1"/>
    </w:p>
    <w:p w14:paraId="0F6A6993" w14:textId="77777777" w:rsidR="009815A2" w:rsidRPr="00AE0CB7" w:rsidRDefault="009815A2" w:rsidP="009815A2">
      <w:pPr>
        <w:spacing w:after="0" w:line="360" w:lineRule="auto"/>
        <w:ind w:firstLine="720"/>
        <w:contextualSpacing/>
        <w:rPr>
          <w:rFonts w:ascii="Arial" w:hAnsi="Arial" w:cs="Arial"/>
          <w:sz w:val="24"/>
          <w:szCs w:val="24"/>
        </w:rPr>
      </w:pPr>
      <w:r w:rsidRPr="00AE0CB7">
        <w:rPr>
          <w:rFonts w:ascii="Arial" w:eastAsia="Times New Roman" w:hAnsi="Arial" w:cs="Arial"/>
          <w:sz w:val="24"/>
          <w:szCs w:val="24"/>
          <w:lang w:bidi="ar-SA"/>
        </w:rPr>
        <w:t>The EV market has been expanding rapidly in the UK owing to the increased environmental concerns by the people and the government has been putting in place effective policies that encourage cleaner vehicles. It aims to have no more new petrol and diesel cars sold by 2035 (House of Commons Library, 2024). EY (2023) reports that even as the total car sales are declining in the UK, EV sales are growing. Nevertheless, certain issues completed twenties of charging stations, the cost is too high, and range anxiety as a fear of running out of charge and not finding a charging place are also present (</w:t>
      </w:r>
      <w:proofErr w:type="spellStart"/>
      <w:r w:rsidRPr="00AE0CB7">
        <w:rPr>
          <w:rFonts w:ascii="Arial" w:eastAsia="Times New Roman" w:hAnsi="Arial" w:cs="Arial"/>
          <w:sz w:val="24"/>
          <w:szCs w:val="24"/>
          <w:lang w:bidi="ar-SA"/>
        </w:rPr>
        <w:t>Versinetic</w:t>
      </w:r>
      <w:proofErr w:type="spellEnd"/>
      <w:r w:rsidRPr="00AE0CB7">
        <w:rPr>
          <w:rFonts w:ascii="Arial" w:eastAsia="Times New Roman" w:hAnsi="Arial" w:cs="Arial"/>
          <w:sz w:val="24"/>
          <w:szCs w:val="24"/>
          <w:lang w:bidi="ar-SA"/>
        </w:rPr>
        <w:t>, 2023).</w:t>
      </w:r>
    </w:p>
    <w:p w14:paraId="0060F0AB" w14:textId="77777777" w:rsidR="009815A2" w:rsidRPr="00AE0CB7" w:rsidRDefault="009815A2" w:rsidP="009815A2">
      <w:pPr>
        <w:spacing w:after="0" w:line="360" w:lineRule="auto"/>
        <w:ind w:firstLine="720"/>
        <w:contextualSpacing/>
        <w:rPr>
          <w:rFonts w:ascii="Arial" w:eastAsia="Times New Roman" w:hAnsi="Arial" w:cs="Arial"/>
          <w:sz w:val="24"/>
          <w:szCs w:val="24"/>
          <w:lang w:bidi="ar-SA"/>
        </w:rPr>
      </w:pPr>
    </w:p>
    <w:p w14:paraId="21FD6F71" w14:textId="77777777" w:rsidR="009815A2" w:rsidRPr="00AE0CB7" w:rsidRDefault="009815A2" w:rsidP="009815A2">
      <w:pPr>
        <w:pStyle w:val="Heading1"/>
        <w:spacing w:before="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12328482"/>
      <w:r w:rsidRPr="00AE0CB7">
        <w:rPr>
          <w:rStyle w:val="Strong"/>
          <w:rFonts w:ascii="Arial" w:hAnsi="Arial" w:cs="Arial"/>
          <w:b w:val="0"/>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External Factors Influencing the UK EV Industry: PESTLE Analysis</w:t>
      </w:r>
      <w:bookmarkEnd w:id="2"/>
    </w:p>
    <w:p w14:paraId="12A9190C" w14:textId="77777777" w:rsidR="009815A2" w:rsidRPr="00AE0CB7" w:rsidRDefault="009815A2" w:rsidP="009815A2">
      <w:pPr>
        <w:pStyle w:val="Heading2"/>
        <w:spacing w:before="0" w:after="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12328483"/>
      <w:r w:rsidRPr="00AE0CB7">
        <w:rPr>
          <w:rStyle w:val="Strong"/>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Political Factors</w:t>
      </w:r>
      <w:bookmarkEnd w:id="3"/>
    </w:p>
    <w:p w14:paraId="7C329ECC"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rPr>
      </w:pPr>
      <w:r w:rsidRPr="00AE0CB7">
        <w:rPr>
          <w:rFonts w:ascii="Arial" w:hAnsi="Arial" w:cs="Arial"/>
        </w:rPr>
        <w:t xml:space="preserve">The largest influence on EV development is government policies. There are incentives provided by national and local governments, which include tax discounts, grants, and finances to build public charging stations. There are regulations established </w:t>
      </w:r>
      <w:r w:rsidRPr="00AE0CB7">
        <w:rPr>
          <w:rFonts w:ascii="Arial" w:hAnsi="Arial" w:cs="Arial"/>
        </w:rPr>
        <w:lastRenderedPageBreak/>
        <w:t xml:space="preserve">under the Alternative Fuels Infrastructure Regulations (AFIR) (GOV.UK, 2023) that ensure the availability and reliability of the chargers. Such collaboration between the state and the businesses as the partnerships described by EY and </w:t>
      </w:r>
      <w:proofErr w:type="spellStart"/>
      <w:r w:rsidRPr="00AE0CB7">
        <w:rPr>
          <w:rFonts w:ascii="Arial" w:hAnsi="Arial" w:cs="Arial"/>
        </w:rPr>
        <w:t>Eurelectric</w:t>
      </w:r>
      <w:proofErr w:type="spellEnd"/>
      <w:r w:rsidRPr="00AE0CB7">
        <w:rPr>
          <w:rFonts w:ascii="Arial" w:hAnsi="Arial" w:cs="Arial"/>
        </w:rPr>
        <w:t xml:space="preserve"> (2023) assists with the infrastructure issue.</w:t>
      </w:r>
    </w:p>
    <w:p w14:paraId="3D02F637"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rPr>
      </w:pPr>
    </w:p>
    <w:p w14:paraId="35AC6A6E"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rPr>
      </w:pPr>
    </w:p>
    <w:p w14:paraId="327BDE9F" w14:textId="77777777" w:rsidR="009815A2" w:rsidRPr="00AE0CB7" w:rsidRDefault="009815A2" w:rsidP="009815A2">
      <w:pPr>
        <w:pStyle w:val="Heading2"/>
        <w:spacing w:before="0" w:after="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12328484"/>
      <w:r w:rsidRPr="00AE0CB7">
        <w:rPr>
          <w:rStyle w:val="Strong"/>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Economic Factors</w:t>
      </w:r>
      <w:bookmarkEnd w:id="4"/>
    </w:p>
    <w:p w14:paraId="55183960"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rPr>
      </w:pPr>
      <w:r w:rsidRPr="00AE0CB7">
        <w:rPr>
          <w:rFonts w:ascii="Arial" w:hAnsi="Arial" w:cs="Arial"/>
        </w:rPr>
        <w:t>The global energy prices, inflation, and supply chain issues influence the UK EV industry. The materials such as lithium used to create batteries are expensive making production very expensive (Zhang et al., 2020). Despite being cheaper to operate than ordinary petrol cars, EVs are not as affordable as many people may believe since they require a large amount of money during the purchase (EY, 2023). The economy also plays a role in charging network investment and research. Meanwhile, government support and economic stability are necessary at a long-term period to sustain innovation expansion (Xia, Wu and Zhang, 2022).</w:t>
      </w:r>
    </w:p>
    <w:p w14:paraId="1D5DF9E2"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481D0E" w14:textId="77777777" w:rsidR="009815A2" w:rsidRPr="00AE0CB7" w:rsidRDefault="009815A2" w:rsidP="009815A2">
      <w:pPr>
        <w:pStyle w:val="Heading2"/>
        <w:spacing w:before="0" w:after="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12328485"/>
      <w:r w:rsidRPr="00AE0CB7">
        <w:rPr>
          <w:rStyle w:val="Strong"/>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Social Factors</w:t>
      </w:r>
      <w:bookmarkEnd w:id="5"/>
    </w:p>
    <w:p w14:paraId="1E8F86A4"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rPr>
      </w:pPr>
      <w:r w:rsidRPr="00AE0CB7">
        <w:rPr>
          <w:rFonts w:ascii="Arial" w:hAnsi="Arial" w:cs="Arial"/>
        </w:rPr>
        <w:t>Increasingly, more citizens of the UK eventually develop more favorable attitudes towards EVs as they worry about pollution and aspire to have up-to-date and hygienic technology (Kennedy, James and Hampson, 2023). EVs are viewed as being eco-friendly and intelligent. Nevertheless, there are wrong beliefs that certain individuals have regarding EVs, such as lack of battery life or ineffective use (</w:t>
      </w:r>
      <w:proofErr w:type="spellStart"/>
      <w:r w:rsidRPr="00AE0CB7">
        <w:rPr>
          <w:rFonts w:ascii="Arial" w:hAnsi="Arial" w:cs="Arial"/>
        </w:rPr>
        <w:t>Bryła</w:t>
      </w:r>
      <w:proofErr w:type="spellEnd"/>
      <w:r w:rsidRPr="00AE0CB7">
        <w:rPr>
          <w:rFonts w:ascii="Arial" w:hAnsi="Arial" w:cs="Arial"/>
        </w:rPr>
        <w:t xml:space="preserve">, Chatterjee &amp; </w:t>
      </w:r>
      <w:proofErr w:type="spellStart"/>
      <w:r w:rsidRPr="00AE0CB7">
        <w:rPr>
          <w:rFonts w:ascii="Arial" w:hAnsi="Arial" w:cs="Arial"/>
        </w:rPr>
        <w:t>Ciabiada</w:t>
      </w:r>
      <w:proofErr w:type="spellEnd"/>
      <w:r w:rsidRPr="00AE0CB7">
        <w:rPr>
          <w:rFonts w:ascii="Arial" w:hAnsi="Arial" w:cs="Arial"/>
        </w:rPr>
        <w:t>-Bryla, 2022). There is also an unequal representation of infrastructure with access to charging stations in cities, unequal with rural areas (Barnes et al., 2024). This loophole should be snatched to adopt it fairly.</w:t>
      </w:r>
    </w:p>
    <w:p w14:paraId="032D1248"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rPr>
      </w:pPr>
    </w:p>
    <w:p w14:paraId="7322F951" w14:textId="77777777" w:rsidR="009815A2" w:rsidRPr="00AE0CB7" w:rsidRDefault="009815A2" w:rsidP="009815A2">
      <w:pPr>
        <w:pStyle w:val="Heading2"/>
        <w:spacing w:before="0" w:after="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12328486"/>
      <w:r w:rsidRPr="00AE0CB7">
        <w:rPr>
          <w:rStyle w:val="Strong"/>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3.4 Technological Factors</w:t>
      </w:r>
      <w:bookmarkEnd w:id="6"/>
    </w:p>
    <w:p w14:paraId="1FC39C3B"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rPr>
      </w:pPr>
      <w:r w:rsidRPr="00AE0CB7">
        <w:rPr>
          <w:rFonts w:ascii="Arial" w:hAnsi="Arial" w:cs="Arial"/>
        </w:rPr>
        <w:t xml:space="preserve">The EV industry is centrally based on technology. The battery life, efficiency, and speed of charging has become much better over the last few years (Zhang et al., 2020). The use of fast-charging stations and renewable energy is growing (Adler, and Allan, 2024). Vehicle to grid (V2G) systems are also assisting in balancing the use of energy. </w:t>
      </w:r>
      <w:r w:rsidRPr="00AE0CB7">
        <w:rPr>
          <w:rFonts w:ascii="Arial" w:hAnsi="Arial" w:cs="Arial"/>
        </w:rPr>
        <w:lastRenderedPageBreak/>
        <w:t xml:space="preserve">Nevertheless, the issues persist, despite the abundance of charging points, which are available as a public number (more than 60 thousand), in </w:t>
      </w:r>
      <w:proofErr w:type="gramStart"/>
      <w:r w:rsidRPr="00AE0CB7">
        <w:rPr>
          <w:rFonts w:ascii="Arial" w:hAnsi="Arial" w:cs="Arial"/>
        </w:rPr>
        <w:t>a large number of</w:t>
      </w:r>
      <w:proofErr w:type="gramEnd"/>
      <w:r w:rsidRPr="00AE0CB7">
        <w:rPr>
          <w:rFonts w:ascii="Arial" w:hAnsi="Arial" w:cs="Arial"/>
        </w:rPr>
        <w:t xml:space="preserve"> locations, there are fewer (GOV.UK, 2024). Increase in cars should be commensurate to chargers.</w:t>
      </w:r>
    </w:p>
    <w:p w14:paraId="2E4D3AF5"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DB9355" w14:textId="77777777" w:rsidR="009815A2" w:rsidRPr="00AE0CB7" w:rsidRDefault="009815A2" w:rsidP="009815A2">
      <w:pPr>
        <w:pStyle w:val="Heading2"/>
        <w:spacing w:before="0" w:after="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12328487"/>
      <w:r w:rsidRPr="00AE0CB7">
        <w:rPr>
          <w:rStyle w:val="Strong"/>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3.5 Legal Factors</w:t>
      </w:r>
      <w:bookmarkEnd w:id="7"/>
    </w:p>
    <w:p w14:paraId="79B004E8"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rPr>
      </w:pPr>
      <w:r w:rsidRPr="00AE0CB7">
        <w:rPr>
          <w:rFonts w:ascii="Arial" w:hAnsi="Arial" w:cs="Arial"/>
        </w:rPr>
        <w:t xml:space="preserve">The UK laws ensure the systems of charging are </w:t>
      </w:r>
      <w:proofErr w:type="spellStart"/>
      <w:r w:rsidRPr="00AE0CB7">
        <w:rPr>
          <w:rFonts w:ascii="Arial" w:hAnsi="Arial" w:cs="Arial"/>
        </w:rPr>
        <w:t>standardised</w:t>
      </w:r>
      <w:proofErr w:type="spellEnd"/>
      <w:r w:rsidRPr="00AE0CB7">
        <w:rPr>
          <w:rFonts w:ascii="Arial" w:hAnsi="Arial" w:cs="Arial"/>
        </w:rPr>
        <w:t xml:space="preserve"> and safe. Regulations like the AFIR (2023) still affect the UK following the Brexit. Companies are also encouraged to be more innovative due to the need to comply with legal pressure to </w:t>
      </w:r>
      <w:proofErr w:type="spellStart"/>
      <w:r w:rsidRPr="00AE0CB7">
        <w:rPr>
          <w:rFonts w:ascii="Arial" w:hAnsi="Arial" w:cs="Arial"/>
        </w:rPr>
        <w:t>minimise</w:t>
      </w:r>
      <w:proofErr w:type="spellEnd"/>
      <w:r w:rsidRPr="00AE0CB7">
        <w:rPr>
          <w:rFonts w:ascii="Arial" w:hAnsi="Arial" w:cs="Arial"/>
        </w:rPr>
        <w:t xml:space="preserve"> the emission of carbon (House of Commons Library, 2024).</w:t>
      </w:r>
    </w:p>
    <w:p w14:paraId="70B94119" w14:textId="77777777" w:rsidR="009815A2" w:rsidRPr="00AE0CB7" w:rsidRDefault="009815A2" w:rsidP="009815A2">
      <w:pPr>
        <w:pStyle w:val="NormalWeb"/>
        <w:spacing w:before="0" w:beforeAutospacing="0" w:after="0" w:afterAutospacing="0" w:line="360" w:lineRule="auto"/>
        <w:contextualSpacing/>
        <w:rPr>
          <w:rFonts w:ascii="Arial" w:hAnsi="Arial" w:cs="Arial"/>
        </w:rPr>
      </w:pPr>
    </w:p>
    <w:p w14:paraId="0E034FDA" w14:textId="77777777" w:rsidR="009815A2" w:rsidRPr="00AE0CB7" w:rsidRDefault="009815A2" w:rsidP="009815A2">
      <w:pPr>
        <w:pStyle w:val="NormalWeb"/>
        <w:spacing w:before="0" w:beforeAutospacing="0" w:after="0" w:afterAutospacing="0" w:line="360" w:lineRule="auto"/>
        <w:contextualSpacing/>
        <w:rPr>
          <w:rFonts w:ascii="Arial" w:hAnsi="Arial" w:cs="Arial"/>
        </w:rPr>
      </w:pPr>
    </w:p>
    <w:p w14:paraId="301B03BC" w14:textId="77777777" w:rsidR="009815A2" w:rsidRPr="00AE0CB7" w:rsidRDefault="009815A2" w:rsidP="009815A2">
      <w:pPr>
        <w:pStyle w:val="NormalWeb"/>
        <w:spacing w:before="0" w:beforeAutospacing="0" w:after="0" w:afterAutospacing="0" w:line="360" w:lineRule="auto"/>
        <w:contextualSpacing/>
        <w:rPr>
          <w:rFonts w:ascii="Arial" w:hAnsi="Arial" w:cs="Arial"/>
        </w:rPr>
      </w:pPr>
    </w:p>
    <w:p w14:paraId="176B1D37" w14:textId="77777777" w:rsidR="009815A2" w:rsidRPr="00AE0CB7" w:rsidRDefault="009815A2" w:rsidP="009815A2">
      <w:pPr>
        <w:pStyle w:val="Heading2"/>
        <w:spacing w:before="0" w:after="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12328488"/>
      <w:r w:rsidRPr="00AE0CB7">
        <w:rPr>
          <w:rStyle w:val="Strong"/>
          <w:rFonts w:ascii="Arial" w:hAnsi="Arial" w:cs="Arial"/>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 Environmental Factors</w:t>
      </w:r>
      <w:bookmarkEnd w:id="8"/>
    </w:p>
    <w:p w14:paraId="034C7943" w14:textId="77777777" w:rsidR="009815A2" w:rsidRPr="00AE0CB7" w:rsidRDefault="009815A2" w:rsidP="009815A2">
      <w:pPr>
        <w:spacing w:after="0" w:line="360" w:lineRule="auto"/>
        <w:ind w:firstLine="720"/>
        <w:contextualSpacing/>
        <w:rPr>
          <w:rFonts w:ascii="Arial" w:hAnsi="Arial" w:cs="Arial"/>
          <w:sz w:val="24"/>
          <w:szCs w:val="24"/>
        </w:rPr>
      </w:pPr>
      <w:r w:rsidRPr="00AE0CB7">
        <w:rPr>
          <w:rFonts w:ascii="Arial" w:eastAsia="Times New Roman" w:hAnsi="Arial" w:cs="Arial"/>
          <w:sz w:val="24"/>
          <w:szCs w:val="24"/>
          <w:lang w:bidi="ar-SA"/>
        </w:rPr>
        <w:t xml:space="preserve">Environmental protection is the key factor that led to the default to EVs. EVs can lower the level of air pollution and carbon emissions (GOV.UK, 2024). However, it has certain environmental problems, including the mining and disposal of lithium batteries that are harmful (Zhang et al., 2020). Recycling and adopting a circular economy </w:t>
      </w:r>
      <w:proofErr w:type="gramStart"/>
      <w:r w:rsidRPr="00AE0CB7">
        <w:rPr>
          <w:rFonts w:ascii="Arial" w:eastAsia="Times New Roman" w:hAnsi="Arial" w:cs="Arial"/>
          <w:sz w:val="24"/>
          <w:szCs w:val="24"/>
          <w:lang w:bidi="ar-SA"/>
        </w:rPr>
        <w:t>is</w:t>
      </w:r>
      <w:proofErr w:type="gramEnd"/>
      <w:r w:rsidRPr="00AE0CB7">
        <w:rPr>
          <w:rFonts w:ascii="Arial" w:eastAsia="Times New Roman" w:hAnsi="Arial" w:cs="Arial"/>
          <w:sz w:val="24"/>
          <w:szCs w:val="24"/>
          <w:lang w:bidi="ar-SA"/>
        </w:rPr>
        <w:t xml:space="preserve"> quite significant </w:t>
      </w:r>
      <w:proofErr w:type="gramStart"/>
      <w:r w:rsidRPr="00AE0CB7">
        <w:rPr>
          <w:rFonts w:ascii="Arial" w:eastAsia="Times New Roman" w:hAnsi="Arial" w:cs="Arial"/>
          <w:sz w:val="24"/>
          <w:szCs w:val="24"/>
          <w:lang w:bidi="ar-SA"/>
        </w:rPr>
        <w:t>in order to</w:t>
      </w:r>
      <w:proofErr w:type="gramEnd"/>
      <w:r w:rsidRPr="00AE0CB7">
        <w:rPr>
          <w:rFonts w:ascii="Arial" w:eastAsia="Times New Roman" w:hAnsi="Arial" w:cs="Arial"/>
          <w:sz w:val="24"/>
          <w:szCs w:val="24"/>
          <w:lang w:bidi="ar-SA"/>
        </w:rPr>
        <w:t xml:space="preserve"> reduce this.</w:t>
      </w:r>
    </w:p>
    <w:p w14:paraId="27D4AE3F" w14:textId="77777777" w:rsidR="009815A2" w:rsidRPr="00AE0CB7" w:rsidRDefault="009815A2" w:rsidP="009815A2">
      <w:pPr>
        <w:spacing w:after="0" w:line="360" w:lineRule="auto"/>
        <w:ind w:firstLine="720"/>
        <w:contextualSpacing/>
        <w:rPr>
          <w:rFonts w:ascii="Arial" w:eastAsia="Times New Roman" w:hAnsi="Arial" w:cs="Arial"/>
          <w:sz w:val="24"/>
          <w:szCs w:val="24"/>
          <w:lang w:bidi="ar-SA"/>
        </w:rPr>
      </w:pPr>
    </w:p>
    <w:p w14:paraId="252D757E" w14:textId="77777777" w:rsidR="009815A2" w:rsidRPr="00AE0CB7" w:rsidRDefault="009815A2" w:rsidP="009815A2">
      <w:pPr>
        <w:pStyle w:val="Heading1"/>
        <w:spacing w:before="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12328489"/>
      <w:r w:rsidRPr="00AE0CB7">
        <w:rPr>
          <w:rStyle w:val="Strong"/>
          <w:rFonts w:ascii="Arial" w:hAnsi="Arial" w:cs="Arial"/>
          <w:b w:val="0"/>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SWOT Analysis of the UK Electric Vehicle Industry</w:t>
      </w:r>
      <w:bookmarkEnd w:id="9"/>
    </w:p>
    <w:p w14:paraId="5C011BA5" w14:textId="77777777" w:rsidR="009815A2" w:rsidRPr="00AE0CB7" w:rsidRDefault="009815A2" w:rsidP="009815A2">
      <w:pPr>
        <w:spacing w:after="0" w:line="360" w:lineRule="auto"/>
        <w:ind w:firstLine="720"/>
        <w:contextualSpacing/>
        <w:rPr>
          <w:rFonts w:ascii="Arial" w:hAnsi="Arial" w:cs="Arial"/>
          <w:sz w:val="24"/>
          <w:szCs w:val="24"/>
        </w:rPr>
      </w:pPr>
      <w:r w:rsidRPr="00AE0CB7">
        <w:rPr>
          <w:rFonts w:ascii="Arial" w:eastAsia="Times New Roman" w:hAnsi="Arial" w:cs="Arial"/>
          <w:sz w:val="24"/>
          <w:szCs w:val="24"/>
          <w:lang w:bidi="ar-SA"/>
        </w:rPr>
        <w:t>Government support, increasing consumer interest, and robust technology on batteries and car design are some of the strengths of the UK EV industry (Zhang et al., 2020; Barnes et al., 2024). One of the opportunities is the second-hand EV market that makes EVs cheaper (Boulton, Buxton &amp; Lenton, 2025). Its weakness includes high cost of production, few charging stations, and reliance on imported materials (</w:t>
      </w:r>
      <w:proofErr w:type="spellStart"/>
      <w:r w:rsidRPr="00AE0CB7">
        <w:rPr>
          <w:rFonts w:ascii="Arial" w:eastAsia="Times New Roman" w:hAnsi="Arial" w:cs="Arial"/>
          <w:sz w:val="24"/>
          <w:szCs w:val="24"/>
          <w:lang w:bidi="ar-SA"/>
        </w:rPr>
        <w:t>Versinetic</w:t>
      </w:r>
      <w:proofErr w:type="spellEnd"/>
      <w:r w:rsidRPr="00AE0CB7">
        <w:rPr>
          <w:rFonts w:ascii="Arial" w:eastAsia="Times New Roman" w:hAnsi="Arial" w:cs="Arial"/>
          <w:sz w:val="24"/>
          <w:szCs w:val="24"/>
          <w:lang w:bidi="ar-SA"/>
        </w:rPr>
        <w:t xml:space="preserve">, 2023). Manufacturers can be easily affected by the issues in the supply chains. There are also the opportunities of improved battery recycling, increased public charging points, and an increased proportion of renewable energy (Adler and Allan, 2024). The </w:t>
      </w:r>
      <w:r w:rsidRPr="00AE0CB7">
        <w:rPr>
          <w:rFonts w:ascii="Arial" w:eastAsia="Times New Roman" w:hAnsi="Arial" w:cs="Arial"/>
          <w:sz w:val="24"/>
          <w:szCs w:val="24"/>
          <w:lang w:bidi="ar-SA"/>
        </w:rPr>
        <w:lastRenderedPageBreak/>
        <w:t>battery supply is also exposed to threats due to global tension, expensive energy prices, and other competitor firms in Europe and China (Mohammed, 2023).</w:t>
      </w:r>
    </w:p>
    <w:p w14:paraId="318E5D9D" w14:textId="77777777" w:rsidR="009815A2" w:rsidRPr="00AE0CB7" w:rsidRDefault="009815A2" w:rsidP="009815A2">
      <w:pPr>
        <w:spacing w:after="0" w:line="360" w:lineRule="auto"/>
        <w:ind w:firstLine="720"/>
        <w:contextualSpacing/>
        <w:rPr>
          <w:rFonts w:ascii="Arial" w:eastAsia="Times New Roman" w:hAnsi="Arial" w:cs="Arial"/>
          <w:sz w:val="24"/>
          <w:szCs w:val="24"/>
          <w:lang w:bidi="ar-SA"/>
        </w:rPr>
      </w:pPr>
    </w:p>
    <w:p w14:paraId="3DAA0D41" w14:textId="77777777" w:rsidR="009815A2" w:rsidRPr="00AE0CB7" w:rsidRDefault="009815A2" w:rsidP="009815A2">
      <w:pPr>
        <w:pStyle w:val="Heading1"/>
        <w:spacing w:before="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12328490"/>
      <w:r w:rsidRPr="00AE0CB7">
        <w:rPr>
          <w:rStyle w:val="Strong"/>
          <w:rFonts w:ascii="Arial" w:hAnsi="Arial" w:cs="Arial"/>
          <w:b w:val="0"/>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Innovation, Infrastructure, and Industry Transformation</w:t>
      </w:r>
      <w:bookmarkEnd w:id="10"/>
    </w:p>
    <w:p w14:paraId="3FCB3973" w14:textId="77777777" w:rsidR="009815A2" w:rsidRPr="00AE0CB7" w:rsidRDefault="009815A2" w:rsidP="009815A2">
      <w:pPr>
        <w:spacing w:after="0" w:line="360" w:lineRule="auto"/>
        <w:ind w:firstLine="720"/>
        <w:contextualSpacing/>
        <w:rPr>
          <w:rFonts w:ascii="Arial" w:hAnsi="Arial" w:cs="Arial"/>
          <w:sz w:val="24"/>
          <w:szCs w:val="24"/>
        </w:rPr>
      </w:pPr>
      <w:r w:rsidRPr="00AE0CB7">
        <w:rPr>
          <w:rFonts w:ascii="Arial" w:eastAsia="Times New Roman" w:hAnsi="Arial" w:cs="Arial"/>
          <w:sz w:val="24"/>
          <w:szCs w:val="24"/>
          <w:lang w:bidi="ar-SA"/>
        </w:rPr>
        <w:t xml:space="preserve">The UK EV is a competitive market due to innovation. There is an improvement in battery technology in the form of solid-state and fast-charging systems which are becoming cheaper (Zhang et al., 2020). The EV use becomes more convenient and predictable by smart grids and chargers (powered by renewable energy) (Barnes et al., 2024). Adler and Allan (2024) indicate that the UK is facing challenges in increasing its capacity to grow because gaps in charging networks need to be addressed by collaborating with the power companies and small investors. According to EY and </w:t>
      </w:r>
      <w:proofErr w:type="spellStart"/>
      <w:r w:rsidRPr="00AE0CB7">
        <w:rPr>
          <w:rFonts w:ascii="Arial" w:eastAsia="Times New Roman" w:hAnsi="Arial" w:cs="Arial"/>
          <w:sz w:val="24"/>
          <w:szCs w:val="24"/>
          <w:lang w:bidi="ar-SA"/>
        </w:rPr>
        <w:t>Eurelectric</w:t>
      </w:r>
      <w:proofErr w:type="spellEnd"/>
      <w:r w:rsidRPr="00AE0CB7">
        <w:rPr>
          <w:rFonts w:ascii="Arial" w:eastAsia="Times New Roman" w:hAnsi="Arial" w:cs="Arial"/>
          <w:sz w:val="24"/>
          <w:szCs w:val="24"/>
          <w:lang w:bidi="ar-SA"/>
        </w:rPr>
        <w:t xml:space="preserve"> (2023), effective operation of the partnerships between the state and the business community requires the importance of such relationships. People are also drawn into accepting EVs more quickly with the help of social innovation, including awareness and new car designs (Kennedy, James &amp; Hampson, 2023). Sustainable EV industry will require technology and social advancement.</w:t>
      </w:r>
    </w:p>
    <w:p w14:paraId="7267CB83" w14:textId="77777777" w:rsidR="009815A2" w:rsidRPr="00AE0CB7" w:rsidRDefault="009815A2" w:rsidP="009815A2">
      <w:pPr>
        <w:spacing w:after="0" w:line="360" w:lineRule="auto"/>
        <w:ind w:firstLine="720"/>
        <w:contextualSpacing/>
        <w:rPr>
          <w:rFonts w:ascii="Arial" w:eastAsia="Times New Roman" w:hAnsi="Arial" w:cs="Arial"/>
          <w:sz w:val="24"/>
          <w:szCs w:val="24"/>
          <w:lang w:bidi="ar-SA"/>
        </w:rPr>
      </w:pPr>
    </w:p>
    <w:p w14:paraId="12F75F85" w14:textId="77777777" w:rsidR="009815A2" w:rsidRPr="00AE0CB7" w:rsidRDefault="009815A2" w:rsidP="009815A2">
      <w:pPr>
        <w:pStyle w:val="Heading1"/>
        <w:spacing w:before="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12328491"/>
      <w:r w:rsidRPr="00AE0CB7">
        <w:rPr>
          <w:rStyle w:val="Strong"/>
          <w:rFonts w:ascii="Arial" w:hAnsi="Arial" w:cs="Arial"/>
          <w:b w:val="0"/>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Conclusion</w:t>
      </w:r>
      <w:bookmarkEnd w:id="11"/>
    </w:p>
    <w:p w14:paraId="37183F9E"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rPr>
      </w:pPr>
      <w:r w:rsidRPr="00AE0CB7">
        <w:rPr>
          <w:rFonts w:ascii="Arial" w:hAnsi="Arial" w:cs="Arial"/>
        </w:rPr>
        <w:t xml:space="preserve">In conclusion, the UK EV market is developing fast and promises a lot. The tremendous advancement of government aid, new technology and environmental awareness have taken great stride. </w:t>
      </w:r>
      <w:proofErr w:type="gramStart"/>
      <w:r w:rsidRPr="00AE0CB7">
        <w:rPr>
          <w:rFonts w:ascii="Arial" w:hAnsi="Arial" w:cs="Arial"/>
        </w:rPr>
        <w:t>However</w:t>
      </w:r>
      <w:proofErr w:type="gramEnd"/>
      <w:r w:rsidRPr="00AE0CB7">
        <w:rPr>
          <w:rFonts w:ascii="Arial" w:hAnsi="Arial" w:cs="Arial"/>
        </w:rPr>
        <w:t xml:space="preserve"> there are still such problems as excessive prices, sluggish development of infrastructure and political instability. According to the PESTLE analysis and SWOT analysis, the UK would continue to expand due to the establishment of clear policies, investment in innovations, and the availability of charging infrastructure at reasonable prices in all the regions.</w:t>
      </w:r>
    </w:p>
    <w:p w14:paraId="384D631F" w14:textId="77777777" w:rsidR="009815A2" w:rsidRPr="00AE0CB7" w:rsidRDefault="009815A2" w:rsidP="009815A2">
      <w:pPr>
        <w:pStyle w:val="NormalWeb"/>
        <w:spacing w:before="0" w:beforeAutospacing="0" w:after="0" w:afterAutospacing="0" w:line="360" w:lineRule="auto"/>
        <w:ind w:firstLine="720"/>
        <w:contextualSpacing/>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E0641F" w14:textId="77777777" w:rsidR="009815A2" w:rsidRPr="00AE0CB7" w:rsidRDefault="009815A2" w:rsidP="009815A2">
      <w:pPr>
        <w:pStyle w:val="Heading1"/>
        <w:spacing w:before="0" w:line="360" w:lineRule="auto"/>
        <w:contextual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12328492"/>
      <w:r w:rsidRPr="00AE0CB7">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Recommendations</w:t>
      </w:r>
      <w:bookmarkEnd w:id="12"/>
    </w:p>
    <w:p w14:paraId="3A6DB428" w14:textId="77777777" w:rsidR="009815A2" w:rsidRPr="00AE0CB7" w:rsidRDefault="009815A2" w:rsidP="009815A2">
      <w:pPr>
        <w:numPr>
          <w:ilvl w:val="0"/>
          <w:numId w:val="1"/>
        </w:numPr>
        <w:spacing w:after="0" w:line="360" w:lineRule="auto"/>
        <w:contextualSpacing/>
        <w:rPr>
          <w:rFonts w:ascii="Arial" w:eastAsia="Times New Roman" w:hAnsi="Arial" w:cs="Arial"/>
          <w:sz w:val="24"/>
          <w:szCs w:val="24"/>
          <w:lang w:bidi="ar-SA"/>
        </w:rPr>
      </w:pPr>
      <w:r w:rsidRPr="00AE0CB7">
        <w:rPr>
          <w:rFonts w:ascii="Arial" w:eastAsia="Times New Roman" w:hAnsi="Arial" w:cs="Arial"/>
          <w:b/>
          <w:bCs/>
          <w:sz w:val="24"/>
          <w:szCs w:val="24"/>
          <w:lang w:bidi="ar-SA"/>
        </w:rPr>
        <w:t>Enhance Infrastructure through Public-Private Collaboration</w:t>
      </w:r>
    </w:p>
    <w:p w14:paraId="1DA53388" w14:textId="77777777" w:rsidR="009815A2" w:rsidRPr="00AE0CB7" w:rsidRDefault="009815A2" w:rsidP="009815A2">
      <w:pPr>
        <w:spacing w:after="0" w:line="360" w:lineRule="auto"/>
        <w:ind w:left="720"/>
        <w:contextualSpacing/>
        <w:rPr>
          <w:rFonts w:ascii="Arial" w:eastAsia="Times New Roman" w:hAnsi="Arial" w:cs="Arial"/>
          <w:sz w:val="24"/>
          <w:szCs w:val="24"/>
          <w:lang w:bidi="ar-SA"/>
        </w:rPr>
      </w:pPr>
      <w:r w:rsidRPr="00AE0CB7">
        <w:rPr>
          <w:rFonts w:ascii="Arial" w:eastAsia="Times New Roman" w:hAnsi="Arial" w:cs="Arial"/>
          <w:sz w:val="24"/>
          <w:szCs w:val="24"/>
          <w:lang w:bidi="ar-SA"/>
        </w:rPr>
        <w:t xml:space="preserve">The UK government must increase collaborations with individual investors </w:t>
      </w:r>
      <w:proofErr w:type="gramStart"/>
      <w:r w:rsidRPr="00AE0CB7">
        <w:rPr>
          <w:rFonts w:ascii="Arial" w:eastAsia="Times New Roman" w:hAnsi="Arial" w:cs="Arial"/>
          <w:sz w:val="24"/>
          <w:szCs w:val="24"/>
          <w:lang w:bidi="ar-SA"/>
        </w:rPr>
        <w:t>in order to</w:t>
      </w:r>
      <w:proofErr w:type="gramEnd"/>
      <w:r w:rsidRPr="00AE0CB7">
        <w:rPr>
          <w:rFonts w:ascii="Arial" w:eastAsia="Times New Roman" w:hAnsi="Arial" w:cs="Arial"/>
          <w:sz w:val="24"/>
          <w:szCs w:val="24"/>
          <w:lang w:bidi="ar-SA"/>
        </w:rPr>
        <w:t xml:space="preserve"> increase national charging networks over the country. Small bonuses to </w:t>
      </w:r>
      <w:r w:rsidRPr="00AE0CB7">
        <w:rPr>
          <w:rFonts w:ascii="Arial" w:eastAsia="Times New Roman" w:hAnsi="Arial" w:cs="Arial"/>
          <w:sz w:val="24"/>
          <w:szCs w:val="24"/>
          <w:lang w:bidi="ar-SA"/>
        </w:rPr>
        <w:lastRenderedPageBreak/>
        <w:t>installment charges in rural locations would decrease inequality in regions and increase it (Adler and Allan, 2024; GOV.UK, 2024). The use of smart grid and V2G technologies would help to become more energy-efficient and decrease the burden on the national grid (Barnes et al., 2024).</w:t>
      </w:r>
    </w:p>
    <w:p w14:paraId="65B6A971" w14:textId="77777777" w:rsidR="009815A2" w:rsidRPr="00AE0CB7" w:rsidRDefault="009815A2" w:rsidP="009815A2">
      <w:pPr>
        <w:numPr>
          <w:ilvl w:val="0"/>
          <w:numId w:val="1"/>
        </w:numPr>
        <w:spacing w:after="0" w:line="360" w:lineRule="auto"/>
        <w:contextualSpacing/>
        <w:rPr>
          <w:rFonts w:ascii="Arial" w:eastAsia="Times New Roman" w:hAnsi="Arial" w:cs="Arial"/>
          <w:sz w:val="24"/>
          <w:szCs w:val="24"/>
          <w:lang w:bidi="ar-SA"/>
        </w:rPr>
      </w:pPr>
      <w:r w:rsidRPr="00AE0CB7">
        <w:rPr>
          <w:rFonts w:ascii="Arial" w:eastAsia="Times New Roman" w:hAnsi="Arial" w:cs="Arial"/>
          <w:b/>
          <w:bCs/>
          <w:sz w:val="24"/>
          <w:szCs w:val="24"/>
          <w:lang w:bidi="ar-SA"/>
        </w:rPr>
        <w:t>Invest in Battery Recycling and Circular Economy Models</w:t>
      </w:r>
    </w:p>
    <w:p w14:paraId="2B8F475E" w14:textId="77777777" w:rsidR="009815A2" w:rsidRPr="00AE0CB7" w:rsidRDefault="009815A2" w:rsidP="009815A2">
      <w:pPr>
        <w:spacing w:after="0" w:line="360" w:lineRule="auto"/>
        <w:ind w:left="720"/>
        <w:contextualSpacing/>
        <w:rPr>
          <w:rFonts w:ascii="Arial" w:eastAsia="Times New Roman" w:hAnsi="Arial" w:cs="Arial"/>
          <w:sz w:val="24"/>
          <w:szCs w:val="24"/>
          <w:lang w:bidi="ar-SA"/>
        </w:rPr>
      </w:pPr>
      <w:r w:rsidRPr="00AE0CB7">
        <w:rPr>
          <w:rFonts w:ascii="Arial" w:eastAsia="Times New Roman" w:hAnsi="Arial" w:cs="Arial"/>
          <w:sz w:val="24"/>
          <w:szCs w:val="24"/>
          <w:lang w:bidi="ar-SA"/>
        </w:rPr>
        <w:t>To reduce the environmental and supply chain risks, the UK EV companies need to focus on battery recycling technologies R&amp;D and local sourcing material (Zhang et al., 2020). Closure of the chain of supply would promote sustainability and lessen reliance on imports.</w:t>
      </w:r>
    </w:p>
    <w:p w14:paraId="32B1A988" w14:textId="77777777" w:rsidR="009815A2" w:rsidRPr="00AE0CB7" w:rsidRDefault="009815A2" w:rsidP="009815A2">
      <w:pPr>
        <w:numPr>
          <w:ilvl w:val="0"/>
          <w:numId w:val="1"/>
        </w:numPr>
        <w:spacing w:after="0" w:line="360" w:lineRule="auto"/>
        <w:contextualSpacing/>
        <w:rPr>
          <w:rFonts w:ascii="Arial" w:eastAsia="Times New Roman" w:hAnsi="Arial" w:cs="Arial"/>
          <w:sz w:val="24"/>
          <w:szCs w:val="24"/>
          <w:lang w:bidi="ar-SA"/>
        </w:rPr>
      </w:pPr>
      <w:r w:rsidRPr="00AE0CB7">
        <w:rPr>
          <w:rFonts w:ascii="Arial" w:eastAsia="Times New Roman" w:hAnsi="Arial" w:cs="Arial"/>
          <w:b/>
          <w:bCs/>
          <w:sz w:val="24"/>
          <w:szCs w:val="24"/>
          <w:lang w:bidi="ar-SA"/>
        </w:rPr>
        <w:t>Promote Consumer Education and Incentives</w:t>
      </w:r>
    </w:p>
    <w:p w14:paraId="64C18BB7" w14:textId="77777777" w:rsidR="009815A2" w:rsidRPr="00AE0CB7" w:rsidRDefault="009815A2" w:rsidP="009815A2">
      <w:pPr>
        <w:spacing w:after="0" w:line="360" w:lineRule="auto"/>
        <w:ind w:left="720"/>
        <w:contextualSpacing/>
        <w:rPr>
          <w:rFonts w:ascii="Arial" w:eastAsia="Times New Roman" w:hAnsi="Arial" w:cs="Arial"/>
          <w:sz w:val="24"/>
          <w:szCs w:val="24"/>
          <w:lang w:bidi="ar-SA"/>
        </w:rPr>
      </w:pPr>
      <w:r w:rsidRPr="00AE0CB7">
        <w:rPr>
          <w:rFonts w:ascii="Arial" w:eastAsia="Times New Roman" w:hAnsi="Arial" w:cs="Arial"/>
          <w:sz w:val="24"/>
          <w:szCs w:val="24"/>
          <w:lang w:bidi="ar-SA"/>
        </w:rPr>
        <w:t xml:space="preserve">The ongoing campaigns of spreading information about EVs and the battery should be directed at eliminating the myths regarding the power and the charging infrastructure. Specific financial support to low-income households and purchasers of </w:t>
      </w:r>
      <w:proofErr w:type="gramStart"/>
      <w:r w:rsidRPr="00AE0CB7">
        <w:rPr>
          <w:rFonts w:ascii="Arial" w:eastAsia="Times New Roman" w:hAnsi="Arial" w:cs="Arial"/>
          <w:sz w:val="24"/>
          <w:szCs w:val="24"/>
          <w:lang w:bidi="ar-SA"/>
        </w:rPr>
        <w:t>used-EV</w:t>
      </w:r>
      <w:proofErr w:type="gramEnd"/>
      <w:r w:rsidRPr="00AE0CB7">
        <w:rPr>
          <w:rFonts w:ascii="Arial" w:eastAsia="Times New Roman" w:hAnsi="Arial" w:cs="Arial"/>
          <w:sz w:val="24"/>
          <w:szCs w:val="24"/>
          <w:lang w:bidi="ar-SA"/>
        </w:rPr>
        <w:t xml:space="preserve"> would secure inclusivity and make mass adoption swift (EY, 2023; Boulton, Buxton and Lenton, 2025).</w:t>
      </w:r>
      <w:r w:rsidRPr="00AE0CB7">
        <w:rPr>
          <w:rFonts w:ascii="Arial" w:hAnsi="Arial" w:cs="Arial"/>
          <w:color w:val="222222"/>
          <w:sz w:val="24"/>
          <w:szCs w:val="24"/>
          <w:shd w:val="clear" w:color="auto" w:fill="FFFFFF"/>
        </w:rPr>
        <w:br w:type="page"/>
      </w:r>
    </w:p>
    <w:p w14:paraId="7019C5FE" w14:textId="77777777" w:rsidR="009815A2" w:rsidRPr="00903539" w:rsidRDefault="009815A2" w:rsidP="009815A2">
      <w:pPr>
        <w:pStyle w:val="Heading1"/>
        <w:spacing w:before="0" w:line="360" w:lineRule="auto"/>
        <w:contextualSpacing/>
        <w:jc w:val="center"/>
        <w:rPr>
          <w:rFonts w:ascii="Arial" w:hAnsi="Arial" w:cs="Arial"/>
          <w:i/>
          <w:i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12328493"/>
      <w:r w:rsidRPr="00903539">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13"/>
    </w:p>
    <w:p w14:paraId="27CD8B4C"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Adler &amp; Allan, 2024. </w:t>
      </w:r>
      <w:r w:rsidRPr="00AE0CB7">
        <w:rPr>
          <w:rStyle w:val="Emphasis"/>
          <w:rFonts w:ascii="Arial" w:eastAsiaTheme="majorEastAsia" w:hAnsi="Arial" w:cs="Arial"/>
        </w:rPr>
        <w:t>The EV Landscape 2025 – The UK is undergoing a rapid shift towards electric vehicles, but is our charging infrastructure ready?</w:t>
      </w:r>
      <w:r w:rsidRPr="00AE0CB7">
        <w:rPr>
          <w:rFonts w:ascii="Arial" w:hAnsi="Arial" w:cs="Arial"/>
        </w:rPr>
        <w:t xml:space="preserve"> White Paper, 26 July 2024. Available at: </w:t>
      </w:r>
      <w:hyperlink r:id="rId6" w:tgtFrame="_new" w:history="1">
        <w:r w:rsidRPr="00AE0CB7">
          <w:rPr>
            <w:rStyle w:val="Hyperlink"/>
            <w:rFonts w:ascii="Arial" w:eastAsiaTheme="majorEastAsia" w:hAnsi="Arial" w:cs="Arial"/>
          </w:rPr>
          <w:t>https://www.adlerandallan.co.uk/knowledge/white-paper/ev-landscape-2025</w:t>
        </w:r>
      </w:hyperlink>
    </w:p>
    <w:p w14:paraId="1365BD5A"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Barnes, J., Anable, J., Davoudi, S., Dixon, J., Hawker, G. and Killip, G., 2024. </w:t>
      </w:r>
      <w:r w:rsidRPr="00AE0CB7">
        <w:rPr>
          <w:rStyle w:val="Emphasis"/>
          <w:rFonts w:ascii="Arial" w:eastAsiaTheme="majorEastAsia" w:hAnsi="Arial" w:cs="Arial"/>
        </w:rPr>
        <w:t>EV charging and its implications across transport, power, buildings and planning: insights from stakeholder workshops.</w:t>
      </w:r>
      <w:r w:rsidRPr="00AE0CB7">
        <w:rPr>
          <w:rFonts w:ascii="Arial" w:hAnsi="Arial" w:cs="Arial"/>
        </w:rPr>
        <w:t xml:space="preserve"> UK Energy Research Centre.</w:t>
      </w:r>
    </w:p>
    <w:p w14:paraId="411DD7E6"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Boulton, C.A., Buxton, J.E. and Lenton, T.M., 2025. Early opportunity signals of a tipping point in the UK's second-hand electric vehicle market. </w:t>
      </w:r>
      <w:r w:rsidRPr="00AE0CB7">
        <w:rPr>
          <w:rStyle w:val="Emphasis"/>
          <w:rFonts w:ascii="Arial" w:eastAsiaTheme="majorEastAsia" w:hAnsi="Arial" w:cs="Arial"/>
        </w:rPr>
        <w:t>Earth System Dynamics,</w:t>
      </w:r>
      <w:r w:rsidRPr="00AE0CB7">
        <w:rPr>
          <w:rFonts w:ascii="Arial" w:hAnsi="Arial" w:cs="Arial"/>
        </w:rPr>
        <w:t xml:space="preserve"> 16(2), pp.411–421.</w:t>
      </w:r>
    </w:p>
    <w:p w14:paraId="30F060DB"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proofErr w:type="spellStart"/>
      <w:r w:rsidRPr="00AE0CB7">
        <w:rPr>
          <w:rFonts w:ascii="Arial" w:hAnsi="Arial" w:cs="Arial"/>
        </w:rPr>
        <w:t>Bryła</w:t>
      </w:r>
      <w:proofErr w:type="spellEnd"/>
      <w:r w:rsidRPr="00AE0CB7">
        <w:rPr>
          <w:rFonts w:ascii="Arial" w:hAnsi="Arial" w:cs="Arial"/>
        </w:rPr>
        <w:t xml:space="preserve">, P., Chatterjee, S. and </w:t>
      </w:r>
      <w:proofErr w:type="spellStart"/>
      <w:r w:rsidRPr="00AE0CB7">
        <w:rPr>
          <w:rFonts w:ascii="Arial" w:hAnsi="Arial" w:cs="Arial"/>
        </w:rPr>
        <w:t>Ciabiada-Bryła</w:t>
      </w:r>
      <w:proofErr w:type="spellEnd"/>
      <w:r w:rsidRPr="00AE0CB7">
        <w:rPr>
          <w:rFonts w:ascii="Arial" w:hAnsi="Arial" w:cs="Arial"/>
        </w:rPr>
        <w:t xml:space="preserve">, B., 2022. Consumer adoption of electric vehicles: A systematic literature review. </w:t>
      </w:r>
      <w:r w:rsidRPr="00AE0CB7">
        <w:rPr>
          <w:rStyle w:val="Emphasis"/>
          <w:rFonts w:ascii="Arial" w:eastAsiaTheme="majorEastAsia" w:hAnsi="Arial" w:cs="Arial"/>
        </w:rPr>
        <w:t>Energies,</w:t>
      </w:r>
      <w:r w:rsidRPr="00AE0CB7">
        <w:rPr>
          <w:rFonts w:ascii="Arial" w:hAnsi="Arial" w:cs="Arial"/>
        </w:rPr>
        <w:t xml:space="preserve"> 16(1), p.205.</w:t>
      </w:r>
    </w:p>
    <w:p w14:paraId="10C08448"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proofErr w:type="spellStart"/>
      <w:r w:rsidRPr="00AE0CB7">
        <w:rPr>
          <w:rFonts w:ascii="Arial" w:hAnsi="Arial" w:cs="Arial"/>
        </w:rPr>
        <w:t>DriveArchive</w:t>
      </w:r>
      <w:proofErr w:type="spellEnd"/>
      <w:r w:rsidRPr="00AE0CB7">
        <w:rPr>
          <w:rFonts w:ascii="Arial" w:hAnsi="Arial" w:cs="Arial"/>
        </w:rPr>
        <w:t xml:space="preserve">, 2024. </w:t>
      </w:r>
      <w:r w:rsidRPr="00AE0CB7">
        <w:rPr>
          <w:rStyle w:val="Emphasis"/>
          <w:rFonts w:ascii="Arial" w:eastAsiaTheme="majorEastAsia" w:hAnsi="Arial" w:cs="Arial"/>
        </w:rPr>
        <w:t>The Future of Electric Vehicles in the UK.</w:t>
      </w:r>
      <w:r w:rsidRPr="00AE0CB7">
        <w:rPr>
          <w:rFonts w:ascii="Arial" w:hAnsi="Arial" w:cs="Arial"/>
        </w:rPr>
        <w:t xml:space="preserve"> Available at: </w:t>
      </w:r>
      <w:hyperlink r:id="rId7" w:tgtFrame="_new" w:history="1">
        <w:r w:rsidRPr="00AE0CB7">
          <w:rPr>
            <w:rStyle w:val="Hyperlink"/>
            <w:rFonts w:ascii="Arial" w:eastAsiaTheme="majorEastAsia" w:hAnsi="Arial" w:cs="Arial"/>
          </w:rPr>
          <w:t>https://www.drivearchive.co.uk/articles/article-the-future-of-electric-vehicles-in-the-uk.php</w:t>
        </w:r>
      </w:hyperlink>
    </w:p>
    <w:p w14:paraId="449F8603"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EY &amp; </w:t>
      </w:r>
      <w:proofErr w:type="spellStart"/>
      <w:r w:rsidRPr="00AE0CB7">
        <w:rPr>
          <w:rFonts w:ascii="Arial" w:hAnsi="Arial" w:cs="Arial"/>
        </w:rPr>
        <w:t>Eurelectric</w:t>
      </w:r>
      <w:proofErr w:type="spellEnd"/>
      <w:r w:rsidRPr="00AE0CB7">
        <w:rPr>
          <w:rFonts w:ascii="Arial" w:hAnsi="Arial" w:cs="Arial"/>
        </w:rPr>
        <w:t xml:space="preserve">, 2023. </w:t>
      </w:r>
      <w:r w:rsidRPr="00AE0CB7">
        <w:rPr>
          <w:rStyle w:val="Emphasis"/>
          <w:rFonts w:ascii="Arial" w:eastAsiaTheme="majorEastAsia" w:hAnsi="Arial" w:cs="Arial"/>
        </w:rPr>
        <w:t>UK’s EV success hinges on six essentials as growing demand highlights infrastructure gaps.</w:t>
      </w:r>
      <w:r w:rsidRPr="00AE0CB7">
        <w:rPr>
          <w:rFonts w:ascii="Arial" w:hAnsi="Arial" w:cs="Arial"/>
        </w:rPr>
        <w:t xml:space="preserve"> Available at: </w:t>
      </w:r>
      <w:hyperlink r:id="rId8" w:tgtFrame="_new" w:history="1">
        <w:r w:rsidRPr="00AE0CB7">
          <w:rPr>
            <w:rStyle w:val="Hyperlink"/>
            <w:rFonts w:ascii="Arial" w:eastAsiaTheme="majorEastAsia" w:hAnsi="Arial" w:cs="Arial"/>
          </w:rPr>
          <w:t>https://www.ey.com/en_uk/newsroom/2023/04/uk-s-ev-success-hinges-on-six-essentials</w:t>
        </w:r>
      </w:hyperlink>
    </w:p>
    <w:p w14:paraId="36E50259"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EY, 2023. </w:t>
      </w:r>
      <w:r w:rsidRPr="00AE0CB7">
        <w:rPr>
          <w:rStyle w:val="Emphasis"/>
          <w:rFonts w:ascii="Arial" w:eastAsiaTheme="majorEastAsia" w:hAnsi="Arial" w:cs="Arial"/>
        </w:rPr>
        <w:t>UK Electric Vehicle buying intent continues rise despite minimal growth in overall car-buying interest.</w:t>
      </w:r>
      <w:r w:rsidRPr="00AE0CB7">
        <w:rPr>
          <w:rFonts w:ascii="Arial" w:hAnsi="Arial" w:cs="Arial"/>
        </w:rPr>
        <w:t xml:space="preserve"> EY Mobility Consumer Index. Available at: </w:t>
      </w:r>
      <w:hyperlink r:id="rId9" w:tgtFrame="_new" w:history="1">
        <w:r w:rsidRPr="00AE0CB7">
          <w:rPr>
            <w:rStyle w:val="Hyperlink"/>
            <w:rFonts w:ascii="Arial" w:eastAsiaTheme="majorEastAsia" w:hAnsi="Arial" w:cs="Arial"/>
          </w:rPr>
          <w:t>https://www.ey.com/en_uk/newsroom/2023/06/uk-electric-vehicle-buying-intent-continues-rise</w:t>
        </w:r>
      </w:hyperlink>
    </w:p>
    <w:p w14:paraId="0A97E155"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GOV.UK, 2023. </w:t>
      </w:r>
      <w:r w:rsidRPr="00AE0CB7">
        <w:rPr>
          <w:rStyle w:val="Emphasis"/>
          <w:rFonts w:ascii="Arial" w:eastAsiaTheme="majorEastAsia" w:hAnsi="Arial" w:cs="Arial"/>
        </w:rPr>
        <w:t>Alternative fuels infrastructure regulations (AFIR) report 2023.</w:t>
      </w:r>
      <w:r w:rsidRPr="00AE0CB7">
        <w:rPr>
          <w:rFonts w:ascii="Arial" w:hAnsi="Arial" w:cs="Arial"/>
        </w:rPr>
        <w:t xml:space="preserve"> Available at: </w:t>
      </w:r>
      <w:hyperlink r:id="rId10" w:tgtFrame="_new" w:history="1">
        <w:r w:rsidRPr="00AE0CB7">
          <w:rPr>
            <w:rStyle w:val="Hyperlink"/>
            <w:rFonts w:ascii="Arial" w:eastAsiaTheme="majorEastAsia" w:hAnsi="Arial" w:cs="Arial"/>
          </w:rPr>
          <w:t>https://www.gov.uk/government/publications/alternative-fuels-infrastructure-regulations-afir-report-2023</w:t>
        </w:r>
      </w:hyperlink>
    </w:p>
    <w:p w14:paraId="7FAC3AEA"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GOV.UK, 2024. </w:t>
      </w:r>
      <w:r w:rsidRPr="00AE0CB7">
        <w:rPr>
          <w:rStyle w:val="Emphasis"/>
          <w:rFonts w:ascii="Arial" w:eastAsiaTheme="majorEastAsia" w:hAnsi="Arial" w:cs="Arial"/>
        </w:rPr>
        <w:t>Electric vehicles: costs, charging and infrastructure.</w:t>
      </w:r>
      <w:r w:rsidRPr="00AE0CB7">
        <w:rPr>
          <w:rFonts w:ascii="Arial" w:hAnsi="Arial" w:cs="Arial"/>
        </w:rPr>
        <w:t xml:space="preserve"> Published 5 February 2024, last updated 10 April 2025. Available at: </w:t>
      </w:r>
      <w:hyperlink r:id="rId11" w:tgtFrame="_new" w:history="1">
        <w:r w:rsidRPr="00AE0CB7">
          <w:rPr>
            <w:rStyle w:val="Hyperlink"/>
            <w:rFonts w:ascii="Arial" w:eastAsiaTheme="majorEastAsia" w:hAnsi="Arial" w:cs="Arial"/>
          </w:rPr>
          <w:t>https://www.gov.uk/government/publications/electric-vehicles-costs-charging-and-infrastructure</w:t>
        </w:r>
      </w:hyperlink>
    </w:p>
    <w:p w14:paraId="0D5D1653"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lastRenderedPageBreak/>
        <w:t xml:space="preserve">House of Commons Library, 2024. </w:t>
      </w:r>
      <w:r w:rsidRPr="00AE0CB7">
        <w:rPr>
          <w:rStyle w:val="Emphasis"/>
          <w:rFonts w:ascii="Arial" w:eastAsiaTheme="majorEastAsia" w:hAnsi="Arial" w:cs="Arial"/>
        </w:rPr>
        <w:t>Electric vehicles and infrastructure,</w:t>
      </w:r>
      <w:r w:rsidRPr="00AE0CB7">
        <w:rPr>
          <w:rFonts w:ascii="Arial" w:hAnsi="Arial" w:cs="Arial"/>
        </w:rPr>
        <w:t xml:space="preserve"> Research Briefing CBP-7480. Available at: </w:t>
      </w:r>
      <w:hyperlink r:id="rId12" w:tgtFrame="_new" w:history="1">
        <w:r w:rsidRPr="00AE0CB7">
          <w:rPr>
            <w:rStyle w:val="Hyperlink"/>
            <w:rFonts w:ascii="Arial" w:eastAsiaTheme="majorEastAsia" w:hAnsi="Arial" w:cs="Arial"/>
          </w:rPr>
          <w:t>https://commonslibrary.parliament.uk/research-briefings/cbp-7480/</w:t>
        </w:r>
      </w:hyperlink>
    </w:p>
    <w:p w14:paraId="472E369C"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Kennedy, J., James, K. and Hampson, B., 2023. Public opinion and understanding of the impact of electric vehicles: a UK experience. </w:t>
      </w:r>
      <w:r w:rsidRPr="00AE0CB7">
        <w:rPr>
          <w:rStyle w:val="Emphasis"/>
          <w:rFonts w:ascii="Arial" w:eastAsiaTheme="majorEastAsia" w:hAnsi="Arial" w:cs="Arial"/>
        </w:rPr>
        <w:t>Advances in Social Sciences Research Journal,</w:t>
      </w:r>
      <w:r w:rsidRPr="00AE0CB7">
        <w:rPr>
          <w:rFonts w:ascii="Arial" w:hAnsi="Arial" w:cs="Arial"/>
        </w:rPr>
        <w:t xml:space="preserve"> 10(10), pp.248–277.</w:t>
      </w:r>
    </w:p>
    <w:p w14:paraId="52F1CAF3"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Mohammed, L., 2023. </w:t>
      </w:r>
      <w:r w:rsidRPr="00AE0CB7">
        <w:rPr>
          <w:rStyle w:val="Emphasis"/>
          <w:rFonts w:ascii="Arial" w:eastAsiaTheme="majorEastAsia" w:hAnsi="Arial" w:cs="Arial"/>
        </w:rPr>
        <w:t>The Adoption Factors of Commercial Electric Vehicles: The Impact of Policy.</w:t>
      </w:r>
      <w:r w:rsidRPr="00AE0CB7">
        <w:rPr>
          <w:rFonts w:ascii="Arial" w:hAnsi="Arial" w:cs="Arial"/>
        </w:rPr>
        <w:t xml:space="preserve"> PhD thesis, Alliance Manchester Business School, University of Manchester. Available at: </w:t>
      </w:r>
      <w:hyperlink r:id="rId13" w:tgtFrame="_new" w:history="1">
        <w:r w:rsidRPr="00AE0CB7">
          <w:rPr>
            <w:rStyle w:val="Hyperlink"/>
            <w:rFonts w:ascii="Arial" w:eastAsiaTheme="majorEastAsia" w:hAnsi="Arial" w:cs="Arial"/>
          </w:rPr>
          <w:t>https://research.manchester.ac.uk/en/studentTheses/the-adoption-factors-of-commercial-electric-vehicles-the-impact-o</w:t>
        </w:r>
      </w:hyperlink>
    </w:p>
    <w:p w14:paraId="2103A2AC"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proofErr w:type="spellStart"/>
      <w:r w:rsidRPr="00AE0CB7">
        <w:rPr>
          <w:rFonts w:ascii="Arial" w:hAnsi="Arial" w:cs="Arial"/>
        </w:rPr>
        <w:t>Toolib</w:t>
      </w:r>
      <w:proofErr w:type="spellEnd"/>
      <w:r w:rsidRPr="00AE0CB7">
        <w:rPr>
          <w:rFonts w:ascii="Arial" w:hAnsi="Arial" w:cs="Arial"/>
        </w:rPr>
        <w:t xml:space="preserve">, S.N., Wan Hanafi, W.N., Daud, S. and </w:t>
      </w:r>
      <w:proofErr w:type="spellStart"/>
      <w:r w:rsidRPr="00AE0CB7">
        <w:rPr>
          <w:rFonts w:ascii="Arial" w:hAnsi="Arial" w:cs="Arial"/>
        </w:rPr>
        <w:t>Afsarizal</w:t>
      </w:r>
      <w:proofErr w:type="spellEnd"/>
      <w:r w:rsidRPr="00AE0CB7">
        <w:rPr>
          <w:rFonts w:ascii="Arial" w:hAnsi="Arial" w:cs="Arial"/>
        </w:rPr>
        <w:t xml:space="preserve">, H.A., 2023. Factors influencing electric vehicle adoption: A conceptual paper. </w:t>
      </w:r>
      <w:r w:rsidRPr="00AE0CB7">
        <w:rPr>
          <w:rStyle w:val="Emphasis"/>
          <w:rFonts w:ascii="Arial" w:eastAsiaTheme="majorEastAsia" w:hAnsi="Arial" w:cs="Arial"/>
        </w:rPr>
        <w:t>European Proceedings of Finance and Economics.</w:t>
      </w:r>
    </w:p>
    <w:p w14:paraId="23846485"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proofErr w:type="spellStart"/>
      <w:r w:rsidRPr="00AE0CB7">
        <w:rPr>
          <w:rFonts w:ascii="Arial" w:hAnsi="Arial" w:cs="Arial"/>
        </w:rPr>
        <w:t>Versinetic</w:t>
      </w:r>
      <w:proofErr w:type="spellEnd"/>
      <w:r w:rsidRPr="00AE0CB7">
        <w:rPr>
          <w:rFonts w:ascii="Arial" w:hAnsi="Arial" w:cs="Arial"/>
        </w:rPr>
        <w:t xml:space="preserve">, 2023. </w:t>
      </w:r>
      <w:r w:rsidRPr="00AE0CB7">
        <w:rPr>
          <w:rStyle w:val="Emphasis"/>
          <w:rFonts w:ascii="Arial" w:eastAsiaTheme="majorEastAsia" w:hAnsi="Arial" w:cs="Arial"/>
        </w:rPr>
        <w:t>Driving EV Adoption and Infrastructure: 2023 Industry Whitepaper.</w:t>
      </w:r>
      <w:r w:rsidRPr="00AE0CB7">
        <w:rPr>
          <w:rFonts w:ascii="Arial" w:hAnsi="Arial" w:cs="Arial"/>
        </w:rPr>
        <w:t xml:space="preserve"> Available at: </w:t>
      </w:r>
      <w:hyperlink r:id="rId14" w:tgtFrame="_new" w:history="1">
        <w:r w:rsidRPr="00AE0CB7">
          <w:rPr>
            <w:rStyle w:val="Hyperlink"/>
            <w:rFonts w:ascii="Arial" w:eastAsiaTheme="majorEastAsia" w:hAnsi="Arial" w:cs="Arial"/>
          </w:rPr>
          <w:t>https://www.versinetic.com/news-blog/driving-ev-adoption-infrastructure-2023-industry-whitepaper/</w:t>
        </w:r>
      </w:hyperlink>
    </w:p>
    <w:p w14:paraId="29111976"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Xia, Z., Wu, D. and Zhang, L., 2022. Economic, functional, and social factors influencing electric vehicles’ adoption: An empirical study based on the diffusion of innovation theory. </w:t>
      </w:r>
      <w:r w:rsidRPr="00AE0CB7">
        <w:rPr>
          <w:rStyle w:val="Emphasis"/>
          <w:rFonts w:ascii="Arial" w:eastAsiaTheme="majorEastAsia" w:hAnsi="Arial" w:cs="Arial"/>
        </w:rPr>
        <w:t>Sustainability,</w:t>
      </w:r>
      <w:r w:rsidRPr="00AE0CB7">
        <w:rPr>
          <w:rFonts w:ascii="Arial" w:hAnsi="Arial" w:cs="Arial"/>
        </w:rPr>
        <w:t xml:space="preserve"> 14(10), p.6283.</w:t>
      </w:r>
    </w:p>
    <w:p w14:paraId="100A80DD" w14:textId="77777777" w:rsidR="009815A2" w:rsidRPr="00AE0CB7" w:rsidRDefault="009815A2" w:rsidP="009815A2">
      <w:pPr>
        <w:pStyle w:val="NormalWeb"/>
        <w:spacing w:before="0" w:beforeAutospacing="0" w:after="0" w:afterAutospacing="0" w:line="360" w:lineRule="auto"/>
        <w:ind w:left="720" w:hanging="720"/>
        <w:contextualSpacing/>
        <w:rPr>
          <w:rFonts w:ascii="Arial" w:hAnsi="Arial" w:cs="Arial"/>
        </w:rPr>
      </w:pPr>
      <w:r w:rsidRPr="00AE0CB7">
        <w:rPr>
          <w:rFonts w:ascii="Arial" w:hAnsi="Arial" w:cs="Arial"/>
        </w:rPr>
        <w:t xml:space="preserve">Zhang, Y., </w:t>
      </w:r>
      <w:proofErr w:type="spellStart"/>
      <w:r w:rsidRPr="00AE0CB7">
        <w:rPr>
          <w:rFonts w:ascii="Arial" w:hAnsi="Arial" w:cs="Arial"/>
        </w:rPr>
        <w:t>Rysiecki</w:t>
      </w:r>
      <w:proofErr w:type="spellEnd"/>
      <w:r w:rsidRPr="00AE0CB7">
        <w:rPr>
          <w:rFonts w:ascii="Arial" w:hAnsi="Arial" w:cs="Arial"/>
        </w:rPr>
        <w:t xml:space="preserve">, L., Gong, Y. and Shi, Q., 2020. A SWOT analysis of the UK EV battery supply chain. </w:t>
      </w:r>
      <w:r w:rsidRPr="00AE0CB7">
        <w:rPr>
          <w:rStyle w:val="Emphasis"/>
          <w:rFonts w:ascii="Arial" w:eastAsiaTheme="majorEastAsia" w:hAnsi="Arial" w:cs="Arial"/>
        </w:rPr>
        <w:t>Sustainability,</w:t>
      </w:r>
      <w:r w:rsidRPr="00AE0CB7">
        <w:rPr>
          <w:rFonts w:ascii="Arial" w:hAnsi="Arial" w:cs="Arial"/>
        </w:rPr>
        <w:t xml:space="preserve"> 12(23), p.9807.</w:t>
      </w:r>
    </w:p>
    <w:p w14:paraId="7DFE4C36" w14:textId="77777777" w:rsidR="009815A2" w:rsidRPr="00AE0CB7" w:rsidRDefault="009815A2" w:rsidP="009815A2">
      <w:pPr>
        <w:spacing w:line="360" w:lineRule="auto"/>
        <w:rPr>
          <w:rFonts w:ascii="Arial" w:hAnsi="Arial" w:cs="Arial"/>
          <w:sz w:val="24"/>
          <w:szCs w:val="24"/>
        </w:rPr>
      </w:pPr>
    </w:p>
    <w:p w14:paraId="0DBBBABB" w14:textId="77777777" w:rsidR="009815A2" w:rsidRDefault="009815A2"/>
    <w:sectPr w:rsidR="009815A2" w:rsidSect="009815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03251A"/>
    <w:multiLevelType w:val="multilevel"/>
    <w:tmpl w:val="05D62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7750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5A2"/>
    <w:rsid w:val="000805D7"/>
    <w:rsid w:val="00981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7C2FB7"/>
  <w15:chartTrackingRefBased/>
  <w15:docId w15:val="{AED96093-F48C-9B45-8DE0-99643A144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5A2"/>
    <w:pPr>
      <w:spacing w:line="259" w:lineRule="auto"/>
    </w:pPr>
    <w:rPr>
      <w:kern w:val="0"/>
      <w:sz w:val="22"/>
      <w:szCs w:val="22"/>
      <w:lang w:val="en-US" w:bidi="ar-AE"/>
      <w14:ligatures w14:val="none"/>
    </w:rPr>
  </w:style>
  <w:style w:type="paragraph" w:styleId="Heading1">
    <w:name w:val="heading 1"/>
    <w:basedOn w:val="Normal"/>
    <w:next w:val="Normal"/>
    <w:link w:val="Heading1Char"/>
    <w:uiPriority w:val="9"/>
    <w:qFormat/>
    <w:rsid w:val="009815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15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15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5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15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5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5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5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5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5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15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15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15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15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5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5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5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5A2"/>
    <w:rPr>
      <w:rFonts w:eastAsiaTheme="majorEastAsia" w:cstheme="majorBidi"/>
      <w:color w:val="272727" w:themeColor="text1" w:themeTint="D8"/>
    </w:rPr>
  </w:style>
  <w:style w:type="paragraph" w:styleId="Title">
    <w:name w:val="Title"/>
    <w:basedOn w:val="Normal"/>
    <w:next w:val="Normal"/>
    <w:link w:val="TitleChar"/>
    <w:uiPriority w:val="10"/>
    <w:qFormat/>
    <w:rsid w:val="009815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5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5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5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5A2"/>
    <w:pPr>
      <w:spacing w:before="160"/>
      <w:jc w:val="center"/>
    </w:pPr>
    <w:rPr>
      <w:i/>
      <w:iCs/>
      <w:color w:val="404040" w:themeColor="text1" w:themeTint="BF"/>
    </w:rPr>
  </w:style>
  <w:style w:type="character" w:customStyle="1" w:styleId="QuoteChar">
    <w:name w:val="Quote Char"/>
    <w:basedOn w:val="DefaultParagraphFont"/>
    <w:link w:val="Quote"/>
    <w:uiPriority w:val="29"/>
    <w:rsid w:val="009815A2"/>
    <w:rPr>
      <w:i/>
      <w:iCs/>
      <w:color w:val="404040" w:themeColor="text1" w:themeTint="BF"/>
    </w:rPr>
  </w:style>
  <w:style w:type="paragraph" w:styleId="ListParagraph">
    <w:name w:val="List Paragraph"/>
    <w:basedOn w:val="Normal"/>
    <w:uiPriority w:val="34"/>
    <w:qFormat/>
    <w:rsid w:val="009815A2"/>
    <w:pPr>
      <w:ind w:left="720"/>
      <w:contextualSpacing/>
    </w:pPr>
  </w:style>
  <w:style w:type="character" w:styleId="IntenseEmphasis">
    <w:name w:val="Intense Emphasis"/>
    <w:basedOn w:val="DefaultParagraphFont"/>
    <w:uiPriority w:val="21"/>
    <w:qFormat/>
    <w:rsid w:val="009815A2"/>
    <w:rPr>
      <w:i/>
      <w:iCs/>
      <w:color w:val="0F4761" w:themeColor="accent1" w:themeShade="BF"/>
    </w:rPr>
  </w:style>
  <w:style w:type="paragraph" w:styleId="IntenseQuote">
    <w:name w:val="Intense Quote"/>
    <w:basedOn w:val="Normal"/>
    <w:next w:val="Normal"/>
    <w:link w:val="IntenseQuoteChar"/>
    <w:uiPriority w:val="30"/>
    <w:qFormat/>
    <w:rsid w:val="009815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5A2"/>
    <w:rPr>
      <w:i/>
      <w:iCs/>
      <w:color w:val="0F4761" w:themeColor="accent1" w:themeShade="BF"/>
    </w:rPr>
  </w:style>
  <w:style w:type="character" w:styleId="IntenseReference">
    <w:name w:val="Intense Reference"/>
    <w:basedOn w:val="DefaultParagraphFont"/>
    <w:uiPriority w:val="32"/>
    <w:qFormat/>
    <w:rsid w:val="009815A2"/>
    <w:rPr>
      <w:b/>
      <w:bCs/>
      <w:smallCaps/>
      <w:color w:val="0F4761" w:themeColor="accent1" w:themeShade="BF"/>
      <w:spacing w:val="5"/>
    </w:rPr>
  </w:style>
  <w:style w:type="paragraph" w:styleId="NormalWeb">
    <w:name w:val="Normal (Web)"/>
    <w:basedOn w:val="Normal"/>
    <w:uiPriority w:val="99"/>
    <w:unhideWhenUsed/>
    <w:rsid w:val="009815A2"/>
    <w:pPr>
      <w:spacing w:before="100" w:beforeAutospacing="1" w:after="100" w:afterAutospacing="1" w:line="240" w:lineRule="auto"/>
    </w:pPr>
    <w:rPr>
      <w:rFonts w:ascii="Times New Roman" w:eastAsia="Times New Roman" w:hAnsi="Times New Roman" w:cs="Times New Roman"/>
      <w:sz w:val="24"/>
      <w:szCs w:val="24"/>
      <w:lang w:bidi="ar-SA"/>
    </w:rPr>
  </w:style>
  <w:style w:type="character" w:styleId="Hyperlink">
    <w:name w:val="Hyperlink"/>
    <w:basedOn w:val="DefaultParagraphFont"/>
    <w:uiPriority w:val="99"/>
    <w:unhideWhenUsed/>
    <w:rsid w:val="009815A2"/>
    <w:rPr>
      <w:color w:val="0000FF"/>
      <w:u w:val="single"/>
    </w:rPr>
  </w:style>
  <w:style w:type="character" w:styleId="Emphasis">
    <w:name w:val="Emphasis"/>
    <w:basedOn w:val="DefaultParagraphFont"/>
    <w:uiPriority w:val="20"/>
    <w:qFormat/>
    <w:rsid w:val="009815A2"/>
    <w:rPr>
      <w:i/>
      <w:iCs/>
    </w:rPr>
  </w:style>
  <w:style w:type="character" w:styleId="Strong">
    <w:name w:val="Strong"/>
    <w:basedOn w:val="DefaultParagraphFont"/>
    <w:uiPriority w:val="22"/>
    <w:qFormat/>
    <w:rsid w:val="009815A2"/>
    <w:rPr>
      <w:b/>
      <w:bCs/>
    </w:rPr>
  </w:style>
  <w:style w:type="paragraph" w:styleId="TOCHeading">
    <w:name w:val="TOC Heading"/>
    <w:basedOn w:val="Heading1"/>
    <w:next w:val="Normal"/>
    <w:uiPriority w:val="39"/>
    <w:unhideWhenUsed/>
    <w:qFormat/>
    <w:rsid w:val="009815A2"/>
    <w:pPr>
      <w:spacing w:before="240" w:after="0"/>
      <w:outlineLvl w:val="9"/>
    </w:pPr>
    <w:rPr>
      <w:sz w:val="32"/>
      <w:szCs w:val="32"/>
    </w:rPr>
  </w:style>
  <w:style w:type="paragraph" w:styleId="TOC1">
    <w:name w:val="toc 1"/>
    <w:basedOn w:val="Normal"/>
    <w:next w:val="Normal"/>
    <w:autoRedefine/>
    <w:uiPriority w:val="39"/>
    <w:unhideWhenUsed/>
    <w:rsid w:val="009815A2"/>
    <w:pPr>
      <w:spacing w:after="100"/>
    </w:pPr>
  </w:style>
  <w:style w:type="paragraph" w:styleId="TOC2">
    <w:name w:val="toc 2"/>
    <w:basedOn w:val="Normal"/>
    <w:next w:val="Normal"/>
    <w:autoRedefine/>
    <w:uiPriority w:val="39"/>
    <w:unhideWhenUsed/>
    <w:rsid w:val="009815A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y.com/en_uk/newsroom/2023/04/uk-s-ev-success-hinges-on-six-essentials?utm_source=chatgpt.com" TargetMode="External"/><Relationship Id="rId13" Type="http://schemas.openxmlformats.org/officeDocument/2006/relationships/hyperlink" Target="https://research.manchester.ac.uk/en/studentTheses/the-adoption-factors-of-commercial-electric-vehicles-the-impact-o?utm_source=chatgpt.com" TargetMode="External"/><Relationship Id="rId3" Type="http://schemas.openxmlformats.org/officeDocument/2006/relationships/settings" Target="settings.xml"/><Relationship Id="rId7" Type="http://schemas.openxmlformats.org/officeDocument/2006/relationships/hyperlink" Target="https://www.drivearchive.co.uk/articles/article-the-future-of-electric-vehicles-in-the-uk.php?utm_source=chatgpt.com" TargetMode="External"/><Relationship Id="rId12" Type="http://schemas.openxmlformats.org/officeDocument/2006/relationships/hyperlink" Target="https://commonslibrary.parliament.uk/research-briefings/cbp-7480/?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dlerandallan.co.uk/knowledge/white-paper/ev-landscape-2025?utm_source=chatgpt.com" TargetMode="External"/><Relationship Id="rId11" Type="http://schemas.openxmlformats.org/officeDocument/2006/relationships/hyperlink" Target="https://www.gov.uk/government/publications/electric-vehicles-costs-charging-and-infrastructure?utm_source=chatgpt.com"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gov.uk/government/publications/alternative-fuels-infrastructure-regulations-afir-report-2023" TargetMode="External"/><Relationship Id="rId4" Type="http://schemas.openxmlformats.org/officeDocument/2006/relationships/webSettings" Target="webSettings.xml"/><Relationship Id="rId9" Type="http://schemas.openxmlformats.org/officeDocument/2006/relationships/hyperlink" Target="https://www.ey.com/en_uk/newsroom/2023/06/uk-electric-vehicle-buying-intent-continues-rise?utm_source=chatgpt.com" TargetMode="External"/><Relationship Id="rId14" Type="http://schemas.openxmlformats.org/officeDocument/2006/relationships/hyperlink" Target="https://www.versinetic.com/news-blog/driving-ev-adoption-infrastructure-2023-industry-whitepaper/?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1804</Words>
  <Characters>10960</Characters>
  <Application>Microsoft Office Word</Application>
  <DocSecurity>0</DocSecurity>
  <Lines>221</Lines>
  <Paragraphs>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Kailash Doolar</dc:creator>
  <cp:keywords/>
  <dc:description/>
  <cp:lastModifiedBy>agnieszka doolar</cp:lastModifiedBy>
  <cp:revision>1</cp:revision>
  <dcterms:created xsi:type="dcterms:W3CDTF">2025-12-05T20:53:00Z</dcterms:created>
  <dcterms:modified xsi:type="dcterms:W3CDTF">2025-12-05T21:00:00Z</dcterms:modified>
  <cp:category/>
</cp:coreProperties>
</file>