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pStyle w:val="Heading2"/>
        <w:keepNext w:val="0"/>
        <w:keepLines w:val="0"/>
        <w:pBdr>
          <w:top w:color="auto" w:space="18" w:sz="0" w:val="none"/>
          <w:bottom w:color="auto" w:space="0" w:sz="0" w:val="none"/>
        </w:pBdr>
        <w:spacing w:after="0" w:before="0" w:line="264" w:lineRule="auto"/>
        <w:jc w:val="center"/>
        <w:rPr>
          <w:sz w:val="22"/>
          <w:szCs w:val="22"/>
        </w:rPr>
      </w:pPr>
      <w:bookmarkStart w:colFirst="0" w:colLast="0" w:name="_nmjqdgl6d78d" w:id="0"/>
      <w:bookmarkEnd w:id="0"/>
      <w:r w:rsidDel="00000000" w:rsidR="00000000" w:rsidRPr="00000000">
        <w:rPr>
          <w:sz w:val="22"/>
          <w:szCs w:val="22"/>
          <w:rtl w:val="0"/>
        </w:rPr>
        <w:t xml:space="preserve">HDPA4002 - Fit To Perform</w:t>
      </w:r>
    </w:p>
    <w:p w:rsidR="00000000" w:rsidDel="00000000" w:rsidP="00000000" w:rsidRDefault="00000000" w:rsidRPr="00000000" w14:paraId="00000001">
      <w:pPr>
        <w:jc w:val="center"/>
        <w:rPr/>
      </w:pPr>
      <w:r w:rsidDel="00000000" w:rsidR="00000000" w:rsidRPr="00000000">
        <w:rPr>
          <w:rtl w:val="0"/>
        </w:rPr>
        <w:t xml:space="preserve">Coursework 1 Process Workbook</w:t>
      </w: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t xml:space="preserve">Friday 22nd February 2019</w:t>
      </w:r>
    </w:p>
    <w:p w:rsidR="00000000" w:rsidDel="00000000" w:rsidP="00000000" w:rsidRDefault="00000000" w:rsidRPr="00000000" w14:paraId="00000003">
      <w:pPr>
        <w:jc w:val="center"/>
        <w:rPr/>
      </w:pPr>
      <w:r w:rsidDel="00000000" w:rsidR="00000000" w:rsidRPr="00000000">
        <w:rPr>
          <w:rtl w:val="0"/>
        </w:rPr>
        <w:t xml:space="preserve">Olivia Barratt 1802106</w:t>
      </w:r>
      <w:r w:rsidDel="00000000" w:rsidR="00000000" w:rsidRPr="00000000">
        <w:rPr>
          <w:rtl w:val="0"/>
        </w:rPr>
      </w:r>
    </w:p>
    <w:p w:rsidR="00000000" w:rsidDel="00000000" w:rsidP="00000000" w:rsidRDefault="00000000" w:rsidRPr="00000000" w14:paraId="00000004">
      <w:pPr>
        <w:spacing w:line="480" w:lineRule="auto"/>
        <w:rPr/>
      </w:pPr>
      <w:r w:rsidDel="00000000" w:rsidR="00000000" w:rsidRPr="00000000">
        <w:rPr>
          <w:rtl w:val="0"/>
        </w:rPr>
      </w:r>
    </w:p>
    <w:p w:rsidR="00000000" w:rsidDel="00000000" w:rsidP="00000000" w:rsidRDefault="00000000" w:rsidRPr="00000000" w14:paraId="00000005">
      <w:pPr>
        <w:spacing w:line="480" w:lineRule="auto"/>
        <w:rPr/>
      </w:pPr>
      <w:r w:rsidDel="00000000" w:rsidR="00000000" w:rsidRPr="00000000">
        <w:rPr>
          <w:rtl w:val="0"/>
        </w:rPr>
        <w:t xml:space="preserve">This paper will be looking at and discussing information within four different articles that each follow under one of the headings of Fitness, Psychology, Anatomy and Physiology and Nutrition. Whilst looking through each I will be briefly talking about what the papers are based on.</w:t>
      </w:r>
    </w:p>
    <w:p w:rsidR="00000000" w:rsidDel="00000000" w:rsidP="00000000" w:rsidRDefault="00000000" w:rsidRPr="00000000" w14:paraId="00000006">
      <w:pPr>
        <w:spacing w:line="480" w:lineRule="auto"/>
        <w:rPr/>
      </w:pPr>
      <w:r w:rsidDel="00000000" w:rsidR="00000000" w:rsidRPr="00000000">
        <w:rPr>
          <w:rtl w:val="0"/>
        </w:rPr>
      </w:r>
    </w:p>
    <w:p w:rsidR="00000000" w:rsidDel="00000000" w:rsidP="00000000" w:rsidRDefault="00000000" w:rsidRPr="00000000" w14:paraId="00000007">
      <w:pPr>
        <w:spacing w:line="480" w:lineRule="auto"/>
        <w:rPr/>
      </w:pPr>
      <w:r w:rsidDel="00000000" w:rsidR="00000000" w:rsidRPr="00000000">
        <w:rPr>
          <w:rtl w:val="0"/>
        </w:rPr>
      </w:r>
    </w:p>
    <w:p w:rsidR="00000000" w:rsidDel="00000000" w:rsidP="00000000" w:rsidRDefault="00000000" w:rsidRPr="00000000" w14:paraId="00000008">
      <w:pPr>
        <w:spacing w:line="480" w:lineRule="auto"/>
        <w:rPr/>
      </w:pPr>
      <w:r w:rsidDel="00000000" w:rsidR="00000000" w:rsidRPr="00000000">
        <w:rPr>
          <w:i w:val="1"/>
          <w:rtl w:val="0"/>
        </w:rPr>
        <w:t xml:space="preserve">Stretching for dancers </w:t>
      </w:r>
      <w:r w:rsidDel="00000000" w:rsidR="00000000" w:rsidRPr="00000000">
        <w:rPr>
          <w:rtl w:val="0"/>
        </w:rPr>
        <w:t xml:space="preserve">(Critchfield, 2011)</w:t>
      </w:r>
      <w:r w:rsidDel="00000000" w:rsidR="00000000" w:rsidRPr="00000000">
        <w:rPr>
          <w:i w:val="1"/>
          <w:rtl w:val="0"/>
        </w:rPr>
        <w:t xml:space="preserve"> </w:t>
      </w:r>
      <w:r w:rsidDel="00000000" w:rsidR="00000000" w:rsidRPr="00000000">
        <w:rPr>
          <w:rtl w:val="0"/>
        </w:rPr>
        <w:t xml:space="preserve">talks about and provides vital information about stretching the body specifically relating it to the body of a dancer including where and when to stretch for optimal results.</w:t>
      </w:r>
    </w:p>
    <w:p w:rsidR="00000000" w:rsidDel="00000000" w:rsidP="00000000" w:rsidRDefault="00000000" w:rsidRPr="00000000" w14:paraId="00000009">
      <w:pPr>
        <w:spacing w:line="480" w:lineRule="auto"/>
        <w:rPr/>
      </w:pPr>
      <w:r w:rsidDel="00000000" w:rsidR="00000000" w:rsidRPr="00000000">
        <w:rPr>
          <w:rtl w:val="0"/>
        </w:rPr>
        <w:t xml:space="preserve"> The article explains important terms such as “Range of motion (ROM) and how the degree of movement can affect a dancers stability and allows the body to move”. </w:t>
      </w:r>
      <w:r w:rsidDel="00000000" w:rsidR="00000000" w:rsidRPr="00000000">
        <w:rPr>
          <w:rtl w:val="0"/>
        </w:rPr>
        <w:t xml:space="preserve">Critchfield discusses the differences between ROM and flexibility going</w:t>
      </w:r>
      <w:r w:rsidDel="00000000" w:rsidR="00000000" w:rsidRPr="00000000">
        <w:rPr>
          <w:rtl w:val="0"/>
        </w:rPr>
        <w:t xml:space="preserve"> into detail about the “ability to elongate soft tissues structures such as muscles/tendons and connective tissues” (known more formally as flexibility). He discusses the two types of flexibility, dynamic flexibility which is described as the available “active range of motion” i,e, “the height of a grand battement when contracting the muscles to move the joint”. The opposing type of flexibility is known as “static flexibility, demonstrated by the dancer using an external force ie their own hand or a partners hand to push the passive leg up further than the maximum height of the grand battement”. After discussing flexibility and ROM, the article states that “static flexibility is best for preventing injury to dancers”.</w:t>
      </w:r>
    </w:p>
    <w:p w:rsidR="00000000" w:rsidDel="00000000" w:rsidP="00000000" w:rsidRDefault="00000000" w:rsidRPr="00000000" w14:paraId="0000000A">
      <w:pPr>
        <w:spacing w:line="480" w:lineRule="auto"/>
        <w:rPr/>
      </w:pPr>
      <w:r w:rsidDel="00000000" w:rsidR="00000000" w:rsidRPr="00000000">
        <w:rPr>
          <w:rtl w:val="0"/>
        </w:rPr>
        <w:t xml:space="preserve">Different types of stretching are discussed, and how they can affect dancers and their muscles in particular. An example of a type of stretching would be a “ballistic stretch, which entails the use of repetitive bouncing or the swinging momentum of the trunk or limb to provide a stretch force”. The article stresses the “importance of the final position of the stretch not being held”. Critchfield provides the example of “a grand battement as a ballistic stretch for the hamstrings”. The advantages of ballistic stretches are discussed, such as “the possibility if carried out correctly to increase flexibility in dancers”. Disadvantages are also displayed in the article, an example is “the potential of a dancer to cause injury to their soft tissue by performing these stretches whilst not warm”. Another type of stretching would be “a prolonged stretch”, in the article, it states that “the stretch it is held for a long time without movement, however, it should not be used for dancers as prolonged stretches can lead to loss of stability and serious injury”. A final example of a type of stretching is “Proprioceptive Neuromuscular Facilitation (PNF)”, Critchfield goes into detail on the history of the PNF and how it was used to “treat patients in the 1950s with polio”. Informing us that “PNF stretches are effective for producing a short term increase in flexibility however, they are hard to perform correctly so do present the risk of injury”.</w:t>
      </w:r>
    </w:p>
    <w:p w:rsidR="00000000" w:rsidDel="00000000" w:rsidP="00000000" w:rsidRDefault="00000000" w:rsidRPr="00000000" w14:paraId="0000000B">
      <w:pPr>
        <w:spacing w:line="480" w:lineRule="auto"/>
        <w:rPr/>
      </w:pPr>
      <w:r w:rsidDel="00000000" w:rsidR="00000000" w:rsidRPr="00000000">
        <w:rPr>
          <w:rtl w:val="0"/>
        </w:rPr>
        <w:t xml:space="preserve">To conclude Critchfield gives advice on when to stretch, ie “straight after a 1-2 hour minimum class when the body is fully warmed up”, giving us information on why stretching is so important as a dancer and how stretching can “increase things like flexibility and even jumping height after a simple 30-minute stretch”. The article also tells us where to stretch for optimal results, informing us to focus on “stretching the connective tissues in our muscles rather than ligaments and joint capsules as stretching these can cause serious damage by making them hypermobile and less stable”.</w:t>
      </w:r>
    </w:p>
    <w:p w:rsidR="00000000" w:rsidDel="00000000" w:rsidP="00000000" w:rsidRDefault="00000000" w:rsidRPr="00000000" w14:paraId="0000000C">
      <w:pPr>
        <w:spacing w:line="480" w:lineRule="auto"/>
        <w:rPr/>
      </w:pPr>
      <w:r w:rsidDel="00000000" w:rsidR="00000000" w:rsidRPr="00000000">
        <w:rPr>
          <w:rtl w:val="0"/>
        </w:rPr>
        <w:t xml:space="preserve">Other information regarding stretching in this article are the factors of how long to stretch, “stating that holding a static stretch (once fully warmed up) for 30-second intervals that are repeated with breaks is most recommended” by Critchfield herself. This then leads to information regarding the relevance of gender and age in stretching for dancers and how their anatomy can affect the level of flexibility. This and other opposing factors of gender and age (such as “the loss of flexibility with the increase of age amongst adults”) is shown with various studies throughout the text.</w:t>
      </w:r>
    </w:p>
    <w:p w:rsidR="00000000" w:rsidDel="00000000" w:rsidP="00000000" w:rsidRDefault="00000000" w:rsidRPr="00000000" w14:paraId="0000000D">
      <w:pPr>
        <w:spacing w:line="480" w:lineRule="auto"/>
        <w:rPr/>
      </w:pPr>
      <w:r w:rsidDel="00000000" w:rsidR="00000000" w:rsidRPr="00000000">
        <w:rPr>
          <w:rtl w:val="0"/>
        </w:rPr>
      </w:r>
    </w:p>
    <w:p w:rsidR="00000000" w:rsidDel="00000000" w:rsidP="00000000" w:rsidRDefault="00000000" w:rsidRPr="00000000" w14:paraId="0000000E">
      <w:pPr>
        <w:spacing w:line="480" w:lineRule="auto"/>
        <w:rPr/>
      </w:pPr>
      <w:r w:rsidDel="00000000" w:rsidR="00000000" w:rsidRPr="00000000">
        <w:rPr>
          <w:rtl w:val="0"/>
        </w:rPr>
      </w:r>
    </w:p>
    <w:p w:rsidR="00000000" w:rsidDel="00000000" w:rsidP="00000000" w:rsidRDefault="00000000" w:rsidRPr="00000000" w14:paraId="0000000F">
      <w:pPr>
        <w:spacing w:line="480" w:lineRule="auto"/>
        <w:rPr>
          <w:color w:val="111111"/>
          <w:highlight w:val="white"/>
        </w:rPr>
      </w:pPr>
      <w:r w:rsidDel="00000000" w:rsidR="00000000" w:rsidRPr="00000000">
        <w:rPr>
          <w:i w:val="1"/>
          <w:rtl w:val="0"/>
        </w:rPr>
        <w:t xml:space="preserve">Functional anatomy in dance training: An efficient warm-up emphasizing the role of the Psoas </w:t>
      </w:r>
      <w:r w:rsidDel="00000000" w:rsidR="00000000" w:rsidRPr="00000000">
        <w:rPr>
          <w:rtl w:val="0"/>
        </w:rPr>
        <w:t xml:space="preserve">(Solomon, R. Solomon, J 2011) discusses the roles of the psoas in regards to dance training specifically outlining exercises for warming up the targeted area. The article firstly focuses on the main “roles of the Psoas” stating that “efficient movement originates in muscles that are located deep in the body, most notably the psoas system”. Describing then that psoas or the “more accurate term iliopsoas” to be made up of two specific muscles, iliacus and the psoas, that are connected. Surprisingly Solomon, R and Solomon, J go on to explain that the “psoas is one of the longest and most powerful muscles in the body” and states it is “the only muscle that attaches to the spine, pelvis and femur”. Including in their article, an image of the structure of the lower skeletal system the authors are able to describe easily the anatomy shown. When naming so positive traits of the psoas, the psoas is described as a “potentially powerful source of energy” and we are informed it is “located right in the centre of the body”. Later discussed in the article the psoas is reported to be “attached to three of the anatomical units that are most important in dance movement - the lower spine, pelvis and the hip joint.” Making the psoas important in the body of a dancer. As well as being connected to the “core” of the body, the article reflects on the psoas being “capable of stabilization and activation simultaneously”. During Functional anatomy in dance training: An efficient warm-up emphasizing the role of the Psoas, educational photographs are used to show the correct and incorrect way that the psoas and the anatomy around it can be adapted and used to alter ballerinas developpe a la seconde. Image A shows the ballerina with her hip raised whereas image B shows the alteration of the “grand trochanter” which is the </w:t>
      </w:r>
      <w:r w:rsidDel="00000000" w:rsidR="00000000" w:rsidRPr="00000000">
        <w:rPr>
          <w:color w:val="111111"/>
          <w:highlight w:val="white"/>
          <w:rtl w:val="0"/>
        </w:rPr>
        <w:t xml:space="preserve">l</w:t>
      </w:r>
      <w:r w:rsidDel="00000000" w:rsidR="00000000" w:rsidRPr="00000000">
        <w:rPr>
          <w:color w:val="111111"/>
          <w:highlight w:val="white"/>
          <w:rtl w:val="0"/>
        </w:rPr>
        <w:t xml:space="preserve">ateral muscle attached to your femur, coming closer to the “ischial tuberosity”. The article uses these images to show that,</w:t>
      </w:r>
    </w:p>
    <w:p w:rsidR="00000000" w:rsidDel="00000000" w:rsidP="00000000" w:rsidRDefault="00000000" w:rsidRPr="00000000" w14:paraId="00000010">
      <w:pPr>
        <w:spacing w:line="240" w:lineRule="auto"/>
        <w:ind w:left="720" w:right="720" w:firstLine="0"/>
        <w:rPr/>
      </w:pPr>
      <w:r w:rsidDel="00000000" w:rsidR="00000000" w:rsidRPr="00000000">
        <w:rPr>
          <w:i w:val="1"/>
          <w:color w:val="111111"/>
          <w:highlight w:val="white"/>
          <w:rtl w:val="0"/>
        </w:rPr>
        <w:t xml:space="preserve">If a dancer can stabilise the dorsal aspect of the muscle (the portion attached to T12-L2 vertebrae) while activating the contraction of the proximal portion (e.g. to bring the thigh up towards the torso) the body will remain in good alignment and produce an efficient movement. </w:t>
      </w:r>
      <w:r w:rsidDel="00000000" w:rsidR="00000000" w:rsidRPr="00000000">
        <w:rPr>
          <w:rtl w:val="0"/>
        </w:rPr>
        <w:t xml:space="preserve">(Solomon, R. Solomon, J. 2011)</w:t>
      </w:r>
    </w:p>
    <w:p w:rsidR="00000000" w:rsidDel="00000000" w:rsidP="00000000" w:rsidRDefault="00000000" w:rsidRPr="00000000" w14:paraId="00000011">
      <w:pPr>
        <w:spacing w:line="240" w:lineRule="auto"/>
        <w:ind w:right="720"/>
        <w:rPr/>
      </w:pPr>
      <w:r w:rsidDel="00000000" w:rsidR="00000000" w:rsidRPr="00000000">
        <w:rPr>
          <w:rtl w:val="0"/>
        </w:rPr>
      </w:r>
    </w:p>
    <w:p w:rsidR="00000000" w:rsidDel="00000000" w:rsidP="00000000" w:rsidRDefault="00000000" w:rsidRPr="00000000" w14:paraId="00000012">
      <w:pPr>
        <w:spacing w:line="480" w:lineRule="auto"/>
        <w:ind w:right="720"/>
        <w:rPr/>
      </w:pPr>
      <w:r w:rsidDel="00000000" w:rsidR="00000000" w:rsidRPr="00000000">
        <w:rPr>
          <w:rtl w:val="0"/>
        </w:rPr>
        <w:t xml:space="preserve">The final part of Functional anatomy in dance training: An efficient warm-up emphasizing the role of the Psoas refers to several different varying exercises that when executed correctly help warm-up and mobilise the psoas and muscles around it. Each exercise is shown in a picture with a dancer carrying out the movement, the first picture shows a dancer sat with her legs in a wide second with her teacher pulling back her hips to “help release the tendons around the hip socket”. The second exercise shows a timeline of pictures with a description of an exercise that “beginnings in standing, rolls down onto the floor, and returns to standing”. The point of this exercise is to “energise the body” thus in turn “activate the psoas”. Other exercises that are featured in this article are aimed at “promoting the initiation of work in the psoas, strengthening muscles through both concentric and eccentric activity”.</w:t>
      </w:r>
    </w:p>
    <w:p w:rsidR="00000000" w:rsidDel="00000000" w:rsidP="00000000" w:rsidRDefault="00000000" w:rsidRPr="00000000" w14:paraId="00000013">
      <w:pPr>
        <w:spacing w:line="480" w:lineRule="auto"/>
        <w:ind w:right="720"/>
        <w:rPr/>
      </w:pPr>
      <w:r w:rsidDel="00000000" w:rsidR="00000000" w:rsidRPr="00000000">
        <w:rPr>
          <w:rtl w:val="0"/>
        </w:rPr>
      </w:r>
    </w:p>
    <w:p w:rsidR="00000000" w:rsidDel="00000000" w:rsidP="00000000" w:rsidRDefault="00000000" w:rsidRPr="00000000" w14:paraId="00000014">
      <w:pPr>
        <w:spacing w:line="480" w:lineRule="auto"/>
        <w:ind w:right="720"/>
        <w:rPr/>
      </w:pPr>
      <w:r w:rsidDel="00000000" w:rsidR="00000000" w:rsidRPr="00000000">
        <w:rPr>
          <w:rtl w:val="0"/>
        </w:rPr>
      </w:r>
    </w:p>
    <w:p w:rsidR="00000000" w:rsidDel="00000000" w:rsidP="00000000" w:rsidRDefault="00000000" w:rsidRPr="00000000" w14:paraId="00000015">
      <w:pPr>
        <w:spacing w:line="480" w:lineRule="auto"/>
        <w:ind w:right="720"/>
        <w:rPr/>
      </w:pPr>
      <w:r w:rsidDel="00000000" w:rsidR="00000000" w:rsidRPr="00000000">
        <w:rPr>
          <w:i w:val="1"/>
          <w:rtl w:val="0"/>
        </w:rPr>
        <w:t xml:space="preserve">Effects of Tango on Functional Mobility in Parkinson’s Disease: A Preliminary Study </w:t>
      </w:r>
      <w:r w:rsidDel="00000000" w:rsidR="00000000" w:rsidRPr="00000000">
        <w:rPr>
          <w:rtl w:val="0"/>
        </w:rPr>
        <w:t xml:space="preserve">(Hackney, M.E. et al, 2007) looks at the connection of dance and how it can affect people with functional mobility specifically focusing on Parkinson’s disease. Key traits or effects of Parkinson’s disease discussed are “flexed posture, shuffling steps, difficulty with stride length regulation, reduced foot clearance during swing phase (which can cause trips) and increased cadence”. The study discusses how individuals with the disease are “ at greater risk of falls whilst turning”. This puts them at an “8x higher risk of a hip fracture than from falls during straight walking”. During the article Hackney et al often talk about various facts and information linking to past studies of Parkinson's, referring directly to movement classes for these specific individuals and how no study on the movement and how it could be changed to benefit them was published. The purpose of the study is explained as “a comparison of the effects between two movement programs”, the first group with Parkinson's disease were involved in a span of  “progressing Argentine tango dance lessons” and the other group of individuals with Parkinson's disease were involved in a span of classes involving “strengthening/flexibility and exercise”. From the results listed in the study, it is clear to see the groups included participants from a wide age range varying from 59 being the youngest to 86 years old as the oldest. Table 1 also looks at other demographics of the two groups such as gender and time with Parkinson's disease. Hackney et al talk about their hypothesis of “all subjects being capable of participating in the tango classes and that improvements in functional mobility would be noted in both groups”. During the section titled method Hackney et al spoke about how their “19 subjects were randomly assigned to groups and were not engaged in any other dance or exercise classes during the duration of the experiment. Data collection and analysis happened “following the 20th training session”, they were tested on areas such as medications, evaluation using the UPDRS motor subscale, mobility, gait speed. Gait speed was assessed during “walking tasks using a motion capture system to track a marker placed on the trunk as the T12 vertebrae level. The article states that “all assessments were videotaped” as evidence of the experiment. Effects of Tango on Functional Mobility in Parkinson’s Disease: A Preliminary Study discusses each class in detail explaining aims and class structures, they then list results of the experiments in sections including “Unified Parkinsons Disease Rating Scale (UPDRS), Berg Balance Scale, Freezing of Gait, Timed up and Go, Velocity of Walking and Dual-Task Walking and Attendance” Each area in explained either with text or by a graph containing both scores to allow the comparison of data. Finally, the article speaks about the data as a whole and discusses what areas allowed improvement to typical traits of Parkinson's disease i.e. mobility and balance, moving on to the subject of what else could've been done or changed throughout the study. Concluding the study Hackney et al spoke briefly on how this study was the first of its kind and they found the results to be beneficial.</w:t>
      </w:r>
    </w:p>
    <w:p w:rsidR="00000000" w:rsidDel="00000000" w:rsidP="00000000" w:rsidRDefault="00000000" w:rsidRPr="00000000" w14:paraId="00000016">
      <w:pPr>
        <w:spacing w:line="480" w:lineRule="auto"/>
        <w:ind w:right="720"/>
        <w:rPr/>
      </w:pPr>
      <w:r w:rsidDel="00000000" w:rsidR="00000000" w:rsidRPr="00000000">
        <w:rPr>
          <w:rtl w:val="0"/>
        </w:rPr>
      </w:r>
    </w:p>
    <w:p w:rsidR="00000000" w:rsidDel="00000000" w:rsidP="00000000" w:rsidRDefault="00000000" w:rsidRPr="00000000" w14:paraId="00000017">
      <w:pPr>
        <w:spacing w:line="480" w:lineRule="auto"/>
        <w:ind w:right="720"/>
        <w:rPr>
          <w:i w:val="1"/>
        </w:rPr>
      </w:pPr>
      <w:r w:rsidDel="00000000" w:rsidR="00000000" w:rsidRPr="00000000">
        <w:rPr>
          <w:rtl w:val="0"/>
        </w:rPr>
      </w:r>
    </w:p>
    <w:p w:rsidR="00000000" w:rsidDel="00000000" w:rsidP="00000000" w:rsidRDefault="00000000" w:rsidRPr="00000000" w14:paraId="00000018">
      <w:pPr>
        <w:spacing w:line="480" w:lineRule="auto"/>
        <w:ind w:right="720"/>
        <w:rPr/>
      </w:pPr>
      <w:r w:rsidDel="00000000" w:rsidR="00000000" w:rsidRPr="00000000">
        <w:rPr>
          <w:i w:val="1"/>
          <w:rtl w:val="0"/>
        </w:rPr>
        <w:t xml:space="preserve">Nutrition Resource Paper </w:t>
      </w:r>
      <w:r w:rsidDel="00000000" w:rsidR="00000000" w:rsidRPr="00000000">
        <w:rPr>
          <w:rtl w:val="0"/>
        </w:rPr>
        <w:t xml:space="preserve">(Challis, J. RD and Stevens, A. EdD, with Wilson, M. PhD, 2016) talks on “food vs food supplements” and on how as dancers we pressured to be a certain way in regards to weight. This article discusses how certain “vitamin and mineral needs should be met from food” rather than artificial supplements as they can affect performance. Vegetarians and vegans and “people with restricted diets may need a basic multivitamin and mineral supplement purely just to meet their daily needs”. Nutrition Resource Paper states,</w:t>
      </w:r>
    </w:p>
    <w:p w:rsidR="00000000" w:rsidDel="00000000" w:rsidP="00000000" w:rsidRDefault="00000000" w:rsidRPr="00000000" w14:paraId="00000019">
      <w:pPr>
        <w:spacing w:line="240" w:lineRule="auto"/>
        <w:ind w:left="720" w:right="720" w:firstLine="0"/>
        <w:jc w:val="center"/>
        <w:rPr/>
      </w:pPr>
      <w:r w:rsidDel="00000000" w:rsidR="00000000" w:rsidRPr="00000000">
        <w:rPr>
          <w:i w:val="1"/>
          <w:rtl w:val="0"/>
        </w:rPr>
        <w:t xml:space="preserve">The addition of vitamins and mineral supplements, especially at a high dosage to increase performance is not necessary, and it may impair recovery processes and can be toxic </w:t>
      </w:r>
      <w:r w:rsidDel="00000000" w:rsidR="00000000" w:rsidRPr="00000000">
        <w:rPr>
          <w:rtl w:val="0"/>
        </w:rPr>
        <w:t xml:space="preserve">(Challis, J. RD and Stevens, A. EdD, with Wilson, M. PhD, 2016) </w:t>
      </w:r>
    </w:p>
    <w:p w:rsidR="00000000" w:rsidDel="00000000" w:rsidP="00000000" w:rsidRDefault="00000000" w:rsidRPr="00000000" w14:paraId="0000001A">
      <w:pPr>
        <w:spacing w:line="240" w:lineRule="auto"/>
        <w:ind w:left="720" w:right="720" w:firstLine="0"/>
        <w:jc w:val="center"/>
        <w:rPr/>
      </w:pPr>
      <w:r w:rsidDel="00000000" w:rsidR="00000000" w:rsidRPr="00000000">
        <w:rPr>
          <w:rtl w:val="0"/>
        </w:rPr>
      </w:r>
    </w:p>
    <w:p w:rsidR="00000000" w:rsidDel="00000000" w:rsidP="00000000" w:rsidRDefault="00000000" w:rsidRPr="00000000" w14:paraId="0000001B">
      <w:pPr>
        <w:spacing w:line="480" w:lineRule="auto"/>
        <w:ind w:left="720" w:right="720" w:firstLine="0"/>
        <w:jc w:val="center"/>
        <w:rPr/>
      </w:pPr>
      <w:r w:rsidDel="00000000" w:rsidR="00000000" w:rsidRPr="00000000">
        <w:rPr>
          <w:rtl w:val="0"/>
        </w:rPr>
      </w:r>
    </w:p>
    <w:p w:rsidR="00000000" w:rsidDel="00000000" w:rsidP="00000000" w:rsidRDefault="00000000" w:rsidRPr="00000000" w14:paraId="0000001C">
      <w:pPr>
        <w:spacing w:line="480" w:lineRule="auto"/>
        <w:ind w:right="720"/>
        <w:rPr/>
      </w:pPr>
      <w:r w:rsidDel="00000000" w:rsidR="00000000" w:rsidRPr="00000000">
        <w:rPr>
          <w:rtl w:val="0"/>
        </w:rPr>
        <w:t xml:space="preserve">The article covers information such as the importance of a balanced diet and how it is composed of “a wide variety of fresh fruit and vegetables, whole grains, dairy products and proteins” However “diets that are restrictive can lead to a range of negative health consequences” this is due to people not eating a wide range of foods on a regular basis.</w:t>
      </w:r>
    </w:p>
    <w:p w:rsidR="00000000" w:rsidDel="00000000" w:rsidP="00000000" w:rsidRDefault="00000000" w:rsidRPr="00000000" w14:paraId="0000001D">
      <w:pPr>
        <w:spacing w:line="480" w:lineRule="auto"/>
        <w:ind w:right="720"/>
        <w:rPr/>
      </w:pPr>
      <w:r w:rsidDel="00000000" w:rsidR="00000000" w:rsidRPr="00000000">
        <w:rPr>
          <w:rtl w:val="0"/>
        </w:rPr>
        <w:t xml:space="preserve">Challis, Stevens and Wilson stress the important fact that “multivitamins are reasonable supplements but are not to be considered as food replacements”. A table containing sources of protein is included to show the different ways a person can obtain their daily intake of protein. The list includes “animal proteins” (proteins produced from animal products) such as chicken/fish such as salmon or tuna, eggs, yogurt, cheeses and milk. It also includes protein sources that are plant-based providing variety for a wider audience, these examples include tofu, Quorn, a variety of specific beans and peas, a variety of nuts, seed and nut butter and soya milk and other milk alternatives. The table also provides measurements that are recommended portion sizes, it also tells us how much protein is in the single portion size. Nutrition Resource Paper then includes information on how protein impacts the human body and what physical and chemical effects it has on us, referring specifically to the body of that of a dancer or athlete, speaking on subjects like amino acids and digestion times. Another table displayed in the article contains varies sources of fats, it then discusses why our bodies need fat and “how dietary fat is needed for the absorption of fat-soluble vitamins and is an important fuel for muscles”. Challis, Stevens and Wilson explain that “fat is stored in the body and is the primary fuel used in aerobic exercise, meaning we need fat to burn fat.” they go into detail into why “nutrient profile of a cheeseburger with bacon and fires is completely different to a meal that includes salmon, brown rice and avocado”. The article divides that fats into different categories explaining each in detail with examples. The final element of this article is a table for foods rich in carbohydrates such as bread, pasta etc, where the authors explain how “carbohydrates break down into glucose and fuel the body and brain”, also explaining how too much and too little carbohydrates can be bad for dancers in regards to weight and training. Lastly Challis, Stevens and Wilson state the recommended nutrient balance for dancers specifically, informing us that our “protein intake should make up 12-15% of our nutrient intake whereas fats are 20-30% and carbohydrates should be the highest at 55%”.</w:t>
      </w:r>
    </w:p>
    <w:p w:rsidR="00000000" w:rsidDel="00000000" w:rsidP="00000000" w:rsidRDefault="00000000" w:rsidRPr="00000000" w14:paraId="0000001E">
      <w:pPr>
        <w:spacing w:line="480" w:lineRule="auto"/>
        <w:ind w:right="720"/>
        <w:rPr/>
      </w:pPr>
      <w:r w:rsidDel="00000000" w:rsidR="00000000" w:rsidRPr="00000000">
        <w:rPr>
          <w:rtl w:val="0"/>
        </w:rPr>
      </w:r>
    </w:p>
    <w:p w:rsidR="00000000" w:rsidDel="00000000" w:rsidP="00000000" w:rsidRDefault="00000000" w:rsidRPr="00000000" w14:paraId="0000001F">
      <w:pPr>
        <w:spacing w:line="480" w:lineRule="auto"/>
        <w:ind w:right="720"/>
        <w:rPr/>
      </w:pPr>
      <w:r w:rsidDel="00000000" w:rsidR="00000000" w:rsidRPr="00000000">
        <w:rPr>
          <w:rtl w:val="0"/>
        </w:rPr>
      </w:r>
    </w:p>
    <w:p w:rsidR="00000000" w:rsidDel="00000000" w:rsidP="00000000" w:rsidRDefault="00000000" w:rsidRPr="00000000" w14:paraId="00000020">
      <w:pPr>
        <w:spacing w:line="480" w:lineRule="auto"/>
        <w:ind w:right="720"/>
        <w:rPr/>
      </w:pPr>
      <w:r w:rsidDel="00000000" w:rsidR="00000000" w:rsidRPr="00000000">
        <w:rPr>
          <w:rtl w:val="0"/>
        </w:rPr>
        <w:t xml:space="preserve">To conclude all four articles provided sufficient and informative data amongst the four varying areas however some such as the </w:t>
      </w:r>
      <w:r w:rsidDel="00000000" w:rsidR="00000000" w:rsidRPr="00000000">
        <w:rPr>
          <w:i w:val="1"/>
          <w:rtl w:val="0"/>
        </w:rPr>
        <w:t xml:space="preserve">Effects of Tango on Functional Mobility in Parkinson’s Disease: A Preliminary Study </w:t>
      </w:r>
      <w:r w:rsidDel="00000000" w:rsidR="00000000" w:rsidRPr="00000000">
        <w:rPr>
          <w:rtl w:val="0"/>
        </w:rPr>
        <w:t xml:space="preserve">(Hackney, M.E. et al, 2007) proved a harder read as there were a lot of terminologies that made it fragment and slower to read.</w:t>
      </w:r>
    </w:p>
    <w:p w:rsidR="00000000" w:rsidDel="00000000" w:rsidP="00000000" w:rsidRDefault="00000000" w:rsidRPr="00000000" w14:paraId="00000021">
      <w:pPr>
        <w:spacing w:line="480" w:lineRule="auto"/>
        <w:ind w:right="720"/>
        <w:rPr/>
      </w:pPr>
      <w:r w:rsidDel="00000000" w:rsidR="00000000" w:rsidRPr="00000000">
        <w:rPr>
          <w:rtl w:val="0"/>
        </w:rPr>
        <w:t xml:space="preserve">On the other hand, the final article </w:t>
      </w:r>
      <w:r w:rsidDel="00000000" w:rsidR="00000000" w:rsidRPr="00000000">
        <w:rPr>
          <w:i w:val="1"/>
          <w:rtl w:val="0"/>
        </w:rPr>
        <w:t xml:space="preserve">Nutrition Resource Paper </w:t>
      </w:r>
      <w:r w:rsidDel="00000000" w:rsidR="00000000" w:rsidRPr="00000000">
        <w:rPr>
          <w:rtl w:val="0"/>
        </w:rPr>
        <w:t xml:space="preserve">(Challis, J. RD and Stevens, A. EdD, with Wilson, M. PhD, 2016)  proved a much simpler read as the terminology was universal but still proved informative.</w:t>
      </w:r>
    </w:p>
    <w:p w:rsidR="00000000" w:rsidDel="00000000" w:rsidP="00000000" w:rsidRDefault="00000000" w:rsidRPr="00000000" w14:paraId="00000022">
      <w:pPr>
        <w:spacing w:line="480" w:lineRule="auto"/>
        <w:ind w:right="720"/>
        <w:rPr/>
      </w:pPr>
      <w:r w:rsidDel="00000000" w:rsidR="00000000" w:rsidRPr="00000000">
        <w:rPr>
          <w:rtl w:val="0"/>
        </w:rPr>
      </w:r>
    </w:p>
    <w:p w:rsidR="00000000" w:rsidDel="00000000" w:rsidP="00000000" w:rsidRDefault="00000000" w:rsidRPr="00000000" w14:paraId="00000023">
      <w:pPr>
        <w:spacing w:line="480" w:lineRule="auto"/>
        <w:ind w:right="720"/>
        <w:rPr/>
      </w:pPr>
      <w:r w:rsidDel="00000000" w:rsidR="00000000" w:rsidRPr="00000000">
        <w:rPr>
          <w:rtl w:val="0"/>
        </w:rPr>
      </w:r>
    </w:p>
    <w:p w:rsidR="00000000" w:rsidDel="00000000" w:rsidP="00000000" w:rsidRDefault="00000000" w:rsidRPr="00000000" w14:paraId="00000024">
      <w:pPr>
        <w:spacing w:line="480" w:lineRule="auto"/>
        <w:ind w:right="720"/>
        <w:rPr/>
      </w:pPr>
      <w:r w:rsidDel="00000000" w:rsidR="00000000" w:rsidRPr="00000000">
        <w:rPr>
          <w:rtl w:val="0"/>
        </w:rPr>
      </w:r>
    </w:p>
    <w:p w:rsidR="00000000" w:rsidDel="00000000" w:rsidP="00000000" w:rsidRDefault="00000000" w:rsidRPr="00000000" w14:paraId="00000025">
      <w:pPr>
        <w:spacing w:line="480" w:lineRule="auto"/>
        <w:ind w:right="720"/>
        <w:rPr/>
      </w:pPr>
      <w:r w:rsidDel="00000000" w:rsidR="00000000" w:rsidRPr="00000000">
        <w:rPr>
          <w:rtl w:val="0"/>
        </w:rPr>
      </w:r>
    </w:p>
    <w:p w:rsidR="00000000" w:rsidDel="00000000" w:rsidP="00000000" w:rsidRDefault="00000000" w:rsidRPr="00000000" w14:paraId="00000026">
      <w:pPr>
        <w:spacing w:line="480" w:lineRule="auto"/>
        <w:ind w:right="720"/>
        <w:rPr/>
      </w:pPr>
      <w:r w:rsidDel="00000000" w:rsidR="00000000" w:rsidRPr="00000000">
        <w:rPr>
          <w:rtl w:val="0"/>
        </w:rPr>
      </w:r>
    </w:p>
    <w:p w:rsidR="00000000" w:rsidDel="00000000" w:rsidP="00000000" w:rsidRDefault="00000000" w:rsidRPr="00000000" w14:paraId="00000027">
      <w:pPr>
        <w:spacing w:line="480" w:lineRule="auto"/>
        <w:ind w:right="720"/>
        <w:rPr/>
      </w:pPr>
      <w:r w:rsidDel="00000000" w:rsidR="00000000" w:rsidRPr="00000000">
        <w:rPr>
          <w:rtl w:val="0"/>
        </w:rPr>
      </w:r>
    </w:p>
    <w:p w:rsidR="00000000" w:rsidDel="00000000" w:rsidP="00000000" w:rsidRDefault="00000000" w:rsidRPr="00000000" w14:paraId="00000028">
      <w:pPr>
        <w:spacing w:line="480" w:lineRule="auto"/>
        <w:ind w:right="720"/>
        <w:rPr/>
      </w:pPr>
      <w:r w:rsidDel="00000000" w:rsidR="00000000" w:rsidRPr="00000000">
        <w:rPr>
          <w:rtl w:val="0"/>
        </w:rPr>
      </w:r>
    </w:p>
    <w:p w:rsidR="00000000" w:rsidDel="00000000" w:rsidP="00000000" w:rsidRDefault="00000000" w:rsidRPr="00000000" w14:paraId="00000029">
      <w:pPr>
        <w:spacing w:line="480" w:lineRule="auto"/>
        <w:ind w:right="720"/>
        <w:rPr/>
      </w:pPr>
      <w:r w:rsidDel="00000000" w:rsidR="00000000" w:rsidRPr="00000000">
        <w:rPr>
          <w:rtl w:val="0"/>
        </w:rPr>
      </w:r>
    </w:p>
    <w:p w:rsidR="00000000" w:rsidDel="00000000" w:rsidP="00000000" w:rsidRDefault="00000000" w:rsidRPr="00000000" w14:paraId="0000002A">
      <w:pPr>
        <w:spacing w:line="480" w:lineRule="auto"/>
        <w:ind w:right="720"/>
        <w:rPr/>
      </w:pPr>
      <w:r w:rsidDel="00000000" w:rsidR="00000000" w:rsidRPr="00000000">
        <w:rPr>
          <w:u w:val="single"/>
          <w:rtl w:val="0"/>
        </w:rPr>
        <w:t xml:space="preserve">Reference list:</w:t>
      </w:r>
      <w:r w:rsidDel="00000000" w:rsidR="00000000" w:rsidRPr="00000000">
        <w:rPr>
          <w:rtl w:val="0"/>
        </w:rPr>
      </w:r>
    </w:p>
    <w:p w:rsidR="00000000" w:rsidDel="00000000" w:rsidP="00000000" w:rsidRDefault="00000000" w:rsidRPr="00000000" w14:paraId="0000002B">
      <w:pPr>
        <w:spacing w:line="480" w:lineRule="auto"/>
        <w:ind w:right="720"/>
        <w:rPr>
          <w:i w:val="1"/>
        </w:rPr>
      </w:pPr>
      <w:r w:rsidDel="00000000" w:rsidR="00000000" w:rsidRPr="00000000">
        <w:rPr>
          <w:rtl w:val="0"/>
        </w:rPr>
        <w:t xml:space="preserve">Critchfield, B. (2011) </w:t>
      </w:r>
      <w:r w:rsidDel="00000000" w:rsidR="00000000" w:rsidRPr="00000000">
        <w:rPr>
          <w:i w:val="1"/>
          <w:rtl w:val="0"/>
        </w:rPr>
        <w:t xml:space="preserve">Stretching for Dancers. </w:t>
      </w:r>
      <w:r w:rsidDel="00000000" w:rsidR="00000000" w:rsidRPr="00000000">
        <w:rPr>
          <w:rtl w:val="0"/>
        </w:rPr>
        <w:t xml:space="preserve">Available at: </w:t>
      </w:r>
      <w:r w:rsidDel="00000000" w:rsidR="00000000" w:rsidRPr="00000000">
        <w:rPr>
          <w:rtl w:val="0"/>
        </w:rPr>
      </w:r>
    </w:p>
    <w:p w:rsidR="00000000" w:rsidDel="00000000" w:rsidP="00000000" w:rsidRDefault="00000000" w:rsidRPr="00000000" w14:paraId="0000002C">
      <w:pPr>
        <w:spacing w:line="480" w:lineRule="auto"/>
        <w:rPr/>
      </w:pPr>
      <w:hyperlink r:id="rId6">
        <w:r w:rsidDel="00000000" w:rsidR="00000000" w:rsidRPr="00000000">
          <w:rPr>
            <w:color w:val="1155cc"/>
            <w:u w:val="single"/>
            <w:rtl w:val="0"/>
          </w:rPr>
          <w:t xml:space="preserve">https://cdn.ymaws.com/www.iadms.org/resource/resmgr/resource_papers/stretching.pdf</w:t>
        </w:r>
      </w:hyperlink>
      <w:r w:rsidDel="00000000" w:rsidR="00000000" w:rsidRPr="00000000">
        <w:rPr>
          <w:rtl w:val="0"/>
        </w:rPr>
        <w:t xml:space="preserve"> (Accessed: 6th February 2019).</w:t>
      </w:r>
      <w:r w:rsidDel="00000000" w:rsidR="00000000" w:rsidRPr="00000000">
        <w:rPr>
          <w:rtl w:val="0"/>
        </w:rPr>
      </w:r>
    </w:p>
    <w:p w:rsidR="00000000" w:rsidDel="00000000" w:rsidP="00000000" w:rsidRDefault="00000000" w:rsidRPr="00000000" w14:paraId="0000002D">
      <w:pPr>
        <w:spacing w:line="480" w:lineRule="auto"/>
        <w:rPr/>
      </w:pPr>
      <w:r w:rsidDel="00000000" w:rsidR="00000000" w:rsidRPr="00000000">
        <w:rPr>
          <w:rtl w:val="0"/>
        </w:rPr>
      </w:r>
    </w:p>
    <w:p w:rsidR="00000000" w:rsidDel="00000000" w:rsidP="00000000" w:rsidRDefault="00000000" w:rsidRPr="00000000" w14:paraId="0000002E">
      <w:pPr>
        <w:spacing w:line="480" w:lineRule="auto"/>
        <w:rPr/>
      </w:pPr>
      <w:r w:rsidDel="00000000" w:rsidR="00000000" w:rsidRPr="00000000">
        <w:rPr>
          <w:rtl w:val="0"/>
        </w:rPr>
        <w:t xml:space="preserve">Solomon, R. Solomon, J. (2011)</w:t>
      </w:r>
      <w:r w:rsidDel="00000000" w:rsidR="00000000" w:rsidRPr="00000000">
        <w:rPr>
          <w:i w:val="1"/>
          <w:rtl w:val="0"/>
        </w:rPr>
        <w:t xml:space="preserve"> Functional anatomy in dance training: An efficient warm-up emphasizing the role of the Psoas.  </w:t>
      </w:r>
      <w:r w:rsidDel="00000000" w:rsidR="00000000" w:rsidRPr="00000000">
        <w:rPr>
          <w:rtl w:val="0"/>
        </w:rPr>
        <w:t xml:space="preserve">Available at: </w:t>
      </w:r>
      <w:hyperlink r:id="rId7">
        <w:r w:rsidDel="00000000" w:rsidR="00000000" w:rsidRPr="00000000">
          <w:rPr>
            <w:color w:val="1155cc"/>
            <w:u w:val="single"/>
            <w:rtl w:val="0"/>
          </w:rPr>
          <w:t xml:space="preserve">https://cdn.ymaws.com/www.iadms.org/resource/resmgr/Public/Bull_3-2_pp13-17_Solomon.pdf</w:t>
        </w:r>
      </w:hyperlink>
      <w:r w:rsidDel="00000000" w:rsidR="00000000" w:rsidRPr="00000000">
        <w:rPr>
          <w:rtl w:val="0"/>
        </w:rPr>
      </w:r>
    </w:p>
    <w:p w:rsidR="00000000" w:rsidDel="00000000" w:rsidP="00000000" w:rsidRDefault="00000000" w:rsidRPr="00000000" w14:paraId="0000002F">
      <w:pPr>
        <w:spacing w:line="480" w:lineRule="auto"/>
        <w:rPr/>
      </w:pPr>
      <w:r w:rsidDel="00000000" w:rsidR="00000000" w:rsidRPr="00000000">
        <w:rPr>
          <w:rtl w:val="0"/>
        </w:rPr>
        <w:t xml:space="preserve">(Accessed: 6th February 2019).</w:t>
      </w:r>
    </w:p>
    <w:p w:rsidR="00000000" w:rsidDel="00000000" w:rsidP="00000000" w:rsidRDefault="00000000" w:rsidRPr="00000000" w14:paraId="00000030">
      <w:pPr>
        <w:spacing w:line="480" w:lineRule="auto"/>
        <w:rPr/>
      </w:pPr>
      <w:r w:rsidDel="00000000" w:rsidR="00000000" w:rsidRPr="00000000">
        <w:rPr>
          <w:rtl w:val="0"/>
        </w:rPr>
      </w:r>
    </w:p>
    <w:p w:rsidR="00000000" w:rsidDel="00000000" w:rsidP="00000000" w:rsidRDefault="00000000" w:rsidRPr="00000000" w14:paraId="00000031">
      <w:pPr>
        <w:spacing w:line="480" w:lineRule="auto"/>
        <w:ind w:right="720"/>
        <w:rPr/>
      </w:pPr>
      <w:r w:rsidDel="00000000" w:rsidR="00000000" w:rsidRPr="00000000">
        <w:rPr>
          <w:rtl w:val="0"/>
        </w:rPr>
        <w:t xml:space="preserve">Hackney, M.E. BFA, Kantorovich, S. BS, Levin, R. DPT, and Earhart, G.M PT, PhD (2007) </w:t>
      </w:r>
      <w:r w:rsidDel="00000000" w:rsidR="00000000" w:rsidRPr="00000000">
        <w:rPr>
          <w:i w:val="1"/>
          <w:rtl w:val="0"/>
        </w:rPr>
        <w:t xml:space="preserve">Effects of Tango on Functional Mobility in Parkinson’s Disease: A Preliminary Study. </w:t>
      </w:r>
      <w:r w:rsidDel="00000000" w:rsidR="00000000" w:rsidRPr="00000000">
        <w:rPr>
          <w:rtl w:val="0"/>
        </w:rPr>
        <w:t xml:space="preserve">Available at: </w:t>
      </w:r>
      <w:hyperlink r:id="rId8">
        <w:r w:rsidDel="00000000" w:rsidR="00000000" w:rsidRPr="00000000">
          <w:rPr>
            <w:color w:val="1155cc"/>
            <w:u w:val="single"/>
            <w:rtl w:val="0"/>
          </w:rPr>
          <w:t xml:space="preserve">http://abrafin.org.br/wp-content/uploads/2015/01/Effects_of_Tango_on_Functional_Mobility_in.3.pdf</w:t>
        </w:r>
      </w:hyperlink>
      <w:r w:rsidDel="00000000" w:rsidR="00000000" w:rsidRPr="00000000">
        <w:rPr>
          <w:rtl w:val="0"/>
        </w:rPr>
        <w:t xml:space="preserve"> (Accessed: 6th February 2019).</w:t>
      </w:r>
      <w:r w:rsidDel="00000000" w:rsidR="00000000" w:rsidRPr="00000000">
        <w:rPr>
          <w:rtl w:val="0"/>
        </w:rPr>
      </w:r>
    </w:p>
    <w:p w:rsidR="00000000" w:rsidDel="00000000" w:rsidP="00000000" w:rsidRDefault="00000000" w:rsidRPr="00000000" w14:paraId="00000032">
      <w:pPr>
        <w:spacing w:line="480" w:lineRule="auto"/>
        <w:ind w:right="720"/>
        <w:rPr/>
      </w:pPr>
      <w:r w:rsidDel="00000000" w:rsidR="00000000" w:rsidRPr="00000000">
        <w:rPr>
          <w:rtl w:val="0"/>
        </w:rPr>
      </w:r>
    </w:p>
    <w:p w:rsidR="00000000" w:rsidDel="00000000" w:rsidP="00000000" w:rsidRDefault="00000000" w:rsidRPr="00000000" w14:paraId="00000033">
      <w:pPr>
        <w:spacing w:line="480" w:lineRule="auto"/>
        <w:ind w:right="720"/>
        <w:rPr/>
      </w:pPr>
      <w:r w:rsidDel="00000000" w:rsidR="00000000" w:rsidRPr="00000000">
        <w:rPr>
          <w:rtl w:val="0"/>
        </w:rPr>
        <w:t xml:space="preserve">Challis, J. RD and Stevens, A. EdD, with Wilson, M. PhD, (2016). </w:t>
      </w:r>
      <w:r w:rsidDel="00000000" w:rsidR="00000000" w:rsidRPr="00000000">
        <w:rPr>
          <w:i w:val="1"/>
          <w:rtl w:val="0"/>
        </w:rPr>
        <w:t xml:space="preserve">Nutrition Resource Paper. </w:t>
      </w:r>
      <w:r w:rsidDel="00000000" w:rsidR="00000000" w:rsidRPr="00000000">
        <w:rPr>
          <w:rtl w:val="0"/>
        </w:rPr>
        <w:t xml:space="preserve">Available at: </w:t>
      </w:r>
      <w:hyperlink r:id="rId9">
        <w:r w:rsidDel="00000000" w:rsidR="00000000" w:rsidRPr="00000000">
          <w:rPr>
            <w:color w:val="1155cc"/>
            <w:u w:val="single"/>
            <w:rtl w:val="0"/>
          </w:rPr>
          <w:t xml:space="preserve">https://cdn.ymaws.com/www.iadms.org/resource/resmgr/resource_papers/dance-nutrition-2016.pdf</w:t>
        </w:r>
      </w:hyperlink>
      <w:r w:rsidDel="00000000" w:rsidR="00000000" w:rsidRPr="00000000">
        <w:rPr>
          <w:rtl w:val="0"/>
        </w:rPr>
        <w:t xml:space="preserve"> (Accessed: 20th February 2019).</w:t>
      </w:r>
    </w:p>
    <w:p w:rsidR="00000000" w:rsidDel="00000000" w:rsidP="00000000" w:rsidRDefault="00000000" w:rsidRPr="00000000" w14:paraId="00000034">
      <w:pPr>
        <w:spacing w:line="480" w:lineRule="auto"/>
        <w:ind w:right="720"/>
        <w:rPr/>
      </w:pPr>
      <w:r w:rsidDel="00000000" w:rsidR="00000000" w:rsidRPr="00000000">
        <w:rPr>
          <w:rtl w:val="0"/>
        </w:rPr>
      </w:r>
    </w:p>
    <w:p w:rsidR="00000000" w:rsidDel="00000000" w:rsidP="00000000" w:rsidRDefault="00000000" w:rsidRPr="00000000" w14:paraId="00000035">
      <w:pPr>
        <w:spacing w:line="480" w:lineRule="auto"/>
        <w:ind w:right="720"/>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cdn.ymaws.com/www.iadms.org/resource/resmgr/resource_papers/dance-nutrition-2016.pdf" TargetMode="External"/><Relationship Id="rId5" Type="http://schemas.openxmlformats.org/officeDocument/2006/relationships/styles" Target="styles.xml"/><Relationship Id="rId6" Type="http://schemas.openxmlformats.org/officeDocument/2006/relationships/hyperlink" Target="https://cdn.ymaws.com/www.iadms.org/resource/resmgr/resource_papers/stretching.pdf" TargetMode="External"/><Relationship Id="rId7" Type="http://schemas.openxmlformats.org/officeDocument/2006/relationships/hyperlink" Target="https://cdn.ymaws.com/www.iadms.org/resource/resmgr/Public/Bull_3-2_pp13-17_Solomon.pdf" TargetMode="External"/><Relationship Id="rId8" Type="http://schemas.openxmlformats.org/officeDocument/2006/relationships/hyperlink" Target="http://abrafin.org.br/wp-content/uploads/2015/01/Effects_of_Tango_on_Functional_Mobility_in.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