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0B46D4" w14:textId="77777777" w:rsidR="00066EAA" w:rsidRPr="002450C9" w:rsidRDefault="00066EAA" w:rsidP="00066EAA">
      <w:pPr>
        <w:jc w:val="both"/>
        <w:rPr>
          <w:rFonts w:asciiTheme="minorHAnsi" w:hAnsiTheme="minorHAnsi" w:cstheme="minorHAnsi"/>
          <w:color w:val="212529"/>
          <w:sz w:val="22"/>
          <w:szCs w:val="22"/>
          <w:shd w:val="clear" w:color="auto" w:fill="FFFFFF"/>
        </w:rPr>
      </w:pPr>
      <w:r w:rsidRPr="002450C9">
        <w:rPr>
          <w:rFonts w:asciiTheme="minorHAnsi" w:hAnsiTheme="minorHAnsi" w:cstheme="minorHAnsi"/>
          <w:color w:val="212529"/>
          <w:sz w:val="22"/>
          <w:szCs w:val="22"/>
          <w:shd w:val="clear" w:color="auto" w:fill="FFFFFF"/>
        </w:rPr>
        <w:t xml:space="preserve">To address the issues raised by the scenario in the assignment, it is necessary to examine </w:t>
      </w:r>
      <w:proofErr w:type="gramStart"/>
      <w:r w:rsidRPr="002450C9">
        <w:rPr>
          <w:rFonts w:asciiTheme="minorHAnsi" w:hAnsiTheme="minorHAnsi" w:cstheme="minorHAnsi"/>
          <w:color w:val="212529"/>
          <w:sz w:val="22"/>
          <w:szCs w:val="22"/>
          <w:shd w:val="clear" w:color="auto" w:fill="FFFFFF"/>
        </w:rPr>
        <w:t>each individual's</w:t>
      </w:r>
      <w:proofErr w:type="gramEnd"/>
      <w:r w:rsidRPr="002450C9">
        <w:rPr>
          <w:rFonts w:asciiTheme="minorHAnsi" w:hAnsiTheme="minorHAnsi" w:cstheme="minorHAnsi"/>
          <w:color w:val="212529"/>
          <w:sz w:val="22"/>
          <w:szCs w:val="22"/>
          <w:shd w:val="clear" w:color="auto" w:fill="FFFFFF"/>
        </w:rPr>
        <w:t xml:space="preserve"> potential liability individually.</w:t>
      </w:r>
      <w:r w:rsidRPr="002450C9">
        <w:rPr>
          <w:rFonts w:asciiTheme="minorHAnsi" w:hAnsiTheme="minorHAnsi" w:cstheme="minorHAnsi"/>
          <w:sz w:val="22"/>
          <w:szCs w:val="22"/>
        </w:rPr>
        <w:t xml:space="preserve"> </w:t>
      </w:r>
      <w:r w:rsidRPr="002450C9">
        <w:rPr>
          <w:rFonts w:asciiTheme="minorHAnsi" w:hAnsiTheme="minorHAnsi" w:cstheme="minorHAnsi"/>
          <w:color w:val="212529"/>
          <w:sz w:val="22"/>
          <w:szCs w:val="22"/>
          <w:shd w:val="clear" w:color="auto" w:fill="FFFFFF"/>
        </w:rPr>
        <w:t xml:space="preserve"> The scenario raises three separate questions of whether Harriet has committed an offence under the Offence against the Person Act 1861, and if Harriet destroyed property under the Criminal Damaged Act 1971. Additionally, to establish if a crime of theft has committed by Paula under Theft Act 1968. To establish criminal culpability, two components must be established: actus reus (accused's conduct) and mens rea (accused's state of mind). </w:t>
      </w:r>
    </w:p>
    <w:p w14:paraId="71A90F40" w14:textId="77777777" w:rsidR="00066EAA" w:rsidRPr="002450C9" w:rsidRDefault="00066EAA" w:rsidP="00066EAA">
      <w:pPr>
        <w:jc w:val="both"/>
        <w:rPr>
          <w:rFonts w:asciiTheme="minorHAnsi" w:hAnsiTheme="minorHAnsi" w:cstheme="minorHAnsi"/>
          <w:color w:val="212529"/>
          <w:sz w:val="22"/>
          <w:szCs w:val="22"/>
          <w:shd w:val="clear" w:color="auto" w:fill="FFFFFF"/>
        </w:rPr>
      </w:pPr>
    </w:p>
    <w:p w14:paraId="7DBAFB17" w14:textId="77777777" w:rsidR="00066EAA" w:rsidRPr="002450C9" w:rsidRDefault="00066EAA" w:rsidP="00066EAA">
      <w:pPr>
        <w:jc w:val="both"/>
        <w:rPr>
          <w:rFonts w:asciiTheme="minorHAnsi" w:hAnsiTheme="minorHAnsi" w:cstheme="minorHAnsi"/>
          <w:b/>
          <w:bCs/>
          <w:color w:val="212529"/>
          <w:sz w:val="22"/>
          <w:szCs w:val="22"/>
          <w:shd w:val="clear" w:color="auto" w:fill="FFFFFF"/>
        </w:rPr>
      </w:pPr>
      <w:r w:rsidRPr="002450C9">
        <w:rPr>
          <w:rFonts w:asciiTheme="minorHAnsi" w:hAnsiTheme="minorHAnsi" w:cstheme="minorHAnsi"/>
          <w:b/>
          <w:bCs/>
          <w:color w:val="212529"/>
          <w:sz w:val="22"/>
          <w:szCs w:val="22"/>
          <w:shd w:val="clear" w:color="auto" w:fill="FFFFFF"/>
        </w:rPr>
        <w:t xml:space="preserve">Paula </w:t>
      </w:r>
    </w:p>
    <w:p w14:paraId="093F907A" w14:textId="77777777" w:rsidR="00066EAA" w:rsidRPr="002450C9" w:rsidRDefault="00066EAA" w:rsidP="00066EAA">
      <w:pPr>
        <w:jc w:val="both"/>
        <w:rPr>
          <w:rFonts w:asciiTheme="minorHAnsi" w:hAnsiTheme="minorHAnsi" w:cstheme="minorHAnsi"/>
          <w:color w:val="212529"/>
          <w:sz w:val="22"/>
          <w:szCs w:val="22"/>
          <w:shd w:val="clear" w:color="auto" w:fill="FFFFFF"/>
        </w:rPr>
      </w:pPr>
      <w:r w:rsidRPr="002450C9">
        <w:rPr>
          <w:rFonts w:asciiTheme="minorHAnsi" w:hAnsiTheme="minorHAnsi" w:cstheme="minorHAnsi"/>
          <w:color w:val="212529"/>
          <w:sz w:val="22"/>
          <w:szCs w:val="22"/>
          <w:shd w:val="clear" w:color="auto" w:fill="FFFFFF"/>
        </w:rPr>
        <w:t>The offence of theft falls under the s.1 of the Theft Act (1968) which states that someone is guilty of theft when he dishonestly appropriates property belonging to another with the intent of permanently taking it away from them.</w:t>
      </w:r>
      <w:r w:rsidRPr="002450C9">
        <w:rPr>
          <w:rFonts w:asciiTheme="minorHAnsi" w:hAnsiTheme="minorHAnsi" w:cstheme="minorHAnsi"/>
          <w:sz w:val="22"/>
          <w:szCs w:val="22"/>
        </w:rPr>
        <w:t xml:space="preserve"> </w:t>
      </w:r>
      <w:r w:rsidRPr="002450C9">
        <w:rPr>
          <w:rFonts w:asciiTheme="minorHAnsi" w:hAnsiTheme="minorHAnsi" w:cstheme="minorHAnsi"/>
          <w:color w:val="212529"/>
          <w:sz w:val="22"/>
          <w:szCs w:val="22"/>
          <w:shd w:val="clear" w:color="auto" w:fill="FFFFFF"/>
        </w:rPr>
        <w:t>Therefore, it is essential to determine if actus reus and mens rea of theft has occurred.</w:t>
      </w:r>
    </w:p>
    <w:p w14:paraId="66965A2E" w14:textId="77777777" w:rsidR="00066EAA" w:rsidRPr="002450C9" w:rsidRDefault="00066EAA" w:rsidP="00066EAA">
      <w:pPr>
        <w:jc w:val="both"/>
        <w:rPr>
          <w:rFonts w:asciiTheme="minorHAnsi" w:hAnsiTheme="minorHAnsi" w:cstheme="minorHAnsi"/>
          <w:color w:val="212529"/>
          <w:sz w:val="22"/>
          <w:szCs w:val="22"/>
          <w:shd w:val="clear" w:color="auto" w:fill="FFFFFF"/>
        </w:rPr>
      </w:pPr>
    </w:p>
    <w:p w14:paraId="310E89F4" w14:textId="77777777" w:rsidR="00066EAA" w:rsidRPr="002450C9" w:rsidRDefault="00066EAA" w:rsidP="00066EAA">
      <w:pPr>
        <w:jc w:val="both"/>
        <w:rPr>
          <w:rFonts w:asciiTheme="minorHAnsi" w:hAnsiTheme="minorHAnsi" w:cstheme="minorHAnsi"/>
          <w:sz w:val="22"/>
          <w:szCs w:val="22"/>
        </w:rPr>
      </w:pPr>
      <w:r w:rsidRPr="002450C9">
        <w:rPr>
          <w:rFonts w:asciiTheme="minorHAnsi" w:hAnsiTheme="minorHAnsi" w:cstheme="minorHAnsi"/>
          <w:color w:val="212529"/>
          <w:sz w:val="22"/>
          <w:szCs w:val="22"/>
          <w:shd w:val="clear" w:color="auto" w:fill="FFFFFF"/>
        </w:rPr>
        <w:t xml:space="preserve">The actus reus of theft is appropriation of property that belongs to another. </w:t>
      </w:r>
      <w:r w:rsidRPr="002450C9">
        <w:rPr>
          <w:rFonts w:asciiTheme="minorHAnsi" w:hAnsiTheme="minorHAnsi" w:cstheme="minorHAnsi"/>
          <w:sz w:val="22"/>
          <w:szCs w:val="22"/>
        </w:rPr>
        <w:t xml:space="preserve">Appropriation is defined by Lord Roskill in the case of R v Morris as an </w:t>
      </w:r>
      <w:r w:rsidRPr="002450C9">
        <w:rPr>
          <w:rFonts w:asciiTheme="minorHAnsi" w:hAnsiTheme="minorHAnsi" w:cstheme="minorHAnsi"/>
          <w:b/>
          <w:bCs/>
          <w:i/>
          <w:iCs/>
          <w:sz w:val="22"/>
          <w:szCs w:val="22"/>
        </w:rPr>
        <w:t>‘assumption of any of the rights of the owner’</w:t>
      </w:r>
      <w:r w:rsidRPr="002450C9">
        <w:rPr>
          <w:rFonts w:asciiTheme="minorHAnsi" w:hAnsiTheme="minorHAnsi" w:cstheme="minorHAnsi"/>
          <w:i/>
          <w:iCs/>
          <w:sz w:val="22"/>
          <w:szCs w:val="22"/>
        </w:rPr>
        <w:t xml:space="preserve">, </w:t>
      </w:r>
      <w:r w:rsidRPr="002450C9">
        <w:rPr>
          <w:rFonts w:asciiTheme="minorHAnsi" w:hAnsiTheme="minorHAnsi" w:cstheme="minorHAnsi"/>
          <w:sz w:val="22"/>
          <w:szCs w:val="22"/>
        </w:rPr>
        <w:t>which means for</w:t>
      </w:r>
      <w:r w:rsidRPr="002450C9">
        <w:rPr>
          <w:rFonts w:asciiTheme="minorHAnsi" w:hAnsiTheme="minorHAnsi" w:cstheme="minorHAnsi"/>
          <w:i/>
          <w:iCs/>
          <w:sz w:val="22"/>
          <w:szCs w:val="22"/>
        </w:rPr>
        <w:t xml:space="preserve"> </w:t>
      </w:r>
      <w:r w:rsidRPr="002450C9">
        <w:rPr>
          <w:rFonts w:asciiTheme="minorHAnsi" w:hAnsiTheme="minorHAnsi" w:cstheme="minorHAnsi"/>
          <w:sz w:val="22"/>
          <w:szCs w:val="22"/>
        </w:rPr>
        <w:t xml:space="preserve">an appropriation to take place, there is no requirement that all the rights if an owner is assumed, one right is sufficient. Therefore, in the given scenario Paula’s actions formed appropriation at the time when she picked up her friend Christine’s handbag. At first instance, when no one was looking Paula put the handbag inside her coat and took it outside. Thus, the mental element of using, enjoying, and abusing the property of another is present. Moreover, </w:t>
      </w:r>
      <w:r w:rsidRPr="002450C9">
        <w:rPr>
          <w:rFonts w:asciiTheme="minorHAnsi" w:hAnsiTheme="minorHAnsi" w:cstheme="minorHAnsi"/>
          <w:color w:val="000000"/>
          <w:sz w:val="22"/>
          <w:szCs w:val="22"/>
          <w:shd w:val="clear" w:color="auto" w:fill="FFFFFF"/>
        </w:rPr>
        <w:t>Paula clarified her intention even further by placing the handbag underneath her car when she heard someone was coming with the intention of putting it into her car once the party was over.</w:t>
      </w:r>
      <w:r w:rsidRPr="002450C9">
        <w:rPr>
          <w:rFonts w:asciiTheme="minorHAnsi" w:hAnsiTheme="minorHAnsi" w:cstheme="minorHAnsi"/>
          <w:sz w:val="22"/>
          <w:szCs w:val="22"/>
        </w:rPr>
        <w:t xml:space="preserve"> </w:t>
      </w:r>
    </w:p>
    <w:p w14:paraId="15CF170E" w14:textId="77777777" w:rsidR="00066EAA" w:rsidRPr="002450C9" w:rsidRDefault="00066EAA" w:rsidP="00066EAA">
      <w:pPr>
        <w:jc w:val="both"/>
        <w:rPr>
          <w:rFonts w:asciiTheme="minorHAnsi" w:hAnsiTheme="minorHAnsi" w:cstheme="minorHAnsi"/>
          <w:sz w:val="22"/>
          <w:szCs w:val="22"/>
        </w:rPr>
      </w:pPr>
    </w:p>
    <w:p w14:paraId="44B43D84" w14:textId="77777777" w:rsidR="00066EAA" w:rsidRPr="002450C9" w:rsidRDefault="00066EAA" w:rsidP="00066EAA">
      <w:pPr>
        <w:jc w:val="both"/>
        <w:rPr>
          <w:rFonts w:asciiTheme="minorHAnsi" w:hAnsiTheme="minorHAnsi" w:cstheme="minorHAnsi"/>
          <w:sz w:val="22"/>
          <w:szCs w:val="22"/>
        </w:rPr>
      </w:pPr>
      <w:r w:rsidRPr="002450C9">
        <w:rPr>
          <w:rFonts w:asciiTheme="minorHAnsi" w:hAnsiTheme="minorHAnsi" w:cstheme="minorHAnsi"/>
          <w:sz w:val="22"/>
          <w:szCs w:val="22"/>
        </w:rPr>
        <w:t xml:space="preserve">The mens rea of theft consists of dishonesty, and with the intention to permanently deprive. The first element is dishonesty which can be defined as when a defendant accompanies property, he acted dishonestly. However, dishonesty does not have a statutory definition. But, in s.2 (1) of Theft Act (1968) provides three instances of when a person cannot be considered dishonest. Furthermore, in situations which is not covered by S.2 of the Theft Act, where the defendant claims that he is not dishonest, the court would apply common law tests such as the Ghosh test and now the Ivey test applies. The Ghosh test was set out by Lord Lane in R v Ghosh [1982] EWCA Crim 2 which has two-part assessment for juries to consider. In addition, from the Ghosh test the court of appeals decided that subjective and objective criteria were required to determine dishonesty. However, after considering the case of Ivey v Genting Casinos in 2017, the Supreme Court rejected the two-stage test for dishonesty set out in R v Ghosh and replaced it with a single, objective test which transcends both criminal and civil law. </w:t>
      </w:r>
    </w:p>
    <w:p w14:paraId="51A8CB17" w14:textId="77777777" w:rsidR="00066EAA" w:rsidRPr="002450C9" w:rsidRDefault="00066EAA" w:rsidP="00066EAA">
      <w:pPr>
        <w:jc w:val="both"/>
        <w:rPr>
          <w:rFonts w:asciiTheme="minorHAnsi" w:hAnsiTheme="minorHAnsi" w:cstheme="minorHAnsi"/>
          <w:sz w:val="22"/>
          <w:szCs w:val="22"/>
        </w:rPr>
      </w:pPr>
    </w:p>
    <w:p w14:paraId="53841EE6" w14:textId="77777777" w:rsidR="00066EAA" w:rsidRPr="002450C9" w:rsidRDefault="00066EAA" w:rsidP="00066EAA">
      <w:pPr>
        <w:shd w:val="clear" w:color="auto" w:fill="FFFFFF"/>
        <w:spacing w:line="0" w:lineRule="auto"/>
        <w:rPr>
          <w:rFonts w:asciiTheme="minorHAnsi" w:hAnsiTheme="minorHAnsi" w:cstheme="minorHAnsi"/>
          <w:color w:val="000000"/>
          <w:sz w:val="22"/>
          <w:szCs w:val="22"/>
          <w:lang w:eastAsia="en-GB"/>
        </w:rPr>
      </w:pPr>
      <w:r w:rsidRPr="002450C9">
        <w:rPr>
          <w:rFonts w:asciiTheme="minorHAnsi" w:hAnsiTheme="minorHAnsi" w:cstheme="minorHAnsi"/>
          <w:color w:val="000000"/>
          <w:sz w:val="22"/>
          <w:szCs w:val="22"/>
          <w:lang w:eastAsia="en-GB"/>
        </w:rPr>
        <w:t xml:space="preserve">the jury must now decide whether, according to the </w:t>
      </w:r>
    </w:p>
    <w:p w14:paraId="0EA24CD4" w14:textId="77777777" w:rsidR="00066EAA" w:rsidRPr="002450C9" w:rsidRDefault="00066EAA" w:rsidP="00066EAA">
      <w:pPr>
        <w:shd w:val="clear" w:color="auto" w:fill="FFFFFF"/>
        <w:spacing w:line="0" w:lineRule="auto"/>
        <w:rPr>
          <w:rFonts w:asciiTheme="minorHAnsi" w:hAnsiTheme="minorHAnsi" w:cstheme="minorHAnsi"/>
          <w:color w:val="000000"/>
          <w:sz w:val="22"/>
          <w:szCs w:val="22"/>
          <w:lang w:eastAsia="en-GB"/>
        </w:rPr>
      </w:pPr>
      <w:r w:rsidRPr="002450C9">
        <w:rPr>
          <w:rFonts w:asciiTheme="minorHAnsi" w:hAnsiTheme="minorHAnsi" w:cstheme="minorHAnsi"/>
          <w:color w:val="000000"/>
          <w:sz w:val="22"/>
          <w:szCs w:val="22"/>
          <w:lang w:eastAsia="en-GB"/>
        </w:rPr>
        <w:t xml:space="preserve">ordinary standards of reasonable and honest people, what was done was dishonest </w:t>
      </w:r>
    </w:p>
    <w:p w14:paraId="036A0A61" w14:textId="77777777" w:rsidR="00066EAA" w:rsidRPr="002450C9" w:rsidRDefault="00066EAA" w:rsidP="00066EAA">
      <w:pPr>
        <w:shd w:val="clear" w:color="auto" w:fill="FFFFFF"/>
        <w:spacing w:line="0" w:lineRule="auto"/>
        <w:rPr>
          <w:rFonts w:asciiTheme="minorHAnsi" w:hAnsiTheme="minorHAnsi" w:cstheme="minorHAnsi"/>
          <w:color w:val="000000"/>
          <w:sz w:val="22"/>
          <w:szCs w:val="22"/>
          <w:lang w:eastAsia="en-GB"/>
        </w:rPr>
      </w:pPr>
      <w:r w:rsidRPr="002450C9">
        <w:rPr>
          <w:rFonts w:asciiTheme="minorHAnsi" w:hAnsiTheme="minorHAnsi" w:cstheme="minorHAnsi"/>
          <w:color w:val="000000"/>
          <w:sz w:val="22"/>
          <w:szCs w:val="22"/>
          <w:lang w:eastAsia="en-GB"/>
        </w:rPr>
        <w:t xml:space="preserve">- This </w:t>
      </w:r>
      <w:proofErr w:type="gramStart"/>
      <w:r w:rsidRPr="002450C9">
        <w:rPr>
          <w:rFonts w:asciiTheme="minorHAnsi" w:hAnsiTheme="minorHAnsi" w:cstheme="minorHAnsi"/>
          <w:color w:val="000000"/>
          <w:sz w:val="22"/>
          <w:szCs w:val="22"/>
          <w:lang w:eastAsia="en-GB"/>
        </w:rPr>
        <w:t>takes into account</w:t>
      </w:r>
      <w:proofErr w:type="gramEnd"/>
      <w:r w:rsidRPr="002450C9">
        <w:rPr>
          <w:rFonts w:asciiTheme="minorHAnsi" w:hAnsiTheme="minorHAnsi" w:cstheme="minorHAnsi"/>
          <w:color w:val="000000"/>
          <w:sz w:val="22"/>
          <w:szCs w:val="22"/>
          <w:lang w:eastAsia="en-GB"/>
        </w:rPr>
        <w:t xml:space="preserve"> the actual state of mind of the individual’s knowledge or </w:t>
      </w:r>
    </w:p>
    <w:p w14:paraId="161CE8E8" w14:textId="77777777" w:rsidR="00066EAA" w:rsidRPr="002450C9" w:rsidRDefault="00066EAA" w:rsidP="00066EAA">
      <w:pPr>
        <w:shd w:val="clear" w:color="auto" w:fill="FFFFFF"/>
        <w:spacing w:line="0" w:lineRule="auto"/>
        <w:rPr>
          <w:rFonts w:asciiTheme="minorHAnsi" w:hAnsiTheme="minorHAnsi" w:cstheme="minorHAnsi"/>
          <w:color w:val="000000"/>
          <w:sz w:val="22"/>
          <w:szCs w:val="22"/>
          <w:lang w:eastAsia="en-GB"/>
        </w:rPr>
      </w:pPr>
      <w:r w:rsidRPr="002450C9">
        <w:rPr>
          <w:rFonts w:asciiTheme="minorHAnsi" w:hAnsiTheme="minorHAnsi" w:cstheme="minorHAnsi"/>
          <w:color w:val="000000"/>
          <w:sz w:val="22"/>
          <w:szCs w:val="22"/>
          <w:lang w:eastAsia="en-GB"/>
        </w:rPr>
        <w:t>belief as to the facts</w:t>
      </w:r>
    </w:p>
    <w:p w14:paraId="6E1FD290" w14:textId="77777777" w:rsidR="00066EAA" w:rsidRPr="002450C9" w:rsidRDefault="00066EAA" w:rsidP="00066EAA">
      <w:pPr>
        <w:jc w:val="both"/>
        <w:rPr>
          <w:rFonts w:asciiTheme="minorHAnsi" w:hAnsiTheme="minorHAnsi" w:cstheme="minorHAnsi"/>
          <w:sz w:val="22"/>
          <w:szCs w:val="22"/>
        </w:rPr>
      </w:pPr>
      <w:r w:rsidRPr="002450C9">
        <w:rPr>
          <w:rFonts w:asciiTheme="minorHAnsi" w:hAnsiTheme="minorHAnsi" w:cstheme="minorHAnsi"/>
          <w:sz w:val="22"/>
          <w:szCs w:val="22"/>
        </w:rPr>
        <w:t xml:space="preserve">Moreover, the second element of mens rea is that the intention is to permanently deprive the other of their property which is defined under S.6 (1) Theft Act (1968) if a person treats a piece of property as their own, regardless of the rights of the owner, they are considered to have the necessary intention. For example, in the case of R v Vinall [2011] the appellant took a bicycle and was walking it home. On becoming bored, the appellant decided to leave the bike in a street. It was held that the appellant could still be convicted of theft as he had intended to permanently deprive at the time of taking it. The fact that appellant failed in permanently depriving is irrelevant. </w:t>
      </w:r>
    </w:p>
    <w:p w14:paraId="55DDC6B0" w14:textId="77777777" w:rsidR="00066EAA" w:rsidRPr="002450C9" w:rsidRDefault="00066EAA" w:rsidP="00066EAA">
      <w:pPr>
        <w:jc w:val="both"/>
        <w:rPr>
          <w:rFonts w:asciiTheme="minorHAnsi" w:hAnsiTheme="minorHAnsi" w:cstheme="minorHAnsi"/>
          <w:sz w:val="22"/>
          <w:szCs w:val="22"/>
        </w:rPr>
      </w:pPr>
    </w:p>
    <w:p w14:paraId="381C28D4" w14:textId="77777777" w:rsidR="00066EAA" w:rsidRPr="002450C9" w:rsidRDefault="00066EAA" w:rsidP="00066EAA">
      <w:pPr>
        <w:jc w:val="both"/>
        <w:rPr>
          <w:rFonts w:asciiTheme="minorHAnsi" w:hAnsiTheme="minorHAnsi" w:cstheme="minorHAnsi"/>
          <w:sz w:val="22"/>
          <w:szCs w:val="22"/>
        </w:rPr>
      </w:pPr>
      <w:r w:rsidRPr="002450C9">
        <w:rPr>
          <w:rFonts w:asciiTheme="minorHAnsi" w:hAnsiTheme="minorHAnsi" w:cstheme="minorHAnsi"/>
          <w:sz w:val="22"/>
          <w:szCs w:val="22"/>
        </w:rPr>
        <w:t xml:space="preserve">In the given scenario, Paula satisfies the mens rea of theft. Furthermore, Paula cannot rely on s.2 (1) as these examples do not fall within Paula’s case. Therefore, the court would look at the common law tests mentioned above to determine if Paula has been dishonest. Moreover, s6. (1) in relation to the given scenario clearly shows that upon leaving Paula picked up the designer handbag from underneath her car and placed it in the foot well and drove home. Therefore, Paula had the intention to permanent deprive. This significant concept in S.6 was observed in the case of R v Fernandes [1996]. </w:t>
      </w:r>
    </w:p>
    <w:p w14:paraId="2B570D28" w14:textId="77777777" w:rsidR="00066EAA" w:rsidRPr="002450C9" w:rsidRDefault="00066EAA" w:rsidP="00066EAA">
      <w:pPr>
        <w:shd w:val="clear" w:color="auto" w:fill="FFFFFF"/>
        <w:spacing w:line="0" w:lineRule="auto"/>
        <w:rPr>
          <w:rFonts w:asciiTheme="minorHAnsi" w:hAnsiTheme="minorHAnsi" w:cstheme="minorHAnsi"/>
          <w:color w:val="000000"/>
          <w:sz w:val="22"/>
          <w:szCs w:val="22"/>
          <w:lang w:eastAsia="en-GB"/>
        </w:rPr>
      </w:pPr>
      <w:r w:rsidRPr="002450C9">
        <w:rPr>
          <w:rFonts w:asciiTheme="minorHAnsi" w:hAnsiTheme="minorHAnsi" w:cstheme="minorHAnsi"/>
          <w:color w:val="000000"/>
          <w:sz w:val="22"/>
          <w:szCs w:val="22"/>
          <w:lang w:eastAsia="en-GB"/>
        </w:rPr>
        <w:t xml:space="preserve">acquiring used train tickets and reselling </w:t>
      </w:r>
    </w:p>
    <w:p w14:paraId="45A07D97" w14:textId="77777777" w:rsidR="00066EAA" w:rsidRPr="002450C9" w:rsidRDefault="00066EAA" w:rsidP="00066EAA">
      <w:pPr>
        <w:shd w:val="clear" w:color="auto" w:fill="FFFFFF"/>
        <w:spacing w:line="0" w:lineRule="auto"/>
        <w:rPr>
          <w:rFonts w:asciiTheme="minorHAnsi" w:hAnsiTheme="minorHAnsi" w:cstheme="minorHAnsi"/>
          <w:color w:val="000000"/>
          <w:sz w:val="22"/>
          <w:szCs w:val="22"/>
          <w:lang w:eastAsia="en-GB"/>
        </w:rPr>
      </w:pPr>
      <w:proofErr w:type="spellStart"/>
      <w:r w:rsidRPr="002450C9">
        <w:rPr>
          <w:rFonts w:asciiTheme="minorHAnsi" w:hAnsiTheme="minorHAnsi" w:cstheme="minorHAnsi"/>
          <w:color w:val="000000"/>
          <w:sz w:val="22"/>
          <w:szCs w:val="22"/>
          <w:lang w:eastAsia="en-GB"/>
        </w:rPr>
        <w:t>them</w:t>
      </w:r>
      <w:proofErr w:type="spellEnd"/>
      <w:r w:rsidRPr="002450C9">
        <w:rPr>
          <w:rFonts w:asciiTheme="minorHAnsi" w:hAnsiTheme="minorHAnsi" w:cstheme="minorHAnsi"/>
          <w:color w:val="000000"/>
          <w:sz w:val="22"/>
          <w:szCs w:val="22"/>
          <w:lang w:eastAsia="en-GB"/>
        </w:rPr>
        <w:t xml:space="preserve"> court said is intending to treat them as his own to dispose of regardless of the rights of</w:t>
      </w:r>
    </w:p>
    <w:p w14:paraId="38FEDD54" w14:textId="77777777" w:rsidR="00066EAA" w:rsidRPr="002450C9" w:rsidRDefault="00066EAA" w:rsidP="00066EAA">
      <w:pPr>
        <w:jc w:val="both"/>
        <w:rPr>
          <w:rFonts w:asciiTheme="minorHAnsi" w:hAnsiTheme="minorHAnsi" w:cstheme="minorHAnsi"/>
          <w:sz w:val="22"/>
          <w:szCs w:val="22"/>
        </w:rPr>
      </w:pPr>
    </w:p>
    <w:p w14:paraId="247DA055" w14:textId="77777777" w:rsidR="00066EAA" w:rsidRPr="002450C9" w:rsidRDefault="00066EAA" w:rsidP="00066EAA">
      <w:pPr>
        <w:jc w:val="both"/>
        <w:rPr>
          <w:rFonts w:asciiTheme="minorHAnsi" w:hAnsiTheme="minorHAnsi" w:cstheme="minorHAnsi"/>
          <w:color w:val="212529"/>
          <w:sz w:val="22"/>
          <w:szCs w:val="22"/>
          <w:shd w:val="clear" w:color="auto" w:fill="FFFFFF"/>
        </w:rPr>
      </w:pPr>
      <w:r w:rsidRPr="002450C9">
        <w:rPr>
          <w:rFonts w:asciiTheme="minorHAnsi" w:hAnsiTheme="minorHAnsi" w:cstheme="minorHAnsi"/>
          <w:color w:val="212529"/>
          <w:sz w:val="22"/>
          <w:szCs w:val="22"/>
          <w:shd w:val="clear" w:color="auto" w:fill="FFFFFF"/>
        </w:rPr>
        <w:lastRenderedPageBreak/>
        <w:t>In conclusion, since both the AR and MR of the offence are present, Paula will be held liable for theft since no defences mentioned above apply. Moreover, the offence of theft is complete as soon as the appropriation has taken place (insert ref - CPS).</w:t>
      </w:r>
    </w:p>
    <w:p w14:paraId="027C94EE" w14:textId="77777777" w:rsidR="00066EAA" w:rsidRPr="002450C9" w:rsidRDefault="00066EAA" w:rsidP="00066EAA">
      <w:pPr>
        <w:jc w:val="both"/>
        <w:rPr>
          <w:rFonts w:asciiTheme="minorHAnsi" w:hAnsiTheme="minorHAnsi" w:cstheme="minorHAnsi"/>
          <w:color w:val="212529"/>
          <w:sz w:val="22"/>
          <w:szCs w:val="22"/>
          <w:shd w:val="clear" w:color="auto" w:fill="FFFFFF"/>
        </w:rPr>
      </w:pPr>
    </w:p>
    <w:p w14:paraId="006A1CD9" w14:textId="77777777" w:rsidR="00066EAA" w:rsidRPr="002450C9" w:rsidRDefault="00066EAA" w:rsidP="00066EAA">
      <w:pPr>
        <w:jc w:val="both"/>
        <w:rPr>
          <w:rFonts w:asciiTheme="minorHAnsi" w:hAnsiTheme="minorHAnsi" w:cstheme="minorHAnsi"/>
          <w:b/>
          <w:bCs/>
          <w:color w:val="212529"/>
          <w:sz w:val="22"/>
          <w:szCs w:val="22"/>
          <w:shd w:val="clear" w:color="auto" w:fill="FFFFFF"/>
        </w:rPr>
      </w:pPr>
      <w:r w:rsidRPr="002450C9">
        <w:rPr>
          <w:rFonts w:asciiTheme="minorHAnsi" w:hAnsiTheme="minorHAnsi" w:cstheme="minorHAnsi"/>
          <w:b/>
          <w:bCs/>
          <w:color w:val="212529"/>
          <w:sz w:val="22"/>
          <w:szCs w:val="22"/>
          <w:shd w:val="clear" w:color="auto" w:fill="FFFFFF"/>
        </w:rPr>
        <w:t xml:space="preserve">Harriet </w:t>
      </w:r>
    </w:p>
    <w:p w14:paraId="01E14EA9" w14:textId="77777777" w:rsidR="00066EAA" w:rsidRPr="002450C9" w:rsidRDefault="00066EAA" w:rsidP="00066EAA">
      <w:pPr>
        <w:jc w:val="both"/>
        <w:rPr>
          <w:rFonts w:asciiTheme="minorHAnsi" w:hAnsiTheme="minorHAnsi" w:cstheme="minorHAnsi"/>
          <w:color w:val="212529"/>
          <w:sz w:val="22"/>
          <w:szCs w:val="22"/>
          <w:shd w:val="clear" w:color="auto" w:fill="FFFFFF"/>
        </w:rPr>
      </w:pPr>
      <w:r w:rsidRPr="002450C9">
        <w:rPr>
          <w:rFonts w:asciiTheme="minorHAnsi" w:hAnsiTheme="minorHAnsi" w:cstheme="minorHAnsi"/>
          <w:color w:val="212529"/>
          <w:sz w:val="22"/>
          <w:szCs w:val="22"/>
          <w:shd w:val="clear" w:color="auto" w:fill="FFFFFF"/>
        </w:rPr>
        <w:t xml:space="preserve">In this scenario, the Offences Against Persons Act (OAPA) comes into play. The offences to be include S.39 of the Criminal Justice Act which looks at common assault and battery which are seen to be ‘summary offences’, as well as the relevant sections of the OAPA which include S.47 dealing with actual bodily harm, S.20 grievous bodily harm and malicious wounding as well as S.18 GBH with intent to wound (insert ref). </w:t>
      </w:r>
    </w:p>
    <w:p w14:paraId="3B9358BE" w14:textId="77777777" w:rsidR="00066EAA" w:rsidRPr="002450C9" w:rsidRDefault="00066EAA" w:rsidP="00066EAA">
      <w:pPr>
        <w:jc w:val="both"/>
        <w:rPr>
          <w:rFonts w:asciiTheme="minorHAnsi" w:hAnsiTheme="minorHAnsi" w:cstheme="minorHAnsi"/>
          <w:color w:val="212529"/>
          <w:sz w:val="22"/>
          <w:szCs w:val="22"/>
          <w:shd w:val="clear" w:color="auto" w:fill="FFFFFF"/>
        </w:rPr>
      </w:pPr>
    </w:p>
    <w:p w14:paraId="1EC05650" w14:textId="77777777" w:rsidR="00066EAA" w:rsidRPr="002450C9" w:rsidRDefault="00066EAA" w:rsidP="00066EAA">
      <w:pPr>
        <w:jc w:val="both"/>
        <w:rPr>
          <w:rFonts w:asciiTheme="minorHAnsi" w:hAnsiTheme="minorHAnsi" w:cstheme="minorHAnsi"/>
          <w:color w:val="212529"/>
          <w:sz w:val="22"/>
          <w:szCs w:val="22"/>
          <w:shd w:val="clear" w:color="auto" w:fill="FFFFFF"/>
        </w:rPr>
      </w:pPr>
      <w:r w:rsidRPr="002450C9">
        <w:rPr>
          <w:rFonts w:asciiTheme="minorHAnsi" w:hAnsiTheme="minorHAnsi" w:cstheme="minorHAnsi"/>
          <w:color w:val="212529"/>
          <w:sz w:val="22"/>
          <w:szCs w:val="22"/>
          <w:shd w:val="clear" w:color="auto" w:fill="FFFFFF"/>
        </w:rPr>
        <w:t>According to section 18 a person commits GBH if they wound, cause, or attempt to cause some GBH.</w:t>
      </w:r>
      <w:r w:rsidRPr="002450C9">
        <w:rPr>
          <w:rFonts w:asciiTheme="minorHAnsi" w:hAnsiTheme="minorHAnsi" w:cstheme="minorHAnsi"/>
          <w:sz w:val="22"/>
          <w:szCs w:val="22"/>
        </w:rPr>
        <w:t xml:space="preserve"> Therefore, </w:t>
      </w:r>
      <w:r w:rsidRPr="002450C9">
        <w:rPr>
          <w:rFonts w:asciiTheme="minorHAnsi" w:hAnsiTheme="minorHAnsi" w:cstheme="minorHAnsi"/>
          <w:color w:val="212529"/>
          <w:sz w:val="22"/>
          <w:szCs w:val="22"/>
          <w:shd w:val="clear" w:color="auto" w:fill="FFFFFF"/>
        </w:rPr>
        <w:t>to satisfy s.18 a person must intend to commit GBH and is not on wounding.</w:t>
      </w:r>
      <w:r w:rsidRPr="002450C9">
        <w:rPr>
          <w:rFonts w:asciiTheme="minorHAnsi" w:hAnsiTheme="minorHAnsi" w:cstheme="minorHAnsi"/>
          <w:sz w:val="22"/>
          <w:szCs w:val="22"/>
        </w:rPr>
        <w:t xml:space="preserve"> </w:t>
      </w:r>
      <w:r w:rsidRPr="002450C9">
        <w:rPr>
          <w:rFonts w:asciiTheme="minorHAnsi" w:hAnsiTheme="minorHAnsi" w:cstheme="minorHAnsi"/>
          <w:color w:val="212529"/>
          <w:sz w:val="22"/>
          <w:szCs w:val="22"/>
          <w:shd w:val="clear" w:color="auto" w:fill="FFFFFF"/>
        </w:rPr>
        <w:t xml:space="preserve">GBH is a legal term meaning 'really serious bodily harm', but when it comes to judges, 'really seriously harm' can mean 'serious injury' as stated in the case of </w:t>
      </w:r>
      <w:r w:rsidRPr="002450C9">
        <w:rPr>
          <w:rStyle w:val="Emphasis"/>
          <w:rFonts w:asciiTheme="minorHAnsi" w:hAnsiTheme="minorHAnsi" w:cstheme="minorHAnsi"/>
          <w:color w:val="212529"/>
          <w:sz w:val="22"/>
          <w:szCs w:val="22"/>
          <w:shd w:val="clear" w:color="auto" w:fill="FFFFFF"/>
        </w:rPr>
        <w:t>DPP v Smith </w:t>
      </w:r>
      <w:r w:rsidRPr="002450C9">
        <w:rPr>
          <w:rFonts w:asciiTheme="minorHAnsi" w:hAnsiTheme="minorHAnsi" w:cstheme="minorHAnsi"/>
          <w:color w:val="212529"/>
          <w:sz w:val="22"/>
          <w:szCs w:val="22"/>
          <w:shd w:val="clear" w:color="auto" w:fill="FFFFFF"/>
        </w:rPr>
        <w:t xml:space="preserve">[1961]. Furthermore, wounding requires both layers, </w:t>
      </w:r>
      <w:proofErr w:type="gramStart"/>
      <w:r w:rsidRPr="002450C9">
        <w:rPr>
          <w:rFonts w:asciiTheme="minorHAnsi" w:hAnsiTheme="minorHAnsi" w:cstheme="minorHAnsi"/>
          <w:color w:val="212529"/>
          <w:sz w:val="22"/>
          <w:szCs w:val="22"/>
          <w:shd w:val="clear" w:color="auto" w:fill="FFFFFF"/>
        </w:rPr>
        <w:t>dermis</w:t>
      </w:r>
      <w:proofErr w:type="gramEnd"/>
      <w:r w:rsidRPr="002450C9">
        <w:rPr>
          <w:rFonts w:asciiTheme="minorHAnsi" w:hAnsiTheme="minorHAnsi" w:cstheme="minorHAnsi"/>
          <w:color w:val="212529"/>
          <w:sz w:val="22"/>
          <w:szCs w:val="22"/>
          <w:shd w:val="clear" w:color="auto" w:fill="FFFFFF"/>
        </w:rPr>
        <w:t xml:space="preserve"> and epidermis, of the skin to be broken and not only breaking of the out layer </w:t>
      </w:r>
      <w:proofErr w:type="spellStart"/>
      <w:r w:rsidRPr="002450C9">
        <w:rPr>
          <w:rFonts w:asciiTheme="minorHAnsi" w:hAnsiTheme="minorHAnsi" w:cstheme="minorHAnsi"/>
          <w:color w:val="212529"/>
          <w:sz w:val="22"/>
          <w:szCs w:val="22"/>
          <w:shd w:val="clear" w:color="auto" w:fill="FFFFFF"/>
        </w:rPr>
        <w:t>if</w:t>
      </w:r>
      <w:proofErr w:type="spellEnd"/>
      <w:r w:rsidRPr="002450C9">
        <w:rPr>
          <w:rFonts w:asciiTheme="minorHAnsi" w:hAnsiTheme="minorHAnsi" w:cstheme="minorHAnsi"/>
          <w:color w:val="212529"/>
          <w:sz w:val="22"/>
          <w:szCs w:val="22"/>
          <w:shd w:val="clear" w:color="auto" w:fill="FFFFFF"/>
        </w:rPr>
        <w:t xml:space="preserve"> skin (epidermis) is not sufficient. An example can be found in the case of R v Smith [1837].</w:t>
      </w:r>
    </w:p>
    <w:p w14:paraId="53BBFD39" w14:textId="77777777" w:rsidR="00066EAA" w:rsidRPr="002450C9" w:rsidRDefault="00066EAA" w:rsidP="00066EAA">
      <w:pPr>
        <w:jc w:val="both"/>
        <w:rPr>
          <w:rFonts w:asciiTheme="minorHAnsi" w:hAnsiTheme="minorHAnsi" w:cstheme="minorHAnsi"/>
          <w:color w:val="212529"/>
          <w:sz w:val="22"/>
          <w:szCs w:val="22"/>
          <w:shd w:val="clear" w:color="auto" w:fill="FFFFFF"/>
        </w:rPr>
      </w:pPr>
    </w:p>
    <w:p w14:paraId="6DEE5C74" w14:textId="77777777" w:rsidR="00066EAA" w:rsidRPr="002450C9" w:rsidRDefault="00066EAA" w:rsidP="00066EAA">
      <w:pPr>
        <w:jc w:val="both"/>
        <w:rPr>
          <w:rFonts w:asciiTheme="minorHAnsi" w:hAnsiTheme="minorHAnsi" w:cstheme="minorHAnsi"/>
          <w:color w:val="212529"/>
          <w:sz w:val="22"/>
          <w:szCs w:val="22"/>
          <w:shd w:val="clear" w:color="auto" w:fill="FFFFFF"/>
        </w:rPr>
      </w:pPr>
      <w:r w:rsidRPr="002450C9">
        <w:rPr>
          <w:rFonts w:asciiTheme="minorHAnsi" w:hAnsiTheme="minorHAnsi" w:cstheme="minorHAnsi"/>
          <w:color w:val="212529"/>
          <w:sz w:val="22"/>
          <w:szCs w:val="22"/>
          <w:shd w:val="clear" w:color="auto" w:fill="FFFFFF"/>
        </w:rPr>
        <w:t xml:space="preserve">In this case, if it can be proved Harriet had an intention, then she would satisfy the criteria for s.18 which looks at the same aspects as s.20, but with a heavier focus on the 'intent' part. The actus reus would be the ‘wounding or causing GBH.’ Moreover, the mens rea is a proof of a stronger reliance on ‘intention’ with regards to committing an offence of GBH. Therefore, the act of hitting Daniel in the face was caused by Harriet's drink being spiked with vodka, so there could not have been any 'intention' in her mind. In addition, the </w:t>
      </w:r>
      <w:proofErr w:type="spellStart"/>
      <w:r w:rsidRPr="002450C9">
        <w:rPr>
          <w:rFonts w:asciiTheme="minorHAnsi" w:hAnsiTheme="minorHAnsi" w:cstheme="minorHAnsi"/>
          <w:color w:val="212529"/>
          <w:sz w:val="22"/>
          <w:szCs w:val="22"/>
          <w:shd w:val="clear" w:color="auto" w:fill="FFFFFF"/>
        </w:rPr>
        <w:t>broke</w:t>
      </w:r>
      <w:proofErr w:type="spellEnd"/>
      <w:r w:rsidRPr="002450C9">
        <w:rPr>
          <w:rFonts w:asciiTheme="minorHAnsi" w:hAnsiTheme="minorHAnsi" w:cstheme="minorHAnsi"/>
          <w:color w:val="212529"/>
          <w:sz w:val="22"/>
          <w:szCs w:val="22"/>
          <w:shd w:val="clear" w:color="auto" w:fill="FFFFFF"/>
        </w:rPr>
        <w:t xml:space="preserve"> cheek bone does not indicate whether there was a breaking of the skin, or if there was blood. As a result, this may not satisfy the definition of a wound. </w:t>
      </w:r>
    </w:p>
    <w:p w14:paraId="6C5DCBCB" w14:textId="77777777" w:rsidR="00066EAA" w:rsidRPr="002450C9" w:rsidRDefault="00066EAA" w:rsidP="00066EAA">
      <w:pPr>
        <w:jc w:val="both"/>
        <w:rPr>
          <w:rFonts w:asciiTheme="minorHAnsi" w:hAnsiTheme="minorHAnsi" w:cstheme="minorHAnsi"/>
          <w:color w:val="212529"/>
          <w:sz w:val="22"/>
          <w:szCs w:val="22"/>
          <w:shd w:val="clear" w:color="auto" w:fill="FFFFFF"/>
        </w:rPr>
      </w:pPr>
    </w:p>
    <w:p w14:paraId="65601C1C" w14:textId="77777777" w:rsidR="00066EAA" w:rsidRPr="002450C9" w:rsidRDefault="00066EAA" w:rsidP="00066EAA">
      <w:pPr>
        <w:jc w:val="both"/>
        <w:rPr>
          <w:rFonts w:asciiTheme="minorHAnsi" w:hAnsiTheme="minorHAnsi" w:cstheme="minorHAnsi"/>
          <w:sz w:val="22"/>
          <w:szCs w:val="22"/>
        </w:rPr>
      </w:pPr>
      <w:r w:rsidRPr="002450C9">
        <w:rPr>
          <w:rFonts w:asciiTheme="minorHAnsi" w:hAnsiTheme="minorHAnsi" w:cstheme="minorHAnsi"/>
          <w:color w:val="212529"/>
          <w:sz w:val="22"/>
          <w:szCs w:val="22"/>
          <w:shd w:val="clear" w:color="auto" w:fill="FFFFFF"/>
        </w:rPr>
        <w:t xml:space="preserve">Moreover, under s.20 of the OAPA offender is guilty of grievous bodily harm if they maliciously wound or inflict it which is </w:t>
      </w:r>
      <w:proofErr w:type="gramStart"/>
      <w:r w:rsidRPr="002450C9">
        <w:rPr>
          <w:rFonts w:asciiTheme="minorHAnsi" w:hAnsiTheme="minorHAnsi" w:cstheme="minorHAnsi"/>
          <w:color w:val="212529"/>
          <w:sz w:val="22"/>
          <w:szCs w:val="22"/>
          <w:shd w:val="clear" w:color="auto" w:fill="FFFFFF"/>
        </w:rPr>
        <w:t>similar to</w:t>
      </w:r>
      <w:proofErr w:type="gramEnd"/>
      <w:r w:rsidRPr="002450C9">
        <w:rPr>
          <w:rFonts w:asciiTheme="minorHAnsi" w:hAnsiTheme="minorHAnsi" w:cstheme="minorHAnsi"/>
          <w:color w:val="212529"/>
          <w:sz w:val="22"/>
          <w:szCs w:val="22"/>
          <w:shd w:val="clear" w:color="auto" w:fill="FFFFFF"/>
        </w:rPr>
        <w:t xml:space="preserve"> s.18 but intention to cause GBH is not required.  Therefore, the actus reus of s.20 is the ‘wounding or infliction of GBH’ the mens rea element being ‘malicious’ as to carrying out the act.</w:t>
      </w:r>
      <w:r w:rsidRPr="002450C9">
        <w:rPr>
          <w:rFonts w:asciiTheme="minorHAnsi" w:hAnsiTheme="minorHAnsi" w:cstheme="minorHAnsi"/>
          <w:sz w:val="22"/>
          <w:szCs w:val="22"/>
        </w:rPr>
        <w:t xml:space="preserve"> </w:t>
      </w:r>
      <w:r w:rsidRPr="002450C9">
        <w:rPr>
          <w:rFonts w:asciiTheme="minorHAnsi" w:hAnsiTheme="minorHAnsi" w:cstheme="minorHAnsi"/>
          <w:color w:val="212529"/>
          <w:sz w:val="22"/>
          <w:szCs w:val="22"/>
          <w:shd w:val="clear" w:color="auto" w:fill="FFFFFF"/>
        </w:rPr>
        <w:t>However, the intention here is to mean ‘maliciously’ there must be a ‘foresight of the risk of some haram’. Furthermore, in the case of R v Cunningham [1982] recklessness defines maliciousness.</w:t>
      </w:r>
      <w:r w:rsidRPr="002450C9">
        <w:rPr>
          <w:rFonts w:asciiTheme="minorHAnsi" w:hAnsiTheme="minorHAnsi" w:cstheme="minorHAnsi"/>
          <w:sz w:val="22"/>
          <w:szCs w:val="22"/>
        </w:rPr>
        <w:t xml:space="preserve"> In addition, </w:t>
      </w:r>
      <w:r w:rsidRPr="002450C9">
        <w:rPr>
          <w:rFonts w:asciiTheme="minorHAnsi" w:hAnsiTheme="minorHAnsi" w:cstheme="minorHAnsi"/>
          <w:color w:val="212529"/>
          <w:sz w:val="22"/>
          <w:szCs w:val="22"/>
          <w:shd w:val="clear" w:color="auto" w:fill="FFFFFF"/>
        </w:rPr>
        <w:t xml:space="preserve">the case of R v Mowatt looked at the issue that ‘only some physical harm needs to be foreseen by the defendant’. Therefore, it can be argued that Harriet was unaware that her action would cause some harm as she was hallucinating at the time. </w:t>
      </w:r>
    </w:p>
    <w:p w14:paraId="332357A2" w14:textId="77777777" w:rsidR="00066EAA" w:rsidRPr="002450C9" w:rsidRDefault="00066EAA" w:rsidP="00066EAA">
      <w:pPr>
        <w:jc w:val="both"/>
        <w:rPr>
          <w:rFonts w:asciiTheme="minorHAnsi" w:hAnsiTheme="minorHAnsi" w:cstheme="minorHAnsi"/>
          <w:color w:val="212529"/>
          <w:sz w:val="22"/>
          <w:szCs w:val="22"/>
          <w:shd w:val="clear" w:color="auto" w:fill="FFFFFF"/>
        </w:rPr>
      </w:pPr>
    </w:p>
    <w:p w14:paraId="6DE5A62F" w14:textId="77777777" w:rsidR="00066EAA" w:rsidRPr="002450C9" w:rsidRDefault="00066EAA" w:rsidP="00066EAA">
      <w:pPr>
        <w:jc w:val="both"/>
        <w:rPr>
          <w:rFonts w:asciiTheme="minorHAnsi" w:hAnsiTheme="minorHAnsi" w:cstheme="minorHAnsi"/>
          <w:color w:val="212529"/>
          <w:sz w:val="22"/>
          <w:szCs w:val="22"/>
          <w:shd w:val="clear" w:color="auto" w:fill="FFFFFF"/>
        </w:rPr>
      </w:pPr>
      <w:r w:rsidRPr="002450C9">
        <w:rPr>
          <w:rFonts w:asciiTheme="minorHAnsi" w:hAnsiTheme="minorHAnsi" w:cstheme="minorHAnsi"/>
          <w:color w:val="212529"/>
          <w:sz w:val="22"/>
          <w:szCs w:val="22"/>
          <w:shd w:val="clear" w:color="auto" w:fill="FFFFFF"/>
        </w:rPr>
        <w:t>In addition, s.47 of the OAPA refers to ‘an assault occasioning actual bodily harm (ABH)’. The actus reus requires either an ‘assault or battery’. Also, the mens rea seem to be the same requirement that of assault and battery. Moreover,</w:t>
      </w:r>
      <w:r w:rsidRPr="002450C9">
        <w:rPr>
          <w:rFonts w:asciiTheme="minorHAnsi" w:hAnsiTheme="minorHAnsi" w:cstheme="minorHAnsi"/>
          <w:sz w:val="22"/>
          <w:szCs w:val="22"/>
        </w:rPr>
        <w:t xml:space="preserve"> </w:t>
      </w:r>
      <w:r w:rsidRPr="002450C9">
        <w:rPr>
          <w:rFonts w:asciiTheme="minorHAnsi" w:hAnsiTheme="minorHAnsi" w:cstheme="minorHAnsi"/>
          <w:color w:val="212529"/>
          <w:sz w:val="22"/>
          <w:szCs w:val="22"/>
          <w:shd w:val="clear" w:color="auto" w:fill="FFFFFF"/>
        </w:rPr>
        <w:t>assault is any act by which a person intentionally or recklessly causes another to apprehend immediate and unlawful personal violence; battery being any act by which a person, intentionally or recklessly inflicts unlawful personal violence upon another. The case of Faulkner v Talbot illustrates that a battery can be the slightest touch which ‘need not be hostile’ therefore, Hariet actions causing Daniel the broken cheek bone would be classified as battery so it can be considered that a conviction is more likely under s47.</w:t>
      </w:r>
    </w:p>
    <w:p w14:paraId="1E254C17" w14:textId="77777777" w:rsidR="00066EAA" w:rsidRPr="002450C9" w:rsidRDefault="00066EAA" w:rsidP="00066EAA">
      <w:pPr>
        <w:jc w:val="both"/>
        <w:rPr>
          <w:rFonts w:asciiTheme="minorHAnsi" w:hAnsiTheme="minorHAnsi" w:cstheme="minorHAnsi"/>
          <w:color w:val="212529"/>
          <w:sz w:val="22"/>
          <w:szCs w:val="22"/>
          <w:shd w:val="clear" w:color="auto" w:fill="FFFFFF"/>
        </w:rPr>
      </w:pPr>
    </w:p>
    <w:p w14:paraId="17E4E14E" w14:textId="77777777" w:rsidR="00066EAA" w:rsidRPr="002450C9" w:rsidRDefault="00066EAA" w:rsidP="00066EAA">
      <w:pPr>
        <w:jc w:val="both"/>
        <w:rPr>
          <w:rFonts w:asciiTheme="minorHAnsi" w:hAnsiTheme="minorHAnsi" w:cstheme="minorHAnsi"/>
          <w:color w:val="212529"/>
          <w:sz w:val="22"/>
          <w:szCs w:val="22"/>
          <w:lang w:eastAsia="en-GB"/>
        </w:rPr>
      </w:pPr>
      <w:r w:rsidRPr="002450C9">
        <w:rPr>
          <w:rFonts w:asciiTheme="minorHAnsi" w:hAnsiTheme="minorHAnsi" w:cstheme="minorHAnsi"/>
          <w:color w:val="212529"/>
          <w:sz w:val="22"/>
          <w:szCs w:val="22"/>
          <w:shd w:val="clear" w:color="auto" w:fill="FFFFFF"/>
        </w:rPr>
        <w:t xml:space="preserve">A final area to investigate is whether Harriet committed an offence under the Criminal Damaged Act 1971. According to </w:t>
      </w:r>
      <w:r w:rsidRPr="002450C9">
        <w:rPr>
          <w:rFonts w:asciiTheme="minorHAnsi" w:hAnsiTheme="minorHAnsi" w:cstheme="minorHAnsi"/>
          <w:color w:val="212529"/>
          <w:sz w:val="22"/>
          <w:szCs w:val="22"/>
          <w:lang w:eastAsia="en-GB"/>
        </w:rPr>
        <w:t xml:space="preserve">section 1(1) of the Criminal Damage Act 1971 a person is liable if they destroy or damage property without lawful excuse with intent or by being reckless. The actus reus of this offence is the destruction or damage to property that does not belong to the defendant without lawful excuse. In addition, the mens rea of criminal damage is intention or recklessness as to the property damage. Therefore, in this scenario Harriet satisfies both the actus reus and mens rea as she smashed the large panes of glass in the bi-fold doors of Christine’s kitchen. </w:t>
      </w:r>
    </w:p>
    <w:p w14:paraId="42A423BC" w14:textId="77777777" w:rsidR="00066EAA" w:rsidRPr="002450C9" w:rsidRDefault="00066EAA" w:rsidP="00066EAA">
      <w:pPr>
        <w:jc w:val="both"/>
        <w:rPr>
          <w:rFonts w:asciiTheme="minorHAnsi" w:hAnsiTheme="minorHAnsi" w:cstheme="minorHAnsi"/>
          <w:b/>
          <w:bCs/>
          <w:color w:val="212529"/>
          <w:sz w:val="22"/>
          <w:szCs w:val="22"/>
          <w:shd w:val="clear" w:color="auto" w:fill="FFFFFF"/>
        </w:rPr>
      </w:pPr>
    </w:p>
    <w:p w14:paraId="2DFBB831" w14:textId="77777777" w:rsidR="00066EAA" w:rsidRPr="002450C9" w:rsidRDefault="00066EAA" w:rsidP="00066EAA">
      <w:pPr>
        <w:jc w:val="both"/>
        <w:rPr>
          <w:rFonts w:asciiTheme="minorHAnsi" w:hAnsiTheme="minorHAnsi" w:cstheme="minorHAnsi"/>
          <w:b/>
          <w:bCs/>
          <w:color w:val="212529"/>
          <w:sz w:val="22"/>
          <w:szCs w:val="22"/>
          <w:shd w:val="clear" w:color="auto" w:fill="FFFFFF"/>
        </w:rPr>
      </w:pPr>
      <w:r w:rsidRPr="002450C9">
        <w:rPr>
          <w:rFonts w:asciiTheme="minorHAnsi" w:hAnsiTheme="minorHAnsi" w:cstheme="minorHAnsi"/>
          <w:b/>
          <w:bCs/>
          <w:color w:val="212529"/>
          <w:sz w:val="22"/>
          <w:szCs w:val="22"/>
          <w:shd w:val="clear" w:color="auto" w:fill="FFFFFF"/>
        </w:rPr>
        <w:t xml:space="preserve">Defences </w:t>
      </w:r>
    </w:p>
    <w:p w14:paraId="2CD601EC" w14:textId="77777777" w:rsidR="00066EAA" w:rsidRPr="002450C9" w:rsidRDefault="00066EAA" w:rsidP="00066EAA">
      <w:pPr>
        <w:jc w:val="both"/>
        <w:rPr>
          <w:rFonts w:asciiTheme="minorHAnsi" w:hAnsiTheme="minorHAnsi" w:cstheme="minorHAnsi"/>
          <w:color w:val="212529"/>
          <w:sz w:val="22"/>
          <w:szCs w:val="22"/>
          <w:shd w:val="clear" w:color="auto" w:fill="FFFFFF"/>
        </w:rPr>
      </w:pPr>
      <w:r w:rsidRPr="002450C9">
        <w:rPr>
          <w:rFonts w:asciiTheme="minorHAnsi" w:hAnsiTheme="minorHAnsi" w:cstheme="minorHAnsi"/>
          <w:color w:val="212529"/>
          <w:sz w:val="22"/>
          <w:szCs w:val="22"/>
          <w:shd w:val="clear" w:color="auto" w:fill="FFFFFF"/>
        </w:rPr>
        <w:t xml:space="preserve">Given that Leon spiked Harriet’s drink with vodka when she popped to the toilet. There is a possibility that Harriet can rely on intoxication to negate her mens rea. Also, Hariet’s intoxication can be treated as involuntary and caused her to hallucinate. Moreover, the defence of involuntary intoxication can be seen in the case of Kingston [1994]. Furthermore, Harriet could potentially argue the s5(20)(b) lawful excuse defence as well because under s.5(2) a defendant is not guilty of criminal damage he destroyed/damaged property in the honest belief that it was in immediate need of protection. </w:t>
      </w:r>
    </w:p>
    <w:p w14:paraId="29149792" w14:textId="77777777" w:rsidR="00066EAA" w:rsidRPr="002450C9" w:rsidRDefault="00066EAA" w:rsidP="00066EAA">
      <w:pPr>
        <w:jc w:val="both"/>
        <w:rPr>
          <w:rFonts w:asciiTheme="minorHAnsi" w:hAnsiTheme="minorHAnsi" w:cstheme="minorHAnsi"/>
          <w:color w:val="212529"/>
          <w:sz w:val="22"/>
          <w:szCs w:val="22"/>
          <w:shd w:val="clear" w:color="auto" w:fill="FFFFFF"/>
        </w:rPr>
      </w:pPr>
    </w:p>
    <w:p w14:paraId="160797E7" w14:textId="77777777" w:rsidR="00066EAA" w:rsidRPr="002A4979" w:rsidRDefault="00066EAA" w:rsidP="00066EAA">
      <w:pPr>
        <w:jc w:val="both"/>
        <w:rPr>
          <w:rFonts w:asciiTheme="minorHAnsi" w:hAnsiTheme="minorHAnsi" w:cstheme="minorHAnsi"/>
          <w:color w:val="212529"/>
          <w:sz w:val="22"/>
          <w:szCs w:val="22"/>
          <w:shd w:val="clear" w:color="auto" w:fill="FFFFFF"/>
        </w:rPr>
      </w:pPr>
      <w:r w:rsidRPr="002450C9">
        <w:rPr>
          <w:rFonts w:asciiTheme="minorHAnsi" w:hAnsiTheme="minorHAnsi" w:cstheme="minorHAnsi"/>
          <w:color w:val="212529"/>
          <w:sz w:val="22"/>
          <w:szCs w:val="22"/>
          <w:shd w:val="clear" w:color="auto" w:fill="FFFFFF"/>
        </w:rPr>
        <w:t>Overall, Harriet can be held liable for assault under s47 for causing Daniel injury, although s20 could be satisfied, depending on if Daniel’s injury could be seen as a wound.</w:t>
      </w:r>
      <w:r w:rsidRPr="002A4979">
        <w:rPr>
          <w:rFonts w:asciiTheme="minorHAnsi" w:hAnsiTheme="minorHAnsi" w:cstheme="minorHAnsi"/>
          <w:color w:val="212529"/>
          <w:sz w:val="22"/>
          <w:szCs w:val="22"/>
          <w:shd w:val="clear" w:color="auto" w:fill="FFFFFF"/>
        </w:rPr>
        <w:t xml:space="preserve"> </w:t>
      </w:r>
    </w:p>
    <w:p w14:paraId="367BC307" w14:textId="77777777" w:rsidR="00C64B9C" w:rsidRDefault="00C64B9C"/>
    <w:sectPr w:rsidR="00C64B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EAA"/>
    <w:rsid w:val="00066EAA"/>
    <w:rsid w:val="002450C9"/>
    <w:rsid w:val="00C64B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8C8CC"/>
  <w15:chartTrackingRefBased/>
  <w15:docId w15:val="{A7959430-B902-462C-A940-F927D3FFC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6EAA"/>
    <w:pPr>
      <w:spacing w:after="0" w:line="240" w:lineRule="auto"/>
    </w:pPr>
    <w:rPr>
      <w:rFonts w:ascii="Times New Roman" w:eastAsia="Times New Roman" w:hAnsi="Times New Roman" w:cs="Times New Roman"/>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66EA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Normal</Template>
  <TotalTime>1</TotalTime>
  <Pages>3</Pages>
  <Words>1426</Words>
  <Characters>8130</Characters>
  <Application>Microsoft Office Word</Application>
  <DocSecurity>0</DocSecurity>
  <Lines>67</Lines>
  <Paragraphs>19</Paragraphs>
  <ScaleCrop>false</ScaleCrop>
  <Company/>
  <LinksUpToDate>false</LinksUpToDate>
  <CharactersWithSpaces>9537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Mukta Khan</dc:creator>
  <cp:keywords/>
  <dc:description/>
  <cp:lastModifiedBy>Mukta Khan</cp:lastModifiedBy>
  <cp:revision>2</cp:revision>
  <dcterms:created xsi:type="dcterms:W3CDTF">2021-12-29T01:31:00Z</dcterms:created>
  <dcterms:modified xsi:type="dcterms:W3CDTF">2021-12-29T01:32:00Z</dcterms:modified>
</cp:coreProperties>
</file>