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jc w:val="both"/>
        <w:rPr>
          <w:b w:val="1"/>
        </w:rPr>
      </w:pPr>
      <w:r w:rsidDel="00000000" w:rsidR="00000000" w:rsidRPr="00000000">
        <w:rPr>
          <w:b w:val="1"/>
          <w:rtl w:val="0"/>
        </w:rPr>
        <w:t xml:space="preserve">What is ‘contingency awareness’, how does it develop and what factors inhibit its development in learners with profound and multiple learning difficulties? What can schools do to maximise the potential for learners with PMLD to develop contingency awareness?</w:t>
      </w:r>
    </w:p>
    <w:p w:rsidR="00000000" w:rsidDel="00000000" w:rsidP="00000000" w:rsidRDefault="00000000" w:rsidRPr="00000000" w14:paraId="00000001">
      <w:pPr>
        <w:spacing w:line="360" w:lineRule="auto"/>
        <w:contextualSpacing w:val="0"/>
        <w:jc w:val="both"/>
        <w:rPr/>
      </w:pPr>
      <w:r w:rsidDel="00000000" w:rsidR="00000000" w:rsidRPr="00000000">
        <w:rPr>
          <w:rtl w:val="0"/>
        </w:rPr>
      </w:r>
    </w:p>
    <w:p w:rsidR="00000000" w:rsidDel="00000000" w:rsidP="00000000" w:rsidRDefault="00000000" w:rsidRPr="00000000" w14:paraId="00000002">
      <w:pPr>
        <w:spacing w:line="360" w:lineRule="auto"/>
        <w:contextualSpacing w:val="0"/>
        <w:jc w:val="both"/>
        <w:rPr/>
      </w:pPr>
      <w:r w:rsidDel="00000000" w:rsidR="00000000" w:rsidRPr="00000000">
        <w:rPr>
          <w:rtl w:val="0"/>
        </w:rPr>
        <w:t xml:space="preserve">Contingency awareness, often referred to as ‘cause and effect’ (Talksense, 2015), is the understanding that one deliberate action will cause one particular response (Welsh Assembly Government, 2006). Awareness that a certain action will lead to a response, however not establishing the 1:1 association, is contingency responding (Welsh Assembly Government, 2006). </w:t>
      </w:r>
    </w:p>
    <w:p w:rsidR="00000000" w:rsidDel="00000000" w:rsidP="00000000" w:rsidRDefault="00000000" w:rsidRPr="00000000" w14:paraId="00000003">
      <w:pPr>
        <w:spacing w:line="360" w:lineRule="auto"/>
        <w:contextualSpacing w:val="0"/>
        <w:jc w:val="both"/>
        <w:rPr/>
      </w:pPr>
      <w:r w:rsidDel="00000000" w:rsidR="00000000" w:rsidRPr="00000000">
        <w:rPr>
          <w:rtl w:val="0"/>
        </w:rPr>
      </w:r>
    </w:p>
    <w:p w:rsidR="00000000" w:rsidDel="00000000" w:rsidP="00000000" w:rsidRDefault="00000000" w:rsidRPr="00000000" w14:paraId="00000004">
      <w:pPr>
        <w:spacing w:line="360" w:lineRule="auto"/>
        <w:contextualSpacing w:val="0"/>
        <w:jc w:val="both"/>
        <w:rPr/>
      </w:pPr>
      <w:r w:rsidDel="00000000" w:rsidR="00000000" w:rsidRPr="00000000">
        <w:rPr>
          <w:rtl w:val="0"/>
        </w:rPr>
        <w:t xml:space="preserve">Contingency awareness is thought to develop within the first year of an infant’s life, but research by Dunst et al (2017) suggest it could be within the first 2 -4 months.  The ability to understand the relationship between behaviour and a response is a crucial milestone for learning and cognition (Seigler et al, 2006).  It is thought to be a fundamental basis for early cognitive development, playing a key role in the development of intentional communication and choice making (Hogg, 2009; Ware and Thorpe, 2007), exploratory play, and object permanence (Ware and Thorpe, 2007). Brinker and Lewis (1982, cited in Hogg, 2009) suggested that the development of contingency awareness has a positive effect on the emotional and motivational state of both the child and the caregiver. The development of contingency awareness enables the child to control and predict their environment (Seigler et al, 2006), a factor which is of vital importance when learning about themselves and the world around them. </w:t>
      </w:r>
    </w:p>
    <w:p w:rsidR="00000000" w:rsidDel="00000000" w:rsidP="00000000" w:rsidRDefault="00000000" w:rsidRPr="00000000" w14:paraId="00000005">
      <w:pPr>
        <w:spacing w:line="360" w:lineRule="auto"/>
        <w:contextualSpacing w:val="0"/>
        <w:jc w:val="both"/>
        <w:rPr/>
      </w:pPr>
      <w:r w:rsidDel="00000000" w:rsidR="00000000" w:rsidRPr="00000000">
        <w:rPr>
          <w:rtl w:val="0"/>
        </w:rPr>
      </w:r>
    </w:p>
    <w:p w:rsidR="00000000" w:rsidDel="00000000" w:rsidP="00000000" w:rsidRDefault="00000000" w:rsidRPr="00000000" w14:paraId="00000006">
      <w:pPr>
        <w:spacing w:line="360" w:lineRule="auto"/>
        <w:contextualSpacing w:val="0"/>
        <w:jc w:val="both"/>
        <w:rPr/>
      </w:pPr>
      <w:r w:rsidDel="00000000" w:rsidR="00000000" w:rsidRPr="00000000">
        <w:rPr>
          <w:rtl w:val="0"/>
        </w:rPr>
        <w:t xml:space="preserve">Routes for Learning guidance states:</w:t>
      </w:r>
    </w:p>
    <w:p w:rsidR="00000000" w:rsidDel="00000000" w:rsidP="00000000" w:rsidRDefault="00000000" w:rsidRPr="00000000" w14:paraId="00000007">
      <w:pPr>
        <w:spacing w:line="360" w:lineRule="auto"/>
        <w:contextualSpacing w:val="0"/>
        <w:jc w:val="both"/>
        <w:rPr/>
      </w:pPr>
      <w:r w:rsidDel="00000000" w:rsidR="00000000" w:rsidRPr="00000000">
        <w:rPr>
          <w:rtl w:val="0"/>
        </w:rPr>
      </w:r>
    </w:p>
    <w:p w:rsidR="00000000" w:rsidDel="00000000" w:rsidP="00000000" w:rsidRDefault="00000000" w:rsidRPr="00000000" w14:paraId="00000008">
      <w:pPr>
        <w:spacing w:line="240" w:lineRule="auto"/>
        <w:ind w:left="720" w:firstLine="0"/>
        <w:contextualSpacing w:val="0"/>
        <w:jc w:val="both"/>
        <w:rPr/>
      </w:pPr>
      <w:r w:rsidDel="00000000" w:rsidR="00000000" w:rsidRPr="00000000">
        <w:rPr>
          <w:rtl w:val="0"/>
        </w:rPr>
        <w:t xml:space="preserve">In order to achieve contingency awareness, learners need something that they find rewarding, an action that they can perform and an ability to repeat this action while they can still remember the effect it had on the previous occasion.</w:t>
      </w:r>
    </w:p>
    <w:p w:rsidR="00000000" w:rsidDel="00000000" w:rsidP="00000000" w:rsidRDefault="00000000" w:rsidRPr="00000000" w14:paraId="00000009">
      <w:pPr>
        <w:spacing w:line="360" w:lineRule="auto"/>
        <w:ind w:left="720" w:firstLine="0"/>
        <w:contextualSpacing w:val="0"/>
        <w:jc w:val="both"/>
        <w:rPr/>
      </w:pPr>
      <w:r w:rsidDel="00000000" w:rsidR="00000000" w:rsidRPr="00000000">
        <w:rPr>
          <w:rtl w:val="0"/>
        </w:rPr>
      </w:r>
    </w:p>
    <w:p w:rsidR="00000000" w:rsidDel="00000000" w:rsidP="00000000" w:rsidRDefault="00000000" w:rsidRPr="00000000" w14:paraId="0000000A">
      <w:pPr>
        <w:spacing w:line="360" w:lineRule="auto"/>
        <w:ind w:left="720" w:firstLine="0"/>
        <w:contextualSpacing w:val="0"/>
        <w:jc w:val="both"/>
        <w:rPr/>
      </w:pPr>
      <w:r w:rsidDel="00000000" w:rsidR="00000000" w:rsidRPr="00000000">
        <w:rPr>
          <w:rtl w:val="0"/>
        </w:rPr>
        <w:t xml:space="preserve">(Welsh Assembly Government, 2006: 19).</w:t>
      </w:r>
    </w:p>
    <w:p w:rsidR="00000000" w:rsidDel="00000000" w:rsidP="00000000" w:rsidRDefault="00000000" w:rsidRPr="00000000" w14:paraId="0000000B">
      <w:pPr>
        <w:spacing w:line="360" w:lineRule="auto"/>
        <w:contextualSpacing w:val="0"/>
        <w:jc w:val="both"/>
        <w:rPr/>
      </w:pPr>
      <w:r w:rsidDel="00000000" w:rsidR="00000000" w:rsidRPr="00000000">
        <w:rPr>
          <w:rtl w:val="0"/>
        </w:rPr>
      </w:r>
    </w:p>
    <w:p w:rsidR="00000000" w:rsidDel="00000000" w:rsidP="00000000" w:rsidRDefault="00000000" w:rsidRPr="00000000" w14:paraId="0000000C">
      <w:pPr>
        <w:spacing w:line="360" w:lineRule="auto"/>
        <w:contextualSpacing w:val="0"/>
        <w:jc w:val="both"/>
        <w:rPr/>
      </w:pPr>
      <w:r w:rsidDel="00000000" w:rsidR="00000000" w:rsidRPr="00000000">
        <w:rPr>
          <w:rtl w:val="0"/>
        </w:rPr>
        <w:t xml:space="preserve">For children with Profound and Multiple Learning Difficulties (PMLD), contingency awareness is often a difficult skill to develop (Talksense, 2015). As the term PMLD is not clinically defined  (Doukas et al, 2017), the criteria can be varying and the decision whether a person has PMLD can be subjective. However, common characteristics have been highlighted.People with PMLD have a profound learning difficulty which may result in them remaining at an early developmental level throughout their life (Lacey, 2009). Some suggest this level to be equivalent, or below, that of a typically developing child of 18 months (Imray, 2008). Others suggest it to be working academically within levels P1 - P3 on the P-scales (DfE, 2003; Imray and Colley, 2017). </w:t>
      </w:r>
    </w:p>
    <w:p w:rsidR="00000000" w:rsidDel="00000000" w:rsidP="00000000" w:rsidRDefault="00000000" w:rsidRPr="00000000" w14:paraId="0000000D">
      <w:pPr>
        <w:spacing w:line="360" w:lineRule="auto"/>
        <w:contextualSpacing w:val="0"/>
        <w:jc w:val="both"/>
        <w:rPr/>
      </w:pPr>
      <w:r w:rsidDel="00000000" w:rsidR="00000000" w:rsidRPr="00000000">
        <w:rPr>
          <w:rtl w:val="0"/>
        </w:rPr>
      </w:r>
    </w:p>
    <w:p w:rsidR="00000000" w:rsidDel="00000000" w:rsidP="00000000" w:rsidRDefault="00000000" w:rsidRPr="00000000" w14:paraId="0000000E">
      <w:pPr>
        <w:spacing w:line="360" w:lineRule="auto"/>
        <w:contextualSpacing w:val="0"/>
        <w:jc w:val="both"/>
        <w:rPr>
          <w:b w:val="1"/>
          <w:color w:val="e06666"/>
        </w:rPr>
      </w:pPr>
      <w:r w:rsidDel="00000000" w:rsidR="00000000" w:rsidRPr="00000000">
        <w:rPr>
          <w:rtl w:val="0"/>
        </w:rPr>
        <w:t xml:space="preserve">In addition to profound learning needs, people with PMLD will often have significant difficulty in one or more of the following areas; physical, sensory and complex health needs. They may have difficulties with communication and will be highly dependent upon others for their self-care. Some definitions have also highlighted difficulties in developing contingency awareness and intention (Imray, 2008; Mansell, 2010; Imray and Colley, 2017). </w:t>
      </w:r>
      <w:r w:rsidDel="00000000" w:rsidR="00000000" w:rsidRPr="00000000">
        <w:rPr>
          <w:rtl w:val="0"/>
        </w:rPr>
        <w:t xml:space="preserve">Sensory and physical impairments are just a few of the many possible difficulties which could prevent children from being able to act on their environment, hindering cognitive development and making it problematic for learning to take place (Glenn, 1987, cited in Lacey, 2009). </w:t>
      </w:r>
      <w:r w:rsidDel="00000000" w:rsidR="00000000" w:rsidRPr="00000000">
        <w:rPr>
          <w:rtl w:val="0"/>
        </w:rPr>
        <w:t xml:space="preserve">This essay will discuss how contingency awareness develops, the barriers faced by learners with PMLD and possible methods which could be put into place in order to support these learners develop and extend contingency awareness. </w:t>
      </w:r>
      <w:r w:rsidDel="00000000" w:rsidR="00000000" w:rsidRPr="00000000">
        <w:rPr>
          <w:rtl w:val="0"/>
        </w:rPr>
      </w:r>
    </w:p>
    <w:p w:rsidR="00000000" w:rsidDel="00000000" w:rsidP="00000000" w:rsidRDefault="00000000" w:rsidRPr="00000000" w14:paraId="0000000F">
      <w:pPr>
        <w:spacing w:line="360" w:lineRule="auto"/>
        <w:contextualSpacing w:val="0"/>
        <w:jc w:val="both"/>
        <w:rPr>
          <w:b w:val="1"/>
        </w:rPr>
      </w:pPr>
      <w:r w:rsidDel="00000000" w:rsidR="00000000" w:rsidRPr="00000000">
        <w:rPr>
          <w:rtl w:val="0"/>
        </w:rPr>
      </w:r>
    </w:p>
    <w:p w:rsidR="00000000" w:rsidDel="00000000" w:rsidP="00000000" w:rsidRDefault="00000000" w:rsidRPr="00000000" w14:paraId="00000010">
      <w:pPr>
        <w:spacing w:line="360" w:lineRule="auto"/>
        <w:contextualSpacing w:val="0"/>
        <w:jc w:val="both"/>
        <w:rPr/>
      </w:pPr>
      <w:r w:rsidDel="00000000" w:rsidR="00000000" w:rsidRPr="00000000">
        <w:rPr>
          <w:rtl w:val="0"/>
        </w:rPr>
        <w:t xml:space="preserve">Piaget’s (1952) stages of learning have played an influential role in developing understanding towards how children learn. Piaget states that the child is an active learner within their environment, continuously adapting and making sense of information through their experiences and actions in the world (Halpenny and Petterson, 2014). Piaget (1964) suggests four stages of learning that span from birth up until around the age of 14; sensorimotor stage, preoperational stage, concrete operational stage and the formal operations stage). The stage of particular interest within the topic of contingency awareness is that of the sensorimotor stage which focuses on development between birth to two years. Piaget suggests during this stage  children develop cognitive awareness by exploring the world through their sensory and motor abilities (Seigler et al, 2006). In doing so,  the child will begin to build on their awareness about the objects and people surrounding them, and they will begin to form concepts such as time, space and causality (Seigler et al, 2006). Within the sensorimotor stage, Piaget has identified six substages of learning through which the child must progress before reaching the next stage of development (Watson, 1966). These stages are: Reflexes (birth - one month); Primary Circular Reactions (1 - 4 months); Secondary Circular Reactions (4 - 8 months); Co-ordination of schemes (8-12 months); Tertiary Circular Actions (12 - 18 months) and Beginnings of representational thought (18 - 24 months). </w:t>
      </w:r>
    </w:p>
    <w:p w:rsidR="00000000" w:rsidDel="00000000" w:rsidP="00000000" w:rsidRDefault="00000000" w:rsidRPr="00000000" w14:paraId="00000011">
      <w:pPr>
        <w:spacing w:line="360" w:lineRule="auto"/>
        <w:contextualSpacing w:val="0"/>
        <w:jc w:val="both"/>
        <w:rPr/>
      </w:pPr>
      <w:r w:rsidDel="00000000" w:rsidR="00000000" w:rsidRPr="00000000">
        <w:rPr>
          <w:rtl w:val="0"/>
        </w:rPr>
      </w:r>
    </w:p>
    <w:p w:rsidR="00000000" w:rsidDel="00000000" w:rsidP="00000000" w:rsidRDefault="00000000" w:rsidRPr="00000000" w14:paraId="00000012">
      <w:pPr>
        <w:spacing w:line="360" w:lineRule="auto"/>
        <w:contextualSpacing w:val="0"/>
        <w:jc w:val="both"/>
        <w:rPr/>
      </w:pPr>
      <w:r w:rsidDel="00000000" w:rsidR="00000000" w:rsidRPr="00000000">
        <w:rPr>
          <w:rtl w:val="0"/>
        </w:rPr>
        <w:t xml:space="preserve">Contingency awareness is developed within the primary and secondary circular reactions phases. During the primary circular phase the infant begins to develop a connection between their actions and their body. At this stage the behaviour is considered pre-intentional (Coupe O’Kane and Goldbart, 1998) and could infer that the infant is developing contingency responding. Piaget suggests that during the secondary circular phase the infant develops the connection between their actions and objects and people in the external environment (Halpenny and Petterson, 2014). It is during this stage whereby the infant begins to acquire intentionality (Coupe O’Kane and Goldbart, 1998). By the end of the fourth stage the infant is able to combine their previously learnt behaviours, with intentionality becoming fully established (Halpenny and Petterson, 2014).</w:t>
      </w:r>
    </w:p>
    <w:p w:rsidR="00000000" w:rsidDel="00000000" w:rsidP="00000000" w:rsidRDefault="00000000" w:rsidRPr="00000000" w14:paraId="00000013">
      <w:pPr>
        <w:spacing w:line="360" w:lineRule="auto"/>
        <w:contextualSpacing w:val="0"/>
        <w:jc w:val="both"/>
        <w:rPr/>
      </w:pPr>
      <w:r w:rsidDel="00000000" w:rsidR="00000000" w:rsidRPr="00000000">
        <w:rPr>
          <w:rtl w:val="0"/>
        </w:rPr>
      </w:r>
    </w:p>
    <w:p w:rsidR="00000000" w:rsidDel="00000000" w:rsidP="00000000" w:rsidRDefault="00000000" w:rsidRPr="00000000" w14:paraId="00000014">
      <w:pPr>
        <w:spacing w:line="360" w:lineRule="auto"/>
        <w:contextualSpacing w:val="0"/>
        <w:jc w:val="both"/>
        <w:rPr/>
      </w:pPr>
      <w:r w:rsidDel="00000000" w:rsidR="00000000" w:rsidRPr="00000000">
        <w:rPr>
          <w:rtl w:val="0"/>
        </w:rPr>
        <w:t xml:space="preserve">The developmental stages described by Piaget can also provide a basis to explain how children with PMLD develop cognition. Children with PMLD will often remain in the sensorimotor stage for their entire life (Lacey, 2009). The learning process may be longer and slower  compared to a typically developing child, with these children often not following the same linear pattern of trajectory as suggested by Piaget (Imray and Hinchcliffe, 2014) but instead may be more variable depending on the child’s needs, motivation and interests (Imray and Hinchcliffe, 2014). Glenn (1987, cited in Lacey 2009) suggests that motivation and opportunity are important factors to aiding the development of contingency awareness. Furthermore, Glenn suggests that infants are more able than Piaget considered them to be. However, due to them not always being able to demonstrate an understanding, it was assumed that they did not understand. This point could also be argued for children with PMLD, suggesting that these learners need to be given the opportunities to show what they are capable of doing. </w:t>
      </w:r>
    </w:p>
    <w:p w:rsidR="00000000" w:rsidDel="00000000" w:rsidP="00000000" w:rsidRDefault="00000000" w:rsidRPr="00000000" w14:paraId="00000015">
      <w:pPr>
        <w:spacing w:line="360" w:lineRule="auto"/>
        <w:contextualSpacing w:val="0"/>
        <w:jc w:val="both"/>
        <w:rPr/>
      </w:pPr>
      <w:r w:rsidDel="00000000" w:rsidR="00000000" w:rsidRPr="00000000">
        <w:rPr>
          <w:rtl w:val="0"/>
        </w:rPr>
      </w:r>
    </w:p>
    <w:p w:rsidR="00000000" w:rsidDel="00000000" w:rsidP="00000000" w:rsidRDefault="00000000" w:rsidRPr="00000000" w14:paraId="00000016">
      <w:pPr>
        <w:spacing w:line="360" w:lineRule="auto"/>
        <w:contextualSpacing w:val="0"/>
        <w:jc w:val="both"/>
        <w:rPr/>
      </w:pPr>
      <w:r w:rsidDel="00000000" w:rsidR="00000000" w:rsidRPr="00000000">
        <w:rPr>
          <w:rtl w:val="0"/>
        </w:rPr>
        <w:t xml:space="preserve">Research has, however, suggested that infants within the primary circular stage are in fact capable of acquiring contingency awareness under an experimental condition (Watson and Ramey, 1972 cited in Smith et al 1988; Rovee-Collier, 1999). Both of these studies involved young infants, between 2 to 6 months old, and the use of a ‘contingency mobile’ (Smith et al, 1988). Rovee-Collier attached a ribbon from the ankle to a mobile hanging above the infants cot and Watson and Ramsey used a pressure sensing pillow connected to the mobile. The mobile was activated when the infant moved their legs or heads respectively.  Both studies found an increase in kicking / head movements as a response to the activation of the mobile. Both of these studies highlight that an infant as young as two months old is able to develop contingency awareness.</w:t>
      </w:r>
    </w:p>
    <w:p w:rsidR="00000000" w:rsidDel="00000000" w:rsidP="00000000" w:rsidRDefault="00000000" w:rsidRPr="00000000" w14:paraId="00000017">
      <w:pPr>
        <w:spacing w:line="360" w:lineRule="auto"/>
        <w:contextualSpacing w:val="0"/>
        <w:jc w:val="both"/>
        <w:rPr/>
      </w:pPr>
      <w:r w:rsidDel="00000000" w:rsidR="00000000" w:rsidRPr="00000000">
        <w:rPr>
          <w:rtl w:val="0"/>
        </w:rPr>
      </w:r>
    </w:p>
    <w:p w:rsidR="00000000" w:rsidDel="00000000" w:rsidP="00000000" w:rsidRDefault="00000000" w:rsidRPr="00000000" w14:paraId="00000018">
      <w:pPr>
        <w:spacing w:line="360" w:lineRule="auto"/>
        <w:contextualSpacing w:val="0"/>
        <w:jc w:val="both"/>
        <w:rPr/>
      </w:pPr>
      <w:r w:rsidDel="00000000" w:rsidR="00000000" w:rsidRPr="00000000">
        <w:rPr>
          <w:rtl w:val="0"/>
        </w:rPr>
        <w:t xml:space="preserve">Whereas Piaget emphasises the importance of the child learning through their own investigation and exploration, Vygotsky suggests the importance of the interaction between the learner and others. He placed an emphasis on the importance of the adult in scaffolding the child’s learning to enable them to develop (Pritchard, 2014). Vygotsky (1978, cited in Mcleod, 2014) created the Zone of Proximal Development (ZPD). The ZPD is the area of development in which the learner needs to move to next. Within this area, the child will be able to work effectively, but only with the support of an adult. It is the adult’s role to provide support to the child at the appropriate points and enables the child to progress. Vygotsky’s learning theory could be beneficial when teaching children with PMLD. These children may need initial high levels of adult support in order to learn and develop new skills. Repetition, time and appropriate adult support could enable these progression to the next stage of learning. This could support teaching skills such as contingency awareness as it will ensure that the child is receiving appropriate input to help to overcome barriers to learning. </w:t>
      </w:r>
    </w:p>
    <w:p w:rsidR="00000000" w:rsidDel="00000000" w:rsidP="00000000" w:rsidRDefault="00000000" w:rsidRPr="00000000" w14:paraId="00000019">
      <w:pPr>
        <w:spacing w:line="360" w:lineRule="auto"/>
        <w:contextualSpacing w:val="0"/>
        <w:jc w:val="both"/>
        <w:rPr/>
      </w:pPr>
      <w:r w:rsidDel="00000000" w:rsidR="00000000" w:rsidRPr="00000000">
        <w:rPr>
          <w:rtl w:val="0"/>
        </w:rPr>
      </w:r>
    </w:p>
    <w:p w:rsidR="00000000" w:rsidDel="00000000" w:rsidP="00000000" w:rsidRDefault="00000000" w:rsidRPr="00000000" w14:paraId="0000001A">
      <w:pPr>
        <w:spacing w:line="360" w:lineRule="auto"/>
        <w:contextualSpacing w:val="0"/>
        <w:jc w:val="both"/>
        <w:rPr/>
      </w:pPr>
      <w:r w:rsidDel="00000000" w:rsidR="00000000" w:rsidRPr="00000000">
        <w:rPr>
          <w:rtl w:val="0"/>
        </w:rPr>
        <w:t xml:space="preserve">Children with PMLD benefit from the use of early learning processes such as habituation, associative learning and operant conditioning (Remington, 1996). Habituation is the result of a child becoming used to a stimulus and so ceasing to give a response. However, a slight change in the stimulus may retrigger a new response. Associative learning enables a child to begin to make a connection between a stimulus and a response (Petry and Maes, 2007) by encouraging a child to anticipate a stimulus or event through a consistent presentation of a cue (Welsh Assembly Government, 2006). Operant conditioning is a similar process to developing contingency awareness, however the child does not need to understand why the response occurs (Hogg, 2009). Operant conditioning is the process of a child learning the relationship between a certain behaviour and the positive, or negative, reinforcement that follows it (Seigler et al, 2006). Learning through these processes gives the child the opportunity to learn skills that provide important stepping stones to developing contingency awareness. They enable the child to develop anticipation, have a range of experiences and begin to establish an awareness that their behaviour will cause a response. </w:t>
      </w:r>
    </w:p>
    <w:p w:rsidR="00000000" w:rsidDel="00000000" w:rsidP="00000000" w:rsidRDefault="00000000" w:rsidRPr="00000000" w14:paraId="0000001B">
      <w:pPr>
        <w:spacing w:line="360" w:lineRule="auto"/>
        <w:contextualSpacing w:val="0"/>
        <w:jc w:val="both"/>
        <w:rPr>
          <w:highlight w:val="magenta"/>
        </w:rPr>
      </w:pPr>
      <w:r w:rsidDel="00000000" w:rsidR="00000000" w:rsidRPr="00000000">
        <w:rPr>
          <w:rtl w:val="0"/>
        </w:rPr>
      </w:r>
    </w:p>
    <w:p w:rsidR="00000000" w:rsidDel="00000000" w:rsidP="00000000" w:rsidRDefault="00000000" w:rsidRPr="00000000" w14:paraId="0000001C">
      <w:pPr>
        <w:spacing w:line="360" w:lineRule="auto"/>
        <w:contextualSpacing w:val="0"/>
        <w:jc w:val="both"/>
        <w:rPr/>
      </w:pPr>
      <w:r w:rsidDel="00000000" w:rsidR="00000000" w:rsidRPr="00000000">
        <w:rPr>
          <w:rtl w:val="0"/>
        </w:rPr>
        <w:t xml:space="preserve">The motor development required to progress through the sensorimotor stage could provide a barrier to learning for children with PMLD and physical difficulties (Imray and Hinchcliffe, 2014), limiting the child’s ability to explore and take control of their environment.  If contingency awareness is developed within the secondary circular stage, then it is reasonable to infer that a child will have had to develop a certain amount of physical skills before they are cognitively ready to develop contingency awareness. These skills include the exploration of their own body, making their own movements, such as kicking their legs or moving their arms, and the ability to organise their body in a way that allows them to repeat an action (Davis, 2001). </w:t>
      </w:r>
    </w:p>
    <w:p w:rsidR="00000000" w:rsidDel="00000000" w:rsidP="00000000" w:rsidRDefault="00000000" w:rsidRPr="00000000" w14:paraId="0000001D">
      <w:pPr>
        <w:spacing w:line="360" w:lineRule="auto"/>
        <w:contextualSpacing w:val="0"/>
        <w:jc w:val="both"/>
        <w:rPr/>
      </w:pPr>
      <w:r w:rsidDel="00000000" w:rsidR="00000000" w:rsidRPr="00000000">
        <w:rPr>
          <w:rtl w:val="0"/>
        </w:rPr>
      </w:r>
    </w:p>
    <w:p w:rsidR="00000000" w:rsidDel="00000000" w:rsidP="00000000" w:rsidRDefault="00000000" w:rsidRPr="00000000" w14:paraId="0000001E">
      <w:pPr>
        <w:spacing w:line="360" w:lineRule="auto"/>
        <w:contextualSpacing w:val="0"/>
        <w:jc w:val="both"/>
        <w:rPr/>
      </w:pPr>
      <w:r w:rsidDel="00000000" w:rsidR="00000000" w:rsidRPr="00000000">
        <w:rPr>
          <w:rtl w:val="0"/>
        </w:rPr>
        <w:t xml:space="preserve">Limited or involuntary motor movements can make it difficult for a child  to independently explore their own bodies, the environment or activate a toy (Lacey, 2009). The child will be reliant upon another person to bring experiences to them and to position them so that they can access external stimuli. Furthermore, without the development of these skills then it is reasonable to infer that a child with PMLD will remain within the reflexes stage of learning. This could provide a possible explanation for why a child with PMLD finds it difficult to develop contingency awareness. If the child is still working within the reflex stage,  it can be assumed that the child hasn’t yet developed the cognitive awareness required for an understanding of cause and effect to be established. </w:t>
      </w:r>
    </w:p>
    <w:p w:rsidR="00000000" w:rsidDel="00000000" w:rsidP="00000000" w:rsidRDefault="00000000" w:rsidRPr="00000000" w14:paraId="0000001F">
      <w:pPr>
        <w:spacing w:line="360" w:lineRule="auto"/>
        <w:contextualSpacing w:val="0"/>
        <w:jc w:val="both"/>
        <w:rPr/>
      </w:pPr>
      <w:r w:rsidDel="00000000" w:rsidR="00000000" w:rsidRPr="00000000">
        <w:rPr>
          <w:rtl w:val="0"/>
        </w:rPr>
      </w:r>
    </w:p>
    <w:p w:rsidR="00000000" w:rsidDel="00000000" w:rsidP="00000000" w:rsidRDefault="00000000" w:rsidRPr="00000000" w14:paraId="00000020">
      <w:pPr>
        <w:spacing w:line="360" w:lineRule="auto"/>
        <w:contextualSpacing w:val="0"/>
        <w:jc w:val="both"/>
        <w:rPr/>
      </w:pPr>
      <w:r w:rsidDel="00000000" w:rsidR="00000000" w:rsidRPr="00000000">
        <w:rPr>
          <w:rtl w:val="0"/>
        </w:rPr>
        <w:t xml:space="preserve">A child’s profound learning difficulty can hinder their ability to retain and analyse information (Hogg, 2009) with the length of a child’s memory likely to be less than 7 seconds (Welsh Assembly Government, 2006).  The length of time it may take for an infant with PMLD to make, and then repeat, an action could present a barrier to developing contingency awareness for these learners (Watson, 1966). A child may be able to move their leg to activate a mobile, but by the time the child has repeated the action, the initial response may have been forgotten. </w:t>
      </w:r>
    </w:p>
    <w:p w:rsidR="00000000" w:rsidDel="00000000" w:rsidP="00000000" w:rsidRDefault="00000000" w:rsidRPr="00000000" w14:paraId="00000021">
      <w:pPr>
        <w:spacing w:line="360" w:lineRule="auto"/>
        <w:contextualSpacing w:val="0"/>
        <w:jc w:val="both"/>
        <w:rPr/>
      </w:pPr>
      <w:r w:rsidDel="00000000" w:rsidR="00000000" w:rsidRPr="00000000">
        <w:rPr>
          <w:rtl w:val="0"/>
        </w:rPr>
      </w:r>
    </w:p>
    <w:p w:rsidR="00000000" w:rsidDel="00000000" w:rsidP="00000000" w:rsidRDefault="00000000" w:rsidRPr="00000000" w14:paraId="00000022">
      <w:pPr>
        <w:spacing w:line="360" w:lineRule="auto"/>
        <w:contextualSpacing w:val="0"/>
        <w:jc w:val="both"/>
        <w:rPr/>
      </w:pPr>
      <w:r w:rsidDel="00000000" w:rsidR="00000000" w:rsidRPr="00000000">
        <w:rPr>
          <w:rtl w:val="0"/>
        </w:rPr>
        <w:t xml:space="preserve">Findings by Rovee-Collier et al (1997, cited in Siegler et al, 2006) highlighted that contingency awareness was only established when there was a short delay between behaviour and response and when the response was in close proximity to the child. This provides useful information when teaching contingency awareness, showing the importance of placing resources close to the child and within their eye line. Resources that give instant responses should be used to give the best opportunity for the child to develop the connection between their behaviour and the response.</w:t>
      </w:r>
    </w:p>
    <w:p w:rsidR="00000000" w:rsidDel="00000000" w:rsidP="00000000" w:rsidRDefault="00000000" w:rsidRPr="00000000" w14:paraId="00000023">
      <w:pPr>
        <w:spacing w:line="360" w:lineRule="auto"/>
        <w:contextualSpacing w:val="0"/>
        <w:jc w:val="both"/>
        <w:rPr>
          <w:b w:val="1"/>
        </w:rPr>
      </w:pPr>
      <w:r w:rsidDel="00000000" w:rsidR="00000000" w:rsidRPr="00000000">
        <w:rPr>
          <w:rtl w:val="0"/>
        </w:rPr>
      </w:r>
    </w:p>
    <w:p w:rsidR="00000000" w:rsidDel="00000000" w:rsidP="00000000" w:rsidRDefault="00000000" w:rsidRPr="00000000" w14:paraId="00000024">
      <w:pPr>
        <w:spacing w:line="360" w:lineRule="auto"/>
        <w:contextualSpacing w:val="0"/>
        <w:jc w:val="both"/>
        <w:rPr/>
      </w:pPr>
      <w:r w:rsidDel="00000000" w:rsidR="00000000" w:rsidRPr="00000000">
        <w:rPr>
          <w:rtl w:val="0"/>
        </w:rPr>
        <w:t xml:space="preserve">Meaningful sensory input is crucial for a child to learn and develop (Pagliano, 2001). This sensory stimulation enables a child to learn about the world, beginning by informing the child about the internal state of their body. The development of cognition will then follow, resulting in integration of all the senses. Having an impairment in one or more of the senses will prevent the child from mastering the appropriate sensory skills needed to move them onto the next stage of learning (Pagliano, 2001). </w:t>
      </w:r>
    </w:p>
    <w:p w:rsidR="00000000" w:rsidDel="00000000" w:rsidP="00000000" w:rsidRDefault="00000000" w:rsidRPr="00000000" w14:paraId="00000025">
      <w:pPr>
        <w:spacing w:line="360" w:lineRule="auto"/>
        <w:contextualSpacing w:val="0"/>
        <w:jc w:val="both"/>
        <w:rPr/>
      </w:pPr>
      <w:r w:rsidDel="00000000" w:rsidR="00000000" w:rsidRPr="00000000">
        <w:rPr>
          <w:rtl w:val="0"/>
        </w:rPr>
      </w:r>
    </w:p>
    <w:p w:rsidR="00000000" w:rsidDel="00000000" w:rsidP="00000000" w:rsidRDefault="00000000" w:rsidRPr="00000000" w14:paraId="00000026">
      <w:pPr>
        <w:spacing w:line="360" w:lineRule="auto"/>
        <w:contextualSpacing w:val="0"/>
        <w:jc w:val="both"/>
        <w:rPr/>
      </w:pPr>
      <w:r w:rsidDel="00000000" w:rsidR="00000000" w:rsidRPr="00000000">
        <w:rPr>
          <w:rtl w:val="0"/>
        </w:rPr>
        <w:t xml:space="preserve">Many children with PMLD will encounter visual or auditory impairments which will hinder their sensory development. They may also have sensory processing disorders which may result in them being either over or under sensitive to surrounding sensory stimulation. </w:t>
      </w:r>
    </w:p>
    <w:p w:rsidR="00000000" w:rsidDel="00000000" w:rsidP="00000000" w:rsidRDefault="00000000" w:rsidRPr="00000000" w14:paraId="00000027">
      <w:pPr>
        <w:spacing w:line="360" w:lineRule="auto"/>
        <w:contextualSpacing w:val="0"/>
        <w:jc w:val="both"/>
        <w:rPr/>
      </w:pPr>
      <w:r w:rsidDel="00000000" w:rsidR="00000000" w:rsidRPr="00000000">
        <w:rPr>
          <w:rtl w:val="0"/>
        </w:rPr>
      </w:r>
    </w:p>
    <w:p w:rsidR="00000000" w:rsidDel="00000000" w:rsidP="00000000" w:rsidRDefault="00000000" w:rsidRPr="00000000" w14:paraId="00000028">
      <w:pPr>
        <w:spacing w:line="360" w:lineRule="auto"/>
        <w:contextualSpacing w:val="0"/>
        <w:jc w:val="both"/>
        <w:rPr/>
      </w:pPr>
      <w:r w:rsidDel="00000000" w:rsidR="00000000" w:rsidRPr="00000000">
        <w:rPr>
          <w:rtl w:val="0"/>
        </w:rPr>
        <w:t xml:space="preserve">Piaget’s sensorimotor stage assumes that the developing infant is receiving sensory feedback through their actions on the environment in the form of sights, sounds, feels and tastes (Davis, 2001). However, a child with PMLD may experience sensory impairments which prevent this from happening. This lack of sensory feedback from their environment will hinder a child’s ability to develop contingency awareness as they may not be able to develop the association between their behaviour and the effect it is causing. On the other hand, some children may be over sensitive to sensory stimulation. For example, a child who is over sensitive to certain sounds may have a negative experience to activating a noisy mobile. This may then discourage the child from repeating the action and may reduce their interactions with the surrounding environment. Similarly, a child may be over sensitive to textures or touch and so may cry when being picked up by their caregiver. This may gradually then discourage the caregiver from future interactions with the child and so limiting the child’s opportunities for developing their awareness of social contingencies. </w:t>
      </w:r>
    </w:p>
    <w:p w:rsidR="00000000" w:rsidDel="00000000" w:rsidP="00000000" w:rsidRDefault="00000000" w:rsidRPr="00000000" w14:paraId="00000029">
      <w:pPr>
        <w:spacing w:line="360" w:lineRule="auto"/>
        <w:contextualSpacing w:val="0"/>
        <w:jc w:val="both"/>
        <w:rPr>
          <w:b w:val="1"/>
        </w:rPr>
      </w:pPr>
      <w:r w:rsidDel="00000000" w:rsidR="00000000" w:rsidRPr="00000000">
        <w:rPr>
          <w:rtl w:val="0"/>
        </w:rPr>
      </w:r>
    </w:p>
    <w:p w:rsidR="00000000" w:rsidDel="00000000" w:rsidP="00000000" w:rsidRDefault="00000000" w:rsidRPr="00000000" w14:paraId="0000002A">
      <w:pPr>
        <w:spacing w:line="360" w:lineRule="auto"/>
        <w:contextualSpacing w:val="0"/>
        <w:jc w:val="both"/>
        <w:rPr/>
      </w:pPr>
      <w:r w:rsidDel="00000000" w:rsidR="00000000" w:rsidRPr="00000000">
        <w:rPr>
          <w:rtl w:val="0"/>
        </w:rPr>
        <w:t xml:space="preserve">Complex health problems can also cause barriers to cognitive learning for children with PMLD. Zijlstra and Vlaskamp (2005) found that, of 48 children with PMLD,  85% had epilepsy, 81% had visual impairments, 31% had auditory impairments, 67% had gastrointestinal problems and 38% had pulmonary problems. Epilepsy can have a significant impact on alertness and learning (Perty and Maes, 2007). One particular child I have taught experienced severe epilepsy and would have frequent seizures throughout the day and night. Various diets and medication were trialed in an attempt to reduce the amount of seizures experienced, but the beneficial effects of each method would only last for a limited amount of time. However, on the days where the child had few or no seizures, there was a huge difference in arousal levels and the child showed how capable they were at grasping new skills.  This condition had a significant impact on the child’s learning and development as there would be periods of time whereby the child was unable to retain skills learnt either due to seizures or low arousal levels. It was not uncommon for the child to show a regression in skills after periods of more frequent seizures, highlighting  the difficulty for children with complex medical conditions to learn, and retain, skills such as contingency awareness. </w:t>
      </w:r>
    </w:p>
    <w:p w:rsidR="00000000" w:rsidDel="00000000" w:rsidP="00000000" w:rsidRDefault="00000000" w:rsidRPr="00000000" w14:paraId="0000002B">
      <w:pPr>
        <w:spacing w:line="360" w:lineRule="auto"/>
        <w:contextualSpacing w:val="0"/>
        <w:jc w:val="both"/>
        <w:rPr/>
      </w:pPr>
      <w:r w:rsidDel="00000000" w:rsidR="00000000" w:rsidRPr="00000000">
        <w:rPr>
          <w:rtl w:val="0"/>
        </w:rPr>
      </w:r>
    </w:p>
    <w:p w:rsidR="00000000" w:rsidDel="00000000" w:rsidP="00000000" w:rsidRDefault="00000000" w:rsidRPr="00000000" w14:paraId="0000002C">
      <w:pPr>
        <w:spacing w:line="360" w:lineRule="auto"/>
        <w:contextualSpacing w:val="0"/>
        <w:jc w:val="both"/>
        <w:rPr/>
      </w:pPr>
      <w:r w:rsidDel="00000000" w:rsidR="00000000" w:rsidRPr="00000000">
        <w:rPr>
          <w:rtl w:val="0"/>
        </w:rPr>
        <w:t xml:space="preserve">Within my class there are children with complex medical needs, which result in them spending a significant amount of time off of school, who frequently suffer from chest infections and constipation, illnesses which are common for children who are wheelchair users (Imray and Hinchcliffe, 2014). Many children with PMLD take various medications in order to manage pain and illnesses. The side effects of these medications can often lead to reduced alertness, hindering the child’s ability to learn and develop (Petry and Maes, 2007).  Frequent time off of school can disrupt a child’s routine, resulting in a barrier in the development of contingency awareness due to a lack of consistency. </w:t>
      </w:r>
    </w:p>
    <w:p w:rsidR="00000000" w:rsidDel="00000000" w:rsidP="00000000" w:rsidRDefault="00000000" w:rsidRPr="00000000" w14:paraId="0000002D">
      <w:pPr>
        <w:spacing w:line="360" w:lineRule="auto"/>
        <w:contextualSpacing w:val="0"/>
        <w:jc w:val="both"/>
        <w:rPr/>
      </w:pPr>
      <w:r w:rsidDel="00000000" w:rsidR="00000000" w:rsidRPr="00000000">
        <w:rPr>
          <w:rtl w:val="0"/>
        </w:rPr>
      </w:r>
    </w:p>
    <w:p w:rsidR="00000000" w:rsidDel="00000000" w:rsidP="00000000" w:rsidRDefault="00000000" w:rsidRPr="00000000" w14:paraId="0000002E">
      <w:pPr>
        <w:spacing w:line="360" w:lineRule="auto"/>
        <w:contextualSpacing w:val="0"/>
        <w:jc w:val="both"/>
        <w:rPr/>
      </w:pPr>
      <w:r w:rsidDel="00000000" w:rsidR="00000000" w:rsidRPr="00000000">
        <w:rPr>
          <w:rtl w:val="0"/>
        </w:rPr>
        <w:t xml:space="preserve">Sensory, physical, medical and communicative impairments often result in the child having a high level of involvement with unfamiliar people, such as health-care professionals, in addition to their families, friends and teachers. Involvement with such a wide range of people can hinder the development of contingency awareness due to an inconsistency of routines and responses to their behaviour. Due to the contact with the people being irregular it could suggest that the child will experience a variety of responses to their behaviour, making it difficult for them to develop a connection between their behaviour and the response.</w:t>
      </w:r>
    </w:p>
    <w:p w:rsidR="00000000" w:rsidDel="00000000" w:rsidP="00000000" w:rsidRDefault="00000000" w:rsidRPr="00000000" w14:paraId="0000002F">
      <w:pPr>
        <w:spacing w:line="360" w:lineRule="auto"/>
        <w:contextualSpacing w:val="0"/>
        <w:jc w:val="both"/>
        <w:rPr/>
      </w:pPr>
      <w:r w:rsidDel="00000000" w:rsidR="00000000" w:rsidRPr="00000000">
        <w:rPr>
          <w:rtl w:val="0"/>
        </w:rPr>
      </w:r>
    </w:p>
    <w:p w:rsidR="00000000" w:rsidDel="00000000" w:rsidP="00000000" w:rsidRDefault="00000000" w:rsidRPr="00000000" w14:paraId="00000030">
      <w:pPr>
        <w:spacing w:line="360" w:lineRule="auto"/>
        <w:contextualSpacing w:val="0"/>
        <w:jc w:val="both"/>
        <w:rPr/>
      </w:pPr>
      <w:r w:rsidDel="00000000" w:rsidR="00000000" w:rsidRPr="00000000">
        <w:rPr>
          <w:rtl w:val="0"/>
        </w:rPr>
        <w:t xml:space="preserve">Markova and Legerstee (2006) highlight the importance of mother-infant interactions in developing cognitive, social and emotional skills. However, infants with PMLD will often experience less responsive social interactions compared to that of a neurotypically developing infant (Davis, 2001; Ware, 2003). Children will generally experience social contingencies before they develop the awareness that their behaviour can also affect objects in their surrounding environment (Ware, 2003). A parent of a child with PMLD may find it hard to interpret communicative behaviours due to them being unconventional, less consistent and less predictable than those of a typically developing infant (Spiker et al, 2002, cited in Ware, 2003).  The infant with PMLD may make less vocalisations, take longer to respond or respond in a different way to how the adult would expect, resulting in the carer reducing their engagement with the child as it more difficult to interpret their responses (Ware, 2003). A limited experience of social contingencies will impact the child’s ability to develop intentional communication and contingency awareness (Goldbart, 1994, cited in Imray and Hinchcliffe, 2014).</w:t>
      </w:r>
    </w:p>
    <w:p w:rsidR="00000000" w:rsidDel="00000000" w:rsidP="00000000" w:rsidRDefault="00000000" w:rsidRPr="00000000" w14:paraId="00000031">
      <w:pPr>
        <w:spacing w:line="360" w:lineRule="auto"/>
        <w:contextualSpacing w:val="0"/>
        <w:jc w:val="both"/>
        <w:rPr>
          <w:highlight w:val="yellow"/>
        </w:rPr>
      </w:pPr>
      <w:r w:rsidDel="00000000" w:rsidR="00000000" w:rsidRPr="00000000">
        <w:rPr>
          <w:rtl w:val="0"/>
        </w:rPr>
      </w:r>
    </w:p>
    <w:p w:rsidR="00000000" w:rsidDel="00000000" w:rsidP="00000000" w:rsidRDefault="00000000" w:rsidRPr="00000000" w14:paraId="00000032">
      <w:pPr>
        <w:spacing w:line="360" w:lineRule="auto"/>
        <w:contextualSpacing w:val="0"/>
        <w:jc w:val="both"/>
        <w:rPr/>
      </w:pPr>
      <w:r w:rsidDel="00000000" w:rsidR="00000000" w:rsidRPr="00000000">
        <w:rPr>
          <w:rtl w:val="0"/>
        </w:rPr>
        <w:t xml:space="preserve">Providing a responsive environment will give the child with PMLD the opportunity to develop contingency awareness. A responsive environment is one in which the child will receive a response to their actions, give responses to the actions of others and have the chance to take the lead in interactions (Ware, 2003; Hogg, 2009). </w:t>
      </w:r>
    </w:p>
    <w:p w:rsidR="00000000" w:rsidDel="00000000" w:rsidP="00000000" w:rsidRDefault="00000000" w:rsidRPr="00000000" w14:paraId="00000033">
      <w:pPr>
        <w:spacing w:line="360" w:lineRule="auto"/>
        <w:contextualSpacing w:val="0"/>
        <w:jc w:val="both"/>
        <w:rPr/>
      </w:pPr>
      <w:r w:rsidDel="00000000" w:rsidR="00000000" w:rsidRPr="00000000">
        <w:rPr>
          <w:rtl w:val="0"/>
        </w:rPr>
      </w:r>
    </w:p>
    <w:p w:rsidR="00000000" w:rsidDel="00000000" w:rsidP="00000000" w:rsidRDefault="00000000" w:rsidRPr="00000000" w14:paraId="00000034">
      <w:pPr>
        <w:spacing w:line="360" w:lineRule="auto"/>
        <w:contextualSpacing w:val="0"/>
        <w:jc w:val="both"/>
        <w:rPr/>
      </w:pPr>
      <w:r w:rsidDel="00000000" w:rsidR="00000000" w:rsidRPr="00000000">
        <w:rPr>
          <w:rtl w:val="0"/>
        </w:rPr>
        <w:t xml:space="preserve">A responsive environment enables a child to engage in social interactions which will result in the child learning more quickly (Ware, 2003). Lewis and Coates (1980, cited in Ware, 2003) provide support, with research showing a positive association between mother-infant interaction and cognitive development. Furthermore, Watson and Ramey (1972, cited in Ware, 2003) highlighted the detrimental effect created when an expected response is not given. They found that  infants who did not previously gain a response from the mobile became less active, showed less enjoyment, and found it harder to learn that kicking the mobile would give them a response. This research highlights the importance of consistently reinforcing a child’s behaviour when working towards contingency awareness.</w:t>
      </w:r>
    </w:p>
    <w:p w:rsidR="00000000" w:rsidDel="00000000" w:rsidP="00000000" w:rsidRDefault="00000000" w:rsidRPr="00000000" w14:paraId="00000035">
      <w:pPr>
        <w:spacing w:line="360" w:lineRule="auto"/>
        <w:contextualSpacing w:val="0"/>
        <w:jc w:val="both"/>
        <w:rPr/>
      </w:pPr>
      <w:r w:rsidDel="00000000" w:rsidR="00000000" w:rsidRPr="00000000">
        <w:rPr>
          <w:rtl w:val="0"/>
        </w:rPr>
      </w:r>
    </w:p>
    <w:p w:rsidR="00000000" w:rsidDel="00000000" w:rsidP="00000000" w:rsidRDefault="00000000" w:rsidRPr="00000000" w14:paraId="00000036">
      <w:pPr>
        <w:spacing w:line="360" w:lineRule="auto"/>
        <w:contextualSpacing w:val="0"/>
        <w:jc w:val="both"/>
        <w:rPr/>
      </w:pPr>
      <w:r w:rsidDel="00000000" w:rsidR="00000000" w:rsidRPr="00000000">
        <w:rPr>
          <w:rtl w:val="0"/>
        </w:rPr>
        <w:t xml:space="preserve">Intensive Interaction is often used to promote a responsive environment. The principle of Intensive Interaction is based upon early mother-infant interactions (Imray and Hinchcliffe, 2014), with the adult responding to, and joining in with, a child’s behaviour in the way that a mother would interact with a young infant (Hewett, 2018). </w:t>
      </w:r>
      <w:r w:rsidDel="00000000" w:rsidR="00000000" w:rsidRPr="00000000">
        <w:rPr>
          <w:rtl w:val="0"/>
        </w:rPr>
        <w:t xml:space="preserve">These sessions are child led and dynamic (Hewett, 2018), providing the child with the opportunity to build on their understanding that their behaviours can initiate a response.  Intensive Interaction can be an effective method for teaching contingency awareness as it encourages the communicative partner to respond to the child’s actions or sounds by repeating them back (Lacey, 2009). </w:t>
      </w:r>
    </w:p>
    <w:p w:rsidR="00000000" w:rsidDel="00000000" w:rsidP="00000000" w:rsidRDefault="00000000" w:rsidRPr="00000000" w14:paraId="00000037">
      <w:pPr>
        <w:spacing w:line="360" w:lineRule="auto"/>
        <w:contextualSpacing w:val="0"/>
        <w:jc w:val="both"/>
        <w:rPr/>
      </w:pPr>
      <w:r w:rsidDel="00000000" w:rsidR="00000000" w:rsidRPr="00000000">
        <w:rPr>
          <w:rtl w:val="0"/>
        </w:rPr>
      </w:r>
    </w:p>
    <w:p w:rsidR="00000000" w:rsidDel="00000000" w:rsidP="00000000" w:rsidRDefault="00000000" w:rsidRPr="00000000" w14:paraId="00000038">
      <w:pPr>
        <w:spacing w:line="360" w:lineRule="auto"/>
        <w:contextualSpacing w:val="0"/>
        <w:jc w:val="both"/>
        <w:rPr/>
      </w:pPr>
      <w:r w:rsidDel="00000000" w:rsidR="00000000" w:rsidRPr="00000000">
        <w:rPr>
          <w:rtl w:val="0"/>
        </w:rPr>
        <w:t xml:space="preserve">Classrooms can be busy environments and communicative attempts by children can sometimes be missed. Trust Group discussions have identified that most classes for children with PMLD are small and staff ratios are high. Children are often assigned keyworkers, with the keyworkers being responsible for one or two children. This enables the staff to observe and respond to the child’s behaviours more consistently. Communication passports are widely used to provide important information about the child and their behaviours, with these being available to any person that may work with the child.</w:t>
      </w:r>
    </w:p>
    <w:p w:rsidR="00000000" w:rsidDel="00000000" w:rsidP="00000000" w:rsidRDefault="00000000" w:rsidRPr="00000000" w14:paraId="00000039">
      <w:pPr>
        <w:spacing w:line="360" w:lineRule="auto"/>
        <w:contextualSpacing w:val="0"/>
        <w:jc w:val="both"/>
        <w:rPr/>
      </w:pPr>
      <w:r w:rsidDel="00000000" w:rsidR="00000000" w:rsidRPr="00000000">
        <w:rPr>
          <w:rtl w:val="0"/>
        </w:rPr>
      </w:r>
    </w:p>
    <w:p w:rsidR="00000000" w:rsidDel="00000000" w:rsidP="00000000" w:rsidRDefault="00000000" w:rsidRPr="00000000" w14:paraId="0000003A">
      <w:pPr>
        <w:spacing w:line="360" w:lineRule="auto"/>
        <w:contextualSpacing w:val="0"/>
        <w:jc w:val="both"/>
        <w:rPr/>
      </w:pPr>
      <w:r w:rsidDel="00000000" w:rsidR="00000000" w:rsidRPr="00000000">
        <w:rPr>
          <w:rtl w:val="0"/>
        </w:rPr>
        <w:t xml:space="preserve">Technology can also be used to create and extend a responsive environment, ranging from multisensory environments to switch based toys (Ware, 2003). The use of ICT can support children with PMLD to develop contingency awareness through a range of both developmental and age appropriate activities (Bean, 2011), providing the child with consistent and predictable visual, auditory and, occasionally, tactile responses. It is important however that, when using technology, the child’s interests are taken into account and that the things that are the most motivating to the learner are used (Talksense, 2015).</w:t>
      </w:r>
    </w:p>
    <w:p w:rsidR="00000000" w:rsidDel="00000000" w:rsidP="00000000" w:rsidRDefault="00000000" w:rsidRPr="00000000" w14:paraId="0000003B">
      <w:pPr>
        <w:spacing w:line="360" w:lineRule="auto"/>
        <w:contextualSpacing w:val="0"/>
        <w:jc w:val="both"/>
        <w:rPr/>
      </w:pPr>
      <w:r w:rsidDel="00000000" w:rsidR="00000000" w:rsidRPr="00000000">
        <w:rPr>
          <w:rtl w:val="0"/>
        </w:rPr>
      </w:r>
    </w:p>
    <w:p w:rsidR="00000000" w:rsidDel="00000000" w:rsidP="00000000" w:rsidRDefault="00000000" w:rsidRPr="00000000" w14:paraId="0000003C">
      <w:pPr>
        <w:spacing w:line="360" w:lineRule="auto"/>
        <w:contextualSpacing w:val="0"/>
        <w:jc w:val="both"/>
        <w:rPr/>
      </w:pPr>
      <w:r w:rsidDel="00000000" w:rsidR="00000000" w:rsidRPr="00000000">
        <w:rPr>
          <w:rtl w:val="0"/>
        </w:rPr>
        <w:t xml:space="preserve">Hogg (2009) suggests that switch technology can be an effective method to teaching children to develop contingency awareness. It enables the child to demonstrate skills that may have not been able to show, encouraging them to do so independently (Hogg, 2009). The Switch Progression Road Map (Bean, 2011) gives guidance in implementing switches within the classroom, providing assessment tools and learning objectives to support teaching. The wide range of types of switches available means that the use of switch technology is accessible for all learners, regardless of how limited their movement is. Time must be taken to ensure that an appropriate switch is used and that the switch is correctly positioned for each child (Bean, 2011). Advice from physiotherapists or occupational therapists may be necessary (Lancioni et al, 2001, cited in Ware, 2003) to ensure that discomfort is limited and that the child’s range of movement is accounted for (Bean, 2011). </w:t>
      </w:r>
    </w:p>
    <w:p w:rsidR="00000000" w:rsidDel="00000000" w:rsidP="00000000" w:rsidRDefault="00000000" w:rsidRPr="00000000" w14:paraId="0000003D">
      <w:pPr>
        <w:spacing w:line="360" w:lineRule="auto"/>
        <w:contextualSpacing w:val="0"/>
        <w:jc w:val="both"/>
        <w:rPr/>
      </w:pPr>
      <w:r w:rsidDel="00000000" w:rsidR="00000000" w:rsidRPr="00000000">
        <w:rPr>
          <w:rtl w:val="0"/>
        </w:rPr>
      </w:r>
    </w:p>
    <w:p w:rsidR="00000000" w:rsidDel="00000000" w:rsidP="00000000" w:rsidRDefault="00000000" w:rsidRPr="00000000" w14:paraId="0000003E">
      <w:pPr>
        <w:spacing w:line="360" w:lineRule="auto"/>
        <w:contextualSpacing w:val="0"/>
        <w:jc w:val="both"/>
        <w:rPr/>
      </w:pPr>
      <w:r w:rsidDel="00000000" w:rsidR="00000000" w:rsidRPr="00000000">
        <w:rPr>
          <w:rtl w:val="0"/>
        </w:rPr>
        <w:t xml:space="preserve">A String Switch could be used as a way of supporting accidental contingency awareness (Talksense, 2015) and could be effective for children with involuntary movements or severely restricted mobility. The activation of this type of switch would simply involve the movement of the body part in which the string is attached. This method for teaching contingency awareness is a similar, just more technologically advanced, method that was used in earlier research involving a ‘contingency mobile’ (Rovee-Collier, 1999; Watson and Ramey, 1972 cited in Smith et al 1988). </w:t>
      </w:r>
    </w:p>
    <w:p w:rsidR="00000000" w:rsidDel="00000000" w:rsidP="00000000" w:rsidRDefault="00000000" w:rsidRPr="00000000" w14:paraId="0000003F">
      <w:pPr>
        <w:spacing w:line="360" w:lineRule="auto"/>
        <w:contextualSpacing w:val="0"/>
        <w:jc w:val="both"/>
        <w:rPr/>
      </w:pPr>
      <w:r w:rsidDel="00000000" w:rsidR="00000000" w:rsidRPr="00000000">
        <w:rPr>
          <w:rtl w:val="0"/>
        </w:rPr>
      </w:r>
    </w:p>
    <w:p w:rsidR="00000000" w:rsidDel="00000000" w:rsidP="00000000" w:rsidRDefault="00000000" w:rsidRPr="00000000" w14:paraId="00000040">
      <w:pPr>
        <w:spacing w:line="360" w:lineRule="auto"/>
        <w:contextualSpacing w:val="0"/>
        <w:jc w:val="both"/>
        <w:rPr/>
      </w:pPr>
      <w:r w:rsidDel="00000000" w:rsidR="00000000" w:rsidRPr="00000000">
        <w:rPr>
          <w:rtl w:val="0"/>
        </w:rPr>
        <w:t xml:space="preserve">Eye Gaze technology can be particularly advantageous for children with involuntary or severely impaired movements. It enables the child to control a computer activity through the use of their eyes (Rytterstrom et al, 2016), these activities ranging from cause and effect games to being used as a communication aid. Eye Gaze technology can be used to develop contingency awareness by providing the child with consistent responses through their eye movements.</w:t>
      </w:r>
    </w:p>
    <w:p w:rsidR="00000000" w:rsidDel="00000000" w:rsidP="00000000" w:rsidRDefault="00000000" w:rsidRPr="00000000" w14:paraId="00000041">
      <w:pPr>
        <w:spacing w:line="360" w:lineRule="auto"/>
        <w:contextualSpacing w:val="0"/>
        <w:jc w:val="both"/>
        <w:rPr/>
      </w:pPr>
      <w:r w:rsidDel="00000000" w:rsidR="00000000" w:rsidRPr="00000000">
        <w:rPr>
          <w:rtl w:val="0"/>
        </w:rPr>
      </w:r>
    </w:p>
    <w:p w:rsidR="00000000" w:rsidDel="00000000" w:rsidP="00000000" w:rsidRDefault="00000000" w:rsidRPr="00000000" w14:paraId="00000042">
      <w:pPr>
        <w:spacing w:line="360" w:lineRule="auto"/>
        <w:contextualSpacing w:val="0"/>
        <w:jc w:val="both"/>
        <w:rPr/>
      </w:pPr>
      <w:r w:rsidDel="00000000" w:rsidR="00000000" w:rsidRPr="00000000">
        <w:rPr>
          <w:rtl w:val="0"/>
        </w:rPr>
        <w:t xml:space="preserve">Discussions with Trust Group members have highlighted the benefits of using technology to promote contingency awareness in classrooms. A variety of switch types are used in schools to provide learners with switches that are accessible and appropriate. Additional resources such as switch activated toys and powerlink switches are present within the majority of schools. Powerlink switches are regularly used for activities such as cooking and life skills, enabling a child to use a switch to activate day-to-day equipment such as microwaves, hairdryers and toasters. This gives the learner the opportunity to develop contingency awareness across a variety of different situations and through activities which are relevant and purposeful to the child. </w:t>
      </w:r>
    </w:p>
    <w:p w:rsidR="00000000" w:rsidDel="00000000" w:rsidP="00000000" w:rsidRDefault="00000000" w:rsidRPr="00000000" w14:paraId="00000043">
      <w:pPr>
        <w:spacing w:line="360" w:lineRule="auto"/>
        <w:contextualSpacing w:val="0"/>
        <w:jc w:val="both"/>
        <w:rPr/>
      </w:pPr>
      <w:r w:rsidDel="00000000" w:rsidR="00000000" w:rsidRPr="00000000">
        <w:rPr>
          <w:rtl w:val="0"/>
        </w:rPr>
      </w:r>
    </w:p>
    <w:p w:rsidR="00000000" w:rsidDel="00000000" w:rsidP="00000000" w:rsidRDefault="00000000" w:rsidRPr="00000000" w14:paraId="00000044">
      <w:pPr>
        <w:spacing w:line="360" w:lineRule="auto"/>
        <w:contextualSpacing w:val="0"/>
        <w:jc w:val="both"/>
        <w:rPr/>
      </w:pPr>
      <w:r w:rsidDel="00000000" w:rsidR="00000000" w:rsidRPr="00000000">
        <w:rPr>
          <w:rtl w:val="0"/>
        </w:rPr>
        <w:t xml:space="preserve">Switches are used throughout my own school as a way of teaching both contingency awareness and communication. They are commonly used as part of circle time routines, through communication sessions, during snack time, to activate toys and provide access to the curriculum. A child in my class has been working towards using a BigMack switch to request ‘more’. The child is particularly motivated by food and has been working towards establishing the connection between pressing the switch and receiving a chocolate button. Initially, the child was repeatedly pressing the switch, regardless of whether or not a response had been given. Over a period of couple of months, the amount of switch pressing started to decrease. Now the child will press the switch once and will not repeat the action until she has finished her chocolate button. This demonstrates the child’s capability at being able to develop contingency awareness by using technology and a highly motivating reward. It highlights that, although the process may have taken longer than it may have taken a typically developing infant, technology can be successful in enabling children with PMLD to develop contingency awareness.</w:t>
      </w:r>
    </w:p>
    <w:p w:rsidR="00000000" w:rsidDel="00000000" w:rsidP="00000000" w:rsidRDefault="00000000" w:rsidRPr="00000000" w14:paraId="00000045">
      <w:pPr>
        <w:spacing w:line="360" w:lineRule="auto"/>
        <w:contextualSpacing w:val="0"/>
        <w:jc w:val="both"/>
        <w:rPr/>
      </w:pPr>
      <w:r w:rsidDel="00000000" w:rsidR="00000000" w:rsidRPr="00000000">
        <w:rPr>
          <w:rtl w:val="0"/>
        </w:rPr>
      </w:r>
    </w:p>
    <w:p w:rsidR="00000000" w:rsidDel="00000000" w:rsidP="00000000" w:rsidRDefault="00000000" w:rsidRPr="00000000" w14:paraId="00000046">
      <w:pPr>
        <w:spacing w:line="360" w:lineRule="auto"/>
        <w:contextualSpacing w:val="0"/>
        <w:jc w:val="both"/>
        <w:rPr/>
      </w:pPr>
      <w:r w:rsidDel="00000000" w:rsidR="00000000" w:rsidRPr="00000000">
        <w:rPr>
          <w:rtl w:val="0"/>
        </w:rPr>
        <w:t xml:space="preserve">Eye gaze technology has been successful for one particular child who is highly motivated by ICT devices, such as Ipads, but has limited motivators when it comes to toys and social interaction. The child will laugh and clap hands when accessing cause and effect games and will engage for long periods of time. Prior to the introduction of eye gaze, the child was passive and withdrawn, spending large parts of the day engaging in self stimulating behaviours (placing her hands in her mouth). The child is now able independently to play cause and effect games through eye gaze and to play her favourite songs through fixing her eye gaze on specific songs.</w:t>
      </w:r>
    </w:p>
    <w:p w:rsidR="00000000" w:rsidDel="00000000" w:rsidP="00000000" w:rsidRDefault="00000000" w:rsidRPr="00000000" w14:paraId="00000047">
      <w:pPr>
        <w:spacing w:line="360" w:lineRule="auto"/>
        <w:contextualSpacing w:val="0"/>
        <w:jc w:val="both"/>
        <w:rPr/>
      </w:pPr>
      <w:r w:rsidDel="00000000" w:rsidR="00000000" w:rsidRPr="00000000">
        <w:rPr>
          <w:rtl w:val="0"/>
        </w:rPr>
      </w:r>
    </w:p>
    <w:p w:rsidR="00000000" w:rsidDel="00000000" w:rsidP="00000000" w:rsidRDefault="00000000" w:rsidRPr="00000000" w14:paraId="00000048">
      <w:pPr>
        <w:spacing w:line="360" w:lineRule="auto"/>
        <w:contextualSpacing w:val="0"/>
        <w:jc w:val="both"/>
        <w:rPr/>
      </w:pPr>
      <w:r w:rsidDel="00000000" w:rsidR="00000000" w:rsidRPr="00000000">
        <w:rPr>
          <w:rtl w:val="0"/>
        </w:rPr>
        <w:t xml:space="preserve">A multisensory environment (MSE) is an area specifically designed to stimulate the child’s senses (Vlaskamp et al, 2003). This may include specially designed environments such as light and dark rooms, hydrotherapy pools and soft play rooms, or it could be an adapted area within the classroom (Pagliano, 2001). The main purpose of using a MSE is to encourage the child to purposefully interact with objects, people and their environment through using their senses (Pagliano, 2001). By doing this, the child will then be able to develop their awareness of social contingencies and cause and effect. </w:t>
      </w:r>
    </w:p>
    <w:p w:rsidR="00000000" w:rsidDel="00000000" w:rsidP="00000000" w:rsidRDefault="00000000" w:rsidRPr="00000000" w14:paraId="00000049">
      <w:pPr>
        <w:spacing w:line="360" w:lineRule="auto"/>
        <w:contextualSpacing w:val="0"/>
        <w:jc w:val="both"/>
        <w:rPr/>
      </w:pPr>
      <w:r w:rsidDel="00000000" w:rsidR="00000000" w:rsidRPr="00000000">
        <w:rPr>
          <w:rtl w:val="0"/>
        </w:rPr>
      </w:r>
    </w:p>
    <w:p w:rsidR="00000000" w:rsidDel="00000000" w:rsidP="00000000" w:rsidRDefault="00000000" w:rsidRPr="00000000" w14:paraId="0000004A">
      <w:pPr>
        <w:spacing w:line="360" w:lineRule="auto"/>
        <w:contextualSpacing w:val="0"/>
        <w:jc w:val="both"/>
        <w:rPr/>
      </w:pPr>
      <w:r w:rsidDel="00000000" w:rsidR="00000000" w:rsidRPr="00000000">
        <w:rPr>
          <w:rtl w:val="0"/>
        </w:rPr>
        <w:t xml:space="preserve">When using a MSE it is important to ensure that the child’s senses are not overloaded and the environment should be created based on the individual child needs (Pagliano, 2001). It is important to work with the child on a 1:1 basis when working on contingency awareness in these rooms to enable the child to develop the awareness that it is them pressing the switch that turns on the equipment (Hogg, 2009).</w:t>
      </w:r>
    </w:p>
    <w:p w:rsidR="00000000" w:rsidDel="00000000" w:rsidP="00000000" w:rsidRDefault="00000000" w:rsidRPr="00000000" w14:paraId="0000004B">
      <w:pPr>
        <w:spacing w:line="360" w:lineRule="auto"/>
        <w:contextualSpacing w:val="0"/>
        <w:jc w:val="both"/>
        <w:rPr/>
      </w:pPr>
      <w:r w:rsidDel="00000000" w:rsidR="00000000" w:rsidRPr="00000000">
        <w:rPr>
          <w:rtl w:val="0"/>
        </w:rPr>
      </w:r>
    </w:p>
    <w:p w:rsidR="00000000" w:rsidDel="00000000" w:rsidP="00000000" w:rsidRDefault="00000000" w:rsidRPr="00000000" w14:paraId="0000004C">
      <w:pPr>
        <w:spacing w:line="360" w:lineRule="auto"/>
        <w:contextualSpacing w:val="0"/>
        <w:jc w:val="both"/>
        <w:rPr/>
      </w:pPr>
      <w:r w:rsidDel="00000000" w:rsidR="00000000" w:rsidRPr="00000000">
        <w:rPr>
          <w:rtl w:val="0"/>
        </w:rPr>
        <w:t xml:space="preserve">Trust Groups discussions have revealed there to be a range of different MSEs within schools. Some of these rooms include: light rooms, dark rooms, soft play rooms, immersion rooms, hydrotherapy pools, sensory gardens and assistive technology driving schools. There was a general agreement suggesting the use of sensory rooms to promote contingency awareness through switch based activities or interactive wall and floor projectors. These activities involve the child using a switch to activate different lights or sound based equipment, and parts of their body to create effects on wall or floor projections. During these discussions we highlighted the importance of using resources that were motivating to the child and ensuring that the room was set up so as to support each individual child’s sensory needs. </w:t>
      </w:r>
    </w:p>
    <w:p w:rsidR="00000000" w:rsidDel="00000000" w:rsidP="00000000" w:rsidRDefault="00000000" w:rsidRPr="00000000" w14:paraId="0000004D">
      <w:pPr>
        <w:spacing w:line="360" w:lineRule="auto"/>
        <w:contextualSpacing w:val="0"/>
        <w:jc w:val="both"/>
        <w:rPr/>
      </w:pPr>
      <w:r w:rsidDel="00000000" w:rsidR="00000000" w:rsidRPr="00000000">
        <w:rPr>
          <w:rtl w:val="0"/>
        </w:rPr>
      </w:r>
    </w:p>
    <w:p w:rsidR="00000000" w:rsidDel="00000000" w:rsidP="00000000" w:rsidRDefault="00000000" w:rsidRPr="00000000" w14:paraId="0000004E">
      <w:pPr>
        <w:spacing w:line="360" w:lineRule="auto"/>
        <w:contextualSpacing w:val="0"/>
        <w:jc w:val="both"/>
        <w:rPr/>
      </w:pPr>
      <w:r w:rsidDel="00000000" w:rsidR="00000000" w:rsidRPr="00000000">
        <w:rPr>
          <w:rtl w:val="0"/>
        </w:rPr>
        <w:t xml:space="preserve">A large part of the day for children with PMLD centres on care routines. Maslow (1954, cited in Imray and Hinchcliffe, 2014) suggested that a child is only able to learn once their basic care needs have been met. This highlights the importance of ensuring that these care needs are put first and taken into consideration when creating an effective learning environment for the child. These care routines can become influential in supporting children with PMLD to develop contingency awareness, providing that these routines are consistent, responsive and appropriate for the child (Imray and Hinchcliffe, 2014). By consistently providing the child with the same cues on a regular basis, the child may eventually be able to link their current experiences to previous ones, supporting the child in developing contingency awareness (Pagliano, 2001). </w:t>
      </w:r>
    </w:p>
    <w:p w:rsidR="00000000" w:rsidDel="00000000" w:rsidP="00000000" w:rsidRDefault="00000000" w:rsidRPr="00000000" w14:paraId="0000004F">
      <w:pPr>
        <w:spacing w:line="360" w:lineRule="auto"/>
        <w:contextualSpacing w:val="0"/>
        <w:jc w:val="both"/>
        <w:rPr/>
      </w:pPr>
      <w:r w:rsidDel="00000000" w:rsidR="00000000" w:rsidRPr="00000000">
        <w:rPr>
          <w:rtl w:val="0"/>
        </w:rPr>
      </w:r>
    </w:p>
    <w:p w:rsidR="00000000" w:rsidDel="00000000" w:rsidP="00000000" w:rsidRDefault="00000000" w:rsidRPr="00000000" w14:paraId="00000050">
      <w:pPr>
        <w:spacing w:line="360" w:lineRule="auto"/>
        <w:contextualSpacing w:val="0"/>
        <w:jc w:val="both"/>
        <w:rPr/>
      </w:pPr>
      <w:r w:rsidDel="00000000" w:rsidR="00000000" w:rsidRPr="00000000">
        <w:rPr>
          <w:rtl w:val="0"/>
        </w:rPr>
        <w:t xml:space="preserve">Through these care routines, giving a consistent response to a specific behaviour will give the child the opportunity to understand that their behaviour can bring a response. A child in my class recently had a hip operation which resulted in her experiencing pain and discomfort. We noticed that after a period of time in her chair she would start to make more vocalisations, would make more ‘flinging’ arm movements and she would often make gasping sounds. On observing this behaviour over a period time, we inferred that the child was becoming uncomfortable in her wheelchair and we began to respond to her behaviour as though she was communicating intentionally. Our consistent response was to provide her with a change of position through using the hoist. She was consistently cued with ‘1, 2, 3 going up’ and soothed through singing and the adult’s hand placed on her arm. As soon as the child was in the hoist there was an obvious change in behaviour whereby her body became more relaxed and her vocalisations and arm movements ceased. A consistent response to the behaviour provides the child with the opportunity to learn that her behaviour brings a response and, over-time, establish the connection that when she behaves in a certain way, a certain action will occur. The child is reliant on an adult interpreting her behaviour and responding to the behaviour appropriately. </w:t>
      </w:r>
    </w:p>
    <w:p w:rsidR="00000000" w:rsidDel="00000000" w:rsidP="00000000" w:rsidRDefault="00000000" w:rsidRPr="00000000" w14:paraId="00000051">
      <w:pPr>
        <w:spacing w:line="360" w:lineRule="auto"/>
        <w:contextualSpacing w:val="0"/>
        <w:jc w:val="both"/>
        <w:rPr/>
      </w:pPr>
      <w:r w:rsidDel="00000000" w:rsidR="00000000" w:rsidRPr="00000000">
        <w:rPr>
          <w:rtl w:val="0"/>
        </w:rPr>
      </w:r>
    </w:p>
    <w:p w:rsidR="00000000" w:rsidDel="00000000" w:rsidP="00000000" w:rsidRDefault="00000000" w:rsidRPr="00000000" w14:paraId="00000052">
      <w:pPr>
        <w:spacing w:line="360" w:lineRule="auto"/>
        <w:contextualSpacing w:val="0"/>
        <w:jc w:val="both"/>
        <w:rPr/>
      </w:pPr>
      <w:r w:rsidDel="00000000" w:rsidR="00000000" w:rsidRPr="00000000">
        <w:rPr>
          <w:rtl w:val="0"/>
        </w:rPr>
        <w:t xml:space="preserve">Positioning and a regular change in posture throughout the day is vital in supporting learning for children with physical difficulties (Petry and Maes, 2007). A change in position allows the child to observe and explore the environment from different angles and helps to support social communicative interactions (McEwan, 1992, in Petry and Maes, 2007). Good posture enables the child to develop their hand, arm and head movements which are important in enabling learning (Smith et al, 2001, cited in Petry and Maes, 2007). This provides the child with a greater opportunity in developing contingency awareness and provides them with further opportunities to explore their own bodies and surrounding environments. Developing hand, arm and head movements will give the child the opportunity to activate resources such as toys, instruments and switches independently and thus providing them with necessary experiences that can support the development of contingency awareness.</w:t>
      </w:r>
    </w:p>
    <w:p w:rsidR="00000000" w:rsidDel="00000000" w:rsidP="00000000" w:rsidRDefault="00000000" w:rsidRPr="00000000" w14:paraId="00000053">
      <w:pPr>
        <w:spacing w:line="360" w:lineRule="auto"/>
        <w:contextualSpacing w:val="0"/>
        <w:jc w:val="both"/>
        <w:rPr/>
      </w:pPr>
      <w:r w:rsidDel="00000000" w:rsidR="00000000" w:rsidRPr="00000000">
        <w:rPr>
          <w:rtl w:val="0"/>
        </w:rPr>
      </w:r>
    </w:p>
    <w:p w:rsidR="00000000" w:rsidDel="00000000" w:rsidP="00000000" w:rsidRDefault="00000000" w:rsidRPr="00000000" w14:paraId="00000054">
      <w:pPr>
        <w:spacing w:line="360" w:lineRule="auto"/>
        <w:contextualSpacing w:val="0"/>
        <w:jc w:val="both"/>
        <w:rPr/>
      </w:pPr>
      <w:r w:rsidDel="00000000" w:rsidR="00000000" w:rsidRPr="00000000">
        <w:rPr>
          <w:rtl w:val="0"/>
        </w:rPr>
        <w:t xml:space="preserve">It can often be difficult to assess whether or not a child has developed contingency awareness. Many children with PMLD will express enjoyment towards the feedback they are getting, however they may have limited understanding as to why these responses occur (Talksense, 2015). Assessing a child’s awareness is important to establish the level the child is working at and to support the child to progress further. </w:t>
      </w:r>
    </w:p>
    <w:p w:rsidR="00000000" w:rsidDel="00000000" w:rsidP="00000000" w:rsidRDefault="00000000" w:rsidRPr="00000000" w14:paraId="00000055">
      <w:pPr>
        <w:spacing w:line="360" w:lineRule="auto"/>
        <w:contextualSpacing w:val="0"/>
        <w:jc w:val="both"/>
        <w:rPr/>
      </w:pPr>
      <w:r w:rsidDel="00000000" w:rsidR="00000000" w:rsidRPr="00000000">
        <w:rPr>
          <w:rtl w:val="0"/>
        </w:rPr>
      </w:r>
    </w:p>
    <w:p w:rsidR="00000000" w:rsidDel="00000000" w:rsidP="00000000" w:rsidRDefault="00000000" w:rsidRPr="00000000" w14:paraId="00000056">
      <w:pPr>
        <w:spacing w:line="360" w:lineRule="auto"/>
        <w:contextualSpacing w:val="0"/>
        <w:jc w:val="both"/>
        <w:rPr/>
      </w:pPr>
      <w:r w:rsidDel="00000000" w:rsidR="00000000" w:rsidRPr="00000000">
        <w:rPr>
          <w:rtl w:val="0"/>
        </w:rPr>
        <w:t xml:space="preserve">The Routes for Learning assessment (Welsh Assembly Government, 2006) is an effective tool for assessing communication and cognition skills for children with PMLD. The Route Map supports the teacher to ‘gather information which will enable them to move each learner through a developmental pattern which makes sense for them’ (Welsh Assembly Government, 2006: 37). Contingency awareness is one of the key developmental milestones in the Routes for Learning assessment, highlighting its importance for children with PMLD.</w:t>
      </w:r>
    </w:p>
    <w:p w:rsidR="00000000" w:rsidDel="00000000" w:rsidP="00000000" w:rsidRDefault="00000000" w:rsidRPr="00000000" w14:paraId="00000057">
      <w:pPr>
        <w:spacing w:line="360" w:lineRule="auto"/>
        <w:contextualSpacing w:val="0"/>
        <w:jc w:val="both"/>
        <w:rPr/>
      </w:pPr>
      <w:r w:rsidDel="00000000" w:rsidR="00000000" w:rsidRPr="00000000">
        <w:rPr>
          <w:rtl w:val="0"/>
        </w:rPr>
      </w:r>
    </w:p>
    <w:p w:rsidR="00000000" w:rsidDel="00000000" w:rsidP="00000000" w:rsidRDefault="00000000" w:rsidRPr="00000000" w14:paraId="00000058">
      <w:pPr>
        <w:spacing w:line="360" w:lineRule="auto"/>
        <w:contextualSpacing w:val="0"/>
        <w:jc w:val="both"/>
        <w:rPr/>
      </w:pPr>
      <w:r w:rsidDel="00000000" w:rsidR="00000000" w:rsidRPr="00000000">
        <w:rPr>
          <w:rtl w:val="0"/>
        </w:rPr>
        <w:t xml:space="preserve">The Affective Communication Assessment (ACA) (Coupe O’Kane and Goldbart, 1998) is a useful assessment tool for recording and tracking a child’s development of communication and social contingency awareness. This involves identifying a set of resources and experience to which the child is known to respond. These resources are then presented to the child and their responses are recorded through the use of an ACA observation sheet. Once observations have been collected, the adult is then able to interpret behaviours, identify the stimuli which elicit the strongest responses and assess whether responses remain the same on subsequent presentations of the resources. This will then result in the adult being able to give more consistent responses to the child’s behaviour.</w:t>
      </w:r>
    </w:p>
    <w:p w:rsidR="00000000" w:rsidDel="00000000" w:rsidP="00000000" w:rsidRDefault="00000000" w:rsidRPr="00000000" w14:paraId="00000059">
      <w:pPr>
        <w:spacing w:line="360" w:lineRule="auto"/>
        <w:contextualSpacing w:val="0"/>
        <w:jc w:val="both"/>
        <w:rPr/>
      </w:pPr>
      <w:r w:rsidDel="00000000" w:rsidR="00000000" w:rsidRPr="00000000">
        <w:rPr>
          <w:rtl w:val="0"/>
        </w:rPr>
      </w:r>
    </w:p>
    <w:p w:rsidR="00000000" w:rsidDel="00000000" w:rsidP="00000000" w:rsidRDefault="00000000" w:rsidRPr="00000000" w14:paraId="0000005A">
      <w:pPr>
        <w:spacing w:line="360" w:lineRule="auto"/>
        <w:contextualSpacing w:val="0"/>
        <w:jc w:val="both"/>
        <w:rPr/>
      </w:pPr>
      <w:r w:rsidDel="00000000" w:rsidR="00000000" w:rsidRPr="00000000">
        <w:rPr>
          <w:rtl w:val="0"/>
        </w:rPr>
        <w:t xml:space="preserve">Providing a responsive environment for a child with PMLD is paramount to enable a child to develop contingency awareness. Lacey (2009, pp: 17) suggests that ‘technology is particularly good for practising contingency awareness but reactions from people can sometimes be even better, especially as people can make decisions about how to respond in relation to the input from the person with PMLD’. The interests and motivation of the child should be taken into consideration when assessing the best resources and environment to use in order to provide the best opportunity for the child to learn. Both social opportunities and technology are effective methods to teach contingency awareness, however both offer different advantages and disadvantages. The individual needs of the child will have a significance influence over which is more effective for learning for that child. </w:t>
      </w:r>
    </w:p>
    <w:p w:rsidR="00000000" w:rsidDel="00000000" w:rsidP="00000000" w:rsidRDefault="00000000" w:rsidRPr="00000000" w14:paraId="0000005B">
      <w:pPr>
        <w:spacing w:line="360" w:lineRule="auto"/>
        <w:contextualSpacing w:val="0"/>
        <w:jc w:val="both"/>
        <w:rPr/>
      </w:pPr>
      <w:r w:rsidDel="00000000" w:rsidR="00000000" w:rsidRPr="00000000">
        <w:rPr>
          <w:rtl w:val="0"/>
        </w:rPr>
      </w:r>
    </w:p>
    <w:p w:rsidR="00000000" w:rsidDel="00000000" w:rsidP="00000000" w:rsidRDefault="00000000" w:rsidRPr="00000000" w14:paraId="0000005C">
      <w:pPr>
        <w:spacing w:line="360" w:lineRule="auto"/>
        <w:contextualSpacing w:val="0"/>
        <w:jc w:val="both"/>
        <w:rPr/>
      </w:pPr>
      <w:bookmarkStart w:colFirst="0" w:colLast="0" w:name="_gjdgxs" w:id="0"/>
      <w:bookmarkEnd w:id="0"/>
      <w:r w:rsidDel="00000000" w:rsidR="00000000" w:rsidRPr="00000000">
        <w:rPr>
          <w:rtl w:val="0"/>
        </w:rPr>
        <w:t xml:space="preserve">Physical objects and technology provide the child with a more predictable and consistent response than a person. They are often more reliable than social contingencies, with them often giving a more instant response to a behaviour (Hogg, 2009). Children may receive more sensory feedback from toys and games and so may find these more rewarding than they may find people. However, toys or technology may break and so therefore become unavailable to the child. Technology can be expensive, experience glitches affecting the speed and consistency of a response and may often not work as expected (Hogg, 2009).</w:t>
      </w:r>
    </w:p>
    <w:p w:rsidR="00000000" w:rsidDel="00000000" w:rsidP="00000000" w:rsidRDefault="00000000" w:rsidRPr="00000000" w14:paraId="0000005D">
      <w:pPr>
        <w:spacing w:line="360" w:lineRule="auto"/>
        <w:contextualSpacing w:val="0"/>
        <w:jc w:val="both"/>
        <w:rPr/>
      </w:pPr>
      <w:r w:rsidDel="00000000" w:rsidR="00000000" w:rsidRPr="00000000">
        <w:rPr>
          <w:rtl w:val="0"/>
        </w:rPr>
      </w:r>
    </w:p>
    <w:p w:rsidR="00000000" w:rsidDel="00000000" w:rsidP="00000000" w:rsidRDefault="00000000" w:rsidRPr="00000000" w14:paraId="0000005E">
      <w:pPr>
        <w:spacing w:line="360" w:lineRule="auto"/>
        <w:contextualSpacing w:val="0"/>
        <w:jc w:val="both"/>
        <w:rPr/>
      </w:pPr>
      <w:r w:rsidDel="00000000" w:rsidR="00000000" w:rsidRPr="00000000">
        <w:rPr>
          <w:rtl w:val="0"/>
        </w:rPr>
        <w:t xml:space="preserve">Social contingencies can promote a child’s social and emotional well-being and encourage the development of intentional communication. However, responses can often be inconsistent, varying from person to person, and behaviours may not always be correctly interpreted. </w:t>
      </w:r>
    </w:p>
    <w:p w:rsidR="00000000" w:rsidDel="00000000" w:rsidP="00000000" w:rsidRDefault="00000000" w:rsidRPr="00000000" w14:paraId="0000005F">
      <w:pPr>
        <w:spacing w:line="360" w:lineRule="auto"/>
        <w:contextualSpacing w:val="0"/>
        <w:jc w:val="both"/>
        <w:rPr/>
      </w:pPr>
      <w:r w:rsidDel="00000000" w:rsidR="00000000" w:rsidRPr="00000000">
        <w:rPr>
          <w:rtl w:val="0"/>
        </w:rPr>
      </w:r>
    </w:p>
    <w:p w:rsidR="00000000" w:rsidDel="00000000" w:rsidP="00000000" w:rsidRDefault="00000000" w:rsidRPr="00000000" w14:paraId="00000060">
      <w:pPr>
        <w:spacing w:line="360" w:lineRule="auto"/>
        <w:contextualSpacing w:val="0"/>
        <w:jc w:val="both"/>
        <w:rPr/>
      </w:pPr>
      <w:r w:rsidDel="00000000" w:rsidR="00000000" w:rsidRPr="00000000">
        <w:rPr>
          <w:rtl w:val="0"/>
        </w:rPr>
        <w:t xml:space="preserve">Overall, consistent and attentive responses to behaviour, whether socially, from objects or technology, will enable the child to develop intentionality, contingency responding and contingency awareness. They will develop the child’s social and emotional wellbeing and develop the child’s understanding of themselves and the world around them. Through this, the child will begin to learn that they can control people and their environment. Children with PMLD are capable of developing contingency awareness, however this development may be slower, happen later on in their lives and additional support may need to be implemented to overcome barriers to learning.  </w:t>
      </w:r>
    </w:p>
    <w:p w:rsidR="00000000" w:rsidDel="00000000" w:rsidP="00000000" w:rsidRDefault="00000000" w:rsidRPr="00000000" w14:paraId="00000061">
      <w:pPr>
        <w:spacing w:line="360" w:lineRule="auto"/>
        <w:contextualSpacing w:val="0"/>
        <w:jc w:val="both"/>
        <w:rPr/>
      </w:pPr>
      <w:r w:rsidDel="00000000" w:rsidR="00000000" w:rsidRPr="00000000">
        <w:br w:type="page"/>
      </w:r>
      <w:r w:rsidDel="00000000" w:rsidR="00000000" w:rsidRPr="00000000">
        <w:rPr>
          <w:rtl w:val="0"/>
        </w:rPr>
      </w:r>
    </w:p>
    <w:p w:rsidR="00000000" w:rsidDel="00000000" w:rsidP="00000000" w:rsidRDefault="00000000" w:rsidRPr="00000000" w14:paraId="00000062">
      <w:pPr>
        <w:spacing w:line="276" w:lineRule="auto"/>
        <w:contextualSpacing w:val="0"/>
        <w:jc w:val="center"/>
        <w:rPr/>
      </w:pPr>
      <w:r w:rsidDel="00000000" w:rsidR="00000000" w:rsidRPr="00000000">
        <w:rPr>
          <w:rtl w:val="0"/>
        </w:rPr>
        <w:t xml:space="preserve">References </w:t>
      </w:r>
    </w:p>
    <w:p w:rsidR="00000000" w:rsidDel="00000000" w:rsidP="00000000" w:rsidRDefault="00000000" w:rsidRPr="00000000" w14:paraId="00000063">
      <w:pPr>
        <w:spacing w:line="276" w:lineRule="auto"/>
        <w:contextualSpacing w:val="0"/>
        <w:jc w:val="center"/>
        <w:rPr/>
      </w:pPr>
      <w:r w:rsidDel="00000000" w:rsidR="00000000" w:rsidRPr="00000000">
        <w:rPr>
          <w:rtl w:val="0"/>
        </w:rPr>
      </w:r>
    </w:p>
    <w:p w:rsidR="00000000" w:rsidDel="00000000" w:rsidP="00000000" w:rsidRDefault="00000000" w:rsidRPr="00000000" w14:paraId="00000064">
      <w:pPr>
        <w:spacing w:line="276" w:lineRule="auto"/>
        <w:contextualSpacing w:val="0"/>
        <w:rPr/>
      </w:pPr>
      <w:r w:rsidDel="00000000" w:rsidR="00000000" w:rsidRPr="00000000">
        <w:rPr>
          <w:rtl w:val="0"/>
        </w:rPr>
        <w:t xml:space="preserve">Bean, I. (2011) </w:t>
      </w:r>
      <w:r w:rsidDel="00000000" w:rsidR="00000000" w:rsidRPr="00000000">
        <w:rPr>
          <w:i w:val="1"/>
          <w:rtl w:val="0"/>
        </w:rPr>
        <w:t xml:space="preserve">Switch Progression Learning Journeys Road Map. </w:t>
      </w:r>
      <w:r w:rsidDel="00000000" w:rsidR="00000000" w:rsidRPr="00000000">
        <w:rPr>
          <w:rtl w:val="0"/>
        </w:rPr>
        <w:t xml:space="preserve">Inclusive Technology. Available at: </w:t>
      </w:r>
      <w:hyperlink r:id="rId6">
        <w:r w:rsidDel="00000000" w:rsidR="00000000" w:rsidRPr="00000000">
          <w:rPr>
            <w:color w:val="1155cc"/>
            <w:u w:val="single"/>
            <w:rtl w:val="0"/>
          </w:rPr>
          <w:t xml:space="preserve">http://www.inclusive.co.uk/Lib/Doc/pubs/switch-progression-road-map.pdf</w:t>
        </w:r>
      </w:hyperlink>
      <w:r w:rsidDel="00000000" w:rsidR="00000000" w:rsidRPr="00000000">
        <w:rPr>
          <w:rtl w:val="0"/>
        </w:rPr>
        <w:t xml:space="preserve"> [Accessed: 14th April 2018]</w:t>
      </w:r>
    </w:p>
    <w:p w:rsidR="00000000" w:rsidDel="00000000" w:rsidP="00000000" w:rsidRDefault="00000000" w:rsidRPr="00000000" w14:paraId="00000065">
      <w:pPr>
        <w:spacing w:line="276" w:lineRule="auto"/>
        <w:contextualSpacing w:val="0"/>
        <w:jc w:val="center"/>
        <w:rPr/>
      </w:pPr>
      <w:r w:rsidDel="00000000" w:rsidR="00000000" w:rsidRPr="00000000">
        <w:rPr>
          <w:rtl w:val="0"/>
        </w:rPr>
      </w:r>
    </w:p>
    <w:p w:rsidR="00000000" w:rsidDel="00000000" w:rsidP="00000000" w:rsidRDefault="00000000" w:rsidRPr="00000000" w14:paraId="00000066">
      <w:pPr>
        <w:spacing w:line="276" w:lineRule="auto"/>
        <w:contextualSpacing w:val="0"/>
        <w:rPr/>
      </w:pPr>
      <w:r w:rsidDel="00000000" w:rsidR="00000000" w:rsidRPr="00000000">
        <w:rPr>
          <w:rtl w:val="0"/>
        </w:rPr>
        <w:t xml:space="preserve">Glenn, S., Cunningham, C., and Shorrock, A. ‘Social interaction in multi sensory environments’ in Bozic, N. and Murdoch, H. (eds), (1996) </w:t>
      </w:r>
      <w:r w:rsidDel="00000000" w:rsidR="00000000" w:rsidRPr="00000000">
        <w:rPr>
          <w:i w:val="1"/>
          <w:rtl w:val="0"/>
        </w:rPr>
        <w:t xml:space="preserve">Learning Through Interaction. Technology and children with Multiple Disabilities.</w:t>
      </w:r>
      <w:r w:rsidDel="00000000" w:rsidR="00000000" w:rsidRPr="00000000">
        <w:rPr>
          <w:rtl w:val="0"/>
        </w:rPr>
        <w:t xml:space="preserve"> London: David Fulton Publishers, pp.66-82.</w:t>
      </w:r>
    </w:p>
    <w:p w:rsidR="00000000" w:rsidDel="00000000" w:rsidP="00000000" w:rsidRDefault="00000000" w:rsidRPr="00000000" w14:paraId="00000067">
      <w:pPr>
        <w:spacing w:line="276" w:lineRule="auto"/>
        <w:contextualSpacing w:val="0"/>
        <w:jc w:val="center"/>
        <w:rPr/>
      </w:pPr>
      <w:r w:rsidDel="00000000" w:rsidR="00000000" w:rsidRPr="00000000">
        <w:rPr>
          <w:rtl w:val="0"/>
        </w:rPr>
      </w:r>
    </w:p>
    <w:p w:rsidR="00000000" w:rsidDel="00000000" w:rsidP="00000000" w:rsidRDefault="00000000" w:rsidRPr="00000000" w14:paraId="00000068">
      <w:pPr>
        <w:spacing w:line="276" w:lineRule="auto"/>
        <w:contextualSpacing w:val="0"/>
        <w:rPr/>
      </w:pPr>
      <w:r w:rsidDel="00000000" w:rsidR="00000000" w:rsidRPr="00000000">
        <w:rPr>
          <w:rtl w:val="0"/>
        </w:rPr>
        <w:t xml:space="preserve">Coupe O’Kane, J., and Goldbart, J. (1998) </w:t>
      </w:r>
      <w:r w:rsidDel="00000000" w:rsidR="00000000" w:rsidRPr="00000000">
        <w:rPr>
          <w:i w:val="1"/>
          <w:rtl w:val="0"/>
        </w:rPr>
        <w:t xml:space="preserve">Communication Before Speech. </w:t>
      </w:r>
      <w:r w:rsidDel="00000000" w:rsidR="00000000" w:rsidRPr="00000000">
        <w:rPr>
          <w:rtl w:val="0"/>
        </w:rPr>
        <w:t xml:space="preserve">(2nd ed) London: David Fulton Publishers</w:t>
      </w:r>
    </w:p>
    <w:p w:rsidR="00000000" w:rsidDel="00000000" w:rsidP="00000000" w:rsidRDefault="00000000" w:rsidRPr="00000000" w14:paraId="00000069">
      <w:pPr>
        <w:spacing w:line="276" w:lineRule="auto"/>
        <w:contextualSpacing w:val="0"/>
        <w:rPr>
          <w:i w:val="1"/>
        </w:rPr>
      </w:pPr>
      <w:r w:rsidDel="00000000" w:rsidR="00000000" w:rsidRPr="00000000">
        <w:rPr>
          <w:rtl w:val="0"/>
        </w:rPr>
      </w:r>
    </w:p>
    <w:p w:rsidR="00000000" w:rsidDel="00000000" w:rsidP="00000000" w:rsidRDefault="00000000" w:rsidRPr="00000000" w14:paraId="0000006A">
      <w:pPr>
        <w:spacing w:line="276" w:lineRule="auto"/>
        <w:contextualSpacing w:val="0"/>
        <w:rPr/>
      </w:pPr>
      <w:r w:rsidDel="00000000" w:rsidR="00000000" w:rsidRPr="00000000">
        <w:rPr>
          <w:rtl w:val="0"/>
        </w:rPr>
        <w:t xml:space="preserve">Davis, J. (2001) </w:t>
      </w:r>
      <w:r w:rsidDel="00000000" w:rsidR="00000000" w:rsidRPr="00000000">
        <w:rPr>
          <w:i w:val="1"/>
          <w:rtl w:val="0"/>
        </w:rPr>
        <w:t xml:space="preserve">A Sensory Approach to the Curriculum for pupils with profound and multiple learning difficulties</w:t>
      </w:r>
      <w:r w:rsidDel="00000000" w:rsidR="00000000" w:rsidRPr="00000000">
        <w:rPr>
          <w:rtl w:val="0"/>
        </w:rPr>
        <w:t xml:space="preserve">. London: David Fulton Publishers.</w:t>
      </w:r>
    </w:p>
    <w:p w:rsidR="00000000" w:rsidDel="00000000" w:rsidP="00000000" w:rsidRDefault="00000000" w:rsidRPr="00000000" w14:paraId="0000006B">
      <w:pPr>
        <w:spacing w:line="276" w:lineRule="auto"/>
        <w:contextualSpacing w:val="0"/>
        <w:rPr/>
      </w:pPr>
      <w:r w:rsidDel="00000000" w:rsidR="00000000" w:rsidRPr="00000000">
        <w:rPr>
          <w:rtl w:val="0"/>
        </w:rPr>
      </w:r>
    </w:p>
    <w:p w:rsidR="00000000" w:rsidDel="00000000" w:rsidP="00000000" w:rsidRDefault="00000000" w:rsidRPr="00000000" w14:paraId="0000006C">
      <w:pPr>
        <w:spacing w:line="276" w:lineRule="auto"/>
        <w:contextualSpacing w:val="0"/>
        <w:rPr/>
      </w:pPr>
      <w:r w:rsidDel="00000000" w:rsidR="00000000" w:rsidRPr="00000000">
        <w:rPr>
          <w:rtl w:val="0"/>
        </w:rPr>
        <w:t xml:space="preserve">DfE (2003) </w:t>
      </w:r>
      <w:r w:rsidDel="00000000" w:rsidR="00000000" w:rsidRPr="00000000">
        <w:rPr>
          <w:i w:val="1"/>
          <w:rtl w:val="0"/>
        </w:rPr>
        <w:t xml:space="preserve">Data Collection by Type of Special Educational Need. </w:t>
      </w:r>
      <w:r w:rsidDel="00000000" w:rsidR="00000000" w:rsidRPr="00000000">
        <w:rPr>
          <w:rtl w:val="0"/>
        </w:rPr>
        <w:t xml:space="preserve">Department for Education and Skills. Available at: </w:t>
      </w:r>
      <w:hyperlink r:id="rId7">
        <w:r w:rsidDel="00000000" w:rsidR="00000000" w:rsidRPr="00000000">
          <w:rPr>
            <w:color w:val="1155cc"/>
            <w:u w:val="single"/>
            <w:rtl w:val="0"/>
          </w:rPr>
          <w:t xml:space="preserve">http://webarchive.nationalarchives.gov.uk/20130402165640/https://www.education.gov.uk/publications/eOrderingDownload/DFES-0536-2003.pdf</w:t>
        </w:r>
      </w:hyperlink>
      <w:r w:rsidDel="00000000" w:rsidR="00000000" w:rsidRPr="00000000">
        <w:rPr>
          <w:rtl w:val="0"/>
        </w:rPr>
        <w:t xml:space="preserve"> [Accessed: 14th April 2014]</w:t>
      </w:r>
    </w:p>
    <w:p w:rsidR="00000000" w:rsidDel="00000000" w:rsidP="00000000" w:rsidRDefault="00000000" w:rsidRPr="00000000" w14:paraId="0000006D">
      <w:pPr>
        <w:spacing w:line="276" w:lineRule="auto"/>
        <w:contextualSpacing w:val="0"/>
        <w:rPr/>
      </w:pPr>
      <w:r w:rsidDel="00000000" w:rsidR="00000000" w:rsidRPr="00000000">
        <w:rPr>
          <w:rtl w:val="0"/>
        </w:rPr>
      </w:r>
    </w:p>
    <w:p w:rsidR="00000000" w:rsidDel="00000000" w:rsidP="00000000" w:rsidRDefault="00000000" w:rsidRPr="00000000" w14:paraId="0000006E">
      <w:pPr>
        <w:spacing w:line="276" w:lineRule="auto"/>
        <w:contextualSpacing w:val="0"/>
        <w:rPr/>
      </w:pPr>
      <w:r w:rsidDel="00000000" w:rsidR="00000000" w:rsidRPr="00000000">
        <w:rPr>
          <w:rtl w:val="0"/>
        </w:rPr>
        <w:t xml:space="preserve">Doukas, T., Fergusson, A., Fullerton, M., Grace, J. (2017) Supporting people with profound and multiple learning disabilities. Core and essential service standards. </w:t>
      </w:r>
    </w:p>
    <w:p w:rsidR="00000000" w:rsidDel="00000000" w:rsidP="00000000" w:rsidRDefault="00000000" w:rsidRPr="00000000" w14:paraId="0000006F">
      <w:pPr>
        <w:spacing w:line="276" w:lineRule="auto"/>
        <w:contextualSpacing w:val="0"/>
        <w:rPr/>
      </w:pPr>
      <w:hyperlink r:id="rId8">
        <w:r w:rsidDel="00000000" w:rsidR="00000000" w:rsidRPr="00000000">
          <w:rPr>
            <w:color w:val="1155cc"/>
            <w:u w:val="single"/>
            <w:rtl w:val="0"/>
          </w:rPr>
          <w:t xml:space="preserve">http://www.centreforwelfarereform.org/uploads/attachment/598/supporting-people-with-pmld.pdf</w:t>
        </w:r>
      </w:hyperlink>
      <w:r w:rsidDel="00000000" w:rsidR="00000000" w:rsidRPr="00000000">
        <w:rPr>
          <w:rtl w:val="0"/>
        </w:rPr>
        <w:t xml:space="preserve"> [Accessed: 10th April 2018]</w:t>
      </w:r>
    </w:p>
    <w:p w:rsidR="00000000" w:rsidDel="00000000" w:rsidP="00000000" w:rsidRDefault="00000000" w:rsidRPr="00000000" w14:paraId="00000070">
      <w:pPr>
        <w:spacing w:line="276" w:lineRule="auto"/>
        <w:contextualSpacing w:val="0"/>
        <w:rPr/>
      </w:pPr>
      <w:r w:rsidDel="00000000" w:rsidR="00000000" w:rsidRPr="00000000">
        <w:rPr>
          <w:rtl w:val="0"/>
        </w:rPr>
      </w:r>
    </w:p>
    <w:p w:rsidR="00000000" w:rsidDel="00000000" w:rsidP="00000000" w:rsidRDefault="00000000" w:rsidRPr="00000000" w14:paraId="00000071">
      <w:pPr>
        <w:spacing w:line="276" w:lineRule="auto"/>
        <w:contextualSpacing w:val="0"/>
        <w:rPr/>
      </w:pPr>
      <w:r w:rsidDel="00000000" w:rsidR="00000000" w:rsidRPr="00000000">
        <w:rPr>
          <w:rtl w:val="0"/>
        </w:rPr>
        <w:t xml:space="preserve">Dunst, C.J., Raab, M., and Hamby, D.W. (2017) ‘Contrasting approaches to the response-contingent learning of young children with significant delays and their social–emotional consequences’, </w:t>
      </w:r>
      <w:r w:rsidDel="00000000" w:rsidR="00000000" w:rsidRPr="00000000">
        <w:rPr>
          <w:i w:val="1"/>
          <w:rtl w:val="0"/>
        </w:rPr>
        <w:t xml:space="preserve">Research in Developmental Disabilities, </w:t>
      </w:r>
      <w:r w:rsidDel="00000000" w:rsidR="00000000" w:rsidRPr="00000000">
        <w:rPr>
          <w:rtl w:val="0"/>
        </w:rPr>
        <w:t xml:space="preserve">63, pp. 67–73 [online]. Available at: </w:t>
      </w:r>
      <w:hyperlink r:id="rId9">
        <w:r w:rsidDel="00000000" w:rsidR="00000000" w:rsidRPr="00000000">
          <w:rPr>
            <w:color w:val="1155cc"/>
            <w:u w:val="single"/>
            <w:rtl w:val="0"/>
          </w:rPr>
          <w:t xml:space="preserve">https://ac.els-cdn.com/S0891422217300604/1-s2.0-S0891422217300604-main.pdf?_tid=c9cf5738-a87a-43fb-9f9f-8b249823e572&amp;acdnat=1523186374_bed58c07479b949a8146e410fdba9449</w:t>
        </w:r>
      </w:hyperlink>
      <w:r w:rsidDel="00000000" w:rsidR="00000000" w:rsidRPr="00000000">
        <w:rPr>
          <w:rtl w:val="0"/>
        </w:rPr>
        <w:t xml:space="preserve"> [Accessed: 10th April 2018]</w:t>
      </w:r>
    </w:p>
    <w:p w:rsidR="00000000" w:rsidDel="00000000" w:rsidP="00000000" w:rsidRDefault="00000000" w:rsidRPr="00000000" w14:paraId="00000072">
      <w:pPr>
        <w:spacing w:line="276" w:lineRule="auto"/>
        <w:contextualSpacing w:val="0"/>
        <w:rPr>
          <w:i w:val="1"/>
        </w:rPr>
      </w:pPr>
      <w:r w:rsidDel="00000000" w:rsidR="00000000" w:rsidRPr="00000000">
        <w:rPr>
          <w:rtl w:val="0"/>
        </w:rPr>
      </w:r>
    </w:p>
    <w:p w:rsidR="00000000" w:rsidDel="00000000" w:rsidP="00000000" w:rsidRDefault="00000000" w:rsidRPr="00000000" w14:paraId="00000073">
      <w:pPr>
        <w:spacing w:line="276" w:lineRule="auto"/>
        <w:contextualSpacing w:val="0"/>
        <w:rPr/>
      </w:pPr>
      <w:r w:rsidDel="00000000" w:rsidR="00000000" w:rsidRPr="00000000">
        <w:rPr>
          <w:rtl w:val="0"/>
        </w:rPr>
        <w:t xml:space="preserve">Farrell, M. (2006). </w:t>
      </w:r>
      <w:r w:rsidDel="00000000" w:rsidR="00000000" w:rsidRPr="00000000">
        <w:rPr>
          <w:i w:val="1"/>
          <w:rtl w:val="0"/>
        </w:rPr>
        <w:t xml:space="preserve">The Effective Teacher's Guide to Moderate, Severe and Profound Learning Difficulties : Practical Strategies</w:t>
      </w:r>
      <w:r w:rsidDel="00000000" w:rsidR="00000000" w:rsidRPr="00000000">
        <w:rPr>
          <w:rtl w:val="0"/>
        </w:rPr>
        <w:t xml:space="preserve">. London: Taylor &amp; Francis </w:t>
      </w:r>
    </w:p>
    <w:p w:rsidR="00000000" w:rsidDel="00000000" w:rsidP="00000000" w:rsidRDefault="00000000" w:rsidRPr="00000000" w14:paraId="00000074">
      <w:pPr>
        <w:spacing w:line="276" w:lineRule="auto"/>
        <w:contextualSpacing w:val="0"/>
        <w:jc w:val="center"/>
        <w:rPr/>
      </w:pPr>
      <w:r w:rsidDel="00000000" w:rsidR="00000000" w:rsidRPr="00000000">
        <w:rPr>
          <w:rtl w:val="0"/>
        </w:rPr>
      </w:r>
    </w:p>
    <w:p w:rsidR="00000000" w:rsidDel="00000000" w:rsidP="00000000" w:rsidRDefault="00000000" w:rsidRPr="00000000" w14:paraId="00000075">
      <w:pPr>
        <w:spacing w:line="276" w:lineRule="auto"/>
        <w:contextualSpacing w:val="0"/>
        <w:rPr/>
      </w:pPr>
      <w:r w:rsidDel="00000000" w:rsidR="00000000" w:rsidRPr="00000000">
        <w:rPr>
          <w:rtl w:val="0"/>
        </w:rPr>
        <w:t xml:space="preserve">Halpenny, A.M. and  Petterson, J. (2014) </w:t>
      </w:r>
      <w:r w:rsidDel="00000000" w:rsidR="00000000" w:rsidRPr="00000000">
        <w:rPr>
          <w:i w:val="1"/>
          <w:rtl w:val="0"/>
        </w:rPr>
        <w:t xml:space="preserve">Introducing Piaget. </w:t>
      </w:r>
      <w:r w:rsidDel="00000000" w:rsidR="00000000" w:rsidRPr="00000000">
        <w:rPr>
          <w:rtl w:val="0"/>
        </w:rPr>
        <w:t xml:space="preserve">London and New York: Routledge, [ebook]. Available at: </w:t>
      </w:r>
      <w:hyperlink r:id="rId10">
        <w:r w:rsidDel="00000000" w:rsidR="00000000" w:rsidRPr="00000000">
          <w:rPr>
            <w:color w:val="1155cc"/>
            <w:u w:val="single"/>
            <w:rtl w:val="0"/>
          </w:rPr>
          <w:t xml:space="preserve">https://www-dawsonera-com.ezproxy.uwtsd.ac.uk/readonline/9780203111895</w:t>
        </w:r>
      </w:hyperlink>
      <w:r w:rsidDel="00000000" w:rsidR="00000000" w:rsidRPr="00000000">
        <w:rPr>
          <w:rtl w:val="0"/>
        </w:rPr>
        <w:t xml:space="preserve"> [Accessed: 4th April 2018]</w:t>
      </w:r>
    </w:p>
    <w:p w:rsidR="00000000" w:rsidDel="00000000" w:rsidP="00000000" w:rsidRDefault="00000000" w:rsidRPr="00000000" w14:paraId="00000076">
      <w:pPr>
        <w:spacing w:line="276" w:lineRule="auto"/>
        <w:contextualSpacing w:val="0"/>
        <w:rPr/>
      </w:pPr>
      <w:r w:rsidDel="00000000" w:rsidR="00000000" w:rsidRPr="00000000">
        <w:rPr>
          <w:rtl w:val="0"/>
        </w:rPr>
      </w:r>
    </w:p>
    <w:p w:rsidR="00000000" w:rsidDel="00000000" w:rsidP="00000000" w:rsidRDefault="00000000" w:rsidRPr="00000000" w14:paraId="00000077">
      <w:pPr>
        <w:spacing w:line="276" w:lineRule="auto"/>
        <w:contextualSpacing w:val="0"/>
        <w:rPr/>
      </w:pPr>
      <w:r w:rsidDel="00000000" w:rsidR="00000000" w:rsidRPr="00000000">
        <w:rPr>
          <w:rtl w:val="0"/>
        </w:rPr>
        <w:t xml:space="preserve">Hewett, D. (2018) ‘How does Intensive Interaction work - what do you do?’ Available at: </w:t>
      </w:r>
      <w:hyperlink r:id="rId11">
        <w:r w:rsidDel="00000000" w:rsidR="00000000" w:rsidRPr="00000000">
          <w:rPr>
            <w:color w:val="1155cc"/>
            <w:u w:val="single"/>
            <w:rtl w:val="0"/>
          </w:rPr>
          <w:t xml:space="preserve">https://www.intensiveinteraction.org/find-out-more/about-intensive-interaction/how-does-it-work/</w:t>
        </w:r>
      </w:hyperlink>
      <w:r w:rsidDel="00000000" w:rsidR="00000000" w:rsidRPr="00000000">
        <w:rPr>
          <w:rtl w:val="0"/>
        </w:rPr>
        <w:t xml:space="preserve"> [Accessed: 15th April 2018].</w:t>
      </w:r>
    </w:p>
    <w:p w:rsidR="00000000" w:rsidDel="00000000" w:rsidP="00000000" w:rsidRDefault="00000000" w:rsidRPr="00000000" w14:paraId="00000078">
      <w:pPr>
        <w:spacing w:line="276" w:lineRule="auto"/>
        <w:contextualSpacing w:val="0"/>
        <w:jc w:val="center"/>
        <w:rPr/>
      </w:pPr>
      <w:r w:rsidDel="00000000" w:rsidR="00000000" w:rsidRPr="00000000">
        <w:rPr>
          <w:rtl w:val="0"/>
        </w:rPr>
      </w:r>
    </w:p>
    <w:p w:rsidR="00000000" w:rsidDel="00000000" w:rsidP="00000000" w:rsidRDefault="00000000" w:rsidRPr="00000000" w14:paraId="00000079">
      <w:pPr>
        <w:spacing w:line="276" w:lineRule="auto"/>
        <w:contextualSpacing w:val="0"/>
        <w:rPr/>
      </w:pPr>
      <w:r w:rsidDel="00000000" w:rsidR="00000000" w:rsidRPr="00000000">
        <w:rPr>
          <w:rtl w:val="0"/>
        </w:rPr>
        <w:t xml:space="preserve">Hogg, R. (2009) ‘Using switch-technology to facilitate the development of</w:t>
        <w:br w:type="textWrapping"/>
        <w:t xml:space="preserve">contingency-awareness in people with PMLD’, </w:t>
      </w:r>
      <w:r w:rsidDel="00000000" w:rsidR="00000000" w:rsidRPr="00000000">
        <w:rPr>
          <w:i w:val="1"/>
          <w:rtl w:val="0"/>
        </w:rPr>
        <w:t xml:space="preserve">PMLD Link</w:t>
      </w:r>
      <w:r w:rsidDel="00000000" w:rsidR="00000000" w:rsidRPr="00000000">
        <w:rPr>
          <w:rtl w:val="0"/>
        </w:rPr>
        <w:t xml:space="preserve">, 21, 2, 63, Summer, pp. 20-25 [online]. Available at: </w:t>
      </w:r>
      <w:hyperlink r:id="rId12">
        <w:r w:rsidDel="00000000" w:rsidR="00000000" w:rsidRPr="00000000">
          <w:rPr>
            <w:color w:val="1155cc"/>
            <w:u w:val="single"/>
            <w:rtl w:val="0"/>
          </w:rPr>
          <w:t xml:space="preserve">http://www.pmldlink.org.uk/wp-content/uploads/2015/09/PMLD-Link-Issue-63.pdf</w:t>
        </w:r>
      </w:hyperlink>
      <w:r w:rsidDel="00000000" w:rsidR="00000000" w:rsidRPr="00000000">
        <w:rPr>
          <w:rtl w:val="0"/>
        </w:rPr>
        <w:t xml:space="preserve"> [Accessed: 2nd March 2018].</w:t>
      </w:r>
    </w:p>
    <w:p w:rsidR="00000000" w:rsidDel="00000000" w:rsidP="00000000" w:rsidRDefault="00000000" w:rsidRPr="00000000" w14:paraId="0000007A">
      <w:pPr>
        <w:spacing w:line="276" w:lineRule="auto"/>
        <w:contextualSpacing w:val="0"/>
        <w:rPr/>
      </w:pPr>
      <w:r w:rsidDel="00000000" w:rsidR="00000000" w:rsidRPr="00000000">
        <w:rPr>
          <w:rtl w:val="0"/>
        </w:rPr>
      </w:r>
    </w:p>
    <w:p w:rsidR="00000000" w:rsidDel="00000000" w:rsidP="00000000" w:rsidRDefault="00000000" w:rsidRPr="00000000" w14:paraId="0000007B">
      <w:pPr>
        <w:spacing w:line="276" w:lineRule="auto"/>
        <w:contextualSpacing w:val="0"/>
        <w:rPr/>
      </w:pPr>
      <w:r w:rsidDel="00000000" w:rsidR="00000000" w:rsidRPr="00000000">
        <w:rPr>
          <w:rtl w:val="0"/>
        </w:rPr>
        <w:t xml:space="preserve">Imray, P., and Hinchcliffe, V. (2014) </w:t>
      </w:r>
      <w:r w:rsidDel="00000000" w:rsidR="00000000" w:rsidRPr="00000000">
        <w:rPr>
          <w:i w:val="1"/>
          <w:rtl w:val="0"/>
        </w:rPr>
        <w:t xml:space="preserve">Curricula for teaching children and young people with severe or profound multiple learning difficulties. Practical strategies for educational professionals. </w:t>
      </w:r>
      <w:r w:rsidDel="00000000" w:rsidR="00000000" w:rsidRPr="00000000">
        <w:rPr>
          <w:rtl w:val="0"/>
        </w:rPr>
        <w:t xml:space="preserve">London: Routledge/Nasen. </w:t>
      </w:r>
    </w:p>
    <w:p w:rsidR="00000000" w:rsidDel="00000000" w:rsidP="00000000" w:rsidRDefault="00000000" w:rsidRPr="00000000" w14:paraId="0000007C">
      <w:pPr>
        <w:spacing w:line="276" w:lineRule="auto"/>
        <w:contextualSpacing w:val="0"/>
        <w:rPr/>
      </w:pPr>
      <w:r w:rsidDel="00000000" w:rsidR="00000000" w:rsidRPr="00000000">
        <w:rPr>
          <w:rtl w:val="0"/>
        </w:rPr>
        <w:t xml:space="preserve">Imray and Colley (2017)</w:t>
      </w:r>
    </w:p>
    <w:p w:rsidR="00000000" w:rsidDel="00000000" w:rsidP="00000000" w:rsidRDefault="00000000" w:rsidRPr="00000000" w14:paraId="0000007D">
      <w:pPr>
        <w:spacing w:line="276" w:lineRule="auto"/>
        <w:contextualSpacing w:val="0"/>
        <w:rPr/>
      </w:pPr>
      <w:r w:rsidDel="00000000" w:rsidR="00000000" w:rsidRPr="00000000">
        <w:rPr>
          <w:rtl w:val="0"/>
        </w:rPr>
      </w:r>
    </w:p>
    <w:p w:rsidR="00000000" w:rsidDel="00000000" w:rsidP="00000000" w:rsidRDefault="00000000" w:rsidRPr="00000000" w14:paraId="0000007E">
      <w:pPr>
        <w:spacing w:line="276" w:lineRule="auto"/>
        <w:contextualSpacing w:val="0"/>
        <w:rPr/>
      </w:pPr>
      <w:r w:rsidDel="00000000" w:rsidR="00000000" w:rsidRPr="00000000">
        <w:rPr>
          <w:rtl w:val="0"/>
        </w:rPr>
        <w:t xml:space="preserve">Lacey, P. (2009) ‘Developing the Thinking of Learners with PMLD’, </w:t>
      </w:r>
      <w:r w:rsidDel="00000000" w:rsidR="00000000" w:rsidRPr="00000000">
        <w:rPr>
          <w:i w:val="1"/>
          <w:rtl w:val="0"/>
        </w:rPr>
        <w:t xml:space="preserve">PMLD Link</w:t>
      </w:r>
      <w:r w:rsidDel="00000000" w:rsidR="00000000" w:rsidRPr="00000000">
        <w:rPr>
          <w:rtl w:val="0"/>
        </w:rPr>
        <w:t xml:space="preserve">, 21, 2, 63, Summer, pp. 20-25 [online]. Available at: </w:t>
      </w:r>
      <w:hyperlink r:id="rId13">
        <w:r w:rsidDel="00000000" w:rsidR="00000000" w:rsidRPr="00000000">
          <w:rPr>
            <w:color w:val="1155cc"/>
            <w:u w:val="single"/>
            <w:rtl w:val="0"/>
          </w:rPr>
          <w:t xml:space="preserve">http://www.pmldlink.org.uk/wp-content/uploads/2015/09/PMLD-Link-Issue-63.pdf</w:t>
        </w:r>
      </w:hyperlink>
      <w:r w:rsidDel="00000000" w:rsidR="00000000" w:rsidRPr="00000000">
        <w:rPr>
          <w:rtl w:val="0"/>
        </w:rPr>
        <w:t xml:space="preserve"> [Accessed: 2nd March 2018].</w:t>
      </w:r>
    </w:p>
    <w:p w:rsidR="00000000" w:rsidDel="00000000" w:rsidP="00000000" w:rsidRDefault="00000000" w:rsidRPr="00000000" w14:paraId="0000007F">
      <w:pPr>
        <w:spacing w:line="276" w:lineRule="auto"/>
        <w:contextualSpacing w:val="0"/>
        <w:rPr/>
      </w:pPr>
      <w:r w:rsidDel="00000000" w:rsidR="00000000" w:rsidRPr="00000000">
        <w:rPr>
          <w:rtl w:val="0"/>
        </w:rPr>
      </w:r>
    </w:p>
    <w:p w:rsidR="00000000" w:rsidDel="00000000" w:rsidP="00000000" w:rsidRDefault="00000000" w:rsidRPr="00000000" w14:paraId="00000080">
      <w:pPr>
        <w:spacing w:line="276" w:lineRule="auto"/>
        <w:contextualSpacing w:val="0"/>
        <w:rPr/>
      </w:pPr>
      <w:r w:rsidDel="00000000" w:rsidR="00000000" w:rsidRPr="00000000">
        <w:rPr>
          <w:rtl w:val="0"/>
        </w:rPr>
        <w:t xml:space="preserve">Mansell, J. (2010) </w:t>
      </w:r>
      <w:r w:rsidDel="00000000" w:rsidR="00000000" w:rsidRPr="00000000">
        <w:rPr>
          <w:i w:val="1"/>
          <w:rtl w:val="0"/>
        </w:rPr>
        <w:t xml:space="preserve">Raising our sights: services for adults with profound intellectual and multiple disabilities. </w:t>
      </w:r>
      <w:r w:rsidDel="00000000" w:rsidR="00000000" w:rsidRPr="00000000">
        <w:rPr>
          <w:rtl w:val="0"/>
        </w:rPr>
        <w:t xml:space="preserve">Mencap, Available at: </w:t>
      </w:r>
      <w:hyperlink r:id="rId14">
        <w:r w:rsidDel="00000000" w:rsidR="00000000" w:rsidRPr="00000000">
          <w:rPr>
            <w:color w:val="1155cc"/>
            <w:u w:val="single"/>
            <w:rtl w:val="0"/>
          </w:rPr>
          <w:t xml:space="preserve">https://www.mencap.org.uk/sites/default/files/2016-06/Raising_our_Sights_report.pdf</w:t>
        </w:r>
      </w:hyperlink>
      <w:r w:rsidDel="00000000" w:rsidR="00000000" w:rsidRPr="00000000">
        <w:rPr>
          <w:rtl w:val="0"/>
        </w:rPr>
        <w:t xml:space="preserve"> [Accessed: 12th April 2018].</w:t>
      </w:r>
    </w:p>
    <w:p w:rsidR="00000000" w:rsidDel="00000000" w:rsidP="00000000" w:rsidRDefault="00000000" w:rsidRPr="00000000" w14:paraId="00000081">
      <w:pPr>
        <w:spacing w:line="276" w:lineRule="auto"/>
        <w:contextualSpacing w:val="0"/>
        <w:rPr/>
      </w:pPr>
      <w:r w:rsidDel="00000000" w:rsidR="00000000" w:rsidRPr="00000000">
        <w:rPr>
          <w:rtl w:val="0"/>
        </w:rPr>
      </w:r>
    </w:p>
    <w:p w:rsidR="00000000" w:rsidDel="00000000" w:rsidP="00000000" w:rsidRDefault="00000000" w:rsidRPr="00000000" w14:paraId="00000082">
      <w:pPr>
        <w:spacing w:line="276" w:lineRule="auto"/>
        <w:contextualSpacing w:val="0"/>
        <w:rPr/>
      </w:pPr>
      <w:r w:rsidDel="00000000" w:rsidR="00000000" w:rsidRPr="00000000">
        <w:rPr>
          <w:highlight w:val="white"/>
          <w:rtl w:val="0"/>
        </w:rPr>
        <w:t xml:space="preserve">McLeod, S. A. (2014). ‘Lev Vygotsky’. Available at: </w:t>
      </w:r>
      <w:hyperlink r:id="rId15">
        <w:r w:rsidDel="00000000" w:rsidR="00000000" w:rsidRPr="00000000">
          <w:rPr>
            <w:highlight w:val="white"/>
            <w:u w:val="single"/>
            <w:rtl w:val="0"/>
          </w:rPr>
          <w:t xml:space="preserve">www.simplypsychology.org/vygotsky.html</w:t>
        </w:r>
      </w:hyperlink>
      <w:r w:rsidDel="00000000" w:rsidR="00000000" w:rsidRPr="00000000">
        <w:rPr>
          <w:highlight w:val="white"/>
          <w:rtl w:val="0"/>
        </w:rPr>
        <w:t xml:space="preserve"> [Accessed: 15th April 2018]</w:t>
      </w:r>
      <w:r w:rsidDel="00000000" w:rsidR="00000000" w:rsidRPr="00000000">
        <w:rPr>
          <w:rtl w:val="0"/>
        </w:rPr>
      </w:r>
    </w:p>
    <w:p w:rsidR="00000000" w:rsidDel="00000000" w:rsidP="00000000" w:rsidRDefault="00000000" w:rsidRPr="00000000" w14:paraId="00000083">
      <w:pPr>
        <w:spacing w:line="276" w:lineRule="auto"/>
        <w:contextualSpacing w:val="0"/>
        <w:rPr/>
      </w:pPr>
      <w:r w:rsidDel="00000000" w:rsidR="00000000" w:rsidRPr="00000000">
        <w:rPr>
          <w:rtl w:val="0"/>
        </w:rPr>
      </w:r>
    </w:p>
    <w:p w:rsidR="00000000" w:rsidDel="00000000" w:rsidP="00000000" w:rsidRDefault="00000000" w:rsidRPr="00000000" w14:paraId="00000084">
      <w:pPr>
        <w:spacing w:line="276" w:lineRule="auto"/>
        <w:contextualSpacing w:val="0"/>
        <w:rPr/>
      </w:pPr>
      <w:r w:rsidDel="00000000" w:rsidR="00000000" w:rsidRPr="00000000">
        <w:rPr>
          <w:rtl w:val="0"/>
        </w:rPr>
        <w:t xml:space="preserve">Pagliano, P. (2001) </w:t>
      </w:r>
      <w:r w:rsidDel="00000000" w:rsidR="00000000" w:rsidRPr="00000000">
        <w:rPr>
          <w:i w:val="1"/>
          <w:rtl w:val="0"/>
        </w:rPr>
        <w:t xml:space="preserve">Using a Multisensory Environment - A Practical Guide for Teachers. </w:t>
      </w:r>
      <w:r w:rsidDel="00000000" w:rsidR="00000000" w:rsidRPr="00000000">
        <w:rPr>
          <w:rtl w:val="0"/>
        </w:rPr>
        <w:t xml:space="preserve">London: David Fulton. </w:t>
      </w:r>
    </w:p>
    <w:p w:rsidR="00000000" w:rsidDel="00000000" w:rsidP="00000000" w:rsidRDefault="00000000" w:rsidRPr="00000000" w14:paraId="00000085">
      <w:pPr>
        <w:spacing w:line="276" w:lineRule="auto"/>
        <w:contextualSpacing w:val="0"/>
        <w:rPr/>
      </w:pPr>
      <w:r w:rsidDel="00000000" w:rsidR="00000000" w:rsidRPr="00000000">
        <w:rPr>
          <w:rtl w:val="0"/>
        </w:rPr>
      </w:r>
    </w:p>
    <w:p w:rsidR="00000000" w:rsidDel="00000000" w:rsidP="00000000" w:rsidRDefault="00000000" w:rsidRPr="00000000" w14:paraId="00000086">
      <w:pPr>
        <w:spacing w:line="276" w:lineRule="auto"/>
        <w:contextualSpacing w:val="0"/>
        <w:rPr/>
      </w:pPr>
      <w:r w:rsidDel="00000000" w:rsidR="00000000" w:rsidRPr="00000000">
        <w:rPr>
          <w:rtl w:val="0"/>
        </w:rPr>
        <w:t xml:space="preserve">Piaget, J. (1964). ‘Cognitive Development in Children: Piaget Development and Learning. </w:t>
      </w:r>
      <w:r w:rsidDel="00000000" w:rsidR="00000000" w:rsidRPr="00000000">
        <w:rPr>
          <w:i w:val="1"/>
          <w:rtl w:val="0"/>
        </w:rPr>
        <w:t xml:space="preserve">Journal of Research in Science Teaching, </w:t>
      </w:r>
      <w:r w:rsidDel="00000000" w:rsidR="00000000" w:rsidRPr="00000000">
        <w:rPr>
          <w:rtl w:val="0"/>
        </w:rPr>
        <w:t xml:space="preserve">2, pp. 176-186.</w:t>
      </w:r>
    </w:p>
    <w:p w:rsidR="00000000" w:rsidDel="00000000" w:rsidP="00000000" w:rsidRDefault="00000000" w:rsidRPr="00000000" w14:paraId="00000087">
      <w:pPr>
        <w:spacing w:line="276" w:lineRule="auto"/>
        <w:contextualSpacing w:val="0"/>
        <w:rPr/>
      </w:pPr>
      <w:r w:rsidDel="00000000" w:rsidR="00000000" w:rsidRPr="00000000">
        <w:rPr>
          <w:rtl w:val="0"/>
        </w:rPr>
      </w:r>
    </w:p>
    <w:p w:rsidR="00000000" w:rsidDel="00000000" w:rsidP="00000000" w:rsidRDefault="00000000" w:rsidRPr="00000000" w14:paraId="00000088">
      <w:pPr>
        <w:spacing w:line="276" w:lineRule="auto"/>
        <w:contextualSpacing w:val="0"/>
        <w:rPr/>
      </w:pPr>
      <w:r w:rsidDel="00000000" w:rsidR="00000000" w:rsidRPr="00000000">
        <w:rPr>
          <w:rtl w:val="0"/>
        </w:rPr>
        <w:t xml:space="preserve">Piaget, J. (1952) </w:t>
      </w:r>
      <w:r w:rsidDel="00000000" w:rsidR="00000000" w:rsidRPr="00000000">
        <w:rPr>
          <w:i w:val="1"/>
          <w:rtl w:val="0"/>
        </w:rPr>
        <w:t xml:space="preserve">The Origins of Intelligence in Children. </w:t>
      </w:r>
      <w:r w:rsidDel="00000000" w:rsidR="00000000" w:rsidRPr="00000000">
        <w:rPr>
          <w:rtl w:val="0"/>
        </w:rPr>
        <w:t xml:space="preserve">New York: International Universities Press Inc, [ebook]. Available at: </w:t>
      </w:r>
      <w:hyperlink r:id="rId16">
        <w:r w:rsidDel="00000000" w:rsidR="00000000" w:rsidRPr="00000000">
          <w:rPr>
            <w:color w:val="1155cc"/>
            <w:u w:val="single"/>
            <w:rtl w:val="0"/>
          </w:rPr>
          <w:t xml:space="preserve">http://www.pitt.edu/~strauss/origins_r.pdf</w:t>
        </w:r>
      </w:hyperlink>
      <w:r w:rsidDel="00000000" w:rsidR="00000000" w:rsidRPr="00000000">
        <w:rPr>
          <w:rtl w:val="0"/>
        </w:rPr>
        <w:t xml:space="preserve"> [Accessed: 10th April 2018].</w:t>
      </w:r>
    </w:p>
    <w:p w:rsidR="00000000" w:rsidDel="00000000" w:rsidP="00000000" w:rsidRDefault="00000000" w:rsidRPr="00000000" w14:paraId="00000089">
      <w:pPr>
        <w:spacing w:line="276" w:lineRule="auto"/>
        <w:contextualSpacing w:val="0"/>
        <w:rPr/>
      </w:pPr>
      <w:r w:rsidDel="00000000" w:rsidR="00000000" w:rsidRPr="00000000">
        <w:rPr>
          <w:rtl w:val="0"/>
        </w:rPr>
      </w:r>
    </w:p>
    <w:p w:rsidR="00000000" w:rsidDel="00000000" w:rsidP="00000000" w:rsidRDefault="00000000" w:rsidRPr="00000000" w14:paraId="0000008A">
      <w:pPr>
        <w:spacing w:line="276" w:lineRule="auto"/>
        <w:contextualSpacing w:val="0"/>
        <w:rPr/>
      </w:pPr>
      <w:r w:rsidDel="00000000" w:rsidR="00000000" w:rsidRPr="00000000">
        <w:rPr>
          <w:rtl w:val="0"/>
        </w:rPr>
        <w:t xml:space="preserve">Petry, K., and Maes, B. (2007) ‘Description of the Support Needs of People with Profound Multiple Disabilities Using the 2002 AAMR System: An Overview of Literature’, </w:t>
      </w:r>
      <w:r w:rsidDel="00000000" w:rsidR="00000000" w:rsidRPr="00000000">
        <w:rPr>
          <w:i w:val="1"/>
          <w:rtl w:val="0"/>
        </w:rPr>
        <w:t xml:space="preserve">Education and Training in Developmental Disabilities, </w:t>
      </w:r>
      <w:r w:rsidDel="00000000" w:rsidR="00000000" w:rsidRPr="00000000">
        <w:rPr>
          <w:rtl w:val="0"/>
        </w:rPr>
        <w:t xml:space="preserve">42, 2, pp. 130 –143 [online]. Available at: </w:t>
      </w:r>
      <w:hyperlink r:id="rId17">
        <w:r w:rsidDel="00000000" w:rsidR="00000000" w:rsidRPr="00000000">
          <w:rPr>
            <w:color w:val="1155cc"/>
            <w:u w:val="single"/>
            <w:rtl w:val="0"/>
          </w:rPr>
          <w:t xml:space="preserve">http://www.daddcec.org/Portals/0/CEC/Autism_Disabilities/Research/Publications/Education_Training_Development_Disabilities/2007v42_Journals/ETDD_200706v42n2p130-143_Description_Support_Needs_People_With_Profound_Multiple.pdf</w:t>
        </w:r>
      </w:hyperlink>
      <w:r w:rsidDel="00000000" w:rsidR="00000000" w:rsidRPr="00000000">
        <w:rPr>
          <w:rtl w:val="0"/>
        </w:rPr>
        <w:t xml:space="preserve"> [Accessed: 14th April 2018].</w:t>
      </w:r>
    </w:p>
    <w:p w:rsidR="00000000" w:rsidDel="00000000" w:rsidP="00000000" w:rsidRDefault="00000000" w:rsidRPr="00000000" w14:paraId="0000008B">
      <w:pPr>
        <w:spacing w:line="276" w:lineRule="auto"/>
        <w:contextualSpacing w:val="0"/>
        <w:rPr/>
      </w:pPr>
      <w:r w:rsidDel="00000000" w:rsidR="00000000" w:rsidRPr="00000000">
        <w:rPr>
          <w:rtl w:val="0"/>
        </w:rPr>
      </w:r>
    </w:p>
    <w:p w:rsidR="00000000" w:rsidDel="00000000" w:rsidP="00000000" w:rsidRDefault="00000000" w:rsidRPr="00000000" w14:paraId="0000008C">
      <w:pPr>
        <w:spacing w:line="276" w:lineRule="auto"/>
        <w:contextualSpacing w:val="0"/>
        <w:rPr/>
      </w:pPr>
      <w:r w:rsidDel="00000000" w:rsidR="00000000" w:rsidRPr="00000000">
        <w:rPr>
          <w:rtl w:val="0"/>
        </w:rPr>
        <w:t xml:space="preserve">Pritchard, A. (2014) </w:t>
      </w:r>
      <w:r w:rsidDel="00000000" w:rsidR="00000000" w:rsidRPr="00000000">
        <w:rPr>
          <w:i w:val="1"/>
          <w:rtl w:val="0"/>
        </w:rPr>
        <w:t xml:space="preserve">Ways of Learning</w:t>
      </w:r>
      <w:r w:rsidDel="00000000" w:rsidR="00000000" w:rsidRPr="00000000">
        <w:rPr>
          <w:rtl w:val="0"/>
        </w:rPr>
        <w:t xml:space="preserve">. (3rd ed) London and New York: Routledge, [ebook]. Available at: </w:t>
      </w:r>
      <w:hyperlink r:id="rId18">
        <w:r w:rsidDel="00000000" w:rsidR="00000000" w:rsidRPr="00000000">
          <w:rPr>
            <w:color w:val="1155cc"/>
            <w:u w:val="single"/>
            <w:rtl w:val="0"/>
          </w:rPr>
          <w:t xml:space="preserve">https://www-dawsonera-com.ezproxy.uwtsd.ac.uk/abstract/9781315852089</w:t>
        </w:r>
      </w:hyperlink>
      <w:r w:rsidDel="00000000" w:rsidR="00000000" w:rsidRPr="00000000">
        <w:rPr>
          <w:rtl w:val="0"/>
        </w:rPr>
        <w:t xml:space="preserve"> [Accessed: 13th April 2018].</w:t>
      </w:r>
    </w:p>
    <w:p w:rsidR="00000000" w:rsidDel="00000000" w:rsidP="00000000" w:rsidRDefault="00000000" w:rsidRPr="00000000" w14:paraId="0000008D">
      <w:pPr>
        <w:spacing w:line="276" w:lineRule="auto"/>
        <w:contextualSpacing w:val="0"/>
        <w:rPr/>
      </w:pPr>
      <w:r w:rsidDel="00000000" w:rsidR="00000000" w:rsidRPr="00000000">
        <w:rPr>
          <w:rtl w:val="0"/>
        </w:rPr>
      </w:r>
    </w:p>
    <w:p w:rsidR="00000000" w:rsidDel="00000000" w:rsidP="00000000" w:rsidRDefault="00000000" w:rsidRPr="00000000" w14:paraId="0000008E">
      <w:pPr>
        <w:spacing w:line="276" w:lineRule="auto"/>
        <w:contextualSpacing w:val="0"/>
        <w:rPr/>
      </w:pPr>
      <w:r w:rsidDel="00000000" w:rsidR="00000000" w:rsidRPr="00000000">
        <w:rPr>
          <w:rtl w:val="0"/>
        </w:rPr>
        <w:t xml:space="preserve">Remington, B. (1996) ‘Assessing the Occurrence of Learning in Children with Profound Intellectual Disability: A Conditioning Approach’, </w:t>
      </w:r>
      <w:r w:rsidDel="00000000" w:rsidR="00000000" w:rsidRPr="00000000">
        <w:rPr>
          <w:i w:val="1"/>
          <w:rtl w:val="0"/>
        </w:rPr>
        <w:t xml:space="preserve">International Journal of Disability, Development and Education, </w:t>
      </w:r>
      <w:r w:rsidDel="00000000" w:rsidR="00000000" w:rsidRPr="00000000">
        <w:rPr>
          <w:rtl w:val="0"/>
        </w:rPr>
        <w:t xml:space="preserve">43, 2, pp. 101-118 [online].</w:t>
      </w:r>
      <w:r w:rsidDel="00000000" w:rsidR="00000000" w:rsidRPr="00000000">
        <w:rPr>
          <w:i w:val="1"/>
          <w:rtl w:val="0"/>
        </w:rPr>
        <w:t xml:space="preserve"> </w:t>
      </w:r>
      <w:r w:rsidDel="00000000" w:rsidR="00000000" w:rsidRPr="00000000">
        <w:rPr>
          <w:rtl w:val="0"/>
        </w:rPr>
        <w:t xml:space="preserve">Available at: </w:t>
      </w:r>
      <w:hyperlink r:id="rId19">
        <w:r w:rsidDel="00000000" w:rsidR="00000000" w:rsidRPr="00000000">
          <w:rPr>
            <w:color w:val="1155cc"/>
            <w:u w:val="single"/>
            <w:rtl w:val="0"/>
          </w:rPr>
          <w:t xml:space="preserve">https://www.tandfonline.com/doi/abs/10.1080/0156655960430202?instName=University+of+Wales+Trinity+Saint+David&amp;needAccess=true&amp;journalCode=cijd20</w:t>
        </w:r>
      </w:hyperlink>
      <w:r w:rsidDel="00000000" w:rsidR="00000000" w:rsidRPr="00000000">
        <w:rPr>
          <w:rtl w:val="0"/>
        </w:rPr>
        <w:t xml:space="preserve"> [Accessed: 14th April 2018].</w:t>
      </w:r>
    </w:p>
    <w:p w:rsidR="00000000" w:rsidDel="00000000" w:rsidP="00000000" w:rsidRDefault="00000000" w:rsidRPr="00000000" w14:paraId="0000008F">
      <w:pPr>
        <w:spacing w:line="276" w:lineRule="auto"/>
        <w:contextualSpacing w:val="0"/>
        <w:rPr/>
      </w:pPr>
      <w:r w:rsidDel="00000000" w:rsidR="00000000" w:rsidRPr="00000000">
        <w:rPr>
          <w:rtl w:val="0"/>
        </w:rPr>
      </w:r>
    </w:p>
    <w:p w:rsidR="00000000" w:rsidDel="00000000" w:rsidP="00000000" w:rsidRDefault="00000000" w:rsidRPr="00000000" w14:paraId="00000090">
      <w:pPr>
        <w:spacing w:line="276" w:lineRule="auto"/>
        <w:contextualSpacing w:val="0"/>
        <w:rPr/>
      </w:pPr>
      <w:r w:rsidDel="00000000" w:rsidR="00000000" w:rsidRPr="00000000">
        <w:rPr>
          <w:rtl w:val="0"/>
        </w:rPr>
        <w:t xml:space="preserve">Rovee-Collier, C. (1999) ‘The development of infant memory’, </w:t>
      </w:r>
      <w:r w:rsidDel="00000000" w:rsidR="00000000" w:rsidRPr="00000000">
        <w:rPr>
          <w:i w:val="1"/>
          <w:rtl w:val="0"/>
        </w:rPr>
        <w:t xml:space="preserve">Current Directions In Psychological Science, </w:t>
      </w:r>
      <w:r w:rsidDel="00000000" w:rsidR="00000000" w:rsidRPr="00000000">
        <w:rPr>
          <w:rtl w:val="0"/>
        </w:rPr>
        <w:t xml:space="preserve">8, 3, pp. 80-85 [online]. Available at: </w:t>
      </w:r>
      <w:hyperlink r:id="rId20">
        <w:r w:rsidDel="00000000" w:rsidR="00000000" w:rsidRPr="00000000">
          <w:rPr>
            <w:color w:val="1155cc"/>
            <w:u w:val="single"/>
            <w:rtl w:val="0"/>
          </w:rPr>
          <w:t xml:space="preserve">https://faculty.washington.edu/sommej/Rovee-Collier1999.pdf</w:t>
        </w:r>
      </w:hyperlink>
      <w:r w:rsidDel="00000000" w:rsidR="00000000" w:rsidRPr="00000000">
        <w:rPr>
          <w:rtl w:val="0"/>
        </w:rPr>
        <w:t xml:space="preserve"> [Accessed: 13th April 2018]</w:t>
      </w:r>
    </w:p>
    <w:p w:rsidR="00000000" w:rsidDel="00000000" w:rsidP="00000000" w:rsidRDefault="00000000" w:rsidRPr="00000000" w14:paraId="00000091">
      <w:pPr>
        <w:spacing w:line="276" w:lineRule="auto"/>
        <w:contextualSpacing w:val="0"/>
        <w:rPr/>
      </w:pPr>
      <w:r w:rsidDel="00000000" w:rsidR="00000000" w:rsidRPr="00000000">
        <w:rPr>
          <w:rtl w:val="0"/>
        </w:rPr>
      </w:r>
    </w:p>
    <w:p w:rsidR="00000000" w:rsidDel="00000000" w:rsidP="00000000" w:rsidRDefault="00000000" w:rsidRPr="00000000" w14:paraId="00000092">
      <w:pPr>
        <w:spacing w:line="276" w:lineRule="auto"/>
        <w:contextualSpacing w:val="0"/>
        <w:rPr/>
      </w:pPr>
      <w:r w:rsidDel="00000000" w:rsidR="00000000" w:rsidRPr="00000000">
        <w:rPr>
          <w:rtl w:val="0"/>
        </w:rPr>
        <w:t xml:space="preserve">Rytterström, P., Borgestig, M., and Hemmingsson, H. (2016): Teachers’ experiences of using eye gaze-controlled computers for pupils with severe motor impairments and without speech, </w:t>
      </w:r>
      <w:r w:rsidDel="00000000" w:rsidR="00000000" w:rsidRPr="00000000">
        <w:rPr>
          <w:i w:val="1"/>
          <w:rtl w:val="0"/>
        </w:rPr>
        <w:t xml:space="preserve">European Journal of Special Needs Education </w:t>
      </w:r>
      <w:r w:rsidDel="00000000" w:rsidR="00000000" w:rsidRPr="00000000">
        <w:rPr>
          <w:rtl w:val="0"/>
        </w:rPr>
        <w:t xml:space="preserve">[online] 1-14. Available at: </w:t>
      </w:r>
      <w:hyperlink r:id="rId21">
        <w:r w:rsidDel="00000000" w:rsidR="00000000" w:rsidRPr="00000000">
          <w:rPr>
            <w:color w:val="1155cc"/>
            <w:u w:val="single"/>
            <w:rtl w:val="0"/>
          </w:rPr>
          <w:t xml:space="preserve">http://liu.diva-portal.org/smash/get/diva2:953132/FULLTEXT01.pdf</w:t>
        </w:r>
      </w:hyperlink>
      <w:r w:rsidDel="00000000" w:rsidR="00000000" w:rsidRPr="00000000">
        <w:rPr>
          <w:rtl w:val="0"/>
        </w:rPr>
        <w:t xml:space="preserve"> [Accessed 29th October 2017]</w:t>
      </w:r>
    </w:p>
    <w:p w:rsidR="00000000" w:rsidDel="00000000" w:rsidP="00000000" w:rsidRDefault="00000000" w:rsidRPr="00000000" w14:paraId="00000093">
      <w:pPr>
        <w:spacing w:line="276" w:lineRule="auto"/>
        <w:contextualSpacing w:val="0"/>
        <w:jc w:val="center"/>
        <w:rPr/>
      </w:pPr>
      <w:r w:rsidDel="00000000" w:rsidR="00000000" w:rsidRPr="00000000">
        <w:rPr>
          <w:rtl w:val="0"/>
        </w:rPr>
      </w:r>
    </w:p>
    <w:p w:rsidR="00000000" w:rsidDel="00000000" w:rsidP="00000000" w:rsidRDefault="00000000" w:rsidRPr="00000000" w14:paraId="00000094">
      <w:pPr>
        <w:spacing w:line="276" w:lineRule="auto"/>
        <w:contextualSpacing w:val="0"/>
        <w:rPr/>
      </w:pPr>
      <w:r w:rsidDel="00000000" w:rsidR="00000000" w:rsidRPr="00000000">
        <w:rPr>
          <w:rtl w:val="0"/>
        </w:rPr>
        <w:t xml:space="preserve">Siegler, R., Deloache, J., and Eisenberg, N. (2006) </w:t>
      </w:r>
      <w:r w:rsidDel="00000000" w:rsidR="00000000" w:rsidRPr="00000000">
        <w:rPr>
          <w:i w:val="1"/>
          <w:rtl w:val="0"/>
        </w:rPr>
        <w:t xml:space="preserve">How Children Develop</w:t>
      </w:r>
      <w:r w:rsidDel="00000000" w:rsidR="00000000" w:rsidRPr="00000000">
        <w:rPr>
          <w:rtl w:val="0"/>
        </w:rPr>
        <w:t xml:space="preserve">. (2nd ed) New York: Worth Publishers.</w:t>
      </w:r>
    </w:p>
    <w:p w:rsidR="00000000" w:rsidDel="00000000" w:rsidP="00000000" w:rsidRDefault="00000000" w:rsidRPr="00000000" w14:paraId="00000095">
      <w:pPr>
        <w:spacing w:line="276" w:lineRule="auto"/>
        <w:contextualSpacing w:val="0"/>
        <w:rPr/>
      </w:pPr>
      <w:r w:rsidDel="00000000" w:rsidR="00000000" w:rsidRPr="00000000">
        <w:rPr>
          <w:rtl w:val="0"/>
        </w:rPr>
      </w:r>
    </w:p>
    <w:p w:rsidR="00000000" w:rsidDel="00000000" w:rsidP="00000000" w:rsidRDefault="00000000" w:rsidRPr="00000000" w14:paraId="00000096">
      <w:pPr>
        <w:spacing w:line="276" w:lineRule="auto"/>
        <w:contextualSpacing w:val="0"/>
        <w:rPr/>
      </w:pPr>
      <w:r w:rsidDel="00000000" w:rsidR="00000000" w:rsidRPr="00000000">
        <w:rPr>
          <w:rtl w:val="0"/>
        </w:rPr>
        <w:t xml:space="preserve">Smith, P.K., Cowie, H., and Blades, M. (1988) </w:t>
      </w:r>
      <w:r w:rsidDel="00000000" w:rsidR="00000000" w:rsidRPr="00000000">
        <w:rPr>
          <w:i w:val="1"/>
          <w:rtl w:val="0"/>
        </w:rPr>
        <w:t xml:space="preserve">Understanding Children’s Development. </w:t>
      </w:r>
      <w:r w:rsidDel="00000000" w:rsidR="00000000" w:rsidRPr="00000000">
        <w:rPr>
          <w:rtl w:val="0"/>
        </w:rPr>
        <w:t xml:space="preserve">Oxford: Blackwell.</w:t>
      </w:r>
    </w:p>
    <w:p w:rsidR="00000000" w:rsidDel="00000000" w:rsidP="00000000" w:rsidRDefault="00000000" w:rsidRPr="00000000" w14:paraId="00000097">
      <w:pPr>
        <w:spacing w:line="276" w:lineRule="auto"/>
        <w:contextualSpacing w:val="0"/>
        <w:rPr/>
      </w:pPr>
      <w:r w:rsidDel="00000000" w:rsidR="00000000" w:rsidRPr="00000000">
        <w:rPr>
          <w:rtl w:val="0"/>
        </w:rPr>
      </w:r>
    </w:p>
    <w:p w:rsidR="00000000" w:rsidDel="00000000" w:rsidP="00000000" w:rsidRDefault="00000000" w:rsidRPr="00000000" w14:paraId="00000098">
      <w:pPr>
        <w:spacing w:line="276" w:lineRule="auto"/>
        <w:contextualSpacing w:val="0"/>
        <w:rPr/>
      </w:pPr>
      <w:r w:rsidDel="00000000" w:rsidR="00000000" w:rsidRPr="00000000">
        <w:rPr>
          <w:rtl w:val="0"/>
        </w:rPr>
        <w:t xml:space="preserve">Talksense (2015) ‘The Development of Contingency Awareness in Individuals Experiencing PMLD (IEPMLD) and beyond: Theory and Practice’. Available at:  </w:t>
      </w:r>
      <w:hyperlink r:id="rId22">
        <w:r w:rsidDel="00000000" w:rsidR="00000000" w:rsidRPr="00000000">
          <w:rPr>
            <w:color w:val="1155cc"/>
            <w:u w:val="single"/>
            <w:rtl w:val="0"/>
          </w:rPr>
          <w:t xml:space="preserve">https://talksense.weebly.com/contingency-awareness.html</w:t>
        </w:r>
      </w:hyperlink>
      <w:r w:rsidDel="00000000" w:rsidR="00000000" w:rsidRPr="00000000">
        <w:rPr>
          <w:rtl w:val="0"/>
        </w:rPr>
        <w:t xml:space="preserve"> [Accessed: 5th March 2018]</w:t>
      </w:r>
    </w:p>
    <w:p w:rsidR="00000000" w:rsidDel="00000000" w:rsidP="00000000" w:rsidRDefault="00000000" w:rsidRPr="00000000" w14:paraId="00000099">
      <w:pPr>
        <w:spacing w:line="276" w:lineRule="auto"/>
        <w:contextualSpacing w:val="0"/>
        <w:rPr/>
      </w:pPr>
      <w:r w:rsidDel="00000000" w:rsidR="00000000" w:rsidRPr="00000000">
        <w:rPr>
          <w:rtl w:val="0"/>
        </w:rPr>
      </w:r>
    </w:p>
    <w:p w:rsidR="00000000" w:rsidDel="00000000" w:rsidP="00000000" w:rsidRDefault="00000000" w:rsidRPr="00000000" w14:paraId="0000009A">
      <w:pPr>
        <w:spacing w:line="276" w:lineRule="auto"/>
        <w:contextualSpacing w:val="0"/>
        <w:rPr/>
      </w:pPr>
      <w:r w:rsidDel="00000000" w:rsidR="00000000" w:rsidRPr="00000000">
        <w:rPr>
          <w:rtl w:val="0"/>
        </w:rPr>
        <w:t xml:space="preserve">Vlaskamp, C., de Geeter, K.L., Huijsman, L.M., and Smit, I.H. (2003) ‘Passive Activities: the Effectiveness of Multisensory Environments on the Level of Activity of Individuals with Profound Multiple Disabilities’, </w:t>
      </w:r>
      <w:r w:rsidDel="00000000" w:rsidR="00000000" w:rsidRPr="00000000">
        <w:rPr>
          <w:i w:val="1"/>
          <w:rtl w:val="0"/>
        </w:rPr>
        <w:t xml:space="preserve">Journal of Applied Research in Intellectual Disabilities</w:t>
      </w:r>
      <w:r w:rsidDel="00000000" w:rsidR="00000000" w:rsidRPr="00000000">
        <w:rPr>
          <w:rtl w:val="0"/>
        </w:rPr>
        <w:t xml:space="preserve">, 16, pp. 135–143 [online]. Available at: </w:t>
      </w:r>
      <w:hyperlink r:id="rId23">
        <w:r w:rsidDel="00000000" w:rsidR="00000000" w:rsidRPr="00000000">
          <w:rPr>
            <w:color w:val="1155cc"/>
            <w:u w:val="single"/>
            <w:rtl w:val="0"/>
          </w:rPr>
          <w:t xml:space="preserve">http://www.isna-mse.org/pdf/English/2003-Onderzoek-Vlaskamp%20et%20al.%20(2003).pdf</w:t>
        </w:r>
      </w:hyperlink>
      <w:r w:rsidDel="00000000" w:rsidR="00000000" w:rsidRPr="00000000">
        <w:rPr>
          <w:rtl w:val="0"/>
        </w:rPr>
        <w:t xml:space="preserve"> [Accessed: 10th April 2018].</w:t>
      </w:r>
    </w:p>
    <w:p w:rsidR="00000000" w:rsidDel="00000000" w:rsidP="00000000" w:rsidRDefault="00000000" w:rsidRPr="00000000" w14:paraId="0000009B">
      <w:pPr>
        <w:spacing w:line="276" w:lineRule="auto"/>
        <w:contextualSpacing w:val="0"/>
        <w:rPr/>
      </w:pPr>
      <w:r w:rsidDel="00000000" w:rsidR="00000000" w:rsidRPr="00000000">
        <w:rPr>
          <w:rtl w:val="0"/>
        </w:rPr>
      </w:r>
    </w:p>
    <w:p w:rsidR="00000000" w:rsidDel="00000000" w:rsidP="00000000" w:rsidRDefault="00000000" w:rsidRPr="00000000" w14:paraId="0000009C">
      <w:pPr>
        <w:spacing w:line="276" w:lineRule="auto"/>
        <w:contextualSpacing w:val="0"/>
        <w:rPr/>
      </w:pPr>
      <w:r w:rsidDel="00000000" w:rsidR="00000000" w:rsidRPr="00000000">
        <w:rPr>
          <w:rtl w:val="0"/>
        </w:rPr>
        <w:t xml:space="preserve">Ware, J. (2003) </w:t>
      </w:r>
      <w:r w:rsidDel="00000000" w:rsidR="00000000" w:rsidRPr="00000000">
        <w:rPr>
          <w:i w:val="1"/>
          <w:rtl w:val="0"/>
        </w:rPr>
        <w:t xml:space="preserve">Creating a responsive environment</w:t>
      </w:r>
      <w:r w:rsidDel="00000000" w:rsidR="00000000" w:rsidRPr="00000000">
        <w:rPr>
          <w:rtl w:val="0"/>
        </w:rPr>
        <w:t xml:space="preserve"> (2nd edition). London: David Fulton.</w:t>
      </w:r>
    </w:p>
    <w:p w:rsidR="00000000" w:rsidDel="00000000" w:rsidP="00000000" w:rsidRDefault="00000000" w:rsidRPr="00000000" w14:paraId="0000009D">
      <w:pPr>
        <w:spacing w:line="276" w:lineRule="auto"/>
        <w:contextualSpacing w:val="0"/>
        <w:rPr/>
      </w:pPr>
      <w:r w:rsidDel="00000000" w:rsidR="00000000" w:rsidRPr="00000000">
        <w:rPr>
          <w:rtl w:val="0"/>
        </w:rPr>
      </w:r>
    </w:p>
    <w:p w:rsidR="00000000" w:rsidDel="00000000" w:rsidP="00000000" w:rsidRDefault="00000000" w:rsidRPr="00000000" w14:paraId="0000009E">
      <w:pPr>
        <w:spacing w:line="276" w:lineRule="auto"/>
        <w:contextualSpacing w:val="0"/>
        <w:rPr/>
      </w:pPr>
      <w:r w:rsidDel="00000000" w:rsidR="00000000" w:rsidRPr="00000000">
        <w:rPr>
          <w:rtl w:val="0"/>
        </w:rPr>
        <w:t xml:space="preserve">Watson, J.S. (1966) ‘The development and generalisation of “Contingency Awareness” in early infancy: some hypotheses’, </w:t>
      </w:r>
      <w:r w:rsidDel="00000000" w:rsidR="00000000" w:rsidRPr="00000000">
        <w:rPr>
          <w:i w:val="1"/>
          <w:rtl w:val="0"/>
        </w:rPr>
        <w:t xml:space="preserve">Merrill-Palmer Quarterly of Behaviour and Development, </w:t>
      </w:r>
      <w:r w:rsidDel="00000000" w:rsidR="00000000" w:rsidRPr="00000000">
        <w:rPr>
          <w:rtl w:val="0"/>
        </w:rPr>
        <w:t xml:space="preserve">12, 2, pp.123-135, [Online]. Available at: </w:t>
      </w:r>
      <w:hyperlink r:id="rId24">
        <w:r w:rsidDel="00000000" w:rsidR="00000000" w:rsidRPr="00000000">
          <w:rPr>
            <w:color w:val="1155cc"/>
            <w:u w:val="single"/>
            <w:rtl w:val="0"/>
          </w:rPr>
          <w:t xml:space="preserve">http://www.jstor.org.ezproxy.uwtsd.ac.uk/stable/23082793?seq=12#page_scan_tab_contents</w:t>
        </w:r>
      </w:hyperlink>
      <w:r w:rsidDel="00000000" w:rsidR="00000000" w:rsidRPr="00000000">
        <w:rPr>
          <w:rtl w:val="0"/>
        </w:rPr>
        <w:t xml:space="preserve"> [Accessed: 4th March 2018]</w:t>
      </w:r>
    </w:p>
    <w:p w:rsidR="00000000" w:rsidDel="00000000" w:rsidP="00000000" w:rsidRDefault="00000000" w:rsidRPr="00000000" w14:paraId="0000009F">
      <w:pPr>
        <w:spacing w:line="276" w:lineRule="auto"/>
        <w:contextualSpacing w:val="0"/>
        <w:rPr/>
      </w:pPr>
      <w:r w:rsidDel="00000000" w:rsidR="00000000" w:rsidRPr="00000000">
        <w:rPr>
          <w:rtl w:val="0"/>
        </w:rPr>
      </w:r>
    </w:p>
    <w:p w:rsidR="00000000" w:rsidDel="00000000" w:rsidP="00000000" w:rsidRDefault="00000000" w:rsidRPr="00000000" w14:paraId="000000A0">
      <w:pPr>
        <w:spacing w:line="276" w:lineRule="auto"/>
        <w:contextualSpacing w:val="0"/>
        <w:rPr/>
      </w:pPr>
      <w:r w:rsidDel="00000000" w:rsidR="00000000" w:rsidRPr="00000000">
        <w:rPr>
          <w:rtl w:val="0"/>
        </w:rPr>
        <w:t xml:space="preserve">Welsh Assembly Government (2006). </w:t>
      </w:r>
      <w:r w:rsidDel="00000000" w:rsidR="00000000" w:rsidRPr="00000000">
        <w:rPr>
          <w:i w:val="1"/>
          <w:rtl w:val="0"/>
        </w:rPr>
        <w:t xml:space="preserve">Routes for Learning: Assessment materials for learners with profound learning difficulties and additional disabilities. </w:t>
      </w:r>
      <w:r w:rsidDel="00000000" w:rsidR="00000000" w:rsidRPr="00000000">
        <w:rPr>
          <w:rtl w:val="0"/>
        </w:rPr>
        <w:t xml:space="preserve">Cardiff: Welsh Assembly Government.</w:t>
      </w:r>
    </w:p>
    <w:p w:rsidR="00000000" w:rsidDel="00000000" w:rsidP="00000000" w:rsidRDefault="00000000" w:rsidRPr="00000000" w14:paraId="000000A1">
      <w:pPr>
        <w:spacing w:line="276" w:lineRule="auto"/>
        <w:contextualSpacing w:val="0"/>
        <w:rPr/>
      </w:pPr>
      <w:r w:rsidDel="00000000" w:rsidR="00000000" w:rsidRPr="00000000">
        <w:rPr>
          <w:rtl w:val="0"/>
        </w:rPr>
      </w:r>
    </w:p>
    <w:p w:rsidR="00000000" w:rsidDel="00000000" w:rsidP="00000000" w:rsidRDefault="00000000" w:rsidRPr="00000000" w14:paraId="000000A2">
      <w:pPr>
        <w:spacing w:line="276" w:lineRule="auto"/>
        <w:contextualSpacing w:val="0"/>
        <w:rPr/>
      </w:pPr>
      <w:r w:rsidDel="00000000" w:rsidR="00000000" w:rsidRPr="00000000">
        <w:rPr>
          <w:rtl w:val="0"/>
        </w:rPr>
      </w:r>
    </w:p>
    <w:p w:rsidR="00000000" w:rsidDel="00000000" w:rsidP="00000000" w:rsidRDefault="00000000" w:rsidRPr="00000000" w14:paraId="000000A3">
      <w:pPr>
        <w:spacing w:line="360" w:lineRule="auto"/>
        <w:contextualSpacing w:val="0"/>
        <w:jc w:val="both"/>
        <w:rPr/>
      </w:pPr>
      <w:r w:rsidDel="00000000" w:rsidR="00000000" w:rsidRPr="00000000">
        <w:rPr>
          <w:rtl w:val="0"/>
        </w:rPr>
      </w:r>
    </w:p>
    <w:p w:rsidR="00000000" w:rsidDel="00000000" w:rsidP="00000000" w:rsidRDefault="00000000" w:rsidRPr="00000000" w14:paraId="000000A4">
      <w:pPr>
        <w:contextualSpacing w:val="0"/>
        <w:rPr/>
      </w:pPr>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faculty.washington.edu/sommej/Rovee-Collier1999.pdf" TargetMode="External"/><Relationship Id="rId11" Type="http://schemas.openxmlformats.org/officeDocument/2006/relationships/hyperlink" Target="https://www.intensiveinteraction.org/find-out-more/about-intensive-interaction/how-does-it-work/" TargetMode="External"/><Relationship Id="rId22" Type="http://schemas.openxmlformats.org/officeDocument/2006/relationships/hyperlink" Target="https://talksense.weebly.com/contingency-awareness.html" TargetMode="External"/><Relationship Id="rId10" Type="http://schemas.openxmlformats.org/officeDocument/2006/relationships/hyperlink" Target="https://www-dawsonera-com.ezproxy.uwtsd.ac.uk/readonline/9780203111895" TargetMode="External"/><Relationship Id="rId21" Type="http://schemas.openxmlformats.org/officeDocument/2006/relationships/hyperlink" Target="http://liu.diva-portal.org/smash/get/diva2:953132/FULLTEXT01.pdf" TargetMode="External"/><Relationship Id="rId13" Type="http://schemas.openxmlformats.org/officeDocument/2006/relationships/hyperlink" Target="http://www.pmldlink.org.uk/wp-content/uploads/2015/09/PMLD-Link-Issue-63.pdf" TargetMode="External"/><Relationship Id="rId24" Type="http://schemas.openxmlformats.org/officeDocument/2006/relationships/hyperlink" Target="http://www.jstor.org.ezproxy.uwtsd.ac.uk/stable/23082793?seq=12#page_scan_tab_contents" TargetMode="External"/><Relationship Id="rId12" Type="http://schemas.openxmlformats.org/officeDocument/2006/relationships/hyperlink" Target="http://www.pmldlink.org.uk/wp-content/uploads/2015/09/PMLD-Link-Issue-63.pdf" TargetMode="External"/><Relationship Id="rId23" Type="http://schemas.openxmlformats.org/officeDocument/2006/relationships/hyperlink" Target="http://www.isna-mse.org/pdf/English/2003-Onderzoek-Vlaskamp%20et%20al.%20(2003).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c.els-cdn.com/S0891422217300604/1-s2.0-S0891422217300604-main.pdf?_tid=c9cf5738-a87a-43fb-9f9f-8b249823e572&amp;acdnat=1523186374_bed58c07479b949a8146e410fdba9449" TargetMode="External"/><Relationship Id="rId15" Type="http://schemas.openxmlformats.org/officeDocument/2006/relationships/hyperlink" Target="http://www.simplypsychology.org/vygotsky.html" TargetMode="External"/><Relationship Id="rId14" Type="http://schemas.openxmlformats.org/officeDocument/2006/relationships/hyperlink" Target="https://www.mencap.org.uk/sites/default/files/2016-06/Raising_our_Sights_report.pdf" TargetMode="External"/><Relationship Id="rId17" Type="http://schemas.openxmlformats.org/officeDocument/2006/relationships/hyperlink" Target="http://www.daddcec.org/Portals/0/CEC/Autism_Disabilities/Research/Publications/Education_Training_Development_Disabilities/2007v42_Journals/ETDD_200706v42n2p130-143_Description_Support_Needs_People_With_Profound_Multiple.pdf" TargetMode="External"/><Relationship Id="rId16" Type="http://schemas.openxmlformats.org/officeDocument/2006/relationships/hyperlink" Target="http://www.pitt.edu/~strauss/origins_r.pdf" TargetMode="External"/><Relationship Id="rId5" Type="http://schemas.openxmlformats.org/officeDocument/2006/relationships/styles" Target="styles.xml"/><Relationship Id="rId19" Type="http://schemas.openxmlformats.org/officeDocument/2006/relationships/hyperlink" Target="https://www.tandfonline.com/doi/abs/10.1080/0156655960430202?instName=University+of+Wales+Trinity+Saint+David&amp;needAccess=true&amp;journalCode=cijd20" TargetMode="External"/><Relationship Id="rId6" Type="http://schemas.openxmlformats.org/officeDocument/2006/relationships/hyperlink" Target="http://www.inclusive.co.uk/Lib/Doc/pubs/switch-progression-road-map.pdf" TargetMode="External"/><Relationship Id="rId18" Type="http://schemas.openxmlformats.org/officeDocument/2006/relationships/hyperlink" Target="https://www-dawsonera-com.ezproxy.uwtsd.ac.uk/abstract/9781315852089" TargetMode="External"/><Relationship Id="rId7" Type="http://schemas.openxmlformats.org/officeDocument/2006/relationships/hyperlink" Target="http://webarchive.nationalarchives.gov.uk/20130402165640/https://www.education.gov.uk/publications/eOrderingDownload/DFES-0536-2003.pdf" TargetMode="External"/><Relationship Id="rId8" Type="http://schemas.openxmlformats.org/officeDocument/2006/relationships/hyperlink" Target="http://www.centreforwelfarereform.org/uploads/attachment/598/supporting-people-with-pml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