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240"/>
        <w:jc w:val="center"/>
        <w:rPr>
          <w:rFonts w:eastAsiaTheme="majorEastAsia" w:cstheme="majorBidi"/>
          <w:color w:val="2F5597" w:themeColor="accent1" w:themeShade="BF"/>
          <w:sz w:val="32"/>
          <w:szCs w:val="32"/>
        </w:rPr>
      </w:pPr>
      <w:r>
        <w:drawing>
          <wp:inline distT="0" distB="0" distL="0" distR="0">
            <wp:extent cx="2609850" cy="1266825"/>
            <wp:effectExtent l="0" t="0" r="0" b="9525"/>
            <wp:docPr id="510072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072653" name="Picture 1"/>
                    <pic:cNvPicPr>
                      <a:picLocks noChangeAspect="1"/>
                    </pic:cNvPicPr>
                  </pic:nvPicPr>
                  <pic:blipFill>
                    <a:blip r:embed="rId7"/>
                    <a:stretch>
                      <a:fillRect/>
                    </a:stretch>
                  </pic:blipFill>
                  <pic:spPr>
                    <a:xfrm>
                      <a:off x="0" y="0"/>
                      <a:ext cx="2609850" cy="1266825"/>
                    </a:xfrm>
                    <a:prstGeom prst="rect">
                      <a:avLst/>
                    </a:prstGeom>
                  </pic:spPr>
                </pic:pic>
              </a:graphicData>
            </a:graphic>
          </wp:inline>
        </w:drawing>
      </w:r>
    </w:p>
    <w:p>
      <w:pPr>
        <w:spacing w:before="240"/>
      </w:pPr>
    </w:p>
    <w:p>
      <w:pPr>
        <w:spacing w:before="240"/>
        <w:jc w:val="center"/>
        <w:rPr>
          <w:b/>
          <w:bCs/>
          <w:sz w:val="36"/>
          <w:szCs w:val="36"/>
        </w:rPr>
      </w:pPr>
    </w:p>
    <w:p>
      <w:pPr>
        <w:spacing w:before="240"/>
        <w:jc w:val="center"/>
        <w:rPr>
          <w:b/>
          <w:bCs/>
          <w:sz w:val="36"/>
          <w:szCs w:val="36"/>
        </w:rPr>
      </w:pPr>
      <w:r>
        <w:rPr>
          <w:b/>
          <w:bCs/>
          <w:sz w:val="36"/>
          <w:szCs w:val="36"/>
        </w:rPr>
        <w:t>BMIH5007 Financial Management for the Hotel Industry</w:t>
      </w:r>
    </w:p>
    <w:p>
      <w:pPr>
        <w:spacing w:before="240"/>
        <w:jc w:val="center"/>
        <w:rPr>
          <w:b/>
          <w:bCs/>
          <w:sz w:val="36"/>
          <w:szCs w:val="36"/>
        </w:rPr>
      </w:pPr>
      <w:r>
        <w:rPr>
          <w:b/>
          <w:bCs/>
          <w:sz w:val="36"/>
          <w:szCs w:val="36"/>
        </w:rPr>
        <w:t>Business Report - Comparison of Two Hospitality Organisations</w:t>
      </w:r>
    </w:p>
    <w:p>
      <w:pPr>
        <w:spacing w:before="240"/>
        <w:jc w:val="center"/>
        <w:rPr>
          <w:rFonts w:hint="default"/>
          <w:sz w:val="44"/>
          <w:szCs w:val="44"/>
          <w:lang w:val="en-GB"/>
        </w:rPr>
      </w:pPr>
      <w:r>
        <w:rPr>
          <w:sz w:val="44"/>
          <w:szCs w:val="44"/>
        </w:rPr>
        <w:t>Assessment 1</w:t>
      </w:r>
      <w:r>
        <w:rPr>
          <w:rFonts w:hint="default"/>
          <w:sz w:val="44"/>
          <w:szCs w:val="44"/>
          <w:lang w:val="en-GB"/>
        </w:rPr>
        <w:t xml:space="preserve">  </w:t>
      </w:r>
    </w:p>
    <w:p>
      <w:pPr>
        <w:spacing w:before="240"/>
        <w:jc w:val="center"/>
        <w:rPr>
          <w:rFonts w:hint="default"/>
          <w:sz w:val="32"/>
          <w:szCs w:val="32"/>
          <w:lang w:val="en-GB"/>
        </w:rPr>
      </w:pPr>
    </w:p>
    <w:p>
      <w:pPr>
        <w:spacing w:before="240"/>
        <w:ind w:firstLine="1600" w:firstLineChars="500"/>
        <w:jc w:val="both"/>
        <w:rPr>
          <w:rFonts w:hint="default"/>
          <w:sz w:val="32"/>
          <w:szCs w:val="32"/>
          <w:lang w:val="en-GB"/>
        </w:rPr>
      </w:pPr>
      <w:r>
        <w:rPr>
          <w:rFonts w:hint="default"/>
          <w:sz w:val="32"/>
          <w:szCs w:val="32"/>
          <w:lang w:val="en-GB"/>
        </w:rPr>
        <w:t xml:space="preserve">                 Name: Md Muhibur Rahman  </w:t>
      </w:r>
    </w:p>
    <w:p>
      <w:pPr>
        <w:keepNext w:val="0"/>
        <w:keepLines w:val="0"/>
        <w:widowControl/>
        <w:suppressLineNumbers w:val="0"/>
        <w:suppressAutoHyphens/>
        <w:autoSpaceDE/>
        <w:autoSpaceDN w:val="0"/>
        <w:spacing w:before="240" w:beforeAutospacing="0" w:after="160" w:afterAutospacing="0" w:line="360" w:lineRule="auto"/>
        <w:ind w:left="0" w:right="0"/>
        <w:jc w:val="center"/>
        <w:rPr>
          <w:rFonts w:hint="default" w:ascii="Times New Roman" w:hAnsi="Times New Roman" w:cs="Arial"/>
          <w:kern w:val="0"/>
          <w:sz w:val="32"/>
          <w:szCs w:val="32"/>
          <w:lang w:val="en-US" w:eastAsia="en-US"/>
        </w:rPr>
      </w:pPr>
      <w:r>
        <w:rPr>
          <w:rFonts w:hint="default" w:eastAsia="Calibri" w:cs="Arial"/>
          <w:kern w:val="0"/>
          <w:sz w:val="32"/>
          <w:szCs w:val="32"/>
          <w:lang w:val="en-GB" w:eastAsia="en-US" w:bidi="ar"/>
          <w14:ligatures w14:val="standardContextual"/>
        </w:rPr>
        <w:t xml:space="preserve">     </w:t>
      </w:r>
      <w:r>
        <w:rPr>
          <w:rFonts w:hint="default" w:ascii="Times New Roman" w:hAnsi="Times New Roman" w:eastAsia="Calibri" w:cs="Arial"/>
          <w:kern w:val="0"/>
          <w:sz w:val="32"/>
          <w:szCs w:val="32"/>
          <w:lang w:val="en-US" w:eastAsia="en-US" w:bidi="ar"/>
          <w14:ligatures w14:val="standardContextual"/>
        </w:rPr>
        <w:t>Student Number: 2127738</w:t>
      </w:r>
    </w:p>
    <w:p>
      <w:pPr>
        <w:keepNext w:val="0"/>
        <w:keepLines w:val="0"/>
        <w:widowControl/>
        <w:suppressLineNumbers w:val="0"/>
        <w:suppressAutoHyphens/>
        <w:autoSpaceDE/>
        <w:autoSpaceDN w:val="0"/>
        <w:spacing w:before="240" w:beforeAutospacing="0" w:after="160" w:afterAutospacing="0" w:line="360" w:lineRule="auto"/>
        <w:ind w:left="0" w:right="0" w:firstLine="3040" w:firstLineChars="950"/>
        <w:jc w:val="both"/>
        <w:rPr>
          <w:rFonts w:hint="default" w:ascii="Times New Roman" w:hAnsi="Times New Roman" w:cs="Arial"/>
          <w:kern w:val="0"/>
          <w:sz w:val="32"/>
          <w:szCs w:val="32"/>
          <w:lang w:val="en-US" w:eastAsia="en-US"/>
        </w:rPr>
      </w:pPr>
      <w:r>
        <w:rPr>
          <w:rFonts w:hint="default" w:ascii="Times New Roman" w:hAnsi="Times New Roman" w:eastAsia="Calibri" w:cs="Arial"/>
          <w:kern w:val="0"/>
          <w:sz w:val="32"/>
          <w:szCs w:val="32"/>
          <w:lang w:val="en-US" w:eastAsia="en-US" w:bidi="ar"/>
          <w14:ligatures w14:val="standardContextual"/>
        </w:rPr>
        <w:t>Moodle: BMIH5007</w:t>
      </w:r>
      <w:bookmarkStart w:id="9" w:name="_GoBack"/>
      <w:bookmarkEnd w:id="9"/>
    </w:p>
    <w:p>
      <w:pPr>
        <w:keepNext w:val="0"/>
        <w:keepLines w:val="0"/>
        <w:widowControl/>
        <w:suppressLineNumbers w:val="0"/>
        <w:suppressAutoHyphens/>
        <w:autoSpaceDE/>
        <w:autoSpaceDN w:val="0"/>
        <w:spacing w:before="240" w:beforeAutospacing="0" w:after="160" w:afterAutospacing="0" w:line="360" w:lineRule="auto"/>
        <w:ind w:left="0" w:right="0"/>
        <w:jc w:val="center"/>
        <w:rPr>
          <w:rFonts w:hint="default" w:ascii="Times New Roman" w:hAnsi="Times New Roman" w:cs="Arial"/>
          <w:kern w:val="0"/>
          <w:sz w:val="44"/>
          <w:szCs w:val="44"/>
          <w:lang w:val="en-US" w:eastAsia="en-US"/>
        </w:rPr>
      </w:pPr>
      <w:r>
        <w:rPr>
          <w:rFonts w:hint="default" w:eastAsia="Calibri" w:cs="Arial"/>
          <w:kern w:val="0"/>
          <w:sz w:val="32"/>
          <w:szCs w:val="32"/>
          <w:lang w:val="en-GB" w:eastAsia="en-US" w:bidi="ar"/>
          <w14:ligatures w14:val="standardContextual"/>
        </w:rPr>
        <w:t xml:space="preserve">            </w:t>
      </w:r>
      <w:r>
        <w:rPr>
          <w:rFonts w:hint="default" w:ascii="Times New Roman" w:hAnsi="Times New Roman" w:eastAsia="Calibri" w:cs="Arial"/>
          <w:kern w:val="0"/>
          <w:sz w:val="32"/>
          <w:szCs w:val="32"/>
          <w:lang w:val="en-US" w:eastAsia="en-US" w:bidi="ar"/>
          <w14:ligatures w14:val="standardContextual"/>
        </w:rPr>
        <w:t>Techer Name: Tristan Hawkins</w:t>
      </w:r>
    </w:p>
    <w:p>
      <w:pPr>
        <w:spacing w:before="240"/>
        <w:ind w:firstLine="2200" w:firstLineChars="500"/>
        <w:jc w:val="both"/>
        <w:rPr>
          <w:rFonts w:hint="default"/>
          <w:sz w:val="44"/>
          <w:szCs w:val="44"/>
          <w:lang w:val="en-GB"/>
        </w:rPr>
      </w:pPr>
    </w:p>
    <w:p>
      <w:pPr>
        <w:spacing w:before="240"/>
        <w:jc w:val="center"/>
        <w:rPr>
          <w:sz w:val="44"/>
          <w:szCs w:val="44"/>
        </w:rPr>
      </w:pPr>
      <w:r>
        <w:rPr>
          <w:sz w:val="44"/>
          <w:szCs w:val="44"/>
        </w:rPr>
        <w:br w:type="page"/>
      </w:r>
    </w:p>
    <w:p>
      <w:pPr>
        <w:spacing w:before="240"/>
        <w:jc w:val="left"/>
        <w:rPr>
          <w:rFonts w:eastAsiaTheme="majorEastAsia" w:cstheme="majorBidi"/>
          <w:color w:val="2F5597" w:themeColor="accent1" w:themeShade="BF"/>
          <w:sz w:val="32"/>
          <w:szCs w:val="32"/>
        </w:rPr>
      </w:pPr>
    </w:p>
    <w:sdt>
      <w:sdtPr>
        <w:rPr>
          <w:rFonts w:ascii="Times New Roman" w:hAnsi="Times New Roman" w:eastAsiaTheme="minorHAnsi" w:cstheme="minorBidi"/>
          <w:color w:val="auto"/>
          <w:sz w:val="24"/>
          <w:szCs w:val="22"/>
          <w:lang w:eastAsia="en-US"/>
          <w14:ligatures w14:val="standardContextual"/>
        </w:rPr>
        <w:id w:val="86276829"/>
        <w:docPartObj>
          <w:docPartGallery w:val="Table of Contents"/>
          <w:docPartUnique/>
        </w:docPartObj>
      </w:sdtPr>
      <w:sdtEndPr>
        <w:rPr>
          <w:rFonts w:ascii="Times New Roman" w:hAnsi="Times New Roman" w:eastAsiaTheme="minorHAnsi" w:cstheme="minorBidi"/>
          <w:bCs/>
          <w:color w:val="auto"/>
          <w:sz w:val="24"/>
          <w:szCs w:val="22"/>
          <w:lang w:eastAsia="en-US"/>
          <w14:ligatures w14:val="standardContextual"/>
        </w:rPr>
      </w:sdtEndPr>
      <w:sdtContent>
        <w:p>
          <w:pPr>
            <w:pStyle w:val="18"/>
            <w:spacing w:line="360" w:lineRule="auto"/>
            <w:rPr>
              <w:rStyle w:val="13"/>
              <w:b w:val="0"/>
            </w:rPr>
          </w:pPr>
          <w:r>
            <w:rPr>
              <w:rStyle w:val="13"/>
              <w:b w:val="0"/>
            </w:rPr>
            <w:t>Contents</w:t>
          </w:r>
        </w:p>
        <w:p>
          <w:pPr>
            <w:pStyle w:val="11"/>
            <w:tabs>
              <w:tab w:val="right" w:leader="dot" w:pos="9019"/>
            </w:tabs>
            <w:spacing w:before="240"/>
            <w:rPr>
              <w:rFonts w:asciiTheme="minorHAnsi" w:hAnsiTheme="minorHAnsi" w:eastAsiaTheme="minorEastAsia"/>
              <w:kern w:val="2"/>
              <w:sz w:val="22"/>
              <w:lang w:eastAsia="en-GB"/>
            </w:rPr>
          </w:pPr>
          <w:r>
            <w:fldChar w:fldCharType="begin"/>
          </w:r>
          <w:r>
            <w:instrText xml:space="preserve"> TOC \o "1-3" \h \z \u </w:instrText>
          </w:r>
          <w:r>
            <w:fldChar w:fldCharType="separate"/>
          </w:r>
          <w:r>
            <w:fldChar w:fldCharType="begin"/>
          </w:r>
          <w:r>
            <w:instrText xml:space="preserve"> HYPERLINK \l "_Toc147056730" </w:instrText>
          </w:r>
          <w:r>
            <w:fldChar w:fldCharType="separate"/>
          </w:r>
          <w:r>
            <w:rPr>
              <w:rStyle w:val="8"/>
            </w:rPr>
            <w:t>Introduction</w:t>
          </w:r>
          <w:r>
            <w:tab/>
          </w:r>
          <w:r>
            <w:fldChar w:fldCharType="begin"/>
          </w:r>
          <w:r>
            <w:instrText xml:space="preserve"> PAGEREF _Toc147056730 \h </w:instrText>
          </w:r>
          <w:r>
            <w:fldChar w:fldCharType="separate"/>
          </w:r>
          <w:r>
            <w:t>3</w:t>
          </w:r>
          <w:r>
            <w:fldChar w:fldCharType="end"/>
          </w:r>
          <w:r>
            <w:fldChar w:fldCharType="end"/>
          </w:r>
        </w:p>
        <w:p>
          <w:pPr>
            <w:pStyle w:val="11"/>
            <w:tabs>
              <w:tab w:val="right" w:leader="dot" w:pos="9019"/>
            </w:tabs>
            <w:spacing w:before="240"/>
            <w:rPr>
              <w:rFonts w:asciiTheme="minorHAnsi" w:hAnsiTheme="minorHAnsi" w:eastAsiaTheme="minorEastAsia"/>
              <w:kern w:val="2"/>
              <w:sz w:val="22"/>
              <w:lang w:eastAsia="en-GB"/>
            </w:rPr>
          </w:pPr>
          <w:r>
            <w:fldChar w:fldCharType="begin"/>
          </w:r>
          <w:r>
            <w:instrText xml:space="preserve"> HYPERLINK \l "_Toc147056731" </w:instrText>
          </w:r>
          <w:r>
            <w:fldChar w:fldCharType="separate"/>
          </w:r>
          <w:r>
            <w:rPr>
              <w:rStyle w:val="8"/>
            </w:rPr>
            <w:t>Comparison of Mandarin Oriental Hotel Group and Premier Inn.</w:t>
          </w:r>
          <w:r>
            <w:tab/>
          </w:r>
          <w:r>
            <w:fldChar w:fldCharType="begin"/>
          </w:r>
          <w:r>
            <w:instrText xml:space="preserve"> PAGEREF _Toc147056731 \h </w:instrText>
          </w:r>
          <w:r>
            <w:fldChar w:fldCharType="separate"/>
          </w:r>
          <w:r>
            <w:t>4</w:t>
          </w:r>
          <w:r>
            <w:fldChar w:fldCharType="end"/>
          </w:r>
          <w:r>
            <w:fldChar w:fldCharType="end"/>
          </w:r>
        </w:p>
        <w:p>
          <w:pPr>
            <w:pStyle w:val="12"/>
            <w:tabs>
              <w:tab w:val="right" w:leader="dot" w:pos="9019"/>
            </w:tabs>
            <w:spacing w:before="240"/>
            <w:rPr>
              <w:rFonts w:asciiTheme="minorHAnsi" w:hAnsiTheme="minorHAnsi" w:eastAsiaTheme="minorEastAsia"/>
              <w:kern w:val="2"/>
              <w:sz w:val="22"/>
              <w:lang w:eastAsia="en-GB"/>
            </w:rPr>
          </w:pPr>
          <w:r>
            <w:fldChar w:fldCharType="begin"/>
          </w:r>
          <w:r>
            <w:instrText xml:space="preserve"> HYPERLINK \l "_Toc147056732" </w:instrText>
          </w:r>
          <w:r>
            <w:fldChar w:fldCharType="separate"/>
          </w:r>
          <w:r>
            <w:rPr>
              <w:rStyle w:val="8"/>
            </w:rPr>
            <w:t>Total Revenue:</w:t>
          </w:r>
          <w:r>
            <w:tab/>
          </w:r>
          <w:r>
            <w:fldChar w:fldCharType="begin"/>
          </w:r>
          <w:r>
            <w:instrText xml:space="preserve"> PAGEREF _Toc147056732 \h </w:instrText>
          </w:r>
          <w:r>
            <w:fldChar w:fldCharType="separate"/>
          </w:r>
          <w:r>
            <w:t>5</w:t>
          </w:r>
          <w:r>
            <w:fldChar w:fldCharType="end"/>
          </w:r>
          <w:r>
            <w:fldChar w:fldCharType="end"/>
          </w:r>
        </w:p>
        <w:p>
          <w:pPr>
            <w:pStyle w:val="12"/>
            <w:tabs>
              <w:tab w:val="right" w:leader="dot" w:pos="9019"/>
            </w:tabs>
            <w:spacing w:before="240"/>
            <w:rPr>
              <w:rFonts w:asciiTheme="minorHAnsi" w:hAnsiTheme="minorHAnsi" w:eastAsiaTheme="minorEastAsia"/>
              <w:kern w:val="2"/>
              <w:sz w:val="22"/>
              <w:lang w:eastAsia="en-GB"/>
            </w:rPr>
          </w:pPr>
          <w:r>
            <w:fldChar w:fldCharType="begin"/>
          </w:r>
          <w:r>
            <w:instrText xml:space="preserve"> HYPERLINK \l "_Toc147056733" </w:instrText>
          </w:r>
          <w:r>
            <w:fldChar w:fldCharType="separate"/>
          </w:r>
          <w:r>
            <w:rPr>
              <w:rStyle w:val="8"/>
            </w:rPr>
            <w:t>Market Position:</w:t>
          </w:r>
          <w:r>
            <w:tab/>
          </w:r>
          <w:r>
            <w:fldChar w:fldCharType="begin"/>
          </w:r>
          <w:r>
            <w:instrText xml:space="preserve"> PAGEREF _Toc147056733 \h </w:instrText>
          </w:r>
          <w:r>
            <w:fldChar w:fldCharType="separate"/>
          </w:r>
          <w:r>
            <w:t>6</w:t>
          </w:r>
          <w:r>
            <w:fldChar w:fldCharType="end"/>
          </w:r>
          <w:r>
            <w:fldChar w:fldCharType="end"/>
          </w:r>
        </w:p>
        <w:p>
          <w:pPr>
            <w:pStyle w:val="12"/>
            <w:tabs>
              <w:tab w:val="right" w:leader="dot" w:pos="9019"/>
            </w:tabs>
            <w:spacing w:before="240"/>
            <w:rPr>
              <w:rFonts w:asciiTheme="minorHAnsi" w:hAnsiTheme="minorHAnsi" w:eastAsiaTheme="minorEastAsia"/>
              <w:kern w:val="2"/>
              <w:sz w:val="22"/>
              <w:lang w:eastAsia="en-GB"/>
            </w:rPr>
          </w:pPr>
          <w:r>
            <w:fldChar w:fldCharType="begin"/>
          </w:r>
          <w:r>
            <w:instrText xml:space="preserve"> HYPERLINK \l "_Toc147056734" </w:instrText>
          </w:r>
          <w:r>
            <w:fldChar w:fldCharType="separate"/>
          </w:r>
          <w:r>
            <w:rPr>
              <w:rStyle w:val="8"/>
            </w:rPr>
            <w:t>Growth Potential:</w:t>
          </w:r>
          <w:r>
            <w:tab/>
          </w:r>
          <w:r>
            <w:fldChar w:fldCharType="begin"/>
          </w:r>
          <w:r>
            <w:instrText xml:space="preserve"> PAGEREF _Toc147056734 \h </w:instrText>
          </w:r>
          <w:r>
            <w:fldChar w:fldCharType="separate"/>
          </w:r>
          <w:r>
            <w:t>7</w:t>
          </w:r>
          <w:r>
            <w:fldChar w:fldCharType="end"/>
          </w:r>
          <w:r>
            <w:fldChar w:fldCharType="end"/>
          </w:r>
        </w:p>
        <w:p>
          <w:pPr>
            <w:pStyle w:val="12"/>
            <w:tabs>
              <w:tab w:val="right" w:leader="dot" w:pos="9019"/>
            </w:tabs>
            <w:spacing w:before="240"/>
            <w:rPr>
              <w:rFonts w:asciiTheme="minorHAnsi" w:hAnsiTheme="minorHAnsi" w:eastAsiaTheme="minorEastAsia"/>
              <w:kern w:val="2"/>
              <w:sz w:val="22"/>
              <w:lang w:eastAsia="en-GB"/>
            </w:rPr>
          </w:pPr>
          <w:r>
            <w:fldChar w:fldCharType="begin"/>
          </w:r>
          <w:r>
            <w:instrText xml:space="preserve"> HYPERLINK \l "_Toc147056735" </w:instrText>
          </w:r>
          <w:r>
            <w:fldChar w:fldCharType="separate"/>
          </w:r>
          <w:r>
            <w:rPr>
              <w:rStyle w:val="8"/>
            </w:rPr>
            <w:t>Financial Commitment to CSR (Corporate Social Responsibility):</w:t>
          </w:r>
          <w:r>
            <w:tab/>
          </w:r>
          <w:r>
            <w:fldChar w:fldCharType="begin"/>
          </w:r>
          <w:r>
            <w:instrText xml:space="preserve"> PAGEREF _Toc147056735 \h </w:instrText>
          </w:r>
          <w:r>
            <w:fldChar w:fldCharType="separate"/>
          </w:r>
          <w:r>
            <w:t>8</w:t>
          </w:r>
          <w:r>
            <w:fldChar w:fldCharType="end"/>
          </w:r>
          <w:r>
            <w:fldChar w:fldCharType="end"/>
          </w:r>
        </w:p>
        <w:p>
          <w:pPr>
            <w:pStyle w:val="11"/>
            <w:tabs>
              <w:tab w:val="right" w:leader="dot" w:pos="9019"/>
            </w:tabs>
            <w:spacing w:before="240"/>
            <w:rPr>
              <w:rFonts w:asciiTheme="minorHAnsi" w:hAnsiTheme="minorHAnsi" w:eastAsiaTheme="minorEastAsia"/>
              <w:kern w:val="2"/>
              <w:sz w:val="22"/>
              <w:lang w:eastAsia="en-GB"/>
            </w:rPr>
          </w:pPr>
          <w:r>
            <w:fldChar w:fldCharType="begin"/>
          </w:r>
          <w:r>
            <w:instrText xml:space="preserve"> HYPERLINK \l "_Toc147056736" </w:instrText>
          </w:r>
          <w:r>
            <w:fldChar w:fldCharType="separate"/>
          </w:r>
          <w:r>
            <w:rPr>
              <w:rStyle w:val="8"/>
            </w:rPr>
            <w:t>Recommendations:</w:t>
          </w:r>
          <w:r>
            <w:tab/>
          </w:r>
          <w:r>
            <w:fldChar w:fldCharType="begin"/>
          </w:r>
          <w:r>
            <w:instrText xml:space="preserve"> PAGEREF _Toc147056736 \h </w:instrText>
          </w:r>
          <w:r>
            <w:fldChar w:fldCharType="separate"/>
          </w:r>
          <w:r>
            <w:t>10</w:t>
          </w:r>
          <w:r>
            <w:fldChar w:fldCharType="end"/>
          </w:r>
          <w:r>
            <w:fldChar w:fldCharType="end"/>
          </w:r>
        </w:p>
        <w:p>
          <w:pPr>
            <w:pStyle w:val="11"/>
            <w:tabs>
              <w:tab w:val="right" w:leader="dot" w:pos="9019"/>
            </w:tabs>
            <w:spacing w:before="240"/>
            <w:rPr>
              <w:rFonts w:asciiTheme="minorHAnsi" w:hAnsiTheme="minorHAnsi" w:eastAsiaTheme="minorEastAsia"/>
              <w:kern w:val="2"/>
              <w:sz w:val="22"/>
              <w:lang w:eastAsia="en-GB"/>
            </w:rPr>
          </w:pPr>
          <w:r>
            <w:fldChar w:fldCharType="begin"/>
          </w:r>
          <w:r>
            <w:instrText xml:space="preserve"> HYPERLINK \l "_Toc147056737" </w:instrText>
          </w:r>
          <w:r>
            <w:fldChar w:fldCharType="separate"/>
          </w:r>
          <w:r>
            <w:rPr>
              <w:rStyle w:val="8"/>
            </w:rPr>
            <w:t>Conclusion:</w:t>
          </w:r>
          <w:r>
            <w:tab/>
          </w:r>
          <w:r>
            <w:fldChar w:fldCharType="begin"/>
          </w:r>
          <w:r>
            <w:instrText xml:space="preserve"> PAGEREF _Toc147056737 \h </w:instrText>
          </w:r>
          <w:r>
            <w:fldChar w:fldCharType="separate"/>
          </w:r>
          <w:r>
            <w:t>11</w:t>
          </w:r>
          <w:r>
            <w:fldChar w:fldCharType="end"/>
          </w:r>
          <w:r>
            <w:fldChar w:fldCharType="end"/>
          </w:r>
        </w:p>
        <w:p>
          <w:pPr>
            <w:pStyle w:val="11"/>
            <w:tabs>
              <w:tab w:val="right" w:leader="dot" w:pos="9019"/>
            </w:tabs>
            <w:spacing w:before="240"/>
            <w:rPr>
              <w:rFonts w:asciiTheme="minorHAnsi" w:hAnsiTheme="minorHAnsi" w:eastAsiaTheme="minorEastAsia"/>
              <w:kern w:val="2"/>
              <w:sz w:val="22"/>
              <w:lang w:eastAsia="en-GB"/>
            </w:rPr>
          </w:pPr>
          <w:r>
            <w:fldChar w:fldCharType="begin"/>
          </w:r>
          <w:r>
            <w:instrText xml:space="preserve"> HYPERLINK \l "_Toc147056738" </w:instrText>
          </w:r>
          <w:r>
            <w:fldChar w:fldCharType="separate"/>
          </w:r>
          <w:r>
            <w:rPr>
              <w:rStyle w:val="8"/>
            </w:rPr>
            <w:t>References:</w:t>
          </w:r>
          <w:r>
            <w:tab/>
          </w:r>
          <w:r>
            <w:fldChar w:fldCharType="begin"/>
          </w:r>
          <w:r>
            <w:instrText xml:space="preserve"> PAGEREF _Toc147056738 \h </w:instrText>
          </w:r>
          <w:r>
            <w:fldChar w:fldCharType="separate"/>
          </w:r>
          <w:r>
            <w:t>12</w:t>
          </w:r>
          <w:r>
            <w:fldChar w:fldCharType="end"/>
          </w:r>
          <w:r>
            <w:fldChar w:fldCharType="end"/>
          </w:r>
        </w:p>
        <w:p>
          <w:pPr>
            <w:spacing w:before="240"/>
          </w:pPr>
          <w:r>
            <w:rPr>
              <w:b/>
              <w:bCs/>
            </w:rPr>
            <w:fldChar w:fldCharType="end"/>
          </w:r>
        </w:p>
      </w:sdtContent>
    </w:sdt>
    <w:p>
      <w:pPr>
        <w:spacing w:before="240"/>
        <w:jc w:val="left"/>
        <w:rPr>
          <w:rFonts w:eastAsiaTheme="majorEastAsia" w:cstheme="majorBidi"/>
          <w:color w:val="2F5597" w:themeColor="accent1" w:themeShade="BF"/>
          <w:sz w:val="32"/>
          <w:szCs w:val="32"/>
        </w:rPr>
      </w:pPr>
    </w:p>
    <w:p>
      <w:pPr>
        <w:spacing w:before="240"/>
        <w:jc w:val="left"/>
        <w:rPr>
          <w:rFonts w:eastAsiaTheme="majorEastAsia" w:cstheme="majorBidi"/>
          <w:color w:val="2F5597" w:themeColor="accent1" w:themeShade="BF"/>
          <w:sz w:val="32"/>
          <w:szCs w:val="32"/>
        </w:rPr>
      </w:pPr>
      <w:r>
        <w:br w:type="page"/>
      </w:r>
    </w:p>
    <w:p>
      <w:pPr>
        <w:pStyle w:val="2"/>
      </w:pPr>
      <w:bookmarkStart w:id="0" w:name="_Toc147056730"/>
      <w:r>
        <w:t>Introduction</w:t>
      </w:r>
      <w:bookmarkEnd w:id="0"/>
    </w:p>
    <w:p>
      <w:pPr>
        <w:spacing w:before="240"/>
      </w:pPr>
      <w:r>
        <w:t>To maintain profitable operations over time, sound financial management in the hotel business is essential. Allocating a company's financial resources wisely is a key component of competent financial management. Cost management, revenue maximization, and making sound investments are just some of the difficulties hotels confront in the cutthroat hospitality sector (Lee et al., 2015). Hotels must master these fiscal difficulties if they want to provide superior service to their guests and remain competitive. Not only does sound financial management insulate hotels from the effects of economic volatility, it also frees up capital for long-term planning and new ideas. This introductory section emphasizes the necessity of sound financial strategies in today's ever-changing hospitality industry and the vital role they play in guaranteeing the profitability and long-term performance of hotels.</w:t>
      </w:r>
      <w:r>
        <w:br w:type="page"/>
      </w:r>
    </w:p>
    <w:p>
      <w:pPr>
        <w:pStyle w:val="2"/>
      </w:pPr>
      <w:bookmarkStart w:id="1" w:name="_Toc147056731"/>
      <w:r>
        <w:t>Comparison of Mandarin Oriental Hotel Group and Premier Inn.</w:t>
      </w:r>
      <w:bookmarkEnd w:id="1"/>
    </w:p>
    <w:p>
      <w:pPr>
        <w:spacing w:before="240"/>
      </w:pPr>
      <w:r>
        <w:t>Both Premier Inn and Mandarin Oriental Hotel Group are colossal names in the international hotel business, yet they operate from very different niches.</w:t>
      </w:r>
    </w:p>
    <w:p>
      <w:pPr>
        <w:spacing w:before="240"/>
      </w:pPr>
      <w:r>
        <w:t>The Mandarin Oriental Hotel Group is a collection of high-end, five-star hotels known for their elegance and sophistication. The hotels have become synonymous with luxury and exclusivity because to the high quality of their room design, dining options, and service (Gupta and Dixit, 2022). Locations in the heart of major cities and gorgeous vacation spots make these hotels ideal for anyone seeking the height of refinement and luxury.</w:t>
      </w:r>
    </w:p>
    <w:p>
      <w:pPr>
        <w:spacing w:before="240"/>
      </w:pPr>
      <w:r>
        <w:t>Conversely, Premier Inn is a well-known inexpensive hotel brand that reliably exceeds these requirements. Premier Inn caters to budget-minded vacationers, business travellers, and tourists by offering high-quality lodgings at low prices (Norquvvatova and Saidova, 2023). All the hotels under the brand's umbrella provide guests with the same high level of convenience, dependability, and uniformity in service. Premier Inns are frequently chosen by those in need of affordable and dependable lodging options because to its convenient locations in proximity to transit hubs, business districts, and prominent attractions.</w:t>
      </w:r>
    </w:p>
    <w:p>
      <w:pPr>
        <w:spacing w:before="240"/>
      </w:pPr>
      <w:r>
        <w:t>Premier Inn places a greater emphasis on convenience, economy, and dependability than does Mandarin Oriental, which is known for its plush and personalized service. Premier Inn aims to please a larger clientele by providing affordable, no-frills lodgings of comparable quality to those offered by the Mandarin Oriental, which is aimed towards a more affluent clientele (Kollár and Gondžárová, 2015). Each brand does an excellent job serving a certain market group and adapting to the varying demands of the hotel industry.</w:t>
      </w:r>
    </w:p>
    <w:p>
      <w:pPr>
        <w:spacing w:before="240"/>
        <w:jc w:val="left"/>
      </w:pPr>
      <w:r>
        <w:br w:type="page"/>
      </w:r>
    </w:p>
    <w:p>
      <w:pPr>
        <w:pStyle w:val="3"/>
        <w:spacing w:before="240"/>
      </w:pPr>
      <w:bookmarkStart w:id="2" w:name="_Toc147056732"/>
      <w:r>
        <w:t>Total Revenue</w:t>
      </w:r>
      <w:bookmarkEnd w:id="2"/>
    </w:p>
    <w:p>
      <w:pPr>
        <w:spacing w:before="240"/>
      </w:pPr>
      <w:r>
        <w:t>Total revenue, revenue trends, and driving variables for both Mandarin Oriental Hotel Group and Premier Inn can shed light on the companies' financial performance and market strategies (Marshall et al., 2017).</w:t>
      </w:r>
    </w:p>
    <w:p>
      <w:pPr>
        <w:spacing w:before="240"/>
        <w:rPr>
          <w:b/>
          <w:bCs/>
        </w:rPr>
      </w:pPr>
      <w:r>
        <w:rPr>
          <w:b/>
          <w:bCs/>
        </w:rPr>
        <w:t>Mandarin Oriental Hotel Group:</w:t>
      </w:r>
    </w:p>
    <w:p>
      <w:pPr>
        <w:spacing w:before="240"/>
      </w:pPr>
      <w:r>
        <w:t>Bookings at Mandarin Oriental hotels, restaurants, and spas, as well as the sale of spa treatments and the sale of event space, account for most of the company's overall revenue. Collaborations and partnerships with luxury companies are also a significant contributor to their bottom line. The economy, tourism patterns, and customer confidence in the premium market all have an impact on Mandarin Oriental's bottom line. Growing the business into new areas, never compromising on service quality, and targeting wealthy customers all contribute to a rise in earnings (Madiev, 2023). On the flip side, luxury travel is more vulnerable to income drops due to economic downturns, geopolitical tensions, or pandemics. The total revenue of this hotel was £0.45 Billion, and it changes rate was 43.29%</w:t>
      </w:r>
    </w:p>
    <w:p>
      <w:pPr>
        <w:spacing w:before="240"/>
        <w:rPr>
          <w:b/>
          <w:bCs/>
        </w:rPr>
      </w:pPr>
      <w:r>
        <w:rPr>
          <w:b/>
          <w:bCs/>
        </w:rPr>
        <w:t>Premier Inn:</w:t>
      </w:r>
    </w:p>
    <w:p>
      <w:pPr>
        <w:spacing w:before="240"/>
      </w:pPr>
      <w:r>
        <w:t>Most of the Premier Inn's income comes from guest room rentals, while the establishment also benefits financially from its on-site dining options, conferences, and business alliances. The company aims to attract thrifty vacationers, families, and business parties. Premier Inn's revenue is affected by external variables including the state of the economy and the number of people looking for cheap hotels. Strategic site selection, aggressive pricing, and reliable service all contribute to rising profits. Premier Inn's revenue can drop during recessions and due to greater competition in the budget hotel sector. The total revenue of this hotel was £520,000 and there Operating cash flow was £404m.</w:t>
      </w:r>
    </w:p>
    <w:p>
      <w:pPr>
        <w:spacing w:before="240"/>
        <w:rPr>
          <w:b/>
          <w:bCs/>
        </w:rPr>
      </w:pPr>
      <w:r>
        <w:rPr>
          <w:b/>
          <w:bCs/>
        </w:rPr>
        <w:t>Analysing the Differences:</w:t>
      </w:r>
    </w:p>
    <w:p>
      <w:pPr>
        <w:spacing w:before="240"/>
      </w:pPr>
      <w:r>
        <w:t>Mandarin Oriental targets the high-end market, where it can profitably provide its premium services while drawing in affluent customers (Črnjar et al., 2020). They have other avenues for making money, including more lucrative ones like upscale meals and spa services. However, Premier Inn's success is predicated on full rooms and efficient management. Targeting thrifty vacationers requires rigorous cost management and efficient operations to turn a profit (Low et al., 2017).</w:t>
      </w:r>
    </w:p>
    <w:p>
      <w:pPr>
        <w:spacing w:before="240"/>
      </w:pPr>
      <w:r>
        <w:t>Mandarin Oriental's revenue comes from its high-end services and positioning in the market, whereas Premier Inn's comes from its high occupancy rates and efficient operations in the budget sector. To maintain revenue growth in their respective industries, both businesses must adjust to shifting market demands, economic situations, and consumer preferences (Ashford, 2023).</w:t>
      </w:r>
    </w:p>
    <w:p>
      <w:pPr>
        <w:pStyle w:val="3"/>
        <w:spacing w:before="240"/>
      </w:pPr>
      <w:bookmarkStart w:id="3" w:name="_Toc147056733"/>
      <w:r>
        <w:t>Market Position</w:t>
      </w:r>
      <w:bookmarkEnd w:id="3"/>
    </w:p>
    <w:p>
      <w:pPr>
        <w:spacing w:before="240"/>
        <w:rPr>
          <w:b/>
          <w:bCs/>
        </w:rPr>
      </w:pPr>
      <w:r>
        <w:rPr>
          <w:b/>
          <w:bCs/>
        </w:rPr>
        <w:t>Mandarin Oriental Hotel Group:</w:t>
      </w:r>
    </w:p>
    <w:p>
      <w:pPr>
        <w:spacing w:before="240"/>
      </w:pPr>
      <w:r>
        <w:t>Market Placement: The Mandarin Oriental Hotel Group markets itself as a high-end hotel chain for celebrities, businesspeople, and wealthy vacationers who value privacy and exclusivity. They have chosen to place their hotels in the heart of major cities and other culturally significant locations around the world (Colino, 2019).</w:t>
      </w:r>
    </w:p>
    <w:p>
      <w:pPr>
        <w:spacing w:before="240"/>
      </w:pPr>
      <w:r>
        <w:t>Analysis of Client Profiles: Wealthy individuals, famous people, business tycoons, and people on vacation who want to feel like they've stepped into another world are the people Mandarin Oriental caters to. Customers are willing to pay more for the exclusive treatment they receive (Li et al., 2023).</w:t>
      </w:r>
    </w:p>
    <w:p>
      <w:pPr>
        <w:spacing w:before="240"/>
      </w:pPr>
      <w:r>
        <w:t>Perception of the Brand: The name "Mandarin Oriental" has become synonymous with opulence and 5-star service. The company's name is synonymous with first-rate service, meticulous planning, and the delivery of extraordinary events. Visitors think of Mandarin Oriental hotels as posh, exclusive retreats (Aroul et al., 2022).</w:t>
      </w:r>
    </w:p>
    <w:p>
      <w:pPr>
        <w:spacing w:before="240"/>
        <w:rPr>
          <w:b/>
          <w:bCs/>
        </w:rPr>
      </w:pPr>
      <w:r>
        <w:rPr>
          <w:b/>
          <w:bCs/>
        </w:rPr>
        <w:t>Premier Inn:</w:t>
      </w:r>
    </w:p>
    <w:p>
      <w:pPr>
        <w:spacing w:before="240"/>
      </w:pPr>
      <w:r>
        <w:t>Market Placement: Premier Inn promotes itself as the preeminent brand of budget hotels by emphasizing convenience, price, and uniformity. Their hotels are aimed for budget-conscious vacationers and business visitors who enjoy comfort and convenience but don't want to spend a fortune on them (Prabowo et al., 2020).</w:t>
      </w:r>
    </w:p>
    <w:p>
      <w:pPr>
        <w:spacing w:before="240"/>
      </w:pPr>
      <w:r>
        <w:t>Analysis of Client Profiles: Premier Inn caters to a wide variety of customers, including those on a tighter budget as well as families and businesses searching for a comfortable and convenient place to stay. Guests expect high-quality, consistent services and amenities in a convenient setting (Porretta and Pes, 2016).</w:t>
      </w:r>
    </w:p>
    <w:p>
      <w:pPr>
        <w:spacing w:before="240"/>
      </w:pPr>
      <w:r>
        <w:t>Perception of the Brand: Premier Inn is well-known as a trustworthy, cost-effective hotel business with uniformly high standards throughout all its locations. The name connotes dependability, ease of access, and a straightforward attitude to customer service. Premier Inns have a positive reputation among travellers as convenient and economical lodging options (Grimm and Wagner, 2021).</w:t>
      </w:r>
    </w:p>
    <w:p>
      <w:pPr>
        <w:pStyle w:val="3"/>
        <w:spacing w:before="240"/>
      </w:pPr>
      <w:bookmarkStart w:id="4" w:name="_Toc147056734"/>
      <w:r>
        <w:t>Growth Potential</w:t>
      </w:r>
      <w:bookmarkEnd w:id="4"/>
    </w:p>
    <w:p>
      <w:pPr>
        <w:spacing w:before="240"/>
        <w:rPr>
          <w:b/>
          <w:bCs/>
        </w:rPr>
      </w:pPr>
      <w:r>
        <w:rPr>
          <w:b/>
          <w:bCs/>
        </w:rPr>
        <w:t>Mandarin Oriental Hotel Group:</w:t>
      </w:r>
    </w:p>
    <w:p>
      <w:pPr>
        <w:spacing w:before="240"/>
      </w:pPr>
      <w:r>
        <w:t>There is room for expansion at Mandarin Oriental Hotel Group, which operates in the upscale segment of the hotel industry. They target both new markets and well-known tourist spots in their expansion plans, hoping to profit from the growing purchasing power of middle-class consumers around the world. The crew can go to exotic countries in Asia, the Middle East, and even parts of Europe and the Americas in search of high-net-worth individuals. Working with well-known architects and designers on a new building also boosts its desirability.</w:t>
      </w:r>
    </w:p>
    <w:p>
      <w:pPr>
        <w:spacing w:before="240"/>
      </w:pPr>
      <w:r>
        <w:t>There are expanding prospects in the luxury travel sector as more and more people want for unforgettable, high-end vacations. By providing guests with unique spa and wellness packages, Mandarin Oriental can target certain markets like wellness tourism. Customers' loyalty may be strengthened, and new customers attracted with digital technologies to create unique and memorable experiences for each visitor.</w:t>
      </w:r>
    </w:p>
    <w:p>
      <w:pPr>
        <w:spacing w:before="240"/>
      </w:pPr>
      <w:r>
        <w:t>Intense competition in the premium hospitality business, economic downturns affecting high-end tourism, and potential geopolitical concerns in target locations might all pose problems for the expansion plans of Mandarin Oriental (Tang and Fagan, 2023). As a company grows internationally, it might be difficult to keep up the excellent customer service for which it is known.</w:t>
      </w:r>
    </w:p>
    <w:p>
      <w:pPr>
        <w:spacing w:before="240"/>
        <w:rPr>
          <w:b/>
          <w:bCs/>
        </w:rPr>
      </w:pPr>
      <w:r>
        <w:rPr>
          <w:b/>
          <w:bCs/>
        </w:rPr>
        <w:t>Premier Inn:</w:t>
      </w:r>
    </w:p>
    <w:p>
      <w:pPr>
        <w:spacing w:before="240"/>
      </w:pPr>
      <w:r>
        <w:t>Premier Inn offers enormous expansion potential in the low-priced hotel market. Increased presence in existing areas and investigation of potential in emerging regions with growing budget travel are common expansion tactics. To reach more customers, they should prioritize developing strategic collaborations with travel agents and internet booking platforms.</w:t>
      </w:r>
    </w:p>
    <w:p>
      <w:pPr>
        <w:spacing w:before="240"/>
      </w:pPr>
      <w:r>
        <w:t>The market for budget-friendly vacations is growing as more people all around the world look for safe, comfortable places to stay. There is a burgeoning middle class with disposable means and a need for affordable services in many developing economies, including those in Asia and Africa, where Premier Inn may find promising new markets to enter (Ramadhani et al., 2017).</w:t>
      </w:r>
    </w:p>
    <w:p>
      <w:pPr>
        <w:spacing w:before="240"/>
      </w:pPr>
      <w:r>
        <w:t>Premier Inn may face difficulties expanding due to the high levels of competition present in the cheap hotel market, especially from smaller, regional chains. Disposable income within their target population is sensitive to economic swings, which in turn affects vacation choices. In addition, as the business grows, it might be difficult to keep the same level of service quality across an increasing number of locations.</w:t>
      </w:r>
    </w:p>
    <w:p>
      <w:pPr>
        <w:spacing w:before="240"/>
      </w:pPr>
      <w:r>
        <w:t>Both Premier Inn and Mandarin Oriental Hotel Group have room to expand, albeit in different ways. Luxury positioning is the engine that drives Mandarin Oriental's expansion, but economic uncertainty and upholding excellent service standards are both potential roadblocks. Premier Inn's expansion is spurred by the budget-conscious travel industry, but the company has challenges in both maintaining quality as they develop and competing in a volatile economy.</w:t>
      </w:r>
    </w:p>
    <w:p>
      <w:pPr>
        <w:pStyle w:val="3"/>
        <w:spacing w:before="240"/>
      </w:pPr>
      <w:bookmarkStart w:id="5" w:name="_Toc147056735"/>
      <w:r>
        <w:t>Financial Commitment to CSR (Corporate Social Responsibility)</w:t>
      </w:r>
      <w:bookmarkEnd w:id="5"/>
    </w:p>
    <w:p>
      <w:pPr>
        <w:spacing w:before="240"/>
        <w:rPr>
          <w:b/>
          <w:bCs/>
        </w:rPr>
      </w:pPr>
      <w:r>
        <w:rPr>
          <w:b/>
          <w:bCs/>
        </w:rPr>
        <w:t>Mandarin Oriental Hotel Group:</w:t>
      </w:r>
    </w:p>
    <w:p>
      <w:pPr>
        <w:spacing w:before="240"/>
      </w:pPr>
      <w:r>
        <w:t>CSR and eco-friendly policies are priorities for Mandarin Oriental. To lessen their impact on the planet, they have instituted a few policies and programs. All their facilities have been outfitted with energy-saving equipment, waste-reduction strategies, and water-saving fixtures (Miskiyah et al., 2018). In the communities where they do business, they frequently participate in community service projects and donate to local organizations, educational programs, and cultural events. Ethical business practices, employee fairness, and a commitment to diversity and inclusion are also priorities for the organization. Mandarin Oriental shows a strong commitment to CSR through its efforts and collaborations, even though exact financial data are not made public.</w:t>
      </w:r>
    </w:p>
    <w:p>
      <w:pPr>
        <w:spacing w:before="240"/>
        <w:rPr>
          <w:b/>
          <w:bCs/>
        </w:rPr>
      </w:pPr>
      <w:r>
        <w:rPr>
          <w:b/>
          <w:bCs/>
        </w:rPr>
        <w:t>Premier Inn:</w:t>
      </w:r>
    </w:p>
    <w:p>
      <w:pPr>
        <w:spacing w:before="240"/>
      </w:pPr>
      <w:r>
        <w:t>Premier Inn, like the rest of the Whitbread Group, places a premium on corporate social responsibility. They have set lofty sustainability targets, such as cutting down on carbon emissions, recycling as much as possible, and limiting water usage. Premier Inn is committed to its local community and regularly contributes to environmental and charitable causes. Ethical business practices are important to them, as are responsible sourcing and the welfare of their personnel. Premier Inn's parent business, Whitbread Group, is transparent about the cost of their corporate social responsibility (CSR) efforts. For instance, they have invested much in community outreach and environmental responsibility initiatives (Fehre and Weber, 2016). Their CSR activities place a premium on openness, showcasing their financial dedication to their social and environmental obligations.</w:t>
      </w:r>
    </w:p>
    <w:p>
      <w:pPr>
        <w:spacing w:before="240"/>
      </w:pPr>
      <w:r>
        <w:t xml:space="preserve">Through their separate CSR activities, both Mandarin Oriental Hotel Group and Premier Inn stress sustainability, community engagement, and ethical business practices. </w:t>
      </w:r>
    </w:p>
    <w:p>
      <w:pPr>
        <w:spacing w:before="240"/>
      </w:pPr>
    </w:p>
    <w:p>
      <w:pPr>
        <w:spacing w:before="240"/>
        <w:rPr>
          <w:b/>
          <w:bCs/>
        </w:rPr>
      </w:pPr>
    </w:p>
    <w:p>
      <w:pPr>
        <w:spacing w:before="240"/>
        <w:rPr>
          <w:b/>
          <w:bCs/>
        </w:rPr>
      </w:pPr>
    </w:p>
    <w:p>
      <w:pPr>
        <w:spacing w:before="240"/>
        <w:rPr>
          <w:b/>
          <w:bCs/>
        </w:rPr>
      </w:pPr>
    </w:p>
    <w:p>
      <w:pPr>
        <w:spacing w:before="240"/>
        <w:rPr>
          <w:b/>
          <w:bCs/>
        </w:rPr>
      </w:pPr>
    </w:p>
    <w:p>
      <w:pPr>
        <w:spacing w:before="240"/>
      </w:pPr>
    </w:p>
    <w:p>
      <w:pPr>
        <w:pStyle w:val="3"/>
        <w:spacing w:before="240"/>
      </w:pPr>
      <w:r>
        <w:br w:type="page"/>
      </w:r>
    </w:p>
    <w:p>
      <w:pPr>
        <w:pStyle w:val="2"/>
      </w:pPr>
      <w:bookmarkStart w:id="6" w:name="_Toc147056736"/>
      <w:r>
        <w:t>Recommendations</w:t>
      </w:r>
      <w:bookmarkEnd w:id="6"/>
    </w:p>
    <w:p>
      <w:pPr>
        <w:spacing w:before="240"/>
        <w:rPr>
          <w:b/>
          <w:bCs/>
        </w:rPr>
      </w:pPr>
      <w:r>
        <w:rPr>
          <w:b/>
          <w:bCs/>
        </w:rPr>
        <w:t>Mandarin Oriental Hotel Group:</w:t>
      </w:r>
    </w:p>
    <w:p>
      <w:pPr>
        <w:spacing w:before="240"/>
      </w:pPr>
      <w:r>
        <w:t>Recommend that Mandarin Oriental Hotel Group utilizes technology to further customize guest experiences and expand its digital footprint. Mandarin Oriental can learn more about its guests' likes and habits if it uses data analytics. The organization will be able to give their high-net-worth clients even more individualized attention with this data-driven strategy. Customers are more likely to return once a business has a mobile app that makes bookings simple, provides tailored suggestions, and provides access to special discounts and deals. Another way Mandarin Oriental may stand out in the crowded premium hospitality industry is by offering cutting-edge, immersive experiences via virtual reality or augmented reality at its properties. This suggestion is in line with the rising trend of technology integration in the hotel industry and the rising desire for individualized treatment, thereby strengthening Mandarin Oriental's competitive position and guaranteeing the satisfaction of its customers in the long run.</w:t>
      </w:r>
    </w:p>
    <w:p>
      <w:pPr>
        <w:spacing w:before="240"/>
        <w:rPr>
          <w:b/>
          <w:bCs/>
        </w:rPr>
      </w:pPr>
      <w:r>
        <w:rPr>
          <w:b/>
          <w:bCs/>
        </w:rPr>
        <w:t>Premier Inn:</w:t>
      </w:r>
    </w:p>
    <w:p>
      <w:pPr>
        <w:spacing w:before="240"/>
      </w:pPr>
      <w:r>
        <w:t>The findings support Premier Inn's decision to keep building hotels in developing countries, with a special emphasis on areas with a growing middle class and a corresponding increase in tourism. The increasing number of tourists in search of cheap lodgings has opened up numerous possibilities in the developing countries of Asia and Africa. Premier Inn may cash in on this fad by entering these markets wisely and showcasing their dependability and low rates. By working together, local travel agencies and digital marketplaces may increase their exposure and reach more potential customers. Travelers who are concerned about their impact on the planet can be attracted by investments in eco-friendly practices and the promotion of such projects, which are in line with global sustainability trends. Premier Inn can increase its global reach and get access to new client segments by expanding into these markets and advertising their commitment to sustainability.</w:t>
      </w:r>
    </w:p>
    <w:p>
      <w:pPr>
        <w:spacing w:before="240"/>
      </w:pPr>
    </w:p>
    <w:p>
      <w:pPr>
        <w:spacing w:before="240"/>
      </w:pPr>
    </w:p>
    <w:p>
      <w:pPr>
        <w:spacing w:before="240"/>
      </w:pPr>
    </w:p>
    <w:p>
      <w:pPr>
        <w:spacing w:before="240"/>
      </w:pPr>
    </w:p>
    <w:p>
      <w:pPr>
        <w:pStyle w:val="2"/>
      </w:pPr>
      <w:bookmarkStart w:id="7" w:name="_Toc147056737"/>
      <w:r>
        <w:t>Conclusion</w:t>
      </w:r>
      <w:bookmarkEnd w:id="7"/>
    </w:p>
    <w:p>
      <w:pPr>
        <w:spacing w:before="240"/>
      </w:pPr>
      <w:r>
        <w:t>Different yet effective strategies in the hospitality business are exemplified by the Mandarin Oriental Hotel Group and Premier Inn, respectively. Mandarin Oriental is a haven for the affluent because of its emphasis on pampering service, unique activities, and diverse cultural offerings. Premier Inn, on the other hand, caters to frugal travellers without sacrificing quality by emphasizing convenience and price (Zimmermann, 2022). Both companies have demonstrated deep dedications to CSR and volunteerism. Premier Inn uses operational efficiency and consistency to provide dependable affordable accommodations, while Mandarin Oriental is known for its high-end elegance and focus on exclusivity and sophistication. Their distinct approaches successfully place them in their respective sectors, guaranteeing longevity and patronage.</w:t>
      </w:r>
    </w:p>
    <w:p>
      <w:pPr>
        <w:spacing w:before="240"/>
        <w:jc w:val="left"/>
      </w:pPr>
      <w:r>
        <w:br w:type="page"/>
      </w:r>
    </w:p>
    <w:p>
      <w:pPr>
        <w:pStyle w:val="2"/>
      </w:pPr>
      <w:bookmarkStart w:id="8" w:name="_Toc147056738"/>
      <w:r>
        <w:t>References</w:t>
      </w:r>
      <w:bookmarkEnd w:id="8"/>
    </w:p>
    <w:p>
      <w:pPr>
        <w:spacing w:before="240"/>
      </w:pPr>
      <w:r>
        <w:t xml:space="preserve">Aroul, R.R. et al. (2022) ‘The impact of brand affiliation on asset values: The case of UK hotels’, Journal of Property Research, 40(2), pp. 157–187. doi:10.1080/09599916.2022.2114925. </w:t>
      </w:r>
    </w:p>
    <w:p>
      <w:pPr>
        <w:spacing w:before="240"/>
      </w:pPr>
      <w:r>
        <w:t xml:space="preserve">Ashford, L.J. (2023) ‘The eighteenth-century market town’, The History of the Borough of High Wycombe, pp. 199–224. doi:10.4324/9781003403265-8. </w:t>
      </w:r>
    </w:p>
    <w:p>
      <w:pPr>
        <w:spacing w:before="240"/>
      </w:pPr>
      <w:r>
        <w:t xml:space="preserve">Colino, S.M. (2019) ‘17. UK market studies and Market Investigation References’, Competition Law of the EU and UK, pp. 405–419. doi:10.1093/he/9780198725053.003.0017. </w:t>
      </w:r>
    </w:p>
    <w:p>
      <w:pPr>
        <w:spacing w:before="240"/>
      </w:pPr>
      <w:r>
        <w:t xml:space="preserve">Črnjar, K., Dlačić, J. and Milfelner, B. (2020) ‘Analysing the relationship between hotels’ internal marketing and employee engagement dimensions’, Market-Tržište, 32(SI), pp. 49–65. doi: 10.22598/mt/2020.32.spec-issue.49. </w:t>
      </w:r>
    </w:p>
    <w:p>
      <w:pPr>
        <w:spacing w:before="240"/>
      </w:pPr>
      <w:r>
        <w:t xml:space="preserve">Fehre, K. and Weber, F. (2016) ‘Challenging corporate commitment to CSR’, Management Research Review, 39(11), pp. 1410–1430. doi:10.1108/mrr-03-2015-0063. </w:t>
      </w:r>
    </w:p>
    <w:p>
      <w:pPr>
        <w:spacing w:before="240"/>
      </w:pPr>
      <w:r>
        <w:t xml:space="preserve">Grimm, M.S. and Wagner, R. (2021) ‘Intra-brand image confusion: Effects of assortment width on brand image perception’, Journal of Brand Management, 28(4), pp. 446–463. doi:10.1057/s41262-020-00225-3. </w:t>
      </w:r>
    </w:p>
    <w:p>
      <w:pPr>
        <w:spacing w:before="240"/>
      </w:pPr>
      <w:r>
        <w:t xml:space="preserve">Gupta, V., and Dixit, S.K. (2022) ‘Influence of branded luxury guestroom amenities on guests’ hotel buying decisions: A case of five-star hotels in Delhi’, The Emerald Handbook of Luxury Management for Hospitality and Tourism, pp. 305–319. doi:10.1108/978-1-83982-900-020211015. </w:t>
      </w:r>
    </w:p>
    <w:p>
      <w:pPr>
        <w:spacing w:before="240"/>
      </w:pPr>
      <w:r>
        <w:t xml:space="preserve">Kollár, B. and Gondžárová, B. (2015) ‘Comparison of current credit risk models’, Procedia Economics and Finance, 23, pp. 341–347. doi:10.1016/s2212-5671(15)00450-5. </w:t>
      </w:r>
    </w:p>
    <w:p>
      <w:pPr>
        <w:spacing w:before="240"/>
      </w:pPr>
      <w:r>
        <w:t xml:space="preserve">Lee, M.J., Huh, C. and Lee, J.Y. (2015) ‘Business cycle and long-term debt: Effects on hotel operating lease’, The Journal of Hospitality Financial Management, 23(2), pp. 138–146. doi:10.1080/10913211.2015.1107359. </w:t>
      </w:r>
    </w:p>
    <w:p>
      <w:pPr>
        <w:spacing w:before="240"/>
      </w:pPr>
      <w:r>
        <w:t xml:space="preserve">Li, X., Carney, J.J. and Li, F. (2023) ‘Therapist self-efficacy developmental profiles, Supervisory Working Alliance, and client outcome: A growth mixture analysis.’, Journal of Counseling Psychology, 70(5), pp. 548–561. doi:10.1037/cou0000695. </w:t>
      </w:r>
    </w:p>
    <w:p>
      <w:pPr>
        <w:spacing w:before="240"/>
      </w:pPr>
      <w:r>
        <w:t xml:space="preserve">Low, W.Z. et al. (2017) ‘Change visualisation: Analysing the resource and timing differences between two event logs’, Information Systems, 65, pp. 106–123. doi:10.1016/j.is.2016.10.005. </w:t>
      </w:r>
    </w:p>
    <w:p>
      <w:pPr>
        <w:spacing w:before="240"/>
      </w:pPr>
      <w:r>
        <w:t xml:space="preserve">Madiev, F. (2023) ‘Implementation of international standards in trade regulation by the State’, Новый Узбекистан: успешный международный опыт внедрения международных стандартов финансовой отчетности, 1(5), pp. 31–34. doi: 10.47689/stars.university-5-pp31-34. </w:t>
      </w:r>
    </w:p>
    <w:p>
      <w:pPr>
        <w:spacing w:before="240"/>
      </w:pPr>
      <w:r>
        <w:t xml:space="preserve">Marshall, D.H., McManus, W.W. and Viele, D.F. (2017) Accounting: What the numbers mean. New York, NY: McGraw-Hill Education. </w:t>
      </w:r>
    </w:p>
    <w:p>
      <w:pPr>
        <w:spacing w:before="240"/>
      </w:pPr>
      <w:r>
        <w:t xml:space="preserve">Miskiyah, N., Jauhari, H. and Ridho, S. (2018) ‘Ownership structure, Corporate Social Responsibility (CSR)disclosure and Company’s financial performance’, Proceedings of the 2nd Forum in Research, Science, and Technology [Preprint]. doi:10.5220/0009152000002500. </w:t>
      </w:r>
    </w:p>
    <w:p>
      <w:pPr>
        <w:spacing w:before="240"/>
      </w:pPr>
      <w:r>
        <w:t xml:space="preserve">Norquvvatova, M. and Saidova, M. (2023) ‘The effective ways of combating monopoly in  business sphere  in condition of  digitalization’, Современные тенденции инновационного развития науки и образования в глобальном мире, 1(1), pp. 205–210. doi: 10.47689/stars.university-pp205-210. </w:t>
      </w:r>
    </w:p>
    <w:p>
      <w:pPr>
        <w:spacing w:before="240"/>
      </w:pPr>
      <w:r>
        <w:t xml:space="preserve">Porretta, P. and Pes, G. (2016) Microfinance, EU Structural Funds and capacity building for managing authorities a comparative analysis of European Convergence Regions. London, London: Palgrave Macmillan UK. </w:t>
      </w:r>
    </w:p>
    <w:p>
      <w:pPr>
        <w:spacing w:before="240"/>
      </w:pPr>
      <w:r>
        <w:t xml:space="preserve">Prabowo, H., Astuti, W. and Respati, H. (2020) ‘Effect of service quality and brand image on repurchase intention through word of mouth at Budget Hotels Airy Rooms’, Open Journal of Business and Management, 08(01), pp. 194–207. doi:10.4236/ojbm.2020.81012. </w:t>
      </w:r>
    </w:p>
    <w:p>
      <w:pPr>
        <w:spacing w:before="240"/>
      </w:pPr>
      <w:r>
        <w:t xml:space="preserve">Ramadhani, F., Raka, I.G. and Tavio, T. (2017) ‘Desain modifikasi Struktur Gedung hotel premier inn surabaya dengan menggunakan beton prategang Dan Sistem Rangka Pemikul Momen Khusus (SRPMK)’, Jurnal Teknik ITS, 6(2). doi:10.12962/j23373539.v6i2.26800. </w:t>
      </w:r>
    </w:p>
    <w:p>
      <w:pPr>
        <w:spacing w:before="240"/>
      </w:pPr>
      <w:r>
        <w:t xml:space="preserve">Tang, J. and Fagan, M. (2023) Growth potential: Making controlled environment agriculture (CEA) work for NYC. </w:t>
      </w:r>
    </w:p>
    <w:p>
      <w:pPr>
        <w:spacing w:before="240"/>
      </w:pPr>
      <w:r>
        <w:t xml:space="preserve">Zimmermann, A. (2022) ‘3 tensor products, Mackey formulas and Clifford Theory’, Characters of Groups and Lattices over Orders, pp. 93–138. doi:10.1515/9783110702446-003. </w:t>
      </w:r>
    </w:p>
    <w:sectPr>
      <w:footerReference r:id="rId5" w:type="default"/>
      <w:pgSz w:w="11909" w:h="16834"/>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000247B" w:usb2="00000009" w:usb3="00000000" w:csb0="200001FF" w:csb1="00000000"/>
  </w:font>
  <w:font w:name="等线">
    <w:altName w:val="Microsoft YaHei"/>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401754339"/>
      <w:docPartObj>
        <w:docPartGallery w:val="autotext"/>
      </w:docPartObj>
    </w:sdtPr>
    <w:sdtContent>
      <w:p>
        <w:pPr>
          <w:pStyle w:val="6"/>
          <w:jc w:val="right"/>
        </w:pPr>
        <w:r>
          <w:fldChar w:fldCharType="begin"/>
        </w:r>
        <w:r>
          <w:instrText xml:space="preserve">PAGE   \* MERGEFORMAT</w:instrText>
        </w:r>
        <w:r>
          <w:fldChar w:fldCharType="separate"/>
        </w:r>
        <w:r>
          <w:t>2</w:t>
        </w:r>
        <w:r>
          <w:fldChar w:fldCharType="end"/>
        </w:r>
      </w:p>
    </w:sdtContent>
  </w:sdt>
  <w:p>
    <w:pPr>
      <w:pStyle w:val="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characterSpacingControl w:val="doNotCompress"/>
  <w:footnotePr>
    <w:footnote w:id="0"/>
    <w:footnote w:id="1"/>
  </w:footnotePr>
  <w:endnotePr>
    <w:endnote w:id="0"/>
    <w:endnote w:id="1"/>
  </w:endnotePr>
  <w:compat>
    <w:doNotExpandShiftReturn/>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3441"/>
    <w:rsid w:val="000B0C1D"/>
    <w:rsid w:val="000C653A"/>
    <w:rsid w:val="000D0710"/>
    <w:rsid w:val="0010747B"/>
    <w:rsid w:val="0016528D"/>
    <w:rsid w:val="00181FA3"/>
    <w:rsid w:val="001823C4"/>
    <w:rsid w:val="00191FB0"/>
    <w:rsid w:val="001B5DFC"/>
    <w:rsid w:val="001F1937"/>
    <w:rsid w:val="002234F4"/>
    <w:rsid w:val="00240DD4"/>
    <w:rsid w:val="0024684D"/>
    <w:rsid w:val="002551DB"/>
    <w:rsid w:val="002A71D7"/>
    <w:rsid w:val="002D527E"/>
    <w:rsid w:val="002F4477"/>
    <w:rsid w:val="003147DE"/>
    <w:rsid w:val="00324E97"/>
    <w:rsid w:val="003608E8"/>
    <w:rsid w:val="00371CA9"/>
    <w:rsid w:val="00374622"/>
    <w:rsid w:val="0039148F"/>
    <w:rsid w:val="003A204E"/>
    <w:rsid w:val="003B2F2F"/>
    <w:rsid w:val="003D3F63"/>
    <w:rsid w:val="003D62D9"/>
    <w:rsid w:val="003F39A1"/>
    <w:rsid w:val="00456B4E"/>
    <w:rsid w:val="004769A0"/>
    <w:rsid w:val="005040A3"/>
    <w:rsid w:val="00521755"/>
    <w:rsid w:val="00590BC2"/>
    <w:rsid w:val="005923AC"/>
    <w:rsid w:val="005A5440"/>
    <w:rsid w:val="005B2090"/>
    <w:rsid w:val="005E02CB"/>
    <w:rsid w:val="005F5D51"/>
    <w:rsid w:val="00655286"/>
    <w:rsid w:val="0067246F"/>
    <w:rsid w:val="006A7CA3"/>
    <w:rsid w:val="006B5347"/>
    <w:rsid w:val="006D3602"/>
    <w:rsid w:val="00733A5B"/>
    <w:rsid w:val="00752B23"/>
    <w:rsid w:val="00753064"/>
    <w:rsid w:val="00777F55"/>
    <w:rsid w:val="00782561"/>
    <w:rsid w:val="007D323B"/>
    <w:rsid w:val="007D4F92"/>
    <w:rsid w:val="007E7CBD"/>
    <w:rsid w:val="00815CEE"/>
    <w:rsid w:val="00842A3D"/>
    <w:rsid w:val="00861D7F"/>
    <w:rsid w:val="008969DB"/>
    <w:rsid w:val="008E5709"/>
    <w:rsid w:val="008F102A"/>
    <w:rsid w:val="008F3194"/>
    <w:rsid w:val="00933441"/>
    <w:rsid w:val="009479EC"/>
    <w:rsid w:val="00971A2E"/>
    <w:rsid w:val="009B1BC4"/>
    <w:rsid w:val="00A002D0"/>
    <w:rsid w:val="00A031E3"/>
    <w:rsid w:val="00AA176C"/>
    <w:rsid w:val="00AB1490"/>
    <w:rsid w:val="00AE5E75"/>
    <w:rsid w:val="00B37AD2"/>
    <w:rsid w:val="00B55EF0"/>
    <w:rsid w:val="00BC7441"/>
    <w:rsid w:val="00BF3404"/>
    <w:rsid w:val="00C37C32"/>
    <w:rsid w:val="00C61608"/>
    <w:rsid w:val="00C7672C"/>
    <w:rsid w:val="00C770CC"/>
    <w:rsid w:val="00C8248C"/>
    <w:rsid w:val="00CC3840"/>
    <w:rsid w:val="00D438FC"/>
    <w:rsid w:val="00DA09BD"/>
    <w:rsid w:val="00DB4F79"/>
    <w:rsid w:val="00DC1D5B"/>
    <w:rsid w:val="00E2204F"/>
    <w:rsid w:val="00E56467"/>
    <w:rsid w:val="00E85E72"/>
    <w:rsid w:val="00E9316D"/>
    <w:rsid w:val="00EC4CE0"/>
    <w:rsid w:val="00F06BC9"/>
    <w:rsid w:val="00F20636"/>
    <w:rsid w:val="00F926EC"/>
    <w:rsid w:val="00FB2979"/>
    <w:rsid w:val="00FB3113"/>
    <w:rsid w:val="00FC4EC7"/>
    <w:rsid w:val="00FE6532"/>
    <w:rsid w:val="00FF52A0"/>
    <w:rsid w:val="4BA7098E"/>
    <w:rsid w:val="51AC3816"/>
    <w:rsid w:val="6DE678B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Calibri" w:hAnsi="Calibri" w:eastAsia="Calibri" w:cs="Calibr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Theme="minorHAnsi" w:cstheme="minorBidi"/>
      <w:sz w:val="24"/>
      <w:szCs w:val="22"/>
      <w:lang w:val="en-GB" w:eastAsia="en-US" w:bidi="ar-SA"/>
      <w14:ligatures w14:val="standardContextual"/>
    </w:rPr>
  </w:style>
  <w:style w:type="paragraph" w:styleId="2">
    <w:name w:val="heading 1"/>
    <w:basedOn w:val="1"/>
    <w:next w:val="1"/>
    <w:link w:val="13"/>
    <w:qFormat/>
    <w:uiPriority w:val="9"/>
    <w:pPr>
      <w:keepNext/>
      <w:keepLines/>
      <w:spacing w:before="240" w:after="0"/>
      <w:outlineLvl w:val="0"/>
    </w:pPr>
    <w:rPr>
      <w:rFonts w:eastAsiaTheme="majorEastAsia" w:cstheme="majorBidi"/>
      <w:b/>
      <w:color w:val="2F5597" w:themeColor="accent1" w:themeShade="BF"/>
      <w:sz w:val="32"/>
      <w:szCs w:val="32"/>
    </w:rPr>
  </w:style>
  <w:style w:type="paragraph" w:styleId="3">
    <w:name w:val="heading 2"/>
    <w:basedOn w:val="1"/>
    <w:next w:val="1"/>
    <w:link w:val="14"/>
    <w:unhideWhenUsed/>
    <w:qFormat/>
    <w:uiPriority w:val="9"/>
    <w:pPr>
      <w:keepNext/>
      <w:keepLines/>
      <w:spacing w:before="40" w:after="0"/>
      <w:outlineLvl w:val="1"/>
    </w:pPr>
    <w:rPr>
      <w:rFonts w:eastAsiaTheme="majorEastAsia" w:cstheme="majorBidi"/>
      <w:color w:val="2F5597" w:themeColor="accent1" w:themeShade="BF"/>
      <w:sz w:val="28"/>
      <w:szCs w:val="26"/>
    </w:rPr>
  </w:style>
  <w:style w:type="character" w:default="1" w:styleId="4">
    <w:name w:val="Default Paragraph Font"/>
    <w:semiHidden/>
    <w:unhideWhenUsed/>
    <w:qFormat/>
    <w:uiPriority w:val="1"/>
  </w:style>
  <w:style w:type="table" w:default="1" w:styleId="5">
    <w:name w:val="Normal Table"/>
    <w:semiHidden/>
    <w:unhideWhenUsed/>
    <w:qFormat/>
    <w:uiPriority w:val="99"/>
    <w:pPr>
      <w:keepNext w:val="0"/>
      <w:keepLines w:val="0"/>
      <w:widowControl/>
      <w:suppressLineNumbers w:val="0"/>
      <w:autoSpaceDE/>
      <w:autoSpaceDN w:val="0"/>
      <w:spacing w:before="0" w:beforeAutospacing="0" w:after="160" w:afterAutospacing="0" w:line="254" w:lineRule="auto"/>
      <w:ind w:left="0" w:right="0"/>
    </w:pPr>
    <w:rPr>
      <w:rFonts w:hint="eastAsia" w:ascii="Calibri" w:hAnsi="Calibri" w:cs="Times New Roman"/>
      <w:kern w:val="3"/>
      <w:sz w:val="22"/>
      <w:szCs w:val="22"/>
      <w:lang w:eastAsia="en-US"/>
    </w:rPr>
    <w:tblPr>
      <w:tblCellMar>
        <w:top w:w="0" w:type="dxa"/>
        <w:left w:w="108" w:type="dxa"/>
        <w:bottom w:w="0" w:type="dxa"/>
        <w:right w:w="108" w:type="dxa"/>
      </w:tblCellMar>
    </w:tblPr>
  </w:style>
  <w:style w:type="paragraph" w:styleId="6">
    <w:name w:val="footer"/>
    <w:basedOn w:val="1"/>
    <w:link w:val="17"/>
    <w:unhideWhenUsed/>
    <w:qFormat/>
    <w:uiPriority w:val="99"/>
    <w:pPr>
      <w:tabs>
        <w:tab w:val="center" w:pos="4513"/>
        <w:tab w:val="right" w:pos="9026"/>
      </w:tabs>
      <w:spacing w:after="0" w:line="240" w:lineRule="auto"/>
    </w:pPr>
  </w:style>
  <w:style w:type="paragraph" w:styleId="7">
    <w:name w:val="header"/>
    <w:basedOn w:val="1"/>
    <w:link w:val="16"/>
    <w:unhideWhenUsed/>
    <w:qFormat/>
    <w:uiPriority w:val="99"/>
    <w:pPr>
      <w:tabs>
        <w:tab w:val="center" w:pos="4513"/>
        <w:tab w:val="right" w:pos="9026"/>
      </w:tabs>
      <w:spacing w:after="0" w:line="240" w:lineRule="auto"/>
    </w:pPr>
  </w:style>
  <w:style w:type="character" w:styleId="8">
    <w:name w:val="Hyperlink"/>
    <w:basedOn w:val="4"/>
    <w:unhideWhenUsed/>
    <w:qFormat/>
    <w:uiPriority w:val="99"/>
    <w:rPr>
      <w:color w:val="0563C1" w:themeColor="hyperlink"/>
      <w:u w:val="single"/>
      <w14:textFill>
        <w14:solidFill>
          <w14:schemeClr w14:val="hlink"/>
        </w14:solidFill>
      </w14:textFill>
    </w:rPr>
  </w:style>
  <w:style w:type="paragraph" w:styleId="9">
    <w:name w:val="Normal (Web)"/>
    <w:basedOn w:val="1"/>
    <w:semiHidden/>
    <w:unhideWhenUsed/>
    <w:qFormat/>
    <w:uiPriority w:val="99"/>
    <w:pPr>
      <w:spacing w:before="100" w:beforeAutospacing="1" w:after="100" w:afterAutospacing="1" w:line="240" w:lineRule="auto"/>
      <w:jc w:val="left"/>
    </w:pPr>
    <w:rPr>
      <w:rFonts w:eastAsia="Times New Roman" w:cs="Times New Roman"/>
      <w:szCs w:val="24"/>
      <w:lang w:eastAsia="en-GB"/>
      <w14:ligatures w14:val="none"/>
    </w:rPr>
  </w:style>
  <w:style w:type="character" w:styleId="10">
    <w:name w:val="Strong"/>
    <w:basedOn w:val="4"/>
    <w:qFormat/>
    <w:uiPriority w:val="22"/>
    <w:rPr>
      <w:b/>
      <w:bCs/>
    </w:rPr>
  </w:style>
  <w:style w:type="paragraph" w:styleId="11">
    <w:name w:val="toc 1"/>
    <w:basedOn w:val="1"/>
    <w:next w:val="1"/>
    <w:unhideWhenUsed/>
    <w:qFormat/>
    <w:uiPriority w:val="39"/>
    <w:pPr>
      <w:spacing w:after="100"/>
    </w:pPr>
  </w:style>
  <w:style w:type="paragraph" w:styleId="12">
    <w:name w:val="toc 2"/>
    <w:basedOn w:val="1"/>
    <w:next w:val="1"/>
    <w:unhideWhenUsed/>
    <w:qFormat/>
    <w:uiPriority w:val="39"/>
    <w:pPr>
      <w:spacing w:after="100"/>
      <w:ind w:left="240"/>
    </w:pPr>
  </w:style>
  <w:style w:type="character" w:customStyle="1" w:styleId="13">
    <w:name w:val="Heading 1 Char"/>
    <w:basedOn w:val="4"/>
    <w:link w:val="2"/>
    <w:qFormat/>
    <w:uiPriority w:val="9"/>
    <w:rPr>
      <w:rFonts w:ascii="Times New Roman" w:hAnsi="Times New Roman" w:eastAsiaTheme="majorEastAsia" w:cstheme="majorBidi"/>
      <w:b/>
      <w:color w:val="2F5597" w:themeColor="accent1" w:themeShade="BF"/>
      <w:sz w:val="32"/>
      <w:szCs w:val="32"/>
    </w:rPr>
  </w:style>
  <w:style w:type="character" w:customStyle="1" w:styleId="14">
    <w:name w:val="Heading 2 Char"/>
    <w:basedOn w:val="4"/>
    <w:link w:val="3"/>
    <w:uiPriority w:val="9"/>
    <w:rPr>
      <w:rFonts w:ascii="Times New Roman" w:hAnsi="Times New Roman" w:eastAsiaTheme="majorEastAsia" w:cstheme="majorBidi"/>
      <w:color w:val="2F5597" w:themeColor="accent1" w:themeShade="BF"/>
      <w:sz w:val="28"/>
      <w:szCs w:val="26"/>
    </w:rPr>
  </w:style>
  <w:style w:type="paragraph" w:styleId="15">
    <w:name w:val="No Spacing"/>
    <w:qFormat/>
    <w:uiPriority w:val="1"/>
    <w:pPr>
      <w:spacing w:after="0" w:line="240" w:lineRule="auto"/>
    </w:pPr>
    <w:rPr>
      <w:rFonts w:asciiTheme="minorHAnsi" w:hAnsiTheme="minorHAnsi" w:eastAsiaTheme="minorHAnsi" w:cstheme="minorBidi"/>
      <w:sz w:val="22"/>
      <w:szCs w:val="22"/>
      <w:lang w:val="en-IN" w:eastAsia="en-US" w:bidi="ar-SA"/>
      <w14:ligatures w14:val="none"/>
    </w:rPr>
  </w:style>
  <w:style w:type="character" w:customStyle="1" w:styleId="16">
    <w:name w:val="Header Char"/>
    <w:basedOn w:val="4"/>
    <w:link w:val="7"/>
    <w:uiPriority w:val="99"/>
    <w:rPr>
      <w:rFonts w:ascii="Times New Roman" w:hAnsi="Times New Roman"/>
      <w:sz w:val="24"/>
    </w:rPr>
  </w:style>
  <w:style w:type="character" w:customStyle="1" w:styleId="17">
    <w:name w:val="Footer Char"/>
    <w:basedOn w:val="4"/>
    <w:link w:val="6"/>
    <w:qFormat/>
    <w:uiPriority w:val="99"/>
    <w:rPr>
      <w:rFonts w:ascii="Times New Roman" w:hAnsi="Times New Roman"/>
      <w:sz w:val="24"/>
    </w:rPr>
  </w:style>
  <w:style w:type="paragraph" w:customStyle="1" w:styleId="18">
    <w:name w:val="TOC Heading"/>
    <w:basedOn w:val="2"/>
    <w:next w:val="1"/>
    <w:unhideWhenUsed/>
    <w:qFormat/>
    <w:uiPriority w:val="39"/>
    <w:pPr>
      <w:spacing w:line="259" w:lineRule="auto"/>
      <w:jc w:val="left"/>
      <w:outlineLvl w:val="9"/>
    </w:pPr>
    <w:rPr>
      <w:rFonts w:asciiTheme="majorHAnsi" w:hAnsiTheme="majorHAnsi"/>
      <w:lang w:eastAsia="en-GB"/>
      <w14:ligatures w14:val="none"/>
    </w:rPr>
  </w:style>
  <w:style w:type="paragraph" w:styleId="19">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DA419C-BDCD-4E9B-91DC-CBE7ED8859E9}">
  <ds:schemaRefs/>
</ds:datastoreItem>
</file>

<file path=docProps/app.xml><?xml version="1.0" encoding="utf-8"?>
<Properties xmlns="http://schemas.openxmlformats.org/officeDocument/2006/extended-properties" xmlns:vt="http://schemas.openxmlformats.org/officeDocument/2006/docPropsVTypes">
  <Template>Normal</Template>
  <Pages>1</Pages>
  <Words>2892</Words>
  <Characters>17439</Characters>
  <Lines>311</Lines>
  <Paragraphs>95</Paragraphs>
  <TotalTime>538</TotalTime>
  <ScaleCrop>false</ScaleCrop>
  <LinksUpToDate>false</LinksUpToDate>
  <CharactersWithSpaces>20236</CharactersWithSpaces>
  <Application>WPS Office_12.2.0.13266_F1E327BC-269C-435d-A152-05C5408002CA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2023-09-30T10:56:00Z</dcterms:created>
  <dc:creator>shazi</dc:creator>
  <cp:lastModifiedBy>Shazida begum</cp:lastModifiedBy>
  <dcterms:modified xsi:type="dcterms:W3CDTF">2023-10-18T07:43:17Z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9c06e4a8c907b5ff535c936ea23c4b3a2685163843fee446dd4cd8103a8f0fb3</vt:lpwstr>
  </property>
  <property fmtid="{D5CDD505-2E9C-101B-9397-08002B2CF9AE}" pid="3" name="KSOProductBuildVer">
    <vt:lpwstr>2057-12.2.0.13266</vt:lpwstr>
  </property>
  <property fmtid="{D5CDD505-2E9C-101B-9397-08002B2CF9AE}" pid="4" name="ICV">
    <vt:lpwstr>645A62D45CBB4533BBC35D5A3A9832C0_12</vt:lpwstr>
  </property>
</Properties>
</file>