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382C4" w14:textId="2DCB5B4E" w:rsidR="00E94A6B" w:rsidRDefault="000D3EE1">
      <w:r>
        <w:rPr>
          <w:noProof/>
        </w:rPr>
        <w:drawing>
          <wp:inline distT="0" distB="0" distL="0" distR="0" wp14:anchorId="6D7A7EA6" wp14:editId="1EC2A6F7">
            <wp:extent cx="3639820" cy="1816735"/>
            <wp:effectExtent l="0" t="0" r="0" b="0"/>
            <wp:docPr id="12299093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093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0789410C" w14:textId="77777777" w:rsidR="000D3EE1" w:rsidRDefault="000D3EE1"/>
    <w:p w14:paraId="56849E79" w14:textId="77777777" w:rsidR="000D3EE1" w:rsidRDefault="000D3EE1"/>
    <w:p w14:paraId="5A7528BF" w14:textId="77777777" w:rsidR="000D3EE1" w:rsidRPr="00E70331" w:rsidRDefault="000D3EE1" w:rsidP="000D3EE1">
      <w:pPr>
        <w:ind w:left="1440" w:firstLine="720"/>
        <w:rPr>
          <w:rFonts w:ascii="Times New Roman" w:hAnsi="Times New Roman" w:cs="Times New Roman"/>
          <w:sz w:val="40"/>
          <w:szCs w:val="40"/>
        </w:rPr>
      </w:pPr>
      <w:r w:rsidRPr="00E70331">
        <w:rPr>
          <w:rFonts w:ascii="Times New Roman" w:hAnsi="Times New Roman" w:cs="Times New Roman"/>
          <w:sz w:val="40"/>
          <w:szCs w:val="40"/>
        </w:rPr>
        <w:t>Assessment 1</w:t>
      </w:r>
    </w:p>
    <w:p w14:paraId="5BA90BDD" w14:textId="77777777" w:rsidR="000D3EE1" w:rsidRPr="006F695A" w:rsidRDefault="000D3EE1" w:rsidP="000D3EE1">
      <w:pPr>
        <w:rPr>
          <w:rFonts w:ascii="Times New Roman" w:hAnsi="Times New Roman" w:cs="Times New Roman"/>
          <w:sz w:val="24"/>
          <w:szCs w:val="24"/>
        </w:rPr>
      </w:pPr>
    </w:p>
    <w:p w14:paraId="7F390D60" w14:textId="77777777" w:rsidR="000D3EE1" w:rsidRPr="006F695A" w:rsidRDefault="000D3EE1" w:rsidP="000D3EE1">
      <w:pPr>
        <w:rPr>
          <w:rFonts w:ascii="Times New Roman" w:hAnsi="Times New Roman" w:cs="Times New Roman"/>
          <w:sz w:val="24"/>
          <w:szCs w:val="24"/>
        </w:rPr>
      </w:pPr>
    </w:p>
    <w:p w14:paraId="4AC311E3" w14:textId="77777777" w:rsidR="000D3EE1" w:rsidRPr="006F695A" w:rsidRDefault="000D3EE1" w:rsidP="000D3EE1">
      <w:pPr>
        <w:rPr>
          <w:rFonts w:ascii="Times New Roman" w:hAnsi="Times New Roman" w:cs="Times New Roman"/>
          <w:sz w:val="24"/>
          <w:szCs w:val="24"/>
        </w:rPr>
      </w:pPr>
    </w:p>
    <w:p w14:paraId="38920E9A" w14:textId="77777777" w:rsidR="000D3EE1" w:rsidRPr="006F695A" w:rsidRDefault="000D3EE1" w:rsidP="000D3EE1">
      <w:pPr>
        <w:rPr>
          <w:rFonts w:ascii="Times New Roman" w:hAnsi="Times New Roman" w:cs="Times New Roman"/>
          <w:sz w:val="24"/>
          <w:szCs w:val="24"/>
        </w:rPr>
      </w:pPr>
      <w:r w:rsidRPr="006F695A">
        <w:rPr>
          <w:rFonts w:ascii="Times New Roman" w:hAnsi="Times New Roman" w:cs="Times New Roman"/>
          <w:sz w:val="24"/>
          <w:szCs w:val="24"/>
        </w:rPr>
        <w:t>Name: Sorin Daniel Dascalu</w:t>
      </w:r>
    </w:p>
    <w:p w14:paraId="5646FB51" w14:textId="77777777" w:rsidR="000D3EE1" w:rsidRPr="006F695A" w:rsidRDefault="000D3EE1" w:rsidP="000D3EE1">
      <w:pPr>
        <w:rPr>
          <w:rFonts w:ascii="Times New Roman" w:hAnsi="Times New Roman" w:cs="Times New Roman"/>
          <w:sz w:val="24"/>
          <w:szCs w:val="24"/>
        </w:rPr>
      </w:pPr>
      <w:r w:rsidRPr="006F695A">
        <w:rPr>
          <w:rFonts w:ascii="Times New Roman" w:hAnsi="Times New Roman" w:cs="Times New Roman"/>
          <w:sz w:val="24"/>
          <w:szCs w:val="24"/>
        </w:rPr>
        <w:t>Student ID: 2237755</w:t>
      </w:r>
    </w:p>
    <w:p w14:paraId="7C24364D" w14:textId="77777777" w:rsidR="000D3EE1" w:rsidRPr="006F695A" w:rsidRDefault="000D3EE1" w:rsidP="000D3EE1">
      <w:pPr>
        <w:rPr>
          <w:rFonts w:ascii="Times New Roman" w:hAnsi="Times New Roman" w:cs="Times New Roman"/>
          <w:sz w:val="24"/>
          <w:szCs w:val="24"/>
        </w:rPr>
      </w:pPr>
      <w:r w:rsidRPr="006F695A">
        <w:rPr>
          <w:rFonts w:ascii="Times New Roman" w:hAnsi="Times New Roman" w:cs="Times New Roman"/>
          <w:sz w:val="24"/>
          <w:szCs w:val="24"/>
        </w:rPr>
        <w:t>Module code: LCBB</w:t>
      </w:r>
      <w:r>
        <w:rPr>
          <w:rFonts w:ascii="Times New Roman" w:hAnsi="Times New Roman" w:cs="Times New Roman"/>
          <w:sz w:val="24"/>
          <w:szCs w:val="24"/>
        </w:rPr>
        <w:t>5010</w:t>
      </w:r>
    </w:p>
    <w:p w14:paraId="14442D0C" w14:textId="77777777" w:rsidR="000D3EE1" w:rsidRPr="006F695A" w:rsidRDefault="000D3EE1" w:rsidP="000D3EE1">
      <w:pPr>
        <w:rPr>
          <w:rFonts w:ascii="Times New Roman" w:hAnsi="Times New Roman" w:cs="Times New Roman"/>
          <w:sz w:val="24"/>
          <w:szCs w:val="24"/>
        </w:rPr>
      </w:pPr>
      <w:r w:rsidRPr="006F695A">
        <w:rPr>
          <w:rFonts w:ascii="Times New Roman" w:hAnsi="Times New Roman" w:cs="Times New Roman"/>
          <w:sz w:val="24"/>
          <w:szCs w:val="24"/>
        </w:rPr>
        <w:t xml:space="preserve">Module name: </w:t>
      </w:r>
      <w:r w:rsidRPr="00A53598">
        <w:rPr>
          <w:rFonts w:ascii="Times New Roman" w:hAnsi="Times New Roman" w:cs="Times New Roman"/>
          <w:sz w:val="24"/>
          <w:szCs w:val="24"/>
        </w:rPr>
        <w:t>Management Accounting for Managers</w:t>
      </w:r>
    </w:p>
    <w:p w14:paraId="1680EF9E" w14:textId="77777777" w:rsidR="000D3EE1" w:rsidRDefault="000D3EE1" w:rsidP="000D3EE1">
      <w:pPr>
        <w:rPr>
          <w:rFonts w:ascii="Times New Roman" w:hAnsi="Times New Roman" w:cs="Times New Roman"/>
          <w:sz w:val="24"/>
          <w:szCs w:val="24"/>
        </w:rPr>
      </w:pPr>
      <w:r w:rsidRPr="008E1848">
        <w:rPr>
          <w:rFonts w:ascii="Times New Roman" w:hAnsi="Times New Roman" w:cs="Times New Roman"/>
          <w:sz w:val="24"/>
          <w:szCs w:val="24"/>
        </w:rPr>
        <w:t xml:space="preserve">Lecturer: </w:t>
      </w:r>
      <w:r w:rsidRPr="00C830EB">
        <w:rPr>
          <w:rFonts w:ascii="Times New Roman" w:hAnsi="Times New Roman" w:cs="Times New Roman"/>
          <w:sz w:val="24"/>
          <w:szCs w:val="24"/>
        </w:rPr>
        <w:t>Dr Rita Ukachi-Lois Zainab Atta</w:t>
      </w:r>
    </w:p>
    <w:p w14:paraId="46F90658" w14:textId="710BB891" w:rsidR="000D3EE1" w:rsidRDefault="000D3EE1"/>
    <w:p w14:paraId="267C74A0" w14:textId="77777777" w:rsidR="00E645F3" w:rsidRDefault="000D3EE1">
      <w:r>
        <w:br w:type="page"/>
      </w:r>
    </w:p>
    <w:sdt>
      <w:sdtPr>
        <w:rPr>
          <w:rFonts w:asciiTheme="minorHAnsi" w:eastAsiaTheme="minorHAnsi" w:hAnsiTheme="minorHAnsi" w:cstheme="minorBidi"/>
          <w:color w:val="auto"/>
          <w:kern w:val="2"/>
          <w:sz w:val="22"/>
          <w:szCs w:val="22"/>
          <w:lang w:val="en-GB"/>
        </w:rPr>
        <w:id w:val="990369265"/>
        <w:docPartObj>
          <w:docPartGallery w:val="Table of Contents"/>
          <w:docPartUnique/>
        </w:docPartObj>
      </w:sdtPr>
      <w:sdtEndPr>
        <w:rPr>
          <w:b/>
          <w:bCs/>
          <w:noProof/>
        </w:rPr>
      </w:sdtEndPr>
      <w:sdtContent>
        <w:p w14:paraId="0F92DB32" w14:textId="2FC7C2AB" w:rsidR="00E645F3" w:rsidRPr="00747AB1" w:rsidRDefault="00E645F3" w:rsidP="00747AB1">
          <w:pPr>
            <w:pStyle w:val="TOCHeading"/>
            <w:spacing w:line="360" w:lineRule="auto"/>
            <w:jc w:val="both"/>
            <w:rPr>
              <w:rFonts w:ascii="Arial" w:hAnsi="Arial" w:cs="Arial"/>
              <w:sz w:val="28"/>
              <w:szCs w:val="28"/>
            </w:rPr>
          </w:pPr>
          <w:r w:rsidRPr="00747AB1">
            <w:rPr>
              <w:rFonts w:ascii="Arial" w:hAnsi="Arial" w:cs="Arial"/>
              <w:sz w:val="28"/>
              <w:szCs w:val="28"/>
            </w:rPr>
            <w:t>Contents</w:t>
          </w:r>
        </w:p>
        <w:p w14:paraId="786A8773" w14:textId="5E011D00" w:rsidR="00747AB1" w:rsidRPr="00747AB1" w:rsidRDefault="00E645F3" w:rsidP="00747AB1">
          <w:pPr>
            <w:pStyle w:val="TOC1"/>
            <w:tabs>
              <w:tab w:val="right" w:leader="dot" w:pos="9016"/>
            </w:tabs>
            <w:spacing w:line="360" w:lineRule="auto"/>
            <w:jc w:val="both"/>
            <w:rPr>
              <w:rFonts w:ascii="Arial" w:eastAsiaTheme="minorEastAsia" w:hAnsi="Arial" w:cs="Arial"/>
              <w:noProof/>
              <w:sz w:val="28"/>
              <w:szCs w:val="28"/>
              <w:lang w:eastAsia="en-GB"/>
            </w:rPr>
          </w:pPr>
          <w:r w:rsidRPr="00747AB1">
            <w:rPr>
              <w:rFonts w:ascii="Arial" w:hAnsi="Arial" w:cs="Arial"/>
              <w:sz w:val="28"/>
              <w:szCs w:val="28"/>
            </w:rPr>
            <w:fldChar w:fldCharType="begin"/>
          </w:r>
          <w:r w:rsidRPr="00747AB1">
            <w:rPr>
              <w:rFonts w:ascii="Arial" w:hAnsi="Arial" w:cs="Arial"/>
              <w:sz w:val="28"/>
              <w:szCs w:val="28"/>
            </w:rPr>
            <w:instrText xml:space="preserve"> TOC \o "1-3" \h \z \u </w:instrText>
          </w:r>
          <w:r w:rsidRPr="00747AB1">
            <w:rPr>
              <w:rFonts w:ascii="Arial" w:hAnsi="Arial" w:cs="Arial"/>
              <w:sz w:val="28"/>
              <w:szCs w:val="28"/>
            </w:rPr>
            <w:fldChar w:fldCharType="separate"/>
          </w:r>
          <w:hyperlink w:anchor="_Toc214459944" w:history="1">
            <w:r w:rsidR="00747AB1" w:rsidRPr="00747AB1">
              <w:rPr>
                <w:rStyle w:val="Hyperlink"/>
                <w:rFonts w:ascii="Arial" w:hAnsi="Arial" w:cs="Arial"/>
                <w:noProof/>
                <w:sz w:val="28"/>
                <w:szCs w:val="28"/>
              </w:rPr>
              <w:t>1. Introduction</w:t>
            </w:r>
            <w:r w:rsidR="00747AB1" w:rsidRPr="00747AB1">
              <w:rPr>
                <w:rFonts w:ascii="Arial" w:hAnsi="Arial" w:cs="Arial"/>
                <w:noProof/>
                <w:webHidden/>
                <w:sz w:val="28"/>
                <w:szCs w:val="28"/>
              </w:rPr>
              <w:tab/>
            </w:r>
            <w:r w:rsidR="00747AB1" w:rsidRPr="00747AB1">
              <w:rPr>
                <w:rFonts w:ascii="Arial" w:hAnsi="Arial" w:cs="Arial"/>
                <w:noProof/>
                <w:webHidden/>
                <w:sz w:val="28"/>
                <w:szCs w:val="28"/>
              </w:rPr>
              <w:fldChar w:fldCharType="begin"/>
            </w:r>
            <w:r w:rsidR="00747AB1" w:rsidRPr="00747AB1">
              <w:rPr>
                <w:rFonts w:ascii="Arial" w:hAnsi="Arial" w:cs="Arial"/>
                <w:noProof/>
                <w:webHidden/>
                <w:sz w:val="28"/>
                <w:szCs w:val="28"/>
              </w:rPr>
              <w:instrText xml:space="preserve"> PAGEREF _Toc214459944 \h </w:instrText>
            </w:r>
            <w:r w:rsidR="00747AB1" w:rsidRPr="00747AB1">
              <w:rPr>
                <w:rFonts w:ascii="Arial" w:hAnsi="Arial" w:cs="Arial"/>
                <w:noProof/>
                <w:webHidden/>
                <w:sz w:val="28"/>
                <w:szCs w:val="28"/>
              </w:rPr>
            </w:r>
            <w:r w:rsidR="00747AB1" w:rsidRPr="00747AB1">
              <w:rPr>
                <w:rFonts w:ascii="Arial" w:hAnsi="Arial" w:cs="Arial"/>
                <w:noProof/>
                <w:webHidden/>
                <w:sz w:val="28"/>
                <w:szCs w:val="28"/>
              </w:rPr>
              <w:fldChar w:fldCharType="separate"/>
            </w:r>
            <w:r w:rsidR="00747AB1" w:rsidRPr="00747AB1">
              <w:rPr>
                <w:rFonts w:ascii="Arial" w:hAnsi="Arial" w:cs="Arial"/>
                <w:noProof/>
                <w:webHidden/>
                <w:sz w:val="28"/>
                <w:szCs w:val="28"/>
              </w:rPr>
              <w:t>3</w:t>
            </w:r>
            <w:r w:rsidR="00747AB1" w:rsidRPr="00747AB1">
              <w:rPr>
                <w:rFonts w:ascii="Arial" w:hAnsi="Arial" w:cs="Arial"/>
                <w:noProof/>
                <w:webHidden/>
                <w:sz w:val="28"/>
                <w:szCs w:val="28"/>
              </w:rPr>
              <w:fldChar w:fldCharType="end"/>
            </w:r>
          </w:hyperlink>
        </w:p>
        <w:p w14:paraId="29DB324D" w14:textId="1E7B7F92" w:rsidR="00747AB1" w:rsidRPr="00747AB1" w:rsidRDefault="00747AB1" w:rsidP="00747AB1">
          <w:pPr>
            <w:pStyle w:val="TOC1"/>
            <w:tabs>
              <w:tab w:val="right" w:leader="dot" w:pos="9016"/>
            </w:tabs>
            <w:spacing w:line="360" w:lineRule="auto"/>
            <w:jc w:val="both"/>
            <w:rPr>
              <w:rFonts w:ascii="Arial" w:eastAsiaTheme="minorEastAsia" w:hAnsi="Arial" w:cs="Arial"/>
              <w:noProof/>
              <w:sz w:val="28"/>
              <w:szCs w:val="28"/>
              <w:lang w:eastAsia="en-GB"/>
            </w:rPr>
          </w:pPr>
          <w:hyperlink w:anchor="_Toc214459945" w:history="1">
            <w:r w:rsidRPr="00747AB1">
              <w:rPr>
                <w:rStyle w:val="Hyperlink"/>
                <w:rFonts w:ascii="Arial" w:hAnsi="Arial" w:cs="Arial"/>
                <w:noProof/>
                <w:sz w:val="28"/>
                <w:szCs w:val="28"/>
              </w:rPr>
              <w:t>2. Cost Analysis and Business model.</w:t>
            </w:r>
            <w:r w:rsidRPr="00747AB1">
              <w:rPr>
                <w:rFonts w:ascii="Arial" w:hAnsi="Arial" w:cs="Arial"/>
                <w:noProof/>
                <w:webHidden/>
                <w:sz w:val="28"/>
                <w:szCs w:val="28"/>
              </w:rPr>
              <w:tab/>
            </w:r>
            <w:r w:rsidRPr="00747AB1">
              <w:rPr>
                <w:rFonts w:ascii="Arial" w:hAnsi="Arial" w:cs="Arial"/>
                <w:noProof/>
                <w:webHidden/>
                <w:sz w:val="28"/>
                <w:szCs w:val="28"/>
              </w:rPr>
              <w:fldChar w:fldCharType="begin"/>
            </w:r>
            <w:r w:rsidRPr="00747AB1">
              <w:rPr>
                <w:rFonts w:ascii="Arial" w:hAnsi="Arial" w:cs="Arial"/>
                <w:noProof/>
                <w:webHidden/>
                <w:sz w:val="28"/>
                <w:szCs w:val="28"/>
              </w:rPr>
              <w:instrText xml:space="preserve"> PAGEREF _Toc214459945 \h </w:instrText>
            </w:r>
            <w:r w:rsidRPr="00747AB1">
              <w:rPr>
                <w:rFonts w:ascii="Arial" w:hAnsi="Arial" w:cs="Arial"/>
                <w:noProof/>
                <w:webHidden/>
                <w:sz w:val="28"/>
                <w:szCs w:val="28"/>
              </w:rPr>
            </w:r>
            <w:r w:rsidRPr="00747AB1">
              <w:rPr>
                <w:rFonts w:ascii="Arial" w:hAnsi="Arial" w:cs="Arial"/>
                <w:noProof/>
                <w:webHidden/>
                <w:sz w:val="28"/>
                <w:szCs w:val="28"/>
              </w:rPr>
              <w:fldChar w:fldCharType="separate"/>
            </w:r>
            <w:r w:rsidRPr="00747AB1">
              <w:rPr>
                <w:rFonts w:ascii="Arial" w:hAnsi="Arial" w:cs="Arial"/>
                <w:noProof/>
                <w:webHidden/>
                <w:sz w:val="28"/>
                <w:szCs w:val="28"/>
              </w:rPr>
              <w:t>4</w:t>
            </w:r>
            <w:r w:rsidRPr="00747AB1">
              <w:rPr>
                <w:rFonts w:ascii="Arial" w:hAnsi="Arial" w:cs="Arial"/>
                <w:noProof/>
                <w:webHidden/>
                <w:sz w:val="28"/>
                <w:szCs w:val="28"/>
              </w:rPr>
              <w:fldChar w:fldCharType="end"/>
            </w:r>
          </w:hyperlink>
        </w:p>
        <w:p w14:paraId="592580A0" w14:textId="74E39A50" w:rsidR="00747AB1" w:rsidRPr="00747AB1" w:rsidRDefault="00747AB1" w:rsidP="00747AB1">
          <w:pPr>
            <w:pStyle w:val="TOC1"/>
            <w:tabs>
              <w:tab w:val="right" w:leader="dot" w:pos="9016"/>
            </w:tabs>
            <w:spacing w:line="360" w:lineRule="auto"/>
            <w:jc w:val="both"/>
            <w:rPr>
              <w:rFonts w:ascii="Arial" w:eastAsiaTheme="minorEastAsia" w:hAnsi="Arial" w:cs="Arial"/>
              <w:noProof/>
              <w:sz w:val="28"/>
              <w:szCs w:val="28"/>
              <w:lang w:eastAsia="en-GB"/>
            </w:rPr>
          </w:pPr>
          <w:hyperlink w:anchor="_Toc214459946" w:history="1">
            <w:r w:rsidRPr="00747AB1">
              <w:rPr>
                <w:rStyle w:val="Hyperlink"/>
                <w:rFonts w:ascii="Arial" w:hAnsi="Arial" w:cs="Arial"/>
                <w:noProof/>
                <w:sz w:val="28"/>
                <w:szCs w:val="28"/>
              </w:rPr>
              <w:t>3. Budgeting and Financial Planning</w:t>
            </w:r>
            <w:r w:rsidRPr="00747AB1">
              <w:rPr>
                <w:rFonts w:ascii="Arial" w:hAnsi="Arial" w:cs="Arial"/>
                <w:noProof/>
                <w:webHidden/>
                <w:sz w:val="28"/>
                <w:szCs w:val="28"/>
              </w:rPr>
              <w:tab/>
            </w:r>
            <w:r w:rsidRPr="00747AB1">
              <w:rPr>
                <w:rFonts w:ascii="Arial" w:hAnsi="Arial" w:cs="Arial"/>
                <w:noProof/>
                <w:webHidden/>
                <w:sz w:val="28"/>
                <w:szCs w:val="28"/>
              </w:rPr>
              <w:fldChar w:fldCharType="begin"/>
            </w:r>
            <w:r w:rsidRPr="00747AB1">
              <w:rPr>
                <w:rFonts w:ascii="Arial" w:hAnsi="Arial" w:cs="Arial"/>
                <w:noProof/>
                <w:webHidden/>
                <w:sz w:val="28"/>
                <w:szCs w:val="28"/>
              </w:rPr>
              <w:instrText xml:space="preserve"> PAGEREF _Toc214459946 \h </w:instrText>
            </w:r>
            <w:r w:rsidRPr="00747AB1">
              <w:rPr>
                <w:rFonts w:ascii="Arial" w:hAnsi="Arial" w:cs="Arial"/>
                <w:noProof/>
                <w:webHidden/>
                <w:sz w:val="28"/>
                <w:szCs w:val="28"/>
              </w:rPr>
            </w:r>
            <w:r w:rsidRPr="00747AB1">
              <w:rPr>
                <w:rFonts w:ascii="Arial" w:hAnsi="Arial" w:cs="Arial"/>
                <w:noProof/>
                <w:webHidden/>
                <w:sz w:val="28"/>
                <w:szCs w:val="28"/>
              </w:rPr>
              <w:fldChar w:fldCharType="separate"/>
            </w:r>
            <w:r w:rsidRPr="00747AB1">
              <w:rPr>
                <w:rFonts w:ascii="Arial" w:hAnsi="Arial" w:cs="Arial"/>
                <w:noProof/>
                <w:webHidden/>
                <w:sz w:val="28"/>
                <w:szCs w:val="28"/>
              </w:rPr>
              <w:t>6</w:t>
            </w:r>
            <w:r w:rsidRPr="00747AB1">
              <w:rPr>
                <w:rFonts w:ascii="Arial" w:hAnsi="Arial" w:cs="Arial"/>
                <w:noProof/>
                <w:webHidden/>
                <w:sz w:val="28"/>
                <w:szCs w:val="28"/>
              </w:rPr>
              <w:fldChar w:fldCharType="end"/>
            </w:r>
          </w:hyperlink>
        </w:p>
        <w:p w14:paraId="0EC44D00" w14:textId="5C7B3F42" w:rsidR="00747AB1" w:rsidRPr="00747AB1" w:rsidRDefault="00747AB1" w:rsidP="00747AB1">
          <w:pPr>
            <w:pStyle w:val="TOC1"/>
            <w:tabs>
              <w:tab w:val="right" w:leader="dot" w:pos="9016"/>
            </w:tabs>
            <w:spacing w:line="360" w:lineRule="auto"/>
            <w:jc w:val="both"/>
            <w:rPr>
              <w:rFonts w:ascii="Arial" w:eastAsiaTheme="minorEastAsia" w:hAnsi="Arial" w:cs="Arial"/>
              <w:noProof/>
              <w:sz w:val="28"/>
              <w:szCs w:val="28"/>
              <w:lang w:eastAsia="en-GB"/>
            </w:rPr>
          </w:pPr>
          <w:hyperlink w:anchor="_Toc214459947" w:history="1">
            <w:r w:rsidRPr="00747AB1">
              <w:rPr>
                <w:rStyle w:val="Hyperlink"/>
                <w:rFonts w:ascii="Arial" w:hAnsi="Arial" w:cs="Arial"/>
                <w:noProof/>
                <w:sz w:val="28"/>
                <w:szCs w:val="28"/>
              </w:rPr>
              <w:t>4. Performance Measurement and Decision-Making</w:t>
            </w:r>
            <w:r w:rsidRPr="00747AB1">
              <w:rPr>
                <w:rFonts w:ascii="Arial" w:hAnsi="Arial" w:cs="Arial"/>
                <w:noProof/>
                <w:webHidden/>
                <w:sz w:val="28"/>
                <w:szCs w:val="28"/>
              </w:rPr>
              <w:tab/>
            </w:r>
            <w:r w:rsidRPr="00747AB1">
              <w:rPr>
                <w:rFonts w:ascii="Arial" w:hAnsi="Arial" w:cs="Arial"/>
                <w:noProof/>
                <w:webHidden/>
                <w:sz w:val="28"/>
                <w:szCs w:val="28"/>
              </w:rPr>
              <w:fldChar w:fldCharType="begin"/>
            </w:r>
            <w:r w:rsidRPr="00747AB1">
              <w:rPr>
                <w:rFonts w:ascii="Arial" w:hAnsi="Arial" w:cs="Arial"/>
                <w:noProof/>
                <w:webHidden/>
                <w:sz w:val="28"/>
                <w:szCs w:val="28"/>
              </w:rPr>
              <w:instrText xml:space="preserve"> PAGEREF _Toc214459947 \h </w:instrText>
            </w:r>
            <w:r w:rsidRPr="00747AB1">
              <w:rPr>
                <w:rFonts w:ascii="Arial" w:hAnsi="Arial" w:cs="Arial"/>
                <w:noProof/>
                <w:webHidden/>
                <w:sz w:val="28"/>
                <w:szCs w:val="28"/>
              </w:rPr>
            </w:r>
            <w:r w:rsidRPr="00747AB1">
              <w:rPr>
                <w:rFonts w:ascii="Arial" w:hAnsi="Arial" w:cs="Arial"/>
                <w:noProof/>
                <w:webHidden/>
                <w:sz w:val="28"/>
                <w:szCs w:val="28"/>
              </w:rPr>
              <w:fldChar w:fldCharType="separate"/>
            </w:r>
            <w:r w:rsidRPr="00747AB1">
              <w:rPr>
                <w:rFonts w:ascii="Arial" w:hAnsi="Arial" w:cs="Arial"/>
                <w:noProof/>
                <w:webHidden/>
                <w:sz w:val="28"/>
                <w:szCs w:val="28"/>
              </w:rPr>
              <w:t>8</w:t>
            </w:r>
            <w:r w:rsidRPr="00747AB1">
              <w:rPr>
                <w:rFonts w:ascii="Arial" w:hAnsi="Arial" w:cs="Arial"/>
                <w:noProof/>
                <w:webHidden/>
                <w:sz w:val="28"/>
                <w:szCs w:val="28"/>
              </w:rPr>
              <w:fldChar w:fldCharType="end"/>
            </w:r>
          </w:hyperlink>
        </w:p>
        <w:p w14:paraId="1BCAA86F" w14:textId="704546C1" w:rsidR="00747AB1" w:rsidRPr="00747AB1" w:rsidRDefault="00747AB1" w:rsidP="00747AB1">
          <w:pPr>
            <w:pStyle w:val="TOC1"/>
            <w:tabs>
              <w:tab w:val="right" w:leader="dot" w:pos="9016"/>
            </w:tabs>
            <w:spacing w:line="360" w:lineRule="auto"/>
            <w:jc w:val="both"/>
            <w:rPr>
              <w:rFonts w:ascii="Arial" w:eastAsiaTheme="minorEastAsia" w:hAnsi="Arial" w:cs="Arial"/>
              <w:noProof/>
              <w:sz w:val="28"/>
              <w:szCs w:val="28"/>
              <w:lang w:eastAsia="en-GB"/>
            </w:rPr>
          </w:pPr>
          <w:hyperlink w:anchor="_Toc214459948" w:history="1">
            <w:r w:rsidRPr="00747AB1">
              <w:rPr>
                <w:rStyle w:val="Hyperlink"/>
                <w:rFonts w:ascii="Arial" w:hAnsi="Arial" w:cs="Arial"/>
                <w:noProof/>
                <w:sz w:val="28"/>
                <w:szCs w:val="28"/>
              </w:rPr>
              <w:t>5. Sustainability and Ethical Considerations</w:t>
            </w:r>
            <w:r w:rsidRPr="00747AB1">
              <w:rPr>
                <w:rFonts w:ascii="Arial" w:hAnsi="Arial" w:cs="Arial"/>
                <w:noProof/>
                <w:webHidden/>
                <w:sz w:val="28"/>
                <w:szCs w:val="28"/>
              </w:rPr>
              <w:tab/>
            </w:r>
            <w:r w:rsidRPr="00747AB1">
              <w:rPr>
                <w:rFonts w:ascii="Arial" w:hAnsi="Arial" w:cs="Arial"/>
                <w:noProof/>
                <w:webHidden/>
                <w:sz w:val="28"/>
                <w:szCs w:val="28"/>
              </w:rPr>
              <w:fldChar w:fldCharType="begin"/>
            </w:r>
            <w:r w:rsidRPr="00747AB1">
              <w:rPr>
                <w:rFonts w:ascii="Arial" w:hAnsi="Arial" w:cs="Arial"/>
                <w:noProof/>
                <w:webHidden/>
                <w:sz w:val="28"/>
                <w:szCs w:val="28"/>
              </w:rPr>
              <w:instrText xml:space="preserve"> PAGEREF _Toc214459948 \h </w:instrText>
            </w:r>
            <w:r w:rsidRPr="00747AB1">
              <w:rPr>
                <w:rFonts w:ascii="Arial" w:hAnsi="Arial" w:cs="Arial"/>
                <w:noProof/>
                <w:webHidden/>
                <w:sz w:val="28"/>
                <w:szCs w:val="28"/>
              </w:rPr>
            </w:r>
            <w:r w:rsidRPr="00747AB1">
              <w:rPr>
                <w:rFonts w:ascii="Arial" w:hAnsi="Arial" w:cs="Arial"/>
                <w:noProof/>
                <w:webHidden/>
                <w:sz w:val="28"/>
                <w:szCs w:val="28"/>
              </w:rPr>
              <w:fldChar w:fldCharType="separate"/>
            </w:r>
            <w:r w:rsidRPr="00747AB1">
              <w:rPr>
                <w:rFonts w:ascii="Arial" w:hAnsi="Arial" w:cs="Arial"/>
                <w:noProof/>
                <w:webHidden/>
                <w:sz w:val="28"/>
                <w:szCs w:val="28"/>
              </w:rPr>
              <w:t>10</w:t>
            </w:r>
            <w:r w:rsidRPr="00747AB1">
              <w:rPr>
                <w:rFonts w:ascii="Arial" w:hAnsi="Arial" w:cs="Arial"/>
                <w:noProof/>
                <w:webHidden/>
                <w:sz w:val="28"/>
                <w:szCs w:val="28"/>
              </w:rPr>
              <w:fldChar w:fldCharType="end"/>
            </w:r>
          </w:hyperlink>
        </w:p>
        <w:p w14:paraId="48AC5CFA" w14:textId="37A164D8" w:rsidR="00747AB1" w:rsidRPr="00747AB1" w:rsidRDefault="00747AB1" w:rsidP="00747AB1">
          <w:pPr>
            <w:pStyle w:val="TOC1"/>
            <w:tabs>
              <w:tab w:val="right" w:leader="dot" w:pos="9016"/>
            </w:tabs>
            <w:spacing w:line="360" w:lineRule="auto"/>
            <w:jc w:val="both"/>
            <w:rPr>
              <w:rFonts w:ascii="Arial" w:eastAsiaTheme="minorEastAsia" w:hAnsi="Arial" w:cs="Arial"/>
              <w:noProof/>
              <w:sz w:val="28"/>
              <w:szCs w:val="28"/>
              <w:lang w:eastAsia="en-GB"/>
            </w:rPr>
          </w:pPr>
          <w:hyperlink w:anchor="_Toc214459949" w:history="1">
            <w:r w:rsidRPr="00747AB1">
              <w:rPr>
                <w:rStyle w:val="Hyperlink"/>
                <w:rFonts w:ascii="Arial" w:hAnsi="Arial" w:cs="Arial"/>
                <w:noProof/>
                <w:sz w:val="28"/>
                <w:szCs w:val="28"/>
              </w:rPr>
              <w:t>6. Conclusions and Recommendations</w:t>
            </w:r>
            <w:r w:rsidRPr="00747AB1">
              <w:rPr>
                <w:rFonts w:ascii="Arial" w:hAnsi="Arial" w:cs="Arial"/>
                <w:noProof/>
                <w:webHidden/>
                <w:sz w:val="28"/>
                <w:szCs w:val="28"/>
              </w:rPr>
              <w:tab/>
            </w:r>
            <w:r w:rsidRPr="00747AB1">
              <w:rPr>
                <w:rFonts w:ascii="Arial" w:hAnsi="Arial" w:cs="Arial"/>
                <w:noProof/>
                <w:webHidden/>
                <w:sz w:val="28"/>
                <w:szCs w:val="28"/>
              </w:rPr>
              <w:fldChar w:fldCharType="begin"/>
            </w:r>
            <w:r w:rsidRPr="00747AB1">
              <w:rPr>
                <w:rFonts w:ascii="Arial" w:hAnsi="Arial" w:cs="Arial"/>
                <w:noProof/>
                <w:webHidden/>
                <w:sz w:val="28"/>
                <w:szCs w:val="28"/>
              </w:rPr>
              <w:instrText xml:space="preserve"> PAGEREF _Toc214459949 \h </w:instrText>
            </w:r>
            <w:r w:rsidRPr="00747AB1">
              <w:rPr>
                <w:rFonts w:ascii="Arial" w:hAnsi="Arial" w:cs="Arial"/>
                <w:noProof/>
                <w:webHidden/>
                <w:sz w:val="28"/>
                <w:szCs w:val="28"/>
              </w:rPr>
            </w:r>
            <w:r w:rsidRPr="00747AB1">
              <w:rPr>
                <w:rFonts w:ascii="Arial" w:hAnsi="Arial" w:cs="Arial"/>
                <w:noProof/>
                <w:webHidden/>
                <w:sz w:val="28"/>
                <w:szCs w:val="28"/>
              </w:rPr>
              <w:fldChar w:fldCharType="separate"/>
            </w:r>
            <w:r w:rsidRPr="00747AB1">
              <w:rPr>
                <w:rFonts w:ascii="Arial" w:hAnsi="Arial" w:cs="Arial"/>
                <w:noProof/>
                <w:webHidden/>
                <w:sz w:val="28"/>
                <w:szCs w:val="28"/>
              </w:rPr>
              <w:t>11</w:t>
            </w:r>
            <w:r w:rsidRPr="00747AB1">
              <w:rPr>
                <w:rFonts w:ascii="Arial" w:hAnsi="Arial" w:cs="Arial"/>
                <w:noProof/>
                <w:webHidden/>
                <w:sz w:val="28"/>
                <w:szCs w:val="28"/>
              </w:rPr>
              <w:fldChar w:fldCharType="end"/>
            </w:r>
          </w:hyperlink>
        </w:p>
        <w:p w14:paraId="1777B492" w14:textId="22BD54BA" w:rsidR="00747AB1" w:rsidRPr="00747AB1" w:rsidRDefault="00747AB1" w:rsidP="00747AB1">
          <w:pPr>
            <w:pStyle w:val="TOC1"/>
            <w:tabs>
              <w:tab w:val="right" w:leader="dot" w:pos="9016"/>
            </w:tabs>
            <w:spacing w:line="360" w:lineRule="auto"/>
            <w:jc w:val="both"/>
            <w:rPr>
              <w:rFonts w:ascii="Arial" w:eastAsiaTheme="minorEastAsia" w:hAnsi="Arial" w:cs="Arial"/>
              <w:noProof/>
              <w:sz w:val="28"/>
              <w:szCs w:val="28"/>
              <w:lang w:eastAsia="en-GB"/>
            </w:rPr>
          </w:pPr>
          <w:hyperlink w:anchor="_Toc214459950" w:history="1">
            <w:r w:rsidRPr="00747AB1">
              <w:rPr>
                <w:rStyle w:val="Hyperlink"/>
                <w:rFonts w:ascii="Arial" w:hAnsi="Arial" w:cs="Arial"/>
                <w:noProof/>
                <w:sz w:val="28"/>
                <w:szCs w:val="28"/>
              </w:rPr>
              <w:t>7. References</w:t>
            </w:r>
            <w:r w:rsidRPr="00747AB1">
              <w:rPr>
                <w:rFonts w:ascii="Arial" w:hAnsi="Arial" w:cs="Arial"/>
                <w:noProof/>
                <w:webHidden/>
                <w:sz w:val="28"/>
                <w:szCs w:val="28"/>
              </w:rPr>
              <w:tab/>
            </w:r>
            <w:r w:rsidRPr="00747AB1">
              <w:rPr>
                <w:rFonts w:ascii="Arial" w:hAnsi="Arial" w:cs="Arial"/>
                <w:noProof/>
                <w:webHidden/>
                <w:sz w:val="28"/>
                <w:szCs w:val="28"/>
              </w:rPr>
              <w:fldChar w:fldCharType="begin"/>
            </w:r>
            <w:r w:rsidRPr="00747AB1">
              <w:rPr>
                <w:rFonts w:ascii="Arial" w:hAnsi="Arial" w:cs="Arial"/>
                <w:noProof/>
                <w:webHidden/>
                <w:sz w:val="28"/>
                <w:szCs w:val="28"/>
              </w:rPr>
              <w:instrText xml:space="preserve"> PAGEREF _Toc214459950 \h </w:instrText>
            </w:r>
            <w:r w:rsidRPr="00747AB1">
              <w:rPr>
                <w:rFonts w:ascii="Arial" w:hAnsi="Arial" w:cs="Arial"/>
                <w:noProof/>
                <w:webHidden/>
                <w:sz w:val="28"/>
                <w:szCs w:val="28"/>
              </w:rPr>
            </w:r>
            <w:r w:rsidRPr="00747AB1">
              <w:rPr>
                <w:rFonts w:ascii="Arial" w:hAnsi="Arial" w:cs="Arial"/>
                <w:noProof/>
                <w:webHidden/>
                <w:sz w:val="28"/>
                <w:szCs w:val="28"/>
              </w:rPr>
              <w:fldChar w:fldCharType="separate"/>
            </w:r>
            <w:r w:rsidRPr="00747AB1">
              <w:rPr>
                <w:rFonts w:ascii="Arial" w:hAnsi="Arial" w:cs="Arial"/>
                <w:noProof/>
                <w:webHidden/>
                <w:sz w:val="28"/>
                <w:szCs w:val="28"/>
              </w:rPr>
              <w:t>13</w:t>
            </w:r>
            <w:r w:rsidRPr="00747AB1">
              <w:rPr>
                <w:rFonts w:ascii="Arial" w:hAnsi="Arial" w:cs="Arial"/>
                <w:noProof/>
                <w:webHidden/>
                <w:sz w:val="28"/>
                <w:szCs w:val="28"/>
              </w:rPr>
              <w:fldChar w:fldCharType="end"/>
            </w:r>
          </w:hyperlink>
        </w:p>
        <w:p w14:paraId="0FEFC211" w14:textId="6656FF08" w:rsidR="00E645F3" w:rsidRDefault="00E645F3" w:rsidP="00747AB1">
          <w:pPr>
            <w:spacing w:line="360" w:lineRule="auto"/>
            <w:jc w:val="both"/>
          </w:pPr>
          <w:r w:rsidRPr="00747AB1">
            <w:rPr>
              <w:rFonts w:ascii="Arial" w:hAnsi="Arial" w:cs="Arial"/>
              <w:b/>
              <w:bCs/>
              <w:noProof/>
              <w:sz w:val="28"/>
              <w:szCs w:val="28"/>
            </w:rPr>
            <w:fldChar w:fldCharType="end"/>
          </w:r>
        </w:p>
      </w:sdtContent>
    </w:sdt>
    <w:p w14:paraId="69B4944D" w14:textId="73B5F4C7" w:rsidR="000D3EE1" w:rsidRDefault="000D3EE1"/>
    <w:p w14:paraId="7FACCD8B" w14:textId="77777777" w:rsidR="00E645F3" w:rsidRDefault="00E645F3"/>
    <w:p w14:paraId="3F013405" w14:textId="77777777" w:rsidR="00E645F3" w:rsidRDefault="00E645F3"/>
    <w:p w14:paraId="5C7DBED4" w14:textId="77777777" w:rsidR="00F0566E" w:rsidRDefault="00F0566E"/>
    <w:p w14:paraId="521BDD1B" w14:textId="77777777" w:rsidR="00F0566E" w:rsidRDefault="00F0566E"/>
    <w:p w14:paraId="60F9D4D6" w14:textId="77777777" w:rsidR="00F0566E" w:rsidRDefault="00F0566E"/>
    <w:p w14:paraId="678632DA" w14:textId="77777777" w:rsidR="00F0566E" w:rsidRDefault="00F0566E"/>
    <w:p w14:paraId="65E1BAD6" w14:textId="77777777" w:rsidR="00F0566E" w:rsidRDefault="00F0566E"/>
    <w:p w14:paraId="123F33A5" w14:textId="77777777" w:rsidR="00F0566E" w:rsidRDefault="00F0566E"/>
    <w:p w14:paraId="11A1E218" w14:textId="77777777" w:rsidR="00F0566E" w:rsidRDefault="00F0566E"/>
    <w:p w14:paraId="5747864C" w14:textId="77777777" w:rsidR="00F0566E" w:rsidRDefault="00F0566E"/>
    <w:p w14:paraId="191A1F1D" w14:textId="77777777" w:rsidR="00E645F3" w:rsidRDefault="00E645F3"/>
    <w:p w14:paraId="19E73B2F" w14:textId="77777777" w:rsidR="00E645F3" w:rsidRDefault="00E645F3"/>
    <w:p w14:paraId="730B5B78" w14:textId="77777777" w:rsidR="00E645F3" w:rsidRDefault="00E645F3"/>
    <w:p w14:paraId="4B860F74" w14:textId="4A92939F" w:rsidR="000D3EE1" w:rsidRDefault="000D3EE1">
      <w:r>
        <w:rPr>
          <w:noProof/>
        </w:rPr>
        <w:lastRenderedPageBreak/>
        <w:drawing>
          <wp:inline distT="0" distB="0" distL="0" distR="0" wp14:anchorId="25FD6EE5" wp14:editId="6B439D5D">
            <wp:extent cx="2419350" cy="2743200"/>
            <wp:effectExtent l="0" t="0" r="0" b="0"/>
            <wp:docPr id="2122048647" name="Picture 1" descr="Tesla Photoshoot on Beh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Photoshoot on Beha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9350" cy="2743200"/>
                    </a:xfrm>
                    <a:prstGeom prst="rect">
                      <a:avLst/>
                    </a:prstGeom>
                    <a:noFill/>
                    <a:ln>
                      <a:noFill/>
                    </a:ln>
                  </pic:spPr>
                </pic:pic>
              </a:graphicData>
            </a:graphic>
          </wp:inline>
        </w:drawing>
      </w:r>
      <w:sdt>
        <w:sdtPr>
          <w:id w:val="-79605925"/>
          <w:citation/>
        </w:sdtPr>
        <w:sdtEndPr/>
        <w:sdtContent>
          <w:r>
            <w:fldChar w:fldCharType="begin"/>
          </w:r>
          <w:r>
            <w:rPr>
              <w:lang w:val="en-US"/>
            </w:rPr>
            <w:instrText xml:space="preserve"> CITATION PIX25 \l 1033 </w:instrText>
          </w:r>
          <w:r>
            <w:fldChar w:fldCharType="separate"/>
          </w:r>
          <w:r>
            <w:rPr>
              <w:noProof/>
              <w:lang w:val="en-US"/>
            </w:rPr>
            <w:t xml:space="preserve"> </w:t>
          </w:r>
          <w:r w:rsidRPr="000D3EE1">
            <w:rPr>
              <w:noProof/>
              <w:lang w:val="en-US"/>
            </w:rPr>
            <w:t>(PIXABAY, n.d.)</w:t>
          </w:r>
          <w:r>
            <w:fldChar w:fldCharType="end"/>
          </w:r>
        </w:sdtContent>
      </w:sdt>
    </w:p>
    <w:p w14:paraId="54C98E8F" w14:textId="77777777" w:rsidR="0002637D" w:rsidRDefault="0002637D"/>
    <w:p w14:paraId="69736B76" w14:textId="77777777" w:rsidR="00AD685A" w:rsidRPr="00AD685A" w:rsidRDefault="00AD685A" w:rsidP="00E645F3">
      <w:pPr>
        <w:pStyle w:val="Heading1"/>
      </w:pPr>
      <w:bookmarkStart w:id="0" w:name="_Toc214459944"/>
      <w:r w:rsidRPr="00AD685A">
        <w:t>1. Introduction</w:t>
      </w:r>
      <w:bookmarkEnd w:id="0"/>
    </w:p>
    <w:p w14:paraId="552CCF7E"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In this report, we will primarily aim to examine how management accounting tools and techniques assist Tesla, Inc. in making financial decisions and explore key topics such as cost structures, budgeting, performance evaluations, and sustainability. The objective is to demonstrate how management accounting information enables managers to make informed decisions that facilitate the planning, control, and enhancement of their organisations' performances.</w:t>
      </w:r>
    </w:p>
    <w:p w14:paraId="29A4ED5E" w14:textId="7AAA714D"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Tesla, Inc. is a leading multinational enterprise operating in the electric-vehicle (EV), renewable-energy, and battery-storage sectors. Established in 2003 and headquartered in Austin, Texas, the company reported £76.4 billion in revenue for the year ended 2024, supported by a global workforce exceeding 125,000 employees (Tesla, 2025). Tesla’s product portfolio includes battery-electric vehicles (Models S, 3, X, Y and </w:t>
      </w:r>
      <w:proofErr w:type="spellStart"/>
      <w:r w:rsidRPr="00AD685A">
        <w:rPr>
          <w:rFonts w:ascii="Arial" w:hAnsi="Arial" w:cs="Arial"/>
          <w:sz w:val="28"/>
          <w:szCs w:val="28"/>
        </w:rPr>
        <w:t>Cybertruck</w:t>
      </w:r>
      <w:proofErr w:type="spellEnd"/>
      <w:r w:rsidRPr="00AD685A">
        <w:rPr>
          <w:rFonts w:ascii="Arial" w:hAnsi="Arial" w:cs="Arial"/>
          <w:sz w:val="28"/>
          <w:szCs w:val="28"/>
        </w:rPr>
        <w:t xml:space="preserve">), Megapack storage systems, and solar technologies, positioning the firm as a central actor in the rapidly expanding global EV industry, which grew by more than 25% in 2024 (IEA, 2025; Statista, </w:t>
      </w:r>
      <w:r w:rsidRPr="00AD685A">
        <w:rPr>
          <w:rFonts w:ascii="Arial" w:hAnsi="Arial" w:cs="Arial"/>
          <w:sz w:val="28"/>
          <w:szCs w:val="28"/>
        </w:rPr>
        <w:lastRenderedPageBreak/>
        <w:t>2025). In the UK, battery-electric vehicles represent roughly 20% of new car registrations, reflecting accelerating adoption. (Statista, 2025). Key competitors include BYD Company, Volkswagen Group and other legacy automotive and newer Chinese EV manufacturers.</w:t>
      </w:r>
    </w:p>
    <w:p w14:paraId="101F1691"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Management accounting plays an essential role in such technologically intensive environments. </w:t>
      </w:r>
      <w:proofErr w:type="spellStart"/>
      <w:r w:rsidRPr="00AD685A">
        <w:rPr>
          <w:rFonts w:ascii="Arial" w:hAnsi="Arial" w:cs="Arial"/>
          <w:sz w:val="28"/>
          <w:szCs w:val="28"/>
        </w:rPr>
        <w:t>Atrill</w:t>
      </w:r>
      <w:proofErr w:type="spellEnd"/>
      <w:r w:rsidRPr="00AD685A">
        <w:rPr>
          <w:rFonts w:ascii="Arial" w:hAnsi="Arial" w:cs="Arial"/>
          <w:sz w:val="28"/>
          <w:szCs w:val="28"/>
        </w:rPr>
        <w:t xml:space="preserve"> and McLaney (2021 and 2022) emphasise its importance for planning, cost control, and performance measurement, while Drury and </w:t>
      </w:r>
      <w:proofErr w:type="spellStart"/>
      <w:r w:rsidRPr="00AD685A">
        <w:rPr>
          <w:rFonts w:ascii="Arial" w:hAnsi="Arial" w:cs="Arial"/>
          <w:sz w:val="28"/>
          <w:szCs w:val="28"/>
        </w:rPr>
        <w:t>Tayles</w:t>
      </w:r>
      <w:proofErr w:type="spellEnd"/>
      <w:r w:rsidRPr="00AD685A">
        <w:rPr>
          <w:rFonts w:ascii="Arial" w:hAnsi="Arial" w:cs="Arial"/>
          <w:sz w:val="28"/>
          <w:szCs w:val="28"/>
        </w:rPr>
        <w:t xml:space="preserve"> (2024) highlight its contribution to strategic resource allocation. Weetman (2013) further notes that integrating financial and nonfinancial information enhances managerial decision-making and organisational accountability. Consequently, management accounting systems are critical for supporting Tesla’s innovation-driven growth, capital investment decisions and operational efficiency in a dynamic global market.</w:t>
      </w:r>
    </w:p>
    <w:p w14:paraId="1A7D4F99" w14:textId="77777777" w:rsidR="00AD685A" w:rsidRPr="00AD685A" w:rsidRDefault="00AD685A" w:rsidP="00E645F3">
      <w:pPr>
        <w:pStyle w:val="Heading1"/>
      </w:pPr>
      <w:bookmarkStart w:id="1" w:name="_Toc214459945"/>
      <w:r w:rsidRPr="00AD685A">
        <w:t>2. Cost Analysis and Business model.</w:t>
      </w:r>
      <w:bookmarkEnd w:id="1"/>
    </w:p>
    <w:p w14:paraId="048DB33E"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Tesla's business model is characterised by a high degree of vertical integration, encompassing electric vehicle manufacturing, battery cell development, software engineering, renewable energy generation, and </w:t>
      </w:r>
      <w:proofErr w:type="spellStart"/>
      <w:r w:rsidRPr="00AD685A">
        <w:rPr>
          <w:rFonts w:ascii="Arial" w:hAnsi="Arial" w:cs="Arial"/>
          <w:sz w:val="28"/>
          <w:szCs w:val="28"/>
        </w:rPr>
        <w:t>energystorage</w:t>
      </w:r>
      <w:proofErr w:type="spellEnd"/>
      <w:r w:rsidRPr="00AD685A">
        <w:rPr>
          <w:rFonts w:ascii="Arial" w:hAnsi="Arial" w:cs="Arial"/>
          <w:sz w:val="28"/>
          <w:szCs w:val="28"/>
        </w:rPr>
        <w:t xml:space="preserve"> solutions. This integrated structure lets the company strategically control its costs while also getting economies of scale from its factories in the US, China, and Europe (Tesla, 2025; McKinsey, 2024). In 2024, Tesla generated £76.4 billion in total revenues, approximately 87% of which originated from automotive activities, with the remainder derived from energy storage and services (Tesla, 2025).</w:t>
      </w:r>
    </w:p>
    <w:p w14:paraId="7240AD04"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From a management accounting perspective, an examination of Tesla’s cost structure reveals a combination of substantial fixed costs and volatile variable costs, consistent with the characteristics of advanced </w:t>
      </w:r>
      <w:r w:rsidRPr="00AD685A">
        <w:rPr>
          <w:rFonts w:ascii="Arial" w:hAnsi="Arial" w:cs="Arial"/>
          <w:sz w:val="28"/>
          <w:szCs w:val="28"/>
        </w:rPr>
        <w:lastRenderedPageBreak/>
        <w:t xml:space="preserve">manufacturing firms. According to Drury and </w:t>
      </w:r>
      <w:proofErr w:type="spellStart"/>
      <w:r w:rsidRPr="00AD685A">
        <w:rPr>
          <w:rFonts w:ascii="Arial" w:hAnsi="Arial" w:cs="Arial"/>
          <w:sz w:val="28"/>
          <w:szCs w:val="28"/>
        </w:rPr>
        <w:t>Tayles</w:t>
      </w:r>
      <w:proofErr w:type="spellEnd"/>
      <w:r w:rsidRPr="00AD685A">
        <w:rPr>
          <w:rFonts w:ascii="Arial" w:hAnsi="Arial" w:cs="Arial"/>
          <w:sz w:val="28"/>
          <w:szCs w:val="28"/>
        </w:rPr>
        <w:t xml:space="preserve"> (2024), fixed costs arise from long-term capacity commitments, such as Gigafactory construction, automation, depreciation of production assets, salaried labour and R&amp;D infrastructure. Tesla’s R&amp;D expenditure in 2024 amounted to approximately £3.54 billion, reflecting ongoing investment in autonomous driving, Dojo supercomputing and next-generation vehicle platforms (Statista, 2025). The magnitude of these fixed commitments necessitates rigorous budgeting, capital investment appraisal and cost-volume-profit (CVP) analysis to assess break-even thresholds and scalability.</w:t>
      </w:r>
    </w:p>
    <w:p w14:paraId="78E64473"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On the other hand, raw materials such as lithium, nickel, and cobalt, semiconductor components, freight, energy inputs, and direct labour primarily drive Tesla's variable costs. These cost drivers exhibit significant sensitivity to global commodity prices and supply-chain constraints (</w:t>
      </w:r>
      <w:proofErr w:type="spellStart"/>
      <w:r w:rsidRPr="00AD685A">
        <w:rPr>
          <w:rFonts w:ascii="Arial" w:hAnsi="Arial" w:cs="Arial"/>
          <w:sz w:val="28"/>
          <w:szCs w:val="28"/>
        </w:rPr>
        <w:t>BloombergNEF</w:t>
      </w:r>
      <w:proofErr w:type="spellEnd"/>
      <w:r w:rsidRPr="00AD685A">
        <w:rPr>
          <w:rFonts w:ascii="Arial" w:hAnsi="Arial" w:cs="Arial"/>
          <w:sz w:val="28"/>
          <w:szCs w:val="28"/>
        </w:rPr>
        <w:t xml:space="preserve">, 2024). </w:t>
      </w:r>
      <w:proofErr w:type="spellStart"/>
      <w:r w:rsidRPr="00AD685A">
        <w:rPr>
          <w:rFonts w:ascii="Arial" w:hAnsi="Arial" w:cs="Arial"/>
          <w:sz w:val="28"/>
          <w:szCs w:val="28"/>
        </w:rPr>
        <w:t>Atrill</w:t>
      </w:r>
      <w:proofErr w:type="spellEnd"/>
      <w:r w:rsidRPr="00AD685A">
        <w:rPr>
          <w:rFonts w:ascii="Arial" w:hAnsi="Arial" w:cs="Arial"/>
          <w:sz w:val="28"/>
          <w:szCs w:val="28"/>
        </w:rPr>
        <w:t xml:space="preserve"> and McLaney (2021) highlight that understanding cost behaviour is fundamental for pricing decisions and margin analysis; Tesla’s global price reductions in 2023–2024 illustrate the strategic trade-off between margin compression and market-share expansion. These decisions require detailed standard-cost frameworks and variance analysis to monitor deviations in material usage, labour efficiency, and manufacturing overhead.</w:t>
      </w:r>
    </w:p>
    <w:p w14:paraId="150063EE" w14:textId="0D239ACE"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Tesla’s direct-to-consumer sales model eliminates dealership intermediaries, allowing the firm to retain higher contribution margins and improve customer lifetime value (FT, 2024). This aligns with Weetman’s (2013) assertion that management accounting supports strategic positioning by offering information about customer profitability and channel efficiencies. In its energy segment, Tesla applies project-based costing, similar to activity-based costing (ABC), ensuring that </w:t>
      </w:r>
      <w:r w:rsidRPr="00AD685A">
        <w:rPr>
          <w:rFonts w:ascii="Arial" w:hAnsi="Arial" w:cs="Arial"/>
          <w:sz w:val="28"/>
          <w:szCs w:val="28"/>
        </w:rPr>
        <w:lastRenderedPageBreak/>
        <w:t xml:space="preserve">overhead resources related to </w:t>
      </w:r>
      <w:proofErr w:type="spellStart"/>
      <w:r w:rsidRPr="00AD685A">
        <w:rPr>
          <w:rFonts w:ascii="Arial" w:hAnsi="Arial" w:cs="Arial"/>
          <w:sz w:val="28"/>
          <w:szCs w:val="28"/>
        </w:rPr>
        <w:t>MegaPack</w:t>
      </w:r>
      <w:proofErr w:type="spellEnd"/>
      <w:r w:rsidRPr="00AD685A">
        <w:rPr>
          <w:rFonts w:ascii="Arial" w:hAnsi="Arial" w:cs="Arial"/>
          <w:sz w:val="28"/>
          <w:szCs w:val="28"/>
        </w:rPr>
        <w:t xml:space="preserve"> installations, software configuration, and site engineering are allocated accurately to individual projects (Tesla, 2024 Impact Report). Overall, Tesla's business model and cost architecture underscore the importance of management accounting in supporting strategic investment, operational efficiency and long-term competitiveness. The combination of high fixed costs, fluctuating variable inputs and rapid technological evolution necessitates robust analytical systems to inform pricing, resource allocation and sustainability-orientated decisions.</w:t>
      </w:r>
    </w:p>
    <w:p w14:paraId="4E179FCC" w14:textId="77777777" w:rsidR="00AD685A" w:rsidRPr="00AD685A" w:rsidRDefault="00AD685A" w:rsidP="00E645F3">
      <w:pPr>
        <w:pStyle w:val="Heading1"/>
      </w:pPr>
      <w:bookmarkStart w:id="2" w:name="_Toc214459946"/>
      <w:r w:rsidRPr="00AD685A">
        <w:t>3. Budgeting and Financial Planning</w:t>
      </w:r>
      <w:bookmarkEnd w:id="2"/>
    </w:p>
    <w:p w14:paraId="4E9408C4"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Budgeting and financial planning are central to Tesla's managerial control framework, enabling the organisation to coordinate resources, evaluate performance, and support long-term strategic objectives. As </w:t>
      </w:r>
      <w:proofErr w:type="spellStart"/>
      <w:r w:rsidRPr="00AD685A">
        <w:rPr>
          <w:rFonts w:ascii="Arial" w:hAnsi="Arial" w:cs="Arial"/>
          <w:sz w:val="28"/>
          <w:szCs w:val="28"/>
        </w:rPr>
        <w:t>Atrill</w:t>
      </w:r>
      <w:proofErr w:type="spellEnd"/>
      <w:r w:rsidRPr="00AD685A">
        <w:rPr>
          <w:rFonts w:ascii="Arial" w:hAnsi="Arial" w:cs="Arial"/>
          <w:sz w:val="28"/>
          <w:szCs w:val="28"/>
        </w:rPr>
        <w:t xml:space="preserve"> and McLaney (2021–2022) argue, budgets function as quantitative expressions of strategic plans, facilitating alignment between operational activities and organisational goals. Tesla operates in a highly volatile technological and macroeconomic environment, which makes robust budgeting systems essential for managing uncertainty, cost pressures, and capital intensity.</w:t>
      </w:r>
    </w:p>
    <w:p w14:paraId="34141C9D"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In 2024, Tesla reported operating expenses (OPEX) of approximately £8.12 billion, a 15.1% increase from £7.05 billion in 2023 (Tesla, 2025). This rise was primarily driven by internal decisions, including expanded investment in advanced driver-assistance systems (FSD), the Dojo AI training platform and early development work on its next-generation vehicle platform. As Drury and </w:t>
      </w:r>
      <w:proofErr w:type="spellStart"/>
      <w:r w:rsidRPr="00AD685A">
        <w:rPr>
          <w:rFonts w:ascii="Arial" w:hAnsi="Arial" w:cs="Arial"/>
          <w:sz w:val="28"/>
          <w:szCs w:val="28"/>
        </w:rPr>
        <w:t>Tayles</w:t>
      </w:r>
      <w:proofErr w:type="spellEnd"/>
      <w:r w:rsidRPr="00AD685A">
        <w:rPr>
          <w:rFonts w:ascii="Arial" w:hAnsi="Arial" w:cs="Arial"/>
          <w:sz w:val="28"/>
          <w:szCs w:val="28"/>
        </w:rPr>
        <w:t xml:space="preserve"> (2024) note, such innovation-led expenditure requires sophisticated investment appraisal techniques, including net present value (NPV) and sensitivity analysis, to assess </w:t>
      </w:r>
      <w:r w:rsidRPr="00AD685A">
        <w:rPr>
          <w:rFonts w:ascii="Arial" w:hAnsi="Arial" w:cs="Arial"/>
          <w:sz w:val="28"/>
          <w:szCs w:val="28"/>
        </w:rPr>
        <w:lastRenderedPageBreak/>
        <w:t>risk-adjusted returns. Additionally, restructuring costs incurred in 2024—linked to operational efficiency programs—also influenced OPEX, reflecting Tesla's focus on streamlining production and enhancing global cost competitiveness.</w:t>
      </w:r>
    </w:p>
    <w:p w14:paraId="7E26BE87"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Tesla’s leadership commentary (2024–2025) underscores the importance of disciplined cost control as the company navigates price reductions, margin compressions, and intensified competition from global EV manufacturers. The chairman’s statement highlights the need for prudence in capital allocation, with budgetary prioritisation given to high-impact projects such as the Gigafactory Berlin expansion and energy storage scale-up. This shows how strategic budgeting works, where resource allocation is based on both short-term financial returns and long-term competitive positioning (FT, 2024; Reuters, 2025).</w:t>
      </w:r>
    </w:p>
    <w:p w14:paraId="462EE870" w14:textId="6F281AC9"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Externally, macroeconomic factors significantly influenced Tesla’s 2024–2025 budgeting cycle. Rising global commodity costs, exchange-rate volatility and inflationary pressures in logistics exerted upward pressure on both fixed and variable costs (Bloomberg NEF, 2024). Regulatory environments—such as the U.S. Inflation Reduction Act (IRA) and European carbon policies—also shape budgetary decisions by affecting incentives, demand forecasts, and the economics of localised battery production (IEA, 2025). Tesla incorporates sustainability-orientated budgeting, aligned with its “Profit, People, Planet” corporate philosophy. More and more capital is going into low-carbon manufacturing, integrating renewable energy, and recycling batteries (Tesla Impact Report, 2024). This aligns with Weetman’s (2013) view that modern management accounting must incorporate social and environmental dimensions into financial planning to support long-term organisational stewardship.</w:t>
      </w:r>
    </w:p>
    <w:p w14:paraId="3137D5C2"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lastRenderedPageBreak/>
        <w:t>Overall, Tesla’s budgeting and financial planning processes demonstrate a sophisticated integration of financial forecasting, risk assessment, sustainability priorities, and strategic decision-making—enabling the organisation to manage complexity while sustaining its innovation-driven growth trajectory.</w:t>
      </w:r>
    </w:p>
    <w:p w14:paraId="762BBF5E" w14:textId="77777777" w:rsidR="00AD685A" w:rsidRPr="00AD685A" w:rsidRDefault="00AD685A" w:rsidP="00E645F3">
      <w:pPr>
        <w:pStyle w:val="Heading1"/>
      </w:pPr>
      <w:bookmarkStart w:id="3" w:name="_Toc214459947"/>
      <w:r w:rsidRPr="00AD685A">
        <w:t>4. Performance Measurement and Decision-Making</w:t>
      </w:r>
      <w:bookmarkEnd w:id="3"/>
    </w:p>
    <w:p w14:paraId="111771A4" w14:textId="27DA0B86"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Performance measurement is an important part of Tesla's management accounting system. It helps the company make strategic and operational decisions in a fast-changing, technology-driven, and capital-intensive environment. According to </w:t>
      </w:r>
      <w:proofErr w:type="spellStart"/>
      <w:r w:rsidRPr="00AD685A">
        <w:rPr>
          <w:rFonts w:ascii="Arial" w:hAnsi="Arial" w:cs="Arial"/>
          <w:sz w:val="28"/>
          <w:szCs w:val="28"/>
        </w:rPr>
        <w:t>Atrill</w:t>
      </w:r>
      <w:proofErr w:type="spellEnd"/>
      <w:r w:rsidRPr="00AD685A">
        <w:rPr>
          <w:rFonts w:ascii="Arial" w:hAnsi="Arial" w:cs="Arial"/>
          <w:sz w:val="28"/>
          <w:szCs w:val="28"/>
        </w:rPr>
        <w:t xml:space="preserve"> and McLaney (2021), effective performance measurement requires a combination of financial indicators, non-financial metrics and strategic analysis to ensure alignment with organisational objectives. Tesla’s performance framework reflects this integrated approach through the use of both quantitative KPIs and qualitative sustainability-orientated indicators. Key financial KPIs include net income, operating margin, geographic profitability, return on invested capital (ROIC) and cash flow from operations. Tesla recorded a net income of approximately £5.5 billion in 2024 after USD–GBP conversion, representing a decline from 2023 due to strategic price reductions and margin compression (Tesla, 2025). Tesla’s geographic income before tax reveals that international operations contributed £5.19 billion, significantly exceeding the £1.79 billion generated in the United States. This geographic variance, supported by segmental profitability analysis recommended by Drury and </w:t>
      </w:r>
      <w:proofErr w:type="spellStart"/>
      <w:r w:rsidRPr="00AD685A">
        <w:rPr>
          <w:rFonts w:ascii="Arial" w:hAnsi="Arial" w:cs="Arial"/>
          <w:sz w:val="28"/>
          <w:szCs w:val="28"/>
        </w:rPr>
        <w:t>Tayles</w:t>
      </w:r>
      <w:proofErr w:type="spellEnd"/>
      <w:r w:rsidRPr="00AD685A">
        <w:rPr>
          <w:rFonts w:ascii="Arial" w:hAnsi="Arial" w:cs="Arial"/>
          <w:sz w:val="28"/>
          <w:szCs w:val="28"/>
        </w:rPr>
        <w:t xml:space="preserve"> (2024), has shaped Tesla’s decisions to expand capacity in Germany and China, where scale economies and local incentives enhance long-term margin potential (Reuters, 2025).</w:t>
      </w:r>
    </w:p>
    <w:p w14:paraId="0F642C4D" w14:textId="521BE03B"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lastRenderedPageBreak/>
        <w:t xml:space="preserve">Tesla’s non-financial KPIs include production efficiency, vehicle delivery volumes, battery cost per kWh, energy storage deployment, customer satisfaction and workplace safety metrics. Vehicle deliveries reached 1.94 million units in 2024, reflecting strong operational capacity despite competitive pressures (IEA, 2025). Energy storage deployments grew rapidly with Megapack scaling, reinforcing Tesla’s diversification strategy and supporting its long-term sustainability objectives (Tesla Impact Report, 2024). As Weetman (2013) notes, non-financial indicators, such as quality, productivity, and innovation, are essential for understanding future performance potential. Performance information from these KPIs directly informs Tesla’s major strategic decisions. For instance, analysing declining margins and rising inventory in 2024 prompted Tesla to implement global price reductions, prioritising market share and production scale over short-term profitability. This is in line with what </w:t>
      </w:r>
      <w:proofErr w:type="spellStart"/>
      <w:r w:rsidRPr="00AD685A">
        <w:rPr>
          <w:rFonts w:ascii="Arial" w:hAnsi="Arial" w:cs="Arial"/>
          <w:sz w:val="28"/>
          <w:szCs w:val="28"/>
        </w:rPr>
        <w:t>Atrill</w:t>
      </w:r>
      <w:proofErr w:type="spellEnd"/>
      <w:r w:rsidRPr="00AD685A">
        <w:rPr>
          <w:rFonts w:ascii="Arial" w:hAnsi="Arial" w:cs="Arial"/>
          <w:sz w:val="28"/>
          <w:szCs w:val="28"/>
        </w:rPr>
        <w:t xml:space="preserve"> and McLaney (2022) say about management accounting needing to help make decisions that balance financial performance and competitive positioning. Similarly, Tesla’s restructuring initiatives—aimed at reducing operating cost run rates—were guided by variance analysis highlighting inefficiencies in production and overhead absorption (FT, 2024).</w:t>
      </w:r>
    </w:p>
    <w:p w14:paraId="6BB4F015"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Tesla’s dashboard-based reporting system enables the real-time monitoring of KPIs, integrating sustainability, financial performance, and operational metrics. This supports long-term decision-making regarding Gigafactory expansion, investment in autonomous driving technologies and scaling energy business operations. McKinsey (2024) notes that such integrated KPI systems are critical for firms undergoing large-scale technological transformation.</w:t>
      </w:r>
    </w:p>
    <w:p w14:paraId="0A41AFB8"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Overall, Tesla’s performance measurement system demonstrates a sophisticated application of management accounting, supporting data-</w:t>
      </w:r>
      <w:r w:rsidRPr="00AD685A">
        <w:rPr>
          <w:rFonts w:ascii="Arial" w:hAnsi="Arial" w:cs="Arial"/>
          <w:sz w:val="28"/>
          <w:szCs w:val="28"/>
        </w:rPr>
        <w:lastRenderedPageBreak/>
        <w:t>driven strategic decisions and reinforcing its competitive advantages in the global EV and energy markets.</w:t>
      </w:r>
    </w:p>
    <w:p w14:paraId="0E9F1F14" w14:textId="77777777" w:rsidR="00AD685A" w:rsidRPr="00AD685A" w:rsidRDefault="00AD685A" w:rsidP="00E645F3">
      <w:pPr>
        <w:pStyle w:val="Heading1"/>
      </w:pPr>
      <w:bookmarkStart w:id="4" w:name="_Toc214459948"/>
      <w:r w:rsidRPr="00AD685A">
        <w:t>5. Sustainability and Ethical Considerations</w:t>
      </w:r>
      <w:bookmarkEnd w:id="4"/>
    </w:p>
    <w:p w14:paraId="5AD6234A"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Sustainability and ethical stewardship have become integral to Tesla's financial decision-making framework, embedded within a broader commitment to environmental responsibility, innovation-led growth and stakeholder value creation. Tesla’s sustainability strategy reflects a Triple Bottom Line (TBL) orientation—People, Planet, and Profit—consistent with contemporary management accounting perspectives that emphasise integrating social and environmental impacts into organisational decision processes (Weetman, 2013; Deloitte, 2024).</w:t>
      </w:r>
    </w:p>
    <w:p w14:paraId="077BD57F"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From a Planet perspective, Tesla prioritises low-carbon manufacturing, circular-economy principles and renewable-energy integration. The company’s 2024 Impact Report highlights substantial reductions in lifecycle emissions for its vehicles relative to internal combustion engine alternatives, as well as investments in battery recycling, water stewardship, and waste minimisation. These sustainability priorities influence capital budgeting decisions, as long-term investments in Gigafactory solar utilisation, closed-loop materials and energy-efficient robotics require assessment using discounted cash flow and sustainability appraisal methods (Drury &amp; </w:t>
      </w:r>
      <w:proofErr w:type="spellStart"/>
      <w:r w:rsidRPr="00AD685A">
        <w:rPr>
          <w:rFonts w:ascii="Arial" w:hAnsi="Arial" w:cs="Arial"/>
          <w:sz w:val="28"/>
          <w:szCs w:val="28"/>
        </w:rPr>
        <w:t>Tayles</w:t>
      </w:r>
      <w:proofErr w:type="spellEnd"/>
      <w:r w:rsidRPr="00AD685A">
        <w:rPr>
          <w:rFonts w:ascii="Arial" w:hAnsi="Arial" w:cs="Arial"/>
          <w:sz w:val="28"/>
          <w:szCs w:val="28"/>
        </w:rPr>
        <w:t>, 2024; Tesla, 2024).</w:t>
      </w:r>
    </w:p>
    <w:p w14:paraId="799C7265"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In relation to people, Tesla has expanded programmes focused on workforce development, workplace safety and community engagement. Nevertheless, restructuring activities in 2024 raise ethical considerations relating to employee welfare, labour rights, and transparency. Ethical decision-making frameworks, emphasised by </w:t>
      </w:r>
      <w:proofErr w:type="spellStart"/>
      <w:r w:rsidRPr="00AD685A">
        <w:rPr>
          <w:rFonts w:ascii="Arial" w:hAnsi="Arial" w:cs="Arial"/>
          <w:sz w:val="28"/>
          <w:szCs w:val="28"/>
        </w:rPr>
        <w:t>Atrill</w:t>
      </w:r>
      <w:proofErr w:type="spellEnd"/>
      <w:r w:rsidRPr="00AD685A">
        <w:rPr>
          <w:rFonts w:ascii="Arial" w:hAnsi="Arial" w:cs="Arial"/>
          <w:sz w:val="28"/>
          <w:szCs w:val="28"/>
        </w:rPr>
        <w:t xml:space="preserve"> and McLaney (2021), suggest that management accounting systems should consider the </w:t>
      </w:r>
      <w:r w:rsidRPr="00AD685A">
        <w:rPr>
          <w:rFonts w:ascii="Arial" w:hAnsi="Arial" w:cs="Arial"/>
          <w:sz w:val="28"/>
          <w:szCs w:val="28"/>
        </w:rPr>
        <w:lastRenderedPageBreak/>
        <w:t>consequences of cost-reduction initiatives for employees and local communities. Tesla’s health-and-safety metrics, training investments and workforce optimisation policies serve as important non-financial KPIs shaping internal decisions (OECD, 2024).</w:t>
      </w:r>
    </w:p>
    <w:p w14:paraId="0197DFFF" w14:textId="568CFB95"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 xml:space="preserve">From a profit standpoint, Tesla’s sustainability agenda intersects with ethical pricing and cost management. The company's price cuts around the world in 2023 and 2024 were meant to encourage people to buy electric vehicles and make them more affordable. This shows a trade-off between short-term profits and long-term benefits for society through more electrification (FT, 2024; IEA, 2025). Ethical pricing considerations include fairness for consumers, competitive integrity, and responsible </w:t>
      </w:r>
      <w:proofErr w:type="spellStart"/>
      <w:r w:rsidRPr="00AD685A">
        <w:rPr>
          <w:rFonts w:ascii="Arial" w:hAnsi="Arial" w:cs="Arial"/>
          <w:sz w:val="28"/>
          <w:szCs w:val="28"/>
        </w:rPr>
        <w:t>supplychain</w:t>
      </w:r>
      <w:proofErr w:type="spellEnd"/>
      <w:r w:rsidRPr="00AD685A">
        <w:rPr>
          <w:rFonts w:ascii="Arial" w:hAnsi="Arial" w:cs="Arial"/>
          <w:sz w:val="28"/>
          <w:szCs w:val="28"/>
        </w:rPr>
        <w:t xml:space="preserve"> sourcing. Tesla's responsible sourcing policies for lithium, cobalt and nickel reflect due diligence obligations aligned with ESG reporting norms and IFRS sustainability disclosure expectations (IFRS Foundation, 2023).</w:t>
      </w:r>
    </w:p>
    <w:p w14:paraId="4E130D5A"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Overall, Tesla demonstrates growing alignment between sustainability objectives and management accounting practices. The integration of environmental cost accounting, ethical pricing analysis, and TBL performance metrics reinforces Tesla's ambition to balance financial performance with social and environmental responsibility—an approach supported in the academic literature as essential for long-term organisational resilience.</w:t>
      </w:r>
    </w:p>
    <w:p w14:paraId="6DC843A5" w14:textId="77777777" w:rsidR="00AD685A" w:rsidRPr="00AD685A" w:rsidRDefault="00AD685A" w:rsidP="00E645F3">
      <w:pPr>
        <w:pStyle w:val="Heading1"/>
      </w:pPr>
      <w:bookmarkStart w:id="5" w:name="_Toc214459949"/>
      <w:r w:rsidRPr="00AD685A">
        <w:t>6. Conclusions and Recommendations</w:t>
      </w:r>
      <w:bookmarkEnd w:id="5"/>
    </w:p>
    <w:p w14:paraId="1844DF24"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This report has demonstrated that management accounting plays a central role in supporting Tesla's financial decision-making across cost analysis, budgeting, performance measurement and sustainability integration. Through the application of management accounting tools—</w:t>
      </w:r>
      <w:r w:rsidRPr="00AD685A">
        <w:rPr>
          <w:rFonts w:ascii="Arial" w:hAnsi="Arial" w:cs="Arial"/>
          <w:sz w:val="28"/>
          <w:szCs w:val="28"/>
        </w:rPr>
        <w:lastRenderedPageBreak/>
        <w:t>such as cost-volume-profit analysis, variance analysis, segmental reporting and sustainability-aligned budgeting—Tesla is able to manage high fixed-cost structures, respond to margin pressures, and allocate resources strategically in a rapidly evolving industry. The analysis highlights that Tesla’s long-term competitiveness depends on data-driven planning, robust performance frameworks and the integration of ethical and environmental considerations in financial decision-making.</w:t>
      </w:r>
    </w:p>
    <w:p w14:paraId="4E866670"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Based on the findings, three recommendations are proposed.</w:t>
      </w:r>
    </w:p>
    <w:p w14:paraId="44194513" w14:textId="77777777"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First, Tesla should strengthen scenario-based budgeting to better anticipate market volatility and regulatory changes.</w:t>
      </w:r>
    </w:p>
    <w:p w14:paraId="120B80F0" w14:textId="55A55E23" w:rsidR="00AD685A" w:rsidRPr="00AD685A" w:rsidRDefault="00AD685A" w:rsidP="00AD685A">
      <w:pPr>
        <w:spacing w:line="360" w:lineRule="auto"/>
        <w:jc w:val="both"/>
        <w:rPr>
          <w:rFonts w:ascii="Arial" w:hAnsi="Arial" w:cs="Arial"/>
          <w:sz w:val="28"/>
          <w:szCs w:val="28"/>
        </w:rPr>
      </w:pPr>
      <w:r w:rsidRPr="00AD685A">
        <w:rPr>
          <w:rFonts w:ascii="Arial" w:hAnsi="Arial" w:cs="Arial"/>
          <w:sz w:val="28"/>
          <w:szCs w:val="28"/>
        </w:rPr>
        <w:t>Second, the company should expand sustainability accounting, including full lifecycle costing for batteries and supply-chain ESG audits.</w:t>
      </w:r>
    </w:p>
    <w:p w14:paraId="4635F601" w14:textId="5E5E2E7C" w:rsidR="0002637D" w:rsidRPr="0002637D" w:rsidRDefault="00AD685A" w:rsidP="00AD685A">
      <w:pPr>
        <w:spacing w:line="360" w:lineRule="auto"/>
        <w:jc w:val="both"/>
        <w:rPr>
          <w:rFonts w:ascii="Arial" w:hAnsi="Arial" w:cs="Arial"/>
          <w:sz w:val="28"/>
          <w:szCs w:val="28"/>
        </w:rPr>
      </w:pPr>
      <w:r w:rsidRPr="00AD685A">
        <w:rPr>
          <w:rFonts w:ascii="Arial" w:hAnsi="Arial" w:cs="Arial"/>
          <w:sz w:val="28"/>
          <w:szCs w:val="28"/>
        </w:rPr>
        <w:t>Third, Tesla should enhance KPI transparency by integrating financial and non-financial dashboards across global operations to support real-time managerial decision-making.</w:t>
      </w:r>
    </w:p>
    <w:p w14:paraId="4BB1A73A" w14:textId="77777777" w:rsidR="0002637D" w:rsidRPr="0002637D" w:rsidRDefault="0002637D" w:rsidP="00AD685A">
      <w:pPr>
        <w:spacing w:line="360" w:lineRule="auto"/>
        <w:jc w:val="both"/>
        <w:rPr>
          <w:rFonts w:ascii="Arial" w:hAnsi="Arial" w:cs="Arial"/>
          <w:sz w:val="28"/>
          <w:szCs w:val="28"/>
        </w:rPr>
      </w:pPr>
    </w:p>
    <w:p w14:paraId="076CB298" w14:textId="77777777" w:rsidR="0002637D" w:rsidRPr="0002637D" w:rsidRDefault="0002637D" w:rsidP="00AD685A">
      <w:pPr>
        <w:spacing w:line="360" w:lineRule="auto"/>
        <w:jc w:val="both"/>
        <w:rPr>
          <w:rFonts w:ascii="Arial" w:hAnsi="Arial" w:cs="Arial"/>
          <w:sz w:val="28"/>
          <w:szCs w:val="28"/>
        </w:rPr>
      </w:pPr>
    </w:p>
    <w:p w14:paraId="6B3F324F" w14:textId="77777777" w:rsidR="0002637D" w:rsidRPr="0002637D" w:rsidRDefault="0002637D" w:rsidP="00AD685A">
      <w:pPr>
        <w:spacing w:line="360" w:lineRule="auto"/>
        <w:jc w:val="both"/>
        <w:rPr>
          <w:rFonts w:ascii="Arial" w:hAnsi="Arial" w:cs="Arial"/>
          <w:sz w:val="28"/>
          <w:szCs w:val="28"/>
        </w:rPr>
      </w:pPr>
    </w:p>
    <w:p w14:paraId="5CE09A43" w14:textId="77777777" w:rsidR="0002637D" w:rsidRPr="0002637D" w:rsidRDefault="0002637D" w:rsidP="00AD685A">
      <w:pPr>
        <w:spacing w:line="360" w:lineRule="auto"/>
        <w:jc w:val="both"/>
        <w:rPr>
          <w:rFonts w:ascii="Arial" w:hAnsi="Arial" w:cs="Arial"/>
          <w:sz w:val="28"/>
          <w:szCs w:val="28"/>
        </w:rPr>
      </w:pPr>
    </w:p>
    <w:p w14:paraId="5EB28664" w14:textId="77777777" w:rsidR="0002637D" w:rsidRPr="00AD685A" w:rsidRDefault="0002637D" w:rsidP="00AD685A">
      <w:pPr>
        <w:spacing w:line="360" w:lineRule="auto"/>
        <w:jc w:val="both"/>
        <w:rPr>
          <w:rFonts w:ascii="Arial" w:hAnsi="Arial" w:cs="Arial"/>
          <w:sz w:val="28"/>
          <w:szCs w:val="28"/>
        </w:rPr>
      </w:pPr>
    </w:p>
    <w:p w14:paraId="287B4375" w14:textId="77777777" w:rsidR="0057079D" w:rsidRPr="00AD685A" w:rsidRDefault="000D3EE1" w:rsidP="00AD685A">
      <w:pPr>
        <w:spacing w:line="360" w:lineRule="auto"/>
        <w:jc w:val="both"/>
        <w:rPr>
          <w:rFonts w:ascii="Arial" w:hAnsi="Arial" w:cs="Arial"/>
          <w:sz w:val="28"/>
          <w:szCs w:val="28"/>
        </w:rPr>
      </w:pPr>
      <w:r w:rsidRPr="00AD685A">
        <w:rPr>
          <w:rFonts w:ascii="Arial" w:hAnsi="Arial" w:cs="Arial"/>
          <w:sz w:val="28"/>
          <w:szCs w:val="28"/>
        </w:rPr>
        <w:br w:type="page"/>
      </w:r>
    </w:p>
    <w:p w14:paraId="3D643CD9" w14:textId="77777777" w:rsidR="0057079D" w:rsidRPr="00AD685A" w:rsidRDefault="0057079D" w:rsidP="00AD685A">
      <w:pPr>
        <w:spacing w:line="360" w:lineRule="auto"/>
        <w:jc w:val="both"/>
        <w:rPr>
          <w:rFonts w:ascii="Arial" w:hAnsi="Arial" w:cs="Arial"/>
          <w:sz w:val="28"/>
          <w:szCs w:val="28"/>
        </w:rPr>
      </w:pPr>
    </w:p>
    <w:p w14:paraId="2F699096" w14:textId="27E1BCE3" w:rsidR="0057079D" w:rsidRPr="00AD685A" w:rsidRDefault="00E645F3" w:rsidP="00E645F3">
      <w:pPr>
        <w:pStyle w:val="Heading1"/>
      </w:pPr>
      <w:bookmarkStart w:id="6" w:name="_Toc214459950"/>
      <w:r>
        <w:t xml:space="preserve">7. </w:t>
      </w:r>
      <w:r w:rsidR="00865917" w:rsidRPr="00AD685A">
        <w:t>References</w:t>
      </w:r>
      <w:bookmarkEnd w:id="6"/>
    </w:p>
    <w:p w14:paraId="4ED29FF7" w14:textId="77777777" w:rsidR="0057079D" w:rsidRPr="00AD685A" w:rsidRDefault="0057079D" w:rsidP="00AD685A">
      <w:pPr>
        <w:spacing w:line="360" w:lineRule="auto"/>
        <w:jc w:val="both"/>
        <w:rPr>
          <w:rFonts w:ascii="Arial" w:hAnsi="Arial" w:cs="Arial"/>
          <w:sz w:val="28"/>
          <w:szCs w:val="28"/>
        </w:rPr>
      </w:pPr>
    </w:p>
    <w:p w14:paraId="38567717" w14:textId="411270F6" w:rsidR="0057079D" w:rsidRPr="00AD685A" w:rsidRDefault="0057079D" w:rsidP="00AD685A">
      <w:pPr>
        <w:spacing w:line="360" w:lineRule="auto"/>
        <w:jc w:val="both"/>
        <w:rPr>
          <w:rFonts w:ascii="Arial" w:hAnsi="Arial" w:cs="Arial"/>
          <w:sz w:val="28"/>
          <w:szCs w:val="28"/>
        </w:rPr>
      </w:pPr>
      <w:proofErr w:type="spellStart"/>
      <w:r w:rsidRPr="00AD685A">
        <w:rPr>
          <w:rFonts w:ascii="Arial" w:hAnsi="Arial" w:cs="Arial"/>
          <w:sz w:val="28"/>
          <w:szCs w:val="28"/>
        </w:rPr>
        <w:t>Atrill</w:t>
      </w:r>
      <w:proofErr w:type="spellEnd"/>
      <w:r w:rsidRPr="00AD685A">
        <w:rPr>
          <w:rFonts w:ascii="Arial" w:hAnsi="Arial" w:cs="Arial"/>
          <w:sz w:val="28"/>
          <w:szCs w:val="28"/>
        </w:rPr>
        <w:t xml:space="preserve">, P. &amp; McLaney, E.J. (2021) </w:t>
      </w:r>
      <w:r w:rsidRPr="00AD685A">
        <w:rPr>
          <w:rFonts w:ascii="Arial" w:hAnsi="Arial" w:cs="Arial"/>
          <w:i/>
          <w:iCs/>
          <w:sz w:val="28"/>
          <w:szCs w:val="28"/>
        </w:rPr>
        <w:t>Management Accounting for Decision Makers</w:t>
      </w:r>
      <w:r w:rsidRPr="00AD685A">
        <w:rPr>
          <w:rFonts w:ascii="Arial" w:hAnsi="Arial" w:cs="Arial"/>
          <w:sz w:val="28"/>
          <w:szCs w:val="28"/>
        </w:rPr>
        <w:t>. 10th ed. Harlow: Pearson Education.</w:t>
      </w:r>
    </w:p>
    <w:p w14:paraId="68238099" w14:textId="77777777" w:rsidR="0057079D" w:rsidRPr="0057079D" w:rsidRDefault="0057079D" w:rsidP="00AD685A">
      <w:pPr>
        <w:spacing w:line="360" w:lineRule="auto"/>
        <w:jc w:val="both"/>
        <w:rPr>
          <w:rFonts w:ascii="Arial" w:hAnsi="Arial" w:cs="Arial"/>
          <w:sz w:val="28"/>
          <w:szCs w:val="28"/>
        </w:rPr>
      </w:pPr>
      <w:proofErr w:type="spellStart"/>
      <w:r w:rsidRPr="0057079D">
        <w:rPr>
          <w:rFonts w:ascii="Arial" w:hAnsi="Arial" w:cs="Arial"/>
          <w:sz w:val="28"/>
          <w:szCs w:val="28"/>
        </w:rPr>
        <w:t>Atrill</w:t>
      </w:r>
      <w:proofErr w:type="spellEnd"/>
      <w:r w:rsidRPr="0057079D">
        <w:rPr>
          <w:rFonts w:ascii="Arial" w:hAnsi="Arial" w:cs="Arial"/>
          <w:sz w:val="28"/>
          <w:szCs w:val="28"/>
        </w:rPr>
        <w:t xml:space="preserve">, P. &amp; McLaney, E.J. (2022) </w:t>
      </w:r>
      <w:r w:rsidRPr="0057079D">
        <w:rPr>
          <w:rFonts w:ascii="Arial" w:hAnsi="Arial" w:cs="Arial"/>
          <w:i/>
          <w:iCs/>
          <w:sz w:val="28"/>
          <w:szCs w:val="28"/>
        </w:rPr>
        <w:t>Accounting and Finance for Non-Specialists</w:t>
      </w:r>
      <w:r w:rsidRPr="0057079D">
        <w:rPr>
          <w:rFonts w:ascii="Arial" w:hAnsi="Arial" w:cs="Arial"/>
          <w:sz w:val="28"/>
          <w:szCs w:val="28"/>
        </w:rPr>
        <w:t>. 12th ed. Hoboken, NJ: Pearson Education.</w:t>
      </w:r>
    </w:p>
    <w:p w14:paraId="35096638" w14:textId="77777777" w:rsidR="0057079D" w:rsidRPr="0057079D" w:rsidRDefault="0057079D" w:rsidP="00AD685A">
      <w:pPr>
        <w:spacing w:line="360" w:lineRule="auto"/>
        <w:jc w:val="both"/>
        <w:rPr>
          <w:rFonts w:ascii="Arial" w:hAnsi="Arial" w:cs="Arial"/>
          <w:sz w:val="28"/>
          <w:szCs w:val="28"/>
        </w:rPr>
      </w:pPr>
      <w:proofErr w:type="spellStart"/>
      <w:r w:rsidRPr="0057079D">
        <w:rPr>
          <w:rFonts w:ascii="Arial" w:hAnsi="Arial" w:cs="Arial"/>
          <w:sz w:val="28"/>
          <w:szCs w:val="28"/>
        </w:rPr>
        <w:t>BloombergNEF</w:t>
      </w:r>
      <w:proofErr w:type="spellEnd"/>
      <w:r w:rsidRPr="0057079D">
        <w:rPr>
          <w:rFonts w:ascii="Arial" w:hAnsi="Arial" w:cs="Arial"/>
          <w:sz w:val="28"/>
          <w:szCs w:val="28"/>
        </w:rPr>
        <w:t xml:space="preserve"> (2024) </w:t>
      </w:r>
      <w:r w:rsidRPr="0057079D">
        <w:rPr>
          <w:rFonts w:ascii="Arial" w:hAnsi="Arial" w:cs="Arial"/>
          <w:i/>
          <w:iCs/>
          <w:sz w:val="28"/>
          <w:szCs w:val="28"/>
        </w:rPr>
        <w:t>Battery Materials and Cost Outlook 2024</w:t>
      </w:r>
      <w:r w:rsidRPr="0057079D">
        <w:rPr>
          <w:rFonts w:ascii="Arial" w:hAnsi="Arial" w:cs="Arial"/>
          <w:sz w:val="28"/>
          <w:szCs w:val="28"/>
        </w:rPr>
        <w:t>. Bloomberg New Energy Finance.</w:t>
      </w:r>
    </w:p>
    <w:p w14:paraId="44A336C1"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Deloitte (2024) </w:t>
      </w:r>
      <w:r w:rsidRPr="0057079D">
        <w:rPr>
          <w:rFonts w:ascii="Arial" w:hAnsi="Arial" w:cs="Arial"/>
          <w:i/>
          <w:iCs/>
          <w:sz w:val="28"/>
          <w:szCs w:val="28"/>
        </w:rPr>
        <w:t>Sustainability and ESG Reporting Developments 2024</w:t>
      </w:r>
      <w:r w:rsidRPr="0057079D">
        <w:rPr>
          <w:rFonts w:ascii="Arial" w:hAnsi="Arial" w:cs="Arial"/>
          <w:sz w:val="28"/>
          <w:szCs w:val="28"/>
        </w:rPr>
        <w:t>. Deloitte Insights.</w:t>
      </w:r>
    </w:p>
    <w:p w14:paraId="44785DBC"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Drury, C. &amp; </w:t>
      </w:r>
      <w:proofErr w:type="spellStart"/>
      <w:r w:rsidRPr="0057079D">
        <w:rPr>
          <w:rFonts w:ascii="Arial" w:hAnsi="Arial" w:cs="Arial"/>
          <w:sz w:val="28"/>
          <w:szCs w:val="28"/>
        </w:rPr>
        <w:t>Tayles</w:t>
      </w:r>
      <w:proofErr w:type="spellEnd"/>
      <w:r w:rsidRPr="0057079D">
        <w:rPr>
          <w:rFonts w:ascii="Arial" w:hAnsi="Arial" w:cs="Arial"/>
          <w:sz w:val="28"/>
          <w:szCs w:val="28"/>
        </w:rPr>
        <w:t xml:space="preserve">, M. (2024) </w:t>
      </w:r>
      <w:r w:rsidRPr="0057079D">
        <w:rPr>
          <w:rFonts w:ascii="Arial" w:hAnsi="Arial" w:cs="Arial"/>
          <w:i/>
          <w:iCs/>
          <w:sz w:val="28"/>
          <w:szCs w:val="28"/>
        </w:rPr>
        <w:t>Management and Cost Accounting</w:t>
      </w:r>
      <w:r w:rsidRPr="0057079D">
        <w:rPr>
          <w:rFonts w:ascii="Arial" w:hAnsi="Arial" w:cs="Arial"/>
          <w:sz w:val="28"/>
          <w:szCs w:val="28"/>
        </w:rPr>
        <w:t>. 12th ed. Australia: Cengage Learning.</w:t>
      </w:r>
    </w:p>
    <w:p w14:paraId="58B0C40C" w14:textId="40689120"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Financial Times (2024) ‘Tesla adjusts pricing strategy amid global EV competition’, </w:t>
      </w:r>
      <w:r w:rsidRPr="0057079D">
        <w:rPr>
          <w:rFonts w:ascii="Arial" w:hAnsi="Arial" w:cs="Arial"/>
          <w:i/>
          <w:iCs/>
          <w:sz w:val="28"/>
          <w:szCs w:val="28"/>
        </w:rPr>
        <w:t>FT.com</w:t>
      </w:r>
      <w:r w:rsidRPr="0057079D">
        <w:rPr>
          <w:rFonts w:ascii="Arial" w:hAnsi="Arial" w:cs="Arial"/>
          <w:sz w:val="28"/>
          <w:szCs w:val="28"/>
        </w:rPr>
        <w:t xml:space="preserve">. Available at: </w:t>
      </w:r>
      <w:hyperlink r:id="rId9" w:history="1">
        <w:r w:rsidRPr="00AD685A">
          <w:rPr>
            <w:rStyle w:val="Hyperlink"/>
            <w:rFonts w:ascii="Arial" w:hAnsi="Arial" w:cs="Arial"/>
            <w:sz w:val="28"/>
            <w:szCs w:val="28"/>
          </w:rPr>
          <w:t>Home - Financial Times</w:t>
        </w:r>
      </w:hyperlink>
      <w:r w:rsidRPr="00AD685A">
        <w:rPr>
          <w:rFonts w:ascii="Arial" w:hAnsi="Arial" w:cs="Arial"/>
          <w:sz w:val="28"/>
          <w:szCs w:val="28"/>
        </w:rPr>
        <w:t xml:space="preserve"> </w:t>
      </w:r>
      <w:r w:rsidRPr="0057079D">
        <w:rPr>
          <w:rFonts w:ascii="Arial" w:hAnsi="Arial" w:cs="Arial"/>
          <w:sz w:val="28"/>
          <w:szCs w:val="28"/>
        </w:rPr>
        <w:t xml:space="preserve">(Accessed: </w:t>
      </w:r>
      <w:r w:rsidRPr="00AD685A">
        <w:rPr>
          <w:rFonts w:ascii="Arial" w:hAnsi="Arial" w:cs="Arial"/>
          <w:sz w:val="28"/>
          <w:szCs w:val="28"/>
        </w:rPr>
        <w:t>19 November 2025</w:t>
      </w:r>
      <w:r w:rsidRPr="0057079D">
        <w:rPr>
          <w:rFonts w:ascii="Arial" w:hAnsi="Arial" w:cs="Arial"/>
          <w:sz w:val="28"/>
          <w:szCs w:val="28"/>
        </w:rPr>
        <w:t>).</w:t>
      </w:r>
    </w:p>
    <w:p w14:paraId="105DD688" w14:textId="5F7C46E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Financial Times (2024) ‘Tesla restructures operations amid falling margins’, </w:t>
      </w:r>
      <w:r w:rsidRPr="0057079D">
        <w:rPr>
          <w:rFonts w:ascii="Arial" w:hAnsi="Arial" w:cs="Arial"/>
          <w:i/>
          <w:iCs/>
          <w:sz w:val="28"/>
          <w:szCs w:val="28"/>
        </w:rPr>
        <w:t>FT.com</w:t>
      </w:r>
      <w:r w:rsidRPr="0057079D">
        <w:rPr>
          <w:rFonts w:ascii="Arial" w:hAnsi="Arial" w:cs="Arial"/>
          <w:sz w:val="28"/>
          <w:szCs w:val="28"/>
        </w:rPr>
        <w:t xml:space="preserve">. Available at: </w:t>
      </w:r>
      <w:hyperlink r:id="rId10" w:history="1">
        <w:r w:rsidRPr="00AD685A">
          <w:rPr>
            <w:rStyle w:val="Hyperlink"/>
            <w:rFonts w:ascii="Arial" w:hAnsi="Arial" w:cs="Arial"/>
            <w:sz w:val="28"/>
            <w:szCs w:val="28"/>
          </w:rPr>
          <w:t>Home - Financial Times</w:t>
        </w:r>
      </w:hyperlink>
      <w:r w:rsidRPr="0057079D">
        <w:rPr>
          <w:rFonts w:ascii="Arial" w:hAnsi="Arial" w:cs="Arial"/>
          <w:sz w:val="28"/>
          <w:szCs w:val="28"/>
        </w:rPr>
        <w:t xml:space="preserve"> (Accessed: </w:t>
      </w:r>
      <w:r w:rsidRPr="00AD685A">
        <w:rPr>
          <w:rFonts w:ascii="Arial" w:hAnsi="Arial" w:cs="Arial"/>
          <w:sz w:val="28"/>
          <w:szCs w:val="28"/>
        </w:rPr>
        <w:t>19 November 2025</w:t>
      </w:r>
      <w:r w:rsidRPr="0057079D">
        <w:rPr>
          <w:rFonts w:ascii="Arial" w:hAnsi="Arial" w:cs="Arial"/>
          <w:sz w:val="28"/>
          <w:szCs w:val="28"/>
        </w:rPr>
        <w:t>).</w:t>
      </w:r>
    </w:p>
    <w:p w14:paraId="7AFBCE88"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IFRS Foundation (2023) </w:t>
      </w:r>
      <w:r w:rsidRPr="0057079D">
        <w:rPr>
          <w:rFonts w:ascii="Arial" w:hAnsi="Arial" w:cs="Arial"/>
          <w:i/>
          <w:iCs/>
          <w:sz w:val="28"/>
          <w:szCs w:val="28"/>
        </w:rPr>
        <w:t>IFRS Sustainability Disclosure Standards Overview</w:t>
      </w:r>
      <w:r w:rsidRPr="0057079D">
        <w:rPr>
          <w:rFonts w:ascii="Arial" w:hAnsi="Arial" w:cs="Arial"/>
          <w:sz w:val="28"/>
          <w:szCs w:val="28"/>
        </w:rPr>
        <w:t>. IFRS.</w:t>
      </w:r>
    </w:p>
    <w:p w14:paraId="292F4147"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International Energy Agency (2025) </w:t>
      </w:r>
      <w:r w:rsidRPr="0057079D">
        <w:rPr>
          <w:rFonts w:ascii="Arial" w:hAnsi="Arial" w:cs="Arial"/>
          <w:i/>
          <w:iCs/>
          <w:sz w:val="28"/>
          <w:szCs w:val="28"/>
        </w:rPr>
        <w:t>Global EV Outlook 2025</w:t>
      </w:r>
      <w:r w:rsidRPr="0057079D">
        <w:rPr>
          <w:rFonts w:ascii="Arial" w:hAnsi="Arial" w:cs="Arial"/>
          <w:sz w:val="28"/>
          <w:szCs w:val="28"/>
        </w:rPr>
        <w:t>. Paris: IEA.</w:t>
      </w:r>
    </w:p>
    <w:p w14:paraId="14E7FCAA"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McKinsey &amp; Company (2024) </w:t>
      </w:r>
      <w:r w:rsidRPr="0057079D">
        <w:rPr>
          <w:rFonts w:ascii="Arial" w:hAnsi="Arial" w:cs="Arial"/>
          <w:i/>
          <w:iCs/>
          <w:sz w:val="28"/>
          <w:szCs w:val="28"/>
        </w:rPr>
        <w:t>Automotive and Mobility Disruption Report</w:t>
      </w:r>
      <w:r w:rsidRPr="0057079D">
        <w:rPr>
          <w:rFonts w:ascii="Arial" w:hAnsi="Arial" w:cs="Arial"/>
          <w:sz w:val="28"/>
          <w:szCs w:val="28"/>
        </w:rPr>
        <w:t>. McKinsey &amp; Co.</w:t>
      </w:r>
    </w:p>
    <w:p w14:paraId="22D4BE41"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lastRenderedPageBreak/>
        <w:t xml:space="preserve">McKinsey &amp; Company (2024) </w:t>
      </w:r>
      <w:r w:rsidRPr="0057079D">
        <w:rPr>
          <w:rFonts w:ascii="Arial" w:hAnsi="Arial" w:cs="Arial"/>
          <w:i/>
          <w:iCs/>
          <w:sz w:val="28"/>
          <w:szCs w:val="28"/>
        </w:rPr>
        <w:t>Sustainability in Automotive Supply Chains</w:t>
      </w:r>
      <w:r w:rsidRPr="0057079D">
        <w:rPr>
          <w:rFonts w:ascii="Arial" w:hAnsi="Arial" w:cs="Arial"/>
          <w:sz w:val="28"/>
          <w:szCs w:val="28"/>
        </w:rPr>
        <w:t>. McKinsey &amp; Co.</w:t>
      </w:r>
    </w:p>
    <w:p w14:paraId="56939BCE"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OECD (2024) </w:t>
      </w:r>
      <w:r w:rsidRPr="0057079D">
        <w:rPr>
          <w:rFonts w:ascii="Arial" w:hAnsi="Arial" w:cs="Arial"/>
          <w:i/>
          <w:iCs/>
          <w:sz w:val="28"/>
          <w:szCs w:val="28"/>
        </w:rPr>
        <w:t>Responsible Business Conduct and Due Diligence Guidance</w:t>
      </w:r>
      <w:r w:rsidRPr="0057079D">
        <w:rPr>
          <w:rFonts w:ascii="Arial" w:hAnsi="Arial" w:cs="Arial"/>
          <w:sz w:val="28"/>
          <w:szCs w:val="28"/>
        </w:rPr>
        <w:t>. OECD Publishing.</w:t>
      </w:r>
    </w:p>
    <w:p w14:paraId="77CCFFA8" w14:textId="05E6F379"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Reuters (2025) ‘Tesla expands international production capacity’, </w:t>
      </w:r>
      <w:r w:rsidRPr="0057079D">
        <w:rPr>
          <w:rFonts w:ascii="Arial" w:hAnsi="Arial" w:cs="Arial"/>
          <w:i/>
          <w:iCs/>
          <w:sz w:val="28"/>
          <w:szCs w:val="28"/>
        </w:rPr>
        <w:t>Reuters.com</w:t>
      </w:r>
      <w:r w:rsidRPr="0057079D">
        <w:rPr>
          <w:rFonts w:ascii="Arial" w:hAnsi="Arial" w:cs="Arial"/>
          <w:sz w:val="28"/>
          <w:szCs w:val="28"/>
        </w:rPr>
        <w:t xml:space="preserve">. Available at: </w:t>
      </w:r>
      <w:hyperlink r:id="rId11" w:history="1">
        <w:r w:rsidR="009C1464" w:rsidRPr="00AD685A">
          <w:rPr>
            <w:rStyle w:val="Hyperlink"/>
            <w:rFonts w:ascii="Arial" w:hAnsi="Arial" w:cs="Arial"/>
            <w:sz w:val="28"/>
            <w:szCs w:val="28"/>
          </w:rPr>
          <w:t>Tesla's German plant plans to lift production, factory boss tells DPA news agency | Reuters</w:t>
        </w:r>
      </w:hyperlink>
      <w:r w:rsidRPr="0057079D">
        <w:rPr>
          <w:rFonts w:ascii="Arial" w:hAnsi="Arial" w:cs="Arial"/>
          <w:sz w:val="28"/>
          <w:szCs w:val="28"/>
        </w:rPr>
        <w:t xml:space="preserve"> (Accessed: </w:t>
      </w:r>
      <w:r w:rsidR="009C1464" w:rsidRPr="00AD685A">
        <w:rPr>
          <w:rFonts w:ascii="Arial" w:hAnsi="Arial" w:cs="Arial"/>
          <w:sz w:val="28"/>
          <w:szCs w:val="28"/>
        </w:rPr>
        <w:t>19 November 2025</w:t>
      </w:r>
      <w:r w:rsidRPr="0057079D">
        <w:rPr>
          <w:rFonts w:ascii="Arial" w:hAnsi="Arial" w:cs="Arial"/>
          <w:sz w:val="28"/>
          <w:szCs w:val="28"/>
        </w:rPr>
        <w:t>).</w:t>
      </w:r>
    </w:p>
    <w:p w14:paraId="0BDE248C" w14:textId="4509146C" w:rsidR="009C1464" w:rsidRPr="00AD685A" w:rsidRDefault="009C1464" w:rsidP="00AD685A">
      <w:pPr>
        <w:spacing w:line="360" w:lineRule="auto"/>
        <w:jc w:val="both"/>
        <w:rPr>
          <w:rFonts w:ascii="Arial" w:hAnsi="Arial" w:cs="Arial"/>
          <w:sz w:val="28"/>
          <w:szCs w:val="28"/>
        </w:rPr>
      </w:pPr>
      <w:r w:rsidRPr="00AD685A">
        <w:rPr>
          <w:rFonts w:ascii="Arial" w:hAnsi="Arial" w:cs="Arial"/>
          <w:sz w:val="28"/>
          <w:szCs w:val="28"/>
        </w:rPr>
        <w:t xml:space="preserve">Statista (2025) </w:t>
      </w:r>
      <w:r w:rsidRPr="00AD685A">
        <w:rPr>
          <w:rFonts w:ascii="Arial" w:hAnsi="Arial" w:cs="Arial"/>
          <w:i/>
          <w:iCs/>
          <w:sz w:val="28"/>
          <w:szCs w:val="28"/>
        </w:rPr>
        <w:t>Global electric vehicle sales growth 2015–2025.</w:t>
      </w:r>
      <w:r w:rsidRPr="00AD685A">
        <w:rPr>
          <w:rFonts w:ascii="Arial" w:hAnsi="Arial" w:cs="Arial"/>
          <w:sz w:val="28"/>
          <w:szCs w:val="28"/>
        </w:rPr>
        <w:t xml:space="preserve"> Available at: </w:t>
      </w:r>
      <w:hyperlink r:id="rId12" w:tgtFrame="_new" w:history="1">
        <w:r w:rsidRPr="00AD685A">
          <w:rPr>
            <w:rStyle w:val="Hyperlink"/>
            <w:rFonts w:ascii="Arial" w:hAnsi="Arial" w:cs="Arial"/>
            <w:sz w:val="28"/>
            <w:szCs w:val="28"/>
          </w:rPr>
          <w:t>https://www.statista.com</w:t>
        </w:r>
      </w:hyperlink>
      <w:r w:rsidRPr="00AD685A">
        <w:rPr>
          <w:rFonts w:ascii="Arial" w:hAnsi="Arial" w:cs="Arial"/>
          <w:sz w:val="28"/>
          <w:szCs w:val="28"/>
        </w:rPr>
        <w:t xml:space="preserve"> (Accessed: 9 November 2025).</w:t>
      </w:r>
    </w:p>
    <w:p w14:paraId="0BD3BE0D" w14:textId="5C9CF133" w:rsidR="009C1464" w:rsidRPr="00AD685A" w:rsidRDefault="009C1464" w:rsidP="00AD685A">
      <w:pPr>
        <w:spacing w:line="360" w:lineRule="auto"/>
        <w:jc w:val="both"/>
        <w:rPr>
          <w:rFonts w:ascii="Arial" w:hAnsi="Arial" w:cs="Arial"/>
          <w:sz w:val="28"/>
          <w:szCs w:val="28"/>
        </w:rPr>
      </w:pPr>
      <w:r w:rsidRPr="00AD685A">
        <w:rPr>
          <w:rFonts w:ascii="Arial" w:hAnsi="Arial" w:cs="Arial"/>
          <w:sz w:val="28"/>
          <w:szCs w:val="28"/>
        </w:rPr>
        <w:t xml:space="preserve">Statista (2025) </w:t>
      </w:r>
      <w:r w:rsidRPr="00AD685A">
        <w:rPr>
          <w:rFonts w:ascii="Arial" w:hAnsi="Arial" w:cs="Arial"/>
          <w:i/>
          <w:iCs/>
          <w:sz w:val="28"/>
          <w:szCs w:val="28"/>
        </w:rPr>
        <w:t>Tesla: research &amp; development expenditure 2010–2024.</w:t>
      </w:r>
      <w:r w:rsidRPr="00AD685A">
        <w:rPr>
          <w:rFonts w:ascii="Arial" w:hAnsi="Arial" w:cs="Arial"/>
          <w:sz w:val="28"/>
          <w:szCs w:val="28"/>
        </w:rPr>
        <w:t xml:space="preserve"> Available at: </w:t>
      </w:r>
      <w:hyperlink r:id="rId13" w:tgtFrame="_new" w:history="1">
        <w:r w:rsidRPr="00AD685A">
          <w:rPr>
            <w:rStyle w:val="Hyperlink"/>
            <w:rFonts w:ascii="Arial" w:hAnsi="Arial" w:cs="Arial"/>
            <w:sz w:val="28"/>
            <w:szCs w:val="28"/>
          </w:rPr>
          <w:t>https://www.statista.com</w:t>
        </w:r>
      </w:hyperlink>
      <w:r w:rsidRPr="00AD685A">
        <w:rPr>
          <w:rFonts w:ascii="Arial" w:hAnsi="Arial" w:cs="Arial"/>
          <w:sz w:val="28"/>
          <w:szCs w:val="28"/>
        </w:rPr>
        <w:t xml:space="preserve"> (Accessed: 9 November 2025).</w:t>
      </w:r>
    </w:p>
    <w:p w14:paraId="19FA9359" w14:textId="22382579"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Statista (2025) </w:t>
      </w:r>
      <w:r w:rsidRPr="0057079D">
        <w:rPr>
          <w:rFonts w:ascii="Arial" w:hAnsi="Arial" w:cs="Arial"/>
          <w:i/>
          <w:iCs/>
          <w:sz w:val="28"/>
          <w:szCs w:val="28"/>
        </w:rPr>
        <w:t>Tesla Vehicle Delivery Statistics</w:t>
      </w:r>
      <w:r w:rsidRPr="0057079D">
        <w:rPr>
          <w:rFonts w:ascii="Arial" w:hAnsi="Arial" w:cs="Arial"/>
          <w:sz w:val="28"/>
          <w:szCs w:val="28"/>
        </w:rPr>
        <w:t xml:space="preserve">. Available at: </w:t>
      </w:r>
      <w:hyperlink r:id="rId14" w:tgtFrame="_new" w:history="1">
        <w:r w:rsidRPr="0057079D">
          <w:rPr>
            <w:rStyle w:val="Hyperlink"/>
            <w:rFonts w:ascii="Arial" w:hAnsi="Arial" w:cs="Arial"/>
            <w:sz w:val="28"/>
            <w:szCs w:val="28"/>
          </w:rPr>
          <w:t>https://www.statista.com</w:t>
        </w:r>
      </w:hyperlink>
      <w:r w:rsidRPr="0057079D">
        <w:rPr>
          <w:rFonts w:ascii="Arial" w:hAnsi="Arial" w:cs="Arial"/>
          <w:sz w:val="28"/>
          <w:szCs w:val="28"/>
        </w:rPr>
        <w:t xml:space="preserve"> (Accessed: </w:t>
      </w:r>
      <w:r w:rsidR="009C1464" w:rsidRPr="00AD685A">
        <w:rPr>
          <w:rFonts w:ascii="Arial" w:hAnsi="Arial" w:cs="Arial"/>
          <w:sz w:val="28"/>
          <w:szCs w:val="28"/>
        </w:rPr>
        <w:t>9 November 2025</w:t>
      </w:r>
      <w:r w:rsidRPr="0057079D">
        <w:rPr>
          <w:rFonts w:ascii="Arial" w:hAnsi="Arial" w:cs="Arial"/>
          <w:sz w:val="28"/>
          <w:szCs w:val="28"/>
        </w:rPr>
        <w:t>).</w:t>
      </w:r>
    </w:p>
    <w:p w14:paraId="3CF37561" w14:textId="5F93E29F" w:rsidR="0057079D" w:rsidRPr="00AD685A"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Tesla, Inc. (2024) </w:t>
      </w:r>
      <w:r w:rsidRPr="0057079D">
        <w:rPr>
          <w:rFonts w:ascii="Arial" w:hAnsi="Arial" w:cs="Arial"/>
          <w:i/>
          <w:iCs/>
          <w:sz w:val="28"/>
          <w:szCs w:val="28"/>
        </w:rPr>
        <w:t>Impact Report 2024</w:t>
      </w:r>
      <w:r w:rsidRPr="0057079D">
        <w:rPr>
          <w:rFonts w:ascii="Arial" w:hAnsi="Arial" w:cs="Arial"/>
          <w:sz w:val="28"/>
          <w:szCs w:val="28"/>
        </w:rPr>
        <w:t xml:space="preserve">. Tesla. Available at: </w:t>
      </w:r>
      <w:hyperlink r:id="rId15" w:history="1">
        <w:r w:rsidR="00865917" w:rsidRPr="00AD685A">
          <w:rPr>
            <w:rStyle w:val="Hyperlink"/>
            <w:rFonts w:ascii="Arial" w:hAnsi="Arial" w:cs="Arial"/>
            <w:sz w:val="28"/>
            <w:szCs w:val="28"/>
          </w:rPr>
          <w:t>Impact | Tesla</w:t>
        </w:r>
      </w:hyperlink>
      <w:r w:rsidR="00865917" w:rsidRPr="00AD685A">
        <w:rPr>
          <w:rFonts w:ascii="Arial" w:hAnsi="Arial" w:cs="Arial"/>
          <w:sz w:val="28"/>
          <w:szCs w:val="28"/>
        </w:rPr>
        <w:t xml:space="preserve"> </w:t>
      </w:r>
      <w:r w:rsidRPr="0057079D">
        <w:rPr>
          <w:rFonts w:ascii="Arial" w:hAnsi="Arial" w:cs="Arial"/>
          <w:sz w:val="28"/>
          <w:szCs w:val="28"/>
        </w:rPr>
        <w:t xml:space="preserve">(Accessed: </w:t>
      </w:r>
      <w:r w:rsidR="00865917" w:rsidRPr="00AD685A">
        <w:rPr>
          <w:rFonts w:ascii="Arial" w:hAnsi="Arial" w:cs="Arial"/>
          <w:sz w:val="28"/>
          <w:szCs w:val="28"/>
        </w:rPr>
        <w:t>19 November 2025</w:t>
      </w:r>
      <w:r w:rsidRPr="0057079D">
        <w:rPr>
          <w:rFonts w:ascii="Arial" w:hAnsi="Arial" w:cs="Arial"/>
          <w:sz w:val="28"/>
          <w:szCs w:val="28"/>
        </w:rPr>
        <w:t>).</w:t>
      </w:r>
    </w:p>
    <w:p w14:paraId="127A776F" w14:textId="725D4E88" w:rsidR="009C1464" w:rsidRPr="0057079D" w:rsidRDefault="009C1464" w:rsidP="00AD685A">
      <w:pPr>
        <w:spacing w:line="360" w:lineRule="auto"/>
        <w:jc w:val="both"/>
        <w:rPr>
          <w:rFonts w:ascii="Arial" w:hAnsi="Arial" w:cs="Arial"/>
          <w:sz w:val="28"/>
          <w:szCs w:val="28"/>
        </w:rPr>
      </w:pPr>
      <w:r w:rsidRPr="00AD685A">
        <w:rPr>
          <w:rFonts w:ascii="Arial" w:hAnsi="Arial" w:cs="Arial"/>
          <w:sz w:val="28"/>
          <w:szCs w:val="28"/>
        </w:rPr>
        <w:t xml:space="preserve">Tesla, Inc. (2025) </w:t>
      </w:r>
      <w:r w:rsidRPr="00AD685A">
        <w:rPr>
          <w:rFonts w:ascii="Arial" w:hAnsi="Arial" w:cs="Arial"/>
          <w:i/>
          <w:iCs/>
          <w:sz w:val="28"/>
          <w:szCs w:val="28"/>
        </w:rPr>
        <w:t>Form 10-K for the year ended 31 December 2024.</w:t>
      </w:r>
      <w:r w:rsidRPr="00AD685A">
        <w:rPr>
          <w:rFonts w:ascii="Arial" w:hAnsi="Arial" w:cs="Arial"/>
          <w:sz w:val="28"/>
          <w:szCs w:val="28"/>
        </w:rPr>
        <w:t xml:space="preserve"> U.S. Securities and Exchange Commission. Available at: </w:t>
      </w:r>
      <w:hyperlink r:id="rId16" w:tgtFrame="_new" w:history="1">
        <w:r w:rsidRPr="00AD685A">
          <w:rPr>
            <w:rStyle w:val="Hyperlink"/>
            <w:rFonts w:ascii="Arial" w:hAnsi="Arial" w:cs="Arial"/>
            <w:sz w:val="28"/>
            <w:szCs w:val="28"/>
          </w:rPr>
          <w:t>https://www.sec.gov</w:t>
        </w:r>
      </w:hyperlink>
      <w:r w:rsidRPr="00AD685A">
        <w:rPr>
          <w:rFonts w:ascii="Arial" w:hAnsi="Arial" w:cs="Arial"/>
          <w:sz w:val="28"/>
          <w:szCs w:val="28"/>
        </w:rPr>
        <w:t xml:space="preserve"> (Accessed: 9 November 2025).</w:t>
      </w:r>
    </w:p>
    <w:p w14:paraId="67792DBB"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Tesla, Inc. (2025) </w:t>
      </w:r>
      <w:r w:rsidRPr="0057079D">
        <w:rPr>
          <w:rFonts w:ascii="Arial" w:hAnsi="Arial" w:cs="Arial"/>
          <w:i/>
          <w:iCs/>
          <w:sz w:val="28"/>
          <w:szCs w:val="28"/>
        </w:rPr>
        <w:t>Shareholder Deck Q4 2024</w:t>
      </w:r>
      <w:r w:rsidRPr="0057079D">
        <w:rPr>
          <w:rFonts w:ascii="Arial" w:hAnsi="Arial" w:cs="Arial"/>
          <w:sz w:val="28"/>
          <w:szCs w:val="28"/>
        </w:rPr>
        <w:t>. Tesla Investor Relations.</w:t>
      </w:r>
    </w:p>
    <w:p w14:paraId="2EDC4403"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Tesla, Inc. (2025) </w:t>
      </w:r>
      <w:r w:rsidRPr="0057079D">
        <w:rPr>
          <w:rFonts w:ascii="Arial" w:hAnsi="Arial" w:cs="Arial"/>
          <w:i/>
          <w:iCs/>
          <w:sz w:val="28"/>
          <w:szCs w:val="28"/>
        </w:rPr>
        <w:t>Quarterly Update – Q3 and Q4 2024</w:t>
      </w:r>
      <w:r w:rsidRPr="0057079D">
        <w:rPr>
          <w:rFonts w:ascii="Arial" w:hAnsi="Arial" w:cs="Arial"/>
          <w:sz w:val="28"/>
          <w:szCs w:val="28"/>
        </w:rPr>
        <w:t>. Tesla Investor Relations.</w:t>
      </w:r>
    </w:p>
    <w:p w14:paraId="532A0234" w14:textId="77777777"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Weetman, P. (2013) </w:t>
      </w:r>
      <w:r w:rsidRPr="0057079D">
        <w:rPr>
          <w:rFonts w:ascii="Arial" w:hAnsi="Arial" w:cs="Arial"/>
          <w:i/>
          <w:iCs/>
          <w:sz w:val="28"/>
          <w:szCs w:val="28"/>
        </w:rPr>
        <w:t>Financial and Management Accounting: An Introduction</w:t>
      </w:r>
      <w:r w:rsidRPr="0057079D">
        <w:rPr>
          <w:rFonts w:ascii="Arial" w:hAnsi="Arial" w:cs="Arial"/>
          <w:sz w:val="28"/>
          <w:szCs w:val="28"/>
        </w:rPr>
        <w:t>. 6th ed. Harlow: Pearson Education.</w:t>
      </w:r>
    </w:p>
    <w:p w14:paraId="0DA359F0" w14:textId="3AF811E2"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lastRenderedPageBreak/>
        <w:t xml:space="preserve">Yahoo Finance (2025) </w:t>
      </w:r>
      <w:r w:rsidRPr="0057079D">
        <w:rPr>
          <w:rFonts w:ascii="Arial" w:hAnsi="Arial" w:cs="Arial"/>
          <w:i/>
          <w:iCs/>
          <w:sz w:val="28"/>
          <w:szCs w:val="28"/>
        </w:rPr>
        <w:t>TSLA Financials and Operating Expenses</w:t>
      </w:r>
      <w:r w:rsidRPr="0057079D">
        <w:rPr>
          <w:rFonts w:ascii="Arial" w:hAnsi="Arial" w:cs="Arial"/>
          <w:sz w:val="28"/>
          <w:szCs w:val="28"/>
        </w:rPr>
        <w:t xml:space="preserve">. Available at: </w:t>
      </w:r>
      <w:hyperlink r:id="rId17" w:history="1">
        <w:r w:rsidR="00865917" w:rsidRPr="00AD685A">
          <w:rPr>
            <w:rStyle w:val="Hyperlink"/>
            <w:rFonts w:ascii="Arial" w:hAnsi="Arial" w:cs="Arial"/>
            <w:sz w:val="28"/>
            <w:szCs w:val="28"/>
          </w:rPr>
          <w:t>Tesla, Inc. (TSLA) Stock Price, News, Quote &amp; History - Yahoo Finance</w:t>
        </w:r>
      </w:hyperlink>
      <w:r w:rsidR="00865917" w:rsidRPr="00AD685A">
        <w:rPr>
          <w:rFonts w:ascii="Arial" w:hAnsi="Arial" w:cs="Arial"/>
          <w:sz w:val="28"/>
          <w:szCs w:val="28"/>
        </w:rPr>
        <w:t xml:space="preserve"> </w:t>
      </w:r>
      <w:r w:rsidRPr="0057079D">
        <w:rPr>
          <w:rFonts w:ascii="Arial" w:hAnsi="Arial" w:cs="Arial"/>
          <w:sz w:val="28"/>
          <w:szCs w:val="28"/>
        </w:rPr>
        <w:t xml:space="preserve">(Accessed: </w:t>
      </w:r>
      <w:r w:rsidR="00865917" w:rsidRPr="00AD685A">
        <w:rPr>
          <w:rFonts w:ascii="Arial" w:hAnsi="Arial" w:cs="Arial"/>
          <w:sz w:val="28"/>
          <w:szCs w:val="28"/>
        </w:rPr>
        <w:t>19 November 2025</w:t>
      </w:r>
      <w:r w:rsidRPr="0057079D">
        <w:rPr>
          <w:rFonts w:ascii="Arial" w:hAnsi="Arial" w:cs="Arial"/>
          <w:sz w:val="28"/>
          <w:szCs w:val="28"/>
        </w:rPr>
        <w:t>).</w:t>
      </w:r>
    </w:p>
    <w:p w14:paraId="4EBE05E2" w14:textId="0564A6F4" w:rsidR="0057079D" w:rsidRPr="0057079D" w:rsidRDefault="0057079D" w:rsidP="00AD685A">
      <w:pPr>
        <w:spacing w:line="360" w:lineRule="auto"/>
        <w:jc w:val="both"/>
        <w:rPr>
          <w:rFonts w:ascii="Arial" w:hAnsi="Arial" w:cs="Arial"/>
          <w:sz w:val="28"/>
          <w:szCs w:val="28"/>
        </w:rPr>
      </w:pPr>
      <w:r w:rsidRPr="0057079D">
        <w:rPr>
          <w:rFonts w:ascii="Arial" w:hAnsi="Arial" w:cs="Arial"/>
          <w:sz w:val="28"/>
          <w:szCs w:val="28"/>
        </w:rPr>
        <w:t xml:space="preserve">Google Finance (2025) </w:t>
      </w:r>
      <w:r w:rsidRPr="0057079D">
        <w:rPr>
          <w:rFonts w:ascii="Arial" w:hAnsi="Arial" w:cs="Arial"/>
          <w:i/>
          <w:iCs/>
          <w:sz w:val="28"/>
          <w:szCs w:val="28"/>
        </w:rPr>
        <w:t>Tesla (TSLA) Operating Expense Trends</w:t>
      </w:r>
      <w:r w:rsidRPr="0057079D">
        <w:rPr>
          <w:rFonts w:ascii="Arial" w:hAnsi="Arial" w:cs="Arial"/>
          <w:sz w:val="28"/>
          <w:szCs w:val="28"/>
        </w:rPr>
        <w:t xml:space="preserve">. Available at: </w:t>
      </w:r>
      <w:hyperlink r:id="rId18" w:tgtFrame="_new" w:history="1">
        <w:r w:rsidRPr="0057079D">
          <w:rPr>
            <w:rStyle w:val="Hyperlink"/>
            <w:rFonts w:ascii="Arial" w:hAnsi="Arial" w:cs="Arial"/>
            <w:sz w:val="28"/>
            <w:szCs w:val="28"/>
          </w:rPr>
          <w:t>https://www.google.com/finance</w:t>
        </w:r>
      </w:hyperlink>
      <w:r w:rsidRPr="0057079D">
        <w:rPr>
          <w:rFonts w:ascii="Arial" w:hAnsi="Arial" w:cs="Arial"/>
          <w:sz w:val="28"/>
          <w:szCs w:val="28"/>
        </w:rPr>
        <w:t xml:space="preserve"> (Accessed: </w:t>
      </w:r>
      <w:r w:rsidR="00865917" w:rsidRPr="00AD685A">
        <w:rPr>
          <w:rFonts w:ascii="Arial" w:hAnsi="Arial" w:cs="Arial"/>
          <w:sz w:val="28"/>
          <w:szCs w:val="28"/>
        </w:rPr>
        <w:t>19 November 2025</w:t>
      </w:r>
      <w:r w:rsidRPr="0057079D">
        <w:rPr>
          <w:rFonts w:ascii="Arial" w:hAnsi="Arial" w:cs="Arial"/>
          <w:sz w:val="28"/>
          <w:szCs w:val="28"/>
        </w:rPr>
        <w:t>).</w:t>
      </w:r>
    </w:p>
    <w:p w14:paraId="7D015BCD" w14:textId="33B62EA0" w:rsidR="000D3EE1" w:rsidRPr="00AD685A" w:rsidRDefault="000D3EE1" w:rsidP="00AD685A">
      <w:pPr>
        <w:spacing w:line="360" w:lineRule="auto"/>
        <w:jc w:val="both"/>
        <w:rPr>
          <w:rFonts w:ascii="Arial" w:hAnsi="Arial" w:cs="Arial"/>
          <w:sz w:val="28"/>
          <w:szCs w:val="28"/>
        </w:rPr>
      </w:pPr>
    </w:p>
    <w:p w14:paraId="4F2A9833" w14:textId="77777777" w:rsidR="000D3EE1" w:rsidRPr="00AD685A" w:rsidRDefault="000D3EE1" w:rsidP="00AD685A">
      <w:pPr>
        <w:spacing w:line="360" w:lineRule="auto"/>
        <w:jc w:val="both"/>
        <w:rPr>
          <w:rFonts w:ascii="Arial" w:hAnsi="Arial" w:cs="Arial"/>
          <w:sz w:val="28"/>
          <w:szCs w:val="28"/>
        </w:rPr>
      </w:pPr>
    </w:p>
    <w:sectPr w:rsidR="000D3EE1" w:rsidRPr="00AD685A">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94811" w14:textId="77777777" w:rsidR="00E645F3" w:rsidRDefault="00E645F3" w:rsidP="00E645F3">
      <w:pPr>
        <w:spacing w:after="0" w:line="240" w:lineRule="auto"/>
      </w:pPr>
      <w:r>
        <w:separator/>
      </w:r>
    </w:p>
  </w:endnote>
  <w:endnote w:type="continuationSeparator" w:id="0">
    <w:p w14:paraId="5900266F" w14:textId="77777777" w:rsidR="00E645F3" w:rsidRDefault="00E645F3" w:rsidP="00E64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14085" w14:textId="77777777" w:rsidR="00E645F3" w:rsidRDefault="00E645F3" w:rsidP="00E645F3">
      <w:pPr>
        <w:spacing w:after="0" w:line="240" w:lineRule="auto"/>
      </w:pPr>
      <w:r>
        <w:separator/>
      </w:r>
    </w:p>
  </w:footnote>
  <w:footnote w:type="continuationSeparator" w:id="0">
    <w:p w14:paraId="50BE4178" w14:textId="77777777" w:rsidR="00E645F3" w:rsidRDefault="00E645F3" w:rsidP="00E645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7616684"/>
      <w:docPartObj>
        <w:docPartGallery w:val="Page Numbers (Margins)"/>
        <w:docPartUnique/>
      </w:docPartObj>
    </w:sdtPr>
    <w:sdtContent>
      <w:p w14:paraId="225DD340" w14:textId="0142C2CC" w:rsidR="00747AB1" w:rsidRDefault="00747AB1">
        <w:pPr>
          <w:pStyle w:val="Header"/>
        </w:pPr>
        <w:r>
          <w:rPr>
            <w:noProof/>
          </w:rPr>
          <w:pict w14:anchorId="63579040">
            <v:rect id="_x0000_s409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" o:allowincell="f" filled="f" stroked="f">
              <v:textbox style="layout-flow:vertical;mso-layout-flow-alt:bottom-to-top;mso-fit-shape-to-text:t">
                <w:txbxContent>
                  <w:p w14:paraId="3145D612" w14:textId="77777777" w:rsidR="00747AB1" w:rsidRDefault="00747AB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8"/>
    <o:shapelayout v:ext="edit">
      <o:idmap v:ext="edit" data="4"/>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3EE1"/>
    <w:rsid w:val="0002637D"/>
    <w:rsid w:val="000D3EE1"/>
    <w:rsid w:val="00420566"/>
    <w:rsid w:val="0057079D"/>
    <w:rsid w:val="00744BF1"/>
    <w:rsid w:val="00747AB1"/>
    <w:rsid w:val="00865917"/>
    <w:rsid w:val="009C1464"/>
    <w:rsid w:val="00A116EF"/>
    <w:rsid w:val="00AD685A"/>
    <w:rsid w:val="00C85E11"/>
    <w:rsid w:val="00E645F3"/>
    <w:rsid w:val="00E94A6B"/>
    <w:rsid w:val="00F05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14:docId w14:val="5C68FE67"/>
  <w15:chartTrackingRefBased/>
  <w15:docId w15:val="{528AA82E-52E5-4DE9-88F6-C35DE62BE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EE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D3EE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D3EE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3EE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3EE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D3E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E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E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E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EE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D3EE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D3EE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3EE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3EE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3E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E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E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EE1"/>
    <w:rPr>
      <w:rFonts w:eastAsiaTheme="majorEastAsia" w:cstheme="majorBidi"/>
      <w:color w:val="272727" w:themeColor="text1" w:themeTint="D8"/>
    </w:rPr>
  </w:style>
  <w:style w:type="paragraph" w:styleId="Title">
    <w:name w:val="Title"/>
    <w:basedOn w:val="Normal"/>
    <w:next w:val="Normal"/>
    <w:link w:val="TitleChar"/>
    <w:uiPriority w:val="10"/>
    <w:qFormat/>
    <w:rsid w:val="000D3E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E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E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E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EE1"/>
    <w:pPr>
      <w:spacing w:before="160"/>
      <w:jc w:val="center"/>
    </w:pPr>
    <w:rPr>
      <w:i/>
      <w:iCs/>
      <w:color w:val="404040" w:themeColor="text1" w:themeTint="BF"/>
    </w:rPr>
  </w:style>
  <w:style w:type="character" w:customStyle="1" w:styleId="QuoteChar">
    <w:name w:val="Quote Char"/>
    <w:basedOn w:val="DefaultParagraphFont"/>
    <w:link w:val="Quote"/>
    <w:uiPriority w:val="29"/>
    <w:rsid w:val="000D3EE1"/>
    <w:rPr>
      <w:i/>
      <w:iCs/>
      <w:color w:val="404040" w:themeColor="text1" w:themeTint="BF"/>
    </w:rPr>
  </w:style>
  <w:style w:type="paragraph" w:styleId="ListParagraph">
    <w:name w:val="List Paragraph"/>
    <w:basedOn w:val="Normal"/>
    <w:uiPriority w:val="34"/>
    <w:qFormat/>
    <w:rsid w:val="000D3EE1"/>
    <w:pPr>
      <w:ind w:left="720"/>
      <w:contextualSpacing/>
    </w:pPr>
  </w:style>
  <w:style w:type="character" w:styleId="IntenseEmphasis">
    <w:name w:val="Intense Emphasis"/>
    <w:basedOn w:val="DefaultParagraphFont"/>
    <w:uiPriority w:val="21"/>
    <w:qFormat/>
    <w:rsid w:val="000D3EE1"/>
    <w:rPr>
      <w:i/>
      <w:iCs/>
      <w:color w:val="2F5496" w:themeColor="accent1" w:themeShade="BF"/>
    </w:rPr>
  </w:style>
  <w:style w:type="paragraph" w:styleId="IntenseQuote">
    <w:name w:val="Intense Quote"/>
    <w:basedOn w:val="Normal"/>
    <w:next w:val="Normal"/>
    <w:link w:val="IntenseQuoteChar"/>
    <w:uiPriority w:val="30"/>
    <w:qFormat/>
    <w:rsid w:val="000D3E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3EE1"/>
    <w:rPr>
      <w:i/>
      <w:iCs/>
      <w:color w:val="2F5496" w:themeColor="accent1" w:themeShade="BF"/>
    </w:rPr>
  </w:style>
  <w:style w:type="character" w:styleId="IntenseReference">
    <w:name w:val="Intense Reference"/>
    <w:basedOn w:val="DefaultParagraphFont"/>
    <w:uiPriority w:val="32"/>
    <w:qFormat/>
    <w:rsid w:val="000D3EE1"/>
    <w:rPr>
      <w:b/>
      <w:bCs/>
      <w:smallCaps/>
      <w:color w:val="2F5496" w:themeColor="accent1" w:themeShade="BF"/>
      <w:spacing w:val="5"/>
    </w:rPr>
  </w:style>
  <w:style w:type="paragraph" w:styleId="NormalWeb">
    <w:name w:val="Normal (Web)"/>
    <w:basedOn w:val="Normal"/>
    <w:uiPriority w:val="99"/>
    <w:semiHidden/>
    <w:unhideWhenUsed/>
    <w:rsid w:val="0057079D"/>
    <w:rPr>
      <w:rFonts w:ascii="Times New Roman" w:hAnsi="Times New Roman" w:cs="Times New Roman"/>
      <w:sz w:val="24"/>
      <w:szCs w:val="24"/>
    </w:rPr>
  </w:style>
  <w:style w:type="character" w:styleId="Hyperlink">
    <w:name w:val="Hyperlink"/>
    <w:basedOn w:val="DefaultParagraphFont"/>
    <w:uiPriority w:val="99"/>
    <w:unhideWhenUsed/>
    <w:rsid w:val="0057079D"/>
    <w:rPr>
      <w:color w:val="0563C1" w:themeColor="hyperlink"/>
      <w:u w:val="single"/>
    </w:rPr>
  </w:style>
  <w:style w:type="character" w:styleId="UnresolvedMention">
    <w:name w:val="Unresolved Mention"/>
    <w:basedOn w:val="DefaultParagraphFont"/>
    <w:uiPriority w:val="99"/>
    <w:semiHidden/>
    <w:unhideWhenUsed/>
    <w:rsid w:val="0057079D"/>
    <w:rPr>
      <w:color w:val="605E5C"/>
      <w:shd w:val="clear" w:color="auto" w:fill="E1DFDD"/>
    </w:rPr>
  </w:style>
  <w:style w:type="character" w:styleId="FollowedHyperlink">
    <w:name w:val="FollowedHyperlink"/>
    <w:basedOn w:val="DefaultParagraphFont"/>
    <w:uiPriority w:val="99"/>
    <w:semiHidden/>
    <w:unhideWhenUsed/>
    <w:rsid w:val="00865917"/>
    <w:rPr>
      <w:color w:val="954F72" w:themeColor="followedHyperlink"/>
      <w:u w:val="single"/>
    </w:rPr>
  </w:style>
  <w:style w:type="paragraph" w:styleId="TOCHeading">
    <w:name w:val="TOC Heading"/>
    <w:basedOn w:val="Heading1"/>
    <w:next w:val="Normal"/>
    <w:uiPriority w:val="39"/>
    <w:unhideWhenUsed/>
    <w:qFormat/>
    <w:rsid w:val="00E645F3"/>
    <w:pPr>
      <w:spacing w:before="240" w:after="0"/>
      <w:outlineLvl w:val="9"/>
    </w:pPr>
    <w:rPr>
      <w:kern w:val="0"/>
      <w:sz w:val="32"/>
      <w:szCs w:val="32"/>
      <w:lang w:val="en-US"/>
    </w:rPr>
  </w:style>
  <w:style w:type="paragraph" w:styleId="TOC1">
    <w:name w:val="toc 1"/>
    <w:basedOn w:val="Normal"/>
    <w:next w:val="Normal"/>
    <w:autoRedefine/>
    <w:uiPriority w:val="39"/>
    <w:unhideWhenUsed/>
    <w:rsid w:val="00E645F3"/>
    <w:pPr>
      <w:spacing w:after="100"/>
    </w:pPr>
  </w:style>
  <w:style w:type="paragraph" w:styleId="Header">
    <w:name w:val="header"/>
    <w:basedOn w:val="Normal"/>
    <w:link w:val="HeaderChar"/>
    <w:uiPriority w:val="99"/>
    <w:unhideWhenUsed/>
    <w:rsid w:val="00E64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5F3"/>
  </w:style>
  <w:style w:type="paragraph" w:styleId="Footer">
    <w:name w:val="footer"/>
    <w:basedOn w:val="Normal"/>
    <w:link w:val="FooterChar"/>
    <w:uiPriority w:val="99"/>
    <w:unhideWhenUsed/>
    <w:rsid w:val="00E64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8220953">
      <w:bodyDiv w:val="1"/>
      <w:marLeft w:val="0"/>
      <w:marRight w:val="0"/>
      <w:marTop w:val="0"/>
      <w:marBottom w:val="0"/>
      <w:divBdr>
        <w:top w:val="none" w:sz="0" w:space="0" w:color="auto"/>
        <w:left w:val="none" w:sz="0" w:space="0" w:color="auto"/>
        <w:bottom w:val="none" w:sz="0" w:space="0" w:color="auto"/>
        <w:right w:val="none" w:sz="0" w:space="0" w:color="auto"/>
      </w:divBdr>
    </w:div>
    <w:div w:id="183672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tatista.com" TargetMode="External"/><Relationship Id="rId18" Type="http://schemas.openxmlformats.org/officeDocument/2006/relationships/hyperlink" Target="https://www.google.com/financ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tatista.com" TargetMode="External"/><Relationship Id="rId17" Type="http://schemas.openxmlformats.org/officeDocument/2006/relationships/hyperlink" Target="https://finance.yahoo.com/quote/TSLA/" TargetMode="External"/><Relationship Id="rId2" Type="http://schemas.openxmlformats.org/officeDocument/2006/relationships/styles" Target="styles.xml"/><Relationship Id="rId16" Type="http://schemas.openxmlformats.org/officeDocument/2006/relationships/hyperlink" Target="https://www.sec.gov"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uters.com/business/autos-transportation/teslas-german-plant-plans-lift-production-factory-boss-tells-dpa-news-agency-2025-09-14/" TargetMode="External"/><Relationship Id="rId5" Type="http://schemas.openxmlformats.org/officeDocument/2006/relationships/footnotes" Target="footnotes.xml"/><Relationship Id="rId15" Type="http://schemas.openxmlformats.org/officeDocument/2006/relationships/hyperlink" Target="https://www.tesla.com/impact" TargetMode="External"/><Relationship Id="rId10" Type="http://schemas.openxmlformats.org/officeDocument/2006/relationships/hyperlink" Target="https://www.ft.co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t.com/" TargetMode="Externa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PIX25</b:Tag>
    <b:SourceType>InternetSite</b:SourceType>
    <b:Guid>{819BF617-2EE9-4A91-A48A-C421EF24E49F}</b:Guid>
    <b:Author>
      <b:Author>
        <b:NameList>
          <b:Person>
            <b:Last>PIXABAY</b:Last>
          </b:Person>
        </b:NameList>
      </b:Author>
    </b:Author>
    <b:YearAccessed>2025</b:YearAccessed>
    <b:MonthAccessed>11</b:MonthAccessed>
    <b:DayAccessed>19</b:DayAccessed>
    <b:URL>https://pixabay.com/images/search/model%203%20tesla/</b:URL>
    <b:RefOrder>1</b:RefOrder>
  </b:Source>
</b:Sources>
</file>

<file path=customXml/itemProps1.xml><?xml version="1.0" encoding="utf-8"?>
<ds:datastoreItem xmlns:ds="http://schemas.openxmlformats.org/officeDocument/2006/customXml" ds:itemID="{D0BA6E91-7E16-47CC-84FE-D2C760F76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3088</Words>
  <Characters>17604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5</cp:revision>
  <dcterms:created xsi:type="dcterms:W3CDTF">2025-11-19T14:38:00Z</dcterms:created>
  <dcterms:modified xsi:type="dcterms:W3CDTF">2025-11-19T15:52:00Z</dcterms:modified>
</cp:coreProperties>
</file>