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B38155" w14:textId="77777777" w:rsidR="00B74EF4" w:rsidRPr="00B74EF4" w:rsidRDefault="00B74EF4" w:rsidP="00B74EF4">
      <w:pPr>
        <w:jc w:val="center"/>
        <w:rPr>
          <w:rFonts w:ascii="Segoe UI" w:hAnsi="Segoe UI" w:cs="Segoe UI"/>
          <w:b/>
          <w:bCs/>
          <w:sz w:val="24"/>
          <w:szCs w:val="24"/>
        </w:rPr>
      </w:pPr>
      <w:r w:rsidRPr="00B74EF4">
        <w:rPr>
          <w:rFonts w:ascii="Segoe UI" w:hAnsi="Segoe UI" w:cs="Segoe UI"/>
          <w:b/>
          <w:bCs/>
          <w:sz w:val="24"/>
          <w:szCs w:val="24"/>
        </w:rPr>
        <w:t>“To what extent has the Civil Contingencies Act [2004] and its accompanying statutory and non-statutory guidance transformed the landscape of emergency preparedness and civil protection in the United Kingdom?”</w:t>
      </w:r>
    </w:p>
    <w:p w14:paraId="477588C6"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The Civil Contingencies Act 2004 (Cabinet Office, 2004) and its accompanying statutory and non-statutory guidance has unquestionably changed the landscape of emergency preparedness and civil protection within the United Kingdom, by transforming outdated legislation into guidance and processes which were more suited to the threats the country faced at the time. </w:t>
      </w:r>
    </w:p>
    <w:p w14:paraId="030CE72E"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However, “It has been 20 years since the string of major emergencies in 2000/01 triggered the fundamental transformation of the UK’s civil-protection arrangements” (The National Preparedness Commission, 2022) and so the question remains, is the Civil Contingencies Act 2004 and its accompanying guidance still fit for purpose given the evolving threats and risks seen within the Emergency Preparedness and Civil Protection landscape of the United Kingdom over twenty years on from its implementation?</w:t>
      </w:r>
    </w:p>
    <w:p w14:paraId="210D7B9F"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“Disasters are as old as mankind” (Barell J, 2006). We know that an emergency or disaster occurring is only a matter of time, no amount of planning or mitigation is able to fully remove every risk or threat that presents itself. As such, it is imperative that all organisations that could be involved in the response and recovery to such incidents embed emergency planning, response and recovery into their organisational plans and structures as well as immersing themselves effectively and consistently into multiagency co-ordination. </w:t>
      </w:r>
    </w:p>
    <w:p w14:paraId="1D4C472D"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Throughout this assignment, I will review evidence that will allow us to determine how effective the Civil Contingencies Act 2004 is, in enabling interagency co-ordination and co-operation between all relevant organisations.</w:t>
      </w:r>
    </w:p>
    <w:p w14:paraId="12534D9C"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I will explore the historic legislation replaced by the Civil Contingencies Act 2004 and the key drivers leading to the requirement for the Act to be introduced. I will discuss various changes brought in by the Act, review the challenges and limitations that organisations and statutory bodies involved in emergency preparedness and civil protection are facing in 2025 and evidence the extent to which the Act and its accompanying guidance has transformed the landscape of emergency preparedness and civil protection in the United Kingdom.</w:t>
      </w:r>
    </w:p>
    <w:p w14:paraId="20D51F5B"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The Civil Contingencies Act 2004, Cabinet Office (2004) was introduced following a review of emergency planning arrangements in the UK by the then Labour Government.  It received Royal Ascent on 18 November 2004 and provided a new fit for purpose civil protection framework for the United Kingdom, capable of dealing with the threats and risks that were present at the beginning of the 21</w:t>
      </w:r>
      <w:r w:rsidRPr="00B74EF4">
        <w:rPr>
          <w:rFonts w:ascii="Segoe UI" w:hAnsi="Segoe UI" w:cs="Segoe UI"/>
          <w:sz w:val="24"/>
          <w:szCs w:val="24"/>
          <w:vertAlign w:val="superscript"/>
        </w:rPr>
        <w:t>st</w:t>
      </w:r>
      <w:r w:rsidRPr="00B74EF4">
        <w:rPr>
          <w:rFonts w:ascii="Segoe UI" w:hAnsi="Segoe UI" w:cs="Segoe UI"/>
          <w:sz w:val="24"/>
          <w:szCs w:val="24"/>
        </w:rPr>
        <w:t xml:space="preserve"> century.</w:t>
      </w:r>
    </w:p>
    <w:p w14:paraId="2B20BD0D"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lastRenderedPageBreak/>
        <w:t>It could be argued that the historical presentation of major incidents that impacted the UK in the 1980’s and 1990’s were changing at the turn of the century, with new threats and risks materialising.</w:t>
      </w:r>
    </w:p>
    <w:p w14:paraId="22017125"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Pollock (2013) highlighted the different presentations of major incidents, which included the Bradford Football Stadium Fire in 1985, Hillsborough Crowd Crush in 1989, Lockerbie Bombing in 1988 and the Clapham Rail incident in 1988.  In the 1990’s, the UK experienced the Dunblane shootings in 1996, Southall rail crash in 1997 and the Ladbroke Grove rail crash in 1999.</w:t>
      </w:r>
    </w:p>
    <w:p w14:paraId="2C5E4E9E"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At the turn of the century, the UK faced a turbulent time, with the country having faced a fuel dispute (and shortages), severe flooding in 2000, the outbreak of Foot and Mouth Disease in 2001 and the Firefighter strikes of 2002 and 2003. In addition to this, the world was still reeling from events such as the series of co-ordinated Terrorist Attacks in the United States on 11</w:t>
      </w:r>
      <w:r w:rsidRPr="00B74EF4">
        <w:rPr>
          <w:rFonts w:ascii="Segoe UI" w:hAnsi="Segoe UI" w:cs="Segoe UI"/>
          <w:sz w:val="24"/>
          <w:szCs w:val="24"/>
          <w:vertAlign w:val="superscript"/>
        </w:rPr>
        <w:t>th</w:t>
      </w:r>
      <w:r w:rsidRPr="00B74EF4">
        <w:rPr>
          <w:rFonts w:ascii="Segoe UI" w:hAnsi="Segoe UI" w:cs="Segoe UI"/>
          <w:sz w:val="24"/>
          <w:szCs w:val="24"/>
        </w:rPr>
        <w:t xml:space="preserve"> September 2001, the likes of which highlighted the changes in the types of emergencies being faced worldwide, these could be viewed as new threats and risks facing the UK, which were manifestly different to those seen in the previous two decades.</w:t>
      </w:r>
    </w:p>
    <w:p w14:paraId="38FAC363"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The Act replaced two key pieces of outdated legislation within the UK.  The Emergency Powers Act 1920, UK Government (1920) and the Civil Defence Act 1948, UK Government (1948). Upon repeal of the old legislation and the introduction of the CCA 2004, Government responsibility for emergency planning passed to the Cabinet Office from the Home Office.</w:t>
      </w:r>
    </w:p>
    <w:p w14:paraId="07268B74"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The National Audit Office (2025) states “Cabinet Office performs various strategic and coordinating functions – in particular, overseeing how departments implement Cabinet decisions and the Prime Minister’s priorities”.  It could be argued that this transfer of responsibilities for emergency planning legislation enables the provision of greater visibility and oversight from the Government.</w:t>
      </w:r>
    </w:p>
    <w:p w14:paraId="6CC0967D"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The Emergency Powers Act 1920 was invoked “12 times in it’s 84-year history, the last time being in 1973”, Hansard (1979).  Examples of when it was used included a range of strikes by miners, dockers, electricity workers and rail workers. Despite its relatively limited use, this Act was vital in allowing the Monarch to implement regulations to protect the community in times of an emergency (Uk Government, 1920).</w:t>
      </w:r>
    </w:p>
    <w:p w14:paraId="335A1FD7" w14:textId="77777777" w:rsidR="00B74EF4" w:rsidRPr="00B74EF4" w:rsidRDefault="00B74EF4" w:rsidP="00B74EF4">
      <w:pPr>
        <w:rPr>
          <w:rFonts w:ascii="Segoe UI" w:hAnsi="Segoe UI" w:cs="Segoe UI"/>
          <w:sz w:val="24"/>
          <w:szCs w:val="24"/>
          <w:highlight w:val="yellow"/>
        </w:rPr>
      </w:pPr>
      <w:r w:rsidRPr="00B74EF4">
        <w:rPr>
          <w:rFonts w:ascii="Segoe UI" w:hAnsi="Segoe UI" w:cs="Segoe UI"/>
          <w:sz w:val="24"/>
          <w:szCs w:val="24"/>
        </w:rPr>
        <w:t>The UK Government states (1948) that The Civil Defence Act 1948 related to “civil protection at the local level". The Civil Defence Act 1948 and its Northern Ireland counterpart, the Civil Defence Act (Northern Ireland) 1950 related solely to “civil defence”, which was described by UK Government as “measures, other than actual combat, for affording defence against a hostile attack by a foreign power” (Civil Contingencies Act 2004, Explanatory Notes, Chapter 36, 2004)</w:t>
      </w:r>
    </w:p>
    <w:p w14:paraId="23843A46"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lastRenderedPageBreak/>
        <w:t>This means that any duties prescribed within the legislation were focussed solely on civil defence, it could be argued that they were very narrow in scope and would not be able to address the wider scope and presentation of major incidents in the 21</w:t>
      </w:r>
      <w:r w:rsidRPr="00B74EF4">
        <w:rPr>
          <w:rFonts w:ascii="Segoe UI" w:hAnsi="Segoe UI" w:cs="Segoe UI"/>
          <w:sz w:val="24"/>
          <w:szCs w:val="24"/>
          <w:vertAlign w:val="superscript"/>
        </w:rPr>
        <w:t>st</w:t>
      </w:r>
      <w:r w:rsidRPr="00B74EF4">
        <w:rPr>
          <w:rFonts w:ascii="Segoe UI" w:hAnsi="Segoe UI" w:cs="Segoe UI"/>
          <w:sz w:val="24"/>
          <w:szCs w:val="24"/>
        </w:rPr>
        <w:t xml:space="preserve"> century.  Furthermore, they applied to Local Authorities, the Police and some Fire Services, so they were only applicable to a small number of what could be described in 2025 as responder agencies.</w:t>
      </w:r>
    </w:p>
    <w:p w14:paraId="22BC47A1"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JESIP (2024) states that “The Joint Doctrine provides responders, across all levels, at the scene or elsewhere, with generic guidance and principles on the actions to take when responding to multi-agency incidents of any scale”.  This evidences that the scope of responders in the 21</w:t>
      </w:r>
      <w:r w:rsidRPr="00B74EF4">
        <w:rPr>
          <w:rFonts w:ascii="Segoe UI" w:hAnsi="Segoe UI" w:cs="Segoe UI"/>
          <w:sz w:val="24"/>
          <w:szCs w:val="24"/>
          <w:vertAlign w:val="superscript"/>
        </w:rPr>
        <w:t>st</w:t>
      </w:r>
      <w:r w:rsidRPr="00B74EF4">
        <w:rPr>
          <w:rFonts w:ascii="Segoe UI" w:hAnsi="Segoe UI" w:cs="Segoe UI"/>
          <w:sz w:val="24"/>
          <w:szCs w:val="24"/>
        </w:rPr>
        <w:t xml:space="preserve"> century is far more inclusive than those described under the Civil Defence Act 1948. </w:t>
      </w:r>
    </w:p>
    <w:p w14:paraId="2C14A7CF"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Barrell (2006) states “Matters such as emergency planning, business continuity, crisis management, disaster recovery and medical response need to be considered not only by the emergency services but also within organisations vulnerable to disaster”. This further evidence’s the need for a wider, more holistic approach to emergency preparedness and civil protection in the UK. </w:t>
      </w:r>
    </w:p>
    <w:p w14:paraId="2F766C25"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At the time of the introduction of the Civil Contingencies Act, the historical definition within the Civil Defence Act was no longer overly relevant to the threats and concerns that were becoming more prevalent, nor did this piece of legislation address them. </w:t>
      </w:r>
    </w:p>
    <w:p w14:paraId="6D1F86E7"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The Civil Contingencies Act now provides a clear, modern definition of an emergency, which provides a common understanding for all agencies involved in the planning, response and recovery stages of emergencies within the United Kingdom.  This definition not only includes ‘traditional’ events such as war but also more ‘modern’ threats such as terrorism and severe weather. It splits the definition into three main parts; “an event or situation which threatens serious damage to human welfare in a place in the United Kingdom, an event or situation which threatens serious damage to the environment of a place in the United Kingdom and war or terrorism which threatens serious damage to the security of the United Kingdom” (Civil Contingencies Act 2004, (1)(a)(b)(c)).</w:t>
      </w:r>
    </w:p>
    <w:p w14:paraId="6D874659"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Additionally, the Act also provides clear duties and expectations to a broader range of responding organisations, this allows for a wider, more comprehensive and holistic approach to planning for, and responding to emergencies, these duties coupled with the clear definition of an emergency aids in multi-agency and inter-agency working, thus transforming and improving the overall response to, and outcome of emergencies.</w:t>
      </w:r>
    </w:p>
    <w:p w14:paraId="79A2BD0A"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lastRenderedPageBreak/>
        <w:t xml:space="preserve">The Civil Contingencies Act 2004 focusses on emergency preparedness and is separated into two main parts. Part one of the act focusses on Local Arrangements for Civil Protection and replaced the previous Civil Defence Act 1948 and the Civil Defence Act (Northern Ireland) 1950, which failed to address the more modern threats facing the country. </w:t>
      </w:r>
    </w:p>
    <w:p w14:paraId="733B1A72" w14:textId="77777777"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rPr>
        <w:t>Part one of the Act defines responders under two main categories – Category one Responders which consist of “</w:t>
      </w:r>
      <w:r w:rsidRPr="00B74EF4">
        <w:rPr>
          <w:rFonts w:ascii="Segoe UI" w:hAnsi="Segoe UI" w:cs="Segoe UI"/>
          <w:sz w:val="24"/>
          <w:szCs w:val="24"/>
          <w:shd w:val="clear" w:color="auto" w:fill="FFFFFF"/>
        </w:rPr>
        <w:t xml:space="preserve">organisations at the core of the response to most emergencies” (Cabinet Office, 2013) such as the Emergency Services, Local Authorities and other NHS bodies. </w:t>
      </w:r>
    </w:p>
    <w:p w14:paraId="3D728452" w14:textId="77777777"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shd w:val="clear" w:color="auto" w:fill="FFFFFF"/>
        </w:rPr>
        <w:t>The Cabinet Office (2013) also defines Category 2 responders as “co-operating bodies”</w:t>
      </w:r>
      <w:r w:rsidRPr="00B74EF4">
        <w:rPr>
          <w:rFonts w:ascii="Segoe UI" w:hAnsi="Segoe UI" w:cs="Segoe UI"/>
          <w:sz w:val="24"/>
          <w:szCs w:val="24"/>
        </w:rPr>
        <w:t>, whilst these organisations</w:t>
      </w:r>
      <w:r w:rsidRPr="00B74EF4">
        <w:rPr>
          <w:rFonts w:ascii="Segoe UI" w:hAnsi="Segoe UI" w:cs="Segoe UI"/>
          <w:sz w:val="24"/>
          <w:szCs w:val="24"/>
          <w:shd w:val="clear" w:color="auto" w:fill="FFFFFF"/>
        </w:rPr>
        <w:t xml:space="preserve"> are not responsible for the same duties as Category one responders, the expectation is that they will still be directly involved in responding to incidents that affect their own sector. These responders include Utility companies and Trasport companies. </w:t>
      </w:r>
    </w:p>
    <w:p w14:paraId="6D4B0FD5" w14:textId="77777777"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shd w:val="clear" w:color="auto" w:fill="FFFFFF"/>
        </w:rPr>
        <w:t xml:space="preserve">There are other organisations that sit in a third grouping that are not liable for the same duties under the Civil Contingencies Act but may still play a role in responding to an emergency, these include the Military, Media and Voluntary and Community Sector organisations. The Civil Contingencies Act 2004 states that Category one responders “must have regard to these responders when carrying out their duties”, </w:t>
      </w:r>
      <w:r w:rsidRPr="00B74EF4">
        <w:rPr>
          <w:rFonts w:ascii="Segoe UI" w:hAnsi="Segoe UI" w:cs="Segoe UI"/>
          <w:sz w:val="24"/>
          <w:szCs w:val="24"/>
        </w:rPr>
        <w:t>as although they do not have the same responsibilities under the Act, they can still play a vital role in supporting the response to and recovery from an emergency</w:t>
      </w:r>
      <w:r w:rsidRPr="00B74EF4">
        <w:rPr>
          <w:rFonts w:ascii="Segoe UI" w:hAnsi="Segoe UI" w:cs="Segoe UI"/>
          <w:sz w:val="24"/>
          <w:szCs w:val="24"/>
          <w:shd w:val="clear" w:color="auto" w:fill="FFFFFF"/>
        </w:rPr>
        <w:t xml:space="preserve">. </w:t>
      </w:r>
    </w:p>
    <w:p w14:paraId="73AB5A9B" w14:textId="77777777"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shd w:val="clear" w:color="auto" w:fill="FFFFFF"/>
        </w:rPr>
        <w:t xml:space="preserve">Separating organisations into responder categories, allows the act to provide clearly defined duties for each organisation, based on the type of organisation and their potential role in responding to an emergency situation. </w:t>
      </w:r>
    </w:p>
    <w:p w14:paraId="0FBFF2CF" w14:textId="77777777"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shd w:val="clear" w:color="auto" w:fill="FFFFFF"/>
        </w:rPr>
        <w:t xml:space="preserve">Category one responders are liable for the full set of civil protection duties under the act, these are to undertake risk assessments and use these to inform, develop and put in place emergency plans, to undertake business continuity management, to ensure there are arrangements in place for warning, informing and advising the public both prior to and during the occurrence of an emergency and to enable the sharing of information and cooperation with other responders (Civil Contingencies Act, 2004). Local Authorities have one further duty and that is to provide business continuity management advice to local businesses. </w:t>
      </w:r>
    </w:p>
    <w:p w14:paraId="51D2A479" w14:textId="77777777"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shd w:val="clear" w:color="auto" w:fill="FFFFFF"/>
        </w:rPr>
        <w:t xml:space="preserve">The first four duties within the act align with the first four elements of the Integrated Emergency Management (IEM) cycle, the Cabinet Office (2013) defines this process as “the concept on which civil protection in the UK is based”. These steps are further supported by the Civil Contingencies Acts accompanying statutory guidance, Emergency Preparedness (2012). </w:t>
      </w:r>
    </w:p>
    <w:p w14:paraId="18FC956B" w14:textId="77777777"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shd w:val="clear" w:color="auto" w:fill="FFFFFF"/>
        </w:rPr>
        <w:lastRenderedPageBreak/>
        <w:t>The duties imposed upon category one responders goes far wider than simply responding to an emergency once it has occurred. These duties further evidence the extent to which the Civil Contingencies Act 2004 has changed the landscape of emergency planning. These duties ensure that responders prepare and plan for emergencies, based on risk assessments, data and intelligence insights. Documentation such as the National Risk register 2025 which is produced by</w:t>
      </w:r>
      <w:r w:rsidRPr="00B74EF4">
        <w:rPr>
          <w:rFonts w:ascii="Segoe UI" w:hAnsi="Segoe UI" w:cs="Segoe UI"/>
          <w:sz w:val="24"/>
          <w:szCs w:val="24"/>
        </w:rPr>
        <w:t xml:space="preserve"> The UK Government</w:t>
      </w:r>
      <w:r w:rsidRPr="00B74EF4">
        <w:rPr>
          <w:rFonts w:ascii="Segoe UI" w:hAnsi="Segoe UI" w:cs="Segoe UI"/>
          <w:sz w:val="24"/>
          <w:szCs w:val="24"/>
          <w:shd w:val="clear" w:color="auto" w:fill="FFFFFF"/>
        </w:rPr>
        <w:t xml:space="preserve">, The Wales Risk Register or Community Risk Registers can aid with this, along with internal organisational risk registers and horizon scanning, all of which provide guidance on the approach to planning for and dealing with a wide range of risk scenarios and contribute to the anticipation and assessment stages of the IEM cycle. </w:t>
      </w:r>
    </w:p>
    <w:p w14:paraId="2CFCED15" w14:textId="77777777"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shd w:val="clear" w:color="auto" w:fill="FFFFFF"/>
        </w:rPr>
        <w:t xml:space="preserve">Similarly, business continuity management is a requirement of the act, by ensuring that organisations have better business continuity management structures and plans in place, the wider impacts of incidents on local and national communities across the country are reduced. The Business Continuity Institute’s ‘Good Practice Guidelines’ (2023) states that the “purpose of the business continuity management system is to prepare for, provide and maintain controls and capabilities for managing an organisation’s overall ability to continue to operate during disruptions”. Strong business continuity management across various sectors is a vital building block to ensure that the facilities and services underpinning safety, production and daily life are minimally disrupted in times of either an emergency or business continuity incident occurring. </w:t>
      </w:r>
    </w:p>
    <w:p w14:paraId="7E2015D8" w14:textId="77777777"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shd w:val="clear" w:color="auto" w:fill="FFFFFF"/>
        </w:rPr>
        <w:t xml:space="preserve">Another Key responsibility under the act is the duty to warn, inform and advise the public. The Cabinet Office (2018) states “A well informed public is better able to respond to an emergency, and this will minimise the impact of an emergency on the community” (Preparation and planning for emergencies, 2018). The general public has the power to help or hinder our response to emergencies, and how we communicate with them largely determines this. </w:t>
      </w:r>
    </w:p>
    <w:p w14:paraId="2FF2E9CB" w14:textId="77777777"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shd w:val="clear" w:color="auto" w:fill="FFFFFF"/>
        </w:rPr>
        <w:t xml:space="preserve">Accurate and timely warning and informing not only gives the public information relating to actual or potential threats to life, property and communities which boosts community resilience, but it also allows organisations to provide them with instructions and information relating to any actions that they need to carry out. This in turn has the potential to reduce the impact of an emergency, particularly in times of severe weather, as an example. The use of social media is more prevalent than ever, and so false narratives and inaccurate information is often readily available within hours or minutes of an emergency occurring, it is now more important than ever that responding organisations are quick to agree a communications strategy and fill any potential information gap to reduce the spread of false information that </w:t>
      </w:r>
      <w:r w:rsidRPr="00B74EF4">
        <w:rPr>
          <w:rFonts w:ascii="Segoe UI" w:hAnsi="Segoe UI" w:cs="Segoe UI"/>
          <w:sz w:val="24"/>
          <w:szCs w:val="24"/>
          <w:shd w:val="clear" w:color="auto" w:fill="FFFFFF"/>
        </w:rPr>
        <w:lastRenderedPageBreak/>
        <w:t>has the power to escalate an emergency situation and cause reputational damage to the organisations who are dealing with it.</w:t>
      </w:r>
    </w:p>
    <w:p w14:paraId="14FFE0FF"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Part 2 of the Act focuses on the use of Emergency Powers and replaces the Emergency Powers Act 1920 and the Emergency Powers Act (Northern Ireland) 1926. Similarly to part 1 of the act, incorporating all four countries within the United Kingdom within one key piece of legislation allows for a more seamless cross border and whole country approach to emergency preparedness and civil protection. However, the Act does allow for emergency powers to affect a specific region of the United Kingdom only. The previous legislation did not take into account the devolution of various parts of the United Kingdom, which the Civil Contingencies Act 2004 now does – this ensures that emergency powers are considered and implemented in consultation with the devolved administrations for the region of the United Kingdom that they will effect. </w:t>
      </w:r>
    </w:p>
    <w:p w14:paraId="37675EB8"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There are various pieces of statutory and non-statutory guidance which supports both the Civil Contingencies Act and the preparedness, response and recovery of several agencies to deal with a multitude of emergency scenarios. </w:t>
      </w:r>
    </w:p>
    <w:p w14:paraId="13A988A5"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Whilst the Act sets out the legal duties for responding agencies, there is supporting statutory guidance, Emergency Preparedness, Cabinet Office (2012) and non-statutory guidance, Emergency Response and Recovery, Cabinet Office (2013). </w:t>
      </w:r>
    </w:p>
    <w:p w14:paraId="69EBE693"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Emergency Preparedness, 2012 provides “guidance on part 1 of the Civil Contingencies Act and its associated regulations and non-statutory arrangements” (Cabinet Office, 2012). It is statutory in nature as it focuses on the preparedness stage of the IEM and therefore addresses the legislative duties under the Civil Contingencies Act, which specifically looks at preparing for emergencies, rather than responding and recovering to them. </w:t>
      </w:r>
    </w:p>
    <w:p w14:paraId="19F97DEE"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The Cabinet Office (2013) states that the Emergency Response and Recovery guidance “describes the multi-agency framework for responding to and recovering from civil emergencies in the UK”. This guidance provides non-statutory “</w:t>
      </w:r>
      <w:r w:rsidRPr="00B74EF4">
        <w:rPr>
          <w:rFonts w:ascii="Segoe UI" w:hAnsi="Segoe UI" w:cs="Segoe UI"/>
          <w:sz w:val="24"/>
          <w:szCs w:val="24"/>
          <w:shd w:val="clear" w:color="auto" w:fill="FFFFFF"/>
        </w:rPr>
        <w:t>Guidance for staff of responder agencies, particularly senior officers or managers involved in emergency response and recovery preparations” (</w:t>
      </w:r>
      <w:r w:rsidRPr="00B74EF4">
        <w:rPr>
          <w:rFonts w:ascii="Segoe UI" w:hAnsi="Segoe UI" w:cs="Segoe UI"/>
          <w:sz w:val="24"/>
          <w:szCs w:val="24"/>
        </w:rPr>
        <w:t xml:space="preserve">The Cabinet Office, 2013). This document focuses on the multi-agency response and recovery to emergencies in the UK, in contrast to the statutory guidance, which is focussed on preparedness, this guidance is not enforceable legally but instead focusses on recommendations from identified best practices.  </w:t>
      </w:r>
    </w:p>
    <w:p w14:paraId="1360D5DA"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One of the duties under the Act is to co-operate with other responders, one of the key enablers for multi-agency co-operation is through a Local Resilience Forum (LRF), in addition to other more informal day to day methods. The Cabinet Office </w:t>
      </w:r>
      <w:r w:rsidRPr="00B74EF4">
        <w:rPr>
          <w:rFonts w:ascii="Segoe UI" w:hAnsi="Segoe UI" w:cs="Segoe UI"/>
          <w:sz w:val="24"/>
          <w:szCs w:val="24"/>
        </w:rPr>
        <w:lastRenderedPageBreak/>
        <w:t xml:space="preserve">Emergency Preparedness (2012) Statutory guidance sets out a more detailed level of guidance regarding Local Resilience Forums and their role in supporting Category one and two responders to co-operate and co-ordinate. </w:t>
      </w:r>
    </w:p>
    <w:p w14:paraId="04F8BD21"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The Cabinet Office (2012) states “the LRF is the principal form of multi-agency co-operation in a local resilience area. Even so, the statutory duties fall on the individual local responders. The LRF is not a legal entity”. Due to this the LRF is a partnership, consisting of representatives from category one responders and category two responders, several subgroups within the LRF may also include representatives from local voluntary or military organisations or relevant local businesses, such as Control of Major Accident Hazards (COMAH) site representatives attending risk management or major accident hazards subgroups in order to provide subject matter expertise to responding agencies and ensure that response plans are fit for purpose. </w:t>
      </w:r>
    </w:p>
    <w:p w14:paraId="557C3F8D"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As well as enabling multi-agency collaboration in developing plans, the LRF also acts as the principal mechanism for multi-agency training and exercising at the local level. This allows for continual identification of organisational and multi-agency learning to ensure plans are robust and fit for purpose.  </w:t>
      </w:r>
    </w:p>
    <w:p w14:paraId="1A9EF6A4"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JESIP (2024) states “the Act should be viewed in the wider context of the almost universally adopted concept of Integrated Emergency Management (IEM)”. IEM provides a structured approach to mitigating, preparing for and responding to emergencies. It consists of six stages: anticipation, assessment, prevention, preparation, response &amp; recovery. It is this process that both the Emergency Preparedness and Emergency Response &amp; Recovery guidance addresses, Emergency Preparedness covers the first four steps of the IEM whilst Emergency Response &amp; Recovery addresses the remaining two stages. Under the IEM focus is more specifically on the common consequences of an emergency occurring, as opposed to the cause of them. This allows for adaptable, more generic plans and arrangements to be developed, rather than attempting to plan for every eventuality, this approach is supported by Emergency Response and Recovery, Cabinet Office (2013) which states that there is not “one single set of organisational arrangements that will be appropriate to each and every type of emergency”. </w:t>
      </w:r>
    </w:p>
    <w:p w14:paraId="5F68B310"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The Amber Book: Managing Crisis in Central Government, UK Government (2025) has replaced the Government Concept of Operations which was originally approved in 2005. This sets out the framework that underpins UK Central Government’s response to a crisis that requires co-ordinated Government action. This document primarily focusses on the response phase of the IEM cycle and details the Management System required to deal with emergencies of various scales, including references to the response structures of lead government departments (LGD’s), the activation of the Cabinet Office Briefing Rooms (COBR) and the thresholds to be met in order to </w:t>
      </w:r>
      <w:r w:rsidRPr="00B74EF4">
        <w:rPr>
          <w:rFonts w:ascii="Segoe UI" w:hAnsi="Segoe UI" w:cs="Segoe UI"/>
          <w:sz w:val="24"/>
          <w:szCs w:val="24"/>
        </w:rPr>
        <w:lastRenderedPageBreak/>
        <w:t xml:space="preserve">implement these structures. This document has assisted with the transformation of the landscape of emergency preparedness and civil protection in the United Kingdom by providing further clarity and information pertaining to larger scale emergencies and the subsequent responses. Having an understanding of the various structures that can be enacted and how these interlink with local response structures enables better planning and preparedness at the local level. </w:t>
      </w:r>
    </w:p>
    <w:p w14:paraId="4EAA6393" w14:textId="77777777" w:rsidR="00B74EF4" w:rsidRPr="00B74EF4" w:rsidRDefault="00B74EF4" w:rsidP="00B74EF4">
      <w:pPr>
        <w:rPr>
          <w:rFonts w:ascii="Segoe UI" w:hAnsi="Segoe UI" w:cs="Segoe UI"/>
          <w:b/>
          <w:bCs/>
          <w:sz w:val="24"/>
          <w:szCs w:val="24"/>
        </w:rPr>
      </w:pPr>
      <w:r w:rsidRPr="00B74EF4">
        <w:rPr>
          <w:rFonts w:ascii="Segoe UI" w:hAnsi="Segoe UI" w:cs="Segoe UI"/>
          <w:sz w:val="24"/>
          <w:szCs w:val="24"/>
        </w:rPr>
        <w:t xml:space="preserve">Specifically in Wales we have the ‘Pan Wales Response Plan’ which details Welsh government response structures and frameworks aligned with the devolved administration in Wales and how this interlinks with the National Government response. This document is currently under review, however it is particularly relevant and useful for those who work in emergency preparedness and civil protection within Wales due to the nuances and intricacies of a devolved administration. </w:t>
      </w:r>
    </w:p>
    <w:p w14:paraId="79BAD46B"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There is only so far that a single piece of legislation can go in terms of leading to improved preparedness across the United Kingdom, as evidenced by the multitude of supporting guidance, both statutory and non-statutory, developed to be used by emergency planning practitioners and organisations alongside the Civil Contingencies Act 2004. That being said, there are several structures, working practices and processes that have been implemented as a direct result of the Act which have led to improved preparedness and are now embedded as recognised best practice across organisations within the United Kingdom. There could be an argument that the majority of these are as a direct result of the need for category one responders to address and meet the duties set out within the Act. </w:t>
      </w:r>
    </w:p>
    <w:p w14:paraId="0F73FACB"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National Preparedness Commission (2022) states “The Act and the transformed resilience arrangements it introduced were a vital step down the road to building a Resilient Nation”. This supports the view that</w:t>
      </w:r>
      <w:r w:rsidRPr="00B74EF4">
        <w:rPr>
          <w:sz w:val="24"/>
          <w:szCs w:val="24"/>
        </w:rPr>
        <w:t xml:space="preserve"> </w:t>
      </w:r>
      <w:r w:rsidRPr="00B74EF4">
        <w:t>t</w:t>
      </w:r>
      <w:r w:rsidRPr="00B74EF4">
        <w:rPr>
          <w:rFonts w:ascii="Segoe UI" w:hAnsi="Segoe UI" w:cs="Segoe UI"/>
          <w:sz w:val="24"/>
          <w:szCs w:val="24"/>
        </w:rPr>
        <w:t xml:space="preserve">here are many processes and best practices that have been implemented as a result of the need to meet the duties under the Civil Contingencies Act 2004, these practices support the effectiveness of the Act when it comes to improving preparedness across the United Kingdom. </w:t>
      </w:r>
    </w:p>
    <w:p w14:paraId="6F690334"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One of the pivotal structures that aid in the effectiveness of the Act are the Local Resilience Forums, these are essential structures to facilitate Category One Responders to meet their duties under the Civil Contingencies Act 2004. ‘The role of Local Resilience Forums: A reference document’, Cabinet Office (2013) is further guidance which aims to provide clarification on the roles of the LRFs in relation to the duties within the Civil Contingencies Act 2004 and the Emergency Response &amp; Recovery (2013) guidance. This document states “duties under the CCA rest with responders but can be exercised through the LRF” (Cabinet Office, 2013).</w:t>
      </w:r>
    </w:p>
    <w:p w14:paraId="2AACCA58"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The LRFs allow for joint, interoperable working from the very early stages of planning and preparing, right through to response and recovery of emergencies at the local </w:t>
      </w:r>
      <w:r w:rsidRPr="00B74EF4">
        <w:rPr>
          <w:rFonts w:ascii="Segoe UI" w:hAnsi="Segoe UI" w:cs="Segoe UI"/>
          <w:sz w:val="24"/>
          <w:szCs w:val="24"/>
        </w:rPr>
        <w:lastRenderedPageBreak/>
        <w:t xml:space="preserve">level and feed into the wider potential Government level preparedness and response.  Each LRF is aligned to the relevant police force area and within each one sits a variety of workstreams and subgroups, each aiming to bring together a collection of responders from all categories, to co-operate and co-ordinate in order to ensure robust multi-agency plans are developed which allow for interoperable working and minimise any potential barriers to responding to and recovering from an emergency or incident. </w:t>
      </w:r>
    </w:p>
    <w:p w14:paraId="41DB4D89"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One of these key work streams which addresses the Civil Contingencies Act duty of undertaking risk assessments and feeds into individual organisations planning and preparedness is risk management. The United Kingdom has a National Risk Register, and more specifically within Wales there is The Wales Risk Register, which is derived from the national one, with a focus on specific risks found in Wales, whether that is due to the environment (coal spoil tips) or infrastructure (A55 tunnels in North Wales). This document provides an “evidence base and assessment of civil protection risks” (Lalley L. Wales Risk Register, 2024 p.3), which allows organisations and LRF partnerships to anticipate likely emergency scenarios that will affect their area in order to prepare and plan for them, both individually and through multi-agency collaboration, thus improving emergency preparedness at all levels across the United Kingdom. </w:t>
      </w:r>
    </w:p>
    <w:p w14:paraId="153A6A1F"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Each LRF also undertakes work with representatives from various agencies to develop a community risk register, aligned with the LRF area. Emergency Preparedness (2012 p.30) states that Community Risk Registers “serve as a means for ensuring a common starting point for responders in their approach to integrated emergency management”, this means that by undertaking work to review and assess the risks relevant to the local community, stages one and two of the IEM are addressed and partner organisations can then go on to develop appropriate plans to mitigate, prepare and respond to each potential emergency scenario. To aid in this process and the prioritisation of workstreams and finances, the Risk Registers include a rating, highlighting risks as either high, medium or low. The development and publication of community risk registers also provide an opportunity to enhance community resilience. Local communities and individuals have a pivotal role to play in emergency preparedness and response in their local area, having better prepared communities can ease the pressure faced by the organisations and services which will need to respond to emergencies, allowing them to focus their resources on those who are most vulnerable.   </w:t>
      </w:r>
    </w:p>
    <w:p w14:paraId="7D05E992"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For many organisations, the IEM’s focus on common consequences of emergencies occurring, allows for overarching capability gaps and subsequent requirements to address these to be identified, developed and implemented. “As far as possible, flexible, generic plans may be developed to deliver the response capabilities for </w:t>
      </w:r>
      <w:r w:rsidRPr="00B74EF4">
        <w:rPr>
          <w:rFonts w:ascii="Segoe UI" w:hAnsi="Segoe UI" w:cs="Segoe UI"/>
          <w:sz w:val="24"/>
          <w:szCs w:val="24"/>
        </w:rPr>
        <w:lastRenderedPageBreak/>
        <w:t xml:space="preserve">managing these consequences, whatever causes them” (Cabinet Office. Emergency Preparedness, 2012 p.17).  There are many potential causes of emergencies occurring, but for an ambulance service specifically, the common consequence of the emergency, whatever the cause, would be patients, and so overall focus is on the capability and capacity to triage, treat and transport these patients to places of definitive care. Of course, there are circumstances where care gaps can be identified and so specialist capabilities also need to be developed to meet these needs, in particular, around hazardous scenarios such as marauding terrorist attacks, confined spaces and hazardous materials. These common consequences often span multiple agencies, for example an incident generating mass casualties or mass fatalities would impact several NHS agencies as well as the police and fire services through the interoperable elements of responding to the emergency in order to save life and reduce harm. </w:t>
      </w:r>
    </w:p>
    <w:p w14:paraId="66DE7CB9" w14:textId="77777777" w:rsidR="00B74EF4" w:rsidRPr="00B74EF4" w:rsidRDefault="00B74EF4" w:rsidP="00B74EF4">
      <w:pPr>
        <w:rPr>
          <w:rFonts w:ascii="Segoe UI" w:hAnsi="Segoe UI" w:cs="Segoe UI"/>
          <w:b/>
          <w:bCs/>
          <w:color w:val="FF0000"/>
          <w:sz w:val="24"/>
          <w:szCs w:val="24"/>
        </w:rPr>
      </w:pPr>
      <w:r w:rsidRPr="00B74EF4">
        <w:rPr>
          <w:rFonts w:ascii="Segoe UI" w:hAnsi="Segoe UI" w:cs="Segoe UI"/>
          <w:sz w:val="24"/>
          <w:szCs w:val="24"/>
        </w:rPr>
        <w:t xml:space="preserve">“Every plan maintained by a general Category 1 responder under section 2(1)(c) or (d) must include the provision for the carrying out of exercising for the purpose of ensuring that the plan is effective” (The Civil Contingencies Act 2004 (Contingency Planning) Regulations, 2005). In order to identify whether or not a plan is effective once it has been used during an exercise or an incident, learning needs to be identified. A process that is commonly used to aid category one and two responders to meet their duties under the act is joint multi-agency debriefing and learning, following both an incident or exercise. This allows for the identification of learning and good practice to ensure that organisations are continuously learning, improving and adapting in both the preparedness and response phases. This process is supported by non-statutory and non-mandatory ‘Lessons Management Best Practice Guidance’ issued by the UK Resilience Academy (2024), with the aim of complementing existing legislation. To further support the process of identifying lessons, sharing them and ensuring that they are learnt from, Joint Organisational Learning online (JOL) has been developed following the ‘Review of Persistent Lessons Identified Relating to Interoperability from Emergencies and Major Incidents since 1986’ (2013), which investigated recurring failures at major incidents and emergencies and identified that there was a failure to learn lessons. JOL is accessed via Resilience Direct and provides a platform to share, identify and learn from exercises and incidents that have taken place across a variety of organisations and disciplines. This allows for learning through lessons identified, but also areas of notable and best practice which positively improved the interoperability of responding agencies. By requiring category one responders to undertake exercising and identify learning through these, the Civil Contingencies Act is further enhancing the effectiveness of emergency preparedness and the subsequent emergency response.  </w:t>
      </w:r>
    </w:p>
    <w:p w14:paraId="0063BAA0"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lastRenderedPageBreak/>
        <w:t xml:space="preserve">The National Preparedness Commission, in their independent review of the Civil Contingencies Act 2004 and its supporting arrangements (2022 p.10) states that the Civil Contingencies Act 2004 and the arrangements which were transformed and introduced as a result of it has “served the UK well over the past 18 years. They provide a sound basic framework for emergency preparedness, response and recovery”. Through the various arrangements, processes and evidence that I have looked at during this assignment, there is an argument that category one and two responders do deliver against the duties set out within the Act, however the way that this is achieved, and therefore the degree to which this is done effectively can vary between category one and two responders, due to the frequency that they work together. In the case of some category two responders, this may be less frequent. </w:t>
      </w:r>
    </w:p>
    <w:p w14:paraId="0CFB3171"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The volume of various supporting guidance documents, as well as evidence and recommendations from multiple inquiries over the years supports the view that the Act alone is not sufficient in ensuring that these duties are met through a co-ordinated and joint approach across all agencies and organisations.  </w:t>
      </w:r>
    </w:p>
    <w:p w14:paraId="1BA48110"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As highlighted in the National Preparedness Commissions review of the Civil Contingencies Act 2004 and its supporting arrangements (2022, p.10), statutory bodies and resilience partnerships face challenges with “very limited levels of resourcing”.  Capacity, resourcing and finances pose a significant challenge across responder organisations at all levels, both locally and nationally. This naturally has an impact on the approach to emergency preparedness within these agencies. </w:t>
      </w:r>
    </w:p>
    <w:p w14:paraId="10F80FD5"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Another issue, likely exacerbated by the limitations in resourcing and one which is highlighted through the Manchester Arena inquiry (2022), is inconsistencies in attendance at LRF meetings by various responding organisations. Recommendations 99 through to 101 relate to improving, monitoring and compelling attendance of representatives of both category one and two responders at all Local Resilience Forum meetings. Recommendation 101 states “The Home Office should consider empowering the leadership of local resilience forums to compel the attendance of a senior representative of its category 1 and category 2 responders at all local resilience forum meetings” Manchester Arena Inquiry, 2022 p.154). This supports the view that there is a requirement for more stringent and robust oversight of attendance at the local and national level, consistent attendance by all responders would allow for better engagement, coordination and cooperation between agencies and improve the overall compliance with the Civil Contingencies Act 2004. </w:t>
      </w:r>
    </w:p>
    <w:p w14:paraId="17841E7C"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Emergency Response and Recovery (Cabinet Office, 2013) is the non-statutory guidance, where command and control arrangements are set out, the way in which organisations apply this varies. Having statutory guidance that sets out how each responding organisation achieves their roles and responsibilities would allow for </w:t>
      </w:r>
      <w:r w:rsidRPr="00B74EF4">
        <w:rPr>
          <w:rFonts w:ascii="Segoe UI" w:hAnsi="Segoe UI" w:cs="Segoe UI"/>
          <w:sz w:val="24"/>
          <w:szCs w:val="24"/>
        </w:rPr>
        <w:lastRenderedPageBreak/>
        <w:t>greater consistency and inter-agency collaboration, thus preventing many of the points of learning that have been identified through various inquiries, including the Manchester Arena Inquiry, Volume 2: Emergency Response report (2022). Recommendation 52 highlights that despite the Civil Contingencies Act and the JESIP Principles of joint working (2024), inconsistencies in the co-location of commanders was clearly an issue.</w:t>
      </w:r>
    </w:p>
    <w:p w14:paraId="42922A70"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Another set of guidance that supports the implementation and provision of command, control and co-ordination is the JESIP principles (2024), which encourage Commanders at all levels to “co-locate, communicate, co-ordinate, jointly understand risk and have a shared situational awareness”. These principles are not mandated, legislative or statutory guidance, but best practice that has been adopted by many agencies, the key issue here though, is that due to them not being legislative, not all responding agencies have fully adopted them into everyday practices across all areas of the business and so their success and benefit is limited. </w:t>
      </w:r>
    </w:p>
    <w:p w14:paraId="7C72F365"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A key area for improvement in the Civil Contingencies Act 2004 is linked to the duty to risk assess. Whilst there are many processes in place to undertake this task and use the findings to inform contingency planning, the National Preparedness Commission (2022) highlighted the lack of focus on “risk reduction activities” with an “insufficient emphasis on preventing emergencies arising in the first place”. The promotion of an improved understanding of risk prevention under various existing legislation, separate to the Civil Contingencies Act 2004, would enable emergency planners engaged in LRF preparedness activities to acknowledge and contextualise existing risk prevention activities and incorporate this into emergency preparedness arrangements. </w:t>
      </w:r>
    </w:p>
    <w:p w14:paraId="60F07701"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This would further enhance the resilience of our local communities. In the long term, an argument could be made that proactive prevention instead of reaction and responding to emergencies would be less time, capacity and resource intensive for responding organisations and statutory bodies at all levels. </w:t>
      </w:r>
    </w:p>
    <w:p w14:paraId="04125163"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Prevention is addressed under phase 3 of the IEM, however this is not a specific duty under the Civil Contingencies Act 2004, nor is it covered within its statutory and non-statutory supporting guidance. </w:t>
      </w:r>
    </w:p>
    <w:p w14:paraId="4DC8E548"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Another key limitation of the Civil Contingencies Act 2004 is the separation of organisations into category one and two responders, and the limited inclusion of voluntary organisations altogether. This separation does not align with what a truly effective response to and recovery from an emergency would look like two decades on from the introduction of the Act. The response to emergencies in recent years, including the Covid-19 Pandemic evidences the wealth of support, knowledge and skills that local voluntary and community organisations can provide, to that end, </w:t>
      </w:r>
      <w:r w:rsidRPr="00B74EF4">
        <w:rPr>
          <w:rFonts w:ascii="Segoe UI" w:hAnsi="Segoe UI" w:cs="Segoe UI"/>
          <w:sz w:val="24"/>
          <w:szCs w:val="24"/>
        </w:rPr>
        <w:lastRenderedPageBreak/>
        <w:t xml:space="preserve">there could be an argument that “voluntary and community sector organisations should have true partnership status” (National Preparedness Commission, 2022) when it comes to emergency preparedness and civil protection, particularly at the local level, where we see a thirst to come together and provide community support in times of crisis. </w:t>
      </w:r>
    </w:p>
    <w:p w14:paraId="2F10DC57"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This disparity in co-operation and investment extends into the wider group of category two responders. “Although engagement by some utility sectors remains good, in others it has eroded over time, with damaging impacts on the quality of risk assessments and emergency planning and hence the response to emergencies” (National Preparedness Commission, 2022), this supports the view that there are inconsistencies in involvement at the local level, impacting on the ability to effectively prepare for and respond to emergencies across various sectors. Increasing the responsibilities and duties that are placed upon these responders, or indeed including them within the full set of civil protection duties, placed upon category one responders, would allow for a more holistic approach to emergency preparedness that fully incorporates the wide range of services and organisations that are required to fully manage an emergency situation in today’s society. The same could be said when it comes to imposing these duties on the UK and devolved Governments, to ensure that consistency and cohesion extends across all levels. </w:t>
      </w:r>
    </w:p>
    <w:p w14:paraId="34E1BFA3"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The aim of this assignment was to examine and evidence the</w:t>
      </w:r>
      <w:r w:rsidRPr="00B74EF4">
        <w:rPr>
          <w:rFonts w:ascii="Segoe UI" w:hAnsi="Segoe UI" w:cs="Segoe UI"/>
          <w:b/>
          <w:bCs/>
          <w:sz w:val="24"/>
          <w:szCs w:val="24"/>
        </w:rPr>
        <w:t xml:space="preserve"> </w:t>
      </w:r>
      <w:r w:rsidRPr="00B74EF4">
        <w:rPr>
          <w:rFonts w:ascii="Segoe UI" w:hAnsi="Segoe UI" w:cs="Segoe UI"/>
          <w:sz w:val="24"/>
          <w:szCs w:val="24"/>
        </w:rPr>
        <w:t xml:space="preserve">extent that the Civil Contingencies Act 2004 and its accompanying statutory and non-statutory guidance has transformed the landscape of emergency preparedness and civil protection in the United Kingdom. A wide and varied range of resources have been examined in order to analyse the effectiveness of the Act and evidence various arguments within this assignment. </w:t>
      </w:r>
    </w:p>
    <w:p w14:paraId="5381955F"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The duties under the Act are arguably more relevant in today’s society than ever before, however “the world has changed over the past 20 years. So has business, the economy and society. They will change much further over the next 20 years. In particular, the risk picture the UK faces is less benign now than in 2004 and is likely to get worse” (National Preparedness Commission, P.9, 2022). The causation of some of the emergencies we are now facing have shifted over the past 20 years.</w:t>
      </w:r>
    </w:p>
    <w:p w14:paraId="2D4C5074"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The Cabinet Office Civil Contingencies Post Implementation Review 2022, states that the Act still “broadly achieves the objectives envisaged when it was created” however, the review also identified evidence based recommendations that “could drive further benefits in terms of standardising best practice and performance” which supports the view, that whilst the duties under the Act are still relevant in 2025, and the initial implementation of the Civil Contingencies Act 2004 did indeed alter and shape Emergency Preparedness and Civil Protection in the United Kingdom, there is </w:t>
      </w:r>
      <w:r w:rsidRPr="00B74EF4">
        <w:rPr>
          <w:rFonts w:ascii="Segoe UI" w:hAnsi="Segoe UI" w:cs="Segoe UI"/>
          <w:sz w:val="24"/>
          <w:szCs w:val="24"/>
        </w:rPr>
        <w:lastRenderedPageBreak/>
        <w:t xml:space="preserve">still a need for modernisation and amendments to either the Act or it’s supporting guidance to ensure that it aligns with the modern day threats and risks as well as providing a greater level of standardisation and consistency across Responding Organisations. </w:t>
      </w:r>
    </w:p>
    <w:p w14:paraId="63B73E0B" w14:textId="77777777" w:rsidR="00B74EF4" w:rsidRPr="00B74EF4" w:rsidRDefault="00B74EF4" w:rsidP="00B74EF4">
      <w:pPr>
        <w:rPr>
          <w:rFonts w:ascii="Segoe UI" w:hAnsi="Segoe UI" w:cs="Segoe UI"/>
          <w:color w:val="4EA72E" w:themeColor="accent6"/>
          <w:sz w:val="24"/>
          <w:szCs w:val="24"/>
        </w:rPr>
      </w:pPr>
      <w:r w:rsidRPr="00B74EF4">
        <w:rPr>
          <w:rFonts w:ascii="Segoe UI" w:hAnsi="Segoe UI" w:cs="Segoe UI"/>
          <w:sz w:val="24"/>
          <w:szCs w:val="24"/>
        </w:rPr>
        <w:t>Time and time again, we identify learning and failures through debriefing and inquiries, which the Act and its accompanying statutory and non-statutory guidance fails to appropriately address.  As highlighted in the national preparedness commissions independent review of the CCA 2004 and its supporting arrangements “much of the key resilience doctrine and guidance has not been updated for a decade, especially the two major pieces of statutory and non-statutory guidance accompanying the Act: Emergency Preparedness and Emergency Response and Recovery” (National Preparedness Commission (2022)).</w:t>
      </w:r>
      <w:r w:rsidRPr="00B74EF4">
        <w:t xml:space="preserve"> </w:t>
      </w:r>
    </w:p>
    <w:p w14:paraId="07D405EA"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The Civil Contingencies Act was fit for purpose when introduced in 2004 and the fundamentals behind it are still valid, however in order to remain effective both the Act and it’s various pieces of accompanying statutory and non-statutory guidance needs to be regularly reviewed and updated following the identification of required amendments or improvements to ensure that it continues to be relevant and address the threats, risks and needs that communities across the country face in 2025. During the last post-implementation review, which was undertaken in 2022, the need for </w:t>
      </w:r>
      <w:r w:rsidRPr="00B74EF4">
        <w:rPr>
          <w:rFonts w:ascii="Segoe UI" w:hAnsi="Segoe UI" w:cs="Segoe UI"/>
          <w:sz w:val="28"/>
          <w:szCs w:val="28"/>
        </w:rPr>
        <w:t>“</w:t>
      </w:r>
      <w:r w:rsidRPr="00B74EF4">
        <w:rPr>
          <w:rFonts w:ascii="Segoe UI" w:hAnsi="Segoe UI" w:cs="Segoe UI"/>
          <w:sz w:val="24"/>
          <w:szCs w:val="24"/>
        </w:rPr>
        <w:t xml:space="preserve">considering future needs of UK emergency preparedness” (Cabinet Office (2022)) was highlighted. </w:t>
      </w:r>
    </w:p>
    <w:p w14:paraId="6BF39448"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Regardless of individual opinion around how effective the Civil Contingencies Act 2004 has been to improve preparedness across the United Kingdom, there is no denying that it has indeed transformed emergency preparedness and civil protection in the United Kingdom since its publication, along with its supporting statutory and non-statutory guidance. Twenty years on, and the evidence strongly supports the view that there is room for improvement and the requirement for modernisation of the Act so that it continues to meet the needs of emergency preparedness and civil protection in the United Kingdom as we continue to move through the 21</w:t>
      </w:r>
      <w:r w:rsidRPr="00B74EF4">
        <w:rPr>
          <w:rFonts w:ascii="Segoe UI" w:hAnsi="Segoe UI" w:cs="Segoe UI"/>
          <w:sz w:val="24"/>
          <w:szCs w:val="24"/>
          <w:vertAlign w:val="superscript"/>
        </w:rPr>
        <w:t>st</w:t>
      </w:r>
      <w:r w:rsidRPr="00B74EF4">
        <w:rPr>
          <w:rFonts w:ascii="Segoe UI" w:hAnsi="Segoe UI" w:cs="Segoe UI"/>
          <w:sz w:val="24"/>
          <w:szCs w:val="24"/>
        </w:rPr>
        <w:t xml:space="preserve"> Century.</w:t>
      </w:r>
    </w:p>
    <w:p w14:paraId="7A8C89C9" w14:textId="77777777" w:rsidR="00B74EF4" w:rsidRPr="00B74EF4" w:rsidRDefault="00B74EF4" w:rsidP="00B74EF4">
      <w:pPr>
        <w:rPr>
          <w:rFonts w:ascii="Segoe UI" w:hAnsi="Segoe UI" w:cs="Segoe UI"/>
          <w:sz w:val="24"/>
          <w:szCs w:val="24"/>
        </w:rPr>
      </w:pPr>
    </w:p>
    <w:p w14:paraId="7C8ED921" w14:textId="77777777" w:rsidR="00B74EF4" w:rsidRPr="00B74EF4" w:rsidRDefault="00B74EF4" w:rsidP="00B74EF4">
      <w:pPr>
        <w:rPr>
          <w:rFonts w:ascii="Segoe UI" w:hAnsi="Segoe UI" w:cs="Segoe UI"/>
          <w:b/>
          <w:bCs/>
          <w:sz w:val="24"/>
          <w:szCs w:val="24"/>
        </w:rPr>
      </w:pPr>
      <w:r w:rsidRPr="00B74EF4">
        <w:rPr>
          <w:rFonts w:ascii="Segoe UI" w:hAnsi="Segoe UI" w:cs="Segoe UI"/>
          <w:b/>
          <w:bCs/>
          <w:sz w:val="24"/>
          <w:szCs w:val="24"/>
        </w:rPr>
        <w:br w:type="page"/>
      </w:r>
    </w:p>
    <w:p w14:paraId="0F2CC399" w14:textId="77777777" w:rsidR="00B74EF4" w:rsidRPr="00B74EF4" w:rsidRDefault="00B74EF4" w:rsidP="00B74EF4">
      <w:pPr>
        <w:rPr>
          <w:rFonts w:ascii="Segoe UI" w:hAnsi="Segoe UI" w:cs="Segoe UI"/>
          <w:b/>
          <w:bCs/>
          <w:sz w:val="24"/>
          <w:szCs w:val="24"/>
        </w:rPr>
      </w:pPr>
      <w:r w:rsidRPr="00B74EF4">
        <w:rPr>
          <w:rFonts w:ascii="Segoe UI" w:hAnsi="Segoe UI" w:cs="Segoe UI"/>
          <w:b/>
          <w:bCs/>
          <w:sz w:val="24"/>
          <w:szCs w:val="24"/>
        </w:rPr>
        <w:lastRenderedPageBreak/>
        <w:t>REFERENCES</w:t>
      </w:r>
    </w:p>
    <w:p w14:paraId="43587AC1"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Barrell, J. (2006) ‘’Tolley's Handbook of Disaster and Emergency Management’. Taylor &amp; Francis. 3rd Edition. P.14.</w:t>
      </w:r>
    </w:p>
    <w:p w14:paraId="346A2477" w14:textId="77777777" w:rsidR="00B74EF4" w:rsidRPr="00B74EF4" w:rsidRDefault="00B74EF4" w:rsidP="00B74EF4">
      <w:pPr>
        <w:rPr>
          <w:rFonts w:ascii="Segoe UI" w:hAnsi="Segoe UI" w:cs="Segoe UI"/>
          <w:i/>
          <w:iCs/>
          <w:sz w:val="24"/>
          <w:szCs w:val="24"/>
        </w:rPr>
      </w:pPr>
      <w:r w:rsidRPr="00B74EF4">
        <w:rPr>
          <w:rFonts w:ascii="Segoe UI" w:hAnsi="Segoe UI" w:cs="Segoe UI"/>
          <w:sz w:val="24"/>
          <w:szCs w:val="24"/>
        </w:rPr>
        <w:t xml:space="preserve">Business Continuity Institute (2023) ‘Good Practice Guidelines’. Edition 7.0, p. 16. </w:t>
      </w:r>
      <w:r w:rsidRPr="00B74EF4">
        <w:rPr>
          <w:rFonts w:ascii="Segoe UI" w:hAnsi="Segoe UI" w:cs="Segoe UI"/>
          <w:i/>
          <w:iCs/>
          <w:sz w:val="24"/>
          <w:szCs w:val="24"/>
        </w:rPr>
        <w:t xml:space="preserve">Note: This document is not open source. </w:t>
      </w:r>
    </w:p>
    <w:p w14:paraId="6705C7B7"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(2004), The Civil Contingencies Act 2004. Available at:  </w:t>
      </w:r>
      <w:hyperlink r:id="rId5" w:history="1">
        <w:r w:rsidRPr="00B74EF4">
          <w:rPr>
            <w:rFonts w:ascii="Segoe UI" w:hAnsi="Segoe UI" w:cs="Segoe UI"/>
            <w:color w:val="467886" w:themeColor="hyperlink"/>
            <w:sz w:val="24"/>
            <w:szCs w:val="24"/>
            <w:u w:val="single"/>
          </w:rPr>
          <w:t>https://www.legislation.gov.uk/uk</w:t>
        </w:r>
        <w:r w:rsidRPr="00B74EF4">
          <w:rPr>
            <w:rFonts w:ascii="Segoe UI" w:hAnsi="Segoe UI" w:cs="Segoe UI"/>
            <w:color w:val="467886" w:themeColor="hyperlink"/>
            <w:sz w:val="24"/>
            <w:szCs w:val="24"/>
            <w:u w:val="single"/>
          </w:rPr>
          <w:t>p</w:t>
        </w:r>
        <w:r w:rsidRPr="00B74EF4">
          <w:rPr>
            <w:rFonts w:ascii="Segoe UI" w:hAnsi="Segoe UI" w:cs="Segoe UI"/>
            <w:color w:val="467886" w:themeColor="hyperlink"/>
            <w:sz w:val="24"/>
            <w:szCs w:val="24"/>
            <w:u w:val="single"/>
          </w:rPr>
          <w:t>ga/2004/36/contents</w:t>
        </w:r>
      </w:hyperlink>
      <w:r w:rsidRPr="00B74EF4">
        <w:rPr>
          <w:rFonts w:ascii="Segoe UI" w:hAnsi="Segoe UI" w:cs="Segoe UI"/>
          <w:sz w:val="24"/>
          <w:szCs w:val="24"/>
        </w:rPr>
        <w:t xml:space="preserve"> [Accessed 1 December 2025].</w:t>
      </w:r>
    </w:p>
    <w:p w14:paraId="63CB9331"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(2004), The Civil Contingencies Act 2004: Explanatory Notes. Available at: </w:t>
      </w:r>
      <w:hyperlink r:id="rId6" w:history="1">
        <w:r w:rsidRPr="00B74EF4">
          <w:rPr>
            <w:rFonts w:ascii="Segoe UI" w:hAnsi="Segoe UI" w:cs="Segoe UI"/>
            <w:color w:val="467886" w:themeColor="hyperlink"/>
            <w:sz w:val="24"/>
            <w:szCs w:val="24"/>
            <w:u w:val="single"/>
          </w:rPr>
          <w:t>https://www.legislation.gov.uk/ukpga/2004/36/notes</w:t>
        </w:r>
      </w:hyperlink>
      <w:r w:rsidRPr="00B74EF4">
        <w:rPr>
          <w:rFonts w:ascii="Segoe UI" w:hAnsi="Segoe UI" w:cs="Segoe UI"/>
          <w:sz w:val="24"/>
          <w:szCs w:val="24"/>
        </w:rPr>
        <w:t xml:space="preserve"> [Accessed 1 December 2025].</w:t>
      </w:r>
    </w:p>
    <w:p w14:paraId="13DAA53B"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(2005), The Civil Contingencies Act 2004 (Contingency Planning) Regulations. Available at: </w:t>
      </w:r>
      <w:hyperlink r:id="rId7" w:history="1">
        <w:r w:rsidRPr="00B74EF4">
          <w:rPr>
            <w:rFonts w:ascii="Segoe UI" w:hAnsi="Segoe UI" w:cs="Segoe UI"/>
            <w:color w:val="467886" w:themeColor="hyperlink"/>
            <w:sz w:val="24"/>
            <w:szCs w:val="24"/>
            <w:u w:val="single"/>
          </w:rPr>
          <w:t>https://www.legislation.gov.uk/uksi/2005/2042/regulation/25</w:t>
        </w:r>
      </w:hyperlink>
      <w:r w:rsidRPr="00B74EF4">
        <w:rPr>
          <w:rFonts w:ascii="Segoe UI" w:hAnsi="Segoe UI" w:cs="Segoe UI"/>
          <w:sz w:val="24"/>
          <w:szCs w:val="24"/>
        </w:rPr>
        <w:t xml:space="preserve"> [Accessed 4 December 2025].</w:t>
      </w:r>
    </w:p>
    <w:p w14:paraId="46018786"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(2012), Chapter 2 Co-operation Revision to Emergency Preparedness. Available at: </w:t>
      </w:r>
      <w:hyperlink r:id="rId8" w:history="1">
        <w:r w:rsidRPr="00B74EF4">
          <w:rPr>
            <w:rFonts w:ascii="Segoe UI" w:hAnsi="Segoe UI" w:cs="Segoe UI"/>
            <w:color w:val="467886" w:themeColor="hyperlink"/>
            <w:sz w:val="24"/>
            <w:szCs w:val="24"/>
            <w:u w:val="single"/>
          </w:rPr>
          <w:t>https://assets.publishing.service.gov.uk/media/5a79b54b40f0b63d72fc7ddd/Chapter-2-Co-operation-revised-March-2012.pdf</w:t>
        </w:r>
      </w:hyperlink>
      <w:r w:rsidRPr="00B74EF4">
        <w:rPr>
          <w:rFonts w:ascii="Segoe UI" w:hAnsi="Segoe UI" w:cs="Segoe UI"/>
          <w:sz w:val="24"/>
          <w:szCs w:val="24"/>
        </w:rPr>
        <w:t xml:space="preserve"> [Accessed 2 December 2025].</w:t>
      </w:r>
    </w:p>
    <w:p w14:paraId="43B8F745"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(2012), Chapter 4 Local responder risk assessment duty, Revision to Emergency Preparedness, P17. Available at: </w:t>
      </w:r>
    </w:p>
    <w:p w14:paraId="29F2F8DF" w14:textId="77777777" w:rsidR="00B74EF4" w:rsidRPr="00B74EF4" w:rsidRDefault="00B74EF4" w:rsidP="00B74EF4">
      <w:pPr>
        <w:rPr>
          <w:rFonts w:ascii="Segoe UI" w:hAnsi="Segoe UI" w:cs="Segoe UI"/>
          <w:sz w:val="24"/>
          <w:szCs w:val="24"/>
        </w:rPr>
      </w:pPr>
      <w:hyperlink r:id="rId9" w:history="1">
        <w:r w:rsidRPr="00B74EF4">
          <w:rPr>
            <w:rFonts w:ascii="Segoe UI" w:hAnsi="Segoe UI" w:cs="Segoe UI"/>
            <w:color w:val="467886" w:themeColor="hyperlink"/>
            <w:sz w:val="24"/>
            <w:szCs w:val="24"/>
            <w:u w:val="single"/>
          </w:rPr>
          <w:t>https://assets.publishing.service.gov.uk/media/5a789647e5274a3b4807f079/Chapter-4-Local_20Responder-Risk-assessment-duty-revised-March.pdf</w:t>
        </w:r>
      </w:hyperlink>
      <w:r w:rsidRPr="00B74EF4">
        <w:rPr>
          <w:rFonts w:ascii="Segoe UI" w:hAnsi="Segoe UI" w:cs="Segoe UI"/>
          <w:sz w:val="24"/>
          <w:szCs w:val="24"/>
        </w:rPr>
        <w:t xml:space="preserve"> [Accessed 4 December 2025]</w:t>
      </w:r>
    </w:p>
    <w:p w14:paraId="69423E94"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(2012), Chapter 4 Local responder risk assessment duty, Revision to Emergency Preparedness, P. 30. Available at: </w:t>
      </w:r>
      <w:hyperlink r:id="rId10" w:history="1">
        <w:r w:rsidRPr="00B74EF4">
          <w:rPr>
            <w:rFonts w:ascii="Segoe UI" w:hAnsi="Segoe UI" w:cs="Segoe UI"/>
            <w:color w:val="467886" w:themeColor="hyperlink"/>
            <w:sz w:val="24"/>
            <w:szCs w:val="24"/>
            <w:u w:val="single"/>
          </w:rPr>
          <w:t>https://assets.publishing.service.gov.uk/media/5a789647e5274a3b4807f079/Chapter-4-Local_20Responder-Risk-assessment-duty-revised-March.pdf</w:t>
        </w:r>
      </w:hyperlink>
      <w:r w:rsidRPr="00B74EF4">
        <w:rPr>
          <w:rFonts w:ascii="Segoe UI" w:hAnsi="Segoe UI" w:cs="Segoe UI"/>
          <w:sz w:val="24"/>
          <w:szCs w:val="24"/>
        </w:rPr>
        <w:t xml:space="preserve"> [Accessed 4 December 2025].</w:t>
      </w:r>
    </w:p>
    <w:p w14:paraId="2D679D1E"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(2012), Emergency Preparedness.  Available at:  </w:t>
      </w:r>
      <w:hyperlink r:id="rId11" w:history="1">
        <w:r w:rsidRPr="00B74EF4">
          <w:rPr>
            <w:rFonts w:ascii="Segoe UI" w:hAnsi="Segoe UI" w:cs="Segoe UI"/>
            <w:color w:val="467886" w:themeColor="hyperlink"/>
            <w:sz w:val="24"/>
            <w:szCs w:val="24"/>
            <w:u w:val="single"/>
          </w:rPr>
          <w:t>https://assets.publishing.service.gov.uk/media/5a74fc51ed915d3c7d5297f4/Chapter-1-Introduction_amends_16042012.pdf</w:t>
        </w:r>
      </w:hyperlink>
      <w:r w:rsidRPr="00B74EF4">
        <w:rPr>
          <w:rFonts w:ascii="Segoe UI" w:hAnsi="Segoe UI" w:cs="Segoe UI"/>
          <w:sz w:val="24"/>
          <w:szCs w:val="24"/>
        </w:rPr>
        <w:t xml:space="preserve">  [Accessed 2 December 2025].</w:t>
      </w:r>
    </w:p>
    <w:p w14:paraId="7B034A35"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(2013), Emergency Response and Recovery. Available at: </w:t>
      </w:r>
      <w:hyperlink r:id="rId12" w:history="1">
        <w:r w:rsidRPr="00B74EF4">
          <w:rPr>
            <w:rFonts w:ascii="Segoe UI" w:hAnsi="Segoe UI" w:cs="Segoe UI"/>
            <w:color w:val="467886" w:themeColor="hyperlink"/>
            <w:sz w:val="24"/>
            <w:szCs w:val="24"/>
            <w:u w:val="single"/>
          </w:rPr>
          <w:t>https://assets.publishing.service.gov.uk/government/uploads/system/uploads/attach</w:t>
        </w:r>
        <w:r w:rsidRPr="00B74EF4">
          <w:rPr>
            <w:rFonts w:ascii="Segoe UI" w:hAnsi="Segoe UI" w:cs="Segoe UI"/>
            <w:color w:val="467886" w:themeColor="hyperlink"/>
            <w:sz w:val="24"/>
            <w:szCs w:val="24"/>
            <w:u w:val="single"/>
          </w:rPr>
          <w:lastRenderedPageBreak/>
          <w:t>ment_data/file/253488/Emergency_Response_and_Recovery_5th_edition_October_2013.pdf</w:t>
        </w:r>
      </w:hyperlink>
      <w:r w:rsidRPr="00B74EF4">
        <w:rPr>
          <w:rFonts w:ascii="Segoe UI" w:hAnsi="Segoe UI" w:cs="Segoe UI"/>
          <w:sz w:val="24"/>
          <w:szCs w:val="24"/>
        </w:rPr>
        <w:t xml:space="preserve"> [Accessed 2 December 2025].</w:t>
      </w:r>
    </w:p>
    <w:p w14:paraId="4842C9F1"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(2013), Preparation and planning for emergencies: responsibilities of responder agencies and others. Available at: </w:t>
      </w:r>
      <w:hyperlink r:id="rId13" w:history="1">
        <w:r w:rsidRPr="00B74EF4">
          <w:rPr>
            <w:rFonts w:ascii="Segoe UI" w:hAnsi="Segoe UI" w:cs="Segoe UI"/>
            <w:color w:val="467886" w:themeColor="hyperlink"/>
            <w:sz w:val="24"/>
            <w:szCs w:val="24"/>
            <w:u w:val="single"/>
          </w:rPr>
          <w:t>https://www.gov.uk/guidance/preparation-and-planning-for-emergencies-responsibilities-of-respond</w:t>
        </w:r>
        <w:r w:rsidRPr="00B74EF4">
          <w:rPr>
            <w:rFonts w:ascii="Segoe UI" w:hAnsi="Segoe UI" w:cs="Segoe UI"/>
            <w:color w:val="467886" w:themeColor="hyperlink"/>
            <w:sz w:val="24"/>
            <w:szCs w:val="24"/>
            <w:u w:val="single"/>
          </w:rPr>
          <w:t>e</w:t>
        </w:r>
        <w:r w:rsidRPr="00B74EF4">
          <w:rPr>
            <w:rFonts w:ascii="Segoe UI" w:hAnsi="Segoe UI" w:cs="Segoe UI"/>
            <w:color w:val="467886" w:themeColor="hyperlink"/>
            <w:sz w:val="24"/>
            <w:szCs w:val="24"/>
            <w:u w:val="single"/>
          </w:rPr>
          <w:t>r-agencies-and-others</w:t>
        </w:r>
      </w:hyperlink>
      <w:r w:rsidRPr="00B74EF4">
        <w:rPr>
          <w:rFonts w:ascii="Segoe UI" w:hAnsi="Segoe UI" w:cs="Segoe UI"/>
          <w:sz w:val="24"/>
          <w:szCs w:val="24"/>
        </w:rPr>
        <w:t xml:space="preserve"> [Accessed 2 December 2025].</w:t>
      </w:r>
    </w:p>
    <w:p w14:paraId="4549F19A"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(2013), The role of Local Resilience Forums: A reference document. Available at: </w:t>
      </w:r>
      <w:hyperlink r:id="rId14" w:history="1">
        <w:r w:rsidRPr="00B74EF4">
          <w:rPr>
            <w:rFonts w:ascii="Segoe UI" w:hAnsi="Segoe UI" w:cs="Segoe UI"/>
            <w:color w:val="467886" w:themeColor="hyperlink"/>
            <w:sz w:val="24"/>
            <w:szCs w:val="24"/>
            <w:u w:val="single"/>
          </w:rPr>
          <w:t>https://assets.publishing.service.gov.uk/media/5a79ce28ed915d6b1deb379d/The_role_of_Local_Resilience_Forums-_A_reference_document_v2_July_2013.pdf</w:t>
        </w:r>
      </w:hyperlink>
      <w:r w:rsidRPr="00B74EF4">
        <w:rPr>
          <w:rFonts w:ascii="Segoe UI" w:hAnsi="Segoe UI" w:cs="Segoe UI"/>
          <w:sz w:val="24"/>
          <w:szCs w:val="24"/>
        </w:rPr>
        <w:t xml:space="preserve"> [Accessed 3 December 2025].</w:t>
      </w:r>
    </w:p>
    <w:p w14:paraId="40C66CA0" w14:textId="77777777"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rPr>
        <w:t xml:space="preserve">Cabinet Office (2018), </w:t>
      </w:r>
      <w:r w:rsidRPr="00B74EF4">
        <w:rPr>
          <w:rFonts w:ascii="Segoe UI" w:hAnsi="Segoe UI" w:cs="Segoe UI"/>
          <w:sz w:val="24"/>
          <w:szCs w:val="24"/>
          <w:shd w:val="clear" w:color="auto" w:fill="FFFFFF"/>
        </w:rPr>
        <w:t xml:space="preserve">Preparation and planning for emergencies. Available at: </w:t>
      </w:r>
    </w:p>
    <w:p w14:paraId="1741FB23" w14:textId="77777777" w:rsidR="00B74EF4" w:rsidRPr="00B74EF4" w:rsidRDefault="00B74EF4" w:rsidP="00B74EF4">
      <w:pPr>
        <w:rPr>
          <w:rFonts w:ascii="Segoe UI" w:hAnsi="Segoe UI" w:cs="Segoe UI"/>
          <w:sz w:val="24"/>
          <w:szCs w:val="24"/>
        </w:rPr>
      </w:pPr>
      <w:hyperlink r:id="rId15" w:history="1">
        <w:r w:rsidRPr="00B74EF4">
          <w:rPr>
            <w:rFonts w:ascii="Segoe UI" w:hAnsi="Segoe UI" w:cs="Segoe UI"/>
            <w:color w:val="467886" w:themeColor="hyperlink"/>
            <w:sz w:val="24"/>
            <w:szCs w:val="24"/>
            <w:u w:val="single"/>
          </w:rPr>
          <w:t>https://www.gov.uk/guidance/preparation-and-planning-for-emergencies-the-capabilities-programme</w:t>
        </w:r>
      </w:hyperlink>
      <w:r w:rsidRPr="00B74EF4">
        <w:rPr>
          <w:rFonts w:ascii="Segoe UI" w:hAnsi="Segoe UI" w:cs="Segoe UI"/>
          <w:sz w:val="24"/>
          <w:szCs w:val="24"/>
        </w:rPr>
        <w:t xml:space="preserve"> [Accessed 5 December 2025].</w:t>
      </w:r>
    </w:p>
    <w:p w14:paraId="594C2C5B"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(2022), Civil Contingencies Act Post Implementation Review. Available at: </w:t>
      </w:r>
      <w:hyperlink r:id="rId16" w:history="1">
        <w:r w:rsidRPr="00B74EF4">
          <w:rPr>
            <w:rFonts w:ascii="Segoe UI" w:hAnsi="Segoe UI" w:cs="Segoe UI"/>
            <w:color w:val="467886" w:themeColor="hyperlink"/>
            <w:sz w:val="24"/>
            <w:szCs w:val="24"/>
            <w:u w:val="single"/>
          </w:rPr>
          <w:t>https://assets.publishing.service.gov.uk/media/6283a1a6d3bf7f1f3ef4838d/cca-pir-2022.pdf</w:t>
        </w:r>
      </w:hyperlink>
      <w:r w:rsidRPr="00B74EF4">
        <w:rPr>
          <w:rFonts w:ascii="Segoe UI" w:hAnsi="Segoe UI" w:cs="Segoe UI"/>
          <w:sz w:val="24"/>
          <w:szCs w:val="24"/>
        </w:rPr>
        <w:t xml:space="preserve"> [Accessed 5 December 2025].</w:t>
      </w:r>
    </w:p>
    <w:p w14:paraId="5A4E7334"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Hansard (1979), Written Answers on The Emergency Powers Act 1920 Invocation.  Available at:  </w:t>
      </w:r>
      <w:hyperlink r:id="rId17" w:history="1">
        <w:r w:rsidRPr="00B74EF4">
          <w:rPr>
            <w:rFonts w:ascii="Segoe UI" w:hAnsi="Segoe UI" w:cs="Segoe UI"/>
            <w:color w:val="467886" w:themeColor="hyperlink"/>
            <w:sz w:val="24"/>
            <w:szCs w:val="24"/>
            <w:u w:val="single"/>
          </w:rPr>
          <w:t>https://api.parliament.uk/historic-hansard/written-answers/1979/jun/12/emergency-powers-act-1920</w:t>
        </w:r>
      </w:hyperlink>
      <w:r w:rsidRPr="00B74EF4">
        <w:rPr>
          <w:rFonts w:ascii="Segoe UI" w:hAnsi="Segoe UI" w:cs="Segoe UI"/>
          <w:sz w:val="24"/>
          <w:szCs w:val="24"/>
        </w:rPr>
        <w:t xml:space="preserve">  [Accessed 2 December 2025].</w:t>
      </w:r>
    </w:p>
    <w:p w14:paraId="0EA66B0F"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JESIP (2024), Joint Doctrine: The Interoperability Framework.  Available at:  </w:t>
      </w:r>
      <w:hyperlink r:id="rId18" w:history="1">
        <w:r w:rsidRPr="00B74EF4">
          <w:rPr>
            <w:rFonts w:ascii="Segoe UI" w:hAnsi="Segoe UI" w:cs="Segoe UI"/>
            <w:color w:val="467886" w:themeColor="hyperlink"/>
            <w:sz w:val="24"/>
            <w:szCs w:val="24"/>
            <w:u w:val="single"/>
          </w:rPr>
          <w:t>https://www.jesip.org.uk/wp-content/uploads/2022/03/JESIP-Joint-Doctrine-Update-April-2024-Web.pdf</w:t>
        </w:r>
      </w:hyperlink>
      <w:r w:rsidRPr="00B74EF4">
        <w:rPr>
          <w:rFonts w:ascii="Segoe UI" w:hAnsi="Segoe UI" w:cs="Segoe UI"/>
          <w:sz w:val="24"/>
          <w:szCs w:val="24"/>
        </w:rPr>
        <w:t>.  [Accessed 2 December 2025].</w:t>
      </w:r>
    </w:p>
    <w:p w14:paraId="2165D7C6" w14:textId="77777777" w:rsidR="00B74EF4" w:rsidRPr="00B74EF4" w:rsidRDefault="00B74EF4" w:rsidP="00B74EF4">
      <w:pPr>
        <w:rPr>
          <w:rFonts w:ascii="Segoe UI" w:hAnsi="Segoe UI" w:cs="Segoe UI"/>
          <w:i/>
          <w:iCs/>
          <w:sz w:val="24"/>
          <w:szCs w:val="24"/>
        </w:rPr>
      </w:pPr>
      <w:r w:rsidRPr="00B74EF4">
        <w:rPr>
          <w:rFonts w:ascii="Segoe UI" w:hAnsi="Segoe UI" w:cs="Segoe UI"/>
          <w:sz w:val="24"/>
          <w:szCs w:val="24"/>
        </w:rPr>
        <w:t xml:space="preserve">Lalley L. (2024) Wales Risk Register. p.3.  </w:t>
      </w:r>
      <w:r w:rsidRPr="00B74EF4">
        <w:rPr>
          <w:rFonts w:ascii="Segoe UI" w:hAnsi="Segoe UI" w:cs="Segoe UI"/>
          <w:i/>
          <w:iCs/>
          <w:sz w:val="24"/>
          <w:szCs w:val="24"/>
        </w:rPr>
        <w:t>Note: This document is not publicly available.</w:t>
      </w:r>
    </w:p>
    <w:p w14:paraId="5B1378AE"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National Audit Office (2025), An Overview of the Cabinet Office for the new Parliament 2023-24.  Available at:  </w:t>
      </w:r>
      <w:hyperlink r:id="rId19" w:history="1">
        <w:r w:rsidRPr="00B74EF4">
          <w:rPr>
            <w:rFonts w:ascii="Segoe UI" w:hAnsi="Segoe UI" w:cs="Segoe UI"/>
            <w:color w:val="467886" w:themeColor="hyperlink"/>
            <w:sz w:val="24"/>
            <w:szCs w:val="24"/>
            <w:u w:val="single"/>
          </w:rPr>
          <w:t>https://www.nao.org.uk/wp-content/uploads/2025/02/2627-Cabinet-Office-Overview-2023-24-FINAL.pdf</w:t>
        </w:r>
      </w:hyperlink>
      <w:r w:rsidRPr="00B74EF4">
        <w:rPr>
          <w:rFonts w:ascii="Segoe UI" w:hAnsi="Segoe UI" w:cs="Segoe UI"/>
          <w:sz w:val="24"/>
          <w:szCs w:val="24"/>
        </w:rPr>
        <w:t xml:space="preserve">  [Accessed 2 December 2025].</w:t>
      </w:r>
    </w:p>
    <w:p w14:paraId="15099C6E"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National Preparedness Commission (2022), An independent review of the Civil Contingencies Act (2004).  Available at:  </w:t>
      </w:r>
      <w:hyperlink r:id="rId20" w:history="1">
        <w:r w:rsidRPr="00B74EF4">
          <w:rPr>
            <w:rFonts w:ascii="Segoe UI" w:hAnsi="Segoe UI" w:cs="Segoe UI"/>
            <w:color w:val="467886" w:themeColor="hyperlink"/>
            <w:sz w:val="24"/>
            <w:szCs w:val="24"/>
            <w:u w:val="single"/>
          </w:rPr>
          <w:t>https://nationalpreparednesscommission.uk/publications/an-independent-review-of-the-civil-contingencies-act-2004/</w:t>
        </w:r>
      </w:hyperlink>
      <w:r w:rsidRPr="00B74EF4">
        <w:rPr>
          <w:rFonts w:ascii="Segoe UI" w:hAnsi="Segoe UI" w:cs="Segoe UI"/>
          <w:sz w:val="24"/>
          <w:szCs w:val="24"/>
        </w:rPr>
        <w:t xml:space="preserve"> [Accessed 2 December 2025].</w:t>
      </w:r>
    </w:p>
    <w:p w14:paraId="2CC2ED0C"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Pollock, K (2013), Review of Persistent Lessons Identified Relating to Interoperability from Emergencies and Major Incidents since 1986.  Available at:</w:t>
      </w:r>
      <w:r w:rsidRPr="00B74EF4">
        <w:t xml:space="preserve">  </w:t>
      </w:r>
      <w:hyperlink r:id="rId21" w:history="1">
        <w:r w:rsidRPr="00B74EF4">
          <w:rPr>
            <w:rFonts w:ascii="Segoe UI" w:hAnsi="Segoe UI" w:cs="Segoe UI"/>
            <w:color w:val="467886" w:themeColor="hyperlink"/>
            <w:sz w:val="24"/>
            <w:szCs w:val="24"/>
            <w:u w:val="single"/>
          </w:rPr>
          <w:t>file:///C:/Users/pa140197/AppData/Local/Temp/MicrosoftEdgeDownloads/64129078-</w:t>
        </w:r>
        <w:r w:rsidRPr="00B74EF4">
          <w:rPr>
            <w:rFonts w:ascii="Segoe UI" w:hAnsi="Segoe UI" w:cs="Segoe UI"/>
            <w:color w:val="467886" w:themeColor="hyperlink"/>
            <w:sz w:val="24"/>
            <w:szCs w:val="24"/>
            <w:u w:val="single"/>
          </w:rPr>
          <w:lastRenderedPageBreak/>
          <w:t>b195-4b5a-a534-23f20d4a1d51/Pollock_Review_Oct_2013.pdf</w:t>
        </w:r>
      </w:hyperlink>
      <w:r w:rsidRPr="00B74EF4">
        <w:rPr>
          <w:rFonts w:ascii="Segoe UI" w:hAnsi="Segoe UI" w:cs="Segoe UI"/>
          <w:sz w:val="24"/>
          <w:szCs w:val="24"/>
        </w:rPr>
        <w:t xml:space="preserve">  [Accessed 2 December 2025].</w:t>
      </w:r>
    </w:p>
    <w:p w14:paraId="4D0CAAF8"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Saunders. J (2022), Manchester Arena Inquiry, Volume 2: Emergency Response. Available at: </w:t>
      </w:r>
      <w:hyperlink r:id="rId22" w:history="1">
        <w:r w:rsidRPr="00B74EF4">
          <w:rPr>
            <w:rFonts w:ascii="Segoe UI" w:hAnsi="Segoe UI" w:cs="Segoe UI"/>
            <w:color w:val="467886" w:themeColor="hyperlink"/>
            <w:sz w:val="24"/>
            <w:szCs w:val="24"/>
            <w:u w:val="single"/>
          </w:rPr>
          <w:t>https://assets.publishing.service.gov.uk/media/6363d597e90e0705a35f5754/MAI-Vol2-Part_Ii_Accessible.pdf</w:t>
        </w:r>
      </w:hyperlink>
      <w:r w:rsidRPr="00B74EF4">
        <w:rPr>
          <w:rFonts w:ascii="Segoe UI" w:hAnsi="Segoe UI" w:cs="Segoe UI"/>
          <w:sz w:val="24"/>
          <w:szCs w:val="24"/>
        </w:rPr>
        <w:t xml:space="preserve"> [Accessed 2 December 2025].</w:t>
      </w:r>
    </w:p>
    <w:p w14:paraId="7A07BC1D"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UK Government (1920), Emergency Powers Act 1920. Available at: </w:t>
      </w:r>
      <w:hyperlink r:id="rId23" w:history="1">
        <w:r w:rsidRPr="00B74EF4">
          <w:rPr>
            <w:rFonts w:ascii="Segoe UI" w:hAnsi="Segoe UI" w:cs="Segoe UI"/>
            <w:color w:val="467886" w:themeColor="hyperlink"/>
            <w:sz w:val="24"/>
            <w:szCs w:val="24"/>
            <w:u w:val="single"/>
          </w:rPr>
          <w:t>https://www.legislation.gov.uk/ukpga/Geo5/10-11/55/pdfs/ukpga_19200055_en.pdf</w:t>
        </w:r>
      </w:hyperlink>
      <w:r w:rsidRPr="00B74EF4">
        <w:rPr>
          <w:rFonts w:ascii="Segoe UI" w:hAnsi="Segoe UI" w:cs="Segoe UI"/>
          <w:sz w:val="24"/>
          <w:szCs w:val="24"/>
        </w:rPr>
        <w:t xml:space="preserve"> [Accessed 7 December 2025]. </w:t>
      </w:r>
    </w:p>
    <w:p w14:paraId="15C8A471"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UK Government (1948), Civil Defence Act 1948.  Available at:  </w:t>
      </w:r>
      <w:hyperlink r:id="rId24" w:history="1">
        <w:r w:rsidRPr="00B74EF4">
          <w:rPr>
            <w:rFonts w:ascii="Segoe UI" w:hAnsi="Segoe UI" w:cs="Segoe UI"/>
            <w:color w:val="467886" w:themeColor="hyperlink"/>
            <w:sz w:val="24"/>
            <w:szCs w:val="24"/>
            <w:u w:val="single"/>
          </w:rPr>
          <w:t>https://www.legislation.gov.uk/ukpga/Geo6/12-13-14/5/enacted</w:t>
        </w:r>
      </w:hyperlink>
      <w:r w:rsidRPr="00B74EF4">
        <w:rPr>
          <w:rFonts w:ascii="Segoe UI" w:hAnsi="Segoe UI" w:cs="Segoe UI"/>
          <w:sz w:val="24"/>
          <w:szCs w:val="24"/>
        </w:rPr>
        <w:t xml:space="preserve">  [Accessed 2 December 2015].</w:t>
      </w:r>
    </w:p>
    <w:p w14:paraId="4D5938EC"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UK Government (2004), Civil Contingencies Act 2004, Chapter 36.  Available at:  </w:t>
      </w:r>
      <w:hyperlink r:id="rId25" w:history="1">
        <w:r w:rsidRPr="00B74EF4">
          <w:rPr>
            <w:rFonts w:ascii="Segoe UI" w:hAnsi="Segoe UI" w:cs="Segoe UI"/>
            <w:color w:val="467886" w:themeColor="hyperlink"/>
            <w:sz w:val="24"/>
            <w:szCs w:val="24"/>
            <w:u w:val="single"/>
          </w:rPr>
          <w:t>https://www.legislation.gov.uk/ukpga/2004/36/notes</w:t>
        </w:r>
      </w:hyperlink>
      <w:r w:rsidRPr="00B74EF4">
        <w:rPr>
          <w:rFonts w:ascii="Segoe UI" w:hAnsi="Segoe UI" w:cs="Segoe UI"/>
          <w:sz w:val="24"/>
          <w:szCs w:val="24"/>
        </w:rPr>
        <w:t xml:space="preserve">  [Accessed 2 December 2025].</w:t>
      </w:r>
    </w:p>
    <w:p w14:paraId="72E9A693"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UK Government (2025), National Risk Register.  Available at:  </w:t>
      </w:r>
      <w:hyperlink r:id="rId26" w:history="1">
        <w:r w:rsidRPr="00B74EF4">
          <w:rPr>
            <w:rFonts w:ascii="Segoe UI" w:hAnsi="Segoe UI" w:cs="Segoe UI"/>
            <w:color w:val="467886" w:themeColor="hyperlink"/>
            <w:sz w:val="24"/>
            <w:szCs w:val="24"/>
            <w:u w:val="single"/>
          </w:rPr>
          <w:t>https://assets.publishing.service.gov.uk/media/67b5f85732b2aab18314bbe4/National_Risk_Register_2025.pdf</w:t>
        </w:r>
      </w:hyperlink>
      <w:r w:rsidRPr="00B74EF4">
        <w:rPr>
          <w:rFonts w:ascii="Segoe UI" w:hAnsi="Segoe UI" w:cs="Segoe UI"/>
          <w:sz w:val="24"/>
          <w:szCs w:val="24"/>
        </w:rPr>
        <w:t xml:space="preserve">  [Accessed 2 December 2025].</w:t>
      </w:r>
    </w:p>
    <w:p w14:paraId="08A84460"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UK Resilience Academy (2024), Lessons Management Best Practice Guidance’. Available at: </w:t>
      </w:r>
      <w:hyperlink r:id="rId27" w:history="1">
        <w:r w:rsidRPr="00B74EF4">
          <w:rPr>
            <w:rFonts w:ascii="Segoe UI" w:hAnsi="Segoe UI" w:cs="Segoe UI"/>
            <w:color w:val="467886" w:themeColor="hyperlink"/>
            <w:sz w:val="24"/>
            <w:szCs w:val="24"/>
            <w:u w:val="single"/>
          </w:rPr>
          <w:t>https://www.gov.uk/government/publications/lessons-management-best-practice-guidance</w:t>
        </w:r>
      </w:hyperlink>
      <w:r w:rsidRPr="00B74EF4">
        <w:rPr>
          <w:rFonts w:ascii="Segoe UI" w:hAnsi="Segoe UI" w:cs="Segoe UI"/>
          <w:sz w:val="24"/>
          <w:szCs w:val="24"/>
        </w:rPr>
        <w:t xml:space="preserve"> [Accessed 3 December 2025]. </w:t>
      </w:r>
    </w:p>
    <w:p w14:paraId="3A53CACD" w14:textId="77777777" w:rsidR="00B74EF4" w:rsidRPr="00B74EF4" w:rsidRDefault="00B74EF4" w:rsidP="00B74EF4">
      <w:pPr>
        <w:rPr>
          <w:rFonts w:ascii="Segoe UI" w:hAnsi="Segoe UI" w:cs="Segoe UI"/>
          <w:sz w:val="24"/>
          <w:szCs w:val="24"/>
        </w:rPr>
      </w:pPr>
    </w:p>
    <w:p w14:paraId="2AAF98D5" w14:textId="77777777" w:rsidR="00862124" w:rsidRDefault="00862124"/>
    <w:sectPr w:rsidR="008621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55B6B1F0"/>
    <w:lvl w:ilvl="0">
      <w:start w:val="1"/>
      <w:numFmt w:val="bullet"/>
      <w:pStyle w:val="ListBullet"/>
      <w:lvlText w:val=""/>
      <w:lvlJc w:val="left"/>
      <w:pPr>
        <w:tabs>
          <w:tab w:val="num" w:pos="360"/>
        </w:tabs>
        <w:ind w:left="360" w:hanging="360"/>
      </w:pPr>
      <w:rPr>
        <w:rFonts w:ascii="Symbol" w:hAnsi="Symbol" w:hint="default"/>
      </w:rPr>
    </w:lvl>
  </w:abstractNum>
  <w:num w:numId="1" w16cid:durableId="20545025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EF4"/>
    <w:rsid w:val="005B7489"/>
    <w:rsid w:val="00602267"/>
    <w:rsid w:val="00862124"/>
    <w:rsid w:val="0087008C"/>
    <w:rsid w:val="00B74EF4"/>
    <w:rsid w:val="00D74FCB"/>
    <w:rsid w:val="00EB7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49619"/>
  <w15:chartTrackingRefBased/>
  <w15:docId w15:val="{1BDCA4CA-34F6-475F-9036-791CF6809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4E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4E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4E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4E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4E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4E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4E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4E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4E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E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4E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4E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4E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4E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4E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4E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4E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4EF4"/>
    <w:rPr>
      <w:rFonts w:eastAsiaTheme="majorEastAsia" w:cstheme="majorBidi"/>
      <w:color w:val="272727" w:themeColor="text1" w:themeTint="D8"/>
    </w:rPr>
  </w:style>
  <w:style w:type="paragraph" w:styleId="Title">
    <w:name w:val="Title"/>
    <w:basedOn w:val="Normal"/>
    <w:next w:val="Normal"/>
    <w:link w:val="TitleChar"/>
    <w:uiPriority w:val="10"/>
    <w:qFormat/>
    <w:rsid w:val="00B74E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4E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4E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4E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4EF4"/>
    <w:pPr>
      <w:spacing w:before="160"/>
      <w:jc w:val="center"/>
    </w:pPr>
    <w:rPr>
      <w:i/>
      <w:iCs/>
      <w:color w:val="404040" w:themeColor="text1" w:themeTint="BF"/>
    </w:rPr>
  </w:style>
  <w:style w:type="character" w:customStyle="1" w:styleId="QuoteChar">
    <w:name w:val="Quote Char"/>
    <w:basedOn w:val="DefaultParagraphFont"/>
    <w:link w:val="Quote"/>
    <w:uiPriority w:val="29"/>
    <w:rsid w:val="00B74EF4"/>
    <w:rPr>
      <w:i/>
      <w:iCs/>
      <w:color w:val="404040" w:themeColor="text1" w:themeTint="BF"/>
    </w:rPr>
  </w:style>
  <w:style w:type="paragraph" w:styleId="ListParagraph">
    <w:name w:val="List Paragraph"/>
    <w:basedOn w:val="Normal"/>
    <w:uiPriority w:val="34"/>
    <w:qFormat/>
    <w:rsid w:val="00B74EF4"/>
    <w:pPr>
      <w:ind w:left="720"/>
      <w:contextualSpacing/>
    </w:pPr>
  </w:style>
  <w:style w:type="character" w:styleId="IntenseEmphasis">
    <w:name w:val="Intense Emphasis"/>
    <w:basedOn w:val="DefaultParagraphFont"/>
    <w:uiPriority w:val="21"/>
    <w:qFormat/>
    <w:rsid w:val="00B74EF4"/>
    <w:rPr>
      <w:i/>
      <w:iCs/>
      <w:color w:val="0F4761" w:themeColor="accent1" w:themeShade="BF"/>
    </w:rPr>
  </w:style>
  <w:style w:type="paragraph" w:styleId="IntenseQuote">
    <w:name w:val="Intense Quote"/>
    <w:basedOn w:val="Normal"/>
    <w:next w:val="Normal"/>
    <w:link w:val="IntenseQuoteChar"/>
    <w:uiPriority w:val="30"/>
    <w:qFormat/>
    <w:rsid w:val="00B74E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4EF4"/>
    <w:rPr>
      <w:i/>
      <w:iCs/>
      <w:color w:val="0F4761" w:themeColor="accent1" w:themeShade="BF"/>
    </w:rPr>
  </w:style>
  <w:style w:type="character" w:styleId="IntenseReference">
    <w:name w:val="Intense Reference"/>
    <w:basedOn w:val="DefaultParagraphFont"/>
    <w:uiPriority w:val="32"/>
    <w:qFormat/>
    <w:rsid w:val="00B74EF4"/>
    <w:rPr>
      <w:b/>
      <w:bCs/>
      <w:smallCaps/>
      <w:color w:val="0F4761" w:themeColor="accent1" w:themeShade="BF"/>
      <w:spacing w:val="5"/>
    </w:rPr>
  </w:style>
  <w:style w:type="character" w:styleId="CommentReference">
    <w:name w:val="annotation reference"/>
    <w:basedOn w:val="DefaultParagraphFont"/>
    <w:uiPriority w:val="99"/>
    <w:semiHidden/>
    <w:unhideWhenUsed/>
    <w:rsid w:val="00B74EF4"/>
    <w:rPr>
      <w:sz w:val="16"/>
      <w:szCs w:val="16"/>
    </w:rPr>
  </w:style>
  <w:style w:type="paragraph" w:styleId="CommentText">
    <w:name w:val="annotation text"/>
    <w:basedOn w:val="Normal"/>
    <w:link w:val="CommentTextChar"/>
    <w:uiPriority w:val="99"/>
    <w:unhideWhenUsed/>
    <w:rsid w:val="00B74EF4"/>
    <w:pPr>
      <w:spacing w:line="240" w:lineRule="auto"/>
    </w:pPr>
    <w:rPr>
      <w:sz w:val="20"/>
      <w:szCs w:val="20"/>
    </w:rPr>
  </w:style>
  <w:style w:type="character" w:customStyle="1" w:styleId="CommentTextChar">
    <w:name w:val="Comment Text Char"/>
    <w:basedOn w:val="DefaultParagraphFont"/>
    <w:link w:val="CommentText"/>
    <w:uiPriority w:val="99"/>
    <w:rsid w:val="00B74EF4"/>
    <w:rPr>
      <w:sz w:val="20"/>
      <w:szCs w:val="20"/>
    </w:rPr>
  </w:style>
  <w:style w:type="paragraph" w:styleId="CommentSubject">
    <w:name w:val="annotation subject"/>
    <w:basedOn w:val="CommentText"/>
    <w:next w:val="CommentText"/>
    <w:link w:val="CommentSubjectChar"/>
    <w:uiPriority w:val="99"/>
    <w:semiHidden/>
    <w:unhideWhenUsed/>
    <w:rsid w:val="00B74EF4"/>
    <w:rPr>
      <w:b/>
      <w:bCs/>
    </w:rPr>
  </w:style>
  <w:style w:type="character" w:customStyle="1" w:styleId="CommentSubjectChar">
    <w:name w:val="Comment Subject Char"/>
    <w:basedOn w:val="CommentTextChar"/>
    <w:link w:val="CommentSubject"/>
    <w:uiPriority w:val="99"/>
    <w:semiHidden/>
    <w:rsid w:val="00B74EF4"/>
    <w:rPr>
      <w:b/>
      <w:bCs/>
      <w:sz w:val="20"/>
      <w:szCs w:val="20"/>
    </w:rPr>
  </w:style>
  <w:style w:type="character" w:styleId="Hyperlink">
    <w:name w:val="Hyperlink"/>
    <w:basedOn w:val="DefaultParagraphFont"/>
    <w:uiPriority w:val="99"/>
    <w:unhideWhenUsed/>
    <w:rsid w:val="00B74EF4"/>
    <w:rPr>
      <w:color w:val="467886" w:themeColor="hyperlink"/>
      <w:u w:val="single"/>
    </w:rPr>
  </w:style>
  <w:style w:type="character" w:styleId="UnresolvedMention">
    <w:name w:val="Unresolved Mention"/>
    <w:basedOn w:val="DefaultParagraphFont"/>
    <w:uiPriority w:val="99"/>
    <w:semiHidden/>
    <w:unhideWhenUsed/>
    <w:rsid w:val="00B74EF4"/>
    <w:rPr>
      <w:color w:val="605E5C"/>
      <w:shd w:val="clear" w:color="auto" w:fill="E1DFDD"/>
    </w:rPr>
  </w:style>
  <w:style w:type="paragraph" w:styleId="ListBullet">
    <w:name w:val="List Bullet"/>
    <w:basedOn w:val="Normal"/>
    <w:uiPriority w:val="99"/>
    <w:unhideWhenUsed/>
    <w:rsid w:val="00B74EF4"/>
    <w:pPr>
      <w:numPr>
        <w:numId w:val="1"/>
      </w:numPr>
      <w:tabs>
        <w:tab w:val="clear" w:pos="360"/>
      </w:tabs>
      <w:ind w:left="0" w:firstLine="0"/>
      <w:contextualSpacing/>
    </w:pPr>
  </w:style>
  <w:style w:type="character" w:customStyle="1" w:styleId="cf01">
    <w:name w:val="cf01"/>
    <w:basedOn w:val="DefaultParagraphFont"/>
    <w:rsid w:val="00B74EF4"/>
    <w:rPr>
      <w:rFonts w:ascii="Segoe UI" w:hAnsi="Segoe UI" w:cs="Segoe UI" w:hint="default"/>
      <w:color w:val="333333"/>
      <w:sz w:val="18"/>
      <w:szCs w:val="18"/>
      <w:shd w:val="clear" w:color="auto" w:fill="FFFFFF"/>
    </w:rPr>
  </w:style>
  <w:style w:type="character" w:customStyle="1" w:styleId="cf11">
    <w:name w:val="cf11"/>
    <w:basedOn w:val="DefaultParagraphFont"/>
    <w:rsid w:val="00B74EF4"/>
    <w:rPr>
      <w:rFonts w:ascii="Segoe UI" w:hAnsi="Segoe UI" w:cs="Segoe UI" w:hint="default"/>
      <w:i/>
      <w:iCs/>
      <w:color w:val="333333"/>
      <w:sz w:val="18"/>
      <w:szCs w:val="18"/>
      <w:shd w:val="clear" w:color="auto" w:fill="FFFFFF"/>
    </w:rPr>
  </w:style>
  <w:style w:type="character" w:customStyle="1" w:styleId="cf21">
    <w:name w:val="cf21"/>
    <w:basedOn w:val="DefaultParagraphFont"/>
    <w:rsid w:val="00B74EF4"/>
    <w:rPr>
      <w:rFonts w:ascii="Segoe UI" w:hAnsi="Segoe UI" w:cs="Segoe UI" w:hint="default"/>
      <w:color w:val="333333"/>
      <w:sz w:val="18"/>
      <w:szCs w:val="18"/>
      <w:shd w:val="clear" w:color="auto" w:fill="FFFFFF"/>
      <w:vertAlign w:val="superscript"/>
    </w:rPr>
  </w:style>
  <w:style w:type="paragraph" w:styleId="NormalWeb">
    <w:name w:val="Normal (Web)"/>
    <w:basedOn w:val="Normal"/>
    <w:uiPriority w:val="99"/>
    <w:semiHidden/>
    <w:unhideWhenUsed/>
    <w:rsid w:val="00B74E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74EF4"/>
    <w:rPr>
      <w:b/>
      <w:bCs/>
    </w:rPr>
  </w:style>
  <w:style w:type="character" w:styleId="FollowedHyperlink">
    <w:name w:val="FollowedHyperlink"/>
    <w:basedOn w:val="DefaultParagraphFont"/>
    <w:uiPriority w:val="99"/>
    <w:semiHidden/>
    <w:unhideWhenUsed/>
    <w:rsid w:val="00B74EF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9b54b40f0b63d72fc7ddd/Chapter-2-Co-operation-revised-March-2012.pdf" TargetMode="External"/><Relationship Id="rId13" Type="http://schemas.openxmlformats.org/officeDocument/2006/relationships/hyperlink" Target="https://www.gov.uk/guidance/preparation-and-planning-for-emergencies-responsibilities-of-responder-agencies-and-others" TargetMode="External"/><Relationship Id="rId18" Type="http://schemas.openxmlformats.org/officeDocument/2006/relationships/hyperlink" Target="https://www.jesip.org.uk/wp-content/uploads/2022/03/JESIP-Joint-Doctrine-Update-April-2024-Web.pdf" TargetMode="External"/><Relationship Id="rId26" Type="http://schemas.openxmlformats.org/officeDocument/2006/relationships/hyperlink" Target="https://assets.publishing.service.gov.uk/media/67b5f85732b2aab18314bbe4/National_Risk_Register_2025.pdf" TargetMode="External"/><Relationship Id="rId3" Type="http://schemas.openxmlformats.org/officeDocument/2006/relationships/settings" Target="settings.xml"/><Relationship Id="rId21" Type="http://schemas.openxmlformats.org/officeDocument/2006/relationships/hyperlink" Target="file:///C:/Users/pa140197/AppData/Local/Temp/MicrosoftEdgeDownloads/64129078-b195-4b5a-a534-23f20d4a1d51/Pollock_Review_Oct_2013.pdf" TargetMode="External"/><Relationship Id="rId7" Type="http://schemas.openxmlformats.org/officeDocument/2006/relationships/hyperlink" Target="https://www.legislation.gov.uk/uksi/2005/2042/regulation/25" TargetMode="External"/><Relationship Id="rId12" Type="http://schemas.openxmlformats.org/officeDocument/2006/relationships/hyperlink" Target="https://assets.publishing.service.gov.uk/government/uploads/system/uploads/attachment_data/file/253488/Emergency_Response_and_Recovery_5th_edition_October_2013.pdf" TargetMode="External"/><Relationship Id="rId17" Type="http://schemas.openxmlformats.org/officeDocument/2006/relationships/hyperlink" Target="https://api.parliament.uk/historic-hansard/written-answers/1979/jun/12/emergency-powers-act-1920" TargetMode="External"/><Relationship Id="rId25" Type="http://schemas.openxmlformats.org/officeDocument/2006/relationships/hyperlink" Target="https://www.legislation.gov.uk/ukpga/2004/36/notes" TargetMode="External"/><Relationship Id="rId2" Type="http://schemas.openxmlformats.org/officeDocument/2006/relationships/styles" Target="styles.xml"/><Relationship Id="rId16" Type="http://schemas.openxmlformats.org/officeDocument/2006/relationships/hyperlink" Target="https://assets.publishing.service.gov.uk/media/6283a1a6d3bf7f1f3ef4838d/cca-pir-2022.pdf" TargetMode="External"/><Relationship Id="rId20" Type="http://schemas.openxmlformats.org/officeDocument/2006/relationships/hyperlink" Target="https://nationalpreparednesscommission.uk/publications/an-independent-review-of-the-civil-contingencies-act-2004/"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legislation.gov.uk/ukpga/2004/36/notes" TargetMode="External"/><Relationship Id="rId11" Type="http://schemas.openxmlformats.org/officeDocument/2006/relationships/hyperlink" Target="https://assets.publishing.service.gov.uk/media/5a74fc51ed915d3c7d5297f4/Chapter-1-Introduction_amends_16042012.pdf" TargetMode="External"/><Relationship Id="rId24" Type="http://schemas.openxmlformats.org/officeDocument/2006/relationships/hyperlink" Target="https://www.legislation.gov.uk/ukpga/Geo6/12-13-14/5/enacted" TargetMode="External"/><Relationship Id="rId5" Type="http://schemas.openxmlformats.org/officeDocument/2006/relationships/hyperlink" Target="https://www.legislation.gov.uk/ukpga/2004/36/contents" TargetMode="External"/><Relationship Id="rId15" Type="http://schemas.openxmlformats.org/officeDocument/2006/relationships/hyperlink" Target="https://www.gov.uk/guidance/preparation-and-planning-for-emergencies-the-capabilities-programme" TargetMode="External"/><Relationship Id="rId23" Type="http://schemas.openxmlformats.org/officeDocument/2006/relationships/hyperlink" Target="https://www.legislation.gov.uk/ukpga/Geo5/10-11/55/pdfs/ukpga_19200055_en.pdf" TargetMode="External"/><Relationship Id="rId28" Type="http://schemas.openxmlformats.org/officeDocument/2006/relationships/fontTable" Target="fontTable.xml"/><Relationship Id="rId10" Type="http://schemas.openxmlformats.org/officeDocument/2006/relationships/hyperlink" Target="https://assets.publishing.service.gov.uk/media/5a789647e5274a3b4807f079/Chapter-4-Local_20Responder-Risk-assessment-duty-revised-March.pdf" TargetMode="External"/><Relationship Id="rId19" Type="http://schemas.openxmlformats.org/officeDocument/2006/relationships/hyperlink" Target="https://www.nao.org.uk/wp-content/uploads/2025/02/2627-Cabinet-Office-Overview-2023-24-FINAL.pdf" TargetMode="External"/><Relationship Id="rId4" Type="http://schemas.openxmlformats.org/officeDocument/2006/relationships/webSettings" Target="webSettings.xml"/><Relationship Id="rId9" Type="http://schemas.openxmlformats.org/officeDocument/2006/relationships/hyperlink" Target="https://assets.publishing.service.gov.uk/media/5a789647e5274a3b4807f079/Chapter-4-Local_20Responder-Risk-assessment-duty-revised-March.pdf" TargetMode="External"/><Relationship Id="rId14" Type="http://schemas.openxmlformats.org/officeDocument/2006/relationships/hyperlink" Target="https://assets.publishing.service.gov.uk/media/5a79ce28ed915d6b1deb379d/The_role_of_Local_Resilience_Forums-_A_reference_document_v2_July_2013.pdf" TargetMode="External"/><Relationship Id="rId22" Type="http://schemas.openxmlformats.org/officeDocument/2006/relationships/hyperlink" Target="https://assets.publishing.service.gov.uk/media/6363d597e90e0705a35f5754/MAI-Vol2-Part_Ii_Accessible.pdf" TargetMode="External"/><Relationship Id="rId27" Type="http://schemas.openxmlformats.org/officeDocument/2006/relationships/hyperlink" Target="https://www.gov.uk/government/publications/lessons-management-best-practice-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7620</Words>
  <Characters>40389</Characters>
  <Application>Microsoft Office Word</Application>
  <DocSecurity>0</DocSecurity>
  <Lines>1442</Lines>
  <Paragraphs>716</Paragraphs>
  <ScaleCrop>false</ScaleCrop>
  <Company>Welsh Ambulance Service NHS Trust</Company>
  <LinksUpToDate>false</LinksUpToDate>
  <CharactersWithSpaces>47293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Gibbins (Welsh Ambulance Service NHS Trust - 020)</dc:creator>
  <cp:keywords/>
  <dc:description/>
  <cp:lastModifiedBy>Emily Gibbins (Welsh Ambulance Service NHS Trust - 020)</cp:lastModifiedBy>
  <cp:revision>1</cp:revision>
  <dcterms:created xsi:type="dcterms:W3CDTF">2025-12-08T13:04:00Z</dcterms:created>
  <dcterms:modified xsi:type="dcterms:W3CDTF">2025-12-08T13:05:00Z</dcterms:modified>
</cp:coreProperties>
</file>