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TextBody"/>
        <w:jc w:val="center"/>
        <w:rPr/>
      </w:pPr>
      <w:r>
        <w:rPr>
          <w:rStyle w:val="StrongEmphasis"/>
          <w:sz w:val="32"/>
          <w:szCs w:val="32"/>
        </w:rPr>
        <w:t xml:space="preserve">Lifeboat. Hardin's Subjective Teleology – Real Concerns, but Mystical Scenarios. From the Perspective of Midgley and Hume. </w:t>
      </w:r>
    </w:p>
    <w:p>
      <w:pPr>
        <w:pStyle w:val="Quotations"/>
        <w:bidi w:val="0"/>
        <w:ind w:left="4254" w:right="567" w:hanging="0"/>
        <w:jc w:val="left"/>
        <w:rPr>
          <w:rStyle w:val="StrongEmphasis"/>
          <w:rFonts w:ascii="Georgia" w:hAnsi="Georgia"/>
          <w:b w:val="false"/>
          <w:b w:val="false"/>
          <w:bCs w:val="false"/>
        </w:rPr>
      </w:pPr>
      <w:r>
        <w:rPr>
          <w:rFonts w:ascii="Georgia" w:hAnsi="Georgia"/>
          <w:b w:val="false"/>
          <w:bCs w:val="false"/>
        </w:rPr>
      </w:r>
    </w:p>
    <w:p>
      <w:pPr>
        <w:pStyle w:val="Quotations"/>
        <w:bidi w:val="0"/>
        <w:ind w:left="567" w:right="567" w:hanging="0"/>
        <w:jc w:val="left"/>
        <w:rPr>
          <w:rStyle w:val="StrongEmphasis"/>
          <w:rFonts w:ascii="Georgia" w:hAnsi="Georgia"/>
          <w:b w:val="false"/>
          <w:b w:val="false"/>
          <w:bCs w:val="false"/>
        </w:rPr>
      </w:pPr>
      <w:r>
        <w:rPr/>
      </w:r>
    </w:p>
    <w:p>
      <w:pPr>
        <w:pStyle w:val="Quotations"/>
        <w:bidi w:val="0"/>
        <w:ind w:left="4254" w:right="567" w:hanging="0"/>
        <w:jc w:val="left"/>
        <w:rPr/>
      </w:pPr>
      <w:r>
        <w:rPr>
          <w:rStyle w:val="StrongEmphasis"/>
          <w:rFonts w:ascii="Georgia" w:hAnsi="Georgia"/>
          <w:b w:val="false"/>
          <w:bCs w:val="false"/>
          <w:sz w:val="22"/>
          <w:szCs w:val="22"/>
        </w:rPr>
        <w:t>Myths … are imaginative patterns, networks of powerful symbols that suggest particular ways of interpreting the world. They shape its meaning.</w:t>
      </w:r>
      <w:r>
        <w:rPr>
          <w:rFonts w:ascii="Georgia" w:hAnsi="Georgia"/>
          <w:sz w:val="22"/>
          <w:szCs w:val="22"/>
        </w:rPr>
        <w:br/>
        <w:t xml:space="preserve">— </w:t>
      </w:r>
      <w:r>
        <w:rPr>
          <w:rStyle w:val="Emphasis"/>
          <w:rFonts w:ascii="Georgia" w:hAnsi="Georgia"/>
          <w:sz w:val="22"/>
          <w:szCs w:val="22"/>
        </w:rPr>
        <w:t>Midgley 2004:1</w:t>
      </w:r>
    </w:p>
    <w:p>
      <w:pPr>
        <w:pStyle w:val="Heading3"/>
        <w:numPr>
          <w:ilvl w:val="2"/>
          <w:numId w:val="2"/>
        </w:numPr>
        <w:bidi w:val="0"/>
        <w:jc w:val="left"/>
        <w:rPr>
          <w:rFonts w:ascii="Georgia" w:hAnsi="Georgia"/>
        </w:rPr>
      </w:pPr>
      <w:r>
        <w:rPr/>
      </w:r>
    </w:p>
    <w:p>
      <w:pPr>
        <w:pStyle w:val="Heading3"/>
        <w:numPr>
          <w:ilvl w:val="2"/>
          <w:numId w:val="2"/>
        </w:numPr>
        <w:bidi w:val="0"/>
        <w:spacing w:lineRule="auto" w:line="480"/>
        <w:jc w:val="left"/>
        <w:rPr>
          <w:rFonts w:ascii="Georgia" w:hAnsi="Georgia"/>
        </w:rPr>
      </w:pPr>
      <w:r>
        <w:rPr>
          <w:rFonts w:ascii="Georgia" w:hAnsi="Georgia"/>
        </w:rPr>
        <w:t xml:space="preserve">• </w:t>
      </w:r>
      <w:r>
        <w:rPr>
          <w:rFonts w:ascii="Georgia" w:hAnsi="Georgia"/>
          <w:sz w:val="24"/>
          <w:szCs w:val="24"/>
        </w:rPr>
        <w:t>Introduction</w:t>
      </w:r>
    </w:p>
    <w:p>
      <w:pPr>
        <w:pStyle w:val="TextBody"/>
        <w:bidi w:val="0"/>
        <w:spacing w:lineRule="auto" w:line="480" w:before="0" w:after="140"/>
        <w:jc w:val="left"/>
        <w:rPr/>
      </w:pPr>
      <w:r>
        <w:rPr>
          <w:rFonts w:ascii="Georgia" w:hAnsi="Georgia"/>
        </w:rPr>
        <w:t xml:space="preserve">In the context of Abrahamic cultural heritage, Hardin’s </w:t>
      </w:r>
      <w:r>
        <w:rPr>
          <w:rStyle w:val="Emphasis"/>
          <w:rFonts w:ascii="Georgia" w:hAnsi="Georgia"/>
        </w:rPr>
        <w:t>lifeboat</w:t>
      </w:r>
      <w:r>
        <w:rPr>
          <w:rFonts w:ascii="Georgia" w:hAnsi="Georgia"/>
        </w:rPr>
        <w:t xml:space="preserve"> metaphor inevitably evokes the legendary, life-saving vessel of Noah/Nūḥ. Yet the tragedy Hardin outlines resonates deeply with David Hume’s account of how theological ideas emerge within mythological frameworks motivated by historical and rationalizing impulses.</w:t>
      </w:r>
    </w:p>
    <w:p>
      <w:pPr>
        <w:pStyle w:val="TextBody"/>
        <w:bidi w:val="0"/>
        <w:spacing w:lineRule="auto" w:line="480"/>
        <w:jc w:val="left"/>
        <w:rPr>
          <w:rFonts w:ascii="Georgia" w:hAnsi="Georgia"/>
        </w:rPr>
      </w:pPr>
      <w:r>
        <w:rPr>
          <w:rFonts w:ascii="Georgia" w:hAnsi="Georgia"/>
        </w:rPr>
        <w:t>This essay will examine Hardin’s concerns and the characteristics they share. We will see that his perspective is not primarily shaped by the situational reality at hand, but rather by an unconscious impulse on the author’s part — and a sympathetic reader’s willingness — to channel latent psychological tensions.</w:t>
      </w:r>
    </w:p>
    <w:p>
      <w:pPr>
        <w:pStyle w:val="HorizontalLine"/>
        <w:bidi w:val="0"/>
        <w:jc w:val="left"/>
        <w:rPr>
          <w:rFonts w:ascii="Georgia" w:hAnsi="Georgia"/>
        </w:rPr>
      </w:pPr>
      <w:r>
        <w:rPr>
          <w:rFonts w:ascii="Georgia" w:hAnsi="Georgia"/>
        </w:rPr>
      </w:r>
    </w:p>
    <w:p>
      <w:pPr>
        <w:pStyle w:val="Heading3"/>
        <w:numPr>
          <w:ilvl w:val="2"/>
          <w:numId w:val="2"/>
        </w:numPr>
        <w:bidi w:val="0"/>
        <w:ind w:left="709" w:hanging="0"/>
        <w:jc w:val="left"/>
        <w:rPr>
          <w:rFonts w:ascii="Georgia" w:hAnsi="Georgia"/>
        </w:rPr>
      </w:pPr>
      <w:r>
        <w:rPr/>
      </w:r>
    </w:p>
    <w:p>
      <w:pPr>
        <w:pStyle w:val="Heading3"/>
        <w:numPr>
          <w:ilvl w:val="2"/>
          <w:numId w:val="2"/>
        </w:numPr>
        <w:bidi w:val="0"/>
        <w:ind w:left="709" w:hanging="0"/>
        <w:jc w:val="left"/>
        <w:rPr>
          <w:rFonts w:ascii="Georgia" w:hAnsi="Georgia"/>
        </w:rPr>
      </w:pPr>
      <w:r>
        <w:rPr/>
      </w:r>
    </w:p>
    <w:p>
      <w:pPr>
        <w:pStyle w:val="Heading3"/>
        <w:numPr>
          <w:ilvl w:val="2"/>
          <w:numId w:val="2"/>
        </w:numPr>
        <w:bidi w:val="0"/>
        <w:ind w:left="709" w:hanging="0"/>
        <w:jc w:val="left"/>
        <w:rPr>
          <w:rFonts w:ascii="Georgia" w:hAnsi="Georgia"/>
        </w:rPr>
      </w:pPr>
      <w:r>
        <w:rPr/>
      </w:r>
    </w:p>
    <w:p>
      <w:pPr>
        <w:pStyle w:val="Heading3"/>
        <w:numPr>
          <w:ilvl w:val="2"/>
          <w:numId w:val="2"/>
        </w:numPr>
        <w:bidi w:val="0"/>
        <w:ind w:left="709" w:hanging="0"/>
        <w:jc w:val="left"/>
        <w:rPr>
          <w:rFonts w:ascii="Georgia" w:hAnsi="Georgia"/>
        </w:rPr>
      </w:pPr>
      <w:r>
        <w:rPr>
          <w:rFonts w:ascii="Georgia" w:hAnsi="Georgia"/>
        </w:rPr>
        <w:t xml:space="preserve">• </w:t>
      </w:r>
      <w:r>
        <w:rPr>
          <w:rFonts w:ascii="Georgia" w:hAnsi="Georgia"/>
          <w:sz w:val="30"/>
          <w:szCs w:val="30"/>
        </w:rPr>
        <w:t>Carrying Capacity</w:t>
      </w:r>
    </w:p>
    <w:p>
      <w:pPr>
        <w:pStyle w:val="TextBody"/>
        <w:bidi w:val="0"/>
        <w:ind w:left="709" w:hanging="0"/>
        <w:jc w:val="left"/>
        <w:rPr>
          <w:rFonts w:ascii="Georgia" w:hAnsi="Georgia"/>
        </w:rPr>
      </w:pPr>
      <w:r>
        <w:rPr>
          <w:rFonts w:ascii="Georgia" w:hAnsi="Georgia"/>
        </w:rPr>
      </w:r>
    </w:p>
    <w:p>
      <w:pPr>
        <w:pStyle w:val="TextBody"/>
        <w:bidi w:val="0"/>
        <w:spacing w:lineRule="auto" w:line="480" w:before="0" w:after="140"/>
        <w:jc w:val="left"/>
        <w:rPr/>
      </w:pPr>
      <w:r>
        <w:rPr>
          <w:rFonts w:ascii="Georgia" w:hAnsi="Georgia"/>
        </w:rPr>
        <w:t>Hardin’s introductory metaphor — which sets the tone for the entire piece — is encapsulated in its closing line</w:t>
      </w:r>
      <w:r>
        <w:rPr>
          <w:rFonts w:ascii="Georgia" w:hAnsi="Georgia"/>
          <w:i w:val="false"/>
          <w:iCs w:val="false"/>
        </w:rPr>
        <w:t xml:space="preserve">: </w:t>
      </w:r>
      <w:r>
        <w:rPr>
          <w:rStyle w:val="Emphasis"/>
          <w:rFonts w:ascii="Georgia" w:hAnsi="Georgia"/>
          <w:i w:val="false"/>
          <w:iCs w:val="false"/>
        </w:rPr>
        <w:t>“we must recognize the limited capacity of any lifeboat” (Hardin 1974:1).</w:t>
      </w:r>
    </w:p>
    <w:p>
      <w:pPr>
        <w:pStyle w:val="TextBody"/>
        <w:bidi w:val="0"/>
        <w:spacing w:lineRule="auto" w:line="480" w:before="0" w:after="140"/>
        <w:jc w:val="left"/>
        <w:rPr/>
      </w:pPr>
      <w:r>
        <w:rPr>
          <w:rFonts w:ascii="Georgia" w:hAnsi="Georgia"/>
        </w:rPr>
        <w:t xml:space="preserve">The use of metaphor is a common and, from the standpoint of communicative economy, often unavoidable practice. As Midgley notes, </w:t>
      </w:r>
      <w:r>
        <w:rPr>
          <w:rStyle w:val="Emphasis"/>
          <w:rFonts w:ascii="Georgia" w:hAnsi="Georgia"/>
          <w:i w:val="false"/>
          <w:iCs w:val="false"/>
        </w:rPr>
        <w:t>“Symbolism is an integral part of our thought-structure”</w:t>
      </w:r>
      <w:r>
        <w:rPr>
          <w:rFonts w:ascii="Georgia" w:hAnsi="Georgia"/>
          <w:i w:val="false"/>
          <w:iCs w:val="false"/>
        </w:rPr>
        <w:t xml:space="preserve"> </w:t>
      </w:r>
      <w:r>
        <w:rPr>
          <w:rFonts w:ascii="Georgia" w:hAnsi="Georgia"/>
        </w:rPr>
        <w:t>(Midgley 2004:2). However, it is unwise to arbitrarily exclude, diminish, elevate, or stretch the characteristics inherent to a context based on the hypothetical connotations of the metaphor used.</w:t>
      </w:r>
    </w:p>
    <w:p>
      <w:pPr>
        <w:pStyle w:val="TextBody"/>
        <w:bidi w:val="0"/>
        <w:spacing w:lineRule="auto" w:line="480" w:before="0" w:after="140"/>
        <w:jc w:val="left"/>
        <w:rPr/>
      </w:pPr>
      <w:r>
        <w:rPr>
          <w:rFonts w:ascii="Georgia" w:hAnsi="Georgia"/>
        </w:rPr>
        <w:t>While Hardin’s introduction might at first glance appear to participate in a theoretical, objectivity-oriented discourse, the concluding sentence — which follows the cited remark — clearly expresses a subjective stance:</w:t>
        <w:br/>
      </w:r>
      <w:r>
        <w:rPr>
          <w:rStyle w:val="Emphasis"/>
          <w:rFonts w:ascii="Georgia" w:hAnsi="Georgia"/>
          <w:i w:val="false"/>
          <w:iCs w:val="false"/>
        </w:rPr>
        <w:t xml:space="preserve">“…a nation's land has a limited capacity to support a population and as </w:t>
      </w:r>
      <w:r>
        <w:rPr>
          <w:rStyle w:val="Emphasis"/>
          <w:rFonts w:ascii="Georgia" w:hAnsi="Georgia"/>
          <w:i/>
          <w:iCs/>
        </w:rPr>
        <w:t xml:space="preserve">the </w:t>
      </w:r>
      <w:r>
        <w:rPr>
          <w:rStyle w:val="Emphasis"/>
          <w:rFonts w:ascii="Georgia" w:hAnsi="Georgia"/>
          <w:i/>
          <w:iCs/>
          <w:u w:val="none"/>
        </w:rPr>
        <w:t>current energy crisis has shown us</w:t>
      </w:r>
      <w:r>
        <w:rPr>
          <w:rFonts w:ascii="Georgia" w:hAnsi="Georgia"/>
          <w:i/>
          <w:iCs/>
          <w:u w:val="none"/>
        </w:rPr>
        <w:t xml:space="preserve"> </w:t>
      </w:r>
      <w:r>
        <w:rPr>
          <w:rFonts w:ascii="Georgia" w:hAnsi="Georgia"/>
          <w:i w:val="false"/>
          <w:iCs w:val="false"/>
        </w:rPr>
        <w:t>(</w:t>
      </w:r>
      <w:r>
        <w:rPr>
          <w:rFonts w:ascii="Georgia" w:hAnsi="Georgia"/>
          <w:b w:val="false"/>
          <w:bCs w:val="false"/>
          <w:i w:val="false"/>
          <w:iCs w:val="false"/>
        </w:rPr>
        <w:t xml:space="preserve">author’s </w:t>
      </w:r>
      <w:r>
        <w:rPr>
          <w:rStyle w:val="StrongEmphasis"/>
          <w:rFonts w:ascii="Georgia" w:hAnsi="Georgia"/>
          <w:b w:val="false"/>
          <w:bCs w:val="false"/>
          <w:i w:val="false"/>
          <w:iCs w:val="false"/>
        </w:rPr>
        <w:t>emphasis</w:t>
      </w:r>
      <w:r>
        <w:rPr>
          <w:rFonts w:ascii="Georgia" w:hAnsi="Georgia"/>
          <w:b w:val="false"/>
          <w:bCs w:val="false"/>
          <w:i w:val="false"/>
          <w:iCs w:val="false"/>
        </w:rPr>
        <w:t>)</w:t>
      </w:r>
      <w:r>
        <w:rPr>
          <w:rFonts w:ascii="Georgia" w:hAnsi="Georgia"/>
          <w:i w:val="false"/>
          <w:iCs w:val="false"/>
        </w:rPr>
        <w:t xml:space="preserve">, </w:t>
      </w:r>
      <w:r>
        <w:rPr>
          <w:rStyle w:val="Emphasis"/>
          <w:rFonts w:ascii="Georgia" w:hAnsi="Georgia"/>
          <w:i w:val="false"/>
          <w:iCs w:val="false"/>
        </w:rPr>
        <w:t>in some ways we have already exceeded the carrying capacity…” (Hardin ibid:1-2).</w:t>
      </w:r>
    </w:p>
    <w:p>
      <w:pPr>
        <w:pStyle w:val="TextBody"/>
        <w:bidi w:val="0"/>
        <w:spacing w:lineRule="auto" w:line="480" w:before="0" w:after="140"/>
        <w:jc w:val="left"/>
        <w:rPr>
          <w:rStyle w:val="Emphasis"/>
          <w:rFonts w:ascii="Georgia" w:hAnsi="Georgia"/>
          <w:b w:val="false"/>
          <w:b w:val="false"/>
          <w:bCs w:val="false"/>
          <w:sz w:val="24"/>
          <w:szCs w:val="24"/>
        </w:rPr>
      </w:pPr>
      <w:r>
        <w:rPr/>
      </w:r>
    </w:p>
    <w:p>
      <w:pPr>
        <w:pStyle w:val="TextBody"/>
        <w:bidi w:val="0"/>
        <w:spacing w:lineRule="auto" w:line="480" w:before="0" w:after="140"/>
        <w:jc w:val="left"/>
        <w:rPr/>
      </w:pPr>
      <w:r>
        <w:rPr>
          <w:rFonts w:ascii="Georgia" w:hAnsi="Georgia"/>
          <w:b w:val="false"/>
          <w:bCs w:val="false"/>
          <w:sz w:val="24"/>
          <w:szCs w:val="24"/>
        </w:rPr>
        <w:t xml:space="preserve">• </w:t>
      </w:r>
      <w:r>
        <w:rPr>
          <w:rFonts w:ascii="Georgia" w:hAnsi="Georgia"/>
          <w:b/>
          <w:bCs/>
          <w:sz w:val="24"/>
          <w:szCs w:val="24"/>
        </w:rPr>
        <w:t>The Mentioned Energy Crisis</w:t>
      </w:r>
    </w:p>
    <w:p>
      <w:pPr>
        <w:pStyle w:val="TextBody"/>
        <w:bidi w:val="0"/>
        <w:spacing w:lineRule="auto" w:line="480"/>
        <w:jc w:val="left"/>
        <w:rPr>
          <w:rFonts w:ascii="Georgia" w:hAnsi="Georgia"/>
        </w:rPr>
      </w:pPr>
      <w:r>
        <w:rPr>
          <w:rFonts w:ascii="Georgia" w:hAnsi="Georgia"/>
        </w:rPr>
        <w:t>Hardin’s article was published in 1974.</w:t>
      </w:r>
    </w:p>
    <w:p>
      <w:pPr>
        <w:pStyle w:val="TextBody"/>
        <w:bidi w:val="0"/>
        <w:spacing w:lineRule="auto" w:line="480" w:before="0" w:after="140"/>
        <w:jc w:val="left"/>
        <w:rPr/>
      </w:pPr>
      <w:r>
        <w:rPr>
          <w:rFonts w:ascii="Georgia" w:hAnsi="Georgia"/>
        </w:rPr>
        <w:t>The extraordinary crisis in U.S. energy and economic policy — described by Hardin as evidence of resource-based limits to carrying capacity — in fact stemmed from the OPEC embargo imposed on the U.S. in response to its support of Israel during the 1973 Yom Kippur War. Nothing of this scale had been seen before — nor, fortunately, since the 1970s. In response, the U.S. government took steps to stre</w:t>
      </w:r>
      <w:r>
        <w:rPr>
          <w:rFonts w:ascii="Georgia" w:hAnsi="Georgia"/>
          <w:b w:val="false"/>
          <w:bCs w:val="false"/>
        </w:rPr>
        <w:t xml:space="preserve">ngthen domestic oil production through tax incentives and to improve access to existing reserves (e.g., the </w:t>
      </w:r>
      <w:r>
        <w:rPr>
          <w:rStyle w:val="StrongEmphasis"/>
          <w:rFonts w:ascii="Georgia" w:hAnsi="Georgia"/>
          <w:b w:val="false"/>
          <w:bCs w:val="false"/>
        </w:rPr>
        <w:t>Alaska Pipeline Authorization Act</w:t>
      </w:r>
      <w:r>
        <w:rPr>
          <w:rFonts w:ascii="Georgia" w:hAnsi="Georgia"/>
          <w:b w:val="false"/>
          <w:bCs w:val="false"/>
        </w:rPr>
        <w:t xml:space="preserve"> </w:t>
      </w:r>
      <w:r>
        <w:rPr>
          <w:rFonts w:ascii="Georgia" w:hAnsi="Georgia"/>
          <w:b w:val="false"/>
          <w:bCs w:val="false"/>
          <w:color w:val="auto"/>
        </w:rPr>
        <w:t>of 1</w:t>
      </w:r>
      <w:r>
        <w:rPr>
          <w:rFonts w:ascii="Georgia" w:hAnsi="Georgia"/>
          <w:color w:val="auto"/>
        </w:rPr>
        <w:t>973).</w:t>
      </w:r>
    </w:p>
    <w:p>
      <w:pPr>
        <w:pStyle w:val="TextBody"/>
        <w:bidi w:val="0"/>
        <w:spacing w:lineRule="auto" w:line="480" w:before="0" w:after="140"/>
        <w:jc w:val="left"/>
        <w:rPr/>
      </w:pPr>
      <w:r>
        <w:rPr>
          <w:rFonts w:ascii="Georgia" w:hAnsi="Georgia"/>
          <w:color w:val="auto"/>
        </w:rPr>
        <w:t>As the cr</w:t>
      </w:r>
      <w:r>
        <w:rPr>
          <w:rFonts w:ascii="Georgia" w:hAnsi="Georgia"/>
        </w:rPr>
        <w:t xml:space="preserve">isis was essentially an episode in the broader context of the Cold War — during which the USSR supported the forces attacking Israel — the embargo initiated by OAPEC and subsequently by OPEC may be regarded </w:t>
      </w:r>
      <w:r>
        <w:rPr>
          <w:rFonts w:ascii="Georgia" w:hAnsi="Georgia"/>
          <w:u w:val="none"/>
        </w:rPr>
        <w:t>as a strategic ma</w:t>
      </w:r>
      <w:r>
        <w:rPr>
          <w:rFonts w:ascii="Georgia" w:hAnsi="Georgia"/>
        </w:rPr>
        <w:t>neuver within a wider geopolitical backdrop. It was in precisely this light that the corresponding countermeasures were understood at the time — for instance, legislative groundwork was laid for the creation of a nationa</w:t>
      </w:r>
      <w:r>
        <w:rPr>
          <w:rFonts w:ascii="Georgia" w:hAnsi="Georgia"/>
          <w:u w:val="none"/>
        </w:rPr>
        <w:t>l</w:t>
      </w:r>
      <w:r>
        <w:rPr>
          <w:rFonts w:ascii="Georgia" w:hAnsi="Georgia"/>
          <w:b w:val="false"/>
          <w:bCs w:val="false"/>
          <w:i/>
          <w:iCs/>
          <w:u w:val="none"/>
        </w:rPr>
        <w:t xml:space="preserve"> </w:t>
      </w:r>
      <w:r>
        <w:rPr>
          <w:rStyle w:val="StrongEmphasis"/>
          <w:rFonts w:ascii="Georgia" w:hAnsi="Georgia"/>
          <w:b w:val="false"/>
          <w:bCs w:val="false"/>
          <w:i w:val="false"/>
          <w:iCs w:val="false"/>
          <w:u w:val="none"/>
        </w:rPr>
        <w:t>Strategic Petroleum Reserve</w:t>
      </w:r>
      <w:r>
        <w:rPr>
          <w:rFonts w:ascii="Georgia" w:hAnsi="Georgia"/>
          <w:b w:val="false"/>
          <w:bCs w:val="false"/>
          <w:i/>
          <w:iCs/>
          <w:u w:val="none"/>
        </w:rPr>
        <w:t>.</w:t>
      </w:r>
    </w:p>
    <w:p>
      <w:pPr>
        <w:pStyle w:val="TextBody"/>
        <w:bidi w:val="0"/>
        <w:spacing w:lineRule="auto" w:line="480"/>
        <w:jc w:val="left"/>
        <w:rPr>
          <w:rFonts w:ascii="Georgia" w:hAnsi="Georgia"/>
        </w:rPr>
      </w:pPr>
      <w:r>
        <w:rPr>
          <w:rFonts w:ascii="Georgia" w:hAnsi="Georgia"/>
        </w:rPr>
        <w:t>In metaphorical terms: while Hardin sounded an existential alarm, others simply decided to order a bigger barrel for temporary storage. The decision-makers of fifty years ago saw no need — nor reason to debate whether anything would be available to pour into it.</w:t>
      </w:r>
    </w:p>
    <w:p>
      <w:pPr>
        <w:pStyle w:val="TextBody"/>
        <w:bidi w:val="0"/>
        <w:spacing w:lineRule="auto" w:line="480"/>
        <w:jc w:val="left"/>
        <w:rPr>
          <w:rFonts w:ascii="Georgia" w:hAnsi="Georgia"/>
        </w:rPr>
      </w:pPr>
      <w:r>
        <w:rPr>
          <w:rFonts w:ascii="Georgia" w:hAnsi="Georgia"/>
        </w:rPr>
        <w:t>Of course, oil is a non-renewable fossil fuel.</w:t>
      </w:r>
    </w:p>
    <w:p>
      <w:pPr>
        <w:pStyle w:val="TextBody"/>
        <w:bidi w:val="0"/>
        <w:spacing w:lineRule="auto" w:line="480"/>
        <w:jc w:val="left"/>
        <w:rPr>
          <w:rFonts w:ascii="Georgia" w:hAnsi="Georgia"/>
        </w:rPr>
      </w:pPr>
      <w:r>
        <w:rPr>
          <w:rFonts w:ascii="Georgia" w:hAnsi="Georgia"/>
        </w:rPr>
        <w:t>However, it is only one of several possible sources of energy.</w:t>
      </w:r>
    </w:p>
    <w:p>
      <w:pPr>
        <w:pStyle w:val="TextBody"/>
        <w:bidi w:val="0"/>
        <w:spacing w:lineRule="auto" w:line="480"/>
        <w:jc w:val="left"/>
        <w:rPr>
          <w:rFonts w:ascii="Georgia" w:hAnsi="Georgia"/>
        </w:rPr>
      </w:pPr>
      <w:r>
        <w:rPr>
          <w:rFonts w:ascii="Georgia" w:hAnsi="Georgia"/>
        </w:rPr>
        <w:t>Even though oil production in the U.S. has unquestionably increased over the past half-century, its share in the country’s overall energy mix has, in fact, decreased proportionally. In contrast, the share of energy derived from the fission of heavy atomic nuclei and the adoption of renewable energy sources has increased. Globally, investment-driven efforts to harness the energy released through the fusion of light atomic nuclei have now reached the stage of promising prototypes — particularly in France but also in China.</w:t>
      </w:r>
    </w:p>
    <w:p>
      <w:pPr>
        <w:pStyle w:val="TextBody"/>
        <w:bidi w:val="0"/>
        <w:spacing w:lineRule="auto" w:line="480" w:before="0" w:after="140"/>
        <w:jc w:val="left"/>
        <w:rPr/>
      </w:pPr>
      <w:r>
        <w:rPr>
          <w:rFonts w:ascii="Georgia" w:hAnsi="Georgia"/>
        </w:rPr>
        <w:t>Although the acute crisis of 1973 may be seen either as a calculated geopolitical risk or as a foreign policy</w:t>
      </w:r>
      <w:r>
        <w:rPr>
          <w:rFonts w:ascii="Georgia" w:hAnsi="Georgia"/>
          <w:i w:val="false"/>
          <w:iCs w:val="false"/>
        </w:rPr>
        <w:t xml:space="preserve"> </w:t>
      </w:r>
      <w:r>
        <w:rPr>
          <w:rStyle w:val="Emphasis"/>
          <w:rFonts w:ascii="Georgia" w:hAnsi="Georgia"/>
          <w:i w:val="false"/>
          <w:iCs w:val="false"/>
        </w:rPr>
        <w:t>epic failure</w:t>
      </w:r>
      <w:r>
        <w:rPr>
          <w:rFonts w:ascii="Georgia" w:hAnsi="Georgia"/>
        </w:rPr>
        <w:t>, Hardin employs this emotionally charged episode as direct evidence in support of an entirely different kind of argument.</w:t>
      </w:r>
    </w:p>
    <w:p>
      <w:pPr>
        <w:pStyle w:val="TextBody"/>
        <w:bidi w:val="0"/>
        <w:spacing w:lineRule="auto" w:line="480" w:before="0" w:after="140"/>
        <w:jc w:val="left"/>
        <w:rPr>
          <w:rFonts w:ascii="Georgia" w:hAnsi="Georgia"/>
          <w:b w:val="false"/>
          <w:b w:val="false"/>
          <w:bCs w:val="false"/>
          <w:sz w:val="24"/>
          <w:szCs w:val="24"/>
        </w:rPr>
      </w:pPr>
      <w:r>
        <w:rPr/>
      </w:r>
    </w:p>
    <w:p>
      <w:pPr>
        <w:pStyle w:val="TextBody"/>
        <w:bidi w:val="0"/>
        <w:spacing w:lineRule="auto" w:line="480" w:before="0" w:after="140"/>
        <w:jc w:val="left"/>
        <w:rPr/>
      </w:pPr>
      <w:r>
        <w:rPr>
          <w:rFonts w:ascii="Georgia" w:hAnsi="Georgia"/>
          <w:b/>
          <w:bCs/>
          <w:sz w:val="24"/>
          <w:szCs w:val="24"/>
        </w:rPr>
        <w:t xml:space="preserve">• </w:t>
      </w:r>
      <w:r>
        <w:rPr>
          <w:rFonts w:ascii="Georgia" w:hAnsi="Georgia"/>
          <w:b/>
          <w:bCs/>
          <w:sz w:val="24"/>
          <w:szCs w:val="24"/>
        </w:rPr>
        <w:t>Overpopulation and Hunger</w:t>
      </w:r>
    </w:p>
    <w:p>
      <w:pPr>
        <w:pStyle w:val="TextBody"/>
        <w:bidi w:val="0"/>
        <w:spacing w:lineRule="auto" w:line="480" w:before="0" w:after="140"/>
        <w:jc w:val="left"/>
        <w:rPr/>
      </w:pPr>
      <w:r>
        <w:rPr>
          <w:rFonts w:ascii="Georgia" w:hAnsi="Georgia"/>
        </w:rPr>
        <w:t>In the following (second) chapter, Hardin explains the intended meaning behind his use of the ‘lifeboat’ metaphor, summarising his subjective interpretation of it as a desired — or even obligatory — point of departure:</w:t>
        <w:br/>
      </w:r>
      <w:r>
        <w:rPr>
          <w:rStyle w:val="Emphasis"/>
          <w:rFonts w:ascii="Georgia" w:hAnsi="Georgia"/>
          <w:i w:val="false"/>
          <w:iCs w:val="false"/>
        </w:rPr>
        <w:t xml:space="preserve">“This is the basic metaphor within which we must work out our solutions” (Hardin </w:t>
      </w:r>
      <w:r>
        <w:rPr>
          <w:rStyle w:val="Emphasis"/>
          <w:rFonts w:eastAsia="NSimSun" w:cs="Lucida Sans" w:ascii="Georgia" w:hAnsi="Georgia"/>
          <w:i w:val="false"/>
          <w:iCs w:val="false"/>
          <w:color w:val="000000"/>
          <w:kern w:val="2"/>
          <w:sz w:val="24"/>
          <w:szCs w:val="24"/>
          <w:lang w:val="en-US" w:eastAsia="zh-CN" w:bidi="hi-IN"/>
        </w:rPr>
        <w:t>ibid</w:t>
      </w:r>
      <w:r>
        <w:rPr>
          <w:rStyle w:val="Emphasis"/>
          <w:rFonts w:ascii="Georgia" w:hAnsi="Georgia"/>
          <w:i w:val="false"/>
          <w:iCs w:val="false"/>
        </w:rPr>
        <w:t>:</w:t>
      </w:r>
      <w:r>
        <w:rPr>
          <w:rStyle w:val="Emphasis"/>
          <w:rFonts w:eastAsia="NSimSun" w:cs="Lucida Sans" w:ascii="Georgia" w:hAnsi="Georgia"/>
          <w:i w:val="false"/>
          <w:iCs w:val="false"/>
          <w:color w:val="000000"/>
          <w:kern w:val="2"/>
          <w:sz w:val="24"/>
          <w:szCs w:val="24"/>
          <w:lang w:val="en-US" w:eastAsia="zh-CN" w:bidi="hi-IN"/>
        </w:rPr>
        <w:t>2)</w:t>
      </w:r>
      <w:r>
        <w:rPr>
          <w:rStyle w:val="Emphasis"/>
          <w:rFonts w:ascii="Georgia" w:hAnsi="Georgia"/>
        </w:rPr>
        <w:t>.</w:t>
      </w:r>
    </w:p>
    <w:p>
      <w:pPr>
        <w:pStyle w:val="TextBody"/>
        <w:bidi w:val="0"/>
        <w:spacing w:lineRule="auto" w:line="480" w:before="0" w:after="140"/>
        <w:jc w:val="left"/>
        <w:rPr/>
      </w:pPr>
      <w:r>
        <w:rPr>
          <w:rFonts w:ascii="Georgia" w:hAnsi="Georgia"/>
        </w:rPr>
        <w:t xml:space="preserve">Let us set aside, for a moment, the tone of this assertion — one that resembles scripture more than science — since the result of science may involve metaphor, but science itself cannot be grounded in the supremacy of one or another subjective saying. As Mary Midgley aptly notes, </w:t>
      </w:r>
      <w:r>
        <w:rPr>
          <w:rStyle w:val="Emphasis"/>
          <w:rFonts w:ascii="Georgia" w:hAnsi="Georgia"/>
          <w:i w:val="false"/>
          <w:iCs w:val="false"/>
        </w:rPr>
        <w:t>“reduction is never value-neutral, never just aimed at simplicity, that it is always part of some positive propaganda campaign”</w:t>
      </w:r>
      <w:r>
        <w:rPr>
          <w:rFonts w:ascii="Georgia" w:hAnsi="Georgia"/>
          <w:i w:val="false"/>
          <w:iCs w:val="false"/>
        </w:rPr>
        <w:t xml:space="preserve"> </w:t>
      </w:r>
      <w:r>
        <w:rPr>
          <w:rFonts w:ascii="Georgia" w:hAnsi="Georgia"/>
        </w:rPr>
        <w:t>(ibid:32).</w:t>
      </w:r>
    </w:p>
    <w:p>
      <w:pPr>
        <w:pStyle w:val="TextBody"/>
        <w:bidi w:val="0"/>
        <w:spacing w:lineRule="auto" w:line="480" w:before="0" w:after="140"/>
        <w:jc w:val="left"/>
        <w:rPr/>
      </w:pPr>
      <w:r>
        <w:rPr>
          <w:rFonts w:ascii="Georgia" w:hAnsi="Georgia"/>
        </w:rPr>
        <w:t>Hardin continues the line already introduced in the opening section:</w:t>
      </w:r>
      <w:r>
        <w:rPr>
          <w:rFonts w:ascii="Georgia" w:hAnsi="Georgia"/>
          <w:i w:val="false"/>
          <w:iCs w:val="false"/>
        </w:rPr>
        <w:t xml:space="preserve"> </w:t>
      </w:r>
      <w:r>
        <w:rPr>
          <w:rStyle w:val="Emphasis"/>
          <w:rFonts w:ascii="Georgia" w:hAnsi="Georgia"/>
          <w:i w:val="false"/>
          <w:iCs w:val="false"/>
        </w:rPr>
        <w:t>“Let us now enrich the image, ...with substantive additions from the real world, a world that must solve real and pressing problems of overpopulation and hunger” (Hardin ibid:</w:t>
      </w:r>
      <w:r>
        <w:rPr>
          <w:rStyle w:val="Emphasis"/>
          <w:rFonts w:eastAsia="NSimSun" w:cs="Lucida Sans" w:ascii="Georgia" w:hAnsi="Georgia"/>
          <w:i w:val="false"/>
          <w:iCs w:val="false"/>
          <w:color w:val="000000"/>
          <w:kern w:val="2"/>
          <w:sz w:val="24"/>
          <w:szCs w:val="24"/>
          <w:lang w:val="en-US" w:eastAsia="zh-CN" w:bidi="hi-IN"/>
        </w:rPr>
        <w:t>2)</w:t>
      </w:r>
      <w:r>
        <w:rPr>
          <w:rStyle w:val="Emphasis"/>
          <w:rFonts w:ascii="Georgia" w:hAnsi="Georgia"/>
          <w:i w:val="false"/>
          <w:iCs w:val="false"/>
        </w:rPr>
        <w:t>.</w:t>
      </w:r>
    </w:p>
    <w:p>
      <w:pPr>
        <w:pStyle w:val="TextBody"/>
        <w:bidi w:val="0"/>
        <w:spacing w:lineRule="auto" w:line="480" w:before="0" w:after="140"/>
        <w:jc w:val="left"/>
        <w:rPr/>
      </w:pPr>
      <w:r>
        <w:rPr>
          <w:rFonts w:ascii="Georgia" w:hAnsi="Georgia"/>
        </w:rPr>
        <w:t>Hunger, and its tangible counterpart — the sensation of hunger — is not a newly emergent or randomly occurring human phenomenon. Th</w:t>
      </w:r>
      <w:r>
        <w:rPr>
          <w:rFonts w:ascii="Georgia" w:hAnsi="Georgia"/>
          <w:b w:val="false"/>
          <w:bCs w:val="false"/>
        </w:rPr>
        <w:t xml:space="preserve">e </w:t>
      </w:r>
      <w:r>
        <w:rPr>
          <w:rStyle w:val="StrongEmphasis"/>
          <w:rFonts w:ascii="Georgia" w:hAnsi="Georgia"/>
          <w:b w:val="false"/>
          <w:bCs w:val="false"/>
        </w:rPr>
        <w:t>evolutionary value</w:t>
      </w:r>
      <w:r>
        <w:rPr>
          <w:rFonts w:ascii="Georgia" w:hAnsi="Georgia"/>
          <w:b w:val="false"/>
          <w:bCs w:val="false"/>
        </w:rPr>
        <w:t xml:space="preserve"> </w:t>
      </w:r>
      <w:r>
        <w:rPr>
          <w:rFonts w:ascii="Georgia" w:hAnsi="Georgia"/>
        </w:rPr>
        <w:t>associated with it points clearly to its persistent presence in the evolutionary perspective. Periodic and prolonged dietary restrictions (fasting), for instance, are promoted across all Abrahamic religions, and numerous studies have been published on the positive effects associated with this practice — notably the r</w:t>
      </w:r>
      <w:r>
        <w:rPr>
          <w:rFonts w:ascii="Georgia" w:hAnsi="Georgia"/>
          <w:b w:val="false"/>
          <w:bCs w:val="false"/>
        </w:rPr>
        <w:t xml:space="preserve">esearch on </w:t>
      </w:r>
      <w:r>
        <w:rPr>
          <w:rStyle w:val="StrongEmphasis"/>
          <w:rFonts w:ascii="Georgia" w:hAnsi="Georgia"/>
          <w:b w:val="false"/>
          <w:bCs w:val="false"/>
        </w:rPr>
        <w:t>autophagy</w:t>
      </w:r>
      <w:r>
        <w:rPr>
          <w:rFonts w:ascii="Georgia" w:hAnsi="Georgia"/>
          <w:b w:val="false"/>
          <w:bCs w:val="false"/>
        </w:rPr>
        <w:t xml:space="preserve"> </w:t>
      </w:r>
      <w:r>
        <w:rPr>
          <w:rFonts w:ascii="Georgia" w:hAnsi="Georgia"/>
        </w:rPr>
        <w:t>by Dr. Yoshinori Ohsumi, which was awarded the Nobel Prize in 2016.</w:t>
      </w:r>
    </w:p>
    <w:p>
      <w:pPr>
        <w:pStyle w:val="TextBody"/>
        <w:bidi w:val="0"/>
        <w:spacing w:lineRule="auto" w:line="480"/>
        <w:jc w:val="left"/>
        <w:rPr>
          <w:rFonts w:ascii="Georgia" w:hAnsi="Georgia"/>
        </w:rPr>
      </w:pPr>
      <w:r>
        <w:rPr>
          <w:rFonts w:ascii="Georgia" w:hAnsi="Georgia"/>
        </w:rPr>
        <w:t>Despite the culturally and historically embedded — and in a broader sense, evolutionarily significant — nature of hunger, all forms of excess remain objectionable.</w:t>
      </w:r>
    </w:p>
    <w:p>
      <w:pPr>
        <w:pStyle w:val="TextBody"/>
        <w:bidi w:val="0"/>
        <w:spacing w:lineRule="auto" w:line="480"/>
        <w:jc w:val="left"/>
        <w:rPr>
          <w:rFonts w:ascii="Georgia" w:hAnsi="Georgia"/>
        </w:rPr>
      </w:pPr>
      <w:r>
        <w:rPr>
          <w:rFonts w:ascii="Georgia" w:hAnsi="Georgia"/>
        </w:rPr>
        <w:t>It is indeed true that the world periodically experiences tragic famines, either cyclical or escalating in nature.</w:t>
      </w:r>
    </w:p>
    <w:p>
      <w:pPr>
        <w:pStyle w:val="TextBody"/>
        <w:bidi w:val="0"/>
        <w:spacing w:lineRule="auto" w:line="480" w:before="0" w:after="140"/>
        <w:jc w:val="left"/>
        <w:rPr/>
      </w:pPr>
      <w:r>
        <w:rPr>
          <w:rFonts w:ascii="Georgia" w:hAnsi="Georgia"/>
        </w:rPr>
        <w:t xml:space="preserve">One significant contributing factor must be identified in the climatic cataclysms characteristic of our current geological epoch, whose amplitude and frequency have increased throughout the Pleistocene. Over the past couple of hundred thousand years, the scale and rapidity of environmental shifts have been decisive in eliminating a vast number of biological species. They simply did not have enough time to adapt. We know there were many more hominin species — all of which vanished (Raia et al 2020). </w:t>
      </w:r>
      <w:r>
        <w:rPr>
          <w:rFonts w:eastAsia="NSimSun" w:cs="Lucida Sans" w:ascii="Georgia" w:hAnsi="Georgia"/>
          <w:color w:val="auto"/>
          <w:kern w:val="2"/>
          <w:sz w:val="24"/>
          <w:szCs w:val="24"/>
          <w:lang w:val="en-US" w:eastAsia="zh-CN" w:bidi="hi-IN"/>
        </w:rPr>
        <w:t>E</w:t>
      </w:r>
      <w:r>
        <w:rPr>
          <w:rFonts w:ascii="Georgia" w:hAnsi="Georgia"/>
        </w:rPr>
        <w:t xml:space="preserve">ven the most familiar among them, such as the Neanderthals — who disappeared through hybridisation (a </w:t>
      </w:r>
      <w:r>
        <w:rPr>
          <w:rStyle w:val="Emphasis"/>
          <w:rFonts w:ascii="Georgia" w:hAnsi="Georgia"/>
        </w:rPr>
        <w:t>pseudo</w:t>
      </w:r>
      <w:r>
        <w:rPr>
          <w:rStyle w:val="Emphasis"/>
          <w:rFonts w:ascii="Georgia" w:hAnsi="Georgia"/>
          <w:i w:val="false"/>
          <w:iCs w:val="false"/>
        </w:rPr>
        <w:t>-extinction</w:t>
      </w:r>
      <w:r>
        <w:rPr>
          <w:rFonts w:ascii="Georgia" w:hAnsi="Georgia"/>
        </w:rPr>
        <w:t>) — had small, vulnerable populations and faced near-extinction more than once toward the end of the Pleistocene.</w:t>
      </w:r>
    </w:p>
    <w:p>
      <w:pPr>
        <w:pStyle w:val="TextBody"/>
        <w:bidi w:val="0"/>
        <w:spacing w:lineRule="auto" w:line="480" w:before="0" w:after="140"/>
        <w:jc w:val="left"/>
        <w:rPr/>
      </w:pPr>
      <w:r>
        <w:rPr>
          <w:rFonts w:ascii="Georgia" w:hAnsi="Georgia"/>
        </w:rPr>
        <w:t>Following the most recent colder cycle — often, though misleadingly, dramatized as an “ice age” — the tropical belt has undergone gradual desertification. For example, just 10,000 years ago, the Arabian Peninsula was home to meadows, lakes, and wetlands fed by monsoon rains originating from what are now the arid regions of the Sahara</w:t>
      </w:r>
      <w:r>
        <w:rPr>
          <w:rFonts w:ascii="Georgia" w:hAnsi="Georgia"/>
          <w:i w:val="false"/>
          <w:iCs w:val="false"/>
        </w:rPr>
        <w:t xml:space="preserve"> (</w:t>
      </w:r>
      <w:r>
        <w:rPr>
          <w:rStyle w:val="Emphasis"/>
          <w:rFonts w:ascii="Georgia" w:hAnsi="Georgia"/>
          <w:i w:val="false"/>
          <w:iCs w:val="false"/>
        </w:rPr>
        <w:t>Enzel et al 2015</w:t>
      </w:r>
      <w:r>
        <w:rPr>
          <w:rFonts w:ascii="Georgia" w:hAnsi="Georgia"/>
          <w:i w:val="false"/>
          <w:iCs w:val="false"/>
        </w:rPr>
        <w:t>)</w:t>
      </w:r>
      <w:r>
        <w:rPr>
          <w:rFonts w:ascii="Georgia" w:hAnsi="Georgia"/>
        </w:rPr>
        <w:t>. Since the last</w:t>
      </w:r>
      <w:r>
        <w:rPr>
          <w:rFonts w:ascii="Georgia" w:hAnsi="Georgia"/>
          <w:highlight w:val="yellow"/>
        </w:rPr>
        <w:t xml:space="preserve"> </w:t>
      </w:r>
      <w:r>
        <w:rPr>
          <w:rFonts w:ascii="Georgia" w:hAnsi="Georgia"/>
        </w:rPr>
        <w:t>glacial maximum, global warming has led to the desertification in total of more than 20 million square kilometres of what was previously highly fertile — and solar-rich — land.</w:t>
      </w:r>
    </w:p>
    <w:p>
      <w:pPr>
        <w:pStyle w:val="TextBody"/>
        <w:bidi w:val="0"/>
        <w:spacing w:lineRule="auto" w:line="480" w:before="0" w:after="140"/>
        <w:jc w:val="left"/>
        <w:rPr/>
      </w:pPr>
      <w:r>
        <w:rPr>
          <w:rFonts w:ascii="Georgia" w:hAnsi="Georgia"/>
        </w:rPr>
        <w:t>This process of desertification has coincided with the disappearance of entire civilisations. Among the m</w:t>
      </w:r>
      <w:r>
        <w:rPr>
          <w:rFonts w:ascii="Georgia" w:hAnsi="Georgia"/>
          <w:b w:val="false"/>
          <w:bCs w:val="false"/>
        </w:rPr>
        <w:t xml:space="preserve">ost notable examples are the </w:t>
      </w:r>
      <w:r>
        <w:rPr>
          <w:rStyle w:val="StrongEmphasis"/>
          <w:rFonts w:ascii="Georgia" w:hAnsi="Georgia"/>
          <w:b w:val="false"/>
          <w:bCs w:val="false"/>
        </w:rPr>
        <w:t>Indus civilisation</w:t>
      </w:r>
      <w:r>
        <w:rPr>
          <w:rFonts w:ascii="Georgia" w:hAnsi="Georgia"/>
          <w:b w:val="false"/>
          <w:bCs w:val="false"/>
        </w:rPr>
        <w:t xml:space="preserve"> (climate changes in addition to tectonic factors), </w:t>
      </w:r>
      <w:r>
        <w:rPr>
          <w:rStyle w:val="StrongEmphasis"/>
          <w:rFonts w:ascii="Georgia" w:hAnsi="Georgia"/>
          <w:b w:val="false"/>
          <w:bCs w:val="false"/>
        </w:rPr>
        <w:t>Akkad</w:t>
      </w:r>
      <w:r>
        <w:rPr>
          <w:rFonts w:ascii="Georgia" w:hAnsi="Georgia"/>
          <w:b w:val="false"/>
          <w:bCs w:val="false"/>
        </w:rPr>
        <w:t xml:space="preserve"> (drought), and </w:t>
      </w:r>
      <w:r>
        <w:rPr>
          <w:rStyle w:val="StrongEmphasis"/>
          <w:rFonts w:ascii="Georgia" w:hAnsi="Georgia"/>
          <w:b w:val="false"/>
          <w:bCs w:val="false"/>
        </w:rPr>
        <w:t>Sumer</w:t>
      </w:r>
      <w:r>
        <w:rPr>
          <w:rFonts w:ascii="Georgia" w:hAnsi="Georgia"/>
          <w:b w:val="false"/>
          <w:bCs w:val="false"/>
        </w:rPr>
        <w:t xml:space="preserve"> (drought and salinisation of farmland due to increased artificial irrigation). All of these listed, and several others, were directly impacted by the so-called </w:t>
      </w:r>
      <w:r>
        <w:rPr>
          <w:rStyle w:val="StrongEmphasis"/>
          <w:rFonts w:ascii="Georgia" w:hAnsi="Georgia"/>
          <w:b w:val="false"/>
          <w:bCs w:val="false"/>
          <w:i/>
          <w:iCs/>
        </w:rPr>
        <w:t>4.2k event</w:t>
      </w:r>
      <w:r>
        <w:rPr>
          <w:rFonts w:ascii="Georgia" w:hAnsi="Georgia"/>
          <w:b w:val="false"/>
          <w:bCs w:val="false"/>
        </w:rPr>
        <w:t>, considered the most disruptive climate event of the Holocene, in terms of both its triggering mechan</w:t>
      </w:r>
      <w:r>
        <w:rPr>
          <w:rFonts w:ascii="Georgia" w:hAnsi="Georgia"/>
        </w:rPr>
        <w:t>isms and long-term aftermath.</w:t>
      </w:r>
    </w:p>
    <w:p>
      <w:pPr>
        <w:pStyle w:val="TextBody"/>
        <w:bidi w:val="0"/>
        <w:spacing w:lineRule="auto" w:line="480"/>
        <w:jc w:val="left"/>
        <w:rPr>
          <w:rFonts w:ascii="Georgia" w:hAnsi="Georgia"/>
        </w:rPr>
      </w:pPr>
      <w:r>
        <w:rPr>
          <w:rFonts w:ascii="Georgia" w:hAnsi="Georgia"/>
        </w:rPr>
        <w:t>Can the decline of these civilisations — whose populations were, by today’s standards, relatively small — along with their immense human suffering, be characterised, following Hardin’s line of thinking, as the outcome of overpopulation?</w:t>
      </w:r>
    </w:p>
    <w:p>
      <w:pPr>
        <w:pStyle w:val="TextBody"/>
        <w:bidi w:val="0"/>
        <w:spacing w:lineRule="auto" w:line="480"/>
        <w:jc w:val="left"/>
        <w:rPr>
          <w:rFonts w:ascii="Georgia" w:hAnsi="Georgia"/>
        </w:rPr>
      </w:pPr>
      <w:r>
        <w:rPr>
          <w:rFonts w:ascii="Georgia" w:hAnsi="Georgia"/>
        </w:rPr>
        <w:t>They cannot.</w:t>
      </w:r>
    </w:p>
    <w:p>
      <w:pPr>
        <w:pStyle w:val="TextBody"/>
        <w:bidi w:val="0"/>
        <w:spacing w:lineRule="auto" w:line="480"/>
        <w:jc w:val="left"/>
        <w:rPr>
          <w:rFonts w:ascii="Georgia" w:hAnsi="Georgia"/>
        </w:rPr>
      </w:pPr>
      <w:r>
        <w:rPr>
          <w:rFonts w:ascii="Georgia" w:hAnsi="Georgia"/>
        </w:rPr>
        <w:t>LaFollette (2003:241) confirms a broad consensus that natural disasters are commonly recognised as significant contributing factors behind modern famines.</w:t>
      </w:r>
    </w:p>
    <w:p>
      <w:pPr>
        <w:pStyle w:val="TextBody"/>
        <w:bidi w:val="0"/>
        <w:spacing w:lineRule="auto" w:line="480"/>
        <w:jc w:val="left"/>
        <w:rPr>
          <w:rFonts w:ascii="Georgia" w:hAnsi="Georgia"/>
        </w:rPr>
      </w:pPr>
      <w:r>
        <w:rPr>
          <w:rFonts w:ascii="Georgia" w:hAnsi="Georgia"/>
        </w:rPr>
        <w:t>However, environmental factors are far from the only ones.</w:t>
      </w:r>
    </w:p>
    <w:p>
      <w:pPr>
        <w:pStyle w:val="TextBody"/>
        <w:bidi w:val="0"/>
        <w:spacing w:lineRule="auto" w:line="480" w:before="0" w:after="140"/>
        <w:jc w:val="left"/>
        <w:rPr/>
      </w:pPr>
      <w:r>
        <w:rPr>
          <w:rFonts w:ascii="Georgia" w:hAnsi="Georgia"/>
        </w:rPr>
        <w:t xml:space="preserve">The 1974 famine in Bangladesh is largely remembered by the public for coinciding with severe floods, which in some regions destroyed much of the already stored harvest and caused a dramatic surge in food prices. Notably, the famine began after a successful harvest. The core issue, therefore, was not the availability of food, but rather its accessibility across different social strata—a situation shaped by complex social and economic factors (Sen 1981:131). </w:t>
      </w:r>
    </w:p>
    <w:p>
      <w:pPr>
        <w:pStyle w:val="TextBody"/>
        <w:bidi w:val="0"/>
        <w:spacing w:lineRule="auto" w:line="480" w:before="0" w:after="140"/>
        <w:jc w:val="left"/>
        <w:rPr/>
      </w:pPr>
      <w:r>
        <w:rPr>
          <w:rFonts w:ascii="Georgia" w:hAnsi="Georgia"/>
        </w:rPr>
        <w:t xml:space="preserve">Also Singer notes that since the time Hardin wrote about </w:t>
      </w:r>
      <w:r>
        <w:rPr>
          <w:rStyle w:val="Emphasis"/>
          <w:rFonts w:ascii="Georgia" w:hAnsi="Georgia"/>
        </w:rPr>
        <w:t xml:space="preserve">lifeboat ethics </w:t>
      </w:r>
      <w:r>
        <w:rPr>
          <w:rStyle w:val="Emphasis"/>
          <w:rFonts w:ascii="Georgia" w:hAnsi="Georgia"/>
          <w:i w:val="false"/>
          <w:iCs w:val="false"/>
        </w:rPr>
        <w:t>in 1974,</w:t>
      </w:r>
      <w:r>
        <w:rPr>
          <w:rFonts w:ascii="Georgia" w:hAnsi="Georgia"/>
          <w:i w:val="false"/>
          <w:iCs w:val="false"/>
        </w:rPr>
        <w:t xml:space="preserve"> </w:t>
      </w:r>
      <w:r>
        <w:rPr>
          <w:rFonts w:ascii="Georgia" w:hAnsi="Georgia"/>
        </w:rPr>
        <w:t xml:space="preserve">Bangladesh’s population has continued to grow — and, contrary to Hardin’s predictions, the region’s capacity to feed its population has </w:t>
      </w:r>
      <w:r>
        <w:rPr>
          <w:rStyle w:val="Emphasis"/>
          <w:rFonts w:ascii="Georgia" w:hAnsi="Georgia"/>
          <w:i w:val="false"/>
          <w:iCs w:val="false"/>
        </w:rPr>
        <w:t>“proved much greater than Hardin thought possible”</w:t>
      </w:r>
      <w:r>
        <w:rPr>
          <w:rFonts w:ascii="Georgia" w:hAnsi="Georgia"/>
        </w:rPr>
        <w:t xml:space="preserve"> (Singer 2011:206).</w:t>
      </w:r>
    </w:p>
    <w:p>
      <w:pPr>
        <w:pStyle w:val="TextBody"/>
        <w:bidi w:val="0"/>
        <w:spacing w:lineRule="auto" w:line="480" w:before="0" w:after="140"/>
        <w:jc w:val="left"/>
        <w:rPr/>
      </w:pPr>
      <w:r>
        <w:rPr>
          <w:rFonts w:ascii="Georgia" w:hAnsi="Georgia"/>
        </w:rPr>
        <w:t>B.G. Kumar, who conducted a case study on the Ethiopian famines (1973-1975), emphasises that</w:t>
      </w:r>
      <w:r>
        <w:rPr>
          <w:rFonts w:ascii="Georgia" w:hAnsi="Georgia"/>
          <w:i w:val="false"/>
          <w:iCs w:val="false"/>
        </w:rPr>
        <w:t xml:space="preserve"> </w:t>
      </w:r>
      <w:r>
        <w:rPr>
          <w:rStyle w:val="Emphasis"/>
          <w:rFonts w:ascii="Georgia" w:hAnsi="Georgia"/>
          <w:i w:val="false"/>
          <w:iCs w:val="false"/>
        </w:rPr>
        <w:t>“some major famines have occurred with no overall decline in food availability”</w:t>
      </w:r>
      <w:r>
        <w:rPr>
          <w:rFonts w:ascii="Georgia" w:hAnsi="Georgia"/>
          <w:i w:val="false"/>
          <w:iCs w:val="false"/>
        </w:rPr>
        <w:t xml:space="preserve"> </w:t>
      </w:r>
      <w:r>
        <w:rPr>
          <w:rFonts w:ascii="Georgia" w:hAnsi="Georgia"/>
        </w:rPr>
        <w:t>(Kumar 1990:174).</w:t>
      </w:r>
    </w:p>
    <w:p>
      <w:pPr>
        <w:pStyle w:val="TextBody"/>
        <w:bidi w:val="0"/>
        <w:spacing w:lineRule="auto" w:line="480" w:before="0" w:after="140"/>
        <w:jc w:val="left"/>
        <w:rPr/>
      </w:pPr>
      <w:r>
        <w:rPr>
          <w:rFonts w:ascii="Georgia" w:hAnsi="Georgia"/>
        </w:rPr>
        <w:t>Naturally, in the collapse of the ancient civilisations described earlier, famine severity was also related</w:t>
      </w:r>
      <w:r>
        <w:rPr>
          <w:rFonts w:ascii="Georgia" w:hAnsi="Georgia"/>
          <w:b w:val="false"/>
          <w:bCs w:val="false"/>
        </w:rPr>
        <w:t xml:space="preserve"> to </w:t>
      </w:r>
      <w:r>
        <w:rPr>
          <w:rStyle w:val="StrongEmphasis"/>
          <w:rFonts w:ascii="Georgia" w:hAnsi="Georgia"/>
          <w:b w:val="false"/>
          <w:bCs w:val="false"/>
        </w:rPr>
        <w:t>purchasing power</w:t>
      </w:r>
      <w:r>
        <w:rPr>
          <w:rFonts w:ascii="Georgia" w:hAnsi="Georgia"/>
          <w:b w:val="false"/>
          <w:bCs w:val="false"/>
        </w:rPr>
        <w:t xml:space="preserve">, </w:t>
      </w:r>
      <w:r>
        <w:rPr>
          <w:rStyle w:val="StrongEmphasis"/>
          <w:rFonts w:ascii="Georgia" w:hAnsi="Georgia"/>
          <w:b w:val="false"/>
          <w:bCs w:val="false"/>
        </w:rPr>
        <w:t>food accessibility</w:t>
      </w:r>
      <w:r>
        <w:rPr>
          <w:rFonts w:ascii="Georgia" w:hAnsi="Georgia"/>
        </w:rPr>
        <w:t>, and similar factors, since later written accounts rely on the recollections of those survivors who possessed the ability to generalise from experience.</w:t>
      </w:r>
    </w:p>
    <w:p>
      <w:pPr>
        <w:pStyle w:val="TextBody"/>
        <w:bidi w:val="0"/>
        <w:spacing w:lineRule="auto" w:line="480" w:before="0" w:after="140"/>
        <w:jc w:val="left"/>
        <w:rPr/>
      </w:pPr>
      <w:r>
        <w:rPr>
          <w:rFonts w:ascii="Georgia" w:hAnsi="Georgia"/>
        </w:rPr>
        <w:t>Anonymous financial aid sent from other parts of the world may not significantly improve food access for less privileged social classes. However, Dreze &amp; Sen (1989:258–259) point to a measurable out</w:t>
      </w:r>
      <w:r>
        <w:rPr>
          <w:rFonts w:ascii="Georgia" w:hAnsi="Georgia"/>
          <w:b w:val="false"/>
          <w:bCs w:val="false"/>
        </w:rPr>
        <w:t xml:space="preserve">come: </w:t>
      </w:r>
      <w:r>
        <w:rPr>
          <w:rStyle w:val="StrongEmphasis"/>
          <w:rFonts w:ascii="Georgia" w:hAnsi="Georgia"/>
          <w:b w:val="false"/>
          <w:bCs w:val="false"/>
        </w:rPr>
        <w:t>increased life expectancy during WWII in the UK</w:t>
      </w:r>
      <w:r>
        <w:rPr>
          <w:rFonts w:ascii="Georgia" w:hAnsi="Georgia"/>
          <w:b w:val="false"/>
          <w:bCs w:val="false"/>
        </w:rPr>
        <w:t xml:space="preserve">, </w:t>
      </w:r>
      <w:r>
        <w:rPr>
          <w:rFonts w:ascii="Georgia" w:hAnsi="Georgia"/>
        </w:rPr>
        <w:t>when British society became aware of the needs of its most vulnerable members and offered them targeted and coordinated support. In stark contrast, one must mention t</w:t>
      </w:r>
      <w:r>
        <w:rPr>
          <w:rFonts w:ascii="Georgia" w:hAnsi="Georgia"/>
          <w:b w:val="false"/>
          <w:bCs w:val="false"/>
        </w:rPr>
        <w:t xml:space="preserve">he </w:t>
      </w:r>
      <w:r>
        <w:rPr>
          <w:rStyle w:val="StrongEmphasis"/>
          <w:rFonts w:ascii="Georgia" w:hAnsi="Georgia"/>
          <w:b w:val="false"/>
          <w:bCs w:val="false"/>
        </w:rPr>
        <w:t>1932–1933 famine in Soviet Ukraine</w:t>
      </w:r>
      <w:r>
        <w:rPr>
          <w:rFonts w:ascii="Georgia" w:hAnsi="Georgia"/>
          <w:b w:val="false"/>
          <w:bCs w:val="false"/>
        </w:rPr>
        <w:t xml:space="preserve"> — a</w:t>
      </w:r>
      <w:r>
        <w:rPr>
          <w:rFonts w:ascii="Georgia" w:hAnsi="Georgia"/>
        </w:rPr>
        <w:t xml:space="preserve"> deliberately orchestrated disaster (the Holodomor), now reco</w:t>
      </w:r>
      <w:r>
        <w:rPr>
          <w:rFonts w:ascii="Georgia" w:hAnsi="Georgia"/>
          <w:b w:val="false"/>
          <w:bCs w:val="false"/>
        </w:rPr>
        <w:t xml:space="preserve">gnised as </w:t>
      </w:r>
      <w:r>
        <w:rPr>
          <w:rStyle w:val="StrongEmphasis"/>
          <w:rFonts w:ascii="Georgia" w:hAnsi="Georgia"/>
          <w:b w:val="false"/>
          <w:bCs w:val="false"/>
        </w:rPr>
        <w:t>genocide</w:t>
      </w:r>
      <w:r>
        <w:rPr>
          <w:rFonts w:ascii="Georgia" w:hAnsi="Georgia"/>
        </w:rPr>
        <w:t xml:space="preserve"> against a peaceful population, in which an estimated 3.5–5 million people died, primarily in agricultural regions, as a result of grain confiscations.</w:t>
      </w:r>
    </w:p>
    <w:p>
      <w:pPr>
        <w:pStyle w:val="TextBody"/>
        <w:bidi w:val="0"/>
        <w:spacing w:lineRule="auto" w:line="480"/>
        <w:jc w:val="left"/>
        <w:rPr>
          <w:rFonts w:ascii="Georgia" w:hAnsi="Georgia"/>
        </w:rPr>
      </w:pPr>
      <w:r>
        <w:rPr>
          <w:rFonts w:ascii="Georgia" w:hAnsi="Georgia"/>
        </w:rPr>
        <w:t>And once again:</w:t>
      </w:r>
    </w:p>
    <w:p>
      <w:pPr>
        <w:pStyle w:val="TextBody"/>
        <w:bidi w:val="0"/>
        <w:spacing w:lineRule="auto" w:line="480" w:before="0" w:after="140"/>
        <w:jc w:val="left"/>
        <w:rPr/>
      </w:pPr>
      <w:r>
        <w:rPr>
          <w:rFonts w:ascii="Georgia" w:hAnsi="Georgia"/>
          <w:b w:val="false"/>
          <w:bCs w:val="false"/>
        </w:rPr>
        <w:t xml:space="preserve">– </w:t>
      </w:r>
      <w:r>
        <w:rPr>
          <w:rFonts w:ascii="Georgia" w:hAnsi="Georgia"/>
          <w:b w:val="false"/>
          <w:bCs w:val="false"/>
        </w:rPr>
        <w:t xml:space="preserve">Can any of the above scenarios be properly described as the </w:t>
      </w:r>
      <w:r>
        <w:rPr>
          <w:rStyle w:val="StrongEmphasis"/>
          <w:rFonts w:ascii="Georgia" w:hAnsi="Georgia"/>
          <w:b w:val="false"/>
          <w:bCs w:val="false"/>
        </w:rPr>
        <w:t>direct result of overpopulation</w:t>
      </w:r>
      <w:r>
        <w:rPr>
          <w:rFonts w:ascii="Georgia" w:hAnsi="Georgia"/>
          <w:b w:val="false"/>
          <w:bCs w:val="false"/>
        </w:rPr>
        <w:t>?</w:t>
      </w:r>
    </w:p>
    <w:p>
      <w:pPr>
        <w:pStyle w:val="TextBody"/>
        <w:bidi w:val="0"/>
        <w:spacing w:lineRule="auto" w:line="480"/>
        <w:jc w:val="left"/>
        <w:rPr>
          <w:rFonts w:ascii="Georgia" w:hAnsi="Georgia"/>
        </w:rPr>
      </w:pPr>
      <w:r>
        <w:rPr>
          <w:rFonts w:ascii="Georgia" w:hAnsi="Georgia"/>
        </w:rPr>
        <w:t>They cannot.</w:t>
      </w:r>
    </w:p>
    <w:p>
      <w:pPr>
        <w:pStyle w:val="TextBody"/>
        <w:bidi w:val="0"/>
        <w:spacing w:lineRule="auto" w:line="480"/>
        <w:jc w:val="left"/>
        <w:rPr/>
      </w:pPr>
      <w:r>
        <w:rPr>
          <w:rFonts w:ascii="Georgia" w:hAnsi="Georgia"/>
        </w:rPr>
        <w:t>Population growth</w:t>
      </w:r>
      <w:r>
        <w:rPr>
          <w:rFonts w:ascii="Georgia" w:hAnsi="Georgia"/>
          <w:i w:val="false"/>
          <w:iCs w:val="false"/>
        </w:rPr>
        <w:t xml:space="preserve"> trends are </w:t>
      </w:r>
      <w:r>
        <w:rPr>
          <w:rStyle w:val="StrongEmphasis"/>
          <w:rFonts w:ascii="Georgia" w:hAnsi="Georgia"/>
          <w:b w:val="false"/>
          <w:bCs w:val="false"/>
          <w:i w:val="false"/>
          <w:iCs w:val="false"/>
        </w:rPr>
        <w:t>not linearly correlated</w:t>
      </w:r>
      <w:r>
        <w:rPr>
          <w:rFonts w:ascii="Georgia" w:hAnsi="Georgia"/>
          <w:i w:val="false"/>
          <w:iCs w:val="false"/>
        </w:rPr>
        <w:t xml:space="preserve"> w</w:t>
      </w:r>
      <w:r>
        <w:rPr>
          <w:rFonts w:ascii="Georgia" w:hAnsi="Georgia"/>
        </w:rPr>
        <w:t>ith famine — no more, and no more directly, than any other variable used in describing complex demographic realities.</w:t>
      </w:r>
    </w:p>
    <w:p>
      <w:pPr>
        <w:pStyle w:val="TextBody"/>
        <w:bidi w:val="0"/>
        <w:spacing w:lineRule="auto" w:line="480"/>
        <w:jc w:val="left"/>
        <w:rPr>
          <w:rFonts w:ascii="Georgia" w:hAnsi="Georgia"/>
          <w:b w:val="false"/>
          <w:b w:val="false"/>
          <w:bCs w:val="false"/>
          <w:sz w:val="24"/>
          <w:szCs w:val="24"/>
        </w:rPr>
      </w:pPr>
      <w:r>
        <w:rPr/>
      </w:r>
    </w:p>
    <w:p>
      <w:pPr>
        <w:pStyle w:val="TextBody"/>
        <w:bidi w:val="0"/>
        <w:spacing w:lineRule="auto" w:line="480"/>
        <w:jc w:val="left"/>
        <w:rPr>
          <w:rFonts w:ascii="Georgia" w:hAnsi="Georgia"/>
          <w:b w:val="false"/>
          <w:b w:val="false"/>
          <w:bCs w:val="false"/>
          <w:sz w:val="24"/>
          <w:szCs w:val="24"/>
        </w:rPr>
      </w:pPr>
      <w:r>
        <w:rPr/>
      </w:r>
    </w:p>
    <w:p>
      <w:pPr>
        <w:pStyle w:val="TextBody"/>
        <w:bidi w:val="0"/>
        <w:spacing w:lineRule="auto" w:line="480"/>
        <w:jc w:val="left"/>
        <w:rPr>
          <w:b/>
          <w:b/>
          <w:bCs/>
        </w:rPr>
      </w:pPr>
      <w:r>
        <w:rPr>
          <w:rFonts w:ascii="Georgia" w:hAnsi="Georgia"/>
          <w:b/>
          <w:bCs/>
          <w:sz w:val="24"/>
          <w:szCs w:val="24"/>
        </w:rPr>
        <w:t xml:space="preserve">• </w:t>
      </w:r>
      <w:r>
        <w:rPr>
          <w:rFonts w:ascii="Georgia" w:hAnsi="Georgia"/>
          <w:b/>
          <w:bCs/>
          <w:sz w:val="24"/>
          <w:szCs w:val="24"/>
        </w:rPr>
        <w:t>Agricultural Production</w:t>
      </w:r>
    </w:p>
    <w:p>
      <w:pPr>
        <w:pStyle w:val="TextBody"/>
        <w:bidi w:val="0"/>
        <w:spacing w:lineRule="auto" w:line="480"/>
        <w:jc w:val="left"/>
        <w:rPr>
          <w:rFonts w:ascii="Georgia" w:hAnsi="Georgia"/>
        </w:rPr>
      </w:pPr>
      <w:r>
        <w:rPr>
          <w:rFonts w:ascii="Georgia" w:hAnsi="Georgia"/>
        </w:rPr>
        <w:t>Agricultural production is the foundation of the food industry.</w:t>
      </w:r>
    </w:p>
    <w:p>
      <w:pPr>
        <w:pStyle w:val="TextBody"/>
        <w:bidi w:val="0"/>
        <w:spacing w:lineRule="auto" w:line="480"/>
        <w:jc w:val="left"/>
        <w:rPr>
          <w:rFonts w:ascii="Georgia" w:hAnsi="Georgia"/>
        </w:rPr>
      </w:pPr>
      <w:r>
        <w:rPr>
          <w:rFonts w:ascii="Georgia" w:hAnsi="Georgia"/>
        </w:rPr>
        <w:t>Historically, depending on climatic conditions, foraging evolved into either rudimentary slash-and-burn agriculture or more technically complex systems of irrigation channels aimed at improving soil conditions. Tools and methods adopted for cultivation have continually advanced.</w:t>
      </w:r>
    </w:p>
    <w:p>
      <w:pPr>
        <w:pStyle w:val="TextBody"/>
        <w:bidi w:val="0"/>
        <w:spacing w:lineRule="auto" w:line="480" w:before="0" w:after="140"/>
        <w:jc w:val="left"/>
        <w:rPr/>
      </w:pPr>
      <w:r>
        <w:rPr>
          <w:rFonts w:ascii="Georgia" w:hAnsi="Georgia"/>
          <w:b w:val="false"/>
          <w:bCs w:val="false"/>
        </w:rPr>
        <w:t xml:space="preserve">Today, in the United States, traditional methods such as </w:t>
      </w:r>
      <w:r>
        <w:rPr>
          <w:rStyle w:val="StrongEmphasis"/>
          <w:rFonts w:ascii="Georgia" w:hAnsi="Georgia"/>
          <w:b w:val="false"/>
          <w:bCs w:val="false"/>
        </w:rPr>
        <w:t>crop rotation</w:t>
      </w:r>
      <w:r>
        <w:rPr>
          <w:rFonts w:ascii="Georgia" w:hAnsi="Georgia"/>
          <w:b w:val="false"/>
          <w:bCs w:val="false"/>
        </w:rPr>
        <w:t xml:space="preserve">, </w:t>
      </w:r>
      <w:r>
        <w:rPr>
          <w:rStyle w:val="StrongEmphasis"/>
          <w:rFonts w:ascii="Georgia" w:hAnsi="Georgia"/>
          <w:b w:val="false"/>
          <w:bCs w:val="false"/>
        </w:rPr>
        <w:t>multi-field systems</w:t>
      </w:r>
      <w:r>
        <w:rPr>
          <w:rFonts w:ascii="Georgia" w:hAnsi="Georgia"/>
          <w:b w:val="false"/>
          <w:bCs w:val="false"/>
        </w:rPr>
        <w:t xml:space="preserve">, and </w:t>
      </w:r>
      <w:r>
        <w:rPr>
          <w:rStyle w:val="StrongEmphasis"/>
          <w:rFonts w:ascii="Georgia" w:hAnsi="Georgia"/>
          <w:b w:val="false"/>
          <w:bCs w:val="false"/>
        </w:rPr>
        <w:t>periodic tillage</w:t>
      </w:r>
      <w:r>
        <w:rPr>
          <w:rFonts w:ascii="Georgia" w:hAnsi="Georgia"/>
          <w:b w:val="false"/>
          <w:bCs w:val="false"/>
        </w:rPr>
        <w:t xml:space="preserve"> have largely been a</w:t>
      </w:r>
      <w:r>
        <w:rPr>
          <w:rFonts w:ascii="Georgia" w:hAnsi="Georgia"/>
        </w:rPr>
        <w:t>bandoned in large-scale production. U.S. agribusiness is now characterised by an e</w:t>
      </w:r>
      <w:r>
        <w:rPr>
          <w:rFonts w:ascii="Georgia" w:hAnsi="Georgia"/>
          <w:b w:val="false"/>
          <w:bCs w:val="false"/>
        </w:rPr>
        <w:t xml:space="preserve">mphasis on </w:t>
      </w:r>
      <w:r>
        <w:rPr>
          <w:rStyle w:val="StrongEmphasis"/>
          <w:rFonts w:ascii="Georgia" w:hAnsi="Georgia"/>
          <w:b w:val="false"/>
          <w:bCs w:val="false"/>
        </w:rPr>
        <w:t>monocultures</w:t>
      </w:r>
      <w:r>
        <w:rPr>
          <w:rFonts w:ascii="Georgia" w:hAnsi="Georgia"/>
          <w:b w:val="false"/>
          <w:bCs w:val="false"/>
        </w:rPr>
        <w:t xml:space="preserve">, significantly higher use of </w:t>
      </w:r>
      <w:r>
        <w:rPr>
          <w:rStyle w:val="StrongEmphasis"/>
          <w:rFonts w:ascii="Georgia" w:hAnsi="Georgia"/>
          <w:b w:val="false"/>
          <w:bCs w:val="false"/>
        </w:rPr>
        <w:t>chemical inputs</w:t>
      </w:r>
      <w:r>
        <w:rPr>
          <w:rFonts w:ascii="Georgia" w:hAnsi="Georgia"/>
          <w:b w:val="false"/>
          <w:bCs w:val="false"/>
        </w:rPr>
        <w:t xml:space="preserve"> (both to boost fertility and control pests and weeds), </w:t>
      </w:r>
      <w:r>
        <w:rPr>
          <w:rStyle w:val="StrongEmphasis"/>
          <w:rFonts w:ascii="Georgia" w:hAnsi="Georgia"/>
          <w:b w:val="false"/>
          <w:bCs w:val="false"/>
        </w:rPr>
        <w:t>less attention to soil structure techniques</w:t>
      </w:r>
      <w:r>
        <w:rPr>
          <w:rFonts w:ascii="Georgia" w:hAnsi="Georgia"/>
          <w:b w:val="false"/>
          <w:bCs w:val="false"/>
        </w:rPr>
        <w:t xml:space="preserve"> (compared to practices in Europe), and a greater reliance on </w:t>
      </w:r>
      <w:r>
        <w:rPr>
          <w:rStyle w:val="StrongEmphasis"/>
          <w:rFonts w:ascii="Georgia" w:hAnsi="Georgia"/>
          <w:b w:val="false"/>
          <w:bCs w:val="false"/>
        </w:rPr>
        <w:t>GMO crops</w:t>
      </w:r>
      <w:r>
        <w:rPr>
          <w:rFonts w:ascii="Georgia" w:hAnsi="Georgia"/>
          <w:b w:val="false"/>
          <w:bCs w:val="false"/>
        </w:rPr>
        <w:t xml:space="preserve"> — many of which are banned for cultivation and sale in the EU.</w:t>
      </w:r>
    </w:p>
    <w:p>
      <w:pPr>
        <w:pStyle w:val="TextBody"/>
        <w:bidi w:val="0"/>
        <w:spacing w:lineRule="auto" w:line="480"/>
        <w:jc w:val="left"/>
        <w:rPr/>
      </w:pPr>
      <w:r>
        <w:rPr>
          <w:rFonts w:ascii="Georgia" w:hAnsi="Georgia"/>
        </w:rPr>
        <w:t>Hardin also points out in his article that U.S. agricultural prod</w:t>
      </w:r>
      <w:r>
        <w:rPr>
          <w:rFonts w:ascii="Georgia" w:hAnsi="Georgia"/>
          <w:b w:val="false"/>
          <w:bCs w:val="false"/>
        </w:rPr>
        <w:t xml:space="preserve">uction is </w:t>
      </w:r>
      <w:r>
        <w:rPr>
          <w:rStyle w:val="StrongEmphasis"/>
          <w:rFonts w:ascii="Georgia" w:hAnsi="Georgia"/>
          <w:b w:val="false"/>
          <w:bCs w:val="false"/>
        </w:rPr>
        <w:t>subsidised</w:t>
      </w:r>
      <w:r>
        <w:rPr>
          <w:rFonts w:ascii="Georgia" w:hAnsi="Georgia"/>
          <w:b w:val="false"/>
          <w:bCs w:val="false"/>
        </w:rPr>
        <w:t xml:space="preserve"> and </w:t>
      </w:r>
      <w:r>
        <w:rPr>
          <w:rStyle w:val="StrongEmphasis"/>
          <w:rFonts w:ascii="Georgia" w:hAnsi="Georgia"/>
          <w:b w:val="false"/>
          <w:bCs w:val="false"/>
        </w:rPr>
        <w:t>oriented toward developing nations</w:t>
      </w:r>
      <w:r>
        <w:rPr>
          <w:rStyle w:val="StrongEmphasis"/>
          <w:rFonts w:ascii="Georgia" w:hAnsi="Georgia"/>
          <w:b w:val="false"/>
          <w:bCs w:val="false"/>
          <w:i w:val="false"/>
          <w:iCs w:val="false"/>
        </w:rPr>
        <w:t xml:space="preserve"> (</w:t>
      </w:r>
      <w:r>
        <w:rPr>
          <w:rStyle w:val="Emphasis"/>
          <w:rFonts w:eastAsia="NSimSun" w:cs="Lucida Sans" w:ascii="Georgia" w:hAnsi="Georgia"/>
          <w:b w:val="false"/>
          <w:bCs w:val="false"/>
          <w:i w:val="false"/>
          <w:iCs w:val="false"/>
          <w:color w:val="000000"/>
          <w:kern w:val="2"/>
          <w:sz w:val="24"/>
          <w:szCs w:val="24"/>
          <w:lang w:val="en-US" w:eastAsia="zh-CN" w:bidi="hi-IN"/>
        </w:rPr>
        <w:t>Hardin 1974:4-5</w:t>
      </w:r>
      <w:r>
        <w:rPr>
          <w:rStyle w:val="StrongEmphasis"/>
          <w:rFonts w:ascii="Georgia" w:hAnsi="Georgia"/>
          <w:b w:val="false"/>
          <w:bCs w:val="false"/>
          <w:i w:val="false"/>
          <w:iCs w:val="false"/>
        </w:rPr>
        <w:t>)</w:t>
      </w:r>
      <w:r>
        <w:rPr>
          <w:rFonts w:ascii="Georgia" w:hAnsi="Georgia"/>
          <w:b w:val="false"/>
          <w:bCs w:val="false"/>
          <w:i w:val="false"/>
          <w:iCs w:val="false"/>
        </w:rPr>
        <w:t xml:space="preserve">. </w:t>
      </w:r>
      <w:r>
        <w:rPr>
          <w:rFonts w:ascii="Georgia" w:hAnsi="Georgia"/>
          <w:b w:val="false"/>
          <w:bCs w:val="false"/>
        </w:rPr>
        <w:t>Tech</w:t>
      </w:r>
      <w:r>
        <w:rPr>
          <w:rFonts w:ascii="Georgia" w:hAnsi="Georgia"/>
        </w:rPr>
        <w:t>nologies used in agriculture have evolved in tandem with market expansion and rising demand. In response to this demand, research is funded, and capabilities are developed. According to Hardin himself, profit-seeking is the main driver behind the current orientation of U.S. agriculture (ibid).</w:t>
      </w:r>
    </w:p>
    <w:p>
      <w:pPr>
        <w:pStyle w:val="TextBody"/>
        <w:bidi w:val="0"/>
        <w:spacing w:lineRule="auto" w:line="480" w:before="0" w:after="140"/>
        <w:jc w:val="left"/>
        <w:rPr/>
      </w:pPr>
      <w:r>
        <w:rPr>
          <w:rFonts w:ascii="Georgia" w:hAnsi="Georgia"/>
        </w:rPr>
        <w:t>If we compare the situation of the 1970s with the present, when the U.S. has imposed tariffs on Mexican and Canadian agricultural products — enabling domestic producers to concentrate on market segments shielded from cross-border price competition — then it becomes clear th</w:t>
      </w:r>
      <w:r>
        <w:rPr>
          <w:rFonts w:ascii="Georgia" w:hAnsi="Georgia"/>
          <w:b w:val="false"/>
          <w:bCs w:val="false"/>
        </w:rPr>
        <w:t xml:space="preserve">at </w:t>
      </w:r>
      <w:r>
        <w:rPr>
          <w:rStyle w:val="StrongEmphasis"/>
          <w:rFonts w:ascii="Georgia" w:hAnsi="Georgia"/>
          <w:b w:val="false"/>
          <w:bCs w:val="false"/>
        </w:rPr>
        <w:t>developing countries might actually find it easier to cultivate their own food industries if U.S. food aid were to decrease</w:t>
      </w:r>
      <w:r>
        <w:rPr>
          <w:rFonts w:ascii="Georgia" w:hAnsi="Georgia"/>
          <w:b w:val="false"/>
          <w:bCs w:val="false"/>
        </w:rPr>
        <w:t>.</w:t>
      </w:r>
    </w:p>
    <w:p>
      <w:pPr>
        <w:pStyle w:val="TextBody"/>
        <w:bidi w:val="0"/>
        <w:spacing w:lineRule="auto" w:line="480"/>
        <w:jc w:val="left"/>
        <w:rPr>
          <w:rFonts w:ascii="Georgia" w:hAnsi="Georgia"/>
        </w:rPr>
      </w:pPr>
      <w:r>
        <w:rPr>
          <w:rFonts w:ascii="Georgia" w:hAnsi="Georgia"/>
        </w:rPr>
        <w:t>This seems logical.</w:t>
      </w:r>
    </w:p>
    <w:p>
      <w:pPr>
        <w:pStyle w:val="TextBody"/>
        <w:bidi w:val="0"/>
        <w:spacing w:lineRule="auto" w:line="480"/>
        <w:jc w:val="left"/>
        <w:rPr>
          <w:rFonts w:ascii="Georgia" w:hAnsi="Georgia"/>
        </w:rPr>
      </w:pPr>
      <w:r>
        <w:rPr>
          <w:rFonts w:ascii="Georgia" w:hAnsi="Georgia"/>
        </w:rPr>
        <w:t>Especially in contrast to Hardin’s conclusion in the 1970s that global food production capacity was nearing its limit. Because, in reality, quite the opposite occurred.</w:t>
      </w:r>
    </w:p>
    <w:p>
      <w:pPr>
        <w:pStyle w:val="TextBody"/>
        <w:bidi w:val="0"/>
        <w:spacing w:lineRule="auto" w:line="480" w:before="0" w:after="140"/>
        <w:jc w:val="left"/>
        <w:rPr/>
      </w:pPr>
      <w:r>
        <w:rPr>
          <w:rFonts w:ascii="Georgia" w:hAnsi="Georgia"/>
          <w:b w:val="false"/>
          <w:bCs w:val="false"/>
        </w:rPr>
        <w:t xml:space="preserve">Developments in the U.S. beginning in the 1980s are now described as the </w:t>
      </w:r>
      <w:r>
        <w:rPr>
          <w:rStyle w:val="StrongEmphasis"/>
          <w:rFonts w:ascii="Georgia" w:hAnsi="Georgia"/>
          <w:b w:val="false"/>
          <w:bCs w:val="false"/>
        </w:rPr>
        <w:t>Biotech Revolution</w:t>
      </w:r>
      <w:r>
        <w:rPr>
          <w:rFonts w:ascii="Georgia" w:hAnsi="Georgia"/>
          <w:b w:val="false"/>
          <w:bCs w:val="false"/>
        </w:rPr>
        <w:t xml:space="preserve">, which significantly enhanced both </w:t>
      </w:r>
      <w:r>
        <w:rPr>
          <w:rStyle w:val="StrongEmphasis"/>
          <w:rFonts w:ascii="Georgia" w:hAnsi="Georgia"/>
          <w:b w:val="false"/>
          <w:bCs w:val="false"/>
        </w:rPr>
        <w:t>yield per unit area</w:t>
      </w:r>
      <w:r>
        <w:rPr>
          <w:rFonts w:ascii="Georgia" w:hAnsi="Georgia"/>
          <w:b w:val="false"/>
          <w:bCs w:val="false"/>
        </w:rPr>
        <w:t xml:space="preserve"> and </w:t>
      </w:r>
      <w:r>
        <w:rPr>
          <w:rStyle w:val="StrongEmphasis"/>
          <w:rFonts w:ascii="Georgia" w:hAnsi="Georgia"/>
          <w:b w:val="false"/>
          <w:bCs w:val="false"/>
        </w:rPr>
        <w:t>land use intensity</w:t>
      </w:r>
      <w:r>
        <w:rPr>
          <w:rFonts w:ascii="Georgia" w:hAnsi="Georgia"/>
          <w:b w:val="false"/>
          <w:bCs w:val="false"/>
        </w:rPr>
        <w:t xml:space="preserve"> — surpassing even the achievements of the </w:t>
      </w:r>
      <w:r>
        <w:rPr>
          <w:rStyle w:val="StrongEmphasis"/>
          <w:rFonts w:ascii="Georgia" w:hAnsi="Georgia"/>
          <w:b w:val="false"/>
          <w:bCs w:val="false"/>
        </w:rPr>
        <w:t>Green Revolution</w:t>
      </w:r>
      <w:r>
        <w:rPr>
          <w:rFonts w:ascii="Georgia" w:hAnsi="Georgia"/>
          <w:b w:val="false"/>
          <w:bCs w:val="false"/>
        </w:rPr>
        <w:t xml:space="preserve"> (1940s–1970s). Hardin expressed skepticism about the latter’s potential (1974:7), even though agricultural output during that time actually more than </w:t>
      </w:r>
      <w:r>
        <w:rPr>
          <w:rStyle w:val="StrongEmphasis"/>
          <w:rFonts w:ascii="Georgia" w:hAnsi="Georgia"/>
          <w:b w:val="false"/>
          <w:bCs w:val="false"/>
        </w:rPr>
        <w:t>doubled</w:t>
      </w:r>
      <w:r>
        <w:rPr>
          <w:rFonts w:ascii="Georgia" w:hAnsi="Georgia"/>
          <w:b w:val="false"/>
          <w:bCs w:val="false"/>
        </w:rPr>
        <w:t>.</w:t>
      </w:r>
    </w:p>
    <w:p>
      <w:pPr>
        <w:pStyle w:val="TextBody"/>
        <w:bidi w:val="0"/>
        <w:spacing w:lineRule="auto" w:line="480" w:before="0" w:after="140"/>
        <w:jc w:val="left"/>
        <w:rPr/>
      </w:pPr>
      <w:r>
        <w:rPr>
          <w:rFonts w:ascii="Georgia" w:hAnsi="Georgia"/>
          <w:b w:val="false"/>
          <w:bCs w:val="false"/>
        </w:rPr>
        <w:t xml:space="preserve">More recent developments — following already the Biotech Revolution — include dramatic improvements in productivity through </w:t>
      </w:r>
      <w:r>
        <w:rPr>
          <w:rStyle w:val="StrongEmphasis"/>
          <w:rFonts w:ascii="Georgia" w:hAnsi="Georgia"/>
          <w:b w:val="false"/>
          <w:bCs w:val="false"/>
        </w:rPr>
        <w:t>automation</w:t>
      </w:r>
      <w:r>
        <w:rPr>
          <w:rFonts w:ascii="Georgia" w:hAnsi="Georgia"/>
          <w:b w:val="false"/>
          <w:bCs w:val="false"/>
        </w:rPr>
        <w:t xml:space="preserve">, </w:t>
      </w:r>
      <w:r>
        <w:rPr>
          <w:rStyle w:val="StrongEmphasis"/>
          <w:rFonts w:ascii="Georgia" w:hAnsi="Georgia"/>
          <w:b w:val="false"/>
          <w:bCs w:val="false"/>
        </w:rPr>
        <w:t>GPS calibration</w:t>
      </w:r>
      <w:r>
        <w:rPr>
          <w:rFonts w:ascii="Georgia" w:hAnsi="Georgia"/>
          <w:b w:val="false"/>
          <w:bCs w:val="false"/>
        </w:rPr>
        <w:t xml:space="preserve">, </w:t>
      </w:r>
      <w:r>
        <w:rPr>
          <w:rStyle w:val="StrongEmphasis"/>
          <w:rFonts w:ascii="Georgia" w:hAnsi="Georgia"/>
          <w:b w:val="false"/>
          <w:bCs w:val="false"/>
        </w:rPr>
        <w:t>smart and AI-based farming solutions</w:t>
      </w:r>
      <w:r>
        <w:rPr>
          <w:rFonts w:ascii="Georgia" w:hAnsi="Georgia"/>
          <w:b w:val="false"/>
          <w:bCs w:val="false"/>
        </w:rPr>
        <w:t xml:space="preserve">, and additional </w:t>
      </w:r>
      <w:r>
        <w:rPr>
          <w:rStyle w:val="StrongEmphasis"/>
          <w:rFonts w:ascii="Georgia" w:hAnsi="Georgia"/>
          <w:b w:val="false"/>
          <w:bCs w:val="false"/>
        </w:rPr>
        <w:t>genetic advancements</w:t>
      </w:r>
      <w:r>
        <w:rPr>
          <w:rFonts w:ascii="Georgia" w:hAnsi="Georgia"/>
          <w:b w:val="false"/>
          <w:bCs w:val="false"/>
        </w:rPr>
        <w:t xml:space="preserve"> aimed at increasing crop yields and resistance to disease and pests.</w:t>
      </w:r>
    </w:p>
    <w:p>
      <w:pPr>
        <w:pStyle w:val="TextBody"/>
        <w:bidi w:val="0"/>
        <w:spacing w:lineRule="auto" w:line="480" w:before="0" w:after="140"/>
        <w:jc w:val="left"/>
        <w:rPr/>
      </w:pPr>
      <w:r>
        <w:rPr>
          <w:rFonts w:ascii="Georgia" w:hAnsi="Georgia"/>
        </w:rPr>
        <w:t>Even more striking — when comparing today’s predominantly monoculture-based U.S. agriculture with that of the much smaller Netherlands — one finds that t</w:t>
      </w:r>
      <w:r>
        <w:rPr>
          <w:rFonts w:ascii="Georgia" w:hAnsi="Georgia"/>
          <w:b w:val="false"/>
          <w:bCs w:val="false"/>
        </w:rPr>
        <w:t xml:space="preserve">he </w:t>
      </w:r>
      <w:r>
        <w:rPr>
          <w:rStyle w:val="StrongEmphasis"/>
          <w:rFonts w:ascii="Georgia" w:hAnsi="Georgia"/>
          <w:b w:val="false"/>
          <w:bCs w:val="false"/>
        </w:rPr>
        <w:t>financial yield per</w:t>
      </w:r>
      <w:r>
        <w:rPr>
          <w:rStyle w:val="StrongEmphasis"/>
          <w:rFonts w:ascii="Georgia" w:hAnsi="Georgia"/>
        </w:rPr>
        <w:t xml:space="preserve"> </w:t>
      </w:r>
      <w:r>
        <w:rPr>
          <w:rStyle w:val="StrongEmphasis"/>
          <w:rFonts w:ascii="Georgia" w:hAnsi="Georgia"/>
          <w:b w:val="false"/>
          <w:bCs w:val="false"/>
        </w:rPr>
        <w:t>unit of land</w:t>
      </w:r>
      <w:r>
        <w:rPr>
          <w:rFonts w:ascii="Georgia" w:hAnsi="Georgia"/>
          <w:b w:val="false"/>
          <w:bCs w:val="false"/>
        </w:rPr>
        <w:t xml:space="preserve"> is se</w:t>
      </w:r>
      <w:r>
        <w:rPr>
          <w:rFonts w:ascii="Georgia" w:hAnsi="Georgia"/>
        </w:rPr>
        <w:t xml:space="preserve">veral times higher in the Dutch case. Of course, the product portfolio differs — for example, flower exports constitute a significant share of Dutch agriculture. But the cultivation methods differ as well: in horticulture, for instance, the Netherlands uses extensive </w:t>
      </w:r>
      <w:r>
        <w:rPr>
          <w:rStyle w:val="StrongEmphasis"/>
          <w:rFonts w:ascii="Georgia" w:hAnsi="Georgia"/>
          <w:b w:val="false"/>
          <w:bCs w:val="false"/>
        </w:rPr>
        <w:t>greenhouses</w:t>
      </w:r>
      <w:r>
        <w:rPr>
          <w:rFonts w:ascii="Georgia" w:hAnsi="Georgia"/>
          <w:b w:val="false"/>
          <w:bCs w:val="false"/>
        </w:rPr>
        <w:t xml:space="preserve">, </w:t>
      </w:r>
      <w:r>
        <w:rPr>
          <w:rStyle w:val="StrongEmphasis"/>
          <w:rFonts w:ascii="Georgia" w:hAnsi="Georgia"/>
          <w:b w:val="false"/>
          <w:bCs w:val="false"/>
        </w:rPr>
        <w:t>vertical farming systems</w:t>
      </w:r>
      <w:r>
        <w:rPr>
          <w:rFonts w:ascii="Georgia" w:hAnsi="Georgia"/>
          <w:b w:val="false"/>
          <w:bCs w:val="false"/>
        </w:rPr>
        <w:t xml:space="preserve">, and </w:t>
      </w:r>
      <w:r>
        <w:rPr>
          <w:rStyle w:val="StrongEmphasis"/>
          <w:rFonts w:ascii="Georgia" w:hAnsi="Georgia"/>
          <w:b w:val="false"/>
          <w:bCs w:val="false"/>
        </w:rPr>
        <w:t>hydroponics</w:t>
      </w:r>
      <w:r>
        <w:rPr>
          <w:rFonts w:ascii="Georgia" w:hAnsi="Georgia"/>
          <w:b w:val="false"/>
          <w:bCs w:val="false"/>
        </w:rPr>
        <w:t xml:space="preserve"> (growing plants in nutrient-rich water without soil), illustrating the range of possibilities still not as widely adopted in the U.S.</w:t>
      </w:r>
    </w:p>
    <w:p>
      <w:pPr>
        <w:pStyle w:val="TextBody"/>
        <w:bidi w:val="0"/>
        <w:spacing w:lineRule="auto" w:line="480" w:before="0" w:after="140"/>
        <w:jc w:val="left"/>
        <w:rPr/>
      </w:pPr>
      <w:r>
        <w:rPr>
          <w:rFonts w:eastAsia="NSimSun" w:cs="Lucida Sans" w:ascii="Georgia" w:hAnsi="Georgia"/>
          <w:color w:val="auto"/>
          <w:kern w:val="2"/>
          <w:sz w:val="24"/>
          <w:szCs w:val="24"/>
          <w:lang w:val="en-US" w:eastAsia="zh-CN" w:bidi="hi-IN"/>
        </w:rPr>
        <w:t>Thus also</w:t>
      </w:r>
      <w:r>
        <w:rPr>
          <w:rFonts w:ascii="Georgia" w:hAnsi="Georgia"/>
        </w:rPr>
        <w:t xml:space="preserve"> highlig</w:t>
      </w:r>
      <w:r>
        <w:rPr>
          <w:rFonts w:ascii="Georgia" w:hAnsi="Georgia"/>
          <w:b w:val="false"/>
          <w:bCs w:val="false"/>
        </w:rPr>
        <w:t xml:space="preserve">hting the </w:t>
      </w:r>
      <w:r>
        <w:rPr>
          <w:rStyle w:val="StrongEmphasis"/>
          <w:rFonts w:ascii="Georgia" w:hAnsi="Georgia"/>
          <w:b w:val="false"/>
          <w:bCs w:val="false"/>
        </w:rPr>
        <w:t>possibility of yet-undiscovered perspectives</w:t>
      </w:r>
      <w:r>
        <w:rPr>
          <w:rFonts w:ascii="Georgia" w:hAnsi="Georgia"/>
          <w:b w:val="false"/>
          <w:bCs w:val="false"/>
        </w:rPr>
        <w:t>.</w:t>
      </w:r>
    </w:p>
    <w:p>
      <w:pPr>
        <w:pStyle w:val="TextBody"/>
        <w:bidi w:val="0"/>
        <w:spacing w:lineRule="auto" w:line="480" w:before="0" w:after="140"/>
        <w:jc w:val="left"/>
        <w:rPr/>
      </w:pPr>
      <w:r>
        <w:rPr>
          <w:rFonts w:ascii="Georgia" w:hAnsi="Georgia"/>
          <w:b w:val="false"/>
          <w:bCs w:val="false"/>
        </w:rPr>
        <w:t xml:space="preserve">When we further compare the agricultural output intensity of global leaders like the </w:t>
      </w:r>
      <w:r>
        <w:rPr>
          <w:rStyle w:val="StrongEmphasis"/>
          <w:rFonts w:ascii="Georgia" w:hAnsi="Georgia"/>
          <w:b w:val="false"/>
          <w:bCs w:val="false"/>
        </w:rPr>
        <w:t>U.S. and the EU</w:t>
      </w:r>
      <w:r>
        <w:rPr>
          <w:rFonts w:ascii="Georgia" w:hAnsi="Georgia"/>
          <w:b w:val="false"/>
          <w:bCs w:val="false"/>
        </w:rPr>
        <w:t xml:space="preserve"> (includin</w:t>
      </w:r>
      <w:r>
        <w:rPr>
          <w:rFonts w:ascii="Georgia" w:hAnsi="Georgia"/>
        </w:rPr>
        <w:t xml:space="preserve">g the aforementioned Netherlands) to that of less-developed regions in the Third World, we clearly observe </w:t>
      </w:r>
      <w:r>
        <w:rPr>
          <w:rFonts w:ascii="Georgia" w:hAnsi="Georgia"/>
          <w:b w:val="false"/>
          <w:bCs w:val="false"/>
        </w:rPr>
        <w:t xml:space="preserve">vast, </w:t>
      </w:r>
      <w:r>
        <w:rPr>
          <w:rStyle w:val="StrongEmphasis"/>
          <w:rFonts w:ascii="Georgia" w:hAnsi="Georgia"/>
          <w:b w:val="false"/>
          <w:bCs w:val="false"/>
        </w:rPr>
        <w:t>unexploited potentials</w:t>
      </w:r>
      <w:r>
        <w:rPr>
          <w:rFonts w:ascii="Georgia" w:hAnsi="Georgia"/>
          <w:b w:val="false"/>
          <w:bCs w:val="false"/>
        </w:rPr>
        <w:t xml:space="preserve"> in food prod</w:t>
      </w:r>
      <w:r>
        <w:rPr>
          <w:rFonts w:ascii="Georgia" w:hAnsi="Georgia"/>
        </w:rPr>
        <w:t>uction.</w:t>
      </w:r>
    </w:p>
    <w:p>
      <w:pPr>
        <w:pStyle w:val="TextBody"/>
        <w:bidi w:val="0"/>
        <w:spacing w:lineRule="auto" w:line="480" w:before="0" w:after="140"/>
        <w:jc w:val="left"/>
        <w:rPr>
          <w:rFonts w:ascii="Georgia" w:hAnsi="Georgia"/>
        </w:rPr>
      </w:pPr>
      <w:r>
        <w:rPr>
          <w:rFonts w:ascii="Georgia" w:hAnsi="Georgia"/>
          <w:b w:val="false"/>
          <w:bCs w:val="false"/>
        </w:rPr>
        <w:t xml:space="preserve">What we do </w:t>
      </w:r>
      <w:r>
        <w:rPr>
          <w:rStyle w:val="StrongEmphasis"/>
          <w:rFonts w:ascii="Georgia" w:hAnsi="Georgia"/>
          <w:b w:val="false"/>
          <w:bCs w:val="false"/>
        </w:rPr>
        <w:t>not</w:t>
      </w:r>
      <w:r>
        <w:rPr>
          <w:rFonts w:ascii="Georgia" w:hAnsi="Georgia"/>
          <w:b w:val="false"/>
          <w:bCs w:val="false"/>
        </w:rPr>
        <w:t xml:space="preserve"> see is </w:t>
      </w:r>
      <w:r>
        <w:rPr>
          <w:rStyle w:val="StrongEmphasis"/>
          <w:rFonts w:ascii="Georgia" w:hAnsi="Georgia"/>
          <w:b w:val="false"/>
          <w:bCs w:val="false"/>
        </w:rPr>
        <w:t>resource depletion due to overpopulation</w:t>
      </w:r>
      <w:r>
        <w:rPr>
          <w:rFonts w:ascii="Georgia" w:hAnsi="Georgia"/>
          <w:b w:val="false"/>
          <w:bCs w:val="false"/>
        </w:rPr>
        <w:t>.</w:t>
      </w:r>
    </w:p>
    <w:p>
      <w:pPr>
        <w:pStyle w:val="TextBody"/>
        <w:bidi w:val="0"/>
        <w:spacing w:lineRule="auto" w:line="480" w:before="0" w:after="140"/>
        <w:jc w:val="left"/>
        <w:rPr>
          <w:rFonts w:ascii="Georgia" w:hAnsi="Georgia"/>
        </w:rPr>
      </w:pPr>
      <w:r>
        <w:rPr/>
      </w:r>
    </w:p>
    <w:p>
      <w:pPr>
        <w:pStyle w:val="TextBody"/>
        <w:bidi w:val="0"/>
        <w:spacing w:lineRule="auto" w:line="480" w:before="0" w:after="140"/>
        <w:jc w:val="left"/>
        <w:rPr>
          <w:rFonts w:ascii="Georgia" w:hAnsi="Georgia"/>
        </w:rPr>
      </w:pPr>
      <w:r>
        <w:rPr>
          <w:rFonts w:ascii="Georgia" w:hAnsi="Georgia"/>
          <w:b/>
          <w:bCs/>
          <w:sz w:val="24"/>
          <w:szCs w:val="24"/>
        </w:rPr>
        <w:t xml:space="preserve">• </w:t>
      </w:r>
      <w:r>
        <w:rPr>
          <w:rFonts w:ascii="Georgia" w:hAnsi="Georgia"/>
          <w:b/>
          <w:bCs/>
          <w:sz w:val="24"/>
          <w:szCs w:val="24"/>
        </w:rPr>
        <w:t>In Summary</w:t>
      </w:r>
    </w:p>
    <w:p>
      <w:pPr>
        <w:pStyle w:val="TextBody"/>
        <w:bidi w:val="0"/>
        <w:spacing w:lineRule="auto" w:line="480" w:before="0" w:after="140"/>
        <w:jc w:val="left"/>
        <w:rPr/>
      </w:pPr>
      <w:r>
        <w:rPr>
          <w:rFonts w:ascii="Georgia" w:hAnsi="Georgia"/>
          <w:b w:val="false"/>
          <w:bCs w:val="false"/>
        </w:rPr>
        <w:t xml:space="preserve">It must be acknowledged that Hardin’s examples — from the fuel crisis to the food industry operating at the very edge of its capacity — presented half a century ago, were largely </w:t>
      </w:r>
      <w:r>
        <w:rPr>
          <w:rStyle w:val="StrongEmphasis"/>
          <w:rFonts w:ascii="Georgia" w:hAnsi="Georgia"/>
          <w:b w:val="false"/>
          <w:bCs w:val="false"/>
        </w:rPr>
        <w:t>tendentious</w:t>
      </w:r>
      <w:r>
        <w:rPr>
          <w:rFonts w:ascii="Georgia" w:hAnsi="Georgia"/>
          <w:b w:val="false"/>
          <w:bCs w:val="false"/>
        </w:rPr>
        <w:t>.</w:t>
      </w:r>
    </w:p>
    <w:p>
      <w:pPr>
        <w:pStyle w:val="TextBody"/>
        <w:bidi w:val="0"/>
        <w:spacing w:lineRule="auto" w:line="480" w:before="0" w:after="140"/>
        <w:jc w:val="left"/>
        <w:rPr/>
      </w:pPr>
      <w:r>
        <w:rPr>
          <w:rFonts w:ascii="Georgia" w:hAnsi="Georgia"/>
          <w:b w:val="false"/>
          <w:bCs w:val="false"/>
        </w:rPr>
        <w:t xml:space="preserve">Hardin’s concern, or fear — as a </w:t>
      </w:r>
      <w:r>
        <w:rPr>
          <w:rStyle w:val="StrongEmphasis"/>
          <w:rFonts w:ascii="Georgia" w:hAnsi="Georgia"/>
          <w:b w:val="false"/>
          <w:bCs w:val="false"/>
        </w:rPr>
        <w:t>personal emotional response</w:t>
      </w:r>
      <w:r>
        <w:rPr>
          <w:rFonts w:ascii="Georgia" w:hAnsi="Georgia"/>
          <w:b w:val="false"/>
          <w:bCs w:val="false"/>
        </w:rPr>
        <w:t xml:space="preserve"> — appears unfeigned, and perhaps precisely for that reason, </w:t>
      </w:r>
      <w:r>
        <w:rPr>
          <w:rStyle w:val="StrongEmphasis"/>
          <w:rFonts w:ascii="Georgia" w:hAnsi="Georgia"/>
          <w:b w:val="false"/>
          <w:bCs w:val="false"/>
        </w:rPr>
        <w:t>emotionally engaging</w:t>
      </w:r>
      <w:r>
        <w:rPr>
          <w:rFonts w:ascii="Georgia" w:hAnsi="Georgia"/>
          <w:b w:val="false"/>
          <w:bCs w:val="false"/>
        </w:rPr>
        <w:t>.</w:t>
      </w:r>
    </w:p>
    <w:p>
      <w:pPr>
        <w:pStyle w:val="TextBody"/>
        <w:bidi w:val="0"/>
        <w:spacing w:lineRule="auto" w:line="480" w:before="0" w:after="140"/>
        <w:jc w:val="left"/>
        <w:rPr/>
      </w:pPr>
      <w:r>
        <w:rPr>
          <w:rFonts w:ascii="Georgia" w:hAnsi="Georgia"/>
        </w:rPr>
        <w:t>Taken on thei</w:t>
      </w:r>
      <w:r>
        <w:rPr>
          <w:rFonts w:ascii="Georgia" w:hAnsi="Georgia"/>
          <w:b w:val="false"/>
          <w:bCs w:val="false"/>
        </w:rPr>
        <w:t xml:space="preserve">r own, all the episodes Hardin addresses — famines, local environmental degradation, and so on — are undeniably </w:t>
      </w:r>
      <w:r>
        <w:rPr>
          <w:rStyle w:val="StrongEmphasis"/>
          <w:rFonts w:ascii="Georgia" w:hAnsi="Georgia"/>
          <w:b w:val="false"/>
          <w:bCs w:val="false"/>
        </w:rPr>
        <w:t>real and emotionally potent sources of pressure</w:t>
      </w:r>
      <w:r>
        <w:rPr>
          <w:rFonts w:ascii="Georgia" w:hAnsi="Georgia"/>
          <w:b w:val="false"/>
          <w:bCs w:val="false"/>
        </w:rPr>
        <w:t>.</w:t>
      </w:r>
    </w:p>
    <w:p>
      <w:pPr>
        <w:pStyle w:val="TextBody"/>
        <w:bidi w:val="0"/>
        <w:spacing w:lineRule="auto" w:line="480" w:before="0" w:after="140"/>
        <w:jc w:val="left"/>
        <w:rPr/>
      </w:pPr>
      <w:r>
        <w:rPr>
          <w:rFonts w:ascii="Georgia" w:hAnsi="Georgia"/>
          <w:b w:val="false"/>
          <w:bCs w:val="false"/>
        </w:rPr>
        <w:t xml:space="preserve">Yet these elements are </w:t>
      </w:r>
      <w:r>
        <w:rPr>
          <w:rStyle w:val="StrongEmphasis"/>
          <w:rFonts w:ascii="Georgia" w:hAnsi="Georgia"/>
          <w:b w:val="false"/>
          <w:bCs w:val="false"/>
        </w:rPr>
        <w:t>not causally connected</w:t>
      </w:r>
      <w:r>
        <w:rPr>
          <w:rFonts w:ascii="Georgia" w:hAnsi="Georgia"/>
          <w:b w:val="false"/>
          <w:bCs w:val="false"/>
        </w:rPr>
        <w:t xml:space="preserve"> in the way Hardin tries to present them.</w:t>
      </w:r>
    </w:p>
    <w:p>
      <w:pPr>
        <w:pStyle w:val="TextBody"/>
        <w:bidi w:val="0"/>
        <w:spacing w:lineRule="auto" w:line="480"/>
        <w:jc w:val="left"/>
        <w:rPr>
          <w:rFonts w:ascii="Georgia" w:hAnsi="Georgia"/>
          <w:b w:val="false"/>
          <w:b w:val="false"/>
          <w:bCs w:val="false"/>
        </w:rPr>
      </w:pPr>
      <w:r>
        <w:rPr>
          <w:rFonts w:ascii="Georgia" w:hAnsi="Georgia"/>
          <w:b w:val="false"/>
          <w:bCs w:val="false"/>
        </w:rPr>
      </w:r>
    </w:p>
    <w:p>
      <w:pPr>
        <w:pStyle w:val="TextBody"/>
        <w:bidi w:val="0"/>
        <w:spacing w:lineRule="auto" w:line="480"/>
        <w:jc w:val="left"/>
        <w:rPr>
          <w:rFonts w:ascii="Georgia" w:hAnsi="Georgia"/>
          <w:b w:val="false"/>
          <w:b w:val="false"/>
          <w:bCs w:val="false"/>
        </w:rPr>
      </w:pPr>
      <w:r>
        <w:rPr>
          <w:rFonts w:ascii="Georgia" w:hAnsi="Georgia"/>
          <w:b w:val="false"/>
          <w:bCs w:val="false"/>
        </w:rPr>
      </w:r>
    </w:p>
    <w:p>
      <w:pPr>
        <w:pStyle w:val="TextBody"/>
        <w:bidi w:val="0"/>
        <w:spacing w:lineRule="auto" w:line="480"/>
        <w:jc w:val="left"/>
        <w:rPr>
          <w:rFonts w:ascii="Georgia" w:hAnsi="Georgia"/>
          <w:b w:val="false"/>
          <w:b w:val="false"/>
          <w:bCs w:val="false"/>
        </w:rPr>
      </w:pPr>
      <w:r>
        <w:rPr>
          <w:rFonts w:ascii="Georgia" w:hAnsi="Georgia"/>
          <w:b w:val="false"/>
          <w:bCs w:val="false"/>
        </w:rPr>
      </w:r>
    </w:p>
    <w:p>
      <w:pPr>
        <w:pStyle w:val="Heading3"/>
        <w:numPr>
          <w:ilvl w:val="2"/>
          <w:numId w:val="5"/>
        </w:numPr>
        <w:bidi w:val="0"/>
        <w:jc w:val="left"/>
        <w:rPr/>
      </w:pPr>
      <w:r>
        <w:rPr>
          <w:rFonts w:ascii="Georgia" w:hAnsi="Georgia"/>
          <w:sz w:val="30"/>
          <w:szCs w:val="30"/>
        </w:rPr>
        <w:t>“</w:t>
      </w:r>
      <w:r>
        <w:rPr>
          <w:rFonts w:ascii="Georgia" w:hAnsi="Georgia"/>
          <w:sz w:val="30"/>
          <w:szCs w:val="30"/>
        </w:rPr>
        <w:t>Commons in Action… Immigration”</w:t>
      </w:r>
      <w:r>
        <w:rPr>
          <w:rFonts w:ascii="Georgia" w:hAnsi="Georgia"/>
          <w:sz w:val="24"/>
          <w:szCs w:val="24"/>
        </w:rPr>
        <w:t xml:space="preserve"> </w:t>
      </w:r>
      <w:r>
        <w:rPr>
          <w:rFonts w:ascii="Georgia" w:hAnsi="Georgia"/>
          <w:b w:val="false"/>
          <w:bCs w:val="false"/>
          <w:sz w:val="24"/>
          <w:szCs w:val="24"/>
        </w:rPr>
        <w:t>(Hardin 1974:8)</w:t>
      </w:r>
    </w:p>
    <w:p>
      <w:pPr>
        <w:pStyle w:val="TextBody"/>
        <w:bidi w:val="0"/>
        <w:jc w:val="left"/>
        <w:rPr>
          <w:rFonts w:ascii="Georgia" w:hAnsi="Georgia"/>
        </w:rPr>
      </w:pPr>
      <w:r>
        <w:rPr>
          <w:rFonts w:ascii="Georgia" w:hAnsi="Georgia"/>
        </w:rPr>
      </w:r>
    </w:p>
    <w:p>
      <w:pPr>
        <w:pStyle w:val="Quotations"/>
        <w:bidi w:val="0"/>
        <w:ind w:left="4254" w:right="567" w:hanging="0"/>
        <w:jc w:val="left"/>
        <w:rPr>
          <w:rFonts w:ascii="Georgia" w:hAnsi="Georgia"/>
        </w:rPr>
      </w:pPr>
      <w:r>
        <w:rPr>
          <w:rFonts w:ascii="Georgia" w:hAnsi="Georgia"/>
          <w:sz w:val="22"/>
          <w:szCs w:val="22"/>
        </w:rPr>
        <w:t>They [myths] decide what we think important and what we ignore. They provide the tools with which we organise the mass of incoming data.</w:t>
        <w:br/>
        <w:t>— Midgley (2004:4)</w:t>
      </w:r>
    </w:p>
    <w:p>
      <w:pPr>
        <w:pStyle w:val="TextBody"/>
        <w:bidi w:val="0"/>
        <w:spacing w:lineRule="auto" w:line="480"/>
        <w:jc w:val="left"/>
        <w:rPr/>
      </w:pPr>
      <w:r>
        <w:rPr>
          <w:rFonts w:ascii="Georgia" w:hAnsi="Georgia"/>
        </w:rPr>
        <w:t>As established in the first chapter, Hardin’s problem framing does not find clear and consistent validation in external reality. However, the conflict he presents appears entirely real and deeply distressing to him personally. This creates the impression that his account is significantly shaped by intrapsychic motivations.</w:t>
      </w:r>
    </w:p>
    <w:p>
      <w:pPr>
        <w:pStyle w:val="TextBody"/>
        <w:bidi w:val="0"/>
        <w:spacing w:lineRule="auto" w:line="480"/>
        <w:jc w:val="left"/>
        <w:rPr>
          <w:rFonts w:ascii="Georgia" w:hAnsi="Georgia"/>
        </w:rPr>
      </w:pPr>
      <w:r>
        <w:rPr>
          <w:rFonts w:ascii="Georgia" w:hAnsi="Georgia"/>
        </w:rPr>
        <w:t>What we are likely witnessing is a subconscious and undifferentiated psychological tension being transferred onto a situational context.</w:t>
      </w:r>
    </w:p>
    <w:p>
      <w:pPr>
        <w:pStyle w:val="TextBody"/>
        <w:bidi w:val="0"/>
        <w:spacing w:lineRule="auto" w:line="480"/>
        <w:jc w:val="left"/>
        <w:rPr>
          <w:rFonts w:ascii="Georgia" w:hAnsi="Georgia"/>
        </w:rPr>
      </w:pPr>
      <w:r>
        <w:rPr/>
      </w:r>
    </w:p>
    <w:p>
      <w:pPr>
        <w:pStyle w:val="TextBody"/>
        <w:bidi w:val="0"/>
        <w:spacing w:lineRule="auto" w:line="480"/>
        <w:jc w:val="left"/>
        <w:rPr>
          <w:rFonts w:ascii="Georgia" w:hAnsi="Georgia"/>
        </w:rPr>
      </w:pPr>
      <w:r>
        <w:rPr/>
      </w:r>
    </w:p>
    <w:p>
      <w:pPr>
        <w:pStyle w:val="TextBody"/>
        <w:numPr>
          <w:ilvl w:val="0"/>
          <w:numId w:val="7"/>
        </w:numPr>
        <w:bidi w:val="0"/>
        <w:spacing w:lineRule="auto" w:line="480"/>
        <w:jc w:val="left"/>
        <w:rPr>
          <w:rFonts w:ascii="Georgia" w:hAnsi="Georgia"/>
        </w:rPr>
      </w:pPr>
      <w:r>
        <w:rPr>
          <w:rFonts w:eastAsia="NSimSun" w:cs="Lucida Sans" w:ascii="Georgia" w:hAnsi="Georgia"/>
          <w:b/>
          <w:bCs/>
          <w:color w:val="auto"/>
          <w:kern w:val="2"/>
          <w:sz w:val="24"/>
          <w:szCs w:val="24"/>
          <w:lang w:val="en-US" w:eastAsia="zh-CN" w:bidi="hi-IN"/>
        </w:rPr>
        <w:t>Methodological Notes</w:t>
      </w:r>
    </w:p>
    <w:p>
      <w:pPr>
        <w:pStyle w:val="TextBody"/>
        <w:bidi w:val="0"/>
        <w:spacing w:lineRule="auto" w:line="480" w:before="0" w:after="140"/>
        <w:jc w:val="left"/>
        <w:rPr/>
      </w:pPr>
      <w:r>
        <w:rPr>
          <w:rFonts w:ascii="Georgia" w:hAnsi="Georgia"/>
        </w:rPr>
        <w:t>Psychoanalysis as a method is grounded in</w:t>
      </w:r>
      <w:r>
        <w:rPr>
          <w:rFonts w:ascii="Georgia" w:hAnsi="Georgia"/>
          <w:i w:val="false"/>
          <w:iCs w:val="false"/>
        </w:rPr>
        <w:t xml:space="preserve"> </w:t>
      </w:r>
      <w:r>
        <w:rPr>
          <w:rStyle w:val="Emphasis"/>
          <w:rFonts w:ascii="Georgia" w:hAnsi="Georgia"/>
          <w:i w:val="false"/>
          <w:iCs w:val="false"/>
        </w:rPr>
        <w:t>free associations</w:t>
      </w:r>
      <w:r>
        <w:rPr>
          <w:rFonts w:ascii="Georgia" w:hAnsi="Georgia"/>
          <w:i w:val="false"/>
          <w:iCs w:val="false"/>
        </w:rPr>
        <w:t>.</w:t>
      </w:r>
      <w:r>
        <w:rPr>
          <w:rFonts w:ascii="Georgia" w:hAnsi="Georgia"/>
        </w:rPr>
        <w:t xml:space="preserve"> In the context of written work, these manifest as the author’s choices: they may have various ways to express a point or select evidence, yet they opt for those they find most compelling.</w:t>
      </w:r>
    </w:p>
    <w:p>
      <w:pPr>
        <w:pStyle w:val="TextBody"/>
        <w:bidi w:val="0"/>
        <w:spacing w:lineRule="auto" w:line="480"/>
        <w:jc w:val="left"/>
        <w:rPr>
          <w:rFonts w:ascii="Georgia" w:hAnsi="Georgia"/>
        </w:rPr>
      </w:pPr>
      <w:r>
        <w:rPr>
          <w:rFonts w:ascii="Georgia" w:hAnsi="Georgia"/>
        </w:rPr>
        <w:t>These choices usually reflect multiple influences and inherent compromises. The author’s attitude also tends to shape the meaning and use of concepts or metaphors—sometimes imbuing them with emphases that depart from their conventional usage. Such emphatic shifts can be understood as indicating the psychological force field within which distortions arise.</w:t>
      </w:r>
    </w:p>
    <w:p>
      <w:pPr>
        <w:pStyle w:val="TextBody"/>
        <w:bidi w:val="0"/>
        <w:spacing w:lineRule="auto" w:line="480"/>
        <w:jc w:val="left"/>
        <w:rPr>
          <w:rFonts w:ascii="Georgia" w:hAnsi="Georgia"/>
        </w:rPr>
      </w:pPr>
      <w:r>
        <w:rPr>
          <w:rFonts w:ascii="Georgia" w:hAnsi="Georgia"/>
        </w:rPr>
        <w:t>For illustrative purposes and to improve the reader’s understanding, the present essay draws on the work and quotations of Mary Midgley. She was chosen primarily due to her deep engagement with the field—ethics as a branch of broader philosophy. While Midgley did not consider herself a psychoanalyst, her incisive and original style of thought converged with that of mythological analysis—a realm famously charted by Freud’s most influential follower, C.G. Jung.</w:t>
      </w:r>
    </w:p>
    <w:p>
      <w:pPr>
        <w:pStyle w:val="TextBody"/>
        <w:bidi w:val="0"/>
        <w:spacing w:lineRule="auto" w:line="480" w:before="0" w:after="140"/>
        <w:jc w:val="left"/>
        <w:rPr/>
      </w:pPr>
      <w:r>
        <w:rPr>
          <w:rFonts w:ascii="Georgia" w:hAnsi="Georgia"/>
        </w:rPr>
        <w:t xml:space="preserve">Following tensions involving the controversial figure of S.Spielrein, Jung parted ways with Freud and, rather than referring to his work as psychoanalysis, adopted the term </w:t>
      </w:r>
      <w:r>
        <w:rPr>
          <w:rStyle w:val="Emphasis"/>
          <w:rFonts w:ascii="Georgia" w:hAnsi="Georgia"/>
          <w:i w:val="false"/>
          <w:iCs w:val="false"/>
        </w:rPr>
        <w:t>analytical psychology</w:t>
      </w:r>
      <w:r>
        <w:rPr>
          <w:rFonts w:ascii="Georgia" w:hAnsi="Georgia"/>
        </w:rPr>
        <w:t xml:space="preserve">. In doing so, he developed the now widely known concept of the </w:t>
      </w:r>
      <w:r>
        <w:rPr>
          <w:rStyle w:val="Emphasis"/>
          <w:rFonts w:ascii="Georgia" w:hAnsi="Georgia"/>
          <w:i w:val="false"/>
          <w:iCs w:val="false"/>
        </w:rPr>
        <w:t>archetype</w:t>
      </w:r>
      <w:r>
        <w:rPr>
          <w:rFonts w:ascii="Georgia" w:hAnsi="Georgia"/>
        </w:rPr>
        <w:t>—a notion he formally returned to Freud in writing shortly before his death.</w:t>
      </w:r>
    </w:p>
    <w:p>
      <w:pPr>
        <w:pStyle w:val="TextBody"/>
        <w:bidi w:val="0"/>
        <w:spacing w:lineRule="auto" w:line="480"/>
        <w:jc w:val="left"/>
        <w:rPr>
          <w:rFonts w:ascii="Georgia" w:hAnsi="Georgia"/>
        </w:rPr>
      </w:pPr>
      <w:r>
        <w:rPr>
          <w:rFonts w:ascii="Georgia" w:hAnsi="Georgia"/>
        </w:rPr>
        <w:t>Naturally, psychoanalysis does not claim mathematical precision. Its primary data may be repressed from consciousness for various reasons or may lie buried in collective memory, forgotten for centuries due to the psyche’s need for economy.</w:t>
      </w:r>
    </w:p>
    <w:p>
      <w:pPr>
        <w:pStyle w:val="TextBody"/>
        <w:bidi w:val="0"/>
        <w:spacing w:lineRule="auto" w:line="480" w:before="0" w:after="140"/>
        <w:jc w:val="left"/>
        <w:rPr/>
      </w:pPr>
      <w:r>
        <w:rPr>
          <w:rFonts w:ascii="Georgia" w:hAnsi="Georgia"/>
        </w:rPr>
        <w:t xml:space="preserve">What psychoanalysis seeks is the recognition of patterns—seeing how elements and their psychic representations align through their underlying psychic function. Among Jung’s most important contributions were </w:t>
      </w:r>
      <w:r>
        <w:rPr>
          <w:rFonts w:ascii="Georgia" w:hAnsi="Georgia"/>
          <w:i w:val="false"/>
          <w:iCs w:val="false"/>
        </w:rPr>
        <w:t xml:space="preserve">myths and archetypes—those reoccurring themes that Midgley characterized as myths and </w:t>
      </w:r>
      <w:r>
        <w:rPr>
          <w:rStyle w:val="Emphasis"/>
          <w:rFonts w:ascii="Georgia" w:hAnsi="Georgia"/>
          <w:i w:val="false"/>
          <w:iCs w:val="false"/>
        </w:rPr>
        <w:t>patterns</w:t>
      </w:r>
      <w:r>
        <w:rPr>
          <w:rFonts w:ascii="Georgia" w:hAnsi="Georgia"/>
          <w:i w:val="false"/>
          <w:iCs w:val="false"/>
        </w:rPr>
        <w:t>.</w:t>
      </w:r>
    </w:p>
    <w:p>
      <w:pPr>
        <w:pStyle w:val="TextBody"/>
        <w:bidi w:val="0"/>
        <w:spacing w:lineRule="auto" w:line="480"/>
        <w:jc w:val="left"/>
        <w:rPr>
          <w:rFonts w:ascii="Georgia" w:hAnsi="Georgia"/>
        </w:rPr>
      </w:pPr>
      <w:r>
        <w:rPr>
          <w:rFonts w:ascii="Georgia" w:hAnsi="Georgia"/>
        </w:rPr>
        <w:t>Cognition often leads us back into both our ontogenetic and phylogenetic childhood.</w:t>
      </w:r>
    </w:p>
    <w:p>
      <w:pPr>
        <w:pStyle w:val="TextBody"/>
        <w:bidi w:val="0"/>
        <w:spacing w:lineRule="auto" w:line="480"/>
        <w:jc w:val="left"/>
        <w:rPr>
          <w:rFonts w:ascii="Georgia" w:hAnsi="Georgia"/>
        </w:rPr>
      </w:pPr>
      <w:r>
        <w:rPr/>
      </w:r>
    </w:p>
    <w:p>
      <w:pPr>
        <w:pStyle w:val="TextBody"/>
        <w:numPr>
          <w:ilvl w:val="0"/>
          <w:numId w:val="8"/>
        </w:numPr>
        <w:bidi w:val="0"/>
        <w:spacing w:lineRule="auto" w:line="480"/>
        <w:jc w:val="left"/>
        <w:rPr>
          <w:rFonts w:ascii="Georgia" w:hAnsi="Georgia"/>
        </w:rPr>
      </w:pPr>
      <w:r>
        <w:rPr>
          <w:rFonts w:ascii="Georgia" w:hAnsi="Georgia"/>
          <w:b/>
          <w:bCs/>
          <w:sz w:val="24"/>
          <w:szCs w:val="24"/>
        </w:rPr>
        <w:t>Immigration and Destruction</w:t>
      </w:r>
    </w:p>
    <w:p>
      <w:pPr>
        <w:pStyle w:val="TextBody"/>
        <w:bidi w:val="0"/>
        <w:spacing w:lineRule="auto" w:line="480" w:before="0" w:after="140"/>
        <w:jc w:val="left"/>
        <w:rPr/>
      </w:pPr>
      <w:r>
        <w:rPr>
          <w:rFonts w:ascii="Georgia" w:hAnsi="Georgia"/>
        </w:rPr>
        <w:t xml:space="preserve">Despite the long migratory history of </w:t>
      </w:r>
      <w:r>
        <w:rPr>
          <w:rStyle w:val="Emphasis"/>
          <w:rFonts w:ascii="Georgia" w:hAnsi="Georgia"/>
        </w:rPr>
        <w:t>homo sapiens</w:t>
      </w:r>
      <w:r>
        <w:rPr>
          <w:rFonts w:ascii="Georgia" w:hAnsi="Georgia"/>
        </w:rPr>
        <w:t xml:space="preserve"> from the African savannas (described by the regional genetic variation of humans and their parasites), and the later large-scale migrations of Indo-European tribes across Eurasia to the New World, Hardin assigns a very different status to immigration in his worldview.</w:t>
      </w:r>
    </w:p>
    <w:p>
      <w:pPr>
        <w:pStyle w:val="TextBody"/>
        <w:bidi w:val="0"/>
        <w:spacing w:lineRule="auto" w:line="480"/>
        <w:jc w:val="left"/>
        <w:rPr>
          <w:rFonts w:ascii="Georgia" w:hAnsi="Georgia"/>
        </w:rPr>
      </w:pPr>
      <w:r>
        <w:rPr>
          <w:rFonts w:ascii="Georgia" w:hAnsi="Georgia"/>
        </w:rPr>
        <w:t>As Hardin moves from discussing overpopulation to focusing on developing countries, emigrants, and their descendants—whose annual growth exceeds the U.S. average—his intrapsychic-existential anxiety clearly intensifies. He links his fear of immigrants to their movement toward sources of food, which in turn, he claims, “speeds up the destruction of the environment of the rich countries” (Hardin 1974:9).</w:t>
      </w:r>
    </w:p>
    <w:p>
      <w:pPr>
        <w:pStyle w:val="TextBody"/>
        <w:bidi w:val="0"/>
        <w:spacing w:lineRule="auto" w:line="480" w:before="0" w:after="140"/>
        <w:jc w:val="left"/>
        <w:rPr/>
      </w:pPr>
      <w:r>
        <w:rPr>
          <w:rFonts w:ascii="Georgia" w:hAnsi="Georgia"/>
        </w:rPr>
        <w:t xml:space="preserve">Hardin’s well-known stance </w:t>
      </w:r>
      <w:r>
        <w:rPr>
          <w:rStyle w:val="Emphasis"/>
          <w:rFonts w:ascii="Georgia" w:hAnsi="Georgia"/>
        </w:rPr>
        <w:t>The Tragedy of the Commons</w:t>
      </w:r>
      <w:r>
        <w:rPr>
          <w:rFonts w:ascii="Georgia" w:hAnsi="Georgia"/>
        </w:rPr>
        <w:t xml:space="preserve"> was, by his own admission, inspired by W.F. Lloyd (d.1852) (Hardin 1998:1). Lloyd’s 1833 discussion identified “an unchecked population (proceeding naturally in geometrical progression)” (Lloyd 1834:iii)—as the central issue, positing that agricultural productivity could not keep pace with this growth.</w:t>
      </w:r>
    </w:p>
    <w:p>
      <w:pPr>
        <w:pStyle w:val="TextBody"/>
        <w:bidi w:val="0"/>
        <w:spacing w:lineRule="auto" w:line="480"/>
        <w:jc w:val="left"/>
        <w:rPr>
          <w:rFonts w:ascii="Georgia" w:hAnsi="Georgia"/>
        </w:rPr>
      </w:pPr>
      <w:r>
        <w:rPr>
          <w:rFonts w:ascii="Georgia" w:hAnsi="Georgia"/>
        </w:rPr>
        <w:t>However, Lloyd's account offers only a narrow and selectively introspective view of resource depletion, omitting other critical conditions, such as how values become associated with resources, or how property relations form and exert influence. His model is inapplicable at the level of societies or civilizations, and fails to address existential problems or hypothetical global crises—such as Hardin's speculative energy shortage or the supposed collapse of food production capacity.</w:t>
      </w:r>
    </w:p>
    <w:p>
      <w:pPr>
        <w:pStyle w:val="TextBody"/>
        <w:bidi w:val="0"/>
        <w:spacing w:lineRule="auto" w:line="480"/>
        <w:jc w:val="left"/>
        <w:rPr>
          <w:rFonts w:ascii="Georgia" w:hAnsi="Georgia"/>
        </w:rPr>
      </w:pPr>
      <w:r>
        <w:rPr>
          <w:rFonts w:ascii="Georgia" w:hAnsi="Georgia"/>
        </w:rPr>
        <w:t xml:space="preserve">Hardin adopts Lloyd’s outdated examples of </w:t>
      </w:r>
      <w:r>
        <w:rPr>
          <w:rFonts w:ascii="Georgia" w:hAnsi="Georgia"/>
          <w:i/>
          <w:iCs/>
        </w:rPr>
        <w:t>pasture and cattle</w:t>
      </w:r>
      <w:r>
        <w:rPr>
          <w:rFonts w:ascii="Georgia" w:hAnsi="Georgia"/>
        </w:rPr>
        <w:t xml:space="preserve"> (Hardin 1974:4) without questioning how a supposedly unsustainable world has persisted from the early 19th century into the second half of the 20th—despite accelerating population growth. One may, illustratively, contrast this with the real effects of the ongoing Green Revolution, which Hardin dismisses without justification (ibid:7). Hardin supplements Lloyd’s already outdated hypothesis with his own assumption: that contemporary migration somehow exacerbates ignorance, immorality, and irresponsibility.</w:t>
      </w:r>
    </w:p>
    <w:p>
      <w:pPr>
        <w:pStyle w:val="TextBody"/>
        <w:bidi w:val="0"/>
        <w:spacing w:lineRule="auto" w:line="480"/>
        <w:jc w:val="left"/>
        <w:rPr>
          <w:rFonts w:ascii="Georgia" w:hAnsi="Georgia"/>
        </w:rPr>
      </w:pPr>
      <w:r>
        <w:rPr>
          <w:rFonts w:eastAsia="NSimSun" w:cs="Lucida Sans" w:ascii="Georgia" w:hAnsi="Georgia"/>
          <w:color w:val="auto"/>
          <w:kern w:val="2"/>
          <w:sz w:val="24"/>
          <w:szCs w:val="24"/>
          <w:lang w:val="en-US" w:eastAsia="zh-CN" w:bidi="hi-IN"/>
        </w:rPr>
        <w:t>T</w:t>
      </w:r>
      <w:r>
        <w:rPr>
          <w:rFonts w:ascii="Georgia" w:hAnsi="Georgia"/>
        </w:rPr>
        <w:t xml:space="preserve">he empirical picture complicates </w:t>
      </w:r>
      <w:r>
        <w:rPr>
          <w:rFonts w:eastAsia="NSimSun" w:cs="Lucida Sans" w:ascii="Georgia" w:hAnsi="Georgia"/>
          <w:color w:val="auto"/>
          <w:kern w:val="2"/>
          <w:sz w:val="24"/>
          <w:szCs w:val="24"/>
          <w:lang w:val="en-US" w:eastAsia="zh-CN" w:bidi="hi-IN"/>
        </w:rPr>
        <w:t>Hardin’s</w:t>
      </w:r>
      <w:r>
        <w:rPr>
          <w:rFonts w:ascii="Georgia" w:hAnsi="Georgia"/>
        </w:rPr>
        <w:t xml:space="preserve"> narrative. For instance, much of the earlier agricultural land and settlements—such as those in Israel—are direct results of immigrant labor. We could also point to practices familiar since antiquity, such as irrigation or land drainage, both of which involve mobility, migration, and the development of new cultivable areas. In Hardin’s framework, resources seem to exi</w:t>
      </w:r>
      <w:r>
        <w:rPr>
          <w:rFonts w:ascii="Georgia" w:hAnsi="Georgia"/>
          <w:i w:val="false"/>
          <w:iCs w:val="false"/>
        </w:rPr>
        <w:t xml:space="preserve">st </w:t>
      </w:r>
      <w:r>
        <w:rPr>
          <w:rStyle w:val="Emphasis"/>
          <w:rFonts w:ascii="Georgia" w:hAnsi="Georgia"/>
          <w:i w:val="false"/>
          <w:iCs w:val="false"/>
        </w:rPr>
        <w:t>by default</w:t>
      </w:r>
      <w:r>
        <w:rPr>
          <w:rFonts w:ascii="Georgia" w:hAnsi="Georgia"/>
          <w:i w:val="false"/>
          <w:iCs w:val="false"/>
        </w:rPr>
        <w:t>, a</w:t>
      </w:r>
      <w:r>
        <w:rPr>
          <w:rFonts w:ascii="Georgia" w:hAnsi="Georgia"/>
        </w:rPr>
        <w:t>vailable only for consumption. In reality, they are created—through labor. Even in the agriculture of developed nations, this work is often carried out by immigrants engaged in physically demanding and underpaid jobs.</w:t>
      </w:r>
    </w:p>
    <w:p>
      <w:pPr>
        <w:pStyle w:val="TextBody"/>
        <w:bidi w:val="0"/>
        <w:spacing w:lineRule="auto" w:line="480" w:before="0" w:after="140"/>
        <w:jc w:val="left"/>
        <w:rPr/>
      </w:pPr>
      <w:r>
        <w:rPr>
          <w:rFonts w:ascii="Georgia" w:hAnsi="Georgia"/>
        </w:rPr>
        <w:t>Lloyd’s theory is sometimes regarded as an early cousin of the modern</w:t>
      </w:r>
      <w:r>
        <w:rPr>
          <w:rFonts w:ascii="Georgia" w:hAnsi="Georgia"/>
          <w:i w:val="false"/>
          <w:iCs w:val="false"/>
        </w:rPr>
        <w:t xml:space="preserve"> G</w:t>
      </w:r>
      <w:r>
        <w:rPr>
          <w:rStyle w:val="Emphasis"/>
          <w:rFonts w:ascii="Georgia" w:hAnsi="Georgia"/>
          <w:i w:val="false"/>
          <w:iCs w:val="false"/>
        </w:rPr>
        <w:t>ame Theory</w:t>
      </w:r>
      <w:r>
        <w:rPr>
          <w:rFonts w:ascii="Georgia" w:hAnsi="Georgia"/>
          <w:i w:val="false"/>
          <w:iCs w:val="false"/>
        </w:rPr>
        <w:t xml:space="preserve">, </w:t>
      </w:r>
      <w:r>
        <w:rPr>
          <w:rFonts w:ascii="Georgia" w:hAnsi="Georgia"/>
        </w:rPr>
        <w:t xml:space="preserve">since both attempt to analyze strategic interactions between individuals, and in Lloyds case under resource constraints. The Game Theory, despite its name, is no trivial pursuit; the developers of the concept have earned numerous Nobel Prizes. If we examine immigration through the lens of today’s </w:t>
      </w:r>
      <w:r>
        <w:rPr>
          <w:rStyle w:val="Emphasis"/>
          <w:rFonts w:ascii="Georgia" w:hAnsi="Georgia"/>
          <w:i/>
          <w:iCs/>
        </w:rPr>
        <w:t>Free Rider Problem</w:t>
      </w:r>
      <w:r>
        <w:rPr>
          <w:rFonts w:ascii="Georgia" w:hAnsi="Georgia"/>
        </w:rPr>
        <w:t>—which concerns those who consume societal resources without contributing their fair share—we encounter a picture very different from what Hardin feared.</w:t>
      </w:r>
    </w:p>
    <w:p>
      <w:pPr>
        <w:pStyle w:val="TextBody"/>
        <w:bidi w:val="0"/>
        <w:spacing w:lineRule="auto" w:line="480"/>
        <w:jc w:val="left"/>
        <w:rPr>
          <w:rFonts w:ascii="Georgia" w:hAnsi="Georgia"/>
        </w:rPr>
      </w:pPr>
      <w:r>
        <w:rPr>
          <w:rFonts w:ascii="Georgia" w:hAnsi="Georgia"/>
        </w:rPr>
        <w:t xml:space="preserve">In practice, immigrants often work as hard or harder than others, for less compensation, and with weaker access to social protections. In this light, they resemble </w:t>
      </w:r>
      <w:r>
        <w:rPr>
          <w:rFonts w:ascii="Georgia" w:hAnsi="Georgia"/>
          <w:i/>
          <w:iCs/>
        </w:rPr>
        <w:t>over-contributors</w:t>
      </w:r>
      <w:r>
        <w:rPr>
          <w:rFonts w:ascii="Georgia" w:hAnsi="Georgia"/>
        </w:rPr>
        <w:t>, contrary to the widespread myths (Penn Wharton 2016).</w:t>
      </w:r>
    </w:p>
    <w:p>
      <w:pPr>
        <w:pStyle w:val="TextBody"/>
        <w:bidi w:val="0"/>
        <w:spacing w:lineRule="auto" w:line="480"/>
        <w:jc w:val="left"/>
        <w:rPr>
          <w:rFonts w:ascii="Georgia" w:hAnsi="Georgia"/>
        </w:rPr>
      </w:pPr>
      <w:r>
        <w:rPr>
          <w:rFonts w:ascii="Georgia" w:hAnsi="Georgia"/>
        </w:rPr>
        <w:t>Creativity and over-contribution are precisely the attitudes that enabled the development of advanced societies like the United States and Australia—societies built by immigrants and maintained through ongoing immigration. This does not, of course, deny the existence of shadowy or criminal elements who exploit anonymity, as seen in mainland Europe—a phenomenon arguably linked to a new phase of former Cold War tensions.</w:t>
      </w:r>
    </w:p>
    <w:p>
      <w:pPr>
        <w:pStyle w:val="TextBody"/>
        <w:bidi w:val="0"/>
        <w:spacing w:lineRule="auto" w:line="480" w:before="0" w:after="140"/>
        <w:jc w:val="left"/>
        <w:rPr/>
      </w:pPr>
      <w:r>
        <w:rPr>
          <w:rFonts w:ascii="Georgia" w:hAnsi="Georgia"/>
        </w:rPr>
        <w:t>In other words: immigration, taken as a whole, cannot be viewed as a factor that causes or accelerates eithe</w:t>
      </w:r>
      <w:r>
        <w:rPr>
          <w:rFonts w:ascii="Georgia" w:hAnsi="Georgia"/>
          <w:i w:val="false"/>
          <w:iCs w:val="false"/>
        </w:rPr>
        <w:t xml:space="preserve">r </w:t>
      </w:r>
      <w:r>
        <w:rPr>
          <w:rStyle w:val="Emphasis"/>
          <w:rFonts w:ascii="Georgia" w:hAnsi="Georgia"/>
          <w:i w:val="false"/>
          <w:iCs w:val="false"/>
        </w:rPr>
        <w:t>depletion</w:t>
      </w:r>
      <w:r>
        <w:rPr>
          <w:rFonts w:ascii="Georgia" w:hAnsi="Georgia"/>
          <w:i w:val="false"/>
          <w:iCs w:val="false"/>
        </w:rPr>
        <w:t xml:space="preserve"> or </w:t>
      </w:r>
      <w:r>
        <w:rPr>
          <w:rStyle w:val="Emphasis"/>
          <w:rFonts w:ascii="Georgia" w:hAnsi="Georgia"/>
          <w:i w:val="false"/>
          <w:iCs w:val="false"/>
        </w:rPr>
        <w:t>destruction</w:t>
      </w:r>
      <w:r>
        <w:rPr>
          <w:rFonts w:ascii="Georgia" w:hAnsi="Georgia"/>
          <w:i w:val="false"/>
          <w:iCs w:val="false"/>
        </w:rPr>
        <w:t>.</w:t>
      </w:r>
    </w:p>
    <w:p>
      <w:pPr>
        <w:pStyle w:val="TextBody"/>
        <w:bidi w:val="0"/>
        <w:spacing w:lineRule="auto" w:line="480"/>
        <w:jc w:val="left"/>
        <w:rPr>
          <w:rFonts w:ascii="Georgia" w:hAnsi="Georgia"/>
        </w:rPr>
      </w:pPr>
      <w:r>
        <w:rPr>
          <w:rFonts w:ascii="Georgia" w:hAnsi="Georgia"/>
        </w:rPr>
      </w:r>
    </w:p>
    <w:p>
      <w:pPr>
        <w:pStyle w:val="TextBody"/>
        <w:bidi w:val="0"/>
        <w:spacing w:lineRule="auto" w:line="480"/>
        <w:ind w:hanging="0"/>
        <w:jc w:val="left"/>
        <w:rPr/>
      </w:pPr>
      <w:r>
        <w:rPr>
          <w:rStyle w:val="StrongEmphasis"/>
          <w:rFonts w:ascii="Georgia" w:hAnsi="Georgia"/>
          <w:b/>
          <w:bCs/>
        </w:rPr>
        <w:t xml:space="preserve">• </w:t>
      </w:r>
      <w:r>
        <w:rPr>
          <w:rStyle w:val="StrongEmphasis"/>
          <w:rFonts w:ascii="Georgia" w:hAnsi="Georgia"/>
          <w:b/>
          <w:bCs/>
        </w:rPr>
        <w:t>Lifeboat</w:t>
      </w:r>
    </w:p>
    <w:p>
      <w:pPr>
        <w:pStyle w:val="TextBody"/>
        <w:bidi w:val="0"/>
        <w:spacing w:lineRule="auto" w:line="480"/>
        <w:jc w:val="left"/>
        <w:rPr>
          <w:rFonts w:ascii="Georgia" w:hAnsi="Georgia"/>
        </w:rPr>
      </w:pPr>
      <w:r>
        <w:rPr>
          <w:rFonts w:ascii="Georgia" w:hAnsi="Georgia"/>
        </w:rPr>
        <w:t>When considering Hardin’s ‘lifeboat’ metaphor, the conceptual framework it creates—one of an (un)earthly or undefined threat and a vessel at sea—is clearly one-sided and ideologically biased.</w:t>
      </w:r>
    </w:p>
    <w:p>
      <w:pPr>
        <w:pStyle w:val="TextBody"/>
        <w:bidi w:val="0"/>
        <w:spacing w:lineRule="auto" w:line="480"/>
        <w:jc w:val="left"/>
        <w:rPr/>
      </w:pPr>
      <w:r>
        <w:rPr>
          <w:rFonts w:ascii="Georgia" w:hAnsi="Georgia"/>
        </w:rPr>
        <w:t>Throughout much of history, global trade followed coastlines and rivers. Open-sea navigation was considered reasonably safe only with the advent of larger vessels. In the age of great ships, small boats with limited mobility were initially used to reach shore or port. The life-saving function of these boats could develop only under conditions where they were used for relatively short periods and, crucially, in areas with dense traffic—making it possible for survivors to be rescued by a passing ship. Additionally, shipwrecks had to occur in calm seas, since small boats were significantly less seaworthy than the possibly damaged ships themselves.</w:t>
      </w:r>
    </w:p>
    <w:p>
      <w:pPr>
        <w:pStyle w:val="TextBody"/>
        <w:bidi w:val="0"/>
        <w:spacing w:lineRule="auto" w:line="480" w:before="0" w:after="140"/>
        <w:jc w:val="left"/>
        <w:rPr/>
      </w:pPr>
      <w:r>
        <w:rPr>
          <w:rFonts w:ascii="Georgia" w:hAnsi="Georgia"/>
        </w:rPr>
        <w:t>These conditions—calm waters and dense maritime traffic—were fulfilled primarily in the North Atlantic, where the Labrador Current carried icebergs into shipping lanes. Koch (2012), in his critique of lifeboat ethics, describes a disaster on the Atlantic Highway (also known as the Great Circle Route) in 1841, when the sailing ship</w:t>
      </w:r>
      <w:r>
        <w:rPr>
          <w:rFonts w:ascii="Georgia" w:hAnsi="Georgia"/>
        </w:rPr>
        <w:t xml:space="preserve"> </w:t>
      </w:r>
      <w:r>
        <w:rPr>
          <w:rStyle w:val="Emphasis"/>
          <w:rFonts w:ascii="Georgia" w:hAnsi="Georgia"/>
          <w:i/>
          <w:iCs/>
        </w:rPr>
        <w:t>William Brown</w:t>
      </w:r>
      <w:r>
        <w:rPr>
          <w:rFonts w:ascii="Georgia" w:hAnsi="Georgia"/>
        </w:rPr>
        <w:t>—one of hundreds—struck an iceberg while carrying 82 people. The ship’s two boats lacked space for all aboard. Moreover, the boats were in poor condition. A decision was made to throw some of the initial survivors overboard, preserving space for women and children.</w:t>
      </w:r>
    </w:p>
    <w:p>
      <w:pPr>
        <w:pStyle w:val="TextBody"/>
        <w:bidi w:val="0"/>
        <w:spacing w:lineRule="auto" w:line="480" w:before="0" w:after="140"/>
        <w:jc w:val="left"/>
        <w:rPr/>
      </w:pPr>
      <w:r>
        <w:rPr>
          <w:rFonts w:ascii="Georgia" w:hAnsi="Georgia"/>
        </w:rPr>
        <w:t xml:space="preserve">Koch’s account is, of course, not without subjectivity. His agenda—and the title of his book—is </w:t>
      </w:r>
      <w:r>
        <w:rPr>
          <w:rFonts w:ascii="Georgia" w:hAnsi="Georgia"/>
          <w:i w:val="false"/>
          <w:iCs w:val="false"/>
        </w:rPr>
        <w:t>“</w:t>
      </w:r>
      <w:r>
        <w:rPr>
          <w:rStyle w:val="Emphasis"/>
          <w:rFonts w:ascii="Georgia" w:hAnsi="Georgia"/>
          <w:i w:val="false"/>
          <w:iCs w:val="false"/>
        </w:rPr>
        <w:t>Thieves of Virtue: When Bioethics Stole Medicine”</w:t>
      </w:r>
      <w:r>
        <w:rPr>
          <w:rFonts w:ascii="Georgia" w:hAnsi="Georgia"/>
          <w:i w:val="false"/>
          <w:iCs w:val="false"/>
        </w:rPr>
        <w:t xml:space="preserve">. </w:t>
      </w:r>
      <w:r>
        <w:rPr>
          <w:rFonts w:ascii="Georgia" w:hAnsi="Georgia"/>
        </w:rPr>
        <w:t>Given that Tallinn, the author’s hometown, is home to the Raeapteek—one of the world’s oldest continuously operating pharmacies in the same building (from 15</w:t>
      </w:r>
      <w:r>
        <w:rPr>
          <w:rFonts w:ascii="Georgia" w:hAnsi="Georgia"/>
          <w:vertAlign w:val="superscript"/>
        </w:rPr>
        <w:t>th</w:t>
      </w:r>
      <w:r>
        <w:rPr>
          <w:rFonts w:ascii="Georgia" w:hAnsi="Georgia"/>
        </w:rPr>
        <w:t xml:space="preserve"> century)—it is fair to assert that cost-based medicine predates modern bioethics. Therefore, I see no reason to treat either Koch’s depiction of bioethics or the lifeboat ethics component within it, as more than a justification for pre-existing operational models—knowing full well how often, and how unjustifiably, we tend to idealize the past.</w:t>
      </w:r>
    </w:p>
    <w:p>
      <w:pPr>
        <w:pStyle w:val="TextBody"/>
        <w:bidi w:val="0"/>
        <w:spacing w:lineRule="auto" w:line="480" w:before="0" w:after="140"/>
        <w:jc w:val="left"/>
        <w:rPr/>
      </w:pPr>
      <w:r>
        <w:rPr>
          <w:rFonts w:ascii="Georgia" w:hAnsi="Georgia"/>
        </w:rPr>
        <w:t xml:space="preserve">Yet statistical data reveals that of the 82 people aboard the </w:t>
      </w:r>
      <w:r>
        <w:rPr>
          <w:rStyle w:val="Emphasis"/>
          <w:rFonts w:ascii="Georgia" w:hAnsi="Georgia"/>
        </w:rPr>
        <w:t>William Brown</w:t>
      </w:r>
      <w:r>
        <w:rPr>
          <w:rFonts w:ascii="Georgia" w:hAnsi="Georgia"/>
        </w:rPr>
        <w:t xml:space="preserve">, 17 were crew members and 65 were Irish emigrants. The circumstances of the fatalities drew legal interest from both the destination country, the United States, and the United Kingdom. Even one-way transatlantic flows of economy-class passengers required the purchase of a ticket and placed a duty of care upon the carrier—regardless of the receiving country's pragmatic interest in cheap labor. </w:t>
      </w:r>
    </w:p>
    <w:p>
      <w:pPr>
        <w:pStyle w:val="TextBody"/>
        <w:bidi w:val="0"/>
        <w:spacing w:lineRule="auto" w:line="480" w:before="0" w:after="140"/>
        <w:jc w:val="left"/>
        <w:rPr/>
      </w:pPr>
      <w:r>
        <w:rPr>
          <w:rFonts w:ascii="Georgia" w:hAnsi="Georgia"/>
        </w:rPr>
        <w:t>The widely promoted American Dream and its ideals of freedom were part of a marketing narrative, not a doomed rescue operation. These people in the lifeboats were building their lives, not merely consuming or depleting resources.</w:t>
      </w:r>
    </w:p>
    <w:p>
      <w:pPr>
        <w:pStyle w:val="TextBody"/>
        <w:bidi w:val="0"/>
        <w:spacing w:lineRule="auto" w:line="480"/>
        <w:jc w:val="left"/>
        <w:rPr>
          <w:rFonts w:ascii="Georgia" w:hAnsi="Georgia"/>
        </w:rPr>
      </w:pPr>
      <w:r>
        <w:rPr>
          <w:rFonts w:ascii="Georgia" w:hAnsi="Georgia"/>
        </w:rPr>
        <w:t>Once again, as an author, one may choose to describe any aspect or shade of a given reality. Yet these choices reveal not so much the objectivity, but rather an internal reflection of external reality—and the describer’s own inner, sometimes unconscious, preferences.</w:t>
      </w:r>
    </w:p>
    <w:p>
      <w:pPr>
        <w:pStyle w:val="TextBody"/>
        <w:bidi w:val="0"/>
        <w:spacing w:lineRule="auto" w:line="480" w:before="0" w:after="140"/>
        <w:jc w:val="left"/>
        <w:rPr>
          <w:rStyle w:val="StrongEmphasis"/>
          <w:rFonts w:ascii="Georgia" w:hAnsi="Georgia"/>
        </w:rPr>
      </w:pPr>
      <w:r>
        <w:rPr>
          <w:rFonts w:ascii="Georgia" w:hAnsi="Georgia"/>
        </w:rPr>
      </w:r>
    </w:p>
    <w:p>
      <w:pPr>
        <w:pStyle w:val="TextBody"/>
        <w:bidi w:val="0"/>
        <w:spacing w:lineRule="auto" w:line="480"/>
        <w:ind w:hanging="0"/>
        <w:jc w:val="left"/>
        <w:rPr/>
      </w:pPr>
      <w:r>
        <w:rPr>
          <w:rStyle w:val="StrongEmphasis"/>
          <w:rFonts w:ascii="Georgia" w:hAnsi="Georgia"/>
          <w:b/>
          <w:bCs/>
        </w:rPr>
        <w:t xml:space="preserve">• </w:t>
      </w:r>
      <w:r>
        <w:rPr>
          <w:rStyle w:val="StrongEmphasis"/>
          <w:rFonts w:ascii="Georgia" w:hAnsi="Georgia"/>
          <w:b/>
          <w:bCs/>
        </w:rPr>
        <w:t>Intersecti</w:t>
      </w:r>
      <w:r>
        <w:rPr>
          <w:rStyle w:val="StrongEmphasis"/>
          <w:rFonts w:eastAsia="NSimSun" w:cs="Lucida Sans" w:ascii="Georgia" w:hAnsi="Georgia"/>
          <w:b/>
          <w:bCs/>
          <w:color w:val="auto"/>
          <w:kern w:val="2"/>
          <w:sz w:val="24"/>
          <w:szCs w:val="24"/>
          <w:lang w:val="en-US" w:eastAsia="zh-CN" w:bidi="hi-IN"/>
        </w:rPr>
        <w:t>on of the Motifs of the Lifeboat and Overpopulation</w:t>
      </w:r>
    </w:p>
    <w:p>
      <w:pPr>
        <w:pStyle w:val="TextBody"/>
        <w:bidi w:val="0"/>
        <w:spacing w:lineRule="auto" w:line="480"/>
        <w:jc w:val="left"/>
        <w:rPr>
          <w:rFonts w:ascii="Georgia" w:hAnsi="Georgia"/>
        </w:rPr>
      </w:pPr>
      <w:r>
        <w:rPr>
          <w:rFonts w:ascii="Georgia" w:hAnsi="Georgia"/>
        </w:rPr>
        <w:t xml:space="preserve">Early civilizations developed along the banks of large rivers, where seasonal flooding brought fertile silt and allowed the optimization of irrigation through canals and reservoirs. The wealth generated by agriculture and encouraged by trade was accumulated in landscape features, urban architecture, defensive structures, and sacred buildings. </w:t>
      </w:r>
    </w:p>
    <w:p>
      <w:pPr>
        <w:pStyle w:val="TextBody"/>
        <w:bidi w:val="0"/>
        <w:spacing w:lineRule="auto" w:line="480"/>
        <w:jc w:val="left"/>
        <w:rPr>
          <w:rFonts w:ascii="Georgia" w:hAnsi="Georgia"/>
        </w:rPr>
      </w:pPr>
      <w:r>
        <w:rPr>
          <w:rFonts w:ascii="Georgia" w:hAnsi="Georgia"/>
        </w:rPr>
        <w:t xml:space="preserve">The lower reaches of rivers such as the Yangtze, Nile, Indus, Tigris, and Euphrates lie in seismically stable areas. Lightning strikes are rare and affect only individuals. Fences and traps keep predators at bay. Seasonal floods, seen as signs of benevolent forces, could nevertheless escalate into catastrophes. If early civilizations did possess a concept of the “world,” it was different from today’s. </w:t>
      </w:r>
      <w:r>
        <w:rPr>
          <w:rFonts w:eastAsia="NSimSun" w:cs="Lucida Sans" w:ascii="Georgia" w:hAnsi="Georgia"/>
          <w:color w:val="auto"/>
          <w:kern w:val="2"/>
          <w:sz w:val="24"/>
          <w:szCs w:val="24"/>
          <w:lang w:val="en-US" w:eastAsia="zh-CN" w:bidi="hi-IN"/>
        </w:rPr>
        <w:t>It was c</w:t>
      </w:r>
      <w:r>
        <w:rPr>
          <w:rFonts w:ascii="Georgia" w:hAnsi="Georgia"/>
        </w:rPr>
        <w:t xml:space="preserve">ertainly more limited. </w:t>
      </w:r>
      <w:r>
        <w:rPr>
          <w:rFonts w:eastAsia="NSimSun" w:cs="Lucida Sans" w:ascii="Georgia" w:hAnsi="Georgia"/>
          <w:color w:val="auto"/>
          <w:kern w:val="2"/>
          <w:sz w:val="24"/>
          <w:szCs w:val="24"/>
          <w:lang w:val="en-US" w:eastAsia="zh-CN" w:bidi="hi-IN"/>
        </w:rPr>
        <w:t>T</w:t>
      </w:r>
      <w:r>
        <w:rPr>
          <w:rFonts w:ascii="Georgia" w:hAnsi="Georgia"/>
        </w:rPr>
        <w:t>he major events of that spacetime, along with a significant part of the population, were tied to flood-prone lands and the fear of gods who had once decided to annihilate humanity in its entirety.</w:t>
      </w:r>
    </w:p>
    <w:p>
      <w:pPr>
        <w:pStyle w:val="TextBody"/>
        <w:bidi w:val="0"/>
        <w:spacing w:lineRule="auto" w:line="480"/>
        <w:jc w:val="left"/>
        <w:rPr/>
      </w:pPr>
      <w:r>
        <w:rPr>
          <w:rFonts w:ascii="Georgia" w:hAnsi="Georgia"/>
        </w:rPr>
        <w:t xml:space="preserve">The anticipation of a feared apocalypse, and the rationalizations built around former ones to explain perceived threats, or inconsistencies in previous </w:t>
      </w:r>
      <w:r>
        <w:rPr>
          <w:rFonts w:eastAsia="NSimSun" w:cs="Lucida Sans" w:ascii="Georgia" w:hAnsi="Georgia"/>
          <w:color w:val="000000"/>
          <w:kern w:val="2"/>
          <w:sz w:val="24"/>
          <w:szCs w:val="24"/>
          <w:lang w:val="en-US" w:eastAsia="zh-CN" w:bidi="hi-IN"/>
        </w:rPr>
        <w:t>explanations</w:t>
      </w:r>
      <w:r>
        <w:rPr>
          <w:rFonts w:ascii="Georgia" w:hAnsi="Georgia"/>
        </w:rPr>
        <w:t>—gave rise to a widespread literary genre or narrative pattern: formally diverse yet thematically consistent. The metaphor of a saving vessel stretches back millennia and is part of our collective unconscious.</w:t>
      </w:r>
    </w:p>
    <w:p>
      <w:pPr>
        <w:pStyle w:val="TextBody"/>
        <w:bidi w:val="0"/>
        <w:spacing w:lineRule="auto" w:line="480"/>
        <w:jc w:val="left"/>
        <w:rPr/>
      </w:pPr>
      <w:r>
        <w:rPr>
          <w:rFonts w:ascii="Georgia" w:hAnsi="Georgia"/>
        </w:rPr>
        <w:t>Mythologies tend to grow in formal complexity and detail, while seemingly less significant motives less understood by contemporaries become episodic. For example, Teehan (2021) defends the argument—one with which the present author respectfully disagrees—that early existential traditions and/or religions even lacked a moral dimension as we understand it today.</w:t>
      </w:r>
    </w:p>
    <w:p>
      <w:pPr>
        <w:pStyle w:val="TextBody"/>
        <w:bidi w:val="0"/>
        <w:spacing w:lineRule="auto" w:line="480" w:before="0" w:after="140"/>
        <w:jc w:val="left"/>
        <w:rPr/>
      </w:pPr>
      <w:r>
        <w:rPr>
          <w:rFonts w:ascii="Georgia" w:hAnsi="Georgia"/>
        </w:rPr>
        <w:t>Hardin, considered the originator of ‘lifeboat ethics’, presents a structure that is simplistic and undifferentiated. Koch’s (2012) continuation of the discussion is</w:t>
      </w:r>
      <w:r>
        <w:rPr>
          <w:rFonts w:ascii="Georgia" w:hAnsi="Georgia"/>
          <w:i w:val="false"/>
          <w:iCs w:val="false"/>
        </w:rPr>
        <w:t xml:space="preserve"> </w:t>
      </w:r>
      <w:r>
        <w:rPr>
          <w:rStyle w:val="Emphasis"/>
          <w:rFonts w:ascii="Georgia" w:hAnsi="Georgia"/>
          <w:i w:val="false"/>
          <w:iCs w:val="false"/>
        </w:rPr>
        <w:t>far</w:t>
      </w:r>
      <w:r>
        <w:rPr>
          <w:rFonts w:ascii="Georgia" w:hAnsi="Georgia"/>
          <w:i w:val="false"/>
          <w:iCs w:val="false"/>
        </w:rPr>
        <w:t xml:space="preserve"> more </w:t>
      </w:r>
      <w:r>
        <w:rPr>
          <w:rFonts w:ascii="Georgia" w:hAnsi="Georgia"/>
        </w:rPr>
        <w:t>elaborate, regardless of how much we may agree with the conclusions drawn from his applications. He extends the moral dimension implied by the metaphor and context to encompass the regulations of the time, shipowners, the captain, the lone officer in the boat, and the legal system itself.</w:t>
      </w:r>
    </w:p>
    <w:p>
      <w:pPr>
        <w:pStyle w:val="TextBody"/>
        <w:bidi w:val="0"/>
        <w:spacing w:lineRule="auto" w:line="480" w:before="0" w:after="140"/>
        <w:jc w:val="left"/>
        <w:rPr/>
      </w:pPr>
      <w:r>
        <w:rPr>
          <w:rFonts w:ascii="Georgia" w:hAnsi="Georgia"/>
        </w:rPr>
        <w:t xml:space="preserve">Various global flood myths predate and overlap with the story of Noah/Nuh. One of the best-known is the </w:t>
      </w:r>
      <w:r>
        <w:rPr>
          <w:rStyle w:val="Emphasis"/>
          <w:rFonts w:ascii="Georgia" w:hAnsi="Georgia"/>
          <w:i/>
          <w:iCs/>
        </w:rPr>
        <w:t>Epic of Gilgamesh</w:t>
      </w:r>
      <w:r>
        <w:rPr>
          <w:rFonts w:ascii="Georgia" w:hAnsi="Georgia"/>
        </w:rPr>
        <w:t xml:space="preserve">, where the flood is only one of many key elements. Through poetic rationalization, the narrative elaborates on human values and also provides causes for the flood—punishment for humanity’s sinfulness— a complex synthesis of human constitutional guilt, and fear projections. Questions raised by earlier versions are addressed in later redactions. This parallels, for example, Nagarjuna’s teachings from the Indian subcontinent, which responded to unresolved questions from the late Theravada </w:t>
      </w:r>
      <w:r>
        <w:rPr>
          <w:rStyle w:val="Emphasis"/>
          <w:rFonts w:ascii="Georgia" w:hAnsi="Georgia"/>
        </w:rPr>
        <w:t>Kathavatthu</w:t>
      </w:r>
      <w:r>
        <w:rPr>
          <w:rFonts w:ascii="Georgia" w:hAnsi="Georgia"/>
        </w:rPr>
        <w:t xml:space="preserve"> tradition.</w:t>
      </w:r>
    </w:p>
    <w:p>
      <w:pPr>
        <w:pStyle w:val="TextBody"/>
        <w:bidi w:val="0"/>
        <w:spacing w:lineRule="auto" w:line="480"/>
        <w:jc w:val="left"/>
        <w:rPr/>
      </w:pPr>
      <w:r>
        <w:rPr>
          <w:rFonts w:ascii="Georgia" w:hAnsi="Georgia"/>
        </w:rPr>
        <w:t xml:space="preserve">There are also earlier, more rudimentary accounts of The Flood rich in detail yet offering fewer generalizations or explanations—such as </w:t>
      </w:r>
      <w:r>
        <w:rPr>
          <w:rStyle w:val="Emphasis"/>
          <w:rFonts w:ascii="Georgia" w:hAnsi="Georgia"/>
        </w:rPr>
        <w:t>Atrahasis</w:t>
      </w:r>
      <w:r>
        <w:rPr>
          <w:rFonts w:ascii="Georgia" w:hAnsi="Georgia"/>
        </w:rPr>
        <w:t>, which presents overpopulation as the cause of the flood: “The country became too wide, the people too numerous” (Dalley 2000:23). It is precisely this motif of excessive multiplication that Hardin echoes in his intuitively grounded view of overpopulation. Koch treats earlier formulations of lifeboat ethics more episodically, enriching the discourse with additional themes and a far greater degree of rationalization.</w:t>
      </w:r>
    </w:p>
    <w:p>
      <w:pPr>
        <w:pStyle w:val="TextBody"/>
        <w:bidi w:val="0"/>
        <w:spacing w:lineRule="auto" w:line="480"/>
        <w:jc w:val="left"/>
        <w:rPr>
          <w:rFonts w:ascii="Georgia" w:hAnsi="Georgia"/>
        </w:rPr>
      </w:pPr>
      <w:r>
        <w:rPr>
          <w:rFonts w:ascii="Georgia" w:hAnsi="Georgia"/>
        </w:rPr>
      </w:r>
    </w:p>
    <w:p>
      <w:pPr>
        <w:pStyle w:val="TextBody"/>
        <w:bidi w:val="0"/>
        <w:spacing w:lineRule="auto" w:line="480"/>
        <w:jc w:val="left"/>
        <w:rPr>
          <w:rFonts w:ascii="Georgia" w:hAnsi="Georgia"/>
        </w:rPr>
      </w:pPr>
      <w:r>
        <w:rPr>
          <w:rFonts w:ascii="Georgia" w:hAnsi="Georgia"/>
        </w:rPr>
      </w:r>
    </w:p>
    <w:p>
      <w:pPr>
        <w:pStyle w:val="TextBody"/>
        <w:bidi w:val="0"/>
        <w:spacing w:lineRule="auto" w:line="480"/>
        <w:jc w:val="left"/>
        <w:rPr>
          <w:rFonts w:ascii="Georgia" w:hAnsi="Georgia"/>
        </w:rPr>
      </w:pPr>
      <w:r>
        <w:rPr>
          <w:rFonts w:ascii="Georgia" w:hAnsi="Georgia"/>
        </w:rPr>
      </w:r>
    </w:p>
    <w:p>
      <w:pPr>
        <w:pStyle w:val="Heading5"/>
        <w:numPr>
          <w:ilvl w:val="4"/>
          <w:numId w:val="6"/>
        </w:numPr>
        <w:bidi w:val="0"/>
        <w:jc w:val="left"/>
        <w:rPr>
          <w:rFonts w:ascii="Georgia" w:hAnsi="Georgia"/>
          <w:sz w:val="28"/>
          <w:szCs w:val="28"/>
        </w:rPr>
      </w:pPr>
      <w:r>
        <w:rPr>
          <w:rFonts w:eastAsia="NSimSun" w:cs="Lucida Sans" w:ascii="Georgia" w:hAnsi="Georgia"/>
          <w:b/>
          <w:bCs/>
          <w:color w:val="000000"/>
          <w:kern w:val="2"/>
          <w:sz w:val="30"/>
          <w:szCs w:val="30"/>
          <w:lang w:val="en-US" w:eastAsia="zh-CN" w:bidi="hi-IN"/>
        </w:rPr>
        <w:t>Salvation</w:t>
      </w:r>
    </w:p>
    <w:p>
      <w:pPr>
        <w:pStyle w:val="TextBody"/>
        <w:bidi w:val="0"/>
        <w:jc w:val="left"/>
        <w:rPr>
          <w:rFonts w:ascii="Georgia" w:hAnsi="Georgia"/>
          <w:sz w:val="28"/>
          <w:szCs w:val="28"/>
        </w:rPr>
      </w:pPr>
      <w:r>
        <w:rPr>
          <w:rFonts w:ascii="Georgia" w:hAnsi="Georgia"/>
          <w:sz w:val="28"/>
          <w:szCs w:val="28"/>
        </w:rPr>
      </w:r>
    </w:p>
    <w:p>
      <w:pPr>
        <w:pStyle w:val="TextBody"/>
        <w:bidi w:val="0"/>
        <w:ind w:left="3545" w:hanging="0"/>
        <w:jc w:val="left"/>
        <w:rPr>
          <w:rFonts w:ascii="Georgia" w:hAnsi="Georgia"/>
        </w:rPr>
      </w:pPr>
      <w:r>
        <w:rPr>
          <w:rFonts w:ascii="Georgia" w:hAnsi="Georgia"/>
          <w:sz w:val="22"/>
          <w:szCs w:val="22"/>
        </w:rPr>
        <w:t>“</w:t>
      </w:r>
      <w:r>
        <w:rPr>
          <w:rFonts w:ascii="Georgia" w:hAnsi="Georgia"/>
          <w:sz w:val="22"/>
          <w:szCs w:val="22"/>
        </w:rPr>
        <w:t xml:space="preserve">The idea that we can reach salvation through science is ancient and powerful.” </w:t>
      </w:r>
    </w:p>
    <w:p>
      <w:pPr>
        <w:pStyle w:val="TextBody"/>
        <w:bidi w:val="0"/>
        <w:ind w:left="3545" w:hanging="0"/>
        <w:jc w:val="left"/>
        <w:rPr>
          <w:rFonts w:ascii="Georgia" w:hAnsi="Georgia"/>
        </w:rPr>
      </w:pPr>
      <w:r>
        <w:rPr>
          <w:rFonts w:ascii="Georgia" w:hAnsi="Georgia"/>
          <w:sz w:val="22"/>
          <w:szCs w:val="22"/>
        </w:rPr>
        <w:t>- (Midgley 1992:1)</w:t>
      </w:r>
    </w:p>
    <w:p>
      <w:pPr>
        <w:pStyle w:val="TextBody"/>
        <w:bidi w:val="0"/>
        <w:jc w:val="left"/>
        <w:rPr>
          <w:rFonts w:ascii="Georgia" w:hAnsi="Georgia"/>
        </w:rPr>
      </w:pPr>
      <w:r>
        <w:rPr>
          <w:rFonts w:ascii="Georgia" w:hAnsi="Georgia"/>
        </w:rPr>
      </w:r>
    </w:p>
    <w:p>
      <w:pPr>
        <w:pStyle w:val="TextBody"/>
        <w:bidi w:val="0"/>
        <w:spacing w:lineRule="auto" w:line="480"/>
        <w:jc w:val="left"/>
        <w:rPr>
          <w:rFonts w:ascii="Georgia" w:hAnsi="Georgia"/>
        </w:rPr>
      </w:pPr>
      <w:r>
        <w:rPr>
          <w:rFonts w:ascii="Georgia" w:hAnsi="Georgia"/>
        </w:rPr>
        <w:t>All personalities are, of course, unique.</w:t>
      </w:r>
    </w:p>
    <w:p>
      <w:pPr>
        <w:pStyle w:val="TextBody"/>
        <w:bidi w:val="0"/>
        <w:spacing w:lineRule="auto" w:line="480"/>
        <w:jc w:val="left"/>
        <w:rPr>
          <w:rFonts w:ascii="Georgia" w:hAnsi="Georgia"/>
        </w:rPr>
      </w:pPr>
      <w:r>
        <w:rPr>
          <w:rFonts w:ascii="Georgia" w:hAnsi="Georgia"/>
        </w:rPr>
        <w:t>The development of personality in the classical Western tradition and the formation of thoughts preceding behavior are influenced by many factors at levels such as neurobiology, genetics, endocrinology, socio-cultural background, and so on, which R.M. Sapolsky (2017:11) from Stanford vividly describes as “buckets”—a metaphor meant to represent the result of overemphasizing each of these factors.</w:t>
      </w:r>
    </w:p>
    <w:p>
      <w:pPr>
        <w:pStyle w:val="TextBody"/>
        <w:bidi w:val="0"/>
        <w:spacing w:lineRule="auto" w:line="480"/>
        <w:jc w:val="left"/>
        <w:rPr>
          <w:rFonts w:ascii="Georgia" w:hAnsi="Georgia"/>
        </w:rPr>
      </w:pPr>
      <w:r>
        <w:rPr>
          <w:rFonts w:ascii="Georgia" w:hAnsi="Georgia"/>
        </w:rPr>
        <w:t>And yet—undoubtedly, we have archetypes that manifest at the intersection of forces, and the likelihood of their different forms of manifestation.</w:t>
      </w:r>
    </w:p>
    <w:p>
      <w:pPr>
        <w:pStyle w:val="TextBody"/>
        <w:bidi w:val="0"/>
        <w:spacing w:lineRule="auto" w:line="480"/>
        <w:jc w:val="left"/>
        <w:rPr>
          <w:rFonts w:ascii="Georgia" w:hAnsi="Georgia"/>
        </w:rPr>
      </w:pPr>
      <w:r>
        <w:rPr>
          <w:rFonts w:ascii="Georgia" w:hAnsi="Georgia"/>
        </w:rPr>
        <w:t>Hardin’s world, as outlined in his writings, is characterized by an abundance of fears. He fears:</w:t>
      </w:r>
    </w:p>
    <w:p>
      <w:pPr>
        <w:pStyle w:val="TextBody"/>
        <w:numPr>
          <w:ilvl w:val="0"/>
          <w:numId w:val="3"/>
        </w:numPr>
        <w:tabs>
          <w:tab w:val="clear" w:pos="720"/>
          <w:tab w:val="left" w:pos="707" w:leader="none"/>
        </w:tabs>
        <w:bidi w:val="0"/>
        <w:spacing w:lineRule="auto" w:line="480"/>
        <w:ind w:left="707" w:hanging="283"/>
        <w:jc w:val="left"/>
        <w:rPr>
          <w:rFonts w:ascii="Georgia" w:hAnsi="Georgia"/>
        </w:rPr>
      </w:pPr>
      <w:r>
        <w:rPr>
          <w:rFonts w:ascii="Georgia" w:hAnsi="Georgia"/>
        </w:rPr>
        <w:t>an imminent famine,</w:t>
      </w:r>
    </w:p>
    <w:p>
      <w:pPr>
        <w:pStyle w:val="TextBody"/>
        <w:numPr>
          <w:ilvl w:val="0"/>
          <w:numId w:val="3"/>
        </w:numPr>
        <w:tabs>
          <w:tab w:val="clear" w:pos="720"/>
          <w:tab w:val="left" w:pos="707" w:leader="none"/>
        </w:tabs>
        <w:bidi w:val="0"/>
        <w:spacing w:lineRule="auto" w:line="480"/>
        <w:ind w:left="707" w:hanging="283"/>
        <w:jc w:val="left"/>
        <w:rPr>
          <w:rFonts w:ascii="Georgia" w:hAnsi="Georgia"/>
        </w:rPr>
      </w:pPr>
      <w:r>
        <w:rPr>
          <w:rFonts w:ascii="Georgia" w:hAnsi="Georgia"/>
        </w:rPr>
        <w:t>the already arrived energy crisis,</w:t>
      </w:r>
    </w:p>
    <w:p>
      <w:pPr>
        <w:pStyle w:val="TextBody"/>
        <w:numPr>
          <w:ilvl w:val="0"/>
          <w:numId w:val="3"/>
        </w:numPr>
        <w:tabs>
          <w:tab w:val="clear" w:pos="720"/>
          <w:tab w:val="left" w:pos="707" w:leader="none"/>
        </w:tabs>
        <w:bidi w:val="0"/>
        <w:spacing w:lineRule="auto" w:line="480"/>
        <w:ind w:left="707" w:hanging="283"/>
        <w:jc w:val="left"/>
        <w:rPr>
          <w:rFonts w:ascii="Georgia" w:hAnsi="Georgia"/>
        </w:rPr>
      </w:pPr>
      <w:r>
        <w:rPr>
          <w:rFonts w:ascii="Georgia" w:hAnsi="Georgia"/>
        </w:rPr>
        <w:t>immigrants along with the environmental catastrophe they bring,</w:t>
      </w:r>
    </w:p>
    <w:p>
      <w:pPr>
        <w:pStyle w:val="TextBody"/>
        <w:numPr>
          <w:ilvl w:val="0"/>
          <w:numId w:val="3"/>
        </w:numPr>
        <w:tabs>
          <w:tab w:val="clear" w:pos="720"/>
          <w:tab w:val="left" w:pos="707" w:leader="none"/>
        </w:tabs>
        <w:bidi w:val="0"/>
        <w:spacing w:lineRule="auto" w:line="480"/>
        <w:ind w:left="707" w:hanging="283"/>
        <w:jc w:val="left"/>
        <w:rPr>
          <w:rFonts w:ascii="Georgia" w:hAnsi="Georgia"/>
        </w:rPr>
      </w:pPr>
      <w:r>
        <w:rPr>
          <w:rFonts w:ascii="Georgia" w:hAnsi="Georgia"/>
        </w:rPr>
        <w:t>depletion of all resources,</w:t>
      </w:r>
    </w:p>
    <w:p>
      <w:pPr>
        <w:pStyle w:val="TextBody"/>
        <w:numPr>
          <w:ilvl w:val="0"/>
          <w:numId w:val="3"/>
        </w:numPr>
        <w:tabs>
          <w:tab w:val="clear" w:pos="720"/>
          <w:tab w:val="left" w:pos="707" w:leader="none"/>
        </w:tabs>
        <w:bidi w:val="0"/>
        <w:spacing w:lineRule="auto" w:line="480"/>
        <w:ind w:left="707" w:hanging="283"/>
        <w:jc w:val="left"/>
        <w:rPr>
          <w:rFonts w:ascii="Georgia" w:hAnsi="Georgia"/>
        </w:rPr>
      </w:pPr>
      <w:r>
        <w:rPr>
          <w:rFonts w:ascii="Georgia" w:hAnsi="Georgia"/>
        </w:rPr>
        <w:t>exceeding carrying capacity,</w:t>
      </w:r>
    </w:p>
    <w:p>
      <w:pPr>
        <w:pStyle w:val="TextBody"/>
        <w:numPr>
          <w:ilvl w:val="0"/>
          <w:numId w:val="3"/>
        </w:numPr>
        <w:tabs>
          <w:tab w:val="clear" w:pos="720"/>
          <w:tab w:val="left" w:pos="707" w:leader="none"/>
        </w:tabs>
        <w:bidi w:val="0"/>
        <w:spacing w:lineRule="auto" w:line="480"/>
        <w:ind w:left="707" w:hanging="283"/>
        <w:jc w:val="left"/>
        <w:rPr>
          <w:rFonts w:ascii="Georgia" w:hAnsi="Georgia"/>
        </w:rPr>
      </w:pPr>
      <w:r>
        <w:rPr>
          <w:rFonts w:ascii="Georgia" w:hAnsi="Georgia"/>
        </w:rPr>
        <w:t>and, of course, population growth,</w:t>
      </w:r>
    </w:p>
    <w:p>
      <w:pPr>
        <w:pStyle w:val="TextBody"/>
        <w:numPr>
          <w:ilvl w:val="0"/>
          <w:numId w:val="3"/>
        </w:numPr>
        <w:tabs>
          <w:tab w:val="clear" w:pos="720"/>
          <w:tab w:val="left" w:pos="707" w:leader="none"/>
        </w:tabs>
        <w:bidi w:val="0"/>
        <w:spacing w:lineRule="auto" w:line="480"/>
        <w:ind w:left="707" w:hanging="283"/>
        <w:jc w:val="left"/>
        <w:rPr>
          <w:rFonts w:ascii="Georgia" w:hAnsi="Georgia"/>
        </w:rPr>
      </w:pPr>
      <w:r>
        <w:rPr>
          <w:rFonts w:ascii="Georgia" w:hAnsi="Georgia"/>
        </w:rPr>
        <w:t>etc.</w:t>
      </w:r>
    </w:p>
    <w:p>
      <w:pPr>
        <w:pStyle w:val="TextBody"/>
        <w:bidi w:val="0"/>
        <w:spacing w:lineRule="auto" w:line="480"/>
        <w:jc w:val="left"/>
        <w:rPr>
          <w:rFonts w:ascii="Georgia" w:hAnsi="Georgia"/>
        </w:rPr>
      </w:pPr>
      <w:r>
        <w:rPr>
          <w:rFonts w:ascii="Georgia" w:hAnsi="Georgia"/>
        </w:rPr>
        <w:t>His predictions that, with the continuation of previous trends, already the next generations would be left with only catastrophe (Hardin 1974:10-11)—have fortunately not come true. Over 50 years have passed since Hardin’s “The Tragedy of the Commons” article, yet a human generation is considered to span just under two dozen years. The other catastrophic scenarios described above were already untrue at the time of their description.</w:t>
      </w:r>
    </w:p>
    <w:p>
      <w:pPr>
        <w:pStyle w:val="TextBody"/>
        <w:bidi w:val="0"/>
        <w:spacing w:lineRule="auto" w:line="480"/>
        <w:jc w:val="left"/>
        <w:rPr>
          <w:rFonts w:ascii="Georgia" w:hAnsi="Georgia"/>
        </w:rPr>
      </w:pPr>
      <w:r>
        <w:rPr>
          <w:rFonts w:ascii="Georgia" w:hAnsi="Georgia"/>
        </w:rPr>
        <w:t>The environment remains under pressure. But initiatives from environmental activists have brought numerous positive developments, showing positive results in various fields—such as recycling, ethical consumption, renewable energy, pollution control, etc.</w:t>
      </w:r>
    </w:p>
    <w:p>
      <w:pPr>
        <w:pStyle w:val="TextBody"/>
        <w:bidi w:val="0"/>
        <w:spacing w:lineRule="auto" w:line="480"/>
        <w:jc w:val="left"/>
        <w:rPr>
          <w:rFonts w:ascii="Georgia" w:hAnsi="Georgia"/>
        </w:rPr>
      </w:pPr>
      <w:r>
        <w:rPr>
          <w:rFonts w:ascii="Georgia" w:hAnsi="Georgia"/>
        </w:rPr>
        <w:t>Hardin simply chose to contrast the everyday work, determination, and depth of environmental activists with an abundance of fears, indistinctness, and panic. The multiplicity of situational projections fuels overall confusion. Since there seemed to be too much concern and fear to effectively manage catastrophic scenarios, a new fear arose:</w:t>
      </w:r>
    </w:p>
    <w:p>
      <w:pPr>
        <w:pStyle w:val="TextBody"/>
        <w:numPr>
          <w:ilvl w:val="0"/>
          <w:numId w:val="4"/>
        </w:numPr>
        <w:tabs>
          <w:tab w:val="clear" w:pos="720"/>
          <w:tab w:val="left" w:pos="707" w:leader="none"/>
        </w:tabs>
        <w:bidi w:val="0"/>
        <w:spacing w:lineRule="auto" w:line="480"/>
        <w:ind w:left="707" w:hanging="283"/>
        <w:jc w:val="left"/>
        <w:rPr>
          <w:rFonts w:ascii="Georgia" w:hAnsi="Georgia"/>
        </w:rPr>
      </w:pPr>
      <w:r>
        <w:rPr>
          <w:rFonts w:ascii="Georgia" w:hAnsi="Georgia"/>
        </w:rPr>
        <w:t>the fear of being unable to manage.</w:t>
      </w:r>
    </w:p>
    <w:p>
      <w:pPr>
        <w:pStyle w:val="TextBody"/>
        <w:bidi w:val="0"/>
        <w:spacing w:lineRule="auto" w:line="480"/>
        <w:jc w:val="left"/>
        <w:rPr>
          <w:rFonts w:ascii="Georgia" w:hAnsi="Georgia"/>
        </w:rPr>
      </w:pPr>
      <w:r>
        <w:rPr>
          <w:rFonts w:ascii="Georgia" w:hAnsi="Georgia"/>
        </w:rPr>
        <w:t>Which, again, has turned out to be unfounded.</w:t>
      </w:r>
    </w:p>
    <w:p>
      <w:pPr>
        <w:pStyle w:val="TextBody"/>
        <w:bidi w:val="0"/>
        <w:spacing w:lineRule="auto" w:line="480"/>
        <w:jc w:val="left"/>
        <w:rPr/>
      </w:pPr>
      <w:r>
        <w:rPr>
          <w:rFonts w:ascii="Georgia" w:hAnsi="Georgia"/>
        </w:rPr>
        <w:t>Various interest groups, initiatives, and political will have clearly been at the forefront of positive changes. Alongside them, awareness has grown and a spirit of cooperation has emerged. Population growth limitation has already become a reality, but not in developing world as Hardin predicted in connection with his fears (Hardin 1974:6), but rather in developed countries. Even in China, a society developed based on recent decades of economic growth, negative population growth is forecasted in the coming years. Several Western countries, by radically limiting immigration, would also face negative population growth, which would place today's economic model (including agriculture) under significant pressure.</w:t>
      </w:r>
    </w:p>
    <w:p>
      <w:pPr>
        <w:pStyle w:val="TextBody"/>
        <w:bidi w:val="0"/>
        <w:spacing w:lineRule="auto" w:line="480"/>
        <w:jc w:val="left"/>
        <w:rPr>
          <w:rFonts w:ascii="Georgia" w:hAnsi="Georgia"/>
        </w:rPr>
      </w:pPr>
      <w:r>
        <w:rPr>
          <w:rFonts w:ascii="Georgia" w:hAnsi="Georgia"/>
        </w:rPr>
        <w:t>The opposite of action is the piling up of pessimism. Hardin chose for himself a position based on similarity—a theoretical foundation from Lloyd, already 150 years old by Hardin’s time, which by that time had been proven false. Lloyd immediately stated at the beginning of his first lecture that by his time it was clear that food production would not be able to keep pace with human population growth (Lloyd 1832:1). However, Hardin notes, compared to others: “I discovered that I agreed much more with William Forster Lloyd’s conclusions” (Hardin 1998:1).</w:t>
      </w:r>
    </w:p>
    <w:p>
      <w:pPr>
        <w:pStyle w:val="TextBody"/>
        <w:bidi w:val="0"/>
        <w:spacing w:lineRule="auto" w:line="480"/>
        <w:jc w:val="left"/>
        <w:rPr>
          <w:rFonts w:ascii="Georgia" w:hAnsi="Georgia"/>
        </w:rPr>
      </w:pPr>
      <w:r>
        <w:rPr>
          <w:rFonts w:ascii="Georgia" w:hAnsi="Georgia"/>
        </w:rPr>
        <w:t>The abundance of fears and the resulting sense of incapacity lead Hardin to logically conclude the need for intervention by a Supreme Force—“Without a true world government to control reproduction and the use of available resources, the sharing ethic of the spaceship is impossible” (Hardin 1974:11).</w:t>
      </w:r>
    </w:p>
    <w:p>
      <w:pPr>
        <w:pStyle w:val="TextBody"/>
        <w:bidi w:val="0"/>
        <w:spacing w:lineRule="auto" w:line="480"/>
        <w:jc w:val="left"/>
        <w:rPr>
          <w:rFonts w:ascii="Georgia" w:hAnsi="Georgia"/>
        </w:rPr>
      </w:pPr>
      <w:r>
        <w:rPr>
          <w:rFonts w:ascii="Georgia" w:hAnsi="Georgia"/>
        </w:rPr>
        <w:t>The predecessor of the UN, the League of Nations, acknowledged its inability, for example, on the eve of WWII by authorizing Einstein to hold consultations with the brightest minds of the time. Correspondence with Freud (Einstein 1932) reveals that both saw the inevitable regret of the coming war.</w:t>
      </w:r>
    </w:p>
    <w:p>
      <w:pPr>
        <w:pStyle w:val="TextBody"/>
        <w:bidi w:val="0"/>
        <w:spacing w:lineRule="auto" w:line="480"/>
        <w:jc w:val="left"/>
        <w:rPr>
          <w:rFonts w:ascii="Georgia" w:hAnsi="Georgia"/>
        </w:rPr>
      </w:pPr>
      <w:r>
        <w:rPr>
          <w:rFonts w:ascii="Georgia" w:hAnsi="Georgia"/>
        </w:rPr>
        <w:t>Hardin’s “toothless tiger” - the UN (Hardin 1974:1), may not be the most effective and competent organization, but what would the alternative be?</w:t>
      </w:r>
    </w:p>
    <w:p>
      <w:pPr>
        <w:pStyle w:val="TextBody"/>
        <w:bidi w:val="0"/>
        <w:spacing w:lineRule="auto" w:line="480"/>
        <w:jc w:val="left"/>
        <w:rPr>
          <w:rFonts w:ascii="Georgia" w:hAnsi="Georgia"/>
        </w:rPr>
      </w:pPr>
      <w:r>
        <w:rPr>
          <w:rFonts w:ascii="Georgia" w:hAnsi="Georgia"/>
        </w:rPr>
        <w:t>Something extraordinary? Superhuman, perhaps?</w:t>
      </w:r>
    </w:p>
    <w:p>
      <w:pPr>
        <w:pStyle w:val="TextBody"/>
        <w:bidi w:val="0"/>
        <w:spacing w:lineRule="auto" w:line="480"/>
        <w:jc w:val="left"/>
        <w:rPr>
          <w:rFonts w:ascii="Georgia" w:hAnsi="Georgia"/>
        </w:rPr>
      </w:pPr>
      <w:r>
        <w:rPr>
          <w:rFonts w:ascii="Georgia" w:hAnsi="Georgia"/>
        </w:rPr>
        <w:t>All religions address the superhuman dimension—such as supreme justice, knowledge, care, well-being, and peace, or the expectation of these.</w:t>
      </w:r>
    </w:p>
    <w:p>
      <w:pPr>
        <w:pStyle w:val="TextBody"/>
        <w:bidi w:val="0"/>
        <w:spacing w:lineRule="auto" w:line="480"/>
        <w:jc w:val="left"/>
        <w:rPr>
          <w:rFonts w:ascii="Georgia" w:hAnsi="Georgia"/>
        </w:rPr>
      </w:pPr>
      <w:r>
        <w:rPr>
          <w:rFonts w:ascii="Georgia" w:hAnsi="Georgia"/>
        </w:rPr>
        <w:t>And last but not least:</w:t>
      </w:r>
    </w:p>
    <w:p>
      <w:pPr>
        <w:pStyle w:val="TextBody"/>
        <w:bidi w:val="0"/>
        <w:spacing w:lineRule="auto" w:line="480"/>
        <w:jc w:val="left"/>
        <w:rPr/>
      </w:pPr>
      <w:r>
        <w:rPr>
          <w:rFonts w:ascii="Georgia" w:hAnsi="Georgia"/>
        </w:rPr>
        <w:t>Hardin presents his model of W.F. Lloyd in an era increasingly valuing hard sciences, yet still a time when the internet was just taking its first steps and old manuscripts were not available online. He does this rather casually—Hardin introduces Lloyd as “a mathematical amateur named William Forster Lloyd” (Hardin 1968:4).</w:t>
      </w:r>
    </w:p>
    <w:p>
      <w:pPr>
        <w:pStyle w:val="TextBody"/>
        <w:bidi w:val="0"/>
        <w:spacing w:lineRule="auto" w:line="480"/>
        <w:jc w:val="left"/>
        <w:rPr>
          <w:rFonts w:ascii="Georgia" w:hAnsi="Georgia"/>
        </w:rPr>
      </w:pPr>
      <w:r>
        <w:rPr>
          <w:rFonts w:ascii="Georgia" w:hAnsi="Georgia"/>
        </w:rPr>
        <w:t>But the man, who across the ocean read political economy 150 years before Hardin, introduces himself quite differently on the cover of his book. He introduces himself as a clergyman—“The Rev. W.F. Lloyd, M.A. Student of Christ Church.”</w:t>
      </w:r>
    </w:p>
    <w:p>
      <w:pPr>
        <w:pStyle w:val="TextBody"/>
        <w:bidi w:val="0"/>
        <w:spacing w:lineRule="auto" w:line="480"/>
        <w:jc w:val="left"/>
        <w:rPr>
          <w:rFonts w:ascii="Georgia" w:hAnsi="Georgia"/>
        </w:rPr>
      </w:pPr>
      <w:r>
        <w:rPr>
          <w:rFonts w:ascii="Georgia" w:hAnsi="Georgia"/>
        </w:rPr>
        <w:t>His book contains no mathematical equations or formulas. It doesn’t even contain any mathematical symbols. The numbers in his work are at the tops of pages and represent page numbers.</w:t>
      </w:r>
    </w:p>
    <w:p>
      <w:pPr>
        <w:pStyle w:val="TextBody"/>
        <w:bidi w:val="0"/>
        <w:spacing w:lineRule="auto" w:line="480"/>
        <w:jc w:val="left"/>
        <w:rPr>
          <w:rFonts w:ascii="Georgia" w:hAnsi="Georgia"/>
        </w:rPr>
      </w:pPr>
      <w:r>
        <w:rPr>
          <w:rFonts w:ascii="Georgia" w:hAnsi="Georgia"/>
        </w:rPr>
        <w:t>The moral of the story?</w:t>
      </w:r>
    </w:p>
    <w:p>
      <w:pPr>
        <w:pStyle w:val="TextBody"/>
        <w:bidi w:val="0"/>
        <w:spacing w:lineRule="auto" w:line="480"/>
        <w:jc w:val="left"/>
        <w:rPr>
          <w:rFonts w:ascii="Georgia" w:hAnsi="Georgia"/>
        </w:rPr>
      </w:pPr>
      <w:r>
        <w:rPr>
          <w:rFonts w:ascii="Georgia" w:hAnsi="Georgia"/>
        </w:rPr>
        <w:t xml:space="preserve">Religious teachings carry </w:t>
      </w:r>
      <w:r>
        <w:rPr>
          <w:rFonts w:eastAsia="NSimSun" w:cs="Lucida Sans" w:ascii="Georgia" w:hAnsi="Georgia"/>
          <w:color w:val="auto"/>
          <w:kern w:val="2"/>
          <w:sz w:val="24"/>
          <w:szCs w:val="24"/>
          <w:lang w:val="en-US" w:eastAsia="zh-CN" w:bidi="hi-IN"/>
        </w:rPr>
        <w:t>millennia</w:t>
      </w:r>
      <w:r>
        <w:rPr>
          <w:rFonts w:ascii="Georgia" w:hAnsi="Georgia"/>
        </w:rPr>
        <w:t xml:space="preserve"> of context and wisdom. The idea of selectively picking intellectual cherries and proclaiming ultimate truth for the sake of gaining profit from it does not seem to be the brightest thought that may come to mind.</w:t>
      </w:r>
    </w:p>
    <w:p>
      <w:pPr>
        <w:pStyle w:val="TextBody"/>
        <w:bidi w:val="0"/>
        <w:spacing w:lineRule="auto" w:line="480"/>
        <w:jc w:val="left"/>
        <w:rPr>
          <w:rFonts w:ascii="Georgia" w:hAnsi="Georgia"/>
        </w:rPr>
      </w:pPr>
      <w:r>
        <w:rPr>
          <w:rFonts w:ascii="Georgia" w:hAnsi="Georgia"/>
        </w:rPr>
        <w:t>The result is apocalyptic literature. In academic garb.</w:t>
      </w:r>
    </w:p>
    <w:p>
      <w:pPr>
        <w:pStyle w:val="Normal"/>
        <w:spacing w:lineRule="auto" w:line="480"/>
        <w:ind w:left="720" w:hanging="0"/>
        <w:rPr>
          <w:rFonts w:ascii="Georgia" w:hAnsi="Georgia"/>
        </w:rPr>
      </w:pPr>
      <w:r>
        <w:rPr>
          <w:rFonts w:ascii="Georgia" w:hAnsi="Georgia"/>
          <w:color w:val="auto"/>
          <w:sz w:val="22"/>
          <w:szCs w:val="22"/>
        </w:rPr>
        <w:t>And as he sat upon the mount of Olives, the disciples came unto him privately, saying, Tell us, when shall these things be? and what shall be the sign... of the end of the world? (3)</w:t>
      </w:r>
    </w:p>
    <w:p>
      <w:pPr>
        <w:pStyle w:val="Normal"/>
        <w:ind w:left="720" w:hanging="0"/>
        <w:rPr>
          <w:rFonts w:ascii="Georgia" w:hAnsi="Georgia"/>
        </w:rPr>
      </w:pPr>
      <w:r>
        <w:rPr>
          <w:rFonts w:ascii="Georgia" w:hAnsi="Georgia"/>
          <w:color w:val="auto"/>
          <w:sz w:val="22"/>
          <w:szCs w:val="22"/>
        </w:rPr>
      </w:r>
    </w:p>
    <w:p>
      <w:pPr>
        <w:pStyle w:val="Normal"/>
        <w:ind w:left="720" w:hanging="0"/>
        <w:rPr>
          <w:rFonts w:ascii="Georgia" w:hAnsi="Georgia"/>
        </w:rPr>
      </w:pPr>
      <w:r>
        <w:rPr>
          <w:rFonts w:ascii="Georgia" w:hAnsi="Georgia"/>
          <w:color w:val="auto"/>
          <w:sz w:val="22"/>
          <w:szCs w:val="22"/>
        </w:rPr>
        <w:t>And Jesus answered (4)...</w:t>
      </w:r>
    </w:p>
    <w:p>
      <w:pPr>
        <w:pStyle w:val="Normal"/>
        <w:ind w:left="720" w:hanging="0"/>
        <w:rPr>
          <w:rFonts w:ascii="Georgia" w:hAnsi="Georgia"/>
        </w:rPr>
      </w:pPr>
      <w:r>
        <w:rPr>
          <w:rFonts w:ascii="Georgia" w:hAnsi="Georgia"/>
          <w:color w:val="auto"/>
          <w:sz w:val="22"/>
          <w:szCs w:val="22"/>
        </w:rPr>
        <w:t>...there shall be famines, and pestilences, and earthquakes, in divers places. (7)</w:t>
      </w:r>
    </w:p>
    <w:p>
      <w:pPr>
        <w:pStyle w:val="Normal"/>
        <w:ind w:left="720" w:hanging="0"/>
        <w:rPr>
          <w:rFonts w:ascii="Georgia" w:hAnsi="Georgia"/>
        </w:rPr>
      </w:pPr>
      <w:r>
        <w:rPr>
          <w:rFonts w:ascii="Georgia" w:hAnsi="Georgia"/>
          <w:color w:val="auto"/>
          <w:sz w:val="22"/>
          <w:szCs w:val="22"/>
        </w:rPr>
      </w:r>
    </w:p>
    <w:p>
      <w:pPr>
        <w:pStyle w:val="Normal"/>
        <w:ind w:left="720" w:hanging="0"/>
        <w:rPr>
          <w:rFonts w:ascii="Georgia" w:hAnsi="Georgia"/>
        </w:rPr>
      </w:pPr>
      <w:r>
        <w:rPr>
          <w:rFonts w:ascii="Georgia" w:hAnsi="Georgia"/>
          <w:color w:val="auto"/>
          <w:sz w:val="22"/>
          <w:szCs w:val="22"/>
        </w:rPr>
        <w:t>For as in the days that were before the flood they were eating and drinking, marrying and giving in marriage, until the day that Noe entered into the ark, (38)</w:t>
      </w:r>
    </w:p>
    <w:p>
      <w:pPr>
        <w:pStyle w:val="Normal"/>
        <w:ind w:left="720" w:hanging="0"/>
        <w:rPr>
          <w:rFonts w:ascii="Georgia" w:hAnsi="Georgia"/>
        </w:rPr>
      </w:pPr>
      <w:bookmarkStart w:id="0" w:name="en-KJV-23997"/>
      <w:bookmarkEnd w:id="0"/>
      <w:r>
        <w:rPr>
          <w:rFonts w:ascii="Georgia" w:hAnsi="Georgia"/>
          <w:color w:val="auto"/>
          <w:sz w:val="22"/>
          <w:szCs w:val="22"/>
        </w:rPr>
        <w:t xml:space="preserve">And knew not until the flood came, and took them all away (39)... </w:t>
      </w:r>
    </w:p>
    <w:p>
      <w:pPr>
        <w:pStyle w:val="TextBody"/>
        <w:bidi w:val="0"/>
        <w:jc w:val="right"/>
        <w:rPr>
          <w:rFonts w:ascii="Georgia" w:hAnsi="Georgia"/>
        </w:rPr>
      </w:pPr>
      <w:r>
        <w:rPr>
          <w:rFonts w:ascii="Georgia" w:hAnsi="Georgia"/>
          <w:color w:val="auto"/>
          <w:sz w:val="22"/>
          <w:szCs w:val="22"/>
        </w:rPr>
        <w:t>Matthew 24, KJV</w:t>
      </w:r>
    </w:p>
    <w:p>
      <w:pPr>
        <w:pStyle w:val="TextBody"/>
        <w:bidi w:val="0"/>
        <w:spacing w:lineRule="auto" w:line="480"/>
        <w:jc w:val="right"/>
        <w:rPr>
          <w:rFonts w:ascii="Georgia" w:hAnsi="Georgia"/>
        </w:rPr>
      </w:pPr>
      <w:r>
        <w:rPr/>
      </w:r>
    </w:p>
    <w:p>
      <w:pPr>
        <w:pStyle w:val="TextBody"/>
        <w:bidi w:val="0"/>
        <w:spacing w:lineRule="auto" w:line="480"/>
        <w:jc w:val="left"/>
        <w:rPr>
          <w:rFonts w:ascii="Georgia" w:hAnsi="Georgia"/>
        </w:rPr>
      </w:pPr>
      <w:r>
        <w:rPr>
          <w:rFonts w:ascii="Georgia" w:hAnsi="Georgia"/>
          <w:b/>
          <w:bCs/>
          <w:sz w:val="24"/>
          <w:szCs w:val="24"/>
        </w:rPr>
        <w:t xml:space="preserve">• </w:t>
      </w:r>
      <w:r>
        <w:rPr>
          <w:rFonts w:ascii="Georgia" w:hAnsi="Georgia"/>
          <w:b/>
          <w:bCs/>
          <w:sz w:val="24"/>
          <w:szCs w:val="24"/>
        </w:rPr>
        <w:t>Escape and Fear</w:t>
      </w:r>
    </w:p>
    <w:p>
      <w:pPr>
        <w:pStyle w:val="TextBody"/>
        <w:bidi w:val="0"/>
        <w:spacing w:lineRule="auto" w:line="480" w:before="0" w:after="140"/>
        <w:jc w:val="left"/>
        <w:rPr/>
      </w:pPr>
      <w:r>
        <w:rPr>
          <w:rFonts w:ascii="Georgia" w:hAnsi="Georgia"/>
        </w:rPr>
        <w:t xml:space="preserve">David Hume, a foundational figure of modern psychology, wrote his </w:t>
      </w:r>
      <w:r>
        <w:rPr>
          <w:rFonts w:ascii="Georgia" w:hAnsi="Georgia"/>
          <w:i w:val="false"/>
          <w:iCs w:val="false"/>
        </w:rPr>
        <w:t>“</w:t>
      </w:r>
      <w:r>
        <w:rPr>
          <w:rStyle w:val="Emphasis"/>
          <w:rFonts w:ascii="Georgia" w:hAnsi="Georgia"/>
          <w:i w:val="false"/>
          <w:iCs w:val="false"/>
        </w:rPr>
        <w:t>Treatise of Human Nature”</w:t>
      </w:r>
      <w:r>
        <w:rPr>
          <w:rFonts w:ascii="Georgia" w:hAnsi="Georgia"/>
        </w:rPr>
        <w:t xml:space="preserve"> in the town of La Flèche, situated in the Loire Valley, where the Collège Henri-IV was located. This Jesuit educational institution is also associated with René Descartes, who studied there about a century earlier. Hume made use of the outstanding library </w:t>
      </w:r>
      <w:r>
        <w:rPr>
          <w:rFonts w:eastAsia="NSimSun" w:cs="Lucida Sans" w:ascii="Georgia" w:hAnsi="Georgia"/>
          <w:color w:val="auto"/>
          <w:kern w:val="2"/>
          <w:sz w:val="24"/>
          <w:szCs w:val="24"/>
          <w:lang w:val="en-US" w:eastAsia="zh-CN" w:bidi="hi-IN"/>
        </w:rPr>
        <w:t xml:space="preserve">of the Collège </w:t>
      </w:r>
      <w:r>
        <w:rPr>
          <w:rFonts w:ascii="Georgia" w:hAnsi="Georgia"/>
        </w:rPr>
        <w:t>and interacted with scholars (Perinetti 2018). In addition to becoming more familiar with the Jesuit world, Hume himself came from a Calvinist society, which gave him a broader perspective and allowed him to consider the formation of religious consciousness through the accumulation of fears - as previously discussed in the context of Hardin’s fears: “Agitated by hopes and fears of this nature, especially the latter… they feel the first obscure traces of divinity” (Hume 1793:11).</w:t>
      </w:r>
    </w:p>
    <w:p>
      <w:pPr>
        <w:pStyle w:val="TextBody"/>
        <w:bidi w:val="0"/>
        <w:spacing w:lineRule="auto" w:line="480" w:before="0" w:after="140"/>
        <w:jc w:val="left"/>
        <w:rPr/>
      </w:pPr>
      <w:r>
        <w:rPr>
          <w:rFonts w:ascii="Georgia" w:hAnsi="Georgia"/>
        </w:rPr>
        <w:t xml:space="preserve">Some world religions view salvation through the benevolence of a Higher Being, while others offer salvation from the external world’s intrapsychic misrepresentation. The Quran promises liberation from fear and </w:t>
      </w:r>
      <w:r>
        <w:rPr>
          <w:rFonts w:eastAsia="NSimSun" w:cs="Lucida Sans" w:ascii="Georgia" w:hAnsi="Georgia"/>
          <w:color w:val="auto"/>
          <w:kern w:val="2"/>
          <w:sz w:val="24"/>
          <w:szCs w:val="24"/>
          <w:lang w:val="en-US" w:eastAsia="zh-CN" w:bidi="hi-IN"/>
        </w:rPr>
        <w:t>grief</w:t>
      </w:r>
      <w:r>
        <w:rPr>
          <w:rFonts w:ascii="Georgia" w:hAnsi="Georgia"/>
        </w:rPr>
        <w:t xml:space="preserve">, which is why Hume's philosophical foundation is also valued in Islamic countries (Sairah 2024). </w:t>
      </w:r>
      <w:r>
        <w:rPr>
          <w:rStyle w:val="Emphasis"/>
          <w:rFonts w:ascii="Georgia" w:hAnsi="Georgia"/>
        </w:rPr>
        <w:t xml:space="preserve">Dhammapada </w:t>
      </w:r>
      <w:r>
        <w:rPr>
          <w:rFonts w:ascii="Georgia" w:hAnsi="Georgia"/>
        </w:rPr>
        <w:t>sees fear as the first root of all evil, etc., etc. While all subsequent collective and individual interpretations and experiences encompass an incomparably broader spectrum, still,</w:t>
      </w:r>
    </w:p>
    <w:p>
      <w:pPr>
        <w:pStyle w:val="TextBody"/>
        <w:bidi w:val="0"/>
        <w:ind w:left="709" w:hanging="0"/>
        <w:jc w:val="left"/>
        <w:rPr>
          <w:rFonts w:ascii="Georgia" w:hAnsi="Georgia"/>
          <w:sz w:val="21"/>
          <w:szCs w:val="21"/>
        </w:rPr>
      </w:pPr>
      <w:r>
        <w:rPr>
          <w:rFonts w:ascii="Georgia" w:hAnsi="Georgia"/>
          <w:sz w:val="21"/>
          <w:szCs w:val="21"/>
        </w:rPr>
        <w:t>the first ideas of religion arose not from a contemplation of the works of nature, but from a concern with regard to the events of life, and from the incessant hopes and fears which actuate the human mind. (Hume ibid:9)</w:t>
      </w:r>
    </w:p>
    <w:p>
      <w:pPr>
        <w:pStyle w:val="TextBody"/>
        <w:bidi w:val="0"/>
        <w:spacing w:lineRule="auto" w:line="480"/>
        <w:jc w:val="left"/>
        <w:rPr>
          <w:rFonts w:ascii="Georgia" w:hAnsi="Georgia"/>
        </w:rPr>
      </w:pPr>
      <w:r>
        <w:rPr>
          <w:rFonts w:ascii="Georgia" w:hAnsi="Georgia"/>
        </w:rPr>
        <w:t>In the context of this work, it is not possible to address the phenomenology of fear to the extent that contemporary neuropsychoanalysis and affective neuroscience might allow. The background of these teachings is based on centuries-old categories of personality traits, with an added empirical explanation enabled by modern neuroscience. It is important to note that neural circuits that support affectivity can also be observed in other mammals and, to a lesser extent, in other vertebrates.</w:t>
      </w:r>
    </w:p>
    <w:p>
      <w:pPr>
        <w:pStyle w:val="TextBody"/>
        <w:bidi w:val="0"/>
        <w:spacing w:lineRule="auto" w:line="480"/>
        <w:jc w:val="left"/>
        <w:rPr>
          <w:rFonts w:ascii="Georgia" w:hAnsi="Georgia"/>
        </w:rPr>
      </w:pPr>
      <w:r>
        <w:rPr>
          <w:rFonts w:ascii="Georgia" w:hAnsi="Georgia"/>
        </w:rPr>
        <w:t>The fear complex, which is undeniably associated with an evolutionary value complex, is very old and powerful. In its phylogenetic development, measured in tens of millions of years, a certain capacity has arisen based on the statistically adaptive release frequency at the time of its formation. Therefore, in the case of modern rationalizations, fear manifests in a manner often as a "near-miss" to the “right” objects or situations. The frequency and specificity of this transfer depend on the psychological profile of the individual, which is shaped by a multitude of different factors. “Buckets”—as these influences were described by Sapolsky earlier.</w:t>
      </w:r>
    </w:p>
    <w:p>
      <w:pPr>
        <w:pStyle w:val="TextBody"/>
        <w:bidi w:val="0"/>
        <w:spacing w:lineRule="auto" w:line="480"/>
        <w:jc w:val="left"/>
        <w:rPr>
          <w:rFonts w:ascii="Georgia" w:hAnsi="Georgia"/>
        </w:rPr>
      </w:pPr>
      <w:r>
        <w:rPr>
          <w:rFonts w:ascii="Georgia" w:hAnsi="Georgia"/>
        </w:rPr>
        <w:t>However, as a result of the interaction of these power fields, myths we have known since ancient times continue to manifest, as described by Midgley, Jung, and many others.</w:t>
      </w:r>
    </w:p>
    <w:p>
      <w:pPr>
        <w:pStyle w:val="TextBody"/>
        <w:bidi w:val="0"/>
        <w:spacing w:lineRule="auto" w:line="480"/>
        <w:jc w:val="left"/>
        <w:rPr/>
      </w:pPr>
      <w:r>
        <w:rPr>
          <w:rFonts w:ascii="Georgia" w:hAnsi="Georgia"/>
        </w:rPr>
        <w:t xml:space="preserve">Or, as Hume described this situation in a manner confirmed by today’s neuroscience—rationalization is able to affect only the direction of the manifestation and other secondary parameters of primal (subcortical) </w:t>
      </w:r>
      <w:r>
        <w:rPr>
          <w:rFonts w:eastAsia="NSimSun" w:cs="Lucida Sans" w:ascii="Georgia" w:hAnsi="Georgia"/>
          <w:color w:val="auto"/>
          <w:kern w:val="2"/>
          <w:sz w:val="24"/>
          <w:szCs w:val="24"/>
          <w:lang w:val="en-US" w:eastAsia="zh-CN" w:bidi="hi-IN"/>
        </w:rPr>
        <w:t>urges</w:t>
      </w:r>
      <w:r>
        <w:rPr>
          <w:rFonts w:ascii="Georgia" w:hAnsi="Georgia"/>
        </w:rPr>
        <w:t>.</w:t>
      </w:r>
    </w:p>
    <w:p>
      <w:pPr>
        <w:pStyle w:val="TextBody"/>
        <w:bidi w:val="0"/>
        <w:spacing w:lineRule="auto" w:line="480"/>
        <w:jc w:val="left"/>
        <w:rPr>
          <w:rFonts w:ascii="Georgia" w:hAnsi="Georgia"/>
        </w:rPr>
      </w:pPr>
      <w:r>
        <w:rPr>
          <w:rFonts w:ascii="Georgia" w:hAnsi="Georgia"/>
        </w:rPr>
      </w:r>
    </w:p>
    <w:p>
      <w:pPr>
        <w:pStyle w:val="TextBody"/>
        <w:bidi w:val="0"/>
        <w:spacing w:lineRule="auto" w:line="480"/>
        <w:jc w:val="left"/>
        <w:rPr>
          <w:rFonts w:ascii="Georgia" w:hAnsi="Georgia"/>
        </w:rPr>
      </w:pPr>
      <w:r>
        <w:rPr>
          <w:rFonts w:ascii="Georgia" w:hAnsi="Georgia"/>
        </w:rPr>
      </w:r>
    </w:p>
    <w:p>
      <w:pPr>
        <w:pStyle w:val="TextBody"/>
        <w:bidi w:val="0"/>
        <w:spacing w:lineRule="auto" w:line="480"/>
        <w:jc w:val="left"/>
        <w:rPr>
          <w:rFonts w:ascii="Georgia" w:hAnsi="Georgia"/>
        </w:rPr>
      </w:pPr>
      <w:r>
        <w:rPr>
          <w:rFonts w:ascii="Georgia" w:hAnsi="Georgia"/>
        </w:rPr>
      </w:r>
    </w:p>
    <w:p>
      <w:pPr>
        <w:pStyle w:val="Heading3"/>
        <w:numPr>
          <w:ilvl w:val="2"/>
          <w:numId w:val="2"/>
        </w:numPr>
        <w:bidi w:val="0"/>
        <w:ind w:left="709" w:hanging="0"/>
        <w:jc w:val="left"/>
        <w:rPr>
          <w:rFonts w:ascii="Georgia" w:hAnsi="Georgia"/>
        </w:rPr>
      </w:pPr>
      <w:r>
        <w:rPr>
          <w:rFonts w:ascii="Georgia" w:hAnsi="Georgia"/>
          <w:sz w:val="30"/>
          <w:szCs w:val="30"/>
        </w:rPr>
        <w:t xml:space="preserve">• </w:t>
      </w:r>
      <w:r>
        <w:rPr>
          <w:rFonts w:ascii="Georgia" w:hAnsi="Georgia"/>
          <w:sz w:val="30"/>
          <w:szCs w:val="30"/>
        </w:rPr>
        <w:t>Summary</w:t>
      </w:r>
    </w:p>
    <w:p>
      <w:pPr>
        <w:pStyle w:val="TextBody"/>
        <w:bidi w:val="0"/>
        <w:jc w:val="left"/>
        <w:rPr>
          <w:rFonts w:ascii="Georgia" w:hAnsi="Georgia"/>
        </w:rPr>
      </w:pPr>
      <w:r>
        <w:rPr>
          <w:rFonts w:ascii="Georgia" w:hAnsi="Georgia"/>
        </w:rPr>
      </w:r>
    </w:p>
    <w:p>
      <w:pPr>
        <w:pStyle w:val="TextBody"/>
        <w:bidi w:val="0"/>
        <w:spacing w:lineRule="auto" w:line="480"/>
        <w:jc w:val="left"/>
        <w:rPr>
          <w:rFonts w:ascii="Georgia" w:hAnsi="Georgia"/>
        </w:rPr>
      </w:pPr>
      <w:r>
        <w:rPr>
          <w:rFonts w:ascii="Georgia" w:hAnsi="Georgia"/>
        </w:rPr>
        <w:t>We are surrounded by metaphors and their countless shades. Making choices from these metaphors characterizes our subjective world.</w:t>
      </w:r>
    </w:p>
    <w:p>
      <w:pPr>
        <w:pStyle w:val="TextBody"/>
        <w:bidi w:val="0"/>
        <w:spacing w:lineRule="auto" w:line="480" w:before="0" w:after="140"/>
        <w:jc w:val="left"/>
        <w:rPr/>
      </w:pPr>
      <w:r>
        <w:rPr>
          <w:rFonts w:ascii="Georgia" w:hAnsi="Georgia"/>
        </w:rPr>
        <w:t xml:space="preserve">Hardin’s </w:t>
      </w:r>
      <w:r>
        <w:rPr>
          <w:rStyle w:val="Emphasis"/>
          <w:rFonts w:ascii="Georgia" w:hAnsi="Georgia"/>
        </w:rPr>
        <w:t>Lifeboat Ethics</w:t>
      </w:r>
      <w:r>
        <w:rPr>
          <w:rFonts w:ascii="Georgia" w:hAnsi="Georgia"/>
        </w:rPr>
        <w:t xml:space="preserve"> focuses on the issues he sees as existential. The examples illustrated by Hardin describe and emphasize primerily the subjectively perceived tension and anxiety. He does not sufficiently highlight the nature of specific injustices, nor does he focus on the actual nature of local issues, limiting the applicability of his work to propagandistic purposes. </w:t>
      </w:r>
    </w:p>
    <w:p>
      <w:pPr>
        <w:pStyle w:val="TextBody"/>
        <w:bidi w:val="0"/>
        <w:spacing w:lineRule="auto" w:line="480"/>
        <w:jc w:val="left"/>
        <w:rPr>
          <w:rFonts w:ascii="Georgia" w:hAnsi="Georgia"/>
        </w:rPr>
      </w:pPr>
      <w:r>
        <w:rPr>
          <w:rFonts w:ascii="Georgia" w:hAnsi="Georgia"/>
        </w:rPr>
        <w:t>Exactly the same issues were seen by the environmentalists, criticized by Hardin, but only as strategically challenging. As a result of environmentalists' work, significant progress has been achieved over the past half-century.</w:t>
      </w:r>
    </w:p>
    <w:p>
      <w:pPr>
        <w:pStyle w:val="TextBody"/>
        <w:bidi w:val="0"/>
        <w:spacing w:lineRule="auto" w:line="480" w:before="0" w:after="140"/>
        <w:jc w:val="left"/>
        <w:rPr>
          <w:rFonts w:ascii="Georgia" w:hAnsi="Georgia"/>
        </w:rPr>
      </w:pPr>
      <w:r>
        <w:rPr>
          <w:rFonts w:ascii="Georgia" w:hAnsi="Georgia"/>
        </w:rPr>
        <w:t xml:space="preserve">Hardin’s work was characterized by an abundance of fears. Fear is an extremely powerful phenomenon with evolutionary value. But </w:t>
      </w:r>
      <w:r>
        <w:rPr>
          <w:rFonts w:ascii="Georgia" w:hAnsi="Georgia"/>
          <w:i/>
          <w:iCs/>
        </w:rPr>
        <w:t xml:space="preserve">fear paralyzes </w:t>
      </w:r>
      <w:r>
        <w:rPr>
          <w:rFonts w:ascii="Georgia" w:hAnsi="Georgia"/>
          <w:i w:val="false"/>
          <w:iCs w:val="false"/>
        </w:rPr>
        <w:t>(Davis &amp; Panksepp 2018) b</w:t>
      </w:r>
      <w:r>
        <w:rPr>
          <w:rFonts w:ascii="Georgia" w:hAnsi="Georgia"/>
        </w:rPr>
        <w:t xml:space="preserve">oth rational analysis and necessary actions, as well as what we call </w:t>
      </w:r>
      <w:r>
        <w:rPr>
          <w:rFonts w:ascii="Georgia" w:hAnsi="Georgia"/>
          <w:i/>
          <w:iCs/>
        </w:rPr>
        <w:t>humaneness</w:t>
      </w:r>
      <w:r>
        <w:rPr>
          <w:rFonts w:ascii="Georgia" w:hAnsi="Georgia"/>
        </w:rPr>
        <w:t>. At the same time, it, in its oppression, drives the search for escape in mysticism.</w:t>
      </w:r>
    </w:p>
    <w:p>
      <w:pPr>
        <w:pStyle w:val="TextBody"/>
        <w:bidi w:val="0"/>
        <w:spacing w:lineRule="auto" w:line="480" w:before="0" w:after="140"/>
        <w:jc w:val="left"/>
        <w:rPr>
          <w:rFonts w:ascii="Georgia" w:hAnsi="Georgia"/>
        </w:rPr>
      </w:pPr>
      <w:r>
        <w:rPr>
          <w:rFonts w:ascii="Georgia" w:hAnsi="Georgia"/>
        </w:rPr>
      </w:r>
    </w:p>
    <w:p>
      <w:pPr>
        <w:pStyle w:val="TextBody"/>
        <w:bidi w:val="0"/>
        <w:spacing w:before="0" w:after="140"/>
        <w:jc w:val="left"/>
        <w:rPr>
          <w:rFonts w:ascii="Georgia" w:hAnsi="Georgia"/>
        </w:rPr>
      </w:pPr>
      <w:r>
        <w:rPr>
          <w:rFonts w:ascii="Georgia" w:hAnsi="Georgia"/>
        </w:rPr>
      </w:r>
    </w:p>
    <w:p>
      <w:pPr>
        <w:pStyle w:val="TextBody"/>
        <w:bidi w:val="0"/>
        <w:spacing w:before="0" w:after="140"/>
        <w:jc w:val="left"/>
        <w:rPr>
          <w:rFonts w:ascii="Georgia" w:hAnsi="Georgia"/>
        </w:rPr>
      </w:pPr>
      <w:r>
        <w:rPr>
          <w:rFonts w:ascii="Georgia" w:hAnsi="Georgia"/>
        </w:rPr>
      </w:r>
    </w:p>
    <w:p>
      <w:pPr>
        <w:pStyle w:val="TextBody"/>
        <w:bidi w:val="0"/>
        <w:spacing w:before="0" w:after="140"/>
        <w:jc w:val="left"/>
        <w:rPr>
          <w:rFonts w:ascii="Georgia" w:hAnsi="Georgia"/>
        </w:rPr>
      </w:pPr>
      <w:r>
        <w:rPr>
          <w:rFonts w:ascii="Georgia" w:hAnsi="Georgia"/>
        </w:rPr>
      </w:r>
    </w:p>
    <w:p>
      <w:pPr>
        <w:pStyle w:val="TextBody"/>
        <w:bidi w:val="0"/>
        <w:spacing w:before="0" w:after="140"/>
        <w:jc w:val="left"/>
        <w:rPr>
          <w:rFonts w:ascii="Georgia" w:hAnsi="Georgia"/>
        </w:rPr>
      </w:pPr>
      <w:r>
        <w:rPr>
          <w:rFonts w:ascii="Georgia" w:hAnsi="Georgia"/>
        </w:rPr>
      </w:r>
    </w:p>
    <w:p>
      <w:pPr>
        <w:pStyle w:val="TextBody"/>
        <w:bidi w:val="0"/>
        <w:spacing w:before="0" w:after="140"/>
        <w:jc w:val="left"/>
        <w:rPr>
          <w:rFonts w:ascii="Georgia" w:hAnsi="Georgia"/>
        </w:rPr>
      </w:pPr>
      <w:r>
        <w:rPr>
          <w:rFonts w:ascii="Georgia" w:hAnsi="Georgia"/>
        </w:rPr>
      </w:r>
    </w:p>
    <w:p>
      <w:pPr>
        <w:pStyle w:val="TextBody"/>
        <w:bidi w:val="0"/>
        <w:spacing w:before="0" w:after="140"/>
        <w:jc w:val="left"/>
        <w:rPr>
          <w:rFonts w:ascii="Georgia" w:hAnsi="Georgia"/>
        </w:rPr>
      </w:pPr>
      <w:r>
        <w:rPr>
          <w:rFonts w:ascii="Georgia" w:hAnsi="Georgia"/>
        </w:rPr>
      </w:r>
    </w:p>
    <w:p>
      <w:pPr>
        <w:pStyle w:val="TextBody"/>
        <w:bidi w:val="0"/>
        <w:spacing w:before="0" w:after="140"/>
        <w:jc w:val="left"/>
        <w:rPr>
          <w:rFonts w:ascii="Georgia" w:hAnsi="Georgia"/>
        </w:rPr>
      </w:pPr>
      <w:r>
        <w:rPr>
          <w:rFonts w:ascii="Georgia" w:hAnsi="Georgia"/>
        </w:rPr>
      </w:r>
    </w:p>
    <w:p>
      <w:pPr>
        <w:pStyle w:val="TextBody"/>
        <w:bidi w:val="0"/>
        <w:spacing w:before="0" w:after="140"/>
        <w:jc w:val="left"/>
        <w:rPr>
          <w:rFonts w:ascii="Georgia" w:hAnsi="Georgia"/>
        </w:rPr>
      </w:pPr>
      <w:r>
        <w:rPr>
          <w:rFonts w:ascii="Georgia" w:hAnsi="Georgia"/>
        </w:rPr>
      </w:r>
    </w:p>
    <w:p>
      <w:pPr>
        <w:pStyle w:val="TextBody"/>
        <w:bidi w:val="0"/>
        <w:spacing w:before="0" w:after="140"/>
        <w:jc w:val="left"/>
        <w:rPr>
          <w:rFonts w:ascii="Georgia" w:hAnsi="Georgia"/>
        </w:rPr>
      </w:pPr>
      <w:r>
        <w:rPr>
          <w:rFonts w:ascii="Georgia" w:hAnsi="Georgia"/>
        </w:rPr>
      </w:r>
    </w:p>
    <w:p>
      <w:pPr>
        <w:pStyle w:val="TextBody"/>
        <w:bidi w:val="0"/>
        <w:spacing w:before="0" w:after="140"/>
        <w:jc w:val="left"/>
        <w:rPr>
          <w:rFonts w:ascii="Georgia" w:hAnsi="Georgia"/>
        </w:rPr>
      </w:pPr>
      <w:r>
        <w:rPr>
          <w:rFonts w:ascii="Georgia" w:hAnsi="Georgia"/>
        </w:rPr>
      </w:r>
    </w:p>
    <w:p>
      <w:pPr>
        <w:pStyle w:val="TextBody"/>
        <w:bidi w:val="0"/>
        <w:spacing w:before="0" w:after="140"/>
        <w:jc w:val="left"/>
        <w:rPr>
          <w:rFonts w:ascii="Georgia" w:hAnsi="Georgia"/>
        </w:rPr>
      </w:pPr>
      <w:r>
        <w:rPr>
          <w:rFonts w:ascii="Georgia" w:hAnsi="Georgia"/>
        </w:rPr>
      </w:r>
    </w:p>
    <w:p>
      <w:pPr>
        <w:pStyle w:val="TextBody"/>
        <w:bidi w:val="0"/>
        <w:spacing w:before="0" w:after="140"/>
        <w:jc w:val="left"/>
        <w:rPr>
          <w:rFonts w:ascii="Georgia" w:hAnsi="Georgia"/>
        </w:rPr>
      </w:pPr>
      <w:r>
        <w:rPr>
          <w:rFonts w:ascii="Georgia" w:hAnsi="Georgia"/>
        </w:rPr>
      </w:r>
    </w:p>
    <w:p>
      <w:pPr>
        <w:pStyle w:val="TextBody"/>
        <w:bidi w:val="0"/>
        <w:spacing w:before="0" w:after="140"/>
        <w:jc w:val="left"/>
        <w:rPr>
          <w:rFonts w:ascii="Georgia" w:hAnsi="Georgia"/>
        </w:rPr>
      </w:pPr>
      <w:r>
        <w:rPr>
          <w:rFonts w:ascii="Georgia" w:hAnsi="Georgia"/>
        </w:rPr>
      </w:r>
    </w:p>
    <w:p>
      <w:pPr>
        <w:pStyle w:val="TextBody"/>
        <w:bidi w:val="0"/>
        <w:spacing w:before="0" w:after="140"/>
        <w:jc w:val="left"/>
        <w:rPr>
          <w:rFonts w:ascii="Georgia" w:hAnsi="Georgia"/>
        </w:rPr>
      </w:pPr>
      <w:r>
        <w:rPr>
          <w:rFonts w:ascii="Georgia" w:hAnsi="Georgia"/>
        </w:rPr>
      </w:r>
    </w:p>
    <w:p>
      <w:pPr>
        <w:pStyle w:val="TextBody"/>
        <w:bidi w:val="0"/>
        <w:spacing w:before="0" w:after="140"/>
        <w:jc w:val="left"/>
        <w:rPr>
          <w:rFonts w:ascii="Georgia" w:hAnsi="Georgia"/>
        </w:rPr>
      </w:pPr>
      <w:r>
        <w:rPr>
          <w:rFonts w:ascii="Georgia" w:hAnsi="Georgia"/>
        </w:rPr>
      </w:r>
    </w:p>
    <w:p>
      <w:pPr>
        <w:pStyle w:val="TextBody"/>
        <w:bidi w:val="0"/>
        <w:spacing w:before="0" w:after="140"/>
        <w:jc w:val="left"/>
        <w:rPr>
          <w:rFonts w:ascii="Georgia" w:hAnsi="Georgia"/>
        </w:rPr>
      </w:pPr>
      <w:r>
        <w:rPr>
          <w:rFonts w:ascii="Georgia" w:hAnsi="Georgia"/>
        </w:rPr>
      </w:r>
    </w:p>
    <w:p>
      <w:pPr>
        <w:pStyle w:val="TextBody"/>
        <w:bidi w:val="0"/>
        <w:spacing w:before="0" w:after="140"/>
        <w:jc w:val="left"/>
        <w:rPr>
          <w:rFonts w:ascii="Georgia" w:hAnsi="Georgia"/>
        </w:rPr>
      </w:pPr>
      <w:r>
        <w:rPr>
          <w:rFonts w:ascii="Georgia" w:hAnsi="Georgia"/>
        </w:rPr>
      </w:r>
    </w:p>
    <w:p>
      <w:pPr>
        <w:pStyle w:val="TextBody"/>
        <w:bidi w:val="0"/>
        <w:spacing w:before="0" w:after="140"/>
        <w:jc w:val="left"/>
        <w:rPr>
          <w:rFonts w:ascii="Georgia" w:hAnsi="Georgia"/>
        </w:rPr>
      </w:pPr>
      <w:r>
        <w:rPr>
          <w:rFonts w:ascii="Georgia" w:hAnsi="Georgia"/>
        </w:rPr>
      </w:r>
    </w:p>
    <w:p>
      <w:pPr>
        <w:pStyle w:val="TextBody"/>
        <w:bidi w:val="0"/>
        <w:spacing w:before="0" w:after="140"/>
        <w:jc w:val="left"/>
        <w:rPr>
          <w:rFonts w:ascii="Georgia" w:hAnsi="Georgia"/>
        </w:rPr>
      </w:pPr>
      <w:r>
        <w:rPr>
          <w:rFonts w:ascii="Georgia" w:hAnsi="Georgia"/>
        </w:rPr>
      </w:r>
    </w:p>
    <w:p>
      <w:pPr>
        <w:pStyle w:val="TextBody"/>
        <w:numPr>
          <w:ilvl w:val="0"/>
          <w:numId w:val="9"/>
        </w:numPr>
        <w:bidi w:val="0"/>
        <w:spacing w:before="0" w:after="140"/>
        <w:jc w:val="left"/>
        <w:rPr>
          <w:rFonts w:ascii="Georgia" w:hAnsi="Georgia"/>
        </w:rPr>
      </w:pPr>
      <w:r>
        <w:rPr>
          <w:rFonts w:ascii="Georgia" w:hAnsi="Georgia"/>
          <w:b/>
          <w:bCs/>
        </w:rPr>
        <w:t>References:</w:t>
      </w:r>
    </w:p>
    <w:p>
      <w:pPr>
        <w:pStyle w:val="Normal"/>
        <w:bidi w:val="0"/>
        <w:jc w:val="left"/>
        <w:rPr>
          <w:rFonts w:ascii="Georgia" w:hAnsi="Georgia"/>
        </w:rPr>
      </w:pPr>
      <w:r>
        <w:rPr>
          <w:rFonts w:ascii="Georgia" w:hAnsi="Georgia"/>
        </w:rPr>
      </w:r>
    </w:p>
    <w:p>
      <w:pPr>
        <w:pStyle w:val="Normal"/>
        <w:bidi w:val="0"/>
        <w:jc w:val="left"/>
        <w:rPr>
          <w:rFonts w:ascii="Georgia" w:hAnsi="Georgia"/>
        </w:rPr>
      </w:pPr>
      <w:r>
        <w:rPr>
          <w:rFonts w:eastAsia="NSimSun" w:cs="Georgia" w:ascii="Georgia" w:hAnsi="Georgia"/>
          <w:b w:val="false"/>
          <w:bCs w:val="false"/>
          <w:i w:val="false"/>
          <w:iCs w:val="false"/>
          <w:caps w:val="false"/>
          <w:smallCaps w:val="false"/>
          <w:color w:val="auto"/>
          <w:spacing w:val="0"/>
          <w:kern w:val="2"/>
          <w:sz w:val="24"/>
          <w:szCs w:val="24"/>
          <w:u w:val="none"/>
          <w:lang w:val="en-US" w:eastAsia="zh-CN" w:bidi="hi-IN"/>
        </w:rPr>
        <w:t>Dalley, S. (2000) Myths from Mesopotamia. Creation, the Flood, Gilgamesh, and Others. -2</w:t>
      </w:r>
      <w:r>
        <w:rPr>
          <w:rFonts w:eastAsia="NSimSun" w:cs="Georgia" w:ascii="Georgia" w:hAnsi="Georgia"/>
          <w:b w:val="false"/>
          <w:bCs w:val="false"/>
          <w:i w:val="false"/>
          <w:iCs w:val="false"/>
          <w:caps w:val="false"/>
          <w:smallCaps w:val="false"/>
          <w:color w:val="auto"/>
          <w:spacing w:val="0"/>
          <w:kern w:val="2"/>
          <w:sz w:val="24"/>
          <w:szCs w:val="24"/>
          <w:u w:val="none"/>
          <w:vertAlign w:val="superscript"/>
          <w:lang w:val="en-US" w:eastAsia="zh-CN" w:bidi="hi-IN"/>
        </w:rPr>
        <w:t>nd</w:t>
      </w:r>
      <w:r>
        <w:rPr>
          <w:rFonts w:eastAsia="NSimSun" w:cs="Georgia" w:ascii="Georgia" w:hAnsi="Georgia"/>
          <w:b w:val="false"/>
          <w:bCs w:val="false"/>
          <w:i w:val="false"/>
          <w:iCs w:val="false"/>
          <w:caps w:val="false"/>
          <w:smallCaps w:val="false"/>
          <w:color w:val="auto"/>
          <w:spacing w:val="0"/>
          <w:kern w:val="2"/>
          <w:sz w:val="24"/>
          <w:szCs w:val="24"/>
          <w:u w:val="none"/>
          <w:lang w:val="en-US" w:eastAsia="zh-CN" w:bidi="hi-IN"/>
        </w:rPr>
        <w:t xml:space="preserve"> ed. Oxford University Press. ISBN !l-19-283589-0</w:t>
      </w:r>
    </w:p>
    <w:p>
      <w:pPr>
        <w:pStyle w:val="Normal"/>
        <w:bidi w:val="0"/>
        <w:jc w:val="left"/>
        <w:rPr>
          <w:rFonts w:ascii="Georgia" w:hAnsi="Georgia"/>
        </w:rPr>
      </w:pPr>
      <w:r>
        <w:rPr>
          <w:rFonts w:ascii="Georgia" w:hAnsi="Georgia"/>
          <w:b w:val="false"/>
          <w:bCs w:val="false"/>
          <w:color w:val="auto"/>
          <w:sz w:val="24"/>
          <w:szCs w:val="24"/>
        </w:rPr>
      </w:r>
    </w:p>
    <w:p>
      <w:pPr>
        <w:pStyle w:val="Normal"/>
        <w:bidi w:val="0"/>
        <w:jc w:val="left"/>
        <w:rPr>
          <w:rFonts w:ascii="Georgia" w:hAnsi="Georgia"/>
        </w:rPr>
      </w:pPr>
      <w:r>
        <w:rPr>
          <w:rFonts w:eastAsia="NSimSun" w:cs="Georgia" w:ascii="Georgia" w:hAnsi="Georgia"/>
          <w:b w:val="false"/>
          <w:bCs w:val="false"/>
          <w:i w:val="false"/>
          <w:iCs w:val="false"/>
          <w:caps w:val="false"/>
          <w:smallCaps w:val="false"/>
          <w:color w:val="auto"/>
          <w:spacing w:val="0"/>
          <w:kern w:val="2"/>
          <w:sz w:val="24"/>
          <w:szCs w:val="24"/>
          <w:u w:val="none"/>
          <w:lang w:val="en-US" w:eastAsia="zh-CN" w:bidi="hi-IN"/>
        </w:rPr>
        <w:t xml:space="preserve">Davis, K.L. Panksepp, J. (2018) The Emotional Foundations of Personality. A Neurobiological and Evolutionary Approach. W.W.Norton &amp;Company. ISBN 978-0393710571 </w:t>
      </w:r>
    </w:p>
    <w:p>
      <w:pPr>
        <w:pStyle w:val="Normal"/>
        <w:bidi w:val="0"/>
        <w:jc w:val="left"/>
        <w:rPr>
          <w:rFonts w:ascii="Georgia" w:hAnsi="Georgia"/>
          <w:sz w:val="24"/>
          <w:szCs w:val="24"/>
        </w:rPr>
      </w:pPr>
      <w:r>
        <w:rPr>
          <w:rFonts w:ascii="Georgia" w:hAnsi="Georgia"/>
          <w:b w:val="false"/>
          <w:bCs w:val="false"/>
          <w:color w:val="auto"/>
          <w:sz w:val="24"/>
          <w:szCs w:val="24"/>
        </w:rPr>
      </w:r>
    </w:p>
    <w:p>
      <w:pPr>
        <w:pStyle w:val="Normal"/>
        <w:bidi w:val="0"/>
        <w:jc w:val="left"/>
        <w:rPr>
          <w:rFonts w:ascii="Georgia" w:hAnsi="Georgia"/>
          <w:sz w:val="24"/>
          <w:szCs w:val="24"/>
        </w:rPr>
      </w:pPr>
      <w:r>
        <w:rPr>
          <w:rFonts w:eastAsia="NSimSun" w:cs="Lucida Sans" w:ascii="Georgia" w:hAnsi="Georgia"/>
          <w:b w:val="false"/>
          <w:bCs w:val="false"/>
          <w:color w:val="auto"/>
          <w:kern w:val="2"/>
          <w:sz w:val="24"/>
          <w:szCs w:val="24"/>
          <w:lang w:val="en-US" w:eastAsia="zh-CN" w:bidi="hi-IN"/>
        </w:rPr>
        <w:t>Dreze, J., Sen, A. (1989) Hunger and Public Action. Oxford University Press, ISBN 0198283652</w:t>
      </w:r>
    </w:p>
    <w:p>
      <w:pPr>
        <w:pStyle w:val="Normal"/>
        <w:bidi w:val="0"/>
        <w:jc w:val="left"/>
        <w:rPr>
          <w:rFonts w:ascii="Georgia" w:hAnsi="Georgia"/>
          <w:sz w:val="24"/>
          <w:szCs w:val="24"/>
        </w:rPr>
      </w:pPr>
      <w:r>
        <w:rPr>
          <w:rFonts w:ascii="Georgia" w:hAnsi="Georgia"/>
          <w:b w:val="false"/>
          <w:bCs w:val="false"/>
          <w:color w:val="auto"/>
          <w:sz w:val="24"/>
          <w:szCs w:val="24"/>
        </w:rPr>
      </w:r>
    </w:p>
    <w:p>
      <w:pPr>
        <w:pStyle w:val="Normal"/>
        <w:bidi w:val="0"/>
        <w:jc w:val="left"/>
        <w:rPr>
          <w:b/>
          <w:b/>
          <w:bCs/>
          <w:color w:val="00A933"/>
          <w:sz w:val="20"/>
          <w:szCs w:val="20"/>
        </w:rPr>
      </w:pPr>
      <w:r>
        <w:rPr>
          <w:rFonts w:eastAsia="NSimSun" w:cs="Georgia" w:ascii="Georgia" w:hAnsi="Georgia"/>
          <w:b w:val="false"/>
          <w:bCs w:val="false"/>
          <w:i w:val="false"/>
          <w:iCs w:val="false"/>
          <w:color w:val="auto"/>
          <w:kern w:val="2"/>
          <w:sz w:val="24"/>
          <w:szCs w:val="24"/>
          <w:u w:val="none"/>
          <w:lang w:val="en-US" w:eastAsia="zh-CN" w:bidi="hi-IN"/>
        </w:rPr>
        <w:t xml:space="preserve">Einstein, A. (1932) Why War? - </w:t>
      </w:r>
      <w:r>
        <w:rPr>
          <w:rFonts w:eastAsia="NSimSun" w:cs="Georgia" w:ascii="Georgia" w:hAnsi="Georgia"/>
          <w:b w:val="false"/>
          <w:bCs w:val="false"/>
          <w:i w:val="false"/>
          <w:iCs w:val="false"/>
          <w:caps w:val="false"/>
          <w:smallCaps w:val="false"/>
          <w:color w:val="auto"/>
          <w:spacing w:val="0"/>
          <w:kern w:val="2"/>
          <w:sz w:val="24"/>
          <w:szCs w:val="24"/>
          <w:u w:val="none"/>
          <w:lang w:val="en-US" w:eastAsia="zh-CN" w:bidi="hi-IN"/>
        </w:rPr>
        <w:t>A letter from A. Einstein to S. Freud.</w:t>
      </w:r>
    </w:p>
    <w:p>
      <w:pPr>
        <w:pStyle w:val="Normal"/>
        <w:bidi w:val="0"/>
        <w:jc w:val="left"/>
        <w:rPr>
          <w:rFonts w:ascii="Georgia" w:hAnsi="Georgia"/>
          <w:sz w:val="24"/>
          <w:szCs w:val="24"/>
        </w:rPr>
      </w:pPr>
      <w:r>
        <w:rPr>
          <w:rFonts w:eastAsia="NSimSun" w:cs="Lucida Sans" w:ascii="Georgia" w:hAnsi="Georgia"/>
          <w:b w:val="false"/>
          <w:bCs w:val="false"/>
          <w:i w:val="false"/>
          <w:iCs w:val="false"/>
          <w:color w:val="auto"/>
          <w:kern w:val="2"/>
          <w:sz w:val="24"/>
          <w:szCs w:val="24"/>
          <w:u w:val="none"/>
          <w:lang w:val="en-US" w:eastAsia="zh-CN" w:bidi="hi-IN"/>
        </w:rPr>
        <w:t>https://courier.unesco.org/en/articles/why-war-letter-albert-einstein-sigmund-freud . Accessed April 20, 2025.</w:t>
      </w:r>
    </w:p>
    <w:p>
      <w:pPr>
        <w:pStyle w:val="Normal"/>
        <w:bidi w:val="0"/>
        <w:jc w:val="left"/>
        <w:rPr>
          <w:rFonts w:ascii="Georgia" w:hAnsi="Georgia"/>
          <w:sz w:val="24"/>
          <w:szCs w:val="24"/>
        </w:rPr>
      </w:pPr>
      <w:r>
        <w:rPr>
          <w:rFonts w:ascii="Georgia" w:hAnsi="Georgia"/>
          <w:b w:val="false"/>
          <w:bCs w:val="false"/>
          <w:color w:val="auto"/>
          <w:sz w:val="24"/>
          <w:szCs w:val="24"/>
        </w:rPr>
      </w:r>
    </w:p>
    <w:p>
      <w:pPr>
        <w:pStyle w:val="Normal"/>
        <w:bidi w:val="0"/>
        <w:spacing w:before="0" w:after="140"/>
        <w:jc w:val="left"/>
        <w:rPr>
          <w:rFonts w:ascii="Georgia" w:hAnsi="Georgia"/>
        </w:rPr>
      </w:pPr>
      <w:r>
        <w:rPr>
          <w:rFonts w:eastAsia="NSimSun" w:cs="Georgia" w:ascii="Georgia" w:hAnsi="Georgia"/>
          <w:b w:val="false"/>
          <w:bCs w:val="false"/>
          <w:i w:val="false"/>
          <w:iCs w:val="false"/>
          <w:caps w:val="false"/>
          <w:smallCaps w:val="false"/>
          <w:color w:val="auto"/>
          <w:spacing w:val="0"/>
          <w:kern w:val="2"/>
          <w:sz w:val="24"/>
          <w:szCs w:val="24"/>
          <w:u w:val="none"/>
          <w:lang w:val="en-US" w:eastAsia="zh-CN" w:bidi="hi-IN"/>
        </w:rPr>
        <w:t xml:space="preserve">Enzel, Y., Kushnir, Y., Quade, J: (2015)(2015). The middle Holocene climatic records from Arabia: Reassessing lacustrine environments, shift of ITCZ in Arabian Sea, and impacts of the southwest Indian and African monsoons. </w:t>
      </w:r>
      <w:r>
        <w:rPr>
          <w:rFonts w:eastAsia="NSimSun" w:cs="Georgia" w:ascii="Georgia" w:hAnsi="Georgia"/>
          <w:b w:val="false"/>
          <w:bCs w:val="false"/>
          <w:i/>
          <w:iCs/>
          <w:caps w:val="false"/>
          <w:smallCaps w:val="false"/>
          <w:color w:val="auto"/>
          <w:spacing w:val="0"/>
          <w:kern w:val="2"/>
          <w:sz w:val="24"/>
          <w:szCs w:val="24"/>
          <w:u w:val="none"/>
          <w:lang w:val="en-US" w:eastAsia="zh-CN" w:bidi="hi-IN"/>
        </w:rPr>
        <w:t>Global and Planetary Change</w:t>
      </w:r>
      <w:r>
        <w:rPr>
          <w:rFonts w:eastAsia="NSimSun" w:cs="Georgia" w:ascii="Georgia" w:hAnsi="Georgia"/>
          <w:b w:val="false"/>
          <w:bCs w:val="false"/>
          <w:i w:val="false"/>
          <w:iCs w:val="false"/>
          <w:caps w:val="false"/>
          <w:smallCaps w:val="false"/>
          <w:color w:val="auto"/>
          <w:spacing w:val="0"/>
          <w:kern w:val="2"/>
          <w:sz w:val="24"/>
          <w:szCs w:val="24"/>
          <w:u w:val="none"/>
          <w:lang w:val="en-US" w:eastAsia="zh-CN" w:bidi="hi-IN"/>
        </w:rPr>
        <w:t xml:space="preserve">. 129.10.1016/j.gloplacha.2015.03.004. </w:t>
      </w:r>
    </w:p>
    <w:p>
      <w:pPr>
        <w:pStyle w:val="Normal"/>
        <w:bidi w:val="0"/>
        <w:jc w:val="left"/>
        <w:rPr>
          <w:rFonts w:ascii="Georgia" w:hAnsi="Georgia"/>
          <w:sz w:val="24"/>
          <w:szCs w:val="24"/>
        </w:rPr>
      </w:pPr>
      <w:r>
        <w:rPr>
          <w:rFonts w:ascii="Georgia" w:hAnsi="Georgia"/>
          <w:b w:val="false"/>
          <w:bCs w:val="false"/>
          <w:color w:val="auto"/>
          <w:sz w:val="24"/>
          <w:szCs w:val="24"/>
        </w:rPr>
      </w:r>
    </w:p>
    <w:p>
      <w:pPr>
        <w:pStyle w:val="Normal"/>
        <w:bidi w:val="0"/>
        <w:jc w:val="left"/>
        <w:rPr>
          <w:b/>
          <w:b/>
          <w:bCs/>
          <w:color w:val="00A933"/>
          <w:sz w:val="20"/>
          <w:szCs w:val="20"/>
        </w:rPr>
      </w:pPr>
      <w:r>
        <w:rPr>
          <w:rFonts w:eastAsia="NSimSun" w:cs="Georgia" w:ascii="Georgia" w:hAnsi="Georgia"/>
          <w:b w:val="false"/>
          <w:bCs w:val="false"/>
          <w:i w:val="false"/>
          <w:iCs w:val="false"/>
          <w:caps w:val="false"/>
          <w:smallCaps w:val="false"/>
          <w:color w:val="auto"/>
          <w:spacing w:val="0"/>
          <w:kern w:val="2"/>
          <w:sz w:val="24"/>
          <w:szCs w:val="24"/>
          <w:u w:val="none"/>
          <w:lang w:val="en-US" w:eastAsia="zh-CN" w:bidi="hi-IN"/>
        </w:rPr>
        <w:t xml:space="preserve">Hardin, G. (1968) The Tragedy of the Commons. </w:t>
      </w:r>
      <w:r>
        <w:rPr>
          <w:rFonts w:eastAsia="NSimSun" w:cs="Georgia" w:ascii="Georgia" w:hAnsi="Georgia"/>
          <w:b w:val="false"/>
          <w:bCs w:val="false"/>
          <w:i/>
          <w:iCs/>
          <w:caps w:val="false"/>
          <w:smallCaps w:val="false"/>
          <w:color w:val="auto"/>
          <w:spacing w:val="0"/>
          <w:kern w:val="2"/>
          <w:sz w:val="24"/>
          <w:szCs w:val="24"/>
          <w:u w:val="none"/>
          <w:lang w:val="en-US" w:eastAsia="zh-CN" w:bidi="hi-IN"/>
        </w:rPr>
        <w:t>Science</w:t>
      </w:r>
      <w:r>
        <w:rPr>
          <w:rFonts w:eastAsia="NSimSun" w:cs="Georgia" w:ascii="Georgia" w:hAnsi="Georgia"/>
          <w:b w:val="false"/>
          <w:bCs w:val="false"/>
          <w:i w:val="false"/>
          <w:iCs w:val="false"/>
          <w:caps w:val="false"/>
          <w:smallCaps w:val="false"/>
          <w:color w:val="auto"/>
          <w:spacing w:val="0"/>
          <w:kern w:val="2"/>
          <w:sz w:val="24"/>
          <w:szCs w:val="24"/>
          <w:u w:val="none"/>
          <w:lang w:val="en-US" w:eastAsia="zh-CN" w:bidi="hi-IN"/>
        </w:rPr>
        <w:t>: Vol. 162. no. 3859, pp. 1243 - 1248</w:t>
      </w:r>
    </w:p>
    <w:p>
      <w:pPr>
        <w:pStyle w:val="Normal"/>
        <w:jc w:val="left"/>
        <w:rPr>
          <w:rFonts w:ascii="Georgia" w:hAnsi="Georgia" w:eastAsia="NSimSun" w:cs="Georgia"/>
          <w:b/>
          <w:b/>
          <w:bCs/>
          <w:i w:val="false"/>
          <w:i w:val="false"/>
          <w:iCs w:val="false"/>
          <w:caps w:val="false"/>
          <w:smallCaps w:val="false"/>
          <w:color w:val="00A933"/>
          <w:spacing w:val="0"/>
          <w:kern w:val="2"/>
          <w:sz w:val="20"/>
          <w:szCs w:val="20"/>
          <w:u w:val="none"/>
          <w:lang w:val="en-US" w:eastAsia="zh-CN" w:bidi="hi-IN"/>
        </w:rPr>
      </w:pPr>
      <w:r>
        <w:rPr>
          <w:rFonts w:eastAsia="NSimSun" w:cs="Georgia" w:ascii="Georgia" w:hAnsi="Georgia"/>
          <w:b w:val="false"/>
          <w:bCs w:val="false"/>
          <w:i w:val="false"/>
          <w:iCs w:val="false"/>
          <w:caps w:val="false"/>
          <w:smallCaps w:val="false"/>
          <w:color w:val="auto"/>
          <w:spacing w:val="0"/>
          <w:kern w:val="2"/>
          <w:sz w:val="24"/>
          <w:szCs w:val="24"/>
          <w:u w:val="none"/>
          <w:lang w:val="en-US" w:eastAsia="zh-CN" w:bidi="hi-IN"/>
        </w:rPr>
        <w:t>DOI: 10.1126/science.162.3859.1243</w:t>
      </w:r>
    </w:p>
    <w:p>
      <w:pPr>
        <w:pStyle w:val="Normal"/>
        <w:bidi w:val="0"/>
        <w:jc w:val="left"/>
        <w:rPr>
          <w:rFonts w:ascii="Georgia" w:hAnsi="Georgia"/>
          <w:sz w:val="24"/>
          <w:szCs w:val="24"/>
        </w:rPr>
      </w:pPr>
      <w:r>
        <w:rPr>
          <w:rFonts w:eastAsia="NSimSun" w:cs="Lucida Sans" w:ascii="Georgia" w:hAnsi="Georgia"/>
          <w:b w:val="false"/>
          <w:bCs w:val="false"/>
          <w:i w:val="false"/>
          <w:iCs w:val="false"/>
          <w:caps w:val="false"/>
          <w:smallCaps w:val="false"/>
          <w:color w:val="auto"/>
          <w:spacing w:val="0"/>
          <w:kern w:val="2"/>
          <w:sz w:val="24"/>
          <w:szCs w:val="24"/>
          <w:u w:val="none"/>
          <w:lang w:val="en-US" w:eastAsia="zh-CN" w:bidi="hi-IN"/>
        </w:rPr>
        <w:t>http://www.sciencemag.org/cgi/content/full/162/3859/1243</w:t>
      </w:r>
    </w:p>
    <w:p>
      <w:pPr>
        <w:pStyle w:val="Normal"/>
        <w:bidi w:val="0"/>
        <w:jc w:val="left"/>
        <w:rPr>
          <w:rFonts w:ascii="Georgia" w:hAnsi="Georgia"/>
          <w:sz w:val="24"/>
          <w:szCs w:val="24"/>
        </w:rPr>
      </w:pPr>
      <w:r>
        <w:rPr>
          <w:rFonts w:ascii="Georgia" w:hAnsi="Georgia"/>
          <w:b w:val="false"/>
          <w:bCs w:val="false"/>
          <w:color w:val="auto"/>
          <w:sz w:val="24"/>
          <w:szCs w:val="24"/>
        </w:rPr>
      </w:r>
    </w:p>
    <w:p>
      <w:pPr>
        <w:pStyle w:val="Normal"/>
        <w:bidi w:val="0"/>
        <w:jc w:val="left"/>
        <w:rPr>
          <w:rFonts w:ascii="Georgia" w:hAnsi="Georgia"/>
          <w:sz w:val="24"/>
          <w:szCs w:val="24"/>
        </w:rPr>
      </w:pPr>
      <w:r>
        <w:rPr>
          <w:rFonts w:eastAsia="NSimSun" w:cs="Georgia" w:ascii="Georgia" w:hAnsi="Georgia"/>
          <w:b w:val="false"/>
          <w:bCs w:val="false"/>
          <w:i w:val="false"/>
          <w:iCs w:val="false"/>
          <w:caps w:val="false"/>
          <w:smallCaps w:val="false"/>
          <w:color w:val="auto"/>
          <w:spacing w:val="0"/>
          <w:kern w:val="2"/>
          <w:sz w:val="24"/>
          <w:szCs w:val="24"/>
          <w:u w:val="none"/>
          <w:lang w:val="en-US" w:eastAsia="zh-CN" w:bidi="hi-IN"/>
        </w:rPr>
        <w:t>Hardin, G. (1974). Lifeboat ethics: The case against helping the poor. Psychology Today:800-812.</w:t>
      </w:r>
    </w:p>
    <w:p>
      <w:pPr>
        <w:pStyle w:val="Normal"/>
        <w:bidi w:val="0"/>
        <w:jc w:val="left"/>
        <w:rPr>
          <w:rFonts w:ascii="Georgia" w:hAnsi="Georgia"/>
          <w:sz w:val="24"/>
          <w:szCs w:val="24"/>
        </w:rPr>
      </w:pPr>
      <w:r>
        <w:rPr>
          <w:rFonts w:ascii="Georgia" w:hAnsi="Georgia"/>
          <w:b w:val="false"/>
          <w:bCs w:val="false"/>
          <w:color w:val="auto"/>
          <w:sz w:val="24"/>
          <w:szCs w:val="24"/>
        </w:rPr>
      </w:r>
    </w:p>
    <w:p>
      <w:pPr>
        <w:pStyle w:val="Normal"/>
        <w:bidi w:val="0"/>
        <w:jc w:val="left"/>
        <w:rPr>
          <w:rFonts w:ascii="Georgia" w:hAnsi="Georgia"/>
          <w:sz w:val="24"/>
          <w:szCs w:val="24"/>
        </w:rPr>
      </w:pPr>
      <w:r>
        <w:rPr>
          <w:rFonts w:eastAsia="NSimSun" w:cs="Georgia" w:ascii="Georgia" w:hAnsi="Georgia"/>
          <w:b w:val="false"/>
          <w:bCs w:val="false"/>
          <w:i w:val="false"/>
          <w:iCs w:val="false"/>
          <w:color w:val="auto"/>
          <w:kern w:val="2"/>
          <w:sz w:val="24"/>
          <w:szCs w:val="24"/>
          <w:u w:val="none"/>
          <w:lang w:val="en-US" w:eastAsia="zh-CN" w:bidi="hi-IN"/>
        </w:rPr>
        <w:t xml:space="preserve">Hardin, G. (1998) </w:t>
      </w:r>
      <w:r>
        <w:rPr>
          <w:rFonts w:eastAsia="NSimSun" w:cs="Georgia" w:ascii="Georgia" w:hAnsi="Georgia"/>
          <w:b w:val="false"/>
          <w:bCs w:val="false"/>
          <w:i w:val="false"/>
          <w:iCs w:val="false"/>
          <w:caps w:val="false"/>
          <w:smallCaps w:val="false"/>
          <w:color w:val="auto"/>
          <w:spacing w:val="0"/>
          <w:kern w:val="2"/>
          <w:sz w:val="24"/>
          <w:szCs w:val="24"/>
          <w:u w:val="none"/>
          <w:lang w:val="en-US" w:eastAsia="zh-CN" w:bidi="hi-IN"/>
        </w:rPr>
        <w:t>Extensions of "The Tragedy of the Commons". Science 280, 682-683. DOI:</w:t>
      </w:r>
      <w:r>
        <w:rPr>
          <w:rFonts w:eastAsia="NSimSun" w:cs="Georgia" w:ascii="Georgia" w:hAnsi="Georgia"/>
          <w:b w:val="false"/>
          <w:bCs w:val="false"/>
          <w:i w:val="false"/>
          <w:iCs w:val="false"/>
          <w:caps w:val="false"/>
          <w:smallCaps w:val="false"/>
          <w:strike w:val="false"/>
          <w:dstrike w:val="false"/>
          <w:color w:val="auto"/>
          <w:spacing w:val="0"/>
          <w:kern w:val="2"/>
          <w:sz w:val="24"/>
          <w:szCs w:val="24"/>
          <w:u w:val="none"/>
          <w:lang w:val="en-US" w:eastAsia="zh-CN" w:bidi="hi-IN"/>
        </w:rPr>
        <w:t>10.1126/science.280.5364.682</w:t>
      </w:r>
      <w:r>
        <w:rPr>
          <w:rFonts w:eastAsia="NSimSun" w:cs="Georgia" w:ascii="Georgia" w:hAnsi="Georgia"/>
          <w:b w:val="false"/>
          <w:bCs w:val="false"/>
          <w:i w:val="false"/>
          <w:iCs w:val="false"/>
          <w:color w:val="auto"/>
          <w:kern w:val="2"/>
          <w:sz w:val="24"/>
          <w:szCs w:val="24"/>
          <w:u w:val="none"/>
          <w:lang w:val="en-US" w:eastAsia="zh-CN" w:bidi="hi-IN"/>
        </w:rPr>
        <w:t xml:space="preserve"> </w:t>
      </w:r>
    </w:p>
    <w:p>
      <w:pPr>
        <w:pStyle w:val="Normal"/>
        <w:bidi w:val="0"/>
        <w:jc w:val="left"/>
        <w:rPr>
          <w:rFonts w:ascii="Georgia" w:hAnsi="Georgia"/>
          <w:sz w:val="24"/>
          <w:szCs w:val="24"/>
        </w:rPr>
      </w:pPr>
      <w:r>
        <w:rPr>
          <w:rFonts w:eastAsia="NSimSun" w:cs="Lucida Sans" w:ascii="Georgia" w:hAnsi="Georgia"/>
          <w:b w:val="false"/>
          <w:bCs w:val="false"/>
          <w:i w:val="false"/>
          <w:iCs w:val="false"/>
          <w:color w:val="auto"/>
          <w:kern w:val="2"/>
          <w:sz w:val="24"/>
          <w:szCs w:val="24"/>
          <w:lang w:val="en-US" w:eastAsia="zh-CN" w:bidi="hi-IN"/>
        </w:rPr>
      </w:r>
    </w:p>
    <w:p>
      <w:pPr>
        <w:pStyle w:val="Normal"/>
        <w:bidi w:val="0"/>
        <w:ind w:hanging="0"/>
        <w:jc w:val="left"/>
        <w:rPr>
          <w:rFonts w:ascii="Georgia" w:hAnsi="Georgia"/>
          <w:sz w:val="24"/>
          <w:szCs w:val="24"/>
        </w:rPr>
      </w:pPr>
      <w:r>
        <w:rPr>
          <w:rFonts w:eastAsia="NSimSun" w:cs="Lucida Sans" w:ascii="Georgia" w:hAnsi="Georgia"/>
          <w:b w:val="false"/>
          <w:bCs w:val="false"/>
          <w:i w:val="false"/>
          <w:iCs w:val="false"/>
          <w:color w:val="auto"/>
          <w:kern w:val="2"/>
          <w:sz w:val="24"/>
          <w:szCs w:val="24"/>
          <w:u w:val="none"/>
          <w:lang w:val="en-US" w:eastAsia="zh-CN" w:bidi="hi-IN"/>
        </w:rPr>
        <w:t>Hume, D. (1793) The Natural History of Religion. Essays and Treatises on Several Subjects by David Hume, Vol IV. Printed and fold by J. J. Tourneisen.</w:t>
      </w:r>
    </w:p>
    <w:p>
      <w:pPr>
        <w:pStyle w:val="Normal"/>
        <w:bidi w:val="0"/>
        <w:jc w:val="left"/>
        <w:rPr>
          <w:rFonts w:ascii="Georgia" w:hAnsi="Georgia"/>
          <w:sz w:val="24"/>
          <w:szCs w:val="24"/>
        </w:rPr>
      </w:pPr>
      <w:r>
        <w:rPr>
          <w:rFonts w:eastAsia="NSimSun" w:cs="Lucida Sans" w:ascii="Georgia" w:hAnsi="Georgia"/>
          <w:b w:val="false"/>
          <w:bCs w:val="false"/>
          <w:i w:val="false"/>
          <w:iCs w:val="false"/>
          <w:color w:val="auto"/>
          <w:kern w:val="2"/>
          <w:sz w:val="24"/>
          <w:szCs w:val="24"/>
          <w:lang w:val="en-US" w:eastAsia="zh-CN" w:bidi="hi-IN"/>
        </w:rPr>
      </w:r>
    </w:p>
    <w:p>
      <w:pPr>
        <w:pStyle w:val="Normal"/>
        <w:bidi w:val="0"/>
        <w:jc w:val="left"/>
        <w:rPr>
          <w:rFonts w:ascii="Georgia" w:hAnsi="Georgia"/>
        </w:rPr>
      </w:pPr>
      <w:r>
        <w:rPr>
          <w:rFonts w:eastAsia="NSimSun" w:cs="Lucida Sans" w:ascii="Georgia" w:hAnsi="Georgia"/>
          <w:b w:val="false"/>
          <w:bCs w:val="false"/>
          <w:i w:val="false"/>
          <w:iCs w:val="false"/>
          <w:color w:val="auto"/>
          <w:kern w:val="2"/>
          <w:sz w:val="24"/>
          <w:szCs w:val="24"/>
          <w:lang w:val="en-US" w:eastAsia="zh-CN" w:bidi="hi-IN"/>
        </w:rPr>
        <w:t>Koch, T. (2012) Thieves of virtue : when bioethics stole medicine. The MIT Press, Cambridge, MA, USA. ISBN 978-0-262-01798-5</w:t>
      </w:r>
    </w:p>
    <w:p>
      <w:pPr>
        <w:pStyle w:val="Normal"/>
        <w:bidi w:val="0"/>
        <w:jc w:val="left"/>
        <w:rPr>
          <w:rFonts w:ascii="Georgia" w:hAnsi="Georgia"/>
          <w:sz w:val="24"/>
          <w:szCs w:val="24"/>
        </w:rPr>
      </w:pPr>
      <w:r>
        <w:rPr>
          <w:rFonts w:ascii="Georgia" w:hAnsi="Georgia"/>
          <w:b w:val="false"/>
          <w:bCs w:val="false"/>
          <w:color w:val="auto"/>
          <w:sz w:val="24"/>
          <w:szCs w:val="24"/>
        </w:rPr>
      </w:r>
    </w:p>
    <w:p>
      <w:pPr>
        <w:pStyle w:val="Normal"/>
        <w:bidi w:val="0"/>
        <w:jc w:val="left"/>
        <w:rPr>
          <w:rFonts w:ascii="Georgia" w:hAnsi="Georgia"/>
          <w:sz w:val="24"/>
          <w:szCs w:val="24"/>
        </w:rPr>
      </w:pPr>
      <w:r>
        <w:rPr>
          <w:rFonts w:eastAsia="NSimSun" w:cs="Lucida Sans" w:ascii="Georgia" w:hAnsi="Georgia"/>
          <w:b w:val="false"/>
          <w:bCs w:val="false"/>
          <w:i w:val="false"/>
          <w:iCs w:val="false"/>
          <w:color w:val="auto"/>
          <w:kern w:val="2"/>
          <w:sz w:val="24"/>
          <w:szCs w:val="24"/>
          <w:lang w:val="en-US" w:eastAsia="zh-CN" w:bidi="hi-IN"/>
        </w:rPr>
        <w:t xml:space="preserve">Kumar, B.G., (1990) Ethiopian Famines 1973-1985: A Case-Study. From eds. Dreze, J., Sen, A. </w:t>
      </w:r>
      <w:r>
        <w:rPr>
          <w:rFonts w:eastAsia="NSimSun" w:cs="Lucida Sans" w:ascii="Georgia" w:hAnsi="Georgia"/>
          <w:b w:val="false"/>
          <w:bCs w:val="false"/>
          <w:i/>
          <w:iCs/>
          <w:color w:val="auto"/>
          <w:kern w:val="2"/>
          <w:sz w:val="24"/>
          <w:szCs w:val="24"/>
          <w:lang w:val="en-US" w:eastAsia="zh-CN" w:bidi="hi-IN"/>
        </w:rPr>
        <w:t>The Political Economy of Hunger. Vol 2 Famine Prevention.</w:t>
      </w:r>
      <w:r>
        <w:rPr>
          <w:rFonts w:eastAsia="NSimSun" w:cs="Lucida Sans" w:ascii="Georgia" w:hAnsi="Georgia"/>
          <w:b w:val="false"/>
          <w:bCs w:val="false"/>
          <w:i w:val="false"/>
          <w:iCs w:val="false"/>
          <w:color w:val="auto"/>
          <w:kern w:val="2"/>
          <w:sz w:val="24"/>
          <w:szCs w:val="24"/>
          <w:lang w:val="en-US" w:eastAsia="zh-CN" w:bidi="hi-IN"/>
        </w:rPr>
        <w:t xml:space="preserve"> Oxford University Press, ISBN 978-0-19-828636-3</w:t>
      </w:r>
    </w:p>
    <w:p>
      <w:pPr>
        <w:pStyle w:val="Normal"/>
        <w:bidi w:val="0"/>
        <w:jc w:val="left"/>
        <w:rPr>
          <w:rFonts w:ascii="Georgia" w:hAnsi="Georgia"/>
        </w:rPr>
      </w:pPr>
      <w:r>
        <w:rPr>
          <w:rFonts w:ascii="Georgia" w:hAnsi="Georgia"/>
          <w:b w:val="false"/>
          <w:bCs w:val="false"/>
          <w:color w:val="auto"/>
          <w:sz w:val="24"/>
          <w:szCs w:val="24"/>
        </w:rPr>
      </w:r>
    </w:p>
    <w:p>
      <w:pPr>
        <w:pStyle w:val="Normal"/>
        <w:bidi w:val="0"/>
        <w:jc w:val="left"/>
        <w:rPr>
          <w:rFonts w:ascii="Georgia" w:hAnsi="Georgia"/>
          <w:sz w:val="24"/>
          <w:szCs w:val="24"/>
        </w:rPr>
      </w:pPr>
      <w:r>
        <w:rPr>
          <w:rFonts w:ascii="Georgia" w:hAnsi="Georgia"/>
          <w:b w:val="false"/>
          <w:bCs w:val="false"/>
          <w:color w:val="auto"/>
          <w:sz w:val="24"/>
          <w:szCs w:val="24"/>
        </w:rPr>
        <w:t>LaFollette,</w:t>
      </w:r>
      <w:r>
        <w:rPr>
          <w:rFonts w:eastAsia="NSimSun" w:cs="Lucida Sans" w:ascii="Georgia" w:hAnsi="Georgia"/>
          <w:b w:val="false"/>
          <w:bCs w:val="false"/>
          <w:color w:val="auto"/>
          <w:kern w:val="2"/>
          <w:sz w:val="24"/>
          <w:szCs w:val="24"/>
          <w:lang w:val="en-US" w:eastAsia="zh-CN" w:bidi="hi-IN"/>
        </w:rPr>
        <w:t xml:space="preserve"> H. (2003) World Hunger. </w:t>
      </w:r>
      <w:r>
        <w:rPr>
          <w:rFonts w:eastAsia="NSimSun" w:cs="Lucida Sans" w:ascii="Georgia" w:hAnsi="Georgia"/>
          <w:b w:val="false"/>
          <w:bCs w:val="false"/>
          <w:i/>
          <w:iCs/>
          <w:color w:val="auto"/>
          <w:kern w:val="2"/>
          <w:sz w:val="24"/>
          <w:szCs w:val="24"/>
          <w:lang w:val="en-US" w:eastAsia="zh-CN" w:bidi="hi-IN"/>
        </w:rPr>
        <w:t>From: A Companion to Applied Ethics</w:t>
      </w:r>
      <w:r>
        <w:rPr>
          <w:rFonts w:eastAsia="NSimSun" w:cs="Lucida Sans" w:ascii="Georgia" w:hAnsi="Georgia"/>
          <w:b w:val="false"/>
          <w:bCs w:val="false"/>
          <w:color w:val="auto"/>
          <w:kern w:val="2"/>
          <w:sz w:val="24"/>
          <w:szCs w:val="24"/>
          <w:lang w:val="en-US" w:eastAsia="zh-CN" w:bidi="hi-IN"/>
        </w:rPr>
        <w:t>, e</w:t>
      </w:r>
      <w:r>
        <w:rPr>
          <w:rFonts w:eastAsia="NSimSun" w:cs="Lucida Sans" w:ascii="Georgia" w:hAnsi="Georgia"/>
          <w:b w:val="false"/>
          <w:bCs w:val="false"/>
          <w:i w:val="false"/>
          <w:iCs w:val="false"/>
          <w:color w:val="auto"/>
          <w:kern w:val="2"/>
          <w:sz w:val="24"/>
          <w:szCs w:val="24"/>
          <w:lang w:val="en-US" w:eastAsia="zh-CN" w:bidi="hi-IN"/>
        </w:rPr>
        <w:t xml:space="preserve">ds </w:t>
      </w:r>
      <w:r>
        <w:rPr>
          <w:rFonts w:eastAsia="NSimSun" w:cs="Lucida Sans" w:ascii="Georgia" w:hAnsi="Georgia"/>
          <w:b w:val="false"/>
          <w:bCs w:val="false"/>
          <w:color w:val="auto"/>
          <w:kern w:val="2"/>
          <w:sz w:val="24"/>
          <w:szCs w:val="24"/>
          <w:lang w:val="en-US" w:eastAsia="zh-CN" w:bidi="hi-IN"/>
        </w:rPr>
        <w:t>R. G. Frey and C. H. Wellman, Blackwell Publishing Ltd, ISBN 1557865949</w:t>
      </w:r>
    </w:p>
    <w:p>
      <w:pPr>
        <w:pStyle w:val="Normal"/>
        <w:bidi w:val="0"/>
        <w:jc w:val="left"/>
        <w:rPr>
          <w:rFonts w:ascii="Georgia" w:hAnsi="Georgia"/>
          <w:sz w:val="24"/>
          <w:szCs w:val="24"/>
        </w:rPr>
      </w:pPr>
      <w:r>
        <w:rPr>
          <w:rFonts w:ascii="Georgia" w:hAnsi="Georgia"/>
          <w:b w:val="false"/>
          <w:bCs w:val="false"/>
          <w:color w:val="auto"/>
          <w:sz w:val="24"/>
          <w:szCs w:val="24"/>
        </w:rPr>
      </w:r>
    </w:p>
    <w:p>
      <w:pPr>
        <w:pStyle w:val="TextBody"/>
        <w:bidi w:val="0"/>
        <w:jc w:val="left"/>
        <w:rPr>
          <w:rFonts w:ascii="Georgia" w:hAnsi="Georgia"/>
          <w:sz w:val="24"/>
          <w:szCs w:val="24"/>
        </w:rPr>
      </w:pPr>
      <w:r>
        <w:rPr>
          <w:rFonts w:eastAsia="NSimSun" w:cs="Lucida Sans" w:ascii="Georgia" w:hAnsi="Georgia"/>
          <w:b w:val="false"/>
          <w:bCs w:val="false"/>
          <w:i w:val="false"/>
          <w:iCs w:val="false"/>
          <w:caps w:val="false"/>
          <w:smallCaps w:val="false"/>
          <w:color w:val="auto"/>
          <w:spacing w:val="0"/>
          <w:kern w:val="2"/>
          <w:sz w:val="24"/>
          <w:szCs w:val="24"/>
          <w:u w:val="none"/>
          <w:lang w:val="en-US" w:eastAsia="zh-CN" w:bidi="hi-IN"/>
        </w:rPr>
        <w:t>Lloyd, W.F. (1833) Two Lectures on the Checks to Population, delivered before the University of Oxford in Michaelmas Term 1832. Oxford, Printed by S.Collingwood, Printer to the University.</w:t>
      </w:r>
    </w:p>
    <w:p>
      <w:pPr>
        <w:pStyle w:val="Normal"/>
        <w:bidi w:val="0"/>
        <w:jc w:val="left"/>
        <w:rPr>
          <w:rFonts w:ascii="Georgia" w:hAnsi="Georgia"/>
        </w:rPr>
      </w:pPr>
      <w:r>
        <w:rPr>
          <w:rFonts w:eastAsia="NSimSun" w:cs="Lucida Sans" w:ascii="Georgia" w:hAnsi="Georgia"/>
          <w:b w:val="false"/>
          <w:bCs w:val="false"/>
          <w:i w:val="false"/>
          <w:iCs w:val="false"/>
          <w:caps w:val="false"/>
          <w:smallCaps w:val="false"/>
          <w:color w:val="auto"/>
          <w:spacing w:val="0"/>
          <w:kern w:val="2"/>
          <w:sz w:val="24"/>
          <w:szCs w:val="24"/>
          <w:u w:val="none"/>
          <w:lang w:val="en-US" w:eastAsia="zh-CN" w:bidi="hi-IN"/>
        </w:rPr>
        <w:t>Midgley, M. (1992) Science as Salvation. A Modern Myth and its Meaning. Routledge. ISBN 0-203-04689-7</w:t>
      </w:r>
    </w:p>
    <w:p>
      <w:pPr>
        <w:pStyle w:val="Normal"/>
        <w:bidi w:val="0"/>
        <w:jc w:val="left"/>
        <w:rPr>
          <w:rFonts w:ascii="Georgia" w:hAnsi="Georgia"/>
        </w:rPr>
      </w:pPr>
      <w:r>
        <w:rPr>
          <w:rFonts w:ascii="Georgia" w:hAnsi="Georgia"/>
          <w:b w:val="false"/>
          <w:bCs w:val="false"/>
          <w:color w:val="auto"/>
          <w:sz w:val="24"/>
          <w:szCs w:val="24"/>
        </w:rPr>
      </w:r>
    </w:p>
    <w:p>
      <w:pPr>
        <w:pStyle w:val="Normal"/>
        <w:bidi w:val="0"/>
        <w:jc w:val="left"/>
        <w:rPr>
          <w:rFonts w:ascii="Georgia" w:hAnsi="Georgia"/>
        </w:rPr>
      </w:pPr>
      <w:r>
        <w:rPr>
          <w:rFonts w:eastAsia="NSimSun" w:cs="Lucida Sans" w:ascii="Georgia" w:hAnsi="Georgia"/>
          <w:b w:val="false"/>
          <w:bCs w:val="false"/>
          <w:i w:val="false"/>
          <w:iCs w:val="false"/>
          <w:color w:val="auto"/>
          <w:kern w:val="2"/>
          <w:sz w:val="24"/>
          <w:szCs w:val="24"/>
          <w:lang w:val="en-US" w:eastAsia="zh-CN" w:bidi="hi-IN"/>
        </w:rPr>
        <w:t>Midgley, M. (2003) Myths We Live By. Routledge, ISBN 0-203-48092-9</w:t>
      </w:r>
    </w:p>
    <w:p>
      <w:pPr>
        <w:pStyle w:val="Normal"/>
        <w:bidi w:val="0"/>
        <w:jc w:val="left"/>
        <w:rPr>
          <w:rFonts w:ascii="Georgia" w:hAnsi="Georgia"/>
        </w:rPr>
      </w:pPr>
      <w:r>
        <w:rPr>
          <w:rFonts w:ascii="Georgia" w:hAnsi="Georgia"/>
          <w:b w:val="false"/>
          <w:bCs w:val="false"/>
          <w:color w:val="auto"/>
          <w:sz w:val="24"/>
          <w:szCs w:val="24"/>
        </w:rPr>
      </w:r>
    </w:p>
    <w:p>
      <w:pPr>
        <w:pStyle w:val="Normal"/>
        <w:bidi w:val="0"/>
        <w:jc w:val="left"/>
        <w:rPr>
          <w:rFonts w:ascii="Georgia" w:hAnsi="Georgia"/>
        </w:rPr>
      </w:pPr>
      <w:r>
        <w:rPr>
          <w:rFonts w:eastAsia="NSimSun" w:cs="Lucida Sans" w:ascii="Georgia" w:hAnsi="Georgia"/>
          <w:b w:val="false"/>
          <w:bCs w:val="false"/>
          <w:i w:val="false"/>
          <w:iCs w:val="false"/>
          <w:strike w:val="false"/>
          <w:dstrike w:val="false"/>
          <w:color w:val="auto"/>
          <w:kern w:val="2"/>
          <w:sz w:val="24"/>
          <w:szCs w:val="24"/>
          <w:u w:val="none"/>
          <w:effect w:val="none"/>
          <w:lang w:val="et-EE" w:eastAsia="zh-CN" w:bidi="hi-IN"/>
        </w:rPr>
        <w:t>Penn Wharton (2016) The Effects of Immigration on the United States' Economy,  https://www.congress.gov/118/meeting/house/116727/documents/HHRG-118-JU01-20240111-SD013.pdf Accessed April, 22. 2025</w:t>
      </w:r>
    </w:p>
    <w:p>
      <w:pPr>
        <w:pStyle w:val="Normal"/>
        <w:bidi w:val="0"/>
        <w:jc w:val="left"/>
        <w:rPr>
          <w:rFonts w:ascii="Georgia" w:hAnsi="Georgia"/>
        </w:rPr>
      </w:pPr>
      <w:r>
        <w:rPr>
          <w:rFonts w:ascii="Georgia" w:hAnsi="Georgia"/>
          <w:b w:val="false"/>
          <w:bCs w:val="false"/>
          <w:color w:val="auto"/>
          <w:sz w:val="24"/>
          <w:szCs w:val="24"/>
        </w:rPr>
      </w:r>
    </w:p>
    <w:p>
      <w:pPr>
        <w:pStyle w:val="Normal"/>
        <w:bidi w:val="0"/>
        <w:jc w:val="left"/>
        <w:rPr>
          <w:rFonts w:ascii="Georgia" w:hAnsi="Georgia"/>
        </w:rPr>
      </w:pPr>
      <w:r>
        <w:rPr>
          <w:rFonts w:eastAsia="NSimSun" w:cs="Lucida Sans" w:ascii="Georgia" w:hAnsi="Georgia"/>
          <w:b w:val="false"/>
          <w:bCs w:val="false"/>
          <w:i w:val="false"/>
          <w:iCs w:val="false"/>
          <w:caps w:val="false"/>
          <w:smallCaps w:val="false"/>
          <w:strike w:val="false"/>
          <w:dstrike w:val="false"/>
          <w:color w:val="auto"/>
          <w:spacing w:val="0"/>
          <w:kern w:val="2"/>
          <w:sz w:val="24"/>
          <w:szCs w:val="24"/>
          <w:u w:val="none"/>
          <w:effect w:val="none"/>
          <w:lang w:val="et-EE" w:eastAsia="zh-CN" w:bidi="hi-IN"/>
        </w:rPr>
        <w:t>Perinetti, D. (2018). Hume at La Flèche: Skepticism and the French Connection. </w:t>
      </w:r>
      <w:r>
        <w:rPr>
          <w:rFonts w:eastAsia="NSimSun" w:cs="Lucida Sans" w:ascii="Georgia" w:hAnsi="Georgia"/>
          <w:b w:val="false"/>
          <w:bCs w:val="false"/>
          <w:i/>
          <w:iCs/>
          <w:strike w:val="false"/>
          <w:dstrike w:val="false"/>
          <w:color w:val="auto"/>
          <w:spacing w:val="0"/>
          <w:kern w:val="2"/>
          <w:sz w:val="24"/>
          <w:szCs w:val="24"/>
          <w:u w:val="none"/>
          <w:effect w:val="none"/>
          <w:lang w:val="et-EE" w:eastAsia="zh-CN" w:bidi="hi-IN"/>
        </w:rPr>
        <w:t>Journal of the History of Philosophy</w:t>
      </w:r>
      <w:r>
        <w:rPr>
          <w:rFonts w:eastAsia="NSimSun" w:cs="Lucida Sans" w:ascii="Georgia" w:hAnsi="Georgia"/>
          <w:b w:val="false"/>
          <w:bCs w:val="false"/>
          <w:i/>
          <w:iCs/>
          <w:caps w:val="false"/>
          <w:smallCaps w:val="false"/>
          <w:strike w:val="false"/>
          <w:dstrike w:val="false"/>
          <w:color w:val="auto"/>
          <w:spacing w:val="0"/>
          <w:kern w:val="2"/>
          <w:sz w:val="24"/>
          <w:szCs w:val="24"/>
          <w:u w:val="none"/>
          <w:effect w:val="none"/>
          <w:lang w:val="et-EE" w:eastAsia="zh-CN" w:bidi="hi-IN"/>
        </w:rPr>
        <w:t> </w:t>
      </w:r>
      <w:r>
        <w:rPr>
          <w:rFonts w:eastAsia="NSimSun" w:cs="Lucida Sans" w:ascii="Georgia" w:hAnsi="Georgia"/>
          <w:b w:val="false"/>
          <w:bCs w:val="false"/>
          <w:i w:val="false"/>
          <w:iCs w:val="false"/>
          <w:strike w:val="false"/>
          <w:dstrike w:val="false"/>
          <w:color w:val="auto"/>
          <w:spacing w:val="0"/>
          <w:kern w:val="2"/>
          <w:sz w:val="24"/>
          <w:szCs w:val="24"/>
          <w:u w:val="none"/>
          <w:effect w:val="none"/>
          <w:lang w:val="et-EE" w:eastAsia="zh-CN" w:bidi="hi-IN"/>
        </w:rPr>
        <w:t>56</w:t>
      </w:r>
      <w:r>
        <w:rPr>
          <w:rFonts w:eastAsia="NSimSun" w:cs="Lucida Sans" w:ascii="Georgia" w:hAnsi="Georgia"/>
          <w:b w:val="false"/>
          <w:bCs w:val="false"/>
          <w:i w:val="false"/>
          <w:iCs w:val="false"/>
          <w:caps w:val="false"/>
          <w:smallCaps w:val="false"/>
          <w:strike w:val="false"/>
          <w:dstrike w:val="false"/>
          <w:color w:val="auto"/>
          <w:spacing w:val="0"/>
          <w:kern w:val="2"/>
          <w:sz w:val="24"/>
          <w:szCs w:val="24"/>
          <w:u w:val="none"/>
          <w:effect w:val="none"/>
          <w:lang w:val="et-EE" w:eastAsia="zh-CN" w:bidi="hi-IN"/>
        </w:rPr>
        <w:t>(1), 45-74. </w:t>
      </w:r>
      <w:hyperlink r:id="rId2">
        <w:r>
          <w:rPr>
            <w:rStyle w:val="InternetLink"/>
            <w:rFonts w:eastAsia="NSimSun" w:cs="Lucida Sans" w:ascii="Georgia" w:hAnsi="Georgia"/>
            <w:b w:val="false"/>
            <w:bCs w:val="false"/>
            <w:i w:val="false"/>
            <w:iCs w:val="false"/>
            <w:caps w:val="false"/>
            <w:smallCaps w:val="false"/>
            <w:strike w:val="false"/>
            <w:dstrike w:val="false"/>
            <w:color w:val="auto"/>
            <w:spacing w:val="0"/>
            <w:kern w:val="2"/>
            <w:sz w:val="24"/>
            <w:szCs w:val="24"/>
            <w:highlight w:val="white"/>
            <w:u w:val="none"/>
            <w:effect w:val="none"/>
            <w:lang w:val="et-EE" w:eastAsia="zh-CN" w:bidi="hi-IN"/>
          </w:rPr>
          <w:t>https://dx.doi.org/10.1353/hph.2018.0002</w:t>
        </w:r>
      </w:hyperlink>
      <w:r>
        <w:rPr>
          <w:rFonts w:eastAsia="NSimSun" w:cs="Lucida Sans" w:ascii="Georgia" w:hAnsi="Georgia"/>
          <w:b w:val="false"/>
          <w:bCs w:val="false"/>
          <w:i w:val="false"/>
          <w:iCs w:val="false"/>
          <w:caps w:val="false"/>
          <w:smallCaps w:val="false"/>
          <w:strike w:val="false"/>
          <w:dstrike w:val="false"/>
          <w:color w:val="auto"/>
          <w:spacing w:val="0"/>
          <w:kern w:val="2"/>
          <w:sz w:val="24"/>
          <w:szCs w:val="24"/>
          <w:u w:val="none"/>
          <w:effect w:val="none"/>
          <w:lang w:val="et-EE" w:eastAsia="zh-CN" w:bidi="hi-IN"/>
        </w:rPr>
        <w:t>.</w:t>
      </w:r>
      <w:r>
        <w:rPr>
          <w:rFonts w:eastAsia="NSimSun" w:cs="Lucida Sans" w:ascii="Georgia" w:hAnsi="Georgia"/>
          <w:b w:val="false"/>
          <w:bCs w:val="false"/>
          <w:i w:val="false"/>
          <w:iCs w:val="false"/>
          <w:strike w:val="false"/>
          <w:dstrike w:val="false"/>
          <w:color w:val="auto"/>
          <w:kern w:val="2"/>
          <w:sz w:val="24"/>
          <w:szCs w:val="24"/>
          <w:u w:val="none"/>
          <w:effect w:val="none"/>
          <w:lang w:val="et-EE" w:eastAsia="zh-CN" w:bidi="hi-IN"/>
        </w:rPr>
        <w:t xml:space="preserve"> </w:t>
      </w:r>
    </w:p>
    <w:p>
      <w:pPr>
        <w:pStyle w:val="Normal"/>
        <w:bidi w:val="0"/>
        <w:jc w:val="left"/>
        <w:rPr>
          <w:rFonts w:ascii="Georgia" w:hAnsi="Georgia"/>
        </w:rPr>
      </w:pPr>
      <w:r>
        <w:rPr>
          <w:rFonts w:ascii="Georgia" w:hAnsi="Georgia"/>
          <w:b w:val="false"/>
          <w:bCs w:val="false"/>
          <w:color w:val="auto"/>
          <w:sz w:val="24"/>
          <w:szCs w:val="24"/>
        </w:rPr>
      </w:r>
    </w:p>
    <w:p>
      <w:pPr>
        <w:pStyle w:val="Normal"/>
        <w:bidi w:val="0"/>
        <w:spacing w:before="0" w:after="140"/>
        <w:jc w:val="left"/>
        <w:rPr>
          <w:rFonts w:ascii="Georgia" w:hAnsi="Georgia"/>
        </w:rPr>
      </w:pPr>
      <w:r>
        <w:rPr>
          <w:rFonts w:eastAsia="NSimSun" w:cs="Georgia" w:ascii="Georgia" w:hAnsi="Georgia"/>
          <w:b w:val="false"/>
          <w:bCs w:val="false"/>
          <w:i w:val="false"/>
          <w:iCs w:val="false"/>
          <w:caps w:val="false"/>
          <w:smallCaps w:val="false"/>
          <w:strike w:val="false"/>
          <w:dstrike w:val="false"/>
          <w:color w:val="auto"/>
          <w:spacing w:val="0"/>
          <w:kern w:val="2"/>
          <w:sz w:val="24"/>
          <w:szCs w:val="24"/>
          <w:u w:val="none"/>
          <w:effect w:val="none"/>
          <w:lang w:val="en-US" w:eastAsia="zh-CN" w:bidi="hi-IN"/>
        </w:rPr>
        <w:t xml:space="preserve">Raia, P; Mondanaro, A; Melchionna, M; Di Febbraro, M; Diniz-Filho, J.A.F; Rangel, T.F; Holden, P.B; Carotenuto, F; Edwards, N.R; Lima-Ribeiro, M.S; Profico, A; Maiorano, L; Castiglione, S; Serio, C. and Rook, L. (2020). Past extinctions of Homo species coincided with increased vulnerability to climatic change. One Earth, 3(4) pp. 480–490. </w:t>
      </w:r>
    </w:p>
    <w:p>
      <w:pPr>
        <w:pStyle w:val="Normal"/>
        <w:bidi w:val="0"/>
        <w:jc w:val="left"/>
        <w:rPr>
          <w:rFonts w:ascii="Georgia" w:hAnsi="Georgia"/>
        </w:rPr>
      </w:pPr>
      <w:r>
        <w:rPr>
          <w:rFonts w:eastAsia="NSimSun" w:cs="Georgia" w:ascii="Georgia" w:hAnsi="Georgia"/>
          <w:b w:val="false"/>
          <w:bCs w:val="false"/>
          <w:i w:val="false"/>
          <w:iCs w:val="false"/>
          <w:caps w:val="false"/>
          <w:smallCaps w:val="false"/>
          <w:color w:val="auto"/>
          <w:spacing w:val="0"/>
          <w:kern w:val="2"/>
          <w:sz w:val="24"/>
          <w:szCs w:val="24"/>
          <w:u w:val="none"/>
          <w:lang w:val="en-US" w:eastAsia="zh-CN" w:bidi="hi-IN"/>
        </w:rPr>
        <w:t>Sapolsky, R.M. (2017) Behave: the biology of humans at our best and worst. Penguin Press, New York. ISBN 9780735222786</w:t>
      </w:r>
    </w:p>
    <w:p>
      <w:pPr>
        <w:pStyle w:val="Normal"/>
        <w:bidi w:val="0"/>
        <w:jc w:val="left"/>
        <w:rPr>
          <w:rFonts w:ascii="Georgia" w:hAnsi="Georgia"/>
        </w:rPr>
      </w:pPr>
      <w:r>
        <w:rPr>
          <w:rFonts w:ascii="Georgia" w:hAnsi="Georgia"/>
          <w:b w:val="false"/>
          <w:bCs w:val="false"/>
          <w:color w:val="auto"/>
          <w:sz w:val="24"/>
          <w:szCs w:val="24"/>
        </w:rPr>
      </w:r>
    </w:p>
    <w:p>
      <w:pPr>
        <w:pStyle w:val="Normal"/>
        <w:bidi w:val="0"/>
        <w:jc w:val="left"/>
        <w:rPr>
          <w:rFonts w:ascii="Georgia" w:hAnsi="Georgia"/>
        </w:rPr>
      </w:pPr>
      <w:r>
        <w:rPr>
          <w:rFonts w:eastAsia="NSimSun" w:cs="Georgia" w:ascii="Georgia" w:hAnsi="Georgia"/>
          <w:b w:val="false"/>
          <w:bCs w:val="false"/>
          <w:i w:val="false"/>
          <w:iCs w:val="false"/>
          <w:caps w:val="false"/>
          <w:smallCaps w:val="false"/>
          <w:color w:val="auto"/>
          <w:spacing w:val="0"/>
          <w:kern w:val="2"/>
          <w:sz w:val="24"/>
          <w:szCs w:val="24"/>
          <w:u w:val="none"/>
          <w:lang w:val="en-US" w:eastAsia="zh-CN" w:bidi="hi-IN"/>
        </w:rPr>
        <w:t xml:space="preserve">Sairah, A.R. (2024). The Ideas of David Hume (1711-1776) in the Development of Psychology and Multicultural Education. Dinamika Ilmu, 24(2), 2024, 177-195. doi: http://doi.org/10.21093/di.v24i2.8803 </w:t>
      </w:r>
    </w:p>
    <w:p>
      <w:pPr>
        <w:pStyle w:val="Normal"/>
        <w:bidi w:val="0"/>
        <w:jc w:val="left"/>
        <w:rPr>
          <w:rFonts w:ascii="Georgia" w:hAnsi="Georgia"/>
        </w:rPr>
      </w:pPr>
      <w:r>
        <w:rPr>
          <w:rFonts w:ascii="Georgia" w:hAnsi="Georgia"/>
          <w:b w:val="false"/>
          <w:bCs w:val="false"/>
          <w:color w:val="auto"/>
          <w:sz w:val="24"/>
          <w:szCs w:val="24"/>
        </w:rPr>
      </w:r>
    </w:p>
    <w:p>
      <w:pPr>
        <w:pStyle w:val="Normal"/>
        <w:bidi w:val="0"/>
        <w:spacing w:lineRule="auto" w:line="276" w:before="0" w:after="140"/>
        <w:jc w:val="left"/>
        <w:rPr>
          <w:rFonts w:ascii="Georgia" w:hAnsi="Georgia"/>
        </w:rPr>
      </w:pPr>
      <w:r>
        <w:rPr>
          <w:rFonts w:eastAsia="NSimSun" w:cs="Georgia" w:ascii="Georgia" w:hAnsi="Georgia"/>
          <w:b w:val="false"/>
          <w:bCs w:val="false"/>
          <w:i w:val="false"/>
          <w:iCs w:val="false"/>
          <w:caps w:val="false"/>
          <w:smallCaps w:val="false"/>
          <w:color w:val="auto"/>
          <w:spacing w:val="0"/>
          <w:kern w:val="2"/>
          <w:sz w:val="24"/>
          <w:szCs w:val="24"/>
          <w:u w:val="none"/>
          <w:lang w:val="en-US" w:eastAsia="zh-CN" w:bidi="hi-IN"/>
        </w:rPr>
        <w:t>Sen, A. (1981) Poverty and Famines. An Essay on Entitlement and Deprivation. Oxford University Press. ISBN: 9780198284635</w:t>
      </w:r>
    </w:p>
    <w:p>
      <w:pPr>
        <w:pStyle w:val="Normal"/>
        <w:bidi w:val="0"/>
        <w:jc w:val="left"/>
        <w:rPr>
          <w:rFonts w:ascii="Georgia" w:hAnsi="Georgia"/>
          <w:sz w:val="24"/>
          <w:szCs w:val="24"/>
        </w:rPr>
      </w:pPr>
      <w:r>
        <w:rPr>
          <w:rFonts w:eastAsia="NSimSun" w:cs="Georgia" w:ascii="Georgia" w:hAnsi="Georgia"/>
          <w:b w:val="false"/>
          <w:bCs w:val="false"/>
          <w:i w:val="false"/>
          <w:iCs w:val="false"/>
          <w:caps w:val="false"/>
          <w:smallCaps w:val="false"/>
          <w:color w:val="auto"/>
          <w:spacing w:val="0"/>
          <w:kern w:val="2"/>
          <w:sz w:val="24"/>
          <w:szCs w:val="24"/>
          <w:u w:val="none"/>
          <w:lang w:val="en-US" w:eastAsia="zh-CN" w:bidi="hi-IN"/>
        </w:rPr>
        <w:t>Singer, P. (2011) Practical Ethics - 3</w:t>
      </w:r>
      <w:r>
        <w:rPr>
          <w:rFonts w:eastAsia="NSimSun" w:cs="Georgia" w:ascii="Georgia" w:hAnsi="Georgia"/>
          <w:b w:val="false"/>
          <w:bCs w:val="false"/>
          <w:i w:val="false"/>
          <w:iCs w:val="false"/>
          <w:caps w:val="false"/>
          <w:smallCaps w:val="false"/>
          <w:color w:val="auto"/>
          <w:spacing w:val="0"/>
          <w:kern w:val="2"/>
          <w:sz w:val="24"/>
          <w:szCs w:val="24"/>
          <w:u w:val="none"/>
          <w:vertAlign w:val="superscript"/>
          <w:lang w:val="en-US" w:eastAsia="zh-CN" w:bidi="hi-IN"/>
        </w:rPr>
        <w:t>rd</w:t>
      </w:r>
      <w:r>
        <w:rPr>
          <w:rFonts w:eastAsia="NSimSun" w:cs="Georgia" w:ascii="Georgia" w:hAnsi="Georgia"/>
          <w:b w:val="false"/>
          <w:bCs w:val="false"/>
          <w:i w:val="false"/>
          <w:iCs w:val="false"/>
          <w:caps w:val="false"/>
          <w:smallCaps w:val="false"/>
          <w:color w:val="auto"/>
          <w:spacing w:val="0"/>
          <w:kern w:val="2"/>
          <w:sz w:val="24"/>
          <w:szCs w:val="24"/>
          <w:u w:val="none"/>
          <w:lang w:val="en-US" w:eastAsia="zh-CN" w:bidi="hi-IN"/>
        </w:rPr>
        <w:t xml:space="preserve"> ed. Cambridge University Press. I</w:t>
      </w:r>
      <w:r>
        <w:rPr>
          <w:rFonts w:eastAsia="NSimSun" w:cs="Georgia" w:ascii="Georgia" w:hAnsi="Georgia"/>
          <w:b w:val="false"/>
          <w:bCs w:val="false"/>
          <w:i w:val="false"/>
          <w:iCs w:val="false"/>
          <w:caps w:val="false"/>
          <w:smallCaps w:val="false"/>
          <w:color w:val="auto"/>
          <w:spacing w:val="0"/>
          <w:kern w:val="2"/>
          <w:sz w:val="24"/>
          <w:szCs w:val="24"/>
          <w:u w:val="none"/>
          <w:lang w:val="en-US" w:eastAsia="zh-CN" w:bidi="hi-IN"/>
        </w:rPr>
        <w:t>SBN</w:t>
      </w:r>
      <w:r>
        <w:rPr>
          <w:rFonts w:eastAsia="NSimSun" w:cs="Georgia" w:ascii="Georgia" w:hAnsi="Georgia"/>
          <w:b w:val="false"/>
          <w:bCs w:val="false"/>
          <w:i w:val="false"/>
          <w:iCs w:val="false"/>
          <w:caps w:val="false"/>
          <w:smallCaps w:val="false"/>
          <w:color w:val="auto"/>
          <w:spacing w:val="0"/>
          <w:kern w:val="2"/>
          <w:sz w:val="24"/>
          <w:szCs w:val="24"/>
          <w:u w:val="none"/>
          <w:lang w:val="en-US" w:eastAsia="zh-CN" w:bidi="hi-IN"/>
        </w:rPr>
        <w:t xml:space="preserve"> 9780521707688</w:t>
      </w:r>
    </w:p>
    <w:p>
      <w:pPr>
        <w:pStyle w:val="Normal"/>
        <w:bidi w:val="0"/>
        <w:jc w:val="left"/>
        <w:rPr>
          <w:rFonts w:ascii="Georgia" w:hAnsi="Georgia"/>
          <w:sz w:val="24"/>
          <w:szCs w:val="24"/>
        </w:rPr>
      </w:pPr>
      <w:r>
        <w:rPr>
          <w:rFonts w:ascii="Georgia" w:hAnsi="Georgia"/>
          <w:b w:val="false"/>
          <w:bCs w:val="false"/>
          <w:color w:val="auto"/>
          <w:sz w:val="24"/>
          <w:szCs w:val="24"/>
        </w:rPr>
      </w:r>
    </w:p>
    <w:p>
      <w:pPr>
        <w:pStyle w:val="Normal"/>
        <w:bidi w:val="0"/>
        <w:spacing w:before="0" w:after="140"/>
        <w:jc w:val="left"/>
        <w:rPr>
          <w:rFonts w:ascii="Georgia" w:hAnsi="Georgia"/>
        </w:rPr>
      </w:pPr>
      <w:r>
        <w:rPr>
          <w:rFonts w:eastAsia="NSimSun" w:cs="Georgia" w:ascii="Georgia" w:hAnsi="Georgia"/>
          <w:b w:val="false"/>
          <w:bCs w:val="false"/>
          <w:i w:val="false"/>
          <w:iCs w:val="false"/>
          <w:caps w:val="false"/>
          <w:smallCaps w:val="false"/>
          <w:color w:val="auto"/>
          <w:spacing w:val="0"/>
          <w:kern w:val="2"/>
          <w:sz w:val="24"/>
          <w:szCs w:val="24"/>
          <w:u w:val="none"/>
          <w:lang w:val="en-US" w:eastAsia="zh-CN" w:bidi="hi-IN"/>
        </w:rPr>
        <w:t xml:space="preserve">Teehan, J. (2021) Religion and Morality: The Evolution of the Cognitive Nexus. In </w:t>
      </w:r>
      <w:r>
        <w:rPr>
          <w:rFonts w:eastAsia="NSimSun" w:cs="Georgia" w:ascii="Georgia" w:hAnsi="Georgia"/>
          <w:b w:val="false"/>
          <w:bCs w:val="false"/>
          <w:i/>
          <w:iCs/>
          <w:caps w:val="false"/>
          <w:smallCaps w:val="false"/>
          <w:color w:val="auto"/>
          <w:spacing w:val="0"/>
          <w:kern w:val="2"/>
          <w:sz w:val="24"/>
          <w:szCs w:val="24"/>
          <w:u w:val="none"/>
          <w:lang w:val="en-US" w:eastAsia="zh-CN" w:bidi="hi-IN"/>
        </w:rPr>
        <w:t>The Oxford Handbook of Evolutionary Psychology and Religion</w:t>
      </w:r>
      <w:r>
        <w:rPr>
          <w:rFonts w:eastAsia="NSimSun" w:cs="Georgia" w:ascii="Georgia" w:hAnsi="Georgia"/>
          <w:b w:val="false"/>
          <w:bCs w:val="false"/>
          <w:i w:val="false"/>
          <w:iCs w:val="false"/>
          <w:caps w:val="false"/>
          <w:smallCaps w:val="false"/>
          <w:color w:val="auto"/>
          <w:spacing w:val="0"/>
          <w:kern w:val="2"/>
          <w:sz w:val="24"/>
          <w:szCs w:val="24"/>
          <w:u w:val="none"/>
          <w:lang w:val="en-US" w:eastAsia="zh-CN" w:bidi="hi-IN"/>
        </w:rPr>
        <w:t>,eds J.R. Liddle and T.K. Shackelford. Oxford University Press, ISBN: 9780199397747</w:t>
      </w:r>
    </w:p>
    <w:p>
      <w:pPr>
        <w:pStyle w:val="Normal"/>
        <w:bidi w:val="0"/>
        <w:jc w:val="left"/>
        <w:rPr>
          <w:rFonts w:ascii="Georgia" w:hAnsi="Georgia"/>
        </w:rPr>
      </w:pPr>
      <w:r>
        <w:rPr>
          <w:rFonts w:ascii="Georgia" w:hAnsi="Georgia"/>
          <w:b w:val="false"/>
          <w:bCs w:val="false"/>
          <w:color w:val="auto"/>
          <w:sz w:val="24"/>
          <w:szCs w:val="24"/>
        </w:rPr>
      </w:r>
    </w:p>
    <w:p>
      <w:pPr>
        <w:pStyle w:val="Normal"/>
        <w:bidi w:val="0"/>
        <w:jc w:val="left"/>
        <w:rPr>
          <w:rFonts w:ascii="Georgia" w:hAnsi="Georgia"/>
        </w:rPr>
      </w:pPr>
      <w:r>
        <w:rPr>
          <w:rFonts w:ascii="Georgia" w:hAnsi="Georgia"/>
          <w:b w:val="false"/>
          <w:bCs w:val="false"/>
          <w:color w:val="auto"/>
          <w:sz w:val="24"/>
          <w:szCs w:val="24"/>
        </w:rPr>
      </w:r>
    </w:p>
    <w:p>
      <w:pPr>
        <w:pStyle w:val="Normal"/>
        <w:bidi w:val="0"/>
        <w:jc w:val="left"/>
        <w:rPr>
          <w:rFonts w:ascii="Georgia" w:hAnsi="Georgia"/>
        </w:rPr>
      </w:pPr>
      <w:r>
        <w:rPr>
          <w:rFonts w:ascii="Georgia" w:hAnsi="Georgia"/>
          <w:b w:val="false"/>
          <w:bCs w:val="false"/>
          <w:color w:val="auto"/>
          <w:sz w:val="24"/>
          <w:szCs w:val="24"/>
        </w:rPr>
      </w:r>
    </w:p>
    <w:p>
      <w:pPr>
        <w:pStyle w:val="Normal"/>
        <w:jc w:val="left"/>
        <w:rPr>
          <w:rFonts w:ascii="Georgia" w:hAnsi="Georgia"/>
        </w:rPr>
      </w:pPr>
      <w:r>
        <w:rPr>
          <w:rFonts w:ascii="Georgia" w:hAnsi="Georgia"/>
          <w:b w:val="false"/>
          <w:bCs w:val="false"/>
          <w:color w:val="auto"/>
          <w:sz w:val="24"/>
          <w:szCs w:val="24"/>
        </w:rPr>
      </w:r>
    </w:p>
    <w:sectPr>
      <w:type w:val="nextPage"/>
      <w:pgSz w:w="12240" w:h="15840"/>
      <w:pgMar w:left="1134" w:right="1134" w:header="0" w:top="1134" w:footer="0" w:bottom="1134" w:gutter="0"/>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Liberation Serif">
    <w:altName w:val="Times New Roman"/>
    <w:charset w:val="00"/>
    <w:family w:val="swiss"/>
    <w:pitch w:val="variable"/>
  </w:font>
  <w:font w:name="OpenSymbol">
    <w:altName w:val="Arial Unicode MS"/>
    <w:charset w:val="00"/>
    <w:family w:val="roman"/>
    <w:pitch w:val="variable"/>
  </w:font>
  <w:font w:name="Liberation Sans">
    <w:altName w:val="Arial"/>
    <w:charset w:val="00"/>
    <w:family w:val="roman"/>
    <w:pitch w:val="variable"/>
  </w:font>
  <w:font w:name="Georgia">
    <w:charset w:val="00"/>
    <w:family w:val="roman"/>
    <w:pitch w:val="variable"/>
  </w:font>
  <w:font w:name="Georgia">
    <w:charset w:val="01"/>
    <w:family w:val="roman"/>
    <w:pitch w:val="variable"/>
  </w:font>
  <w:font w:name="Wingdings">
    <w:charset w:val="02"/>
    <w:family w:val="auto"/>
    <w:pitch w:val="default"/>
  </w:font>
  <w:font w:name="Symbol">
    <w:charset w:val="02"/>
    <w:family w:val="auto"/>
    <w:pitch w:val="default"/>
  </w:font>
  <w:font w:name="OpenSymbol">
    <w:altName w:val="Arial Unicode MS"/>
    <w:charset w:val="01"/>
    <w:family w:val="auto"/>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pStyle w:val="Heading1"/>
      <w:numFmt w:val="none"/>
      <w:suff w:val="nothing"/>
      <w:lvlText w:val=""/>
      <w:lvlJc w:val="left"/>
      <w:pPr>
        <w:ind w:left="0" w:hanging="0"/>
      </w:pPr>
    </w:lvl>
    <w:lvl w:ilvl="1">
      <w:start w:val="1"/>
      <w:pStyle w:val="Heading2"/>
      <w:numFmt w:val="none"/>
      <w:suff w:val="nothing"/>
      <w:lvlText w:val=""/>
      <w:lvlJc w:val="left"/>
      <w:pPr>
        <w:ind w:left="0" w:hanging="0"/>
      </w:pPr>
    </w:lvl>
    <w:lvl w:ilvl="2">
      <w:start w:val="1"/>
      <w:pStyle w:val="Heading3"/>
      <w:numFmt w:val="none"/>
      <w:suff w:val="nothing"/>
      <w:lvlText w:val=""/>
      <w:lvlJc w:val="left"/>
      <w:pPr>
        <w:ind w:left="0" w:hanging="0"/>
      </w:pPr>
    </w:lvl>
    <w:lvl w:ilvl="3">
      <w:start w:val="1"/>
      <w:pStyle w:val="Heading4"/>
      <w:numFmt w:val="none"/>
      <w:suff w:val="nothing"/>
      <w:lvlText w:val=""/>
      <w:lvlJc w:val="left"/>
      <w:pPr>
        <w:ind w:left="0" w:hanging="0"/>
      </w:pPr>
    </w:lvl>
    <w:lvl w:ilvl="4">
      <w:start w:val="1"/>
      <w:pStyle w:val="Heading5"/>
      <w:numFmt w:val="none"/>
      <w:suff w:val="nothing"/>
      <w:lvlText w:val=""/>
      <w:lvlJc w:val="left"/>
      <w:pPr>
        <w:ind w:left="0" w:hanging="0"/>
      </w:pPr>
    </w:lvl>
    <w:lvl w:ilvl="5">
      <w:start w:val="1"/>
      <w:pStyle w:val="Heading6"/>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abstractNum w:abstractNumId="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abstractNum w:abstractNumId="3">
    <w:lvl w:ilvl="0">
      <w:start w:val="1"/>
      <w:numFmt w:val="bullet"/>
      <w:lvlText w:val=""/>
      <w:lvlJc w:val="left"/>
      <w:pPr>
        <w:tabs>
          <w:tab w:val="num" w:pos="707"/>
        </w:tabs>
        <w:ind w:left="707" w:hanging="283"/>
      </w:pPr>
      <w:rPr>
        <w:rFonts w:ascii="Wingdings" w:hAnsi="Wingdings" w:cs="Wingdings" w:hint="default"/>
        <w:rFonts w:cs="OpenSymbol"/>
      </w:rPr>
    </w:lvl>
    <w:lvl w:ilvl="1">
      <w:start w:val="1"/>
      <w:numFmt w:val="bullet"/>
      <w:lvlText w:val=""/>
      <w:lvlJc w:val="left"/>
      <w:pPr>
        <w:tabs>
          <w:tab w:val="num" w:pos="1414"/>
        </w:tabs>
        <w:ind w:left="1414" w:hanging="283"/>
      </w:pPr>
      <w:rPr>
        <w:rFonts w:ascii="Symbol" w:hAnsi="Symbol" w:cs="Symbol" w:hint="default"/>
        <w:rFonts w:cs="OpenSymbol"/>
      </w:rPr>
    </w:lvl>
    <w:lvl w:ilvl="2">
      <w:start w:val="1"/>
      <w:numFmt w:val="bullet"/>
      <w:lvlText w:val=""/>
      <w:lvlJc w:val="left"/>
      <w:pPr>
        <w:tabs>
          <w:tab w:val="num" w:pos="2121"/>
        </w:tabs>
        <w:ind w:left="2121" w:hanging="283"/>
      </w:pPr>
      <w:rPr>
        <w:rFonts w:ascii="Symbol" w:hAnsi="Symbol" w:cs="Symbol" w:hint="default"/>
        <w:rFonts w:cs="OpenSymbol"/>
      </w:rPr>
    </w:lvl>
    <w:lvl w:ilvl="3">
      <w:start w:val="1"/>
      <w:numFmt w:val="bullet"/>
      <w:lvlText w:val=""/>
      <w:lvlJc w:val="left"/>
      <w:pPr>
        <w:tabs>
          <w:tab w:val="num" w:pos="2828"/>
        </w:tabs>
        <w:ind w:left="2828" w:hanging="283"/>
      </w:pPr>
      <w:rPr>
        <w:rFonts w:ascii="Symbol" w:hAnsi="Symbol" w:cs="Symbol" w:hint="default"/>
        <w:rFonts w:cs="OpenSymbol"/>
      </w:rPr>
    </w:lvl>
    <w:lvl w:ilvl="4">
      <w:start w:val="1"/>
      <w:numFmt w:val="bullet"/>
      <w:lvlText w:val=""/>
      <w:lvlJc w:val="left"/>
      <w:pPr>
        <w:tabs>
          <w:tab w:val="num" w:pos="3535"/>
        </w:tabs>
        <w:ind w:left="3535" w:hanging="283"/>
      </w:pPr>
      <w:rPr>
        <w:rFonts w:ascii="Symbol" w:hAnsi="Symbol" w:cs="Symbol" w:hint="default"/>
        <w:rFonts w:cs="OpenSymbol"/>
      </w:rPr>
    </w:lvl>
    <w:lvl w:ilvl="5">
      <w:start w:val="1"/>
      <w:numFmt w:val="bullet"/>
      <w:lvlText w:val=""/>
      <w:lvlJc w:val="left"/>
      <w:pPr>
        <w:tabs>
          <w:tab w:val="num" w:pos="4242"/>
        </w:tabs>
        <w:ind w:left="4242" w:hanging="283"/>
      </w:pPr>
      <w:rPr>
        <w:rFonts w:ascii="Symbol" w:hAnsi="Symbol" w:cs="Symbol" w:hint="default"/>
        <w:rFonts w:cs="OpenSymbol"/>
      </w:rPr>
    </w:lvl>
    <w:lvl w:ilvl="6">
      <w:start w:val="1"/>
      <w:numFmt w:val="bullet"/>
      <w:lvlText w:val=""/>
      <w:lvlJc w:val="left"/>
      <w:pPr>
        <w:tabs>
          <w:tab w:val="num" w:pos="4949"/>
        </w:tabs>
        <w:ind w:left="4949" w:hanging="283"/>
      </w:pPr>
      <w:rPr>
        <w:rFonts w:ascii="Symbol" w:hAnsi="Symbol" w:cs="Symbol" w:hint="default"/>
        <w:rFonts w:cs="OpenSymbol"/>
      </w:rPr>
    </w:lvl>
    <w:lvl w:ilvl="7">
      <w:start w:val="1"/>
      <w:numFmt w:val="bullet"/>
      <w:lvlText w:val=""/>
      <w:lvlJc w:val="left"/>
      <w:pPr>
        <w:tabs>
          <w:tab w:val="num" w:pos="5656"/>
        </w:tabs>
        <w:ind w:left="5656" w:hanging="283"/>
      </w:pPr>
      <w:rPr>
        <w:rFonts w:ascii="Symbol" w:hAnsi="Symbol" w:cs="Symbol" w:hint="default"/>
        <w:rFonts w:cs="OpenSymbol"/>
      </w:rPr>
    </w:lvl>
    <w:lvl w:ilvl="8">
      <w:start w:val="1"/>
      <w:numFmt w:val="bullet"/>
      <w:lvlText w:val=""/>
      <w:lvlJc w:val="left"/>
      <w:pPr>
        <w:tabs>
          <w:tab w:val="num" w:pos="6363"/>
        </w:tabs>
        <w:ind w:left="6363" w:hanging="283"/>
      </w:pPr>
      <w:rPr>
        <w:rFonts w:ascii="Symbol" w:hAnsi="Symbol" w:cs="Symbol" w:hint="default"/>
        <w:rFonts w:cs="OpenSymbol"/>
      </w:rPr>
    </w:lvl>
  </w:abstractNum>
  <w:abstractNum w:abstractNumId="4">
    <w:lvl w:ilvl="0">
      <w:start w:val="1"/>
      <w:numFmt w:val="bullet"/>
      <w:lvlText w:val=""/>
      <w:lvlJc w:val="left"/>
      <w:pPr>
        <w:tabs>
          <w:tab w:val="num" w:pos="707"/>
        </w:tabs>
        <w:ind w:left="707" w:hanging="283"/>
      </w:pPr>
      <w:rPr>
        <w:rFonts w:ascii="Wingdings" w:hAnsi="Wingdings" w:cs="Wingdings" w:hint="default"/>
        <w:rFonts w:cs="OpenSymbol"/>
      </w:rPr>
    </w:lvl>
    <w:lvl w:ilvl="1">
      <w:start w:val="1"/>
      <w:numFmt w:val="bullet"/>
      <w:lvlText w:val=""/>
      <w:lvlJc w:val="left"/>
      <w:pPr>
        <w:tabs>
          <w:tab w:val="num" w:pos="1414"/>
        </w:tabs>
        <w:ind w:left="1414" w:hanging="283"/>
      </w:pPr>
      <w:rPr>
        <w:rFonts w:ascii="Symbol" w:hAnsi="Symbol" w:cs="Symbol" w:hint="default"/>
        <w:rFonts w:cs="OpenSymbol"/>
      </w:rPr>
    </w:lvl>
    <w:lvl w:ilvl="2">
      <w:start w:val="1"/>
      <w:numFmt w:val="bullet"/>
      <w:lvlText w:val=""/>
      <w:lvlJc w:val="left"/>
      <w:pPr>
        <w:tabs>
          <w:tab w:val="num" w:pos="2121"/>
        </w:tabs>
        <w:ind w:left="2121" w:hanging="283"/>
      </w:pPr>
      <w:rPr>
        <w:rFonts w:ascii="Symbol" w:hAnsi="Symbol" w:cs="Symbol" w:hint="default"/>
        <w:rFonts w:cs="OpenSymbol"/>
      </w:rPr>
    </w:lvl>
    <w:lvl w:ilvl="3">
      <w:start w:val="1"/>
      <w:numFmt w:val="bullet"/>
      <w:lvlText w:val=""/>
      <w:lvlJc w:val="left"/>
      <w:pPr>
        <w:tabs>
          <w:tab w:val="num" w:pos="2828"/>
        </w:tabs>
        <w:ind w:left="2828" w:hanging="283"/>
      </w:pPr>
      <w:rPr>
        <w:rFonts w:ascii="Symbol" w:hAnsi="Symbol" w:cs="Symbol" w:hint="default"/>
        <w:rFonts w:cs="OpenSymbol"/>
      </w:rPr>
    </w:lvl>
    <w:lvl w:ilvl="4">
      <w:start w:val="1"/>
      <w:numFmt w:val="bullet"/>
      <w:lvlText w:val=""/>
      <w:lvlJc w:val="left"/>
      <w:pPr>
        <w:tabs>
          <w:tab w:val="num" w:pos="3535"/>
        </w:tabs>
        <w:ind w:left="3535" w:hanging="283"/>
      </w:pPr>
      <w:rPr>
        <w:rFonts w:ascii="Symbol" w:hAnsi="Symbol" w:cs="Symbol" w:hint="default"/>
        <w:rFonts w:cs="OpenSymbol"/>
      </w:rPr>
    </w:lvl>
    <w:lvl w:ilvl="5">
      <w:start w:val="1"/>
      <w:numFmt w:val="bullet"/>
      <w:lvlText w:val=""/>
      <w:lvlJc w:val="left"/>
      <w:pPr>
        <w:tabs>
          <w:tab w:val="num" w:pos="4242"/>
        </w:tabs>
        <w:ind w:left="4242" w:hanging="283"/>
      </w:pPr>
      <w:rPr>
        <w:rFonts w:ascii="Symbol" w:hAnsi="Symbol" w:cs="Symbol" w:hint="default"/>
        <w:rFonts w:cs="OpenSymbol"/>
      </w:rPr>
    </w:lvl>
    <w:lvl w:ilvl="6">
      <w:start w:val="1"/>
      <w:numFmt w:val="bullet"/>
      <w:lvlText w:val=""/>
      <w:lvlJc w:val="left"/>
      <w:pPr>
        <w:tabs>
          <w:tab w:val="num" w:pos="4949"/>
        </w:tabs>
        <w:ind w:left="4949" w:hanging="283"/>
      </w:pPr>
      <w:rPr>
        <w:rFonts w:ascii="Symbol" w:hAnsi="Symbol" w:cs="Symbol" w:hint="default"/>
        <w:rFonts w:cs="OpenSymbol"/>
      </w:rPr>
    </w:lvl>
    <w:lvl w:ilvl="7">
      <w:start w:val="1"/>
      <w:numFmt w:val="bullet"/>
      <w:lvlText w:val=""/>
      <w:lvlJc w:val="left"/>
      <w:pPr>
        <w:tabs>
          <w:tab w:val="num" w:pos="5656"/>
        </w:tabs>
        <w:ind w:left="5656" w:hanging="283"/>
      </w:pPr>
      <w:rPr>
        <w:rFonts w:ascii="Symbol" w:hAnsi="Symbol" w:cs="Symbol" w:hint="default"/>
        <w:rFonts w:cs="OpenSymbol"/>
      </w:rPr>
    </w:lvl>
    <w:lvl w:ilvl="8">
      <w:start w:val="1"/>
      <w:numFmt w:val="bullet"/>
      <w:lvlText w:val=""/>
      <w:lvlJc w:val="left"/>
      <w:pPr>
        <w:tabs>
          <w:tab w:val="num" w:pos="6363"/>
        </w:tabs>
        <w:ind w:left="6363" w:hanging="283"/>
      </w:pPr>
      <w:rPr>
        <w:rFonts w:ascii="Symbol" w:hAnsi="Symbol" w:cs="Symbol" w:hint="default"/>
        <w:rFonts w:cs="OpenSymbol"/>
      </w:rPr>
    </w:lvl>
  </w:abstractNum>
  <w:abstractNum w:abstractNumId="5">
    <w:lvl w:ilvl="0">
      <w:start w:val="1"/>
      <w:numFmt w:val="bullet"/>
      <w:lvlText w:val=""/>
      <w:lvlJc w:val="left"/>
      <w:pPr>
        <w:tabs>
          <w:tab w:val="num" w:pos="720"/>
        </w:tabs>
        <w:ind w:left="720" w:hanging="360"/>
      </w:pPr>
      <w:rPr>
        <w:rFonts w:ascii="Symbol" w:hAnsi="Symbol" w:cs="Symbol" w:hint="default"/>
        <w:rFonts w:cs="OpenSymbol"/>
      </w:rPr>
    </w:lvl>
    <w:lvl w:ilvl="1">
      <w:start w:val="1"/>
      <w:numFmt w:val="bullet"/>
      <w:lvlText w:val=""/>
      <w:lvlJc w:val="left"/>
      <w:pPr>
        <w:tabs>
          <w:tab w:val="num" w:pos="1080"/>
        </w:tabs>
        <w:ind w:left="1080" w:hanging="360"/>
      </w:pPr>
      <w:rPr>
        <w:rFonts w:ascii="Symbol" w:hAnsi="Symbol" w:cs="Symbol" w:hint="default"/>
        <w:rFonts w:cs="OpenSymbol"/>
      </w:rPr>
    </w:lvl>
    <w:lvl w:ilvl="2">
      <w:start w:val="1"/>
      <w:numFmt w:val="bullet"/>
      <w:lvlText w:val=""/>
      <w:lvlJc w:val="left"/>
      <w:pPr>
        <w:tabs>
          <w:tab w:val="num" w:pos="1440"/>
        </w:tabs>
        <w:ind w:left="1440" w:hanging="360"/>
      </w:pPr>
      <w:rPr>
        <w:rFonts w:ascii="Symbol" w:hAnsi="Symbol" w:cs="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Symbol" w:hAnsi="Symbol" w:cs="Symbol" w:hint="default"/>
        <w:rFonts w:cs="OpenSymbol"/>
      </w:rPr>
    </w:lvl>
    <w:lvl w:ilvl="5">
      <w:start w:val="1"/>
      <w:numFmt w:val="bullet"/>
      <w:lvlText w:val=""/>
      <w:lvlJc w:val="left"/>
      <w:pPr>
        <w:tabs>
          <w:tab w:val="num" w:pos="2520"/>
        </w:tabs>
        <w:ind w:left="2520" w:hanging="360"/>
      </w:pPr>
      <w:rPr>
        <w:rFonts w:ascii="Symbol" w:hAnsi="Symbol" w:cs="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Symbol" w:hAnsi="Symbol" w:cs="Symbol" w:hint="default"/>
        <w:rFonts w:cs="OpenSymbol"/>
      </w:rPr>
    </w:lvl>
    <w:lvl w:ilvl="8">
      <w:start w:val="1"/>
      <w:numFmt w:val="bullet"/>
      <w:lvlText w:val=""/>
      <w:lvlJc w:val="left"/>
      <w:pPr>
        <w:tabs>
          <w:tab w:val="num" w:pos="3600"/>
        </w:tabs>
        <w:ind w:left="3600" w:hanging="360"/>
      </w:pPr>
      <w:rPr>
        <w:rFonts w:ascii="Symbol" w:hAnsi="Symbol" w:cs="Symbol" w:hint="default"/>
        <w:rFonts w:cs="OpenSymbol"/>
      </w:rPr>
    </w:lvl>
  </w:abstractNum>
  <w:abstractNum w:abstractNumId="6">
    <w:lvl w:ilvl="0">
      <w:start w:val="1"/>
      <w:numFmt w:val="bullet"/>
      <w:lvlText w:val=""/>
      <w:lvlJc w:val="left"/>
      <w:pPr>
        <w:tabs>
          <w:tab w:val="num" w:pos="720"/>
        </w:tabs>
        <w:ind w:left="720" w:hanging="360"/>
      </w:pPr>
      <w:rPr>
        <w:rFonts w:ascii="Symbol" w:hAnsi="Symbol" w:cs="Symbol" w:hint="default"/>
        <w:rFonts w:cs="OpenSymbol"/>
      </w:rPr>
    </w:lvl>
    <w:lvl w:ilvl="1">
      <w:start w:val="1"/>
      <w:numFmt w:val="bullet"/>
      <w:lvlText w:val=""/>
      <w:lvlJc w:val="left"/>
      <w:pPr>
        <w:tabs>
          <w:tab w:val="num" w:pos="1080"/>
        </w:tabs>
        <w:ind w:left="1080" w:hanging="360"/>
      </w:pPr>
      <w:rPr>
        <w:rFonts w:ascii="Symbol" w:hAnsi="Symbol" w:cs="Symbol" w:hint="default"/>
        <w:rFonts w:cs="OpenSymbol"/>
      </w:rPr>
    </w:lvl>
    <w:lvl w:ilvl="2">
      <w:start w:val="1"/>
      <w:numFmt w:val="bullet"/>
      <w:lvlText w:val=""/>
      <w:lvlJc w:val="left"/>
      <w:pPr>
        <w:tabs>
          <w:tab w:val="num" w:pos="1440"/>
        </w:tabs>
        <w:ind w:left="1440" w:hanging="360"/>
      </w:pPr>
      <w:rPr>
        <w:rFonts w:ascii="Symbol" w:hAnsi="Symbol" w:cs="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Symbol" w:hAnsi="Symbol" w:cs="Symbol" w:hint="default"/>
        <w:rFonts w:cs="OpenSymbol"/>
      </w:rPr>
    </w:lvl>
    <w:lvl w:ilvl="5">
      <w:start w:val="1"/>
      <w:numFmt w:val="bullet"/>
      <w:lvlText w:val=""/>
      <w:lvlJc w:val="left"/>
      <w:pPr>
        <w:tabs>
          <w:tab w:val="num" w:pos="2520"/>
        </w:tabs>
        <w:ind w:left="2520" w:hanging="360"/>
      </w:pPr>
      <w:rPr>
        <w:rFonts w:ascii="Symbol" w:hAnsi="Symbol" w:cs="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Symbol" w:hAnsi="Symbol" w:cs="Symbol" w:hint="default"/>
        <w:rFonts w:cs="OpenSymbol"/>
      </w:rPr>
    </w:lvl>
    <w:lvl w:ilvl="8">
      <w:start w:val="1"/>
      <w:numFmt w:val="bullet"/>
      <w:lvlText w:val=""/>
      <w:lvlJc w:val="left"/>
      <w:pPr>
        <w:tabs>
          <w:tab w:val="num" w:pos="3600"/>
        </w:tabs>
        <w:ind w:left="3600" w:hanging="360"/>
      </w:pPr>
      <w:rPr>
        <w:rFonts w:ascii="Symbol" w:hAnsi="Symbol" w:cs="Symbol" w:hint="default"/>
        <w:rFonts w:cs="OpenSymbol"/>
      </w:rPr>
    </w:lvl>
  </w:abstractNum>
  <w:abstractNum w:abstractNumId="7">
    <w:lvl w:ilvl="0">
      <w:start w:val="1"/>
      <w:numFmt w:val="bullet"/>
      <w:lvlText w:val=""/>
      <w:lvlJc w:val="left"/>
      <w:pPr>
        <w:tabs>
          <w:tab w:val="num" w:pos="720"/>
        </w:tabs>
        <w:ind w:left="720" w:hanging="360"/>
      </w:pPr>
      <w:rPr>
        <w:rFonts w:ascii="Symbol" w:hAnsi="Symbol" w:cs="Symbol" w:hint="default"/>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8">
    <w:lvl w:ilvl="0">
      <w:start w:val="1"/>
      <w:numFmt w:val="bullet"/>
      <w:lvlText w:val=""/>
      <w:lvlJc w:val="left"/>
      <w:pPr>
        <w:tabs>
          <w:tab w:val="num" w:pos="720"/>
        </w:tabs>
        <w:ind w:left="720" w:hanging="360"/>
      </w:pPr>
      <w:rPr>
        <w:rFonts w:ascii="Symbol" w:hAnsi="Symbol" w:cs="Symbol" w:hint="default"/>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9">
    <w:lvl w:ilvl="0">
      <w:start w:val="1"/>
      <w:numFmt w:val="bullet"/>
      <w:lvlText w:val=""/>
      <w:lvlJc w:val="left"/>
      <w:pPr>
        <w:tabs>
          <w:tab w:val="num" w:pos="720"/>
        </w:tabs>
        <w:ind w:left="720" w:hanging="360"/>
      </w:pPr>
      <w:rPr>
        <w:rFonts w:ascii="Symbol" w:hAnsi="Symbol" w:cs="Symbol" w:hint="default"/>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w="http://schemas.openxmlformats.org/wordprocessingml/2006/main">
  <w:zoom w:percent="120"/>
  <w:defaultTabStop w:val="720"/>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Lucida Sans"/>
        <w:kern w:val="2"/>
        <w:sz w:val="20"/>
        <w:szCs w:val="24"/>
        <w:lang w:val="en-US" w:eastAsia="zh-CN" w:bidi="hi-IN"/>
      </w:rPr>
    </w:rPrDefault>
    <w:pPrDefault>
      <w:pPr/>
    </w:pPrDefault>
  </w:docDefaults>
  <w:style w:type="paragraph" w:styleId="Normal">
    <w:name w:val="Normal"/>
    <w:qFormat/>
    <w:pPr>
      <w:widowControl/>
      <w:bidi w:val="0"/>
      <w:spacing w:before="0" w:after="0"/>
      <w:jc w:val="left"/>
    </w:pPr>
    <w:rPr>
      <w:rFonts w:ascii="Liberation Serif" w:hAnsi="Liberation Serif" w:eastAsia="NSimSun" w:cs="Lucida Sans"/>
      <w:color w:val="auto"/>
      <w:kern w:val="2"/>
      <w:sz w:val="24"/>
      <w:szCs w:val="24"/>
      <w:lang w:val="en-US" w:eastAsia="zh-CN" w:bidi="hi-IN"/>
    </w:rPr>
  </w:style>
  <w:style w:type="paragraph" w:styleId="Heading1">
    <w:name w:val="Heading 1"/>
    <w:basedOn w:val="Heading"/>
    <w:next w:val="TextBody"/>
    <w:qFormat/>
    <w:pPr>
      <w:numPr>
        <w:ilvl w:val="0"/>
        <w:numId w:val="1"/>
      </w:numPr>
      <w:spacing w:before="240" w:after="120"/>
      <w:outlineLvl w:val="0"/>
    </w:pPr>
    <w:rPr>
      <w:b/>
      <w:bCs/>
      <w:sz w:val="36"/>
      <w:szCs w:val="36"/>
    </w:rPr>
  </w:style>
  <w:style w:type="paragraph" w:styleId="Heading2">
    <w:name w:val="Heading 2"/>
    <w:basedOn w:val="Heading"/>
    <w:next w:val="TextBody"/>
    <w:qFormat/>
    <w:pPr>
      <w:numPr>
        <w:ilvl w:val="1"/>
        <w:numId w:val="1"/>
      </w:numPr>
      <w:spacing w:before="200" w:after="120"/>
      <w:outlineLvl w:val="1"/>
    </w:pPr>
    <w:rPr>
      <w:b/>
      <w:bCs/>
      <w:sz w:val="32"/>
      <w:szCs w:val="32"/>
    </w:rPr>
  </w:style>
  <w:style w:type="paragraph" w:styleId="Heading3">
    <w:name w:val="Heading 3"/>
    <w:basedOn w:val="Heading"/>
    <w:next w:val="TextBody"/>
    <w:qFormat/>
    <w:pPr>
      <w:numPr>
        <w:ilvl w:val="2"/>
        <w:numId w:val="1"/>
      </w:numPr>
      <w:spacing w:before="140" w:after="120"/>
      <w:outlineLvl w:val="2"/>
    </w:pPr>
    <w:rPr>
      <w:rFonts w:ascii="Liberation Serif" w:hAnsi="Liberation Serif" w:eastAsia="NSimSun" w:cs="Lucida Sans"/>
      <w:b/>
      <w:bCs/>
      <w:sz w:val="28"/>
      <w:szCs w:val="28"/>
    </w:rPr>
  </w:style>
  <w:style w:type="paragraph" w:styleId="Heading4">
    <w:name w:val="Heading 4"/>
    <w:basedOn w:val="Heading"/>
    <w:next w:val="TextBody"/>
    <w:qFormat/>
    <w:pPr>
      <w:numPr>
        <w:ilvl w:val="3"/>
        <w:numId w:val="1"/>
      </w:numPr>
      <w:spacing w:before="120" w:after="120"/>
      <w:outlineLvl w:val="3"/>
    </w:pPr>
    <w:rPr>
      <w:rFonts w:ascii="Liberation Serif" w:hAnsi="Liberation Serif" w:eastAsia="NSimSun" w:cs="Lucida Sans"/>
      <w:b/>
      <w:bCs/>
      <w:sz w:val="24"/>
      <w:szCs w:val="24"/>
    </w:rPr>
  </w:style>
  <w:style w:type="paragraph" w:styleId="Heading5">
    <w:name w:val="Heading 5"/>
    <w:basedOn w:val="Heading"/>
    <w:next w:val="TextBody"/>
    <w:qFormat/>
    <w:pPr>
      <w:numPr>
        <w:ilvl w:val="4"/>
        <w:numId w:val="1"/>
      </w:numPr>
      <w:spacing w:before="120" w:after="60"/>
      <w:outlineLvl w:val="4"/>
    </w:pPr>
    <w:rPr>
      <w:rFonts w:ascii="Liberation Serif" w:hAnsi="Liberation Serif" w:eastAsia="NSimSun" w:cs="Lucida Sans"/>
      <w:b/>
      <w:bCs/>
      <w:sz w:val="20"/>
      <w:szCs w:val="20"/>
    </w:rPr>
  </w:style>
  <w:style w:type="paragraph" w:styleId="Heading6">
    <w:name w:val="Heading 6"/>
    <w:basedOn w:val="Heading"/>
    <w:next w:val="TextBody"/>
    <w:qFormat/>
    <w:pPr>
      <w:numPr>
        <w:ilvl w:val="5"/>
        <w:numId w:val="1"/>
      </w:numPr>
      <w:spacing w:before="60" w:after="60"/>
      <w:outlineLvl w:val="5"/>
    </w:pPr>
    <w:rPr>
      <w:rFonts w:ascii="Liberation Serif" w:hAnsi="Liberation Serif" w:eastAsia="NSimSun" w:cs="Lucida Sans"/>
      <w:b/>
      <w:bCs/>
      <w:sz w:val="14"/>
      <w:szCs w:val="14"/>
    </w:rPr>
  </w:style>
  <w:style w:type="character" w:styleId="StrongEmphasis">
    <w:name w:val="Strong Emphasis"/>
    <w:qFormat/>
    <w:rPr>
      <w:b/>
      <w:bCs/>
    </w:rPr>
  </w:style>
  <w:style w:type="character" w:styleId="Emphasis">
    <w:name w:val="Emphasis"/>
    <w:qFormat/>
    <w:rPr>
      <w:i/>
      <w:iCs/>
    </w:rPr>
  </w:style>
  <w:style w:type="character" w:styleId="Bullets">
    <w:name w:val="Bullets"/>
    <w:qFormat/>
    <w:rPr>
      <w:rFonts w:ascii="OpenSymbol" w:hAnsi="OpenSymbol" w:eastAsia="OpenSymbol" w:cs="OpenSymbol"/>
    </w:rPr>
  </w:style>
  <w:style w:type="character" w:styleId="InternetLink">
    <w:name w:val="Hyperlink"/>
    <w:rPr>
      <w:color w:val="000080"/>
      <w:u w:val="single"/>
      <w:lang w:val="zxx" w:eastAsia="zxx" w:bidi="zxx"/>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HorizontalLine">
    <w:name w:val="Horizontal Line"/>
    <w:basedOn w:val="Normal"/>
    <w:next w:val="TextBody"/>
    <w:qFormat/>
    <w:pPr>
      <w:suppressLineNumbers/>
      <w:pBdr>
        <w:bottom w:val="double" w:sz="2" w:space="0" w:color="808080"/>
      </w:pBdr>
      <w:spacing w:before="0" w:after="283"/>
    </w:pPr>
    <w:rPr>
      <w:sz w:val="12"/>
      <w:szCs w:val="12"/>
    </w:rPr>
  </w:style>
  <w:style w:type="paragraph" w:styleId="Quotations">
    <w:name w:val="Quotations"/>
    <w:basedOn w:val="Normal"/>
    <w:qFormat/>
    <w:pPr>
      <w:spacing w:before="0" w:after="283"/>
      <w:ind w:left="567" w:right="567" w:hanging="0"/>
    </w:pPr>
    <w:rPr/>
  </w:style>
  <w:style w:type="paragraph" w:styleId="Title">
    <w:name w:val="Title"/>
    <w:basedOn w:val="Heading"/>
    <w:next w:val="TextBody"/>
    <w:qFormat/>
    <w:pPr>
      <w:jc w:val="center"/>
    </w:pPr>
    <w:rPr>
      <w:b/>
      <w:bCs/>
      <w:sz w:val="56"/>
      <w:szCs w:val="56"/>
    </w:rPr>
  </w:style>
  <w:style w:type="paragraph" w:styleId="Subtitle">
    <w:name w:val="Subtitle"/>
    <w:basedOn w:val="Heading"/>
    <w:next w:val="TextBody"/>
    <w:qFormat/>
    <w:pPr>
      <w:spacing w:before="60" w:after="120"/>
      <w:jc w:val="center"/>
    </w:pPr>
    <w:rPr>
      <w:sz w:val="36"/>
      <w:szCs w:val="36"/>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dx.doi.org/10.1353/hph.2018.0002" TargetMode="External"/><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1117</TotalTime>
  <Application>LibreOffice/6.4.1.2$Windows_X86_64 LibreOffice_project/4d224e95b98b138af42a64d84056446d09082932</Application>
  <Pages>26</Pages>
  <Words>6267</Words>
  <Characters>35936</Characters>
  <CharactersWithSpaces>42026</CharactersWithSpaces>
  <Paragraphs>178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2025-04-25T08:32:33Z</dcterms:created>
  <dc:creator/>
  <dc:description/>
  <dc:language>en-US</dc:language>
  <cp:lastModifiedBy/>
  <dcterms:modified xsi:type="dcterms:W3CDTF">2025-05-13T22:03:57Z</dcterms:modified>
  <cp:revision>39</cp:revision>
  <dc:subject/>
  <dc:title/>
</cp:coreProperties>
</file>